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A0" w:firstRow="1" w:lastRow="0" w:firstColumn="1" w:lastColumn="0" w:noHBand="1" w:noVBand="1"/>
      </w:tblPr>
      <w:tblGrid>
        <w:gridCol w:w="9314"/>
      </w:tblGrid>
      <w:tr w:rsidR="00C764B1" w:rsidRPr="00290C59" w14:paraId="6467D63C" w14:textId="77777777" w:rsidTr="6E21ED85">
        <w:trPr>
          <w:trHeight w:val="300"/>
        </w:trPr>
        <w:tc>
          <w:tcPr>
            <w:tcW w:w="9314" w:type="dxa"/>
            <w:tcBorders>
              <w:top w:val="double" w:sz="6" w:space="0" w:color="auto"/>
              <w:left w:val="double" w:sz="6" w:space="0" w:color="auto"/>
              <w:bottom w:val="single" w:sz="8" w:space="0" w:color="auto"/>
              <w:right w:val="double" w:sz="6" w:space="0" w:color="auto"/>
            </w:tcBorders>
            <w:tcMar>
              <w:left w:w="105" w:type="dxa"/>
              <w:right w:w="105" w:type="dxa"/>
            </w:tcMar>
          </w:tcPr>
          <w:p w14:paraId="353BEDC5" w14:textId="10B45773" w:rsidR="47970B28" w:rsidRPr="00BE5C9D" w:rsidRDefault="47970B28" w:rsidP="00CE412F">
            <w:pPr>
              <w:spacing w:before="120" w:after="120" w:line="278" w:lineRule="auto"/>
              <w:rPr>
                <w:rFonts w:ascii="Times New Roman" w:eastAsia="Times New Roman" w:hAnsi="Times New Roman" w:cs="Times New Roman"/>
                <w:b/>
                <w:bCs/>
                <w:lang w:val="en-GB"/>
              </w:rPr>
            </w:pPr>
            <w:r w:rsidRPr="00BE5C9D">
              <w:rPr>
                <w:rFonts w:ascii="Times New Roman" w:eastAsia="Times New Roman" w:hAnsi="Times New Roman" w:cs="Times New Roman"/>
                <w:b/>
                <w:bCs/>
                <w:lang w:val="en-GB"/>
              </w:rPr>
              <w:t>Single Market and Customs Programme 2028-2034</w:t>
            </w:r>
            <w:r w:rsidRPr="00CE412F">
              <w:rPr>
                <w:rFonts w:ascii="Times New Roman" w:eastAsia="Times New Roman" w:hAnsi="Times New Roman" w:cs="Times New Roman"/>
                <w:b/>
                <w:bCs/>
                <w:lang w:val="en-GB"/>
              </w:rPr>
              <w:br/>
            </w:r>
            <w:r w:rsidRPr="00BE5C9D">
              <w:rPr>
                <w:rFonts w:ascii="Times New Roman" w:eastAsia="Times New Roman" w:hAnsi="Times New Roman" w:cs="Times New Roman"/>
                <w:b/>
                <w:bCs/>
                <w:lang w:val="en-GB"/>
              </w:rPr>
              <w:t xml:space="preserve">(mandatory </w:t>
            </w:r>
            <w:r w:rsidR="09875E51" w:rsidRPr="00BE5C9D">
              <w:rPr>
                <w:rFonts w:ascii="Times New Roman" w:eastAsia="Times New Roman" w:hAnsi="Times New Roman" w:cs="Times New Roman"/>
                <w:b/>
                <w:bCs/>
                <w:lang w:val="en-GB"/>
              </w:rPr>
              <w:t>opinion</w:t>
            </w:r>
            <w:r w:rsidRPr="00BE5C9D">
              <w:rPr>
                <w:rFonts w:ascii="Times New Roman" w:eastAsia="Times New Roman" w:hAnsi="Times New Roman" w:cs="Times New Roman"/>
                <w:b/>
                <w:bCs/>
                <w:lang w:val="en-GB"/>
              </w:rPr>
              <w:t>)</w:t>
            </w:r>
            <w:r w:rsidRPr="00CE412F">
              <w:rPr>
                <w:rFonts w:ascii="Times New Roman" w:eastAsia="Times New Roman" w:hAnsi="Times New Roman" w:cs="Times New Roman"/>
                <w:b/>
                <w:bCs/>
                <w:lang w:val="en-GB"/>
              </w:rPr>
              <w:br/>
            </w:r>
            <w:r w:rsidRPr="00BE5C9D">
              <w:rPr>
                <w:rFonts w:ascii="Times New Roman" w:eastAsia="Times New Roman" w:hAnsi="Times New Roman" w:cs="Times New Roman"/>
                <w:b/>
                <w:bCs/>
                <w:lang w:val="en-GB"/>
              </w:rPr>
              <w:t>COM</w:t>
            </w:r>
            <w:r w:rsidR="00DB3D84">
              <w:rPr>
                <w:rFonts w:ascii="Times New Roman" w:eastAsia="Times New Roman" w:hAnsi="Times New Roman" w:cs="Times New Roman"/>
                <w:b/>
                <w:bCs/>
                <w:lang w:val="en-GB"/>
              </w:rPr>
              <w:t xml:space="preserve"> </w:t>
            </w:r>
            <w:r w:rsidRPr="00BE5C9D">
              <w:rPr>
                <w:rFonts w:ascii="Times New Roman" w:eastAsia="Times New Roman" w:hAnsi="Times New Roman" w:cs="Times New Roman"/>
                <w:b/>
                <w:bCs/>
                <w:lang w:val="en-GB"/>
              </w:rPr>
              <w:t>(2025) 590 final</w:t>
            </w:r>
            <w:r w:rsidRPr="00CE412F">
              <w:rPr>
                <w:rFonts w:ascii="Times New Roman" w:eastAsia="Times New Roman" w:hAnsi="Times New Roman" w:cs="Times New Roman"/>
                <w:b/>
                <w:bCs/>
                <w:lang w:val="en-GB"/>
              </w:rPr>
              <w:br/>
              <w:t>E</w:t>
            </w:r>
            <w:r w:rsidR="391E7738" w:rsidRPr="00CE412F">
              <w:rPr>
                <w:rFonts w:ascii="Times New Roman" w:eastAsia="Times New Roman" w:hAnsi="Times New Roman" w:cs="Times New Roman"/>
                <w:b/>
                <w:bCs/>
                <w:lang w:val="en-GB"/>
              </w:rPr>
              <w:t>E</w:t>
            </w:r>
            <w:r w:rsidRPr="00CE412F">
              <w:rPr>
                <w:rFonts w:ascii="Times New Roman" w:eastAsia="Times New Roman" w:hAnsi="Times New Roman" w:cs="Times New Roman"/>
                <w:b/>
                <w:bCs/>
                <w:lang w:val="en-GB"/>
              </w:rPr>
              <w:t>SC-2025-</w:t>
            </w:r>
            <w:r w:rsidRPr="00BE5C9D">
              <w:rPr>
                <w:rFonts w:ascii="Times New Roman" w:eastAsia="Times New Roman" w:hAnsi="Times New Roman" w:cs="Times New Roman"/>
                <w:b/>
                <w:bCs/>
                <w:lang w:val="en-GB"/>
              </w:rPr>
              <w:t>03307 ‒ INT/1104</w:t>
            </w:r>
            <w:r w:rsidRPr="00CE412F">
              <w:rPr>
                <w:rFonts w:ascii="Times New Roman" w:eastAsia="Times New Roman" w:hAnsi="Times New Roman" w:cs="Times New Roman"/>
                <w:b/>
                <w:bCs/>
                <w:lang w:val="en-GB"/>
              </w:rPr>
              <w:br/>
            </w:r>
            <w:r w:rsidRPr="00BE5C9D">
              <w:rPr>
                <w:rFonts w:ascii="Times New Roman" w:eastAsia="Times New Roman" w:hAnsi="Times New Roman" w:cs="Times New Roman"/>
                <w:b/>
                <w:bCs/>
                <w:lang w:val="en-GB"/>
              </w:rPr>
              <w:t>602</w:t>
            </w:r>
            <w:r w:rsidRPr="00290C59">
              <w:rPr>
                <w:rFonts w:ascii="Times New Roman" w:eastAsia="Times New Roman" w:hAnsi="Times New Roman" w:cs="Times New Roman"/>
                <w:b/>
                <w:bCs/>
                <w:vertAlign w:val="superscript"/>
                <w:lang w:val="en-GB"/>
              </w:rPr>
              <w:t>nd</w:t>
            </w:r>
            <w:r w:rsidRPr="00BE5C9D">
              <w:rPr>
                <w:rFonts w:ascii="Times New Roman" w:eastAsia="Times New Roman" w:hAnsi="Times New Roman" w:cs="Times New Roman"/>
                <w:b/>
                <w:bCs/>
                <w:lang w:val="en-GB"/>
              </w:rPr>
              <w:t xml:space="preserve"> Plenary Session – January 2026</w:t>
            </w:r>
            <w:r w:rsidRPr="00CE412F">
              <w:rPr>
                <w:rFonts w:ascii="Times New Roman" w:eastAsia="Times New Roman" w:hAnsi="Times New Roman" w:cs="Times New Roman"/>
                <w:b/>
                <w:bCs/>
                <w:lang w:val="en-GB"/>
              </w:rPr>
              <w:br/>
            </w:r>
            <w:r w:rsidRPr="00BE5C9D">
              <w:rPr>
                <w:rFonts w:ascii="Times New Roman" w:eastAsia="Times New Roman" w:hAnsi="Times New Roman" w:cs="Times New Roman"/>
                <w:b/>
                <w:bCs/>
                <w:lang w:val="en-GB"/>
              </w:rPr>
              <w:t xml:space="preserve">Rapporteur: Vasco DE MELLO </w:t>
            </w:r>
            <w:r w:rsidRPr="00CE412F">
              <w:rPr>
                <w:rFonts w:ascii="Times New Roman" w:eastAsia="Times New Roman" w:hAnsi="Times New Roman" w:cs="Times New Roman"/>
                <w:b/>
                <w:bCs/>
                <w:lang w:val="en-GB"/>
              </w:rPr>
              <w:t>(PT-I)</w:t>
            </w:r>
            <w:r w:rsidRPr="00CE412F">
              <w:rPr>
                <w:rFonts w:ascii="Times New Roman" w:eastAsia="Times New Roman" w:hAnsi="Times New Roman" w:cs="Times New Roman"/>
                <w:b/>
                <w:bCs/>
                <w:lang w:val="en-GB"/>
              </w:rPr>
              <w:br/>
            </w:r>
            <w:r w:rsidRPr="00BE5C9D">
              <w:rPr>
                <w:rFonts w:ascii="Times New Roman" w:eastAsia="Times New Roman" w:hAnsi="Times New Roman" w:cs="Times New Roman"/>
                <w:b/>
                <w:bCs/>
                <w:lang w:val="en-GB"/>
              </w:rPr>
              <w:t>DG GROW – Executive Vice-President SÉJOURNÉ</w:t>
            </w:r>
            <w:r w:rsidR="00CE412F">
              <w:rPr>
                <w:rFonts w:ascii="Times New Roman" w:eastAsia="Times New Roman" w:hAnsi="Times New Roman" w:cs="Times New Roman"/>
                <w:b/>
                <w:bCs/>
                <w:lang w:val="en-GB"/>
              </w:rPr>
              <w:br/>
            </w:r>
            <w:r w:rsidR="00971A2D" w:rsidRPr="00CE412F">
              <w:rPr>
                <w:rFonts w:ascii="Times New Roman" w:eastAsia="Times New Roman" w:hAnsi="Times New Roman" w:cs="Times New Roman"/>
                <w:b/>
                <w:bCs/>
                <w:lang w:val="en-GB"/>
              </w:rPr>
              <w:t>DG TAXUD – Commissioner ŠEFČOVIČ</w:t>
            </w:r>
            <w:r w:rsidR="00971A2D" w:rsidRPr="00971A2D">
              <w:rPr>
                <w:rFonts w:ascii="Times New Roman" w:eastAsia="Times New Roman" w:hAnsi="Times New Roman" w:cs="Times New Roman"/>
                <w:b/>
                <w:bCs/>
              </w:rPr>
              <w:t> </w:t>
            </w:r>
            <w:r w:rsidRPr="00BE5C9D">
              <w:rPr>
                <w:rFonts w:ascii="Times New Roman" w:eastAsia="Times New Roman" w:hAnsi="Times New Roman" w:cs="Times New Roman"/>
                <w:b/>
                <w:bCs/>
                <w:lang w:val="en-GB"/>
              </w:rPr>
              <w:t xml:space="preserve"> </w:t>
            </w:r>
          </w:p>
        </w:tc>
      </w:tr>
      <w:tr w:rsidR="00C764B1" w:rsidRPr="00B75825" w14:paraId="18F8748D" w14:textId="77777777" w:rsidTr="6E21ED85">
        <w:trPr>
          <w:trHeight w:val="615"/>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089D5BE5" w14:textId="5CC4FD20" w:rsidR="47970B28" w:rsidRPr="00BE5C9D" w:rsidRDefault="47970B28" w:rsidP="00290C59">
            <w:pPr>
              <w:widowControl w:val="0"/>
              <w:spacing w:before="120" w:after="120" w:line="276" w:lineRule="auto"/>
              <w:ind w:right="-125"/>
              <w:jc w:val="center"/>
              <w:rPr>
                <w:rFonts w:ascii="Times New Roman" w:hAnsi="Times New Roman" w:cs="Times New Roman"/>
              </w:rPr>
            </w:pPr>
            <w:r w:rsidRPr="00BE5C9D">
              <w:rPr>
                <w:rFonts w:ascii="Times New Roman" w:eastAsia="Times New Roman" w:hAnsi="Times New Roman" w:cs="Times New Roman"/>
                <w:b/>
                <w:lang w:val="en-GB"/>
              </w:rPr>
              <w:t>European Commission position on points</w:t>
            </w:r>
            <w:r w:rsidRPr="00BE5C9D">
              <w:rPr>
                <w:rFonts w:ascii="Times New Roman" w:hAnsi="Times New Roman" w:cs="Times New Roman"/>
              </w:rPr>
              <w:br/>
            </w:r>
            <w:r w:rsidRPr="00BE5C9D">
              <w:rPr>
                <w:rFonts w:ascii="Times New Roman" w:eastAsia="Aptos" w:hAnsi="Times New Roman" w:cs="Times New Roman"/>
              </w:rPr>
              <w:t xml:space="preserve"> </w:t>
            </w:r>
            <w:r w:rsidRPr="00BE5C9D">
              <w:rPr>
                <w:rFonts w:ascii="Times New Roman" w:eastAsia="Times New Roman" w:hAnsi="Times New Roman" w:cs="Times New Roman"/>
                <w:b/>
                <w:lang w:val="en-GB"/>
              </w:rPr>
              <w:t>of the European Economic and Social Committee (EESC) opinion considered as essential</w:t>
            </w:r>
          </w:p>
        </w:tc>
      </w:tr>
      <w:tr w:rsidR="00C764B1" w:rsidRPr="00B75825" w14:paraId="681C9A74" w14:textId="77777777" w:rsidTr="6E21ED85">
        <w:trPr>
          <w:trHeight w:val="799"/>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16BE4C9F" w14:textId="221B8E78" w:rsidR="47970B28" w:rsidRPr="00BE5C9D" w:rsidRDefault="47970B28" w:rsidP="47970B28">
            <w:pPr>
              <w:spacing w:before="120" w:after="120" w:line="278" w:lineRule="auto"/>
              <w:jc w:val="both"/>
              <w:rPr>
                <w:rFonts w:ascii="Times New Roman" w:hAnsi="Times New Roman" w:cs="Times New Roman"/>
              </w:rPr>
            </w:pPr>
            <w:r w:rsidRPr="00BE5C9D">
              <w:rPr>
                <w:rFonts w:ascii="Times New Roman" w:eastAsia="Times New Roman" w:hAnsi="Times New Roman" w:cs="Times New Roman"/>
              </w:rPr>
              <w:t>The Commission welcomes the Committee</w:t>
            </w:r>
            <w:r w:rsidR="2C7CAA1F" w:rsidRPr="00BE5C9D">
              <w:rPr>
                <w:rFonts w:ascii="Times New Roman" w:eastAsia="Times New Roman" w:hAnsi="Times New Roman" w:cs="Times New Roman"/>
              </w:rPr>
              <w:t xml:space="preserve">’s </w:t>
            </w:r>
            <w:r w:rsidRPr="00BE5C9D">
              <w:rPr>
                <w:rFonts w:ascii="Times New Roman" w:eastAsia="Times New Roman" w:hAnsi="Times New Roman" w:cs="Times New Roman"/>
              </w:rPr>
              <w:t xml:space="preserve">opinion on </w:t>
            </w:r>
            <w:r w:rsidRPr="00BE5C9D">
              <w:rPr>
                <w:rFonts w:ascii="Times New Roman" w:eastAsia="Times New Roman" w:hAnsi="Times New Roman" w:cs="Times New Roman"/>
                <w:b/>
                <w:bCs/>
                <w:lang w:val="en-GB"/>
              </w:rPr>
              <w:t xml:space="preserve">the Single Market and Customs Programme for the period 2028-2034 </w:t>
            </w:r>
            <w:r w:rsidRPr="00BE5C9D">
              <w:rPr>
                <w:rFonts w:ascii="Times New Roman" w:eastAsia="Times New Roman" w:hAnsi="Times New Roman" w:cs="Times New Roman"/>
              </w:rPr>
              <w:t xml:space="preserve">and shares the position </w:t>
            </w:r>
            <w:r w:rsidR="00D42AFE" w:rsidRPr="00BE5C9D">
              <w:rPr>
                <w:rFonts w:ascii="Times New Roman" w:eastAsia="Times New Roman" w:hAnsi="Times New Roman" w:cs="Times New Roman"/>
              </w:rPr>
              <w:t xml:space="preserve">below </w:t>
            </w:r>
            <w:r w:rsidRPr="00BE5C9D">
              <w:rPr>
                <w:rFonts w:ascii="Times New Roman" w:eastAsia="Times New Roman" w:hAnsi="Times New Roman" w:cs="Times New Roman"/>
              </w:rPr>
              <w:t>on certain specific points of the EESC opinion.</w:t>
            </w:r>
          </w:p>
        </w:tc>
      </w:tr>
      <w:tr w:rsidR="00C764B1" w:rsidRPr="00B75825" w14:paraId="2D2D6543" w14:textId="77777777" w:rsidTr="6E21ED85">
        <w:trPr>
          <w:trHeight w:val="3180"/>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5F488EE6" w14:textId="53BB128B" w:rsidR="47970B28" w:rsidRPr="00BE5C9D" w:rsidRDefault="3813B4AA"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1.2 of the opinion</w:t>
            </w:r>
            <w:r w:rsidRPr="00BE5C9D">
              <w:rPr>
                <w:rFonts w:ascii="Times New Roman" w:eastAsia="Times New Roman" w:hAnsi="Times New Roman" w:cs="Times New Roman"/>
                <w:i/>
                <w:iCs/>
                <w:lang w:val="en-GB"/>
              </w:rPr>
              <w:t>:</w:t>
            </w:r>
            <w:r w:rsidRPr="00BE5C9D">
              <w:rPr>
                <w:rFonts w:ascii="Times New Roman" w:eastAsia="Times New Roman" w:hAnsi="Times New Roman" w:cs="Times New Roman"/>
                <w:lang w:val="en-GB"/>
              </w:rPr>
              <w:t xml:space="preserve"> </w:t>
            </w:r>
          </w:p>
          <w:p w14:paraId="09DA6870" w14:textId="0D371C2A" w:rsidR="47970B28" w:rsidRPr="00BE5C9D" w:rsidRDefault="31CE45E2" w:rsidP="009A3A68">
            <w:pPr>
              <w:spacing w:line="278" w:lineRule="auto"/>
              <w:jc w:val="both"/>
              <w:rPr>
                <w:rFonts w:ascii="Times New Roman" w:eastAsia="Times New Roman" w:hAnsi="Times New Roman" w:cs="Times New Roman"/>
              </w:rPr>
            </w:pPr>
            <w:bookmarkStart w:id="0" w:name="_Hlk222744494"/>
            <w:r w:rsidRPr="00BE5C9D">
              <w:rPr>
                <w:rFonts w:ascii="Times New Roman" w:eastAsia="Times New Roman" w:hAnsi="Times New Roman" w:cs="Times New Roman"/>
              </w:rPr>
              <w:t xml:space="preserve">The Commission agrees that ensuring </w:t>
            </w:r>
            <w:r w:rsidR="46AF7A45" w:rsidRPr="00BE5C9D">
              <w:rPr>
                <w:rFonts w:ascii="Times New Roman" w:eastAsia="Times New Roman" w:hAnsi="Times New Roman" w:cs="Times New Roman"/>
              </w:rPr>
              <w:t>fair</w:t>
            </w:r>
            <w:r w:rsidR="74EB47E9" w:rsidRPr="00BE5C9D">
              <w:rPr>
                <w:rFonts w:ascii="Times New Roman" w:eastAsia="Times New Roman" w:hAnsi="Times New Roman" w:cs="Times New Roman"/>
              </w:rPr>
              <w:t xml:space="preserve"> </w:t>
            </w:r>
            <w:r w:rsidR="36F78928" w:rsidRPr="00BE5C9D">
              <w:rPr>
                <w:rFonts w:ascii="Times New Roman" w:eastAsia="Times New Roman" w:hAnsi="Times New Roman" w:cs="Times New Roman"/>
                <w:lang w:val="en-GB"/>
              </w:rPr>
              <w:t>competition between all economic actors</w:t>
            </w:r>
            <w:r w:rsidR="36F78928" w:rsidRPr="00BE5C9D">
              <w:rPr>
                <w:rFonts w:ascii="Times New Roman" w:eastAsia="Times New Roman" w:hAnsi="Times New Roman" w:cs="Times New Roman"/>
              </w:rPr>
              <w:t xml:space="preserve"> </w:t>
            </w:r>
            <w:r w:rsidR="540FEEF4" w:rsidRPr="00BE5C9D">
              <w:rPr>
                <w:rFonts w:ascii="Times New Roman" w:eastAsia="Times New Roman" w:hAnsi="Times New Roman" w:cs="Times New Roman"/>
              </w:rPr>
              <w:t xml:space="preserve">is </w:t>
            </w:r>
            <w:r w:rsidRPr="00BE5C9D">
              <w:rPr>
                <w:rFonts w:ascii="Times New Roman" w:eastAsia="Times New Roman" w:hAnsi="Times New Roman" w:cs="Times New Roman"/>
              </w:rPr>
              <w:t xml:space="preserve">in the interest of the EU </w:t>
            </w:r>
            <w:r w:rsidR="580045A3" w:rsidRPr="00BE5C9D">
              <w:rPr>
                <w:rFonts w:ascii="Times New Roman" w:eastAsia="Times New Roman" w:hAnsi="Times New Roman" w:cs="Times New Roman"/>
              </w:rPr>
              <w:t xml:space="preserve">and </w:t>
            </w:r>
            <w:r w:rsidRPr="00BE5C9D">
              <w:rPr>
                <w:rFonts w:ascii="Times New Roman" w:eastAsia="Times New Roman" w:hAnsi="Times New Roman" w:cs="Times New Roman"/>
              </w:rPr>
              <w:t xml:space="preserve">one of its objectives. </w:t>
            </w:r>
            <w:r w:rsidR="71C7666E" w:rsidRPr="00BE5C9D">
              <w:rPr>
                <w:rFonts w:ascii="Times New Roman" w:eastAsia="Times New Roman" w:hAnsi="Times New Roman" w:cs="Times New Roman"/>
              </w:rPr>
              <w:t>In that sense,</w:t>
            </w:r>
            <w:r w:rsidRPr="00BE5C9D">
              <w:rPr>
                <w:rFonts w:ascii="Times New Roman" w:eastAsia="Times New Roman" w:hAnsi="Times New Roman" w:cs="Times New Roman"/>
              </w:rPr>
              <w:t xml:space="preserve"> the actions </w:t>
            </w:r>
            <w:r w:rsidR="237F3F93" w:rsidRPr="00BE5C9D">
              <w:rPr>
                <w:rFonts w:ascii="Times New Roman" w:eastAsia="Times New Roman" w:hAnsi="Times New Roman" w:cs="Times New Roman"/>
              </w:rPr>
              <w:t>of</w:t>
            </w:r>
            <w:r w:rsidRPr="00BE5C9D">
              <w:rPr>
                <w:rFonts w:ascii="Times New Roman" w:eastAsia="Times New Roman" w:hAnsi="Times New Roman" w:cs="Times New Roman"/>
              </w:rPr>
              <w:t xml:space="preserve"> the S</w:t>
            </w:r>
            <w:r w:rsidR="2BE9B261" w:rsidRPr="00BE5C9D">
              <w:rPr>
                <w:rFonts w:ascii="Times New Roman" w:eastAsia="Times New Roman" w:hAnsi="Times New Roman" w:cs="Times New Roman"/>
              </w:rPr>
              <w:t xml:space="preserve">ingle </w:t>
            </w:r>
            <w:r w:rsidRPr="00BE5C9D">
              <w:rPr>
                <w:rFonts w:ascii="Times New Roman" w:eastAsia="Times New Roman" w:hAnsi="Times New Roman" w:cs="Times New Roman"/>
              </w:rPr>
              <w:t>M</w:t>
            </w:r>
            <w:r w:rsidR="2BE9B261" w:rsidRPr="00BE5C9D">
              <w:rPr>
                <w:rFonts w:ascii="Times New Roman" w:eastAsia="Times New Roman" w:hAnsi="Times New Roman" w:cs="Times New Roman"/>
              </w:rPr>
              <w:t xml:space="preserve">arket and </w:t>
            </w:r>
            <w:r w:rsidRPr="00BE5C9D">
              <w:rPr>
                <w:rFonts w:ascii="Times New Roman" w:eastAsia="Times New Roman" w:hAnsi="Times New Roman" w:cs="Times New Roman"/>
              </w:rPr>
              <w:t>C</w:t>
            </w:r>
            <w:r w:rsidR="2BE9B261" w:rsidRPr="00BE5C9D">
              <w:rPr>
                <w:rFonts w:ascii="Times New Roman" w:eastAsia="Times New Roman" w:hAnsi="Times New Roman" w:cs="Times New Roman"/>
              </w:rPr>
              <w:t xml:space="preserve">ustoms </w:t>
            </w:r>
            <w:r w:rsidRPr="00BE5C9D">
              <w:rPr>
                <w:rFonts w:ascii="Times New Roman" w:eastAsia="Times New Roman" w:hAnsi="Times New Roman" w:cs="Times New Roman"/>
              </w:rPr>
              <w:t>P</w:t>
            </w:r>
            <w:r w:rsidR="2BE9B261" w:rsidRPr="00BE5C9D">
              <w:rPr>
                <w:rFonts w:ascii="Times New Roman" w:eastAsia="Times New Roman" w:hAnsi="Times New Roman" w:cs="Times New Roman"/>
              </w:rPr>
              <w:t>rogramme</w:t>
            </w:r>
            <w:r w:rsidRPr="00BE5C9D">
              <w:rPr>
                <w:rFonts w:ascii="Times New Roman" w:eastAsia="Times New Roman" w:hAnsi="Times New Roman" w:cs="Times New Roman"/>
              </w:rPr>
              <w:t xml:space="preserve"> </w:t>
            </w:r>
            <w:r w:rsidR="3BA82E52" w:rsidRPr="00BE5C9D">
              <w:rPr>
                <w:rFonts w:ascii="Times New Roman" w:eastAsia="Times New Roman" w:hAnsi="Times New Roman" w:cs="Times New Roman"/>
              </w:rPr>
              <w:t xml:space="preserve">(SMCP) </w:t>
            </w:r>
            <w:r w:rsidR="00FD7F06">
              <w:rPr>
                <w:rFonts w:ascii="Times New Roman" w:eastAsia="Times New Roman" w:hAnsi="Times New Roman" w:cs="Times New Roman"/>
              </w:rPr>
              <w:t>are</w:t>
            </w:r>
            <w:r w:rsidRPr="00BE5C9D">
              <w:rPr>
                <w:rFonts w:ascii="Times New Roman" w:eastAsia="Times New Roman" w:hAnsi="Times New Roman" w:cs="Times New Roman"/>
              </w:rPr>
              <w:t xml:space="preserve"> </w:t>
            </w:r>
            <w:r w:rsidRPr="00BE5C9D">
              <w:rPr>
                <w:rFonts w:ascii="Times New Roman" w:eastAsia="Times New Roman" w:hAnsi="Times New Roman" w:cs="Times New Roman"/>
                <w:lang w:val="en-GB"/>
              </w:rPr>
              <w:t>primarily</w:t>
            </w:r>
            <w:r w:rsidRPr="00BE5C9D">
              <w:rPr>
                <w:rFonts w:ascii="Times New Roman" w:eastAsia="Times New Roman" w:hAnsi="Times New Roman" w:cs="Times New Roman"/>
              </w:rPr>
              <w:t xml:space="preserve"> </w:t>
            </w:r>
            <w:r w:rsidR="2FF289C7" w:rsidRPr="00BE5C9D">
              <w:rPr>
                <w:rFonts w:ascii="Times New Roman" w:eastAsia="Times New Roman" w:hAnsi="Times New Roman" w:cs="Times New Roman"/>
              </w:rPr>
              <w:t xml:space="preserve">to </w:t>
            </w:r>
            <w:r w:rsidRPr="00BE5C9D">
              <w:rPr>
                <w:rFonts w:ascii="Times New Roman" w:eastAsia="Times New Roman" w:hAnsi="Times New Roman" w:cs="Times New Roman"/>
              </w:rPr>
              <w:t>ensur</w:t>
            </w:r>
            <w:r w:rsidR="4C66B6CA" w:rsidRPr="00BE5C9D">
              <w:rPr>
                <w:rFonts w:ascii="Times New Roman" w:eastAsia="Times New Roman" w:hAnsi="Times New Roman" w:cs="Times New Roman"/>
              </w:rPr>
              <w:t>e</w:t>
            </w:r>
            <w:r w:rsidR="4C7A28FF" w:rsidRPr="00BE5C9D">
              <w:rPr>
                <w:rFonts w:ascii="Times New Roman" w:eastAsia="Times New Roman" w:hAnsi="Times New Roman" w:cs="Times New Roman"/>
              </w:rPr>
              <w:t xml:space="preserve"> </w:t>
            </w:r>
            <w:r w:rsidRPr="00BE5C9D">
              <w:rPr>
                <w:rFonts w:ascii="Times New Roman" w:eastAsia="Times New Roman" w:hAnsi="Times New Roman" w:cs="Times New Roman"/>
              </w:rPr>
              <w:t xml:space="preserve">the functioning of </w:t>
            </w:r>
            <w:r w:rsidR="002747DC" w:rsidRPr="00BE5C9D">
              <w:rPr>
                <w:rFonts w:ascii="Times New Roman" w:eastAsia="Times New Roman" w:hAnsi="Times New Roman" w:cs="Times New Roman"/>
              </w:rPr>
              <w:t xml:space="preserve">both </w:t>
            </w:r>
            <w:r w:rsidRPr="00BE5C9D">
              <w:rPr>
                <w:rFonts w:ascii="Times New Roman" w:eastAsia="Times New Roman" w:hAnsi="Times New Roman" w:cs="Times New Roman"/>
              </w:rPr>
              <w:t xml:space="preserve">the </w:t>
            </w:r>
            <w:r w:rsidR="002747DC" w:rsidRPr="00BE5C9D">
              <w:rPr>
                <w:rFonts w:ascii="Times New Roman" w:eastAsia="Times New Roman" w:hAnsi="Times New Roman" w:cs="Times New Roman"/>
              </w:rPr>
              <w:t xml:space="preserve">Single Market and the </w:t>
            </w:r>
            <w:r w:rsidRPr="00BE5C9D">
              <w:rPr>
                <w:rFonts w:ascii="Times New Roman" w:eastAsia="Times New Roman" w:hAnsi="Times New Roman" w:cs="Times New Roman"/>
              </w:rPr>
              <w:t>Customs Union</w:t>
            </w:r>
            <w:r w:rsidR="002747DC" w:rsidRPr="00BE5C9D">
              <w:rPr>
                <w:rFonts w:ascii="Times New Roman" w:eastAsia="Times New Roman" w:hAnsi="Times New Roman" w:cs="Times New Roman"/>
              </w:rPr>
              <w:t>,</w:t>
            </w:r>
            <w:r w:rsidRPr="00BE5C9D">
              <w:rPr>
                <w:rFonts w:ascii="Times New Roman" w:eastAsia="Times New Roman" w:hAnsi="Times New Roman" w:cs="Times New Roman"/>
              </w:rPr>
              <w:t xml:space="preserve"> </w:t>
            </w:r>
            <w:r w:rsidR="079E6139" w:rsidRPr="00BE5C9D">
              <w:rPr>
                <w:rFonts w:ascii="Times New Roman" w:eastAsia="Times New Roman" w:hAnsi="Times New Roman" w:cs="Times New Roman"/>
              </w:rPr>
              <w:t>and</w:t>
            </w:r>
            <w:r w:rsidR="76217382" w:rsidRPr="00BE5C9D">
              <w:rPr>
                <w:rFonts w:ascii="Times New Roman" w:eastAsia="Times New Roman" w:hAnsi="Times New Roman" w:cs="Times New Roman"/>
              </w:rPr>
              <w:t xml:space="preserve"> </w:t>
            </w:r>
            <w:r w:rsidR="4A776ED9" w:rsidRPr="00BE5C9D">
              <w:rPr>
                <w:rFonts w:ascii="Times New Roman" w:eastAsia="Times New Roman" w:hAnsi="Times New Roman" w:cs="Times New Roman"/>
              </w:rPr>
              <w:t>effective</w:t>
            </w:r>
            <w:r w:rsidR="696D17D1" w:rsidRPr="00BE5C9D">
              <w:rPr>
                <w:rFonts w:ascii="Times New Roman" w:eastAsia="Times New Roman" w:hAnsi="Times New Roman" w:cs="Times New Roman"/>
              </w:rPr>
              <w:t xml:space="preserve"> Market Surveillance</w:t>
            </w:r>
            <w:r w:rsidR="781DC65C" w:rsidRPr="00BE5C9D">
              <w:rPr>
                <w:rFonts w:ascii="Times New Roman" w:eastAsia="Times New Roman" w:hAnsi="Times New Roman" w:cs="Times New Roman"/>
              </w:rPr>
              <w:t xml:space="preserve">. </w:t>
            </w:r>
            <w:r w:rsidR="002747DC" w:rsidRPr="00BE5C9D">
              <w:rPr>
                <w:rFonts w:ascii="Times New Roman" w:eastAsia="Times New Roman" w:hAnsi="Times New Roman" w:cs="Times New Roman"/>
              </w:rPr>
              <w:t xml:space="preserve">The customs and market surveillance authorities have a shared role in ensuring compliance of products entering and circulating in the internal market with EU rules. </w:t>
            </w:r>
            <w:r w:rsidR="3BA82E52" w:rsidRPr="00BE5C9D">
              <w:rPr>
                <w:rFonts w:ascii="Times New Roman" w:eastAsia="Times New Roman" w:hAnsi="Times New Roman" w:cs="Times New Roman"/>
              </w:rPr>
              <w:t>To this end, the SMCP</w:t>
            </w:r>
            <w:r w:rsidR="447E9E9C" w:rsidRPr="00BE5C9D">
              <w:rPr>
                <w:rFonts w:ascii="Times New Roman" w:eastAsia="Times New Roman" w:hAnsi="Times New Roman" w:cs="Times New Roman"/>
              </w:rPr>
              <w:t xml:space="preserve"> </w:t>
            </w:r>
            <w:r w:rsidR="139D55E6" w:rsidRPr="00BE5C9D">
              <w:rPr>
                <w:rFonts w:ascii="Times New Roman" w:eastAsia="Times New Roman" w:hAnsi="Times New Roman" w:cs="Times New Roman"/>
              </w:rPr>
              <w:t xml:space="preserve">is intended to </w:t>
            </w:r>
            <w:r w:rsidR="447E9E9C" w:rsidRPr="00BE5C9D">
              <w:rPr>
                <w:rFonts w:ascii="Times New Roman" w:eastAsia="Times New Roman" w:hAnsi="Times New Roman" w:cs="Times New Roman"/>
              </w:rPr>
              <w:t xml:space="preserve">support the </w:t>
            </w:r>
            <w:r w:rsidR="002747DC" w:rsidRPr="00BE5C9D">
              <w:rPr>
                <w:rFonts w:ascii="Times New Roman" w:eastAsia="Times New Roman" w:hAnsi="Times New Roman" w:cs="Times New Roman"/>
              </w:rPr>
              <w:t xml:space="preserve">market surveillance and </w:t>
            </w:r>
            <w:r w:rsidR="447E9E9C" w:rsidRPr="00BE5C9D">
              <w:rPr>
                <w:rFonts w:ascii="Times New Roman" w:eastAsia="Times New Roman" w:hAnsi="Times New Roman" w:cs="Times New Roman"/>
              </w:rPr>
              <w:t xml:space="preserve">customs functions and </w:t>
            </w:r>
            <w:r w:rsidR="4A776ED9" w:rsidRPr="00BE5C9D">
              <w:rPr>
                <w:rFonts w:ascii="Times New Roman" w:eastAsia="Times New Roman" w:hAnsi="Times New Roman" w:cs="Times New Roman"/>
              </w:rPr>
              <w:t xml:space="preserve">- </w:t>
            </w:r>
            <w:r w:rsidR="447E9E9C" w:rsidRPr="00BE5C9D">
              <w:rPr>
                <w:rFonts w:ascii="Times New Roman" w:eastAsia="Times New Roman" w:hAnsi="Times New Roman" w:cs="Times New Roman"/>
              </w:rPr>
              <w:t>in general</w:t>
            </w:r>
            <w:r w:rsidR="007A6C55">
              <w:rPr>
                <w:rFonts w:ascii="Times New Roman" w:eastAsia="Times New Roman" w:hAnsi="Times New Roman" w:cs="Times New Roman"/>
              </w:rPr>
              <w:t xml:space="preserve"> </w:t>
            </w:r>
            <w:r w:rsidR="4A794A78" w:rsidRPr="00BE5C9D">
              <w:rPr>
                <w:rFonts w:ascii="Times New Roman" w:eastAsia="Times New Roman" w:hAnsi="Times New Roman" w:cs="Times New Roman"/>
              </w:rPr>
              <w:t xml:space="preserve">- </w:t>
            </w:r>
            <w:r w:rsidR="139D55E6" w:rsidRPr="00BE5C9D">
              <w:rPr>
                <w:rFonts w:ascii="Times New Roman" w:eastAsia="Times New Roman" w:hAnsi="Times New Roman" w:cs="Times New Roman"/>
              </w:rPr>
              <w:t xml:space="preserve">is designed to </w:t>
            </w:r>
            <w:r w:rsidR="002747DC" w:rsidRPr="00BE5C9D">
              <w:rPr>
                <w:rFonts w:ascii="Times New Roman" w:eastAsia="Times New Roman" w:hAnsi="Times New Roman" w:cs="Times New Roman"/>
              </w:rPr>
              <w:t>ensure</w:t>
            </w:r>
            <w:r w:rsidR="447E9E9C" w:rsidRPr="00BE5C9D">
              <w:rPr>
                <w:rFonts w:ascii="Times New Roman" w:eastAsia="Times New Roman" w:hAnsi="Times New Roman" w:cs="Times New Roman"/>
              </w:rPr>
              <w:t xml:space="preserve"> that the products and services </w:t>
            </w:r>
            <w:r w:rsidR="002747DC" w:rsidRPr="00BE5C9D">
              <w:rPr>
                <w:rFonts w:ascii="Times New Roman" w:eastAsia="Times New Roman" w:hAnsi="Times New Roman" w:cs="Times New Roman"/>
              </w:rPr>
              <w:t xml:space="preserve">entering and </w:t>
            </w:r>
            <w:r w:rsidR="447E9E9C" w:rsidRPr="00BE5C9D">
              <w:rPr>
                <w:rFonts w:ascii="Times New Roman" w:eastAsia="Times New Roman" w:hAnsi="Times New Roman" w:cs="Times New Roman"/>
              </w:rPr>
              <w:t xml:space="preserve">circulating in the Single </w:t>
            </w:r>
            <w:r w:rsidR="29CDE328" w:rsidRPr="00BE5C9D">
              <w:rPr>
                <w:rFonts w:ascii="Times New Roman" w:eastAsia="Times New Roman" w:hAnsi="Times New Roman" w:cs="Times New Roman"/>
              </w:rPr>
              <w:t>M</w:t>
            </w:r>
            <w:r w:rsidR="447E9E9C" w:rsidRPr="00BE5C9D">
              <w:rPr>
                <w:rFonts w:ascii="Times New Roman" w:eastAsia="Times New Roman" w:hAnsi="Times New Roman" w:cs="Times New Roman"/>
              </w:rPr>
              <w:t xml:space="preserve">arket </w:t>
            </w:r>
            <w:r w:rsidR="32125E6C" w:rsidRPr="00BE5C9D">
              <w:rPr>
                <w:rFonts w:ascii="Times New Roman" w:eastAsia="Times New Roman" w:hAnsi="Times New Roman" w:cs="Times New Roman"/>
              </w:rPr>
              <w:t>meet</w:t>
            </w:r>
            <w:r w:rsidR="447E9E9C" w:rsidRPr="00BE5C9D">
              <w:rPr>
                <w:rFonts w:ascii="Times New Roman" w:eastAsia="Times New Roman" w:hAnsi="Times New Roman" w:cs="Times New Roman"/>
              </w:rPr>
              <w:t xml:space="preserve"> the standards applicable in the EU, aiming also towards ensuring economic security </w:t>
            </w:r>
            <w:r w:rsidR="002747DC" w:rsidRPr="00BE5C9D">
              <w:rPr>
                <w:rFonts w:ascii="Times New Roman" w:eastAsia="Times New Roman" w:hAnsi="Times New Roman" w:cs="Times New Roman"/>
              </w:rPr>
              <w:t>and</w:t>
            </w:r>
            <w:r w:rsidR="645B589A" w:rsidRPr="00BE5C9D">
              <w:rPr>
                <w:rFonts w:ascii="Times New Roman" w:eastAsia="Times New Roman" w:hAnsi="Times New Roman" w:cs="Times New Roman"/>
              </w:rPr>
              <w:t xml:space="preserve"> </w:t>
            </w:r>
            <w:r w:rsidR="002747DC" w:rsidRPr="00BE5C9D">
              <w:rPr>
                <w:rFonts w:ascii="Times New Roman" w:eastAsia="Times New Roman" w:hAnsi="Times New Roman" w:cs="Times New Roman"/>
              </w:rPr>
              <w:t>f</w:t>
            </w:r>
            <w:r w:rsidRPr="00BE5C9D">
              <w:rPr>
                <w:rFonts w:ascii="Times New Roman" w:eastAsia="Times New Roman" w:hAnsi="Times New Roman" w:cs="Times New Roman"/>
              </w:rPr>
              <w:t xml:space="preserve">air competition </w:t>
            </w:r>
            <w:r w:rsidR="0B22E6DE" w:rsidRPr="00BE5C9D">
              <w:rPr>
                <w:rFonts w:ascii="Times New Roman" w:eastAsia="Times New Roman" w:hAnsi="Times New Roman" w:cs="Times New Roman"/>
              </w:rPr>
              <w:t xml:space="preserve">within the EU as well as </w:t>
            </w:r>
            <w:r w:rsidRPr="00BE5C9D">
              <w:rPr>
                <w:rFonts w:ascii="Times New Roman" w:eastAsia="Times New Roman" w:hAnsi="Times New Roman" w:cs="Times New Roman"/>
              </w:rPr>
              <w:t>with third countries</w:t>
            </w:r>
            <w:r w:rsidR="002747DC" w:rsidRPr="00BE5C9D">
              <w:rPr>
                <w:rFonts w:ascii="Times New Roman" w:eastAsia="Times New Roman" w:hAnsi="Times New Roman" w:cs="Times New Roman"/>
              </w:rPr>
              <w:t xml:space="preserve"> as defined by the EU trade policy</w:t>
            </w:r>
            <w:r w:rsidR="00215769">
              <w:rPr>
                <w:rStyle w:val="FootnoteReference"/>
                <w:rFonts w:ascii="Times New Roman" w:eastAsia="Times New Roman" w:hAnsi="Times New Roman" w:cs="Times New Roman"/>
              </w:rPr>
              <w:footnoteReference w:id="1"/>
            </w:r>
            <w:r w:rsidR="002747DC" w:rsidRPr="00BE5C9D">
              <w:rPr>
                <w:rFonts w:ascii="Times New Roman" w:eastAsia="Times New Roman" w:hAnsi="Times New Roman" w:cs="Times New Roman"/>
              </w:rPr>
              <w:t>.</w:t>
            </w:r>
            <w:r w:rsidRPr="00BE5C9D">
              <w:rPr>
                <w:rFonts w:ascii="Times New Roman" w:eastAsia="Times New Roman" w:hAnsi="Times New Roman" w:cs="Times New Roman"/>
              </w:rPr>
              <w:t xml:space="preserve"> </w:t>
            </w:r>
            <w:bookmarkEnd w:id="0"/>
          </w:p>
        </w:tc>
      </w:tr>
      <w:tr w:rsidR="00C764B1" w:rsidRPr="00B75825" w14:paraId="5FD5F2C9" w14:textId="77777777" w:rsidTr="6E21ED85">
        <w:trPr>
          <w:trHeight w:val="1134"/>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490AE570" w14:textId="455C0427" w:rsidR="009B1709" w:rsidRPr="00BE5C9D" w:rsidRDefault="15A68382"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1.5 of the opinion:</w:t>
            </w:r>
            <w:r w:rsidRPr="00BE5C9D">
              <w:rPr>
                <w:rFonts w:ascii="Times New Roman" w:eastAsia="Times New Roman" w:hAnsi="Times New Roman" w:cs="Times New Roman"/>
                <w:i/>
                <w:iCs/>
                <w:lang w:val="en-GB"/>
              </w:rPr>
              <w:t xml:space="preserve"> </w:t>
            </w:r>
          </w:p>
          <w:p w14:paraId="23238F93" w14:textId="7CA04BD1" w:rsidR="47970B28" w:rsidRPr="00BE5C9D" w:rsidRDefault="26B35969"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lang w:val="en-GB"/>
              </w:rPr>
              <w:t xml:space="preserve">The Commission would </w:t>
            </w:r>
            <w:r w:rsidR="23359EAC" w:rsidRPr="00BE5C9D">
              <w:rPr>
                <w:rFonts w:ascii="Times New Roman" w:eastAsia="Times New Roman" w:hAnsi="Times New Roman" w:cs="Times New Roman"/>
                <w:lang w:val="en-GB"/>
              </w:rPr>
              <w:t xml:space="preserve">like to </w:t>
            </w:r>
            <w:r w:rsidRPr="00BE5C9D">
              <w:rPr>
                <w:rFonts w:ascii="Times New Roman" w:eastAsia="Times New Roman" w:hAnsi="Times New Roman" w:cs="Times New Roman"/>
                <w:lang w:val="en-GB"/>
              </w:rPr>
              <w:t>clarif</w:t>
            </w:r>
            <w:r w:rsidR="23359EAC" w:rsidRPr="00BE5C9D">
              <w:rPr>
                <w:rFonts w:ascii="Times New Roman" w:eastAsia="Times New Roman" w:hAnsi="Times New Roman" w:cs="Times New Roman"/>
                <w:lang w:val="en-GB"/>
              </w:rPr>
              <w:t xml:space="preserve">y </w:t>
            </w:r>
            <w:r w:rsidR="34831266" w:rsidRPr="00BE5C9D">
              <w:rPr>
                <w:rFonts w:ascii="Times New Roman" w:eastAsia="Times New Roman" w:hAnsi="Times New Roman" w:cs="Times New Roman"/>
                <w:lang w:val="en-GB"/>
              </w:rPr>
              <w:t>that t</w:t>
            </w:r>
            <w:r w:rsidRPr="00BE5C9D">
              <w:rPr>
                <w:rFonts w:ascii="Times New Roman" w:eastAsia="Times New Roman" w:hAnsi="Times New Roman" w:cs="Times New Roman"/>
              </w:rPr>
              <w:t xml:space="preserve">he figures indicated in the </w:t>
            </w:r>
            <w:r w:rsidR="0B5FD9DF" w:rsidRPr="00BE5C9D">
              <w:rPr>
                <w:rFonts w:ascii="Times New Roman" w:eastAsia="Times New Roman" w:hAnsi="Times New Roman" w:cs="Times New Roman"/>
              </w:rPr>
              <w:t>Legislative Financial and Digital Statement</w:t>
            </w:r>
            <w:r w:rsidRPr="00BE5C9D">
              <w:rPr>
                <w:rFonts w:ascii="Times New Roman" w:eastAsia="Times New Roman" w:hAnsi="Times New Roman" w:cs="Times New Roman"/>
              </w:rPr>
              <w:t xml:space="preserve"> </w:t>
            </w:r>
            <w:r w:rsidR="006A62CF" w:rsidRPr="00BE5C9D">
              <w:rPr>
                <w:rFonts w:ascii="Times New Roman" w:eastAsia="Times New Roman" w:hAnsi="Times New Roman" w:cs="Times New Roman"/>
              </w:rPr>
              <w:t xml:space="preserve">(LFDS) </w:t>
            </w:r>
            <w:r w:rsidRPr="00BE5C9D">
              <w:rPr>
                <w:rFonts w:ascii="Times New Roman" w:eastAsia="Times New Roman" w:hAnsi="Times New Roman" w:cs="Times New Roman"/>
              </w:rPr>
              <w:t>are indicativ</w:t>
            </w:r>
            <w:r w:rsidR="00DB3D84">
              <w:rPr>
                <w:rFonts w:ascii="Times New Roman" w:eastAsia="Times New Roman" w:hAnsi="Times New Roman" w:cs="Times New Roman"/>
              </w:rPr>
              <w:t>e. T</w:t>
            </w:r>
            <w:r w:rsidR="34831266" w:rsidRPr="00BE5C9D">
              <w:rPr>
                <w:rFonts w:ascii="Times New Roman" w:eastAsia="Times New Roman" w:hAnsi="Times New Roman" w:cs="Times New Roman"/>
              </w:rPr>
              <w:t xml:space="preserve">he </w:t>
            </w:r>
            <w:r w:rsidR="00DB3D84">
              <w:rPr>
                <w:rFonts w:ascii="Times New Roman" w:eastAsia="Times New Roman" w:hAnsi="Times New Roman" w:cs="Times New Roman"/>
              </w:rPr>
              <w:t>P</w:t>
            </w:r>
            <w:r w:rsidR="34831266" w:rsidRPr="00BE5C9D">
              <w:rPr>
                <w:rFonts w:ascii="Times New Roman" w:eastAsia="Times New Roman" w:hAnsi="Times New Roman" w:cs="Times New Roman"/>
              </w:rPr>
              <w:t>rogramme proposal does not have an earmarked budget</w:t>
            </w:r>
            <w:r w:rsidRPr="00BE5C9D">
              <w:rPr>
                <w:rFonts w:ascii="Times New Roman" w:eastAsia="Times New Roman" w:hAnsi="Times New Roman" w:cs="Times New Roman"/>
              </w:rPr>
              <w:t>.</w:t>
            </w:r>
            <w:r w:rsidR="00A02681">
              <w:rPr>
                <w:rFonts w:ascii="Times New Roman" w:eastAsia="Times New Roman" w:hAnsi="Times New Roman" w:cs="Times New Roman"/>
              </w:rPr>
              <w:t xml:space="preserve"> </w:t>
            </w:r>
            <w:r w:rsidRPr="00BE5C9D">
              <w:rPr>
                <w:rFonts w:ascii="Times New Roman" w:eastAsia="Times New Roman" w:hAnsi="Times New Roman" w:cs="Times New Roman"/>
              </w:rPr>
              <w:t xml:space="preserve">The budget allocation needs to be </w:t>
            </w:r>
            <w:r w:rsidRPr="00BE5C9D">
              <w:rPr>
                <w:rFonts w:ascii="Times New Roman" w:eastAsia="Times New Roman" w:hAnsi="Times New Roman" w:cs="Times New Roman"/>
                <w:lang w:val="en-GB"/>
              </w:rPr>
              <w:t>flexible</w:t>
            </w:r>
            <w:r w:rsidRPr="00BE5C9D">
              <w:rPr>
                <w:rFonts w:ascii="Times New Roman" w:eastAsia="Times New Roman" w:hAnsi="Times New Roman" w:cs="Times New Roman"/>
              </w:rPr>
              <w:t xml:space="preserve"> among the policy areas in order to accommodate the priorities that will arise</w:t>
            </w:r>
            <w:r w:rsidR="11D0F96A" w:rsidRPr="00BE5C9D">
              <w:rPr>
                <w:rFonts w:ascii="Times New Roman" w:eastAsia="Times New Roman" w:hAnsi="Times New Roman" w:cs="Times New Roman"/>
              </w:rPr>
              <w:t xml:space="preserve">, while </w:t>
            </w:r>
            <w:r w:rsidR="57A8572B" w:rsidRPr="00BE5C9D">
              <w:rPr>
                <w:rFonts w:ascii="Times New Roman" w:eastAsia="Times New Roman" w:hAnsi="Times New Roman" w:cs="Times New Roman"/>
              </w:rPr>
              <w:t xml:space="preserve">ensuring predictability and continuity in the funding </w:t>
            </w:r>
            <w:r w:rsidR="434EC1F9" w:rsidRPr="00BE5C9D">
              <w:rPr>
                <w:rFonts w:ascii="Times New Roman" w:eastAsia="Times New Roman" w:hAnsi="Times New Roman" w:cs="Times New Roman"/>
              </w:rPr>
              <w:t xml:space="preserve">for </w:t>
            </w:r>
            <w:r w:rsidR="57A8572B" w:rsidRPr="00BE5C9D">
              <w:rPr>
                <w:rFonts w:ascii="Times New Roman" w:eastAsia="Times New Roman" w:hAnsi="Times New Roman" w:cs="Times New Roman"/>
              </w:rPr>
              <w:t xml:space="preserve">the already established EU </w:t>
            </w:r>
            <w:r w:rsidR="23359EAC" w:rsidRPr="00BE5C9D">
              <w:rPr>
                <w:rFonts w:ascii="Times New Roman" w:eastAsia="Times New Roman" w:hAnsi="Times New Roman" w:cs="Times New Roman"/>
              </w:rPr>
              <w:t>level legal obligations</w:t>
            </w:r>
            <w:r w:rsidR="5BA9BE55" w:rsidRPr="00BE5C9D">
              <w:rPr>
                <w:rFonts w:ascii="Times New Roman" w:eastAsia="Times New Roman" w:hAnsi="Times New Roman" w:cs="Times New Roman"/>
              </w:rPr>
              <w:t>.</w:t>
            </w:r>
          </w:p>
        </w:tc>
      </w:tr>
      <w:tr w:rsidR="00C764B1" w:rsidRPr="00B75825" w14:paraId="31C99F7B" w14:textId="77777777" w:rsidTr="00FD7F06">
        <w:trPr>
          <w:trHeight w:val="2390"/>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039CE79C" w14:textId="5ECEE5AB" w:rsidR="47970B28" w:rsidRPr="00BE5C9D" w:rsidRDefault="31CE45E2" w:rsidP="0BC3107E">
            <w:pPr>
              <w:spacing w:line="278" w:lineRule="auto"/>
              <w:jc w:val="both"/>
              <w:rPr>
                <w:rFonts w:ascii="Times New Roman" w:eastAsia="Times New Roman" w:hAnsi="Times New Roman" w:cs="Times New Roman"/>
                <w:lang w:val="en-GB"/>
              </w:rPr>
            </w:pPr>
            <w:r w:rsidRPr="00BE5C9D">
              <w:rPr>
                <w:rFonts w:ascii="Times New Roman" w:eastAsia="Times New Roman" w:hAnsi="Times New Roman" w:cs="Times New Roman"/>
                <w:i/>
                <w:iCs/>
                <w:u w:val="single"/>
                <w:lang w:val="en-GB"/>
              </w:rPr>
              <w:lastRenderedPageBreak/>
              <w:t>On point</w:t>
            </w:r>
            <w:r w:rsidR="3D11A2F9" w:rsidRPr="00BE5C9D">
              <w:rPr>
                <w:rFonts w:ascii="Times New Roman" w:eastAsia="Times New Roman" w:hAnsi="Times New Roman" w:cs="Times New Roman"/>
                <w:i/>
                <w:iCs/>
                <w:u w:val="single"/>
                <w:lang w:val="en-GB"/>
              </w:rPr>
              <w:t>s</w:t>
            </w:r>
            <w:r w:rsidRPr="00BE5C9D">
              <w:rPr>
                <w:rFonts w:ascii="Times New Roman" w:eastAsia="Times New Roman" w:hAnsi="Times New Roman" w:cs="Times New Roman"/>
                <w:i/>
                <w:iCs/>
                <w:u w:val="single"/>
                <w:lang w:val="en-GB"/>
              </w:rPr>
              <w:t xml:space="preserve"> 1.6 </w:t>
            </w:r>
            <w:r w:rsidR="59027BA0" w:rsidRPr="00BE5C9D">
              <w:rPr>
                <w:rFonts w:ascii="Times New Roman" w:eastAsia="Times New Roman" w:hAnsi="Times New Roman" w:cs="Times New Roman"/>
                <w:i/>
                <w:iCs/>
                <w:u w:val="single"/>
                <w:lang w:val="en-GB"/>
              </w:rPr>
              <w:t xml:space="preserve">and 1.7 </w:t>
            </w:r>
            <w:r w:rsidRPr="00BE5C9D">
              <w:rPr>
                <w:rFonts w:ascii="Times New Roman" w:eastAsia="Times New Roman" w:hAnsi="Times New Roman" w:cs="Times New Roman"/>
                <w:i/>
                <w:iCs/>
                <w:u w:val="single"/>
                <w:lang w:val="en-GB"/>
              </w:rPr>
              <w:t>of the opinion</w:t>
            </w:r>
            <w:r w:rsidRPr="00BE5C9D">
              <w:rPr>
                <w:rFonts w:ascii="Times New Roman" w:eastAsia="Times New Roman" w:hAnsi="Times New Roman" w:cs="Times New Roman"/>
                <w:i/>
                <w:iCs/>
                <w:lang w:val="en-GB"/>
              </w:rPr>
              <w:t xml:space="preserve">: </w:t>
            </w:r>
          </w:p>
          <w:p w14:paraId="533DB3EA" w14:textId="4689A89E" w:rsidR="47970B28" w:rsidRPr="00BE5C9D" w:rsidRDefault="00C764B1" w:rsidP="009A3A68">
            <w:pPr>
              <w:spacing w:line="278" w:lineRule="auto"/>
              <w:jc w:val="both"/>
              <w:rPr>
                <w:rFonts w:ascii="Times New Roman" w:eastAsia="Times New Roman" w:hAnsi="Times New Roman" w:cs="Times New Roman"/>
                <w:lang w:val="en-GB"/>
              </w:rPr>
            </w:pPr>
            <w:r w:rsidRPr="00BE5C9D">
              <w:rPr>
                <w:rFonts w:ascii="Times New Roman" w:eastAsia="Times New Roman" w:hAnsi="Times New Roman" w:cs="Times New Roman"/>
                <w:lang w:val="en-GB"/>
              </w:rPr>
              <w:t>The</w:t>
            </w:r>
            <w:r w:rsidR="5B00C18B" w:rsidRPr="00BE5C9D">
              <w:rPr>
                <w:rFonts w:ascii="Times New Roman" w:eastAsia="Times New Roman" w:hAnsi="Times New Roman" w:cs="Times New Roman"/>
                <w:lang w:val="en-GB"/>
              </w:rPr>
              <w:t xml:space="preserve"> Programme can help Member States and concerned national authorities </w:t>
            </w:r>
            <w:r w:rsidR="006D5661" w:rsidRPr="00BE5C9D">
              <w:rPr>
                <w:rFonts w:ascii="Times New Roman" w:eastAsia="Times New Roman" w:hAnsi="Times New Roman" w:cs="Times New Roman"/>
                <w:lang w:val="en-GB"/>
              </w:rPr>
              <w:t>in</w:t>
            </w:r>
            <w:r w:rsidR="5B00C18B" w:rsidRPr="00BE5C9D">
              <w:rPr>
                <w:rFonts w:ascii="Times New Roman" w:eastAsia="Times New Roman" w:hAnsi="Times New Roman" w:cs="Times New Roman"/>
                <w:lang w:val="en-GB"/>
              </w:rPr>
              <w:t xml:space="preserve"> strengthening their administrative, operational and technical capacities in particular by actions that contribute to boosting skills and knowledge of staff, </w:t>
            </w:r>
            <w:r w:rsidR="00A73D32" w:rsidRPr="00BE5C9D">
              <w:rPr>
                <w:rFonts w:ascii="Times New Roman" w:eastAsia="Times New Roman" w:hAnsi="Times New Roman" w:cs="Times New Roman"/>
                <w:lang w:val="en-GB"/>
              </w:rPr>
              <w:t xml:space="preserve">and </w:t>
            </w:r>
            <w:r w:rsidR="5B00C18B" w:rsidRPr="00BE5C9D">
              <w:rPr>
                <w:rFonts w:ascii="Times New Roman" w:eastAsia="Times New Roman" w:hAnsi="Times New Roman" w:cs="Times New Roman"/>
                <w:lang w:val="en-GB"/>
              </w:rPr>
              <w:t>to reinforcing collaboration and sharing experience</w:t>
            </w:r>
            <w:r w:rsidR="000E14CD" w:rsidRPr="00BE5C9D">
              <w:rPr>
                <w:rFonts w:ascii="Times New Roman" w:eastAsia="Times New Roman" w:hAnsi="Times New Roman" w:cs="Times New Roman"/>
                <w:lang w:val="en-GB"/>
              </w:rPr>
              <w:t xml:space="preserve">. </w:t>
            </w:r>
            <w:r w:rsidR="5B00C18B" w:rsidRPr="00BE5C9D">
              <w:rPr>
                <w:rFonts w:ascii="Times New Roman" w:eastAsia="Times New Roman" w:hAnsi="Times New Roman" w:cs="Times New Roman"/>
                <w:lang w:val="en-GB"/>
              </w:rPr>
              <w:t>The Programme also aims to provide contribution to equip control functions with state-of-the-art tools</w:t>
            </w:r>
            <w:r w:rsidR="002747DC" w:rsidRPr="00BE5C9D">
              <w:rPr>
                <w:rFonts w:ascii="Times New Roman" w:eastAsia="Times New Roman" w:hAnsi="Times New Roman" w:cs="Times New Roman"/>
                <w:lang w:val="en-GB"/>
              </w:rPr>
              <w:t xml:space="preserve"> and facilitate cooperation across borders</w:t>
            </w:r>
            <w:r w:rsidR="5B00C18B" w:rsidRPr="00BE5C9D">
              <w:rPr>
                <w:rFonts w:ascii="Times New Roman" w:eastAsia="Times New Roman" w:hAnsi="Times New Roman" w:cs="Times New Roman"/>
                <w:lang w:val="en-GB"/>
              </w:rPr>
              <w:t>.</w:t>
            </w:r>
            <w:r w:rsidR="00095854" w:rsidRPr="00BE5C9D">
              <w:rPr>
                <w:rFonts w:ascii="Times New Roman" w:eastAsia="Times New Roman" w:hAnsi="Times New Roman" w:cs="Times New Roman"/>
                <w:lang w:val="en-GB"/>
              </w:rPr>
              <w:t xml:space="preserve"> </w:t>
            </w:r>
            <w:r w:rsidR="000E14CD" w:rsidRPr="00BE5C9D">
              <w:rPr>
                <w:rFonts w:ascii="Times New Roman" w:eastAsia="Times New Roman" w:hAnsi="Times New Roman" w:cs="Times New Roman"/>
                <w:lang w:val="en-GB"/>
              </w:rPr>
              <w:t>However, the</w:t>
            </w:r>
            <w:r w:rsidR="5B00C18B" w:rsidRPr="00BE5C9D">
              <w:rPr>
                <w:rFonts w:ascii="Times New Roman" w:eastAsia="Times New Roman" w:hAnsi="Times New Roman" w:cs="Times New Roman"/>
                <w:lang w:val="en-GB"/>
              </w:rPr>
              <w:t xml:space="preserve"> </w:t>
            </w:r>
            <w:r w:rsidR="007D07FA" w:rsidRPr="00BE5C9D">
              <w:rPr>
                <w:rFonts w:ascii="Times New Roman" w:eastAsia="Times New Roman" w:hAnsi="Times New Roman" w:cs="Times New Roman"/>
                <w:lang w:val="en-GB"/>
              </w:rPr>
              <w:t>direct</w:t>
            </w:r>
            <w:r w:rsidR="5B00C18B" w:rsidRPr="00BE5C9D">
              <w:rPr>
                <w:rFonts w:ascii="Times New Roman" w:eastAsia="Times New Roman" w:hAnsi="Times New Roman" w:cs="Times New Roman"/>
                <w:lang w:val="en-GB"/>
              </w:rPr>
              <w:t xml:space="preserve"> </w:t>
            </w:r>
            <w:r w:rsidR="00326189" w:rsidRPr="00BE5C9D">
              <w:rPr>
                <w:rFonts w:ascii="Times New Roman" w:eastAsia="Times New Roman" w:hAnsi="Times New Roman" w:cs="Times New Roman"/>
                <w:lang w:val="en-GB"/>
              </w:rPr>
              <w:t xml:space="preserve">management of </w:t>
            </w:r>
            <w:r w:rsidR="5B00C18B" w:rsidRPr="00BE5C9D">
              <w:rPr>
                <w:rFonts w:ascii="Times New Roman" w:eastAsia="Times New Roman" w:hAnsi="Times New Roman" w:cs="Times New Roman"/>
                <w:lang w:val="en-GB"/>
              </w:rPr>
              <w:t>human resource</w:t>
            </w:r>
            <w:r w:rsidR="000E14CD" w:rsidRPr="00BE5C9D">
              <w:rPr>
                <w:rFonts w:ascii="Times New Roman" w:eastAsia="Times New Roman" w:hAnsi="Times New Roman" w:cs="Times New Roman"/>
                <w:lang w:val="en-GB"/>
              </w:rPr>
              <w:t>s</w:t>
            </w:r>
            <w:r w:rsidR="5B00C18B" w:rsidRPr="00BE5C9D">
              <w:rPr>
                <w:rFonts w:ascii="Times New Roman" w:eastAsia="Times New Roman" w:hAnsi="Times New Roman" w:cs="Times New Roman"/>
                <w:lang w:val="en-GB"/>
              </w:rPr>
              <w:t xml:space="preserve"> in the national administrations is a matter of national competence. </w:t>
            </w:r>
          </w:p>
        </w:tc>
      </w:tr>
      <w:tr w:rsidR="00C764B1" w:rsidRPr="00B75825" w14:paraId="59242779" w14:textId="77777777" w:rsidTr="6E21ED85">
        <w:trPr>
          <w:trHeight w:val="1965"/>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75C082A7" w14:textId="3E6F87C4" w:rsidR="47970B28" w:rsidRPr="00BE5C9D" w:rsidRDefault="15A68382"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1.8 of the opinion</w:t>
            </w:r>
            <w:r w:rsidRPr="00BE5C9D">
              <w:rPr>
                <w:rFonts w:ascii="Times New Roman" w:eastAsia="Times New Roman" w:hAnsi="Times New Roman" w:cs="Times New Roman"/>
                <w:i/>
                <w:iCs/>
                <w:lang w:val="en-GB"/>
              </w:rPr>
              <w:t xml:space="preserve">: </w:t>
            </w:r>
          </w:p>
          <w:p w14:paraId="1DF49FD3" w14:textId="07698655" w:rsidR="47970B28" w:rsidRPr="00BE5C9D" w:rsidRDefault="31CE45E2" w:rsidP="009A3A68">
            <w:pPr>
              <w:spacing w:line="278" w:lineRule="auto"/>
              <w:jc w:val="both"/>
              <w:rPr>
                <w:rFonts w:ascii="Times New Roman" w:hAnsi="Times New Roman" w:cs="Times New Roman"/>
              </w:rPr>
            </w:pPr>
            <w:r w:rsidRPr="00BE5C9D">
              <w:rPr>
                <w:rFonts w:ascii="Times New Roman" w:eastAsia="Times New Roman" w:hAnsi="Times New Roman" w:cs="Times New Roman"/>
              </w:rPr>
              <w:t>The Commission recalls that recruitment of staff for national administrations is a national competence</w:t>
            </w:r>
            <w:r w:rsidR="1B8BCC88" w:rsidRPr="00BE5C9D">
              <w:rPr>
                <w:rFonts w:ascii="Times New Roman" w:eastAsia="Times New Roman" w:hAnsi="Times New Roman" w:cs="Times New Roman"/>
              </w:rPr>
              <w:t xml:space="preserve"> </w:t>
            </w:r>
            <w:r w:rsidRPr="00BE5C9D">
              <w:rPr>
                <w:rFonts w:ascii="Times New Roman" w:eastAsia="Times New Roman" w:hAnsi="Times New Roman" w:cs="Times New Roman"/>
              </w:rPr>
              <w:t xml:space="preserve">and </w:t>
            </w:r>
            <w:r w:rsidR="41B96B81" w:rsidRPr="00BE5C9D">
              <w:rPr>
                <w:rFonts w:ascii="Times New Roman" w:eastAsia="Times New Roman" w:hAnsi="Times New Roman" w:cs="Times New Roman"/>
              </w:rPr>
              <w:t xml:space="preserve">thus falls outside </w:t>
            </w:r>
            <w:r w:rsidRPr="00BE5C9D">
              <w:rPr>
                <w:rFonts w:ascii="Times New Roman" w:eastAsia="Times New Roman" w:hAnsi="Times New Roman" w:cs="Times New Roman"/>
              </w:rPr>
              <w:t xml:space="preserve">the scope of the </w:t>
            </w:r>
            <w:r w:rsidR="29C1B83B" w:rsidRPr="00BE5C9D">
              <w:rPr>
                <w:rFonts w:ascii="Times New Roman" w:eastAsia="Times New Roman" w:hAnsi="Times New Roman" w:cs="Times New Roman"/>
              </w:rPr>
              <w:t>P</w:t>
            </w:r>
            <w:r w:rsidRPr="00BE5C9D">
              <w:rPr>
                <w:rFonts w:ascii="Times New Roman" w:eastAsia="Times New Roman" w:hAnsi="Times New Roman" w:cs="Times New Roman"/>
              </w:rPr>
              <w:t xml:space="preserve">rogramme. The </w:t>
            </w:r>
            <w:r w:rsidR="108289E1" w:rsidRPr="00BE5C9D">
              <w:rPr>
                <w:rFonts w:ascii="Times New Roman" w:eastAsia="Times New Roman" w:hAnsi="Times New Roman" w:cs="Times New Roman"/>
              </w:rPr>
              <w:t>P</w:t>
            </w:r>
            <w:r w:rsidRPr="00BE5C9D">
              <w:rPr>
                <w:rFonts w:ascii="Times New Roman" w:eastAsia="Times New Roman" w:hAnsi="Times New Roman" w:cs="Times New Roman"/>
              </w:rPr>
              <w:t xml:space="preserve">rogramme </w:t>
            </w:r>
            <w:r w:rsidR="7FE6E6D6" w:rsidRPr="00BE5C9D">
              <w:rPr>
                <w:rFonts w:ascii="Times New Roman" w:eastAsia="Times New Roman" w:hAnsi="Times New Roman" w:cs="Times New Roman"/>
              </w:rPr>
              <w:t xml:space="preserve">incentivises Member States to boost customs human resources </w:t>
            </w:r>
            <w:r w:rsidR="007A6C55">
              <w:rPr>
                <w:rFonts w:ascii="Times New Roman" w:eastAsia="Times New Roman" w:hAnsi="Times New Roman" w:cs="Times New Roman"/>
              </w:rPr>
              <w:t xml:space="preserve">capacity </w:t>
            </w:r>
            <w:r w:rsidR="14DF5080" w:rsidRPr="00BE5C9D">
              <w:rPr>
                <w:rFonts w:ascii="Times New Roman" w:eastAsia="Times New Roman" w:hAnsi="Times New Roman" w:cs="Times New Roman"/>
              </w:rPr>
              <w:t>and</w:t>
            </w:r>
            <w:r w:rsidR="7FE6E6D6" w:rsidRPr="00BE5C9D">
              <w:rPr>
                <w:rFonts w:ascii="Times New Roman" w:eastAsia="Times New Roman" w:hAnsi="Times New Roman" w:cs="Times New Roman"/>
              </w:rPr>
              <w:t xml:space="preserve"> </w:t>
            </w:r>
            <w:r w:rsidR="4FDC8487" w:rsidRPr="00BE5C9D">
              <w:rPr>
                <w:rFonts w:ascii="Times New Roman" w:eastAsia="Times New Roman" w:hAnsi="Times New Roman" w:cs="Times New Roman"/>
              </w:rPr>
              <w:t xml:space="preserve">reinforce </w:t>
            </w:r>
            <w:r w:rsidR="7FE6E6D6" w:rsidRPr="00BE5C9D">
              <w:rPr>
                <w:rFonts w:ascii="Times New Roman" w:eastAsia="Times New Roman" w:hAnsi="Times New Roman" w:cs="Times New Roman"/>
              </w:rPr>
              <w:t>services dealing with the collection of customs taxes and dutie</w:t>
            </w:r>
            <w:r w:rsidR="79B66168" w:rsidRPr="00BE5C9D">
              <w:rPr>
                <w:rFonts w:ascii="Times New Roman" w:eastAsia="Times New Roman" w:hAnsi="Times New Roman" w:cs="Times New Roman"/>
              </w:rPr>
              <w:t>s</w:t>
            </w:r>
            <w:r w:rsidR="3033109A" w:rsidRPr="00BE5C9D">
              <w:rPr>
                <w:rFonts w:ascii="Times New Roman" w:eastAsia="Times New Roman" w:hAnsi="Times New Roman" w:cs="Times New Roman"/>
              </w:rPr>
              <w:t xml:space="preserve"> </w:t>
            </w:r>
            <w:r w:rsidR="79B66168" w:rsidRPr="00BE5C9D">
              <w:rPr>
                <w:rFonts w:ascii="Times New Roman" w:eastAsia="Times New Roman" w:hAnsi="Times New Roman" w:cs="Times New Roman"/>
              </w:rPr>
              <w:t xml:space="preserve">by providing support </w:t>
            </w:r>
            <w:r w:rsidRPr="00BE5C9D">
              <w:rPr>
                <w:rFonts w:ascii="Times New Roman" w:eastAsia="Times New Roman" w:hAnsi="Times New Roman" w:cs="Times New Roman"/>
              </w:rPr>
              <w:t xml:space="preserve">to administrative, operational and technical </w:t>
            </w:r>
            <w:r w:rsidRPr="00BE5C9D">
              <w:rPr>
                <w:rFonts w:ascii="Times New Roman" w:eastAsia="Times New Roman" w:hAnsi="Times New Roman" w:cs="Times New Roman"/>
                <w:lang w:val="en-GB"/>
              </w:rPr>
              <w:t>capacities</w:t>
            </w:r>
            <w:r w:rsidRPr="00BE5C9D">
              <w:rPr>
                <w:rFonts w:ascii="Times New Roman" w:eastAsia="Times New Roman" w:hAnsi="Times New Roman" w:cs="Times New Roman"/>
              </w:rPr>
              <w:t xml:space="preserve"> of the administrations</w:t>
            </w:r>
            <w:r w:rsidR="00D42AFE">
              <w:rPr>
                <w:rFonts w:ascii="Times New Roman" w:eastAsia="Times New Roman" w:hAnsi="Times New Roman" w:cs="Times New Roman"/>
              </w:rPr>
              <w:t>. This goes</w:t>
            </w:r>
            <w:r w:rsidR="79B66168" w:rsidRPr="00BE5C9D">
              <w:rPr>
                <w:rFonts w:ascii="Times New Roman" w:eastAsia="Times New Roman" w:hAnsi="Times New Roman" w:cs="Times New Roman"/>
              </w:rPr>
              <w:t xml:space="preserve"> </w:t>
            </w:r>
            <w:r w:rsidR="50E7697D" w:rsidRPr="00BE5C9D">
              <w:rPr>
                <w:rFonts w:ascii="Times New Roman" w:eastAsia="Times New Roman" w:hAnsi="Times New Roman" w:cs="Times New Roman"/>
              </w:rPr>
              <w:t>via</w:t>
            </w:r>
            <w:r w:rsidR="4FDC8487" w:rsidRPr="00BE5C9D">
              <w:rPr>
                <w:rFonts w:ascii="Times New Roman" w:eastAsia="Times New Roman" w:hAnsi="Times New Roman" w:cs="Times New Roman"/>
              </w:rPr>
              <w:t xml:space="preserve"> </w:t>
            </w:r>
            <w:r w:rsidR="2FAADAC1" w:rsidRPr="00BE5C9D">
              <w:rPr>
                <w:rFonts w:ascii="Times New Roman" w:eastAsia="Times New Roman" w:hAnsi="Times New Roman" w:cs="Times New Roman"/>
              </w:rPr>
              <w:t>the actions eligible under the Programme</w:t>
            </w:r>
            <w:r w:rsidR="001152F6" w:rsidRPr="00BE5C9D">
              <w:rPr>
                <w:rFonts w:ascii="Times New Roman" w:eastAsia="Times New Roman" w:hAnsi="Times New Roman" w:cs="Times New Roman"/>
              </w:rPr>
              <w:t>, as well as cooperation activities between Member States and with the Commission and EU entities.</w:t>
            </w:r>
            <w:r w:rsidR="434D6EC5" w:rsidRPr="00BE5C9D">
              <w:rPr>
                <w:rFonts w:ascii="Times New Roman" w:eastAsia="Times New Roman" w:hAnsi="Times New Roman" w:cs="Times New Roman"/>
              </w:rPr>
              <w:t xml:space="preserve"> However,</w:t>
            </w:r>
            <w:r w:rsidRPr="00BE5C9D">
              <w:rPr>
                <w:rFonts w:ascii="Times New Roman" w:eastAsia="Times New Roman" w:hAnsi="Times New Roman" w:cs="Times New Roman"/>
              </w:rPr>
              <w:t xml:space="preserve"> </w:t>
            </w:r>
            <w:r w:rsidR="5603512F" w:rsidRPr="00BE5C9D">
              <w:rPr>
                <w:rFonts w:ascii="Times New Roman" w:eastAsia="Times New Roman" w:hAnsi="Times New Roman" w:cs="Times New Roman"/>
              </w:rPr>
              <w:t>it cannot</w:t>
            </w:r>
            <w:r w:rsidR="1D8AF77F" w:rsidRPr="00BE5C9D">
              <w:rPr>
                <w:rFonts w:ascii="Times New Roman" w:eastAsia="Times New Roman" w:hAnsi="Times New Roman" w:cs="Times New Roman"/>
              </w:rPr>
              <w:t xml:space="preserve"> </w:t>
            </w:r>
            <w:r w:rsidR="20BFF1ED" w:rsidRPr="00BE5C9D">
              <w:rPr>
                <w:rFonts w:ascii="Times New Roman" w:eastAsia="Times New Roman" w:hAnsi="Times New Roman" w:cs="Times New Roman"/>
              </w:rPr>
              <w:t xml:space="preserve">finance </w:t>
            </w:r>
            <w:r w:rsidR="3C6B73AA" w:rsidRPr="00BE5C9D">
              <w:rPr>
                <w:rFonts w:ascii="Times New Roman" w:eastAsia="Times New Roman" w:hAnsi="Times New Roman" w:cs="Times New Roman"/>
              </w:rPr>
              <w:t xml:space="preserve">directly the </w:t>
            </w:r>
            <w:r w:rsidR="2D5C2BD7" w:rsidRPr="00BE5C9D">
              <w:rPr>
                <w:rFonts w:ascii="Times New Roman" w:eastAsia="Times New Roman" w:hAnsi="Times New Roman" w:cs="Times New Roman"/>
              </w:rPr>
              <w:t xml:space="preserve">salaries </w:t>
            </w:r>
            <w:r w:rsidR="24D6D403" w:rsidRPr="00BE5C9D">
              <w:rPr>
                <w:rFonts w:ascii="Times New Roman" w:eastAsia="Times New Roman" w:hAnsi="Times New Roman" w:cs="Times New Roman"/>
              </w:rPr>
              <w:t xml:space="preserve">of staff </w:t>
            </w:r>
            <w:r w:rsidR="3C6B73AA" w:rsidRPr="00BE5C9D">
              <w:rPr>
                <w:rFonts w:ascii="Times New Roman" w:eastAsia="Times New Roman" w:hAnsi="Times New Roman" w:cs="Times New Roman"/>
              </w:rPr>
              <w:t>employed</w:t>
            </w:r>
            <w:r w:rsidR="196CFE78" w:rsidRPr="00BE5C9D">
              <w:rPr>
                <w:rFonts w:ascii="Times New Roman" w:eastAsia="Times New Roman" w:hAnsi="Times New Roman" w:cs="Times New Roman"/>
              </w:rPr>
              <w:t xml:space="preserve"> by</w:t>
            </w:r>
            <w:r w:rsidR="2D5C2BD7" w:rsidRPr="00BE5C9D">
              <w:rPr>
                <w:rFonts w:ascii="Times New Roman" w:eastAsia="Times New Roman" w:hAnsi="Times New Roman" w:cs="Times New Roman"/>
              </w:rPr>
              <w:t xml:space="preserve"> the </w:t>
            </w:r>
            <w:r w:rsidR="24D6D403" w:rsidRPr="00BE5C9D">
              <w:rPr>
                <w:rFonts w:ascii="Times New Roman" w:eastAsia="Times New Roman" w:hAnsi="Times New Roman" w:cs="Times New Roman"/>
              </w:rPr>
              <w:t>administration</w:t>
            </w:r>
            <w:r w:rsidR="196CFE78" w:rsidRPr="00BE5C9D">
              <w:rPr>
                <w:rFonts w:ascii="Times New Roman" w:eastAsia="Times New Roman" w:hAnsi="Times New Roman" w:cs="Times New Roman"/>
              </w:rPr>
              <w:t>s</w:t>
            </w:r>
            <w:r w:rsidR="24D6D403" w:rsidRPr="00BE5C9D">
              <w:rPr>
                <w:rFonts w:ascii="Times New Roman" w:eastAsia="Times New Roman" w:hAnsi="Times New Roman" w:cs="Times New Roman"/>
              </w:rPr>
              <w:t xml:space="preserve"> of </w:t>
            </w:r>
            <w:r w:rsidR="2D5C2BD7" w:rsidRPr="00BE5C9D">
              <w:rPr>
                <w:rFonts w:ascii="Times New Roman" w:eastAsia="Times New Roman" w:hAnsi="Times New Roman" w:cs="Times New Roman"/>
              </w:rPr>
              <w:t xml:space="preserve">Member States. While the Customs Union is indeed an exclusive EU competence, the implementation of the common customs law remains firmly in national competence. </w:t>
            </w:r>
            <w:r w:rsidR="2D5C2BD7" w:rsidRPr="00BE5C9D">
              <w:rPr>
                <w:rFonts w:ascii="Times New Roman" w:hAnsi="Times New Roman" w:cs="Times New Roman"/>
              </w:rPr>
              <w:t xml:space="preserve"> </w:t>
            </w:r>
          </w:p>
        </w:tc>
      </w:tr>
      <w:tr w:rsidR="00C764B1" w:rsidRPr="00B75825" w14:paraId="4D8C9511" w14:textId="77777777" w:rsidTr="6E21ED85">
        <w:trPr>
          <w:trHeight w:val="2535"/>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08DAEA69" w14:textId="7131DE33" w:rsidR="47970B28" w:rsidRPr="00BE5C9D" w:rsidRDefault="15A68382" w:rsidP="0BC3107E">
            <w:pPr>
              <w:jc w:val="both"/>
              <w:rPr>
                <w:rStyle w:val="Hyperlink"/>
                <w:rFonts w:ascii="Times New Roman" w:eastAsia="Times New Roman" w:hAnsi="Times New Roman" w:cs="Times New Roman"/>
                <w:b/>
                <w:bCs/>
                <w:i/>
                <w:iCs/>
                <w:color w:val="auto"/>
                <w:vertAlign w:val="superscript"/>
                <w:lang w:val="en-GB"/>
              </w:rPr>
            </w:pPr>
            <w:r w:rsidRPr="00BE5C9D">
              <w:rPr>
                <w:rFonts w:ascii="Times New Roman" w:eastAsia="Times New Roman" w:hAnsi="Times New Roman" w:cs="Times New Roman"/>
                <w:i/>
                <w:iCs/>
                <w:u w:val="single"/>
                <w:lang w:val="en-GB"/>
              </w:rPr>
              <w:t xml:space="preserve">On point 2.6 of the opinion: </w:t>
            </w:r>
          </w:p>
          <w:p w14:paraId="19830206" w14:textId="5776E6BC" w:rsidR="47970B28" w:rsidRPr="00BE5C9D" w:rsidRDefault="262AD585" w:rsidP="0BC3107E">
            <w:pPr>
              <w:pStyle w:val="Heading2"/>
              <w:spacing w:line="278" w:lineRule="auto"/>
              <w:jc w:val="both"/>
              <w:rPr>
                <w:rFonts w:ascii="Times New Roman" w:eastAsia="Times New Roman" w:hAnsi="Times New Roman" w:cs="Times New Roman"/>
                <w:color w:val="auto"/>
                <w:sz w:val="24"/>
                <w:szCs w:val="24"/>
              </w:rPr>
            </w:pPr>
            <w:r w:rsidRPr="00BE5C9D">
              <w:rPr>
                <w:rFonts w:ascii="Times New Roman" w:eastAsia="Times New Roman" w:hAnsi="Times New Roman" w:cs="Times New Roman"/>
                <w:color w:val="auto"/>
                <w:sz w:val="24"/>
                <w:szCs w:val="24"/>
                <w:lang w:val="en-GB"/>
              </w:rPr>
              <w:t>The Commission highlights that the</w:t>
            </w:r>
            <w:r w:rsidR="5EFE0DE0" w:rsidRPr="00BE5C9D">
              <w:rPr>
                <w:rFonts w:ascii="Times New Roman" w:eastAsia="Times New Roman" w:hAnsi="Times New Roman" w:cs="Times New Roman"/>
                <w:color w:val="auto"/>
                <w:sz w:val="24"/>
                <w:szCs w:val="24"/>
                <w:lang w:val="en-GB"/>
              </w:rPr>
              <w:t xml:space="preserve"> SMCP </w:t>
            </w:r>
            <w:r w:rsidR="182759F9" w:rsidRPr="00BE5C9D">
              <w:rPr>
                <w:rFonts w:ascii="Times New Roman" w:eastAsia="Times New Roman" w:hAnsi="Times New Roman" w:cs="Times New Roman"/>
                <w:color w:val="auto"/>
                <w:sz w:val="24"/>
                <w:szCs w:val="24"/>
                <w:lang w:val="en-GB"/>
              </w:rPr>
              <w:t xml:space="preserve">is not to be regarded as a </w:t>
            </w:r>
            <w:r w:rsidRPr="00BE5C9D">
              <w:rPr>
                <w:rFonts w:ascii="Times New Roman" w:eastAsia="Times New Roman" w:hAnsi="Times New Roman" w:cs="Times New Roman"/>
                <w:color w:val="auto"/>
                <w:sz w:val="24"/>
                <w:szCs w:val="24"/>
                <w:lang w:val="en-GB"/>
              </w:rPr>
              <w:t>replace</w:t>
            </w:r>
            <w:r w:rsidR="182759F9" w:rsidRPr="00BE5C9D">
              <w:rPr>
                <w:rFonts w:ascii="Times New Roman" w:eastAsia="Times New Roman" w:hAnsi="Times New Roman" w:cs="Times New Roman"/>
                <w:color w:val="auto"/>
                <w:sz w:val="24"/>
                <w:szCs w:val="24"/>
                <w:lang w:val="en-GB"/>
              </w:rPr>
              <w:t>ment of</w:t>
            </w:r>
            <w:r w:rsidRPr="00BE5C9D">
              <w:rPr>
                <w:rFonts w:ascii="Times New Roman" w:eastAsia="Times New Roman" w:hAnsi="Times New Roman" w:cs="Times New Roman"/>
                <w:color w:val="auto"/>
                <w:sz w:val="24"/>
                <w:szCs w:val="24"/>
                <w:lang w:val="en-GB"/>
              </w:rPr>
              <w:t xml:space="preserve"> the Single Market Programme </w:t>
            </w:r>
            <w:r w:rsidR="007A6C55">
              <w:rPr>
                <w:rFonts w:ascii="Times New Roman" w:eastAsia="Times New Roman" w:hAnsi="Times New Roman" w:cs="Times New Roman"/>
                <w:color w:val="auto"/>
                <w:sz w:val="24"/>
                <w:szCs w:val="24"/>
                <w:lang w:val="en-GB"/>
              </w:rPr>
              <w:t>(SMP)</w:t>
            </w:r>
            <w:r w:rsidR="00215769">
              <w:rPr>
                <w:rStyle w:val="FootnoteReference"/>
                <w:rFonts w:ascii="Times New Roman" w:eastAsia="Times New Roman" w:hAnsi="Times New Roman" w:cs="Times New Roman"/>
                <w:color w:val="auto"/>
                <w:sz w:val="24"/>
                <w:szCs w:val="24"/>
                <w:lang w:val="en-GB"/>
              </w:rPr>
              <w:footnoteReference w:id="2"/>
            </w:r>
            <w:r w:rsidR="00D42AFE">
              <w:rPr>
                <w:rFonts w:ascii="Times New Roman" w:eastAsia="Times New Roman" w:hAnsi="Times New Roman" w:cs="Times New Roman"/>
                <w:color w:val="auto"/>
                <w:sz w:val="24"/>
                <w:szCs w:val="24"/>
                <w:lang w:val="en-GB"/>
              </w:rPr>
              <w:t>. T</w:t>
            </w:r>
            <w:r w:rsidR="7AD1D111" w:rsidRPr="00BE5C9D">
              <w:rPr>
                <w:rFonts w:ascii="Times New Roman" w:eastAsia="Times New Roman" w:hAnsi="Times New Roman" w:cs="Times New Roman"/>
                <w:color w:val="auto"/>
                <w:sz w:val="24"/>
                <w:szCs w:val="24"/>
                <w:lang w:val="en-GB"/>
              </w:rPr>
              <w:t xml:space="preserve">wo strands under the </w:t>
            </w:r>
            <w:r w:rsidR="6B56BF56" w:rsidRPr="00BE5C9D">
              <w:rPr>
                <w:rFonts w:ascii="Times New Roman" w:eastAsia="Times New Roman" w:hAnsi="Times New Roman" w:cs="Times New Roman"/>
                <w:color w:val="auto"/>
                <w:sz w:val="24"/>
                <w:szCs w:val="24"/>
                <w:lang w:val="en-GB"/>
              </w:rPr>
              <w:t xml:space="preserve">current </w:t>
            </w:r>
            <w:r w:rsidR="7AD1D111" w:rsidRPr="00BE5C9D">
              <w:rPr>
                <w:rFonts w:ascii="Times New Roman" w:eastAsia="Times New Roman" w:hAnsi="Times New Roman" w:cs="Times New Roman"/>
                <w:color w:val="auto"/>
                <w:sz w:val="24"/>
                <w:szCs w:val="24"/>
                <w:lang w:val="en-GB"/>
              </w:rPr>
              <w:t xml:space="preserve">SMP are </w:t>
            </w:r>
            <w:r w:rsidR="5EFE0DE0" w:rsidRPr="00BE5C9D">
              <w:rPr>
                <w:rFonts w:ascii="Times New Roman" w:eastAsia="Times New Roman" w:hAnsi="Times New Roman" w:cs="Times New Roman"/>
                <w:color w:val="auto"/>
                <w:sz w:val="24"/>
                <w:szCs w:val="24"/>
                <w:lang w:val="en-GB"/>
              </w:rPr>
              <w:t xml:space="preserve">excluded </w:t>
            </w:r>
            <w:r w:rsidR="7AD1D111" w:rsidRPr="00BE5C9D">
              <w:rPr>
                <w:rFonts w:ascii="Times New Roman" w:eastAsia="Times New Roman" w:hAnsi="Times New Roman" w:cs="Times New Roman"/>
                <w:color w:val="auto"/>
                <w:sz w:val="24"/>
                <w:szCs w:val="24"/>
                <w:lang w:val="en-GB"/>
              </w:rPr>
              <w:t xml:space="preserve">(i.e. </w:t>
            </w:r>
            <w:r w:rsidR="39158570" w:rsidRPr="00BE5C9D">
              <w:rPr>
                <w:rFonts w:ascii="Times New Roman" w:eastAsia="Times New Roman" w:hAnsi="Times New Roman" w:cs="Times New Roman"/>
                <w:color w:val="auto"/>
                <w:sz w:val="24"/>
                <w:szCs w:val="24"/>
                <w:lang w:val="en-GB"/>
              </w:rPr>
              <w:t>f</w:t>
            </w:r>
            <w:r w:rsidR="7AD1D111" w:rsidRPr="00BE5C9D">
              <w:rPr>
                <w:rFonts w:ascii="Times New Roman" w:eastAsia="Times New Roman" w:hAnsi="Times New Roman" w:cs="Times New Roman"/>
                <w:color w:val="auto"/>
                <w:sz w:val="24"/>
                <w:szCs w:val="24"/>
                <w:lang w:val="en-GB"/>
              </w:rPr>
              <w:t xml:space="preserve">ood and feed </w:t>
            </w:r>
            <w:r w:rsidR="28702F40" w:rsidRPr="00BE5C9D">
              <w:rPr>
                <w:rFonts w:ascii="Times New Roman" w:eastAsia="Times New Roman" w:hAnsi="Times New Roman" w:cs="Times New Roman"/>
                <w:color w:val="auto"/>
                <w:sz w:val="24"/>
                <w:szCs w:val="24"/>
                <w:lang w:val="en-GB"/>
              </w:rPr>
              <w:t xml:space="preserve">pillar and </w:t>
            </w:r>
            <w:r w:rsidR="00215769">
              <w:rPr>
                <w:rFonts w:ascii="Times New Roman" w:eastAsia="Times New Roman" w:hAnsi="Times New Roman" w:cs="Times New Roman"/>
                <w:color w:val="auto"/>
                <w:sz w:val="24"/>
                <w:szCs w:val="24"/>
                <w:lang w:val="en-GB"/>
              </w:rPr>
              <w:t xml:space="preserve">small and medium-sized enterprises </w:t>
            </w:r>
            <w:r w:rsidR="00D42AFE">
              <w:rPr>
                <w:rFonts w:ascii="Times New Roman" w:eastAsia="Times New Roman" w:hAnsi="Times New Roman" w:cs="Times New Roman"/>
                <w:color w:val="auto"/>
                <w:sz w:val="24"/>
                <w:szCs w:val="24"/>
                <w:lang w:val="en-GB"/>
              </w:rPr>
              <w:t>(</w:t>
            </w:r>
            <w:r w:rsidR="28702F40" w:rsidRPr="00BE5C9D">
              <w:rPr>
                <w:rFonts w:ascii="Times New Roman" w:eastAsia="Times New Roman" w:hAnsi="Times New Roman" w:cs="Times New Roman"/>
                <w:color w:val="auto"/>
                <w:sz w:val="24"/>
                <w:szCs w:val="24"/>
                <w:lang w:val="en-GB"/>
              </w:rPr>
              <w:t>SMEs</w:t>
            </w:r>
            <w:r w:rsidR="00D42AFE">
              <w:rPr>
                <w:rFonts w:ascii="Times New Roman" w:eastAsia="Times New Roman" w:hAnsi="Times New Roman" w:cs="Times New Roman"/>
                <w:color w:val="auto"/>
                <w:sz w:val="24"/>
                <w:szCs w:val="24"/>
                <w:lang w:val="en-GB"/>
              </w:rPr>
              <w:t>)</w:t>
            </w:r>
            <w:r w:rsidR="28702F40" w:rsidRPr="00BE5C9D">
              <w:rPr>
                <w:rFonts w:ascii="Times New Roman" w:eastAsia="Times New Roman" w:hAnsi="Times New Roman" w:cs="Times New Roman"/>
                <w:color w:val="auto"/>
                <w:sz w:val="24"/>
                <w:szCs w:val="24"/>
                <w:lang w:val="en-GB"/>
              </w:rPr>
              <w:t>)</w:t>
            </w:r>
            <w:r w:rsidR="0B2DA5AE" w:rsidRPr="00BE5C9D">
              <w:rPr>
                <w:rFonts w:ascii="Times New Roman" w:eastAsia="Times New Roman" w:hAnsi="Times New Roman" w:cs="Times New Roman"/>
                <w:color w:val="auto"/>
                <w:sz w:val="24"/>
                <w:szCs w:val="24"/>
                <w:lang w:val="en-GB"/>
              </w:rPr>
              <w:t xml:space="preserve"> and </w:t>
            </w:r>
            <w:r w:rsidR="1F1490B5" w:rsidRPr="00BE5C9D">
              <w:rPr>
                <w:rFonts w:ascii="Times New Roman" w:eastAsia="Times New Roman" w:hAnsi="Times New Roman" w:cs="Times New Roman"/>
                <w:color w:val="auto"/>
                <w:sz w:val="24"/>
                <w:szCs w:val="24"/>
                <w:lang w:val="en-GB"/>
              </w:rPr>
              <w:t>addition</w:t>
            </w:r>
            <w:r w:rsidR="007A6C55">
              <w:rPr>
                <w:rFonts w:ascii="Times New Roman" w:eastAsia="Times New Roman" w:hAnsi="Times New Roman" w:cs="Times New Roman"/>
                <w:color w:val="auto"/>
                <w:sz w:val="24"/>
                <w:szCs w:val="24"/>
                <w:lang w:val="en-GB"/>
              </w:rPr>
              <w:t>al</w:t>
            </w:r>
            <w:r w:rsidR="1F1490B5" w:rsidRPr="00BE5C9D">
              <w:rPr>
                <w:rFonts w:ascii="Times New Roman" w:eastAsia="Times New Roman" w:hAnsi="Times New Roman" w:cs="Times New Roman"/>
                <w:color w:val="auto"/>
                <w:sz w:val="24"/>
                <w:szCs w:val="24"/>
                <w:lang w:val="en-GB"/>
              </w:rPr>
              <w:t xml:space="preserve"> </w:t>
            </w:r>
            <w:r w:rsidR="0B2DA5AE" w:rsidRPr="00BE5C9D">
              <w:rPr>
                <w:rFonts w:ascii="Times New Roman" w:eastAsia="Times New Roman" w:hAnsi="Times New Roman" w:cs="Times New Roman"/>
                <w:color w:val="auto"/>
                <w:sz w:val="24"/>
                <w:szCs w:val="24"/>
                <w:lang w:val="en-GB"/>
              </w:rPr>
              <w:t>new areas have been introduced</w:t>
            </w:r>
            <w:r w:rsidR="007A6C55">
              <w:rPr>
                <w:rFonts w:ascii="Times New Roman" w:eastAsia="Times New Roman" w:hAnsi="Times New Roman" w:cs="Times New Roman"/>
                <w:color w:val="auto"/>
                <w:sz w:val="24"/>
                <w:szCs w:val="24"/>
                <w:lang w:val="en-GB"/>
              </w:rPr>
              <w:t>,</w:t>
            </w:r>
            <w:r w:rsidR="0B2DA5AE" w:rsidRPr="00BE5C9D">
              <w:rPr>
                <w:rFonts w:ascii="Times New Roman" w:eastAsia="Times New Roman" w:hAnsi="Times New Roman" w:cs="Times New Roman"/>
                <w:color w:val="auto"/>
                <w:sz w:val="24"/>
                <w:szCs w:val="24"/>
                <w:lang w:val="en-GB"/>
              </w:rPr>
              <w:t xml:space="preserve"> such as customs policy</w:t>
            </w:r>
            <w:r w:rsidR="44C6285C" w:rsidRPr="00BE5C9D">
              <w:rPr>
                <w:rFonts w:ascii="Times New Roman" w:eastAsia="Times New Roman" w:hAnsi="Times New Roman" w:cs="Times New Roman"/>
                <w:color w:val="auto"/>
                <w:sz w:val="24"/>
                <w:szCs w:val="24"/>
                <w:lang w:val="en-GB"/>
              </w:rPr>
              <w:t>,</w:t>
            </w:r>
            <w:r w:rsidR="0B2DA5AE" w:rsidRPr="00BE5C9D">
              <w:rPr>
                <w:rFonts w:ascii="Times New Roman" w:eastAsia="Times New Roman" w:hAnsi="Times New Roman" w:cs="Times New Roman"/>
                <w:color w:val="auto"/>
                <w:sz w:val="24"/>
                <w:szCs w:val="24"/>
                <w:lang w:val="en-GB"/>
              </w:rPr>
              <w:t xml:space="preserve"> taxation cooperation</w:t>
            </w:r>
            <w:r w:rsidR="44C6285C" w:rsidRPr="00BE5C9D">
              <w:rPr>
                <w:rFonts w:ascii="Times New Roman" w:eastAsia="Times New Roman" w:hAnsi="Times New Roman" w:cs="Times New Roman"/>
                <w:color w:val="auto"/>
                <w:sz w:val="24"/>
                <w:szCs w:val="24"/>
                <w:lang w:val="en-GB"/>
              </w:rPr>
              <w:t xml:space="preserve"> an</w:t>
            </w:r>
            <w:r w:rsidR="0DE3CC71" w:rsidRPr="00BE5C9D">
              <w:rPr>
                <w:rFonts w:ascii="Times New Roman" w:eastAsia="Times New Roman" w:hAnsi="Times New Roman" w:cs="Times New Roman"/>
                <w:color w:val="auto"/>
                <w:sz w:val="24"/>
                <w:szCs w:val="24"/>
                <w:lang w:val="en-GB"/>
              </w:rPr>
              <w:t xml:space="preserve">d anti-fraud </w:t>
            </w:r>
            <w:r w:rsidR="720BDD75" w:rsidRPr="00BE5C9D">
              <w:rPr>
                <w:rFonts w:ascii="Times New Roman" w:eastAsia="Times New Roman" w:hAnsi="Times New Roman" w:cs="Times New Roman"/>
                <w:color w:val="auto"/>
                <w:sz w:val="24"/>
                <w:szCs w:val="24"/>
                <w:lang w:val="en-GB"/>
              </w:rPr>
              <w:t>measures</w:t>
            </w:r>
            <w:r w:rsidR="28702F40" w:rsidRPr="00BE5C9D">
              <w:rPr>
                <w:rFonts w:ascii="Times New Roman" w:eastAsia="Times New Roman" w:hAnsi="Times New Roman" w:cs="Times New Roman"/>
                <w:color w:val="auto"/>
                <w:sz w:val="24"/>
                <w:szCs w:val="24"/>
                <w:lang w:val="en-GB"/>
              </w:rPr>
              <w:t>.</w:t>
            </w:r>
            <w:r w:rsidR="184E8427" w:rsidRPr="00BE5C9D">
              <w:rPr>
                <w:rFonts w:ascii="Times New Roman" w:eastAsia="Times New Roman" w:hAnsi="Times New Roman" w:cs="Times New Roman"/>
                <w:color w:val="auto"/>
                <w:sz w:val="24"/>
                <w:szCs w:val="24"/>
                <w:lang w:val="en-GB"/>
              </w:rPr>
              <w:t xml:space="preserve"> </w:t>
            </w:r>
            <w:r w:rsidR="090C6AE2" w:rsidRPr="00BE5C9D">
              <w:rPr>
                <w:rFonts w:ascii="Times New Roman" w:eastAsia="Times New Roman" w:hAnsi="Times New Roman" w:cs="Times New Roman"/>
                <w:color w:val="auto"/>
                <w:sz w:val="24"/>
                <w:szCs w:val="24"/>
              </w:rPr>
              <w:t xml:space="preserve">The </w:t>
            </w:r>
            <w:r w:rsidR="007A6C55">
              <w:rPr>
                <w:rFonts w:ascii="Times New Roman" w:eastAsia="Times New Roman" w:hAnsi="Times New Roman" w:cs="Times New Roman"/>
                <w:color w:val="auto"/>
                <w:sz w:val="24"/>
                <w:szCs w:val="24"/>
              </w:rPr>
              <w:t>SMCP</w:t>
            </w:r>
            <w:r w:rsidR="6BBEF081" w:rsidRPr="00BE5C9D">
              <w:rPr>
                <w:rFonts w:ascii="Times New Roman" w:eastAsia="Times New Roman" w:hAnsi="Times New Roman" w:cs="Times New Roman"/>
                <w:color w:val="auto"/>
                <w:sz w:val="24"/>
                <w:szCs w:val="24"/>
              </w:rPr>
              <w:t>,</w:t>
            </w:r>
            <w:r w:rsidR="090C6AE2" w:rsidRPr="00BE5C9D">
              <w:rPr>
                <w:rFonts w:ascii="Times New Roman" w:eastAsia="Times New Roman" w:hAnsi="Times New Roman" w:cs="Times New Roman"/>
                <w:color w:val="auto"/>
                <w:sz w:val="24"/>
                <w:szCs w:val="24"/>
              </w:rPr>
              <w:t xml:space="preserve"> </w:t>
            </w:r>
            <w:r w:rsidR="6BBEF081" w:rsidRPr="00BE5C9D">
              <w:rPr>
                <w:rFonts w:ascii="Times New Roman" w:eastAsia="Times New Roman" w:hAnsi="Times New Roman" w:cs="Times New Roman"/>
                <w:color w:val="auto"/>
                <w:sz w:val="24"/>
                <w:szCs w:val="24"/>
              </w:rPr>
              <w:t>in line with the Single Market Strategy</w:t>
            </w:r>
            <w:r w:rsidR="004013A1">
              <w:rPr>
                <w:rStyle w:val="FootnoteReference"/>
                <w:rFonts w:ascii="Times New Roman" w:eastAsia="Times New Roman" w:hAnsi="Times New Roman" w:cs="Times New Roman"/>
                <w:color w:val="auto"/>
                <w:sz w:val="24"/>
                <w:szCs w:val="24"/>
              </w:rPr>
              <w:footnoteReference w:id="3"/>
            </w:r>
            <w:r w:rsidR="6BBEF081" w:rsidRPr="00BE5C9D">
              <w:rPr>
                <w:rFonts w:ascii="Times New Roman" w:eastAsia="Times New Roman" w:hAnsi="Times New Roman" w:cs="Times New Roman"/>
                <w:color w:val="auto"/>
                <w:sz w:val="24"/>
                <w:szCs w:val="24"/>
              </w:rPr>
              <w:t>,</w:t>
            </w:r>
            <w:r w:rsidR="090C6AE2" w:rsidRPr="00BE5C9D">
              <w:rPr>
                <w:rFonts w:ascii="Times New Roman" w:eastAsia="Times New Roman" w:hAnsi="Times New Roman" w:cs="Times New Roman"/>
                <w:color w:val="auto"/>
                <w:sz w:val="24"/>
                <w:szCs w:val="24"/>
              </w:rPr>
              <w:t xml:space="preserve"> aims at creating a simple</w:t>
            </w:r>
            <w:r w:rsidR="52C072F9" w:rsidRPr="00BE5C9D">
              <w:rPr>
                <w:rFonts w:ascii="Times New Roman" w:eastAsia="Times New Roman" w:hAnsi="Times New Roman" w:cs="Times New Roman"/>
                <w:color w:val="auto"/>
                <w:sz w:val="24"/>
                <w:szCs w:val="24"/>
              </w:rPr>
              <w:t>r</w:t>
            </w:r>
            <w:r w:rsidR="090C6AE2" w:rsidRPr="00BE5C9D">
              <w:rPr>
                <w:rFonts w:ascii="Times New Roman" w:eastAsia="Times New Roman" w:hAnsi="Times New Roman" w:cs="Times New Roman"/>
                <w:color w:val="auto"/>
                <w:sz w:val="24"/>
                <w:szCs w:val="24"/>
              </w:rPr>
              <w:t>, fair</w:t>
            </w:r>
            <w:r w:rsidR="52C072F9" w:rsidRPr="00BE5C9D">
              <w:rPr>
                <w:rFonts w:ascii="Times New Roman" w:eastAsia="Times New Roman" w:hAnsi="Times New Roman" w:cs="Times New Roman"/>
                <w:color w:val="auto"/>
                <w:sz w:val="24"/>
                <w:szCs w:val="24"/>
              </w:rPr>
              <w:t>er</w:t>
            </w:r>
            <w:r w:rsidR="090C6AE2" w:rsidRPr="00BE5C9D">
              <w:rPr>
                <w:rFonts w:ascii="Times New Roman" w:eastAsia="Times New Roman" w:hAnsi="Times New Roman" w:cs="Times New Roman"/>
                <w:color w:val="auto"/>
                <w:sz w:val="24"/>
                <w:szCs w:val="24"/>
              </w:rPr>
              <w:t xml:space="preserve"> and seamless Single Market among others by removing barriers, including obstacles </w:t>
            </w:r>
            <w:r w:rsidR="28DF0AE8" w:rsidRPr="00BE5C9D">
              <w:rPr>
                <w:rFonts w:ascii="Times New Roman" w:eastAsia="Times New Roman" w:hAnsi="Times New Roman" w:cs="Times New Roman"/>
                <w:color w:val="auto"/>
                <w:sz w:val="24"/>
                <w:szCs w:val="24"/>
              </w:rPr>
              <w:t xml:space="preserve">linked </w:t>
            </w:r>
            <w:r w:rsidR="69F0710A" w:rsidRPr="00BE5C9D">
              <w:rPr>
                <w:rFonts w:ascii="Times New Roman" w:eastAsia="Times New Roman" w:hAnsi="Times New Roman" w:cs="Times New Roman"/>
                <w:color w:val="auto"/>
                <w:sz w:val="24"/>
                <w:szCs w:val="24"/>
              </w:rPr>
              <w:t>to</w:t>
            </w:r>
            <w:r w:rsidR="28DF0AE8" w:rsidRPr="00BE5C9D">
              <w:rPr>
                <w:rFonts w:ascii="Times New Roman" w:eastAsia="Times New Roman" w:hAnsi="Times New Roman" w:cs="Times New Roman"/>
                <w:color w:val="auto"/>
                <w:sz w:val="24"/>
                <w:szCs w:val="24"/>
              </w:rPr>
              <w:t xml:space="preserve"> differences </w:t>
            </w:r>
            <w:r w:rsidR="00DB3D84">
              <w:rPr>
                <w:rFonts w:ascii="Times New Roman" w:eastAsia="Times New Roman" w:hAnsi="Times New Roman" w:cs="Times New Roman"/>
                <w:color w:val="auto"/>
                <w:sz w:val="24"/>
                <w:szCs w:val="24"/>
              </w:rPr>
              <w:t>between</w:t>
            </w:r>
            <w:r w:rsidR="28DF0AE8" w:rsidRPr="00BE5C9D">
              <w:rPr>
                <w:rFonts w:ascii="Times New Roman" w:eastAsia="Times New Roman" w:hAnsi="Times New Roman" w:cs="Times New Roman"/>
                <w:color w:val="auto"/>
                <w:sz w:val="24"/>
                <w:szCs w:val="24"/>
              </w:rPr>
              <w:t xml:space="preserve"> Member States</w:t>
            </w:r>
            <w:r w:rsidR="00DB3D84">
              <w:rPr>
                <w:rFonts w:ascii="Times New Roman" w:eastAsia="Times New Roman" w:hAnsi="Times New Roman" w:cs="Times New Roman"/>
                <w:color w:val="auto"/>
                <w:sz w:val="24"/>
                <w:szCs w:val="24"/>
              </w:rPr>
              <w:t>’</w:t>
            </w:r>
            <w:r w:rsidR="28DF0AE8" w:rsidRPr="00BE5C9D">
              <w:rPr>
                <w:rFonts w:ascii="Times New Roman" w:eastAsia="Times New Roman" w:hAnsi="Times New Roman" w:cs="Times New Roman"/>
                <w:color w:val="auto"/>
                <w:sz w:val="24"/>
                <w:szCs w:val="24"/>
              </w:rPr>
              <w:t xml:space="preserve"> legislation and administrative procedures.</w:t>
            </w:r>
          </w:p>
        </w:tc>
      </w:tr>
      <w:tr w:rsidR="00C764B1" w:rsidRPr="00B75825" w14:paraId="664868F1" w14:textId="77777777" w:rsidTr="6E21ED85">
        <w:trPr>
          <w:trHeight w:val="353"/>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2D6089A8" w14:textId="25F258A8" w:rsidR="47970B28" w:rsidRPr="00BE5C9D" w:rsidRDefault="607259C5"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 xml:space="preserve">On point </w:t>
            </w:r>
            <w:r w:rsidR="160D04DA" w:rsidRPr="00BE5C9D">
              <w:rPr>
                <w:rFonts w:ascii="Times New Roman" w:eastAsia="Times New Roman" w:hAnsi="Times New Roman" w:cs="Times New Roman"/>
                <w:i/>
                <w:iCs/>
                <w:u w:val="single"/>
                <w:lang w:val="en-GB"/>
              </w:rPr>
              <w:t>2.10.</w:t>
            </w:r>
            <w:r w:rsidR="1DF69952" w:rsidRPr="00BE5C9D">
              <w:rPr>
                <w:rFonts w:ascii="Times New Roman" w:eastAsia="Times New Roman" w:hAnsi="Times New Roman" w:cs="Times New Roman"/>
                <w:i/>
                <w:iCs/>
                <w:u w:val="single"/>
                <w:lang w:val="en-GB"/>
              </w:rPr>
              <w:t xml:space="preserve"> of the opinion:</w:t>
            </w:r>
            <w:r w:rsidR="160D04DA" w:rsidRPr="00BE5C9D">
              <w:rPr>
                <w:rFonts w:ascii="Times New Roman" w:eastAsia="Times New Roman" w:hAnsi="Times New Roman" w:cs="Times New Roman"/>
                <w:i/>
                <w:iCs/>
                <w:lang w:val="en-GB"/>
              </w:rPr>
              <w:t xml:space="preserve"> </w:t>
            </w:r>
          </w:p>
          <w:p w14:paraId="4E4C9F54" w14:textId="077EAD17" w:rsidR="47970B28" w:rsidRPr="00BE5C9D" w:rsidRDefault="4BF84AEA" w:rsidP="009A3A68">
            <w:pPr>
              <w:spacing w:line="278" w:lineRule="auto"/>
              <w:jc w:val="both"/>
              <w:rPr>
                <w:rFonts w:ascii="Times New Roman" w:eastAsia="Times New Roman" w:hAnsi="Times New Roman" w:cs="Times New Roman"/>
                <w:lang w:val="en-GB"/>
              </w:rPr>
            </w:pPr>
            <w:r w:rsidRPr="00BE5C9D">
              <w:rPr>
                <w:rFonts w:ascii="Times New Roman" w:eastAsia="Times New Roman" w:hAnsi="Times New Roman" w:cs="Times New Roman"/>
              </w:rPr>
              <w:t xml:space="preserve">The Commission agrees with the </w:t>
            </w:r>
            <w:r w:rsidR="00DB3D84">
              <w:rPr>
                <w:rFonts w:ascii="Times New Roman" w:eastAsia="Times New Roman" w:hAnsi="Times New Roman" w:cs="Times New Roman"/>
              </w:rPr>
              <w:t>Committee</w:t>
            </w:r>
            <w:r w:rsidR="00D42AFE">
              <w:rPr>
                <w:rFonts w:ascii="Times New Roman" w:eastAsia="Times New Roman" w:hAnsi="Times New Roman" w:cs="Times New Roman"/>
              </w:rPr>
              <w:t xml:space="preserve"> that </w:t>
            </w:r>
            <w:r w:rsidRPr="00BE5C9D">
              <w:rPr>
                <w:rFonts w:ascii="Times New Roman" w:eastAsia="Times New Roman" w:hAnsi="Times New Roman" w:cs="Times New Roman"/>
              </w:rPr>
              <w:t xml:space="preserve">one of the objectives of the </w:t>
            </w:r>
            <w:r w:rsidR="00DB3D84">
              <w:rPr>
                <w:rFonts w:ascii="Times New Roman" w:eastAsia="Times New Roman" w:hAnsi="Times New Roman" w:cs="Times New Roman"/>
              </w:rPr>
              <w:t>P</w:t>
            </w:r>
            <w:r w:rsidRPr="00BE5C9D">
              <w:rPr>
                <w:rFonts w:ascii="Times New Roman" w:eastAsia="Times New Roman" w:hAnsi="Times New Roman" w:cs="Times New Roman"/>
              </w:rPr>
              <w:t xml:space="preserve">rogramme </w:t>
            </w:r>
            <w:r w:rsidR="24FD80D9" w:rsidRPr="00BE5C9D">
              <w:rPr>
                <w:rFonts w:ascii="Times New Roman" w:eastAsia="Times New Roman" w:hAnsi="Times New Roman" w:cs="Times New Roman"/>
              </w:rPr>
              <w:t xml:space="preserve">is to support the Customs Union and customs authorities working together and acting as one in achieving their mission and contributing to </w:t>
            </w:r>
            <w:r w:rsidR="24FD80D9" w:rsidRPr="00BE5C9D">
              <w:rPr>
                <w:rFonts w:ascii="Times New Roman" w:eastAsia="Times New Roman" w:hAnsi="Times New Roman" w:cs="Times New Roman"/>
                <w:lang w:val="en-GB"/>
              </w:rPr>
              <w:t>Europe’s</w:t>
            </w:r>
            <w:r w:rsidR="24FD80D9" w:rsidRPr="00BE5C9D">
              <w:rPr>
                <w:rFonts w:ascii="Times New Roman" w:eastAsia="Times New Roman" w:hAnsi="Times New Roman" w:cs="Times New Roman"/>
              </w:rPr>
              <w:t xml:space="preserve"> economic security, to ensure </w:t>
            </w:r>
            <w:r w:rsidR="00A02681" w:rsidRPr="00BE5C9D">
              <w:rPr>
                <w:rFonts w:ascii="Times New Roman" w:eastAsia="Times New Roman" w:hAnsi="Times New Roman" w:cs="Times New Roman"/>
              </w:rPr>
              <w:t>effective</w:t>
            </w:r>
            <w:r w:rsidR="24FD80D9" w:rsidRPr="00BE5C9D">
              <w:rPr>
                <w:rFonts w:ascii="Times New Roman" w:eastAsia="Times New Roman" w:hAnsi="Times New Roman" w:cs="Times New Roman"/>
              </w:rPr>
              <w:t xml:space="preserve"> </w:t>
            </w:r>
            <w:r w:rsidR="24FD80D9" w:rsidRPr="00BE5C9D">
              <w:rPr>
                <w:rFonts w:ascii="Times New Roman" w:eastAsia="Times New Roman" w:hAnsi="Times New Roman" w:cs="Times New Roman"/>
              </w:rPr>
              <w:lastRenderedPageBreak/>
              <w:t>market surveillance and a high level of consumer protection, product conformity and safety</w:t>
            </w:r>
            <w:r w:rsidR="38D06648" w:rsidRPr="00BE5C9D">
              <w:rPr>
                <w:rFonts w:ascii="Times New Roman" w:eastAsia="Times New Roman" w:hAnsi="Times New Roman" w:cs="Times New Roman"/>
              </w:rPr>
              <w:t>.</w:t>
            </w:r>
            <w:r w:rsidR="24FD80D9" w:rsidRPr="00BE5C9D">
              <w:rPr>
                <w:rFonts w:ascii="Times New Roman" w:eastAsia="Times New Roman" w:hAnsi="Times New Roman" w:cs="Times New Roman"/>
              </w:rPr>
              <w:t xml:space="preserve"> </w:t>
            </w:r>
            <w:r w:rsidR="7BE96E31" w:rsidRPr="00BE5C9D">
              <w:rPr>
                <w:rFonts w:ascii="Times New Roman" w:eastAsia="Times New Roman" w:hAnsi="Times New Roman" w:cs="Times New Roman"/>
              </w:rPr>
              <w:t xml:space="preserve">Checks can be performed by customs officers at the </w:t>
            </w:r>
            <w:r w:rsidR="7BE96E31" w:rsidRPr="00BE5C9D">
              <w:rPr>
                <w:rFonts w:ascii="Times New Roman" w:eastAsia="Times New Roman" w:hAnsi="Times New Roman" w:cs="Times New Roman"/>
                <w:lang w:val="en-GB"/>
              </w:rPr>
              <w:t>entry</w:t>
            </w:r>
            <w:r w:rsidR="7BE96E31" w:rsidRPr="00BE5C9D">
              <w:rPr>
                <w:rFonts w:ascii="Times New Roman" w:eastAsia="Times New Roman" w:hAnsi="Times New Roman" w:cs="Times New Roman"/>
              </w:rPr>
              <w:t xml:space="preserve"> into the European Union. </w:t>
            </w:r>
          </w:p>
        </w:tc>
      </w:tr>
      <w:tr w:rsidR="00323E9B" w:rsidRPr="00B75825" w14:paraId="38609185" w14:textId="77777777" w:rsidTr="6E21ED85">
        <w:trPr>
          <w:trHeight w:val="353"/>
        </w:trPr>
        <w:tc>
          <w:tcPr>
            <w:tcW w:w="9314" w:type="dxa"/>
            <w:tcBorders>
              <w:top w:val="single" w:sz="8" w:space="0" w:color="auto"/>
              <w:left w:val="double" w:sz="6" w:space="0" w:color="auto"/>
              <w:bottom w:val="single" w:sz="8" w:space="0" w:color="auto"/>
              <w:right w:val="double" w:sz="6" w:space="0" w:color="auto"/>
            </w:tcBorders>
            <w:tcMar>
              <w:left w:w="105" w:type="dxa"/>
              <w:right w:w="105" w:type="dxa"/>
            </w:tcMar>
          </w:tcPr>
          <w:p w14:paraId="4437B63B" w14:textId="248936D2" w:rsidR="00323E9B" w:rsidRPr="00BE5C9D" w:rsidRDefault="730ACD6B"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lastRenderedPageBreak/>
              <w:t>On point 2.16. of the opinion:</w:t>
            </w:r>
          </w:p>
          <w:p w14:paraId="2856DAE3" w14:textId="21C30953" w:rsidR="00323E9B" w:rsidRPr="00BE5C9D" w:rsidRDefault="730ACD6B"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rPr>
              <w:t>The Commission would like to clarify that in modern custom</w:t>
            </w:r>
            <w:r w:rsidR="009C176B">
              <w:rPr>
                <w:rFonts w:ascii="Times New Roman" w:eastAsia="Times New Roman" w:hAnsi="Times New Roman" w:cs="Times New Roman"/>
              </w:rPr>
              <w:t>s</w:t>
            </w:r>
            <w:r w:rsidRPr="00BE5C9D">
              <w:rPr>
                <w:rFonts w:ascii="Times New Roman" w:eastAsia="Times New Roman" w:hAnsi="Times New Roman" w:cs="Times New Roman"/>
              </w:rPr>
              <w:t xml:space="preserve"> systems, a low percentage of physical inspections is not a sign of weak control, but of </w:t>
            </w:r>
            <w:r w:rsidR="278C7C71" w:rsidRPr="00BE5C9D">
              <w:rPr>
                <w:rFonts w:ascii="Times New Roman" w:eastAsia="Times New Roman" w:hAnsi="Times New Roman" w:cs="Times New Roman"/>
              </w:rPr>
              <w:t xml:space="preserve">functional </w:t>
            </w:r>
            <w:r w:rsidRPr="00BE5C9D">
              <w:rPr>
                <w:rFonts w:ascii="Times New Roman" w:eastAsia="Times New Roman" w:hAnsi="Times New Roman" w:cs="Times New Roman"/>
              </w:rPr>
              <w:t xml:space="preserve">risk management and targeting. In the European Union, customs controls are legally and operationally based on risk analysis under the Union Customs Code. This </w:t>
            </w:r>
            <w:r w:rsidR="2A7A04D0" w:rsidRPr="00BE5C9D">
              <w:rPr>
                <w:rFonts w:ascii="Times New Roman" w:eastAsia="Times New Roman" w:hAnsi="Times New Roman" w:cs="Times New Roman"/>
              </w:rPr>
              <w:t>means that</w:t>
            </w:r>
            <w:r w:rsidRPr="00BE5C9D">
              <w:rPr>
                <w:rFonts w:ascii="Times New Roman" w:eastAsia="Times New Roman" w:hAnsi="Times New Roman" w:cs="Times New Roman"/>
              </w:rPr>
              <w:t xml:space="preserve"> controls are not random or volume-driven, but targeted, using pre-arrival electronic data, intelligence, risk </w:t>
            </w:r>
            <w:r w:rsidR="4D7668D0" w:rsidRPr="00BE5C9D">
              <w:rPr>
                <w:rFonts w:ascii="Times New Roman" w:eastAsia="Times New Roman" w:hAnsi="Times New Roman" w:cs="Times New Roman"/>
              </w:rPr>
              <w:t>indicators,</w:t>
            </w:r>
            <w:r w:rsidRPr="00BE5C9D">
              <w:rPr>
                <w:rFonts w:ascii="Times New Roman" w:eastAsia="Times New Roman" w:hAnsi="Times New Roman" w:cs="Times New Roman"/>
              </w:rPr>
              <w:t xml:space="preserve"> and digital analytics. The goal is not </w:t>
            </w:r>
            <w:r w:rsidR="79654F12" w:rsidRPr="00BE5C9D">
              <w:rPr>
                <w:rFonts w:ascii="Times New Roman" w:eastAsia="Times New Roman" w:hAnsi="Times New Roman" w:cs="Times New Roman"/>
              </w:rPr>
              <w:t>only</w:t>
            </w:r>
            <w:r w:rsidRPr="00BE5C9D">
              <w:rPr>
                <w:rFonts w:ascii="Times New Roman" w:eastAsia="Times New Roman" w:hAnsi="Times New Roman" w:cs="Times New Roman"/>
              </w:rPr>
              <w:t xml:space="preserve"> to check more </w:t>
            </w:r>
            <w:r w:rsidR="00FA5DDC">
              <w:rPr>
                <w:rFonts w:ascii="Times New Roman" w:eastAsia="Times New Roman" w:hAnsi="Times New Roman" w:cs="Times New Roman"/>
              </w:rPr>
              <w:t>-</w:t>
            </w:r>
            <w:r w:rsidRPr="00BE5C9D">
              <w:rPr>
                <w:rFonts w:ascii="Times New Roman" w:eastAsia="Times New Roman" w:hAnsi="Times New Roman" w:cs="Times New Roman"/>
              </w:rPr>
              <w:t xml:space="preserve"> it is to check </w:t>
            </w:r>
            <w:r w:rsidR="79654F12" w:rsidRPr="00BE5C9D">
              <w:rPr>
                <w:rFonts w:ascii="Times New Roman" w:eastAsia="Times New Roman" w:hAnsi="Times New Roman" w:cs="Times New Roman"/>
              </w:rPr>
              <w:t xml:space="preserve">also </w:t>
            </w:r>
            <w:r w:rsidRPr="00BE5C9D">
              <w:rPr>
                <w:rFonts w:ascii="Times New Roman" w:eastAsia="Times New Roman" w:hAnsi="Times New Roman" w:cs="Times New Roman"/>
              </w:rPr>
              <w:t xml:space="preserve">better and smarter. A targeted inspection based on data, </w:t>
            </w:r>
            <w:r w:rsidR="4F1CEAB3" w:rsidRPr="00BE5C9D">
              <w:rPr>
                <w:rFonts w:ascii="Times New Roman" w:eastAsia="Times New Roman" w:hAnsi="Times New Roman" w:cs="Times New Roman"/>
              </w:rPr>
              <w:t>patterns,</w:t>
            </w:r>
            <w:r w:rsidRPr="00BE5C9D">
              <w:rPr>
                <w:rFonts w:ascii="Times New Roman" w:eastAsia="Times New Roman" w:hAnsi="Times New Roman" w:cs="Times New Roman"/>
              </w:rPr>
              <w:t xml:space="preserve"> and intelligence has a much higher detection rate than random physical checks.</w:t>
            </w:r>
          </w:p>
          <w:p w14:paraId="27180E0F" w14:textId="14094404" w:rsidR="00323E9B" w:rsidRPr="00BE5C9D" w:rsidRDefault="00323E9B" w:rsidP="009A3A68">
            <w:pPr>
              <w:spacing w:line="278" w:lineRule="auto"/>
              <w:jc w:val="both"/>
              <w:rPr>
                <w:rFonts w:ascii="Times New Roman" w:eastAsia="Aptos" w:hAnsi="Times New Roman" w:cs="Times New Roman"/>
                <w:lang w:val="en-GB"/>
              </w:rPr>
            </w:pPr>
            <w:r w:rsidRPr="00BE5C9D">
              <w:rPr>
                <w:rFonts w:ascii="Times New Roman" w:eastAsia="Times New Roman" w:hAnsi="Times New Roman" w:cs="Times New Roman"/>
              </w:rPr>
              <w:t xml:space="preserve">In addition, EU customs must apply the principle of proportionality: excessive controls increase costs for compliant businesses, potentially delay or even disrupt supply chains, impacting negatively also trusted traders, businesses and EU competitiveness. A low overall physical inspection rate combined with high detection quality is </w:t>
            </w:r>
            <w:r w:rsidRPr="00BE5C9D">
              <w:rPr>
                <w:rFonts w:ascii="Times New Roman" w:eastAsia="Times New Roman" w:hAnsi="Times New Roman" w:cs="Times New Roman"/>
                <w:lang w:val="en-GB"/>
              </w:rPr>
              <w:t>therefore</w:t>
            </w:r>
            <w:r w:rsidRPr="00BE5C9D">
              <w:rPr>
                <w:rFonts w:ascii="Times New Roman" w:eastAsia="Times New Roman" w:hAnsi="Times New Roman" w:cs="Times New Roman"/>
              </w:rPr>
              <w:t xml:space="preserve"> a sign of a mature, risk-based system. The new EU Customs Authority and the EU Customs Data Hub proposed by the Commission under the Customs Reform</w:t>
            </w:r>
            <w:r w:rsidR="00FA5DDC">
              <w:rPr>
                <w:rStyle w:val="FootnoteReference"/>
                <w:rFonts w:ascii="Times New Roman" w:eastAsia="Times New Roman" w:hAnsi="Times New Roman" w:cs="Times New Roman"/>
              </w:rPr>
              <w:footnoteReference w:id="4"/>
            </w:r>
            <w:r w:rsidRPr="00BE5C9D">
              <w:rPr>
                <w:rFonts w:ascii="Times New Roman" w:eastAsia="Times New Roman" w:hAnsi="Times New Roman" w:cs="Times New Roman"/>
              </w:rPr>
              <w:t xml:space="preserve"> is intended to further enhance the efficiency and effectiveness of EU customs risk management using reinforced and modern data and risk management approaches and technology.</w:t>
            </w:r>
          </w:p>
          <w:p w14:paraId="309DFF86" w14:textId="18348ABF" w:rsidR="00323E9B" w:rsidRPr="00BE5C9D" w:rsidRDefault="00323E9B" w:rsidP="009A3A68">
            <w:pPr>
              <w:spacing w:line="278" w:lineRule="auto"/>
              <w:jc w:val="both"/>
              <w:rPr>
                <w:rStyle w:val="CommentReference"/>
                <w:rFonts w:ascii="Times New Roman" w:eastAsia="Times New Roman" w:hAnsi="Times New Roman" w:cs="Times New Roman"/>
                <w:sz w:val="24"/>
                <w:szCs w:val="24"/>
              </w:rPr>
            </w:pPr>
            <w:r w:rsidRPr="00BE5C9D">
              <w:rPr>
                <w:rFonts w:ascii="Times New Roman" w:eastAsia="Times New Roman" w:hAnsi="Times New Roman" w:cs="Times New Roman"/>
              </w:rPr>
              <w:t xml:space="preserve">The EU Customs Data Hub will in particular bring a pan-EU picture of goods across all border crossings, helping focus </w:t>
            </w:r>
            <w:r w:rsidRPr="00BE5C9D">
              <w:rPr>
                <w:rFonts w:ascii="Times New Roman" w:eastAsia="Times New Roman" w:hAnsi="Times New Roman" w:cs="Times New Roman"/>
                <w:lang w:val="en-GB"/>
              </w:rPr>
              <w:t>resources</w:t>
            </w:r>
            <w:r w:rsidRPr="00BE5C9D">
              <w:rPr>
                <w:rFonts w:ascii="Times New Roman" w:eastAsia="Times New Roman" w:hAnsi="Times New Roman" w:cs="Times New Roman"/>
              </w:rPr>
              <w:t xml:space="preserve"> on tackling harmful or non-compliant supply chains in a</w:t>
            </w:r>
            <w:r w:rsidR="00854A85">
              <w:rPr>
                <w:rFonts w:ascii="Times New Roman" w:eastAsia="Times New Roman" w:hAnsi="Times New Roman" w:cs="Times New Roman"/>
              </w:rPr>
              <w:t> </w:t>
            </w:r>
            <w:r w:rsidRPr="00BE5C9D">
              <w:rPr>
                <w:rFonts w:ascii="Times New Roman" w:eastAsia="Times New Roman" w:hAnsi="Times New Roman" w:cs="Times New Roman"/>
              </w:rPr>
              <w:t xml:space="preserve">systematic way, and allowing also for the new </w:t>
            </w:r>
            <w:r w:rsidR="00FA5DDC">
              <w:rPr>
                <w:rFonts w:ascii="Times New Roman" w:eastAsia="Times New Roman" w:hAnsi="Times New Roman" w:cs="Times New Roman"/>
              </w:rPr>
              <w:t>‘</w:t>
            </w:r>
            <w:r w:rsidRPr="00BE5C9D">
              <w:rPr>
                <w:rFonts w:ascii="Times New Roman" w:eastAsia="Times New Roman" w:hAnsi="Times New Roman" w:cs="Times New Roman"/>
              </w:rPr>
              <w:t>do not transport</w:t>
            </w:r>
            <w:r w:rsidR="00FA5DDC">
              <w:rPr>
                <w:rFonts w:ascii="Times New Roman" w:eastAsia="Times New Roman" w:hAnsi="Times New Roman" w:cs="Times New Roman"/>
              </w:rPr>
              <w:t>’</w:t>
            </w:r>
            <w:r w:rsidRPr="00BE5C9D">
              <w:rPr>
                <w:rFonts w:ascii="Times New Roman" w:eastAsia="Times New Roman" w:hAnsi="Times New Roman" w:cs="Times New Roman"/>
              </w:rPr>
              <w:t xml:space="preserve"> instructions to be issued to prevent non-compliant goods from </w:t>
            </w:r>
            <w:r w:rsidR="5AA69248" w:rsidRPr="00BE5C9D">
              <w:rPr>
                <w:rFonts w:ascii="Times New Roman" w:eastAsia="Times New Roman" w:hAnsi="Times New Roman" w:cs="Times New Roman"/>
              </w:rPr>
              <w:t>entering</w:t>
            </w:r>
            <w:r w:rsidRPr="00BE5C9D">
              <w:rPr>
                <w:rFonts w:ascii="Times New Roman" w:eastAsia="Times New Roman" w:hAnsi="Times New Roman" w:cs="Times New Roman"/>
              </w:rPr>
              <w:t xml:space="preserve"> </w:t>
            </w:r>
            <w:r w:rsidR="00FA2791">
              <w:rPr>
                <w:rFonts w:ascii="Times New Roman" w:eastAsia="Times New Roman" w:hAnsi="Times New Roman" w:cs="Times New Roman"/>
              </w:rPr>
              <w:t>t</w:t>
            </w:r>
            <w:r w:rsidRPr="00BE5C9D">
              <w:rPr>
                <w:rFonts w:ascii="Times New Roman" w:eastAsia="Times New Roman" w:hAnsi="Times New Roman" w:cs="Times New Roman"/>
              </w:rPr>
              <w:t>he EU in the first place.</w:t>
            </w:r>
          </w:p>
        </w:tc>
      </w:tr>
      <w:tr w:rsidR="00C764B1" w:rsidRPr="00B75825" w14:paraId="0B6BEFD8" w14:textId="77777777" w:rsidTr="6E21ED85">
        <w:trPr>
          <w:trHeight w:val="406"/>
        </w:trPr>
        <w:tc>
          <w:tcPr>
            <w:tcW w:w="9314" w:type="dxa"/>
            <w:tcBorders>
              <w:top w:val="single" w:sz="8" w:space="0" w:color="auto"/>
              <w:left w:val="double" w:sz="6" w:space="0" w:color="auto"/>
              <w:bottom w:val="single" w:sz="4" w:space="0" w:color="auto"/>
              <w:right w:val="double" w:sz="6" w:space="0" w:color="auto"/>
            </w:tcBorders>
            <w:tcMar>
              <w:left w:w="105" w:type="dxa"/>
              <w:right w:w="105" w:type="dxa"/>
            </w:tcMar>
          </w:tcPr>
          <w:p w14:paraId="0894C586" w14:textId="11596DE1" w:rsidR="00323E9B" w:rsidRPr="00BE5C9D" w:rsidRDefault="28B0F783"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2.18 of the opinion:</w:t>
            </w:r>
            <w:r w:rsidRPr="00BE5C9D">
              <w:rPr>
                <w:rFonts w:ascii="Times New Roman" w:eastAsia="Times New Roman" w:hAnsi="Times New Roman" w:cs="Times New Roman"/>
                <w:i/>
                <w:iCs/>
                <w:lang w:val="en-GB"/>
              </w:rPr>
              <w:t xml:space="preserve"> </w:t>
            </w:r>
          </w:p>
          <w:p w14:paraId="7FE56012" w14:textId="717B8A7F" w:rsidR="527AB5ED" w:rsidRPr="00BE5C9D" w:rsidRDefault="7D797555" w:rsidP="009A3A68">
            <w:pPr>
              <w:jc w:val="both"/>
              <w:rPr>
                <w:rFonts w:ascii="Times New Roman" w:eastAsia="Times New Roman" w:hAnsi="Times New Roman" w:cs="Times New Roman"/>
                <w:lang w:val="en-IE"/>
              </w:rPr>
            </w:pPr>
            <w:r w:rsidRPr="00BE5C9D">
              <w:rPr>
                <w:rFonts w:ascii="Times New Roman" w:eastAsia="Times New Roman" w:hAnsi="Times New Roman" w:cs="Times New Roman"/>
              </w:rPr>
              <w:t>As commented above under point 1.6, the Commission recalls that recruitment of human resources at national level is a matter of national competence.</w:t>
            </w:r>
          </w:p>
        </w:tc>
      </w:tr>
      <w:tr w:rsidR="00C764B1" w:rsidRPr="00B75825" w14:paraId="7F1FE822" w14:textId="77777777" w:rsidTr="6E21ED85">
        <w:trPr>
          <w:trHeight w:val="1620"/>
        </w:trPr>
        <w:tc>
          <w:tcPr>
            <w:tcW w:w="9314" w:type="dxa"/>
            <w:tcBorders>
              <w:top w:val="single" w:sz="4" w:space="0" w:color="auto"/>
              <w:left w:val="double" w:sz="6" w:space="0" w:color="auto"/>
              <w:bottom w:val="single" w:sz="4" w:space="0" w:color="auto"/>
              <w:right w:val="double" w:sz="6" w:space="0" w:color="auto"/>
            </w:tcBorders>
            <w:tcMar>
              <w:left w:w="105" w:type="dxa"/>
              <w:right w:w="105" w:type="dxa"/>
            </w:tcMar>
          </w:tcPr>
          <w:p w14:paraId="16049CF2" w14:textId="1278BE2F" w:rsidR="527AB5ED" w:rsidRPr="00BE5C9D" w:rsidRDefault="28B0F783"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2.20 of the opinion:</w:t>
            </w:r>
            <w:r w:rsidRPr="00BE5C9D">
              <w:rPr>
                <w:rFonts w:ascii="Times New Roman" w:eastAsia="Times New Roman" w:hAnsi="Times New Roman" w:cs="Times New Roman"/>
                <w:i/>
                <w:iCs/>
                <w:lang w:val="en-GB"/>
              </w:rPr>
              <w:t xml:space="preserve"> </w:t>
            </w:r>
          </w:p>
          <w:p w14:paraId="6CE1297B" w14:textId="295D7A26" w:rsidR="527AB5ED" w:rsidRPr="00BE5C9D" w:rsidRDefault="4015607C" w:rsidP="0BC3107E">
            <w:pPr>
              <w:spacing w:line="278" w:lineRule="auto"/>
              <w:jc w:val="both"/>
              <w:rPr>
                <w:rFonts w:ascii="Times New Roman" w:eastAsia="Times New Roman" w:hAnsi="Times New Roman" w:cs="Times New Roman"/>
                <w:lang w:val="en-GB"/>
              </w:rPr>
            </w:pPr>
            <w:r w:rsidRPr="00BE5C9D">
              <w:rPr>
                <w:rFonts w:ascii="Times New Roman" w:eastAsia="Times New Roman" w:hAnsi="Times New Roman" w:cs="Times New Roman"/>
              </w:rPr>
              <w:t xml:space="preserve">On the basis of </w:t>
            </w:r>
            <w:r w:rsidR="44364FAB" w:rsidRPr="00BE5C9D">
              <w:rPr>
                <w:rFonts w:ascii="Times New Roman" w:eastAsia="Times New Roman" w:hAnsi="Times New Roman" w:cs="Times New Roman"/>
              </w:rPr>
              <w:t>Council Decision on the system of own resources of the European Union</w:t>
            </w:r>
            <w:r w:rsidR="00655332">
              <w:rPr>
                <w:rStyle w:val="FootnoteReference"/>
                <w:rFonts w:ascii="Times New Roman" w:eastAsia="Times New Roman" w:hAnsi="Times New Roman" w:cs="Times New Roman"/>
              </w:rPr>
              <w:footnoteReference w:id="5"/>
            </w:r>
            <w:r w:rsidR="44364FAB" w:rsidRPr="00BE5C9D">
              <w:rPr>
                <w:rFonts w:ascii="Times New Roman" w:eastAsia="Times New Roman" w:hAnsi="Times New Roman" w:cs="Times New Roman"/>
              </w:rPr>
              <w:t xml:space="preserve">, </w:t>
            </w:r>
            <w:r w:rsidR="44364FAB" w:rsidRPr="00BE5C9D">
              <w:rPr>
                <w:rFonts w:ascii="Times New Roman" w:eastAsia="Times New Roman" w:hAnsi="Times New Roman" w:cs="Times New Roman"/>
                <w:lang w:val="en-GB"/>
              </w:rPr>
              <w:t>Member</w:t>
            </w:r>
            <w:r w:rsidR="44364FAB" w:rsidRPr="00BE5C9D">
              <w:rPr>
                <w:rFonts w:ascii="Times New Roman" w:eastAsia="Times New Roman" w:hAnsi="Times New Roman" w:cs="Times New Roman"/>
              </w:rPr>
              <w:t xml:space="preserve"> States collect customs duties as Traditional Own Resources (TOR) on behalf of the EU and retain 25%</w:t>
            </w:r>
            <w:r w:rsidR="73DEC866" w:rsidRPr="00BE5C9D">
              <w:rPr>
                <w:rFonts w:ascii="Times New Roman" w:hAnsi="Times New Roman" w:cs="Times New Roman"/>
              </w:rPr>
              <w:t xml:space="preserve"> </w:t>
            </w:r>
            <w:r w:rsidR="44364FAB" w:rsidRPr="00BE5C9D">
              <w:rPr>
                <w:rFonts w:ascii="Times New Roman" w:eastAsia="Times New Roman" w:hAnsi="Times New Roman" w:cs="Times New Roman"/>
              </w:rPr>
              <w:t>of the</w:t>
            </w:r>
            <w:r w:rsidR="00154216" w:rsidRPr="00BE5C9D">
              <w:rPr>
                <w:rFonts w:ascii="Times New Roman" w:eastAsia="Times New Roman" w:hAnsi="Times New Roman" w:cs="Times New Roman"/>
              </w:rPr>
              <w:t>se</w:t>
            </w:r>
            <w:r w:rsidR="44364FAB" w:rsidRPr="00BE5C9D">
              <w:rPr>
                <w:rFonts w:ascii="Times New Roman" w:eastAsia="Times New Roman" w:hAnsi="Times New Roman" w:cs="Times New Roman"/>
              </w:rPr>
              <w:t xml:space="preserve"> amounts </w:t>
            </w:r>
            <w:r w:rsidR="50650409" w:rsidRPr="00BE5C9D">
              <w:rPr>
                <w:rFonts w:ascii="Times New Roman" w:eastAsia="Times New Roman" w:hAnsi="Times New Roman" w:cs="Times New Roman"/>
              </w:rPr>
              <w:t>as</w:t>
            </w:r>
            <w:r w:rsidR="44364FAB" w:rsidRPr="00BE5C9D">
              <w:rPr>
                <w:rFonts w:ascii="Times New Roman" w:eastAsia="Times New Roman" w:hAnsi="Times New Roman" w:cs="Times New Roman"/>
              </w:rPr>
              <w:t xml:space="preserve"> collection costs</w:t>
            </w:r>
            <w:r w:rsidR="00F86604">
              <w:rPr>
                <w:rFonts w:ascii="Times New Roman" w:eastAsia="Times New Roman" w:hAnsi="Times New Roman" w:cs="Times New Roman"/>
              </w:rPr>
              <w:t>,</w:t>
            </w:r>
            <w:r w:rsidR="2AC19773" w:rsidRPr="00BE5C9D">
              <w:rPr>
                <w:rFonts w:ascii="Times New Roman" w:eastAsia="Times New Roman" w:hAnsi="Times New Roman" w:cs="Times New Roman"/>
              </w:rPr>
              <w:t xml:space="preserve"> </w:t>
            </w:r>
            <w:r w:rsidR="51C76D2E" w:rsidRPr="00BE5C9D">
              <w:rPr>
                <w:rFonts w:ascii="Times New Roman" w:eastAsia="Times New Roman" w:hAnsi="Times New Roman" w:cs="Times New Roman"/>
              </w:rPr>
              <w:t xml:space="preserve">also </w:t>
            </w:r>
            <w:r w:rsidR="2AC19773" w:rsidRPr="00BE5C9D">
              <w:rPr>
                <w:rFonts w:ascii="Times New Roman" w:eastAsia="Times New Roman" w:hAnsi="Times New Roman" w:cs="Times New Roman"/>
              </w:rPr>
              <w:t>to cover</w:t>
            </w:r>
            <w:r w:rsidR="44364FAB" w:rsidRPr="00BE5C9D">
              <w:rPr>
                <w:rFonts w:ascii="Times New Roman" w:eastAsia="Times New Roman" w:hAnsi="Times New Roman" w:cs="Times New Roman"/>
              </w:rPr>
              <w:t xml:space="preserve"> </w:t>
            </w:r>
            <w:r w:rsidR="74E99387" w:rsidRPr="00BE5C9D">
              <w:rPr>
                <w:rFonts w:ascii="Times New Roman" w:eastAsia="Times New Roman" w:hAnsi="Times New Roman" w:cs="Times New Roman"/>
              </w:rPr>
              <w:t>adequate</w:t>
            </w:r>
            <w:r w:rsidR="44364FAB" w:rsidRPr="00BE5C9D">
              <w:rPr>
                <w:rFonts w:ascii="Times New Roman" w:eastAsia="Times New Roman" w:hAnsi="Times New Roman" w:cs="Times New Roman"/>
              </w:rPr>
              <w:t>, sufficiently skilled and equipped staff. The remaining 75% is made available to the EU budget as EU revenue.</w:t>
            </w:r>
          </w:p>
        </w:tc>
      </w:tr>
      <w:tr w:rsidR="00DE0F0F" w:rsidRPr="00B75825" w14:paraId="7AEF8FB6" w14:textId="77777777" w:rsidTr="6E21ED85">
        <w:trPr>
          <w:trHeight w:val="70"/>
        </w:trPr>
        <w:tc>
          <w:tcPr>
            <w:tcW w:w="9314" w:type="dxa"/>
            <w:tcBorders>
              <w:top w:val="single" w:sz="4" w:space="0" w:color="auto"/>
              <w:left w:val="double" w:sz="6" w:space="0" w:color="auto"/>
              <w:bottom w:val="single" w:sz="4" w:space="0" w:color="auto"/>
              <w:right w:val="double" w:sz="6" w:space="0" w:color="auto"/>
            </w:tcBorders>
            <w:tcMar>
              <w:left w:w="105" w:type="dxa"/>
              <w:right w:w="105" w:type="dxa"/>
            </w:tcMar>
          </w:tcPr>
          <w:p w14:paraId="62BEBC29" w14:textId="4710B160" w:rsidR="527AB5ED" w:rsidRPr="00BE5C9D" w:rsidRDefault="28B0F783"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lastRenderedPageBreak/>
              <w:t>On point 2.21 of the opinion</w:t>
            </w:r>
            <w:r w:rsidRPr="00BE5C9D">
              <w:rPr>
                <w:rFonts w:ascii="Times New Roman" w:eastAsia="Times New Roman" w:hAnsi="Times New Roman" w:cs="Times New Roman"/>
                <w:i/>
                <w:iCs/>
                <w:lang w:val="en-GB"/>
              </w:rPr>
              <w:t xml:space="preserve">: </w:t>
            </w:r>
          </w:p>
          <w:p w14:paraId="045D8721" w14:textId="2CA1803C" w:rsidR="527AB5ED" w:rsidRPr="00BE5C9D" w:rsidRDefault="463A5FDB"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rPr>
              <w:t>The European Union has indeed exclusive competence for the Customs Union under Article 3 Treaty on the Functioning of the European Union</w:t>
            </w:r>
            <w:r w:rsidR="00FA5DDC">
              <w:rPr>
                <w:rFonts w:ascii="Times New Roman" w:eastAsia="Times New Roman" w:hAnsi="Times New Roman" w:cs="Times New Roman"/>
              </w:rPr>
              <w:t xml:space="preserve"> (TFEU)</w:t>
            </w:r>
            <w:r w:rsidRPr="00BE5C9D">
              <w:rPr>
                <w:rFonts w:ascii="Times New Roman" w:eastAsia="Times New Roman" w:hAnsi="Times New Roman" w:cs="Times New Roman"/>
              </w:rPr>
              <w:t xml:space="preserve">, meaning only the EU can legislate in this field and establish the Common Customs Tariff and uniform customs rules. These rules are primarily laid down in directly applicable EU legislation </w:t>
            </w:r>
            <w:r w:rsidRPr="00BE5C9D">
              <w:rPr>
                <w:rFonts w:ascii="Times New Roman" w:eastAsia="Times New Roman" w:hAnsi="Times New Roman" w:cs="Times New Roman"/>
                <w:lang w:val="en-GB"/>
              </w:rPr>
              <w:t>such</w:t>
            </w:r>
            <w:r w:rsidRPr="00BE5C9D">
              <w:rPr>
                <w:rFonts w:ascii="Times New Roman" w:eastAsia="Times New Roman" w:hAnsi="Times New Roman" w:cs="Times New Roman"/>
              </w:rPr>
              <w:t xml:space="preserve"> as the Union Customs Code (EU Regulation).</w:t>
            </w:r>
          </w:p>
          <w:p w14:paraId="31C6B8A0" w14:textId="337FCACD" w:rsidR="527AB5ED" w:rsidRPr="00BE5C9D" w:rsidRDefault="79364379"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rPr>
              <w:t xml:space="preserve">However, while the legal framework is </w:t>
            </w:r>
            <w:r w:rsidR="01AE359B" w:rsidRPr="00BE5C9D">
              <w:rPr>
                <w:rFonts w:ascii="Times New Roman" w:eastAsia="Times New Roman" w:hAnsi="Times New Roman" w:cs="Times New Roman"/>
              </w:rPr>
              <w:t>that of the EU</w:t>
            </w:r>
            <w:r w:rsidRPr="00BE5C9D">
              <w:rPr>
                <w:rFonts w:ascii="Times New Roman" w:eastAsia="Times New Roman" w:hAnsi="Times New Roman" w:cs="Times New Roman"/>
              </w:rPr>
              <w:t xml:space="preserve">, implementation and enforcement remain the competence and </w:t>
            </w:r>
            <w:r w:rsidRPr="00BE5C9D">
              <w:rPr>
                <w:rFonts w:ascii="Times New Roman" w:eastAsia="Times New Roman" w:hAnsi="Times New Roman" w:cs="Times New Roman"/>
                <w:lang w:val="en-GB"/>
              </w:rPr>
              <w:t>responsibility</w:t>
            </w:r>
            <w:r w:rsidRPr="00BE5C9D">
              <w:rPr>
                <w:rFonts w:ascii="Times New Roman" w:eastAsia="Times New Roman" w:hAnsi="Times New Roman" w:cs="Times New Roman"/>
              </w:rPr>
              <w:t xml:space="preserve"> of the Member States. National customs authorities apply EU customs law, carry out controls, assess and collect duties, conduct audits</w:t>
            </w:r>
            <w:r w:rsidRPr="002C53BE">
              <w:rPr>
                <w:rFonts w:ascii="Times New Roman" w:eastAsia="Times New Roman" w:hAnsi="Times New Roman" w:cs="Times New Roman"/>
              </w:rPr>
              <w:t>, and impose penalties under national systems. They act in their ow</w:t>
            </w:r>
            <w:r w:rsidRPr="00BE5C9D">
              <w:rPr>
                <w:rFonts w:ascii="Times New Roman" w:eastAsia="Times New Roman" w:hAnsi="Times New Roman" w:cs="Times New Roman"/>
              </w:rPr>
              <w:t>n name, under national accountability structures, even though they apply EU law.</w:t>
            </w:r>
          </w:p>
          <w:p w14:paraId="4EB56BAD" w14:textId="7284176F" w:rsidR="527AB5ED" w:rsidRPr="00BE5C9D" w:rsidRDefault="433FCF32"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rPr>
              <w:t>The role of t</w:t>
            </w:r>
            <w:r w:rsidR="00FA2791">
              <w:rPr>
                <w:rFonts w:ascii="Times New Roman" w:eastAsia="Times New Roman" w:hAnsi="Times New Roman" w:cs="Times New Roman"/>
              </w:rPr>
              <w:t xml:space="preserve">he </w:t>
            </w:r>
            <w:r w:rsidRPr="00BE5C9D">
              <w:rPr>
                <w:rFonts w:ascii="Times New Roman" w:eastAsia="Times New Roman" w:hAnsi="Times New Roman" w:cs="Times New Roman"/>
                <w:lang w:val="en-GB"/>
              </w:rPr>
              <w:t>Commission</w:t>
            </w:r>
            <w:r w:rsidRPr="00BE5C9D">
              <w:rPr>
                <w:rFonts w:ascii="Times New Roman" w:eastAsia="Times New Roman" w:hAnsi="Times New Roman" w:cs="Times New Roman"/>
              </w:rPr>
              <w:t xml:space="preserve"> and that of the EU is therefore not operational but supervisory and coordinating. The SMCP in that sense is intended to play an essential role in supporting Member States in building their </w:t>
            </w:r>
            <w:r w:rsidR="00AC733A" w:rsidRPr="00BE5C9D">
              <w:rPr>
                <w:rFonts w:ascii="Times New Roman" w:eastAsia="Times New Roman" w:hAnsi="Times New Roman" w:cs="Times New Roman"/>
              </w:rPr>
              <w:t>capacities</w:t>
            </w:r>
            <w:r w:rsidR="000914BB">
              <w:rPr>
                <w:rFonts w:ascii="Times New Roman" w:eastAsia="Times New Roman" w:hAnsi="Times New Roman" w:cs="Times New Roman"/>
              </w:rPr>
              <w:t xml:space="preserve"> </w:t>
            </w:r>
            <w:r w:rsidR="00AC733A">
              <w:rPr>
                <w:rFonts w:ascii="Times New Roman" w:eastAsia="Times New Roman" w:hAnsi="Times New Roman" w:cs="Times New Roman"/>
              </w:rPr>
              <w:t xml:space="preserve">also </w:t>
            </w:r>
            <w:r w:rsidRPr="00BE5C9D">
              <w:rPr>
                <w:rFonts w:ascii="Times New Roman" w:eastAsia="Times New Roman" w:hAnsi="Times New Roman" w:cs="Times New Roman"/>
              </w:rPr>
              <w:t>via cooperation (sharing</w:t>
            </w:r>
            <w:r w:rsidR="1C3415C6" w:rsidRPr="00BE5C9D">
              <w:rPr>
                <w:rFonts w:ascii="Times New Roman" w:eastAsia="Times New Roman" w:hAnsi="Times New Roman" w:cs="Times New Roman"/>
              </w:rPr>
              <w:t xml:space="preserve"> </w:t>
            </w:r>
            <w:r w:rsidRPr="00BE5C9D">
              <w:rPr>
                <w:rFonts w:ascii="Times New Roman" w:eastAsia="Times New Roman" w:hAnsi="Times New Roman" w:cs="Times New Roman"/>
              </w:rPr>
              <w:t>know-how and good practices, lessons learnt) and facilitating training.</w:t>
            </w:r>
          </w:p>
          <w:p w14:paraId="7AF223B9" w14:textId="44C1557A" w:rsidR="527AB5ED" w:rsidRPr="00BE5C9D" w:rsidRDefault="463A5FDB" w:rsidP="009A3A68">
            <w:pPr>
              <w:spacing w:line="278" w:lineRule="auto"/>
              <w:jc w:val="both"/>
              <w:rPr>
                <w:rFonts w:ascii="Times New Roman" w:eastAsia="Times New Roman" w:hAnsi="Times New Roman" w:cs="Times New Roman"/>
              </w:rPr>
            </w:pPr>
            <w:r w:rsidRPr="00BE5C9D">
              <w:rPr>
                <w:rFonts w:ascii="Times New Roman" w:eastAsia="Times New Roman" w:hAnsi="Times New Roman" w:cs="Times New Roman"/>
              </w:rPr>
              <w:t xml:space="preserve">In addition, the new EU Customs Authority, introduced by the Commission’s proposal of May 2023 to reform the Customs </w:t>
            </w:r>
            <w:r w:rsidRPr="00BE5C9D">
              <w:rPr>
                <w:rFonts w:ascii="Times New Roman" w:eastAsia="Times New Roman" w:hAnsi="Times New Roman" w:cs="Times New Roman"/>
                <w:lang w:val="en-GB"/>
              </w:rPr>
              <w:t>Union</w:t>
            </w:r>
            <w:r w:rsidRPr="00BE5C9D">
              <w:rPr>
                <w:rFonts w:ascii="Times New Roman" w:eastAsia="Times New Roman" w:hAnsi="Times New Roman" w:cs="Times New Roman"/>
              </w:rPr>
              <w:t>, will operate the EU Customs Data Hub and run central risk analysis. As a decentralised EU agency, the new Authority is to equip national authorities with stronger common tools so that the Customs Union functions more as one, while national competencies remain firmly in the hands of the Member States. It fills a gap in the EU Customs Union landscape and governance, bridging the operational implementation and policy.</w:t>
            </w:r>
          </w:p>
        </w:tc>
      </w:tr>
      <w:tr w:rsidR="00DE0F0F" w:rsidRPr="00B75825" w14:paraId="24B79008" w14:textId="77777777" w:rsidTr="00BE5C9D">
        <w:trPr>
          <w:trHeight w:val="699"/>
        </w:trPr>
        <w:tc>
          <w:tcPr>
            <w:tcW w:w="9314" w:type="dxa"/>
            <w:tcBorders>
              <w:top w:val="single" w:sz="4" w:space="0" w:color="auto"/>
              <w:left w:val="double" w:sz="6" w:space="0" w:color="auto"/>
              <w:bottom w:val="single" w:sz="4" w:space="0" w:color="auto"/>
              <w:right w:val="double" w:sz="6" w:space="0" w:color="auto"/>
            </w:tcBorders>
            <w:tcMar>
              <w:left w:w="105" w:type="dxa"/>
              <w:right w:w="105" w:type="dxa"/>
            </w:tcMar>
          </w:tcPr>
          <w:p w14:paraId="4DE58C24" w14:textId="7F89B436" w:rsidR="00DE0F0F" w:rsidRPr="00BE5C9D" w:rsidRDefault="3F1BB5FF"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On point 2.23 of the opinion</w:t>
            </w:r>
            <w:r w:rsidRPr="00BE5C9D">
              <w:rPr>
                <w:rFonts w:ascii="Times New Roman" w:eastAsia="Times New Roman" w:hAnsi="Times New Roman" w:cs="Times New Roman"/>
                <w:i/>
                <w:iCs/>
                <w:lang w:val="en-GB"/>
              </w:rPr>
              <w:t>:</w:t>
            </w:r>
          </w:p>
          <w:p w14:paraId="36423352" w14:textId="461F33A9" w:rsidR="00DE0F0F" w:rsidRPr="003B5008" w:rsidRDefault="3F1BB5FF" w:rsidP="00C70C50">
            <w:pPr>
              <w:jc w:val="both"/>
              <w:rPr>
                <w:rFonts w:ascii="Times New Roman" w:eastAsia="Times New Roman" w:hAnsi="Times New Roman" w:cs="Times New Roman"/>
              </w:rPr>
            </w:pPr>
            <w:r w:rsidRPr="00BE5C9D">
              <w:rPr>
                <w:rFonts w:ascii="Times New Roman" w:eastAsia="Times New Roman" w:hAnsi="Times New Roman" w:cs="Times New Roman"/>
              </w:rPr>
              <w:t xml:space="preserve">The EU Customs Reform, including the establishment of </w:t>
            </w:r>
            <w:r w:rsidR="003B5008" w:rsidRPr="00013D32">
              <w:rPr>
                <w:rFonts w:ascii="Times New Roman" w:eastAsia="Times New Roman" w:hAnsi="Times New Roman" w:cs="Times New Roman"/>
              </w:rPr>
              <w:t>the new EU Customs Authority</w:t>
            </w:r>
            <w:r w:rsidRPr="00013D32">
              <w:rPr>
                <w:rFonts w:ascii="Times New Roman" w:eastAsia="Times New Roman" w:hAnsi="Times New Roman" w:cs="Times New Roman"/>
              </w:rPr>
              <w:t xml:space="preserve"> and </w:t>
            </w:r>
            <w:r w:rsidR="79675A1A" w:rsidRPr="00013D32">
              <w:rPr>
                <w:rFonts w:ascii="Times New Roman" w:eastAsia="Times New Roman" w:hAnsi="Times New Roman" w:cs="Times New Roman"/>
              </w:rPr>
              <w:t>the EU</w:t>
            </w:r>
            <w:r w:rsidRPr="00013D32">
              <w:rPr>
                <w:rFonts w:ascii="Times New Roman" w:eastAsia="Times New Roman" w:hAnsi="Times New Roman" w:cs="Times New Roman"/>
              </w:rPr>
              <w:t xml:space="preserve"> Customs Data </w:t>
            </w:r>
            <w:r w:rsidR="69283E84" w:rsidRPr="00013D32">
              <w:rPr>
                <w:rFonts w:ascii="Times New Roman" w:eastAsia="Times New Roman" w:hAnsi="Times New Roman" w:cs="Times New Roman"/>
              </w:rPr>
              <w:t>H</w:t>
            </w:r>
            <w:r w:rsidRPr="00013D32">
              <w:rPr>
                <w:rFonts w:ascii="Times New Roman" w:eastAsia="Times New Roman" w:hAnsi="Times New Roman" w:cs="Times New Roman"/>
              </w:rPr>
              <w:t>ub,</w:t>
            </w:r>
            <w:r w:rsidR="008B4BCD">
              <w:rPr>
                <w:rFonts w:ascii="Times New Roman" w:eastAsia="Times New Roman" w:hAnsi="Times New Roman" w:cs="Times New Roman"/>
              </w:rPr>
              <w:t xml:space="preserve"> </w:t>
            </w:r>
            <w:r w:rsidR="003818AC" w:rsidRPr="003818AC">
              <w:rPr>
                <w:rFonts w:ascii="Times New Roman" w:eastAsia="Times New Roman" w:hAnsi="Times New Roman" w:cs="Times New Roman"/>
              </w:rPr>
              <w:t xml:space="preserve">has been approved in the inter-institutional trilogue in March 2026. </w:t>
            </w:r>
            <w:r w:rsidRPr="00BE5C9D">
              <w:rPr>
                <w:rFonts w:ascii="Times New Roman" w:eastAsia="Times New Roman" w:hAnsi="Times New Roman" w:cs="Times New Roman"/>
              </w:rPr>
              <w:t xml:space="preserve"> </w:t>
            </w:r>
            <w:r w:rsidR="003B5008">
              <w:rPr>
                <w:rFonts w:ascii="Times New Roman" w:eastAsia="Times New Roman" w:hAnsi="Times New Roman" w:cs="Times New Roman"/>
              </w:rPr>
              <w:t>T</w:t>
            </w:r>
            <w:r w:rsidRPr="00BE5C9D">
              <w:rPr>
                <w:rFonts w:ascii="Times New Roman" w:eastAsia="Times New Roman" w:hAnsi="Times New Roman" w:cs="Times New Roman"/>
              </w:rPr>
              <w:t>he role and function of the Authority is stipulated in the provisions of the new legislation. The future SMCP will accompany the transition to a reformed Customs Union, including the establishment of the EU Customs Data Hub, as well as reinforced risk and crisis management functionalities by the EU Customs Authority, directly assisting the fu</w:t>
            </w:r>
            <w:r w:rsidR="00BE5C9D" w:rsidRPr="00BE5C9D">
              <w:rPr>
                <w:rFonts w:ascii="Times New Roman" w:eastAsia="Times New Roman" w:hAnsi="Times New Roman" w:cs="Times New Roman"/>
              </w:rPr>
              <w:t>n</w:t>
            </w:r>
            <w:r w:rsidRPr="00BE5C9D">
              <w:rPr>
                <w:rFonts w:ascii="Times New Roman" w:eastAsia="Times New Roman" w:hAnsi="Times New Roman" w:cs="Times New Roman"/>
              </w:rPr>
              <w:t>ctioning of national administrations.</w:t>
            </w:r>
          </w:p>
        </w:tc>
      </w:tr>
      <w:tr w:rsidR="00DE0F0F" w:rsidRPr="00B75825" w14:paraId="4C9D0264" w14:textId="77777777" w:rsidTr="6E21ED85">
        <w:trPr>
          <w:trHeight w:val="1620"/>
        </w:trPr>
        <w:tc>
          <w:tcPr>
            <w:tcW w:w="9314" w:type="dxa"/>
            <w:tcBorders>
              <w:top w:val="single" w:sz="4" w:space="0" w:color="auto"/>
              <w:left w:val="double" w:sz="6" w:space="0" w:color="auto"/>
              <w:bottom w:val="single" w:sz="4" w:space="0" w:color="auto"/>
              <w:right w:val="double" w:sz="6" w:space="0" w:color="auto"/>
            </w:tcBorders>
            <w:tcMar>
              <w:left w:w="105" w:type="dxa"/>
              <w:right w:w="105" w:type="dxa"/>
            </w:tcMar>
          </w:tcPr>
          <w:p w14:paraId="434AB8F1" w14:textId="33BF79C3" w:rsidR="00DE0F0F" w:rsidRPr="00BE5C9D" w:rsidRDefault="3F1BB5FF"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t xml:space="preserve">On point 2.24 of the opinion: </w:t>
            </w:r>
          </w:p>
          <w:p w14:paraId="24A5C234" w14:textId="3E0B2DE6" w:rsidR="00DE0F0F" w:rsidRPr="00BE5C9D" w:rsidRDefault="7E46EAF3" w:rsidP="009A3A68">
            <w:pPr>
              <w:jc w:val="both"/>
              <w:rPr>
                <w:rFonts w:ascii="Times New Roman" w:eastAsia="Times New Roman" w:hAnsi="Times New Roman" w:cs="Times New Roman"/>
              </w:rPr>
            </w:pPr>
            <w:r w:rsidRPr="00BE5C9D">
              <w:rPr>
                <w:rFonts w:ascii="Times New Roman" w:eastAsia="Times New Roman" w:hAnsi="Times New Roman" w:cs="Times New Roman"/>
              </w:rPr>
              <w:t xml:space="preserve">It should be clarified that it is not because customs duty is not collected that there is no customs declaration. </w:t>
            </w:r>
            <w:r w:rsidR="5CB38BD1" w:rsidRPr="00BE5C9D">
              <w:rPr>
                <w:rFonts w:ascii="Times New Roman" w:eastAsia="Times New Roman" w:hAnsi="Times New Roman" w:cs="Times New Roman"/>
              </w:rPr>
              <w:t>A</w:t>
            </w:r>
            <w:r w:rsidRPr="00BE5C9D">
              <w:rPr>
                <w:rFonts w:ascii="Times New Roman" w:eastAsia="Times New Roman" w:hAnsi="Times New Roman" w:cs="Times New Roman"/>
              </w:rPr>
              <w:t>ll goods</w:t>
            </w:r>
            <w:r w:rsidR="00D42AFE">
              <w:rPr>
                <w:rFonts w:ascii="Times New Roman" w:eastAsia="Times New Roman" w:hAnsi="Times New Roman" w:cs="Times New Roman"/>
              </w:rPr>
              <w:t>,</w:t>
            </w:r>
            <w:r w:rsidRPr="00BE5C9D">
              <w:rPr>
                <w:rFonts w:ascii="Times New Roman" w:eastAsia="Times New Roman" w:hAnsi="Times New Roman" w:cs="Times New Roman"/>
              </w:rPr>
              <w:t xml:space="preserve"> irrespective of their value</w:t>
            </w:r>
            <w:r w:rsidR="00D42AFE">
              <w:rPr>
                <w:rFonts w:ascii="Times New Roman" w:eastAsia="Times New Roman" w:hAnsi="Times New Roman" w:cs="Times New Roman"/>
              </w:rPr>
              <w:t>,</w:t>
            </w:r>
            <w:r w:rsidRPr="00BE5C9D">
              <w:rPr>
                <w:rFonts w:ascii="Times New Roman" w:eastAsia="Times New Roman" w:hAnsi="Times New Roman" w:cs="Times New Roman"/>
              </w:rPr>
              <w:t xml:space="preserve"> are to be declared</w:t>
            </w:r>
            <w:r w:rsidR="42FF142D" w:rsidRPr="00BE5C9D">
              <w:rPr>
                <w:rFonts w:ascii="Times New Roman" w:eastAsia="Times New Roman" w:hAnsi="Times New Roman" w:cs="Times New Roman"/>
              </w:rPr>
              <w:t>, including where no customs duties are due</w:t>
            </w:r>
            <w:r w:rsidRPr="00BE5C9D">
              <w:rPr>
                <w:rFonts w:ascii="Times New Roman" w:eastAsia="Times New Roman" w:hAnsi="Times New Roman" w:cs="Times New Roman"/>
              </w:rPr>
              <w:t xml:space="preserve">. This requirement applies to all imported goods, including those of low value. It is </w:t>
            </w:r>
            <w:r w:rsidRPr="00BE5C9D">
              <w:rPr>
                <w:rFonts w:ascii="Times New Roman" w:eastAsia="Times New Roman" w:hAnsi="Times New Roman" w:cs="Times New Roman"/>
                <w:lang w:val="en-GB"/>
              </w:rPr>
              <w:t>therefore</w:t>
            </w:r>
            <w:r w:rsidRPr="00BE5C9D">
              <w:rPr>
                <w:rFonts w:ascii="Times New Roman" w:eastAsia="Times New Roman" w:hAnsi="Times New Roman" w:cs="Times New Roman"/>
              </w:rPr>
              <w:t xml:space="preserve"> not expected that the end of the de minimis rule would generate an increase in the number of declarations.</w:t>
            </w:r>
          </w:p>
          <w:p w14:paraId="0B5B6777" w14:textId="2464F819" w:rsidR="00DE0F0F" w:rsidRPr="00BE5C9D" w:rsidRDefault="7E46EAF3" w:rsidP="1F70C23F">
            <w:pPr>
              <w:jc w:val="both"/>
              <w:rPr>
                <w:rFonts w:ascii="Times New Roman" w:eastAsia="Times New Roman" w:hAnsi="Times New Roman" w:cs="Times New Roman"/>
                <w:i/>
                <w:iCs/>
                <w:u w:val="single"/>
              </w:rPr>
            </w:pPr>
            <w:r w:rsidRPr="00BE5C9D">
              <w:rPr>
                <w:rFonts w:ascii="Times New Roman" w:eastAsia="Times New Roman" w:hAnsi="Times New Roman" w:cs="Times New Roman"/>
              </w:rPr>
              <w:lastRenderedPageBreak/>
              <w:t xml:space="preserve">As all goods are </w:t>
            </w:r>
            <w:r w:rsidRPr="00BE5C9D">
              <w:rPr>
                <w:rFonts w:ascii="Times New Roman" w:eastAsia="Times New Roman" w:hAnsi="Times New Roman" w:cs="Times New Roman"/>
                <w:lang w:val="en-GB"/>
              </w:rPr>
              <w:t>declared</w:t>
            </w:r>
            <w:r w:rsidRPr="00BE5C9D">
              <w:rPr>
                <w:rFonts w:ascii="Times New Roman" w:eastAsia="Times New Roman" w:hAnsi="Times New Roman" w:cs="Times New Roman"/>
              </w:rPr>
              <w:t xml:space="preserve">, </w:t>
            </w:r>
            <w:r w:rsidR="2AF7A4DA" w:rsidRPr="00BE5C9D">
              <w:rPr>
                <w:rFonts w:ascii="Times New Roman" w:eastAsia="Times New Roman" w:hAnsi="Times New Roman" w:cs="Times New Roman"/>
              </w:rPr>
              <w:t xml:space="preserve">customs </w:t>
            </w:r>
            <w:r w:rsidRPr="00BE5C9D">
              <w:rPr>
                <w:rFonts w:ascii="Times New Roman" w:eastAsia="Times New Roman" w:hAnsi="Times New Roman" w:cs="Times New Roman"/>
              </w:rPr>
              <w:t xml:space="preserve">controls can be performed on the basis of these customs declarations. Thus, there is no link between the end of customs duty relief and </w:t>
            </w:r>
            <w:r w:rsidR="2B66332D" w:rsidRPr="00BE5C9D">
              <w:rPr>
                <w:rFonts w:ascii="Times New Roman" w:eastAsia="Times New Roman" w:hAnsi="Times New Roman" w:cs="Times New Roman"/>
              </w:rPr>
              <w:t xml:space="preserve">the </w:t>
            </w:r>
            <w:r w:rsidRPr="00BE5C9D">
              <w:rPr>
                <w:rFonts w:ascii="Times New Roman" w:eastAsia="Times New Roman" w:hAnsi="Times New Roman" w:cs="Times New Roman"/>
              </w:rPr>
              <w:t>number of controls performed by the customs authorities. The additional work would only apply to the collection of this new customs duty</w:t>
            </w:r>
            <w:r w:rsidR="00993778">
              <w:rPr>
                <w:rFonts w:ascii="Times New Roman" w:eastAsia="Times New Roman" w:hAnsi="Times New Roman" w:cs="Times New Roman"/>
              </w:rPr>
              <w:t>, including verification of the amount declared and paid, and</w:t>
            </w:r>
            <w:r w:rsidR="684B32B2" w:rsidRPr="00BE5C9D">
              <w:rPr>
                <w:rFonts w:ascii="Times New Roman" w:eastAsia="Times New Roman" w:hAnsi="Times New Roman" w:cs="Times New Roman"/>
              </w:rPr>
              <w:t xml:space="preserve"> for which the national authorities will retain 25% of the customs duties as collection costs</w:t>
            </w:r>
            <w:r w:rsidRPr="00BE5C9D">
              <w:rPr>
                <w:rFonts w:ascii="Times New Roman" w:eastAsia="Times New Roman" w:hAnsi="Times New Roman" w:cs="Times New Roman"/>
              </w:rPr>
              <w:t>.</w:t>
            </w:r>
          </w:p>
        </w:tc>
      </w:tr>
      <w:tr w:rsidR="00DE0F0F" w:rsidRPr="00C764B1" w14:paraId="240C4199" w14:textId="77777777" w:rsidTr="6E21ED85">
        <w:trPr>
          <w:trHeight w:val="416"/>
        </w:trPr>
        <w:tc>
          <w:tcPr>
            <w:tcW w:w="9314" w:type="dxa"/>
            <w:tcBorders>
              <w:top w:val="single" w:sz="4" w:space="0" w:color="auto"/>
              <w:left w:val="double" w:sz="6" w:space="0" w:color="auto"/>
              <w:bottom w:val="double" w:sz="6" w:space="0" w:color="auto"/>
              <w:right w:val="double" w:sz="6" w:space="0" w:color="auto"/>
            </w:tcBorders>
            <w:tcMar>
              <w:left w:w="105" w:type="dxa"/>
              <w:right w:w="105" w:type="dxa"/>
            </w:tcMar>
          </w:tcPr>
          <w:p w14:paraId="2848DD2B" w14:textId="5202B3F9" w:rsidR="00DE0F0F" w:rsidRPr="00BE5C9D" w:rsidRDefault="3F1BB5FF" w:rsidP="0BC3107E">
            <w:pPr>
              <w:jc w:val="both"/>
              <w:rPr>
                <w:rFonts w:ascii="Times New Roman" w:eastAsia="Times New Roman" w:hAnsi="Times New Roman" w:cs="Times New Roman"/>
                <w:i/>
                <w:iCs/>
                <w:lang w:val="en-GB"/>
              </w:rPr>
            </w:pPr>
            <w:r w:rsidRPr="00BE5C9D">
              <w:rPr>
                <w:rFonts w:ascii="Times New Roman" w:eastAsia="Times New Roman" w:hAnsi="Times New Roman" w:cs="Times New Roman"/>
                <w:i/>
                <w:iCs/>
                <w:u w:val="single"/>
                <w:lang w:val="en-GB"/>
              </w:rPr>
              <w:lastRenderedPageBreak/>
              <w:t xml:space="preserve">On point 2.25 of the opinion: </w:t>
            </w:r>
          </w:p>
          <w:p w14:paraId="0E59931D" w14:textId="31FDE2AE" w:rsidR="00DE0F0F" w:rsidRPr="00BE5C9D" w:rsidRDefault="00DE0F0F" w:rsidP="009A3A68">
            <w:pPr>
              <w:jc w:val="both"/>
              <w:rPr>
                <w:rFonts w:ascii="Times New Roman" w:eastAsia="Times New Roman" w:hAnsi="Times New Roman" w:cs="Times New Roman"/>
                <w:lang w:val="en-GB"/>
              </w:rPr>
            </w:pPr>
            <w:r w:rsidRPr="00BE5C9D">
              <w:rPr>
                <w:rFonts w:ascii="Times New Roman" w:eastAsia="Times New Roman" w:hAnsi="Times New Roman" w:cs="Times New Roman"/>
                <w:lang w:val="en-GB"/>
              </w:rPr>
              <w:t xml:space="preserve">The Commission highlights that even if Member States can use this revenue increase to finance their services, the main aim of the abolition of the de minimis </w:t>
            </w:r>
            <w:r w:rsidR="009C176B">
              <w:rPr>
                <w:rFonts w:ascii="Times New Roman" w:eastAsia="Times New Roman" w:hAnsi="Times New Roman" w:cs="Times New Roman"/>
              </w:rPr>
              <w:t xml:space="preserve">rule </w:t>
            </w:r>
            <w:r w:rsidRPr="00BE5C9D">
              <w:rPr>
                <w:rFonts w:ascii="Times New Roman" w:eastAsia="Times New Roman" w:hAnsi="Times New Roman" w:cs="Times New Roman"/>
                <w:lang w:val="en-GB"/>
              </w:rPr>
              <w:t xml:space="preserve">is to establish a fair competitive environment between </w:t>
            </w:r>
            <w:r w:rsidR="003818AC" w:rsidRPr="003818AC">
              <w:rPr>
                <w:rFonts w:ascii="Times New Roman" w:eastAsia="Times New Roman" w:hAnsi="Times New Roman" w:cs="Times New Roman"/>
                <w:lang w:val="en-GB"/>
              </w:rPr>
              <w:t xml:space="preserve">imported goods irrespective of the business model (individual parcels or bulk). </w:t>
            </w:r>
          </w:p>
          <w:p w14:paraId="29BBC89F" w14:textId="06E63985" w:rsidR="00DE0F0F" w:rsidRPr="00FA2791" w:rsidRDefault="4C6248F4" w:rsidP="1F70C23F">
            <w:pPr>
              <w:jc w:val="both"/>
              <w:rPr>
                <w:rFonts w:ascii="Times New Roman" w:eastAsia="Times New Roman" w:hAnsi="Times New Roman" w:cs="Times New Roman"/>
                <w:i/>
                <w:iCs/>
                <w:u w:val="single"/>
              </w:rPr>
            </w:pPr>
            <w:r w:rsidRPr="00BE5C9D">
              <w:rPr>
                <w:rFonts w:ascii="Times New Roman" w:eastAsia="Times New Roman" w:hAnsi="Times New Roman" w:cs="Times New Roman"/>
                <w:lang w:val="en-GB"/>
              </w:rPr>
              <w:t>In addition, the anticipated reform of the Union Customs Code foresees the introduction of a</w:t>
            </w:r>
            <w:r w:rsidR="00854A85">
              <w:rPr>
                <w:rFonts w:ascii="Times New Roman" w:eastAsia="Times New Roman" w:hAnsi="Times New Roman" w:cs="Times New Roman"/>
                <w:lang w:val="en-GB"/>
              </w:rPr>
              <w:t> </w:t>
            </w:r>
            <w:r w:rsidRPr="00BE5C9D">
              <w:rPr>
                <w:rFonts w:ascii="Times New Roman" w:eastAsia="Times New Roman" w:hAnsi="Times New Roman" w:cs="Times New Roman"/>
                <w:lang w:val="en-GB"/>
              </w:rPr>
              <w:t xml:space="preserve">Union handling fee by </w:t>
            </w:r>
            <w:r w:rsidR="64F9C110" w:rsidRPr="00BE5C9D">
              <w:rPr>
                <w:rFonts w:ascii="Times New Roman" w:eastAsia="Times New Roman" w:hAnsi="Times New Roman" w:cs="Times New Roman"/>
                <w:lang w:val="en-GB"/>
              </w:rPr>
              <w:t>November</w:t>
            </w:r>
            <w:r w:rsidRPr="00BE5C9D">
              <w:rPr>
                <w:rFonts w:ascii="Times New Roman" w:eastAsia="Times New Roman" w:hAnsi="Times New Roman" w:cs="Times New Roman"/>
                <w:lang w:val="en-GB"/>
              </w:rPr>
              <w:t xml:space="preserve"> 2026</w:t>
            </w:r>
            <w:r w:rsidR="003818AC">
              <w:rPr>
                <w:rFonts w:ascii="Times New Roman" w:eastAsia="Times New Roman" w:hAnsi="Times New Roman" w:cs="Times New Roman"/>
                <w:lang w:val="en-GB"/>
              </w:rPr>
              <w:t xml:space="preserve"> at the latest.</w:t>
            </w:r>
            <w:r w:rsidRPr="00BE5C9D">
              <w:rPr>
                <w:rFonts w:ascii="Times New Roman" w:eastAsia="Times New Roman" w:hAnsi="Times New Roman" w:cs="Times New Roman"/>
                <w:lang w:val="en-GB"/>
              </w:rPr>
              <w:t xml:space="preserve"> This handling fee is</w:t>
            </w:r>
            <w:r w:rsidRPr="00BE5C9D">
              <w:rPr>
                <w:rFonts w:ascii="Times New Roman" w:hAnsi="Times New Roman" w:cs="Times New Roman"/>
                <w:lang w:val="en-GB"/>
              </w:rPr>
              <w:t xml:space="preserve"> </w:t>
            </w:r>
            <w:r w:rsidRPr="00BE5C9D">
              <w:rPr>
                <w:rFonts w:ascii="Times New Roman" w:eastAsia="Times New Roman" w:hAnsi="Times New Roman" w:cs="Times New Roman"/>
                <w:lang w:val="en-GB"/>
              </w:rPr>
              <w:t>a charge collected for the service rendered by customs authorities for treating a request to place goods under a</w:t>
            </w:r>
            <w:r w:rsidR="00854A85">
              <w:rPr>
                <w:rFonts w:ascii="Times New Roman" w:eastAsia="Times New Roman" w:hAnsi="Times New Roman" w:cs="Times New Roman"/>
                <w:lang w:val="en-GB"/>
              </w:rPr>
              <w:t> </w:t>
            </w:r>
            <w:r w:rsidRPr="00BE5C9D">
              <w:rPr>
                <w:rFonts w:ascii="Times New Roman" w:eastAsia="Times New Roman" w:hAnsi="Times New Roman" w:cs="Times New Roman"/>
                <w:lang w:val="en-GB"/>
              </w:rPr>
              <w:t xml:space="preserve">customs procedure, including the risk analysis performed on each data provided. </w:t>
            </w:r>
            <w:r w:rsidR="1D1E31A2" w:rsidRPr="00BE5C9D">
              <w:rPr>
                <w:rFonts w:ascii="Times New Roman" w:hAnsi="Times New Roman" w:cs="Times New Roman"/>
                <w:lang w:val="en-GB"/>
              </w:rPr>
              <w:t>As an amount to be established by the institutions of the Union in respect of trade with third countries</w:t>
            </w:r>
            <w:r w:rsidRPr="00BE5C9D">
              <w:rPr>
                <w:rFonts w:ascii="Times New Roman" w:eastAsia="Times New Roman" w:hAnsi="Times New Roman" w:cs="Times New Roman"/>
                <w:lang w:val="en-GB"/>
              </w:rPr>
              <w:t xml:space="preserve"> </w:t>
            </w:r>
            <w:r w:rsidR="662427A9" w:rsidRPr="00BE5C9D">
              <w:rPr>
                <w:rFonts w:ascii="Times New Roman" w:eastAsia="Times New Roman" w:hAnsi="Times New Roman" w:cs="Times New Roman"/>
                <w:lang w:val="en-GB"/>
              </w:rPr>
              <w:t xml:space="preserve">it </w:t>
            </w:r>
            <w:r w:rsidRPr="00BE5C9D">
              <w:rPr>
                <w:rFonts w:ascii="Times New Roman" w:eastAsia="Times New Roman" w:hAnsi="Times New Roman" w:cs="Times New Roman"/>
                <w:lang w:val="en-GB"/>
              </w:rPr>
              <w:t xml:space="preserve">is expected to </w:t>
            </w:r>
            <w:r w:rsidR="4C863E02" w:rsidRPr="00BE5C9D">
              <w:rPr>
                <w:rFonts w:ascii="Times New Roman" w:eastAsia="Times New Roman" w:hAnsi="Times New Roman" w:cs="Times New Roman"/>
                <w:lang w:val="en-GB"/>
              </w:rPr>
              <w:t>increase the collection of traditional own resources</w:t>
            </w:r>
            <w:r w:rsidRPr="00BE5C9D">
              <w:rPr>
                <w:rFonts w:ascii="Times New Roman" w:eastAsia="Times New Roman" w:hAnsi="Times New Roman" w:cs="Times New Roman"/>
                <w:lang w:val="en-GB"/>
              </w:rPr>
              <w:t>. Overall, these measures aim to enhance fairness and efficiency within the EU market.</w:t>
            </w:r>
          </w:p>
        </w:tc>
      </w:tr>
    </w:tbl>
    <w:p w14:paraId="2F6FB846" w14:textId="3DD00AE5" w:rsidR="2E33F544" w:rsidRPr="00290C59" w:rsidRDefault="2E33F544">
      <w:pPr>
        <w:rPr>
          <w:sz w:val="2"/>
          <w:szCs w:val="2"/>
        </w:rPr>
      </w:pPr>
    </w:p>
    <w:p w14:paraId="55689A60" w14:textId="336FEE7D" w:rsidR="003206D1" w:rsidRPr="00290C59" w:rsidRDefault="003206D1" w:rsidP="47970B28">
      <w:pPr>
        <w:spacing w:after="0"/>
        <w:rPr>
          <w:sz w:val="2"/>
          <w:szCs w:val="2"/>
        </w:rPr>
      </w:pPr>
    </w:p>
    <w:p w14:paraId="2C078E63" w14:textId="3A855C57" w:rsidR="003206D1" w:rsidRPr="00290C59" w:rsidRDefault="003206D1">
      <w:pPr>
        <w:rPr>
          <w:sz w:val="2"/>
          <w:szCs w:val="2"/>
          <w:lang w:val="en-IE"/>
        </w:rPr>
      </w:pPr>
    </w:p>
    <w:sectPr w:rsidR="003206D1" w:rsidRPr="00290C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993B" w14:textId="77777777" w:rsidR="000A4E0F" w:rsidRDefault="000A4E0F">
      <w:pPr>
        <w:spacing w:after="0" w:line="240" w:lineRule="auto"/>
      </w:pPr>
      <w:r>
        <w:separator/>
      </w:r>
    </w:p>
  </w:endnote>
  <w:endnote w:type="continuationSeparator" w:id="0">
    <w:p w14:paraId="5F659283" w14:textId="77777777" w:rsidR="000A4E0F" w:rsidRDefault="000A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C193" w14:textId="77777777" w:rsidR="00DB3D84" w:rsidRDefault="00DB3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940205"/>
      <w:docPartObj>
        <w:docPartGallery w:val="Page Numbers (Bottom of Page)"/>
        <w:docPartUnique/>
      </w:docPartObj>
    </w:sdtPr>
    <w:sdtEndPr>
      <w:rPr>
        <w:noProof/>
      </w:rPr>
    </w:sdtEndPr>
    <w:sdtContent>
      <w:p w14:paraId="23CA5F7B" w14:textId="2120BB0B" w:rsidR="00DB3D84" w:rsidRDefault="00DB3D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807F4" w14:textId="77777777" w:rsidR="00DB3D84" w:rsidRDefault="00DB3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F59C" w14:textId="77777777" w:rsidR="00DB3D84" w:rsidRDefault="00DB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D1E0" w14:textId="77777777" w:rsidR="000A4E0F" w:rsidRDefault="000A4E0F">
      <w:pPr>
        <w:spacing w:after="0" w:line="240" w:lineRule="auto"/>
      </w:pPr>
      <w:r>
        <w:separator/>
      </w:r>
    </w:p>
  </w:footnote>
  <w:footnote w:type="continuationSeparator" w:id="0">
    <w:p w14:paraId="43EC29DA" w14:textId="77777777" w:rsidR="000A4E0F" w:rsidRDefault="000A4E0F">
      <w:pPr>
        <w:spacing w:after="0" w:line="240" w:lineRule="auto"/>
      </w:pPr>
      <w:r>
        <w:continuationSeparator/>
      </w:r>
    </w:p>
  </w:footnote>
  <w:footnote w:id="1">
    <w:p w14:paraId="164035C0" w14:textId="62F0E3F0" w:rsidR="00215769" w:rsidRPr="00290C59" w:rsidRDefault="00215769" w:rsidP="00290C59">
      <w:pPr>
        <w:pStyle w:val="FootnoteText"/>
        <w:widowControl w:val="0"/>
        <w:ind w:left="426" w:hanging="284"/>
        <w:jc w:val="both"/>
        <w:rPr>
          <w:rFonts w:ascii="Times New Roman" w:hAnsi="Times New Roman" w:cs="Times New Roman"/>
          <w:lang w:val="en-IE"/>
        </w:rPr>
      </w:pPr>
      <w:r w:rsidRPr="00290C59">
        <w:rPr>
          <w:rStyle w:val="FootnoteReference"/>
          <w:rFonts w:ascii="Times New Roman" w:hAnsi="Times New Roman" w:cs="Times New Roman"/>
        </w:rPr>
        <w:footnoteRef/>
      </w:r>
      <w:r w:rsidRPr="00290C59">
        <w:rPr>
          <w:rFonts w:ascii="Times New Roman" w:hAnsi="Times New Roman" w:cs="Times New Roman"/>
        </w:rPr>
        <w:t xml:space="preserve"> </w:t>
      </w:r>
      <w:r w:rsidRPr="00290C59">
        <w:rPr>
          <w:rFonts w:ascii="Times New Roman" w:hAnsi="Times New Roman" w:cs="Times New Roman"/>
          <w:lang w:val="en-IE"/>
        </w:rPr>
        <w:tab/>
      </w:r>
      <w:hyperlink r:id="rId1" w:history="1">
        <w:r w:rsidRPr="00290C59">
          <w:rPr>
            <w:rStyle w:val="Hyperlink"/>
            <w:rFonts w:ascii="Times New Roman" w:hAnsi="Times New Roman" w:cs="Times New Roman"/>
          </w:rPr>
          <w:t>EU Trade policy - EUR-Lex</w:t>
        </w:r>
      </w:hyperlink>
      <w:r w:rsidR="00854A85">
        <w:rPr>
          <w:rFonts w:ascii="Times New Roman" w:hAnsi="Times New Roman" w:cs="Times New Roman"/>
          <w:lang w:val="en-IE"/>
        </w:rPr>
        <w:t>.</w:t>
      </w:r>
    </w:p>
  </w:footnote>
  <w:footnote w:id="2">
    <w:p w14:paraId="2385CC7A" w14:textId="757D828C" w:rsidR="00215769" w:rsidRPr="00290C59" w:rsidRDefault="00215769" w:rsidP="00290C59">
      <w:pPr>
        <w:pStyle w:val="FootnoteText"/>
        <w:widowControl w:val="0"/>
        <w:ind w:left="426" w:hanging="284"/>
        <w:jc w:val="both"/>
        <w:rPr>
          <w:rFonts w:ascii="Times New Roman" w:hAnsi="Times New Roman" w:cs="Times New Roman"/>
          <w:lang w:val="en-IE"/>
        </w:rPr>
      </w:pPr>
      <w:r w:rsidRPr="00290C59">
        <w:rPr>
          <w:rStyle w:val="FootnoteReference"/>
          <w:rFonts w:ascii="Times New Roman" w:hAnsi="Times New Roman" w:cs="Times New Roman"/>
        </w:rPr>
        <w:footnoteRef/>
      </w:r>
      <w:r w:rsidR="002069A3">
        <w:rPr>
          <w:rFonts w:ascii="Times New Roman" w:hAnsi="Times New Roman" w:cs="Times New Roman"/>
        </w:rPr>
        <w:t xml:space="preserve"> </w:t>
      </w:r>
      <w:r w:rsidRPr="00290C59">
        <w:rPr>
          <w:rFonts w:ascii="Times New Roman" w:hAnsi="Times New Roman" w:cs="Times New Roman"/>
        </w:rPr>
        <w:t>Regulation (EU) 2021/690 of the European Parliament and of the Council of 28 April 2021 establishing a programme for the internal market, competitiveness of enterprises, including small and medium-sized enterprises, the area of plants, animals, food and feed, and European statistics (Single Market Programme) and repealing Regulations (EU) No 99/2013, (EU) No 1287/2013, (EU) No 254/2014 and (EU) No 652/2014 (</w:t>
      </w:r>
      <w:hyperlink r:id="rId2" w:tooltip="Gives access to this document through its ELI URI." w:history="1">
        <w:r w:rsidRPr="00290C59">
          <w:rPr>
            <w:rStyle w:val="Hyperlink"/>
            <w:rFonts w:ascii="Times New Roman" w:hAnsi="Times New Roman" w:cs="Times New Roman"/>
          </w:rPr>
          <w:t>http://data.europa.eu/eli/reg/2021/690/oj</w:t>
        </w:r>
      </w:hyperlink>
      <w:r w:rsidRPr="00290C59">
        <w:rPr>
          <w:rFonts w:ascii="Times New Roman" w:hAnsi="Times New Roman" w:cs="Times New Roman"/>
        </w:rPr>
        <w:t>).</w:t>
      </w:r>
    </w:p>
  </w:footnote>
  <w:footnote w:id="3">
    <w:p w14:paraId="5338AE7C" w14:textId="56EA9CF9" w:rsidR="004013A1" w:rsidRPr="00290C59" w:rsidRDefault="004013A1" w:rsidP="00290C59">
      <w:pPr>
        <w:pStyle w:val="FootnoteText"/>
        <w:widowControl w:val="0"/>
        <w:ind w:left="284" w:hanging="142"/>
        <w:jc w:val="both"/>
        <w:rPr>
          <w:lang w:val="fr-BE"/>
        </w:rPr>
      </w:pPr>
      <w:r w:rsidRPr="00290C59">
        <w:rPr>
          <w:rStyle w:val="FootnoteReference"/>
          <w:rFonts w:ascii="Times New Roman" w:hAnsi="Times New Roman" w:cs="Times New Roman"/>
        </w:rPr>
        <w:footnoteRef/>
      </w:r>
      <w:r>
        <w:rPr>
          <w:rFonts w:ascii="Times New Roman" w:hAnsi="Times New Roman" w:cs="Times New Roman"/>
          <w:lang w:val="fr-BE"/>
        </w:rPr>
        <w:tab/>
      </w:r>
      <w:r w:rsidRPr="00290C59">
        <w:rPr>
          <w:rFonts w:ascii="Times New Roman" w:hAnsi="Times New Roman" w:cs="Times New Roman"/>
          <w:lang w:val="fr-BE"/>
        </w:rPr>
        <w:t>COM(2025)500 final (</w:t>
      </w:r>
      <w:hyperlink r:id="rId3" w:history="1">
        <w:r w:rsidRPr="00290C59">
          <w:rPr>
            <w:rStyle w:val="Hyperlink"/>
            <w:rFonts w:ascii="Times New Roman" w:hAnsi="Times New Roman" w:cs="Times New Roman"/>
            <w:lang w:val="fr-BE"/>
          </w:rPr>
          <w:t>EUR-Lex - 52025DC0500 - EN - EUR-Lex</w:t>
        </w:r>
      </w:hyperlink>
      <w:r w:rsidRPr="00290C59">
        <w:rPr>
          <w:rFonts w:ascii="Times New Roman" w:hAnsi="Times New Roman" w:cs="Times New Roman"/>
          <w:lang w:val="fr-BE"/>
        </w:rPr>
        <w:t>).</w:t>
      </w:r>
    </w:p>
  </w:footnote>
  <w:footnote w:id="4">
    <w:p w14:paraId="42830341" w14:textId="123B2650" w:rsidR="00FA5DDC" w:rsidRPr="00290C59" w:rsidRDefault="00FA5DDC" w:rsidP="00854A85">
      <w:pPr>
        <w:pStyle w:val="FootnoteText"/>
        <w:widowControl w:val="0"/>
        <w:ind w:left="426" w:hanging="284"/>
        <w:jc w:val="both"/>
        <w:rPr>
          <w:rFonts w:ascii="Times New Roman" w:hAnsi="Times New Roman" w:cs="Times New Roman"/>
          <w:lang w:val="fr-BE"/>
        </w:rPr>
      </w:pPr>
      <w:r w:rsidRPr="00290C59">
        <w:rPr>
          <w:rStyle w:val="FootnoteReference"/>
          <w:rFonts w:ascii="Times New Roman" w:hAnsi="Times New Roman" w:cs="Times New Roman"/>
        </w:rPr>
        <w:footnoteRef/>
      </w:r>
      <w:r w:rsidRPr="00290C59">
        <w:rPr>
          <w:rFonts w:ascii="Times New Roman" w:hAnsi="Times New Roman" w:cs="Times New Roman"/>
          <w:lang w:val="fr-BE"/>
        </w:rPr>
        <w:t xml:space="preserve"> </w:t>
      </w:r>
      <w:r w:rsidR="002069A3">
        <w:rPr>
          <w:rFonts w:ascii="Times New Roman" w:hAnsi="Times New Roman" w:cs="Times New Roman"/>
          <w:lang w:val="fr-BE"/>
        </w:rPr>
        <w:t xml:space="preserve">    </w:t>
      </w:r>
      <w:r w:rsidRPr="00290C59">
        <w:rPr>
          <w:rFonts w:ascii="Times New Roman" w:hAnsi="Times New Roman" w:cs="Times New Roman"/>
          <w:lang w:val="fr-BE"/>
        </w:rPr>
        <w:t>COM(2023)257 final (</w:t>
      </w:r>
      <w:hyperlink r:id="rId4" w:history="1">
        <w:r w:rsidRPr="00290C59">
          <w:rPr>
            <w:rStyle w:val="Hyperlink"/>
            <w:rFonts w:ascii="Times New Roman" w:hAnsi="Times New Roman" w:cs="Times New Roman"/>
            <w:lang w:val="fr-BE"/>
          </w:rPr>
          <w:t>EUR-Lex - 52023DC0257 - EN - EUR-Lex</w:t>
        </w:r>
      </w:hyperlink>
      <w:r w:rsidRPr="00290C59">
        <w:rPr>
          <w:rFonts w:ascii="Times New Roman" w:hAnsi="Times New Roman" w:cs="Times New Roman"/>
          <w:lang w:val="fr-BE"/>
        </w:rPr>
        <w:t>).</w:t>
      </w:r>
    </w:p>
  </w:footnote>
  <w:footnote w:id="5">
    <w:p w14:paraId="315F9438" w14:textId="02398E81" w:rsidR="00655332" w:rsidRPr="00290C59" w:rsidRDefault="00655332" w:rsidP="00854A85">
      <w:pPr>
        <w:pStyle w:val="FootnoteText"/>
        <w:widowControl w:val="0"/>
        <w:ind w:left="426" w:hanging="284"/>
        <w:jc w:val="both"/>
        <w:rPr>
          <w:rFonts w:ascii="Times New Roman" w:hAnsi="Times New Roman" w:cs="Times New Roman"/>
          <w:lang w:val="en-IE"/>
        </w:rPr>
      </w:pPr>
      <w:r w:rsidRPr="00290C59">
        <w:rPr>
          <w:rStyle w:val="FootnoteReference"/>
          <w:rFonts w:ascii="Times New Roman" w:hAnsi="Times New Roman" w:cs="Times New Roman"/>
        </w:rPr>
        <w:footnoteRef/>
      </w:r>
      <w:r w:rsidRPr="00290C59">
        <w:rPr>
          <w:rFonts w:ascii="Times New Roman" w:hAnsi="Times New Roman" w:cs="Times New Roman"/>
        </w:rPr>
        <w:t xml:space="preserve"> </w:t>
      </w:r>
      <w:r w:rsidRPr="00290C59">
        <w:rPr>
          <w:rFonts w:ascii="Times New Roman" w:hAnsi="Times New Roman" w:cs="Times New Roman"/>
          <w:lang w:val="en-IE"/>
        </w:rPr>
        <w:tab/>
      </w:r>
      <w:r w:rsidRPr="00290C59">
        <w:rPr>
          <w:rFonts w:ascii="Times New Roman" w:hAnsi="Times New Roman" w:cs="Times New Roman"/>
        </w:rPr>
        <w:t>Council Decision (EU, Euratom) 2020/2053 of 14 December 2020 on the system of own resources of the European Union and repealing Decision 2014/335/EU, Euratom ( </w:t>
      </w:r>
      <w:hyperlink r:id="rId5" w:tooltip="Gives access to this document through its ELI URI." w:history="1">
        <w:r w:rsidRPr="00290C59">
          <w:rPr>
            <w:rStyle w:val="Hyperlink"/>
            <w:rFonts w:ascii="Times New Roman" w:hAnsi="Times New Roman" w:cs="Times New Roman"/>
          </w:rPr>
          <w:t>http://data.europa.eu/eli/dec/2020/2053/oj</w:t>
        </w:r>
      </w:hyperlink>
      <w:r w:rsidRPr="00290C5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1DF2" w14:textId="77777777" w:rsidR="00DB3D84" w:rsidRDefault="00DB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3855" w14:textId="77777777" w:rsidR="00DB3D84" w:rsidRDefault="00DB3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27AE" w14:textId="77777777" w:rsidR="00DB3D84" w:rsidRDefault="00DB3D84">
    <w:pPr>
      <w:pStyle w:val="Header"/>
    </w:pPr>
  </w:p>
</w:hdr>
</file>

<file path=word/intelligence2.xml><?xml version="1.0" encoding="utf-8"?>
<int2:intelligence xmlns:int2="http://schemas.microsoft.com/office/intelligence/2020/intelligence" xmlns:oel="http://schemas.microsoft.com/office/2019/extlst">
  <int2:observations>
    <int2:textHash int2:hashCode="Y1gY3zhVpkIwSY" int2:id="bJb88FB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EBA10"/>
    <w:multiLevelType w:val="hybridMultilevel"/>
    <w:tmpl w:val="FFFFFFFF"/>
    <w:lvl w:ilvl="0" w:tplc="147419E6">
      <w:start w:val="1"/>
      <w:numFmt w:val="decimal"/>
      <w:lvlText w:val="%1."/>
      <w:lvlJc w:val="left"/>
      <w:pPr>
        <w:ind w:left="720" w:hanging="360"/>
      </w:pPr>
    </w:lvl>
    <w:lvl w:ilvl="1" w:tplc="F126D5B6">
      <w:start w:val="1"/>
      <w:numFmt w:val="decimal"/>
      <w:lvlText w:val="%2.1"/>
      <w:lvlJc w:val="left"/>
      <w:pPr>
        <w:ind w:left="1440" w:hanging="360"/>
      </w:pPr>
    </w:lvl>
    <w:lvl w:ilvl="2" w:tplc="23303046">
      <w:start w:val="1"/>
      <w:numFmt w:val="lowerRoman"/>
      <w:lvlText w:val="%3."/>
      <w:lvlJc w:val="right"/>
      <w:pPr>
        <w:ind w:left="2160" w:hanging="180"/>
      </w:pPr>
    </w:lvl>
    <w:lvl w:ilvl="3" w:tplc="593EF3F0">
      <w:start w:val="1"/>
      <w:numFmt w:val="decimal"/>
      <w:lvlText w:val="%4."/>
      <w:lvlJc w:val="left"/>
      <w:pPr>
        <w:ind w:left="2880" w:hanging="360"/>
      </w:pPr>
    </w:lvl>
    <w:lvl w:ilvl="4" w:tplc="DAF0BAB8">
      <w:start w:val="1"/>
      <w:numFmt w:val="lowerLetter"/>
      <w:lvlText w:val="%5."/>
      <w:lvlJc w:val="left"/>
      <w:pPr>
        <w:ind w:left="3600" w:hanging="360"/>
      </w:pPr>
    </w:lvl>
    <w:lvl w:ilvl="5" w:tplc="ADB0B646">
      <w:start w:val="1"/>
      <w:numFmt w:val="lowerRoman"/>
      <w:lvlText w:val="%6."/>
      <w:lvlJc w:val="right"/>
      <w:pPr>
        <w:ind w:left="4320" w:hanging="180"/>
      </w:pPr>
    </w:lvl>
    <w:lvl w:ilvl="6" w:tplc="1DC8FC96">
      <w:start w:val="1"/>
      <w:numFmt w:val="decimal"/>
      <w:lvlText w:val="%7."/>
      <w:lvlJc w:val="left"/>
      <w:pPr>
        <w:ind w:left="5040" w:hanging="360"/>
      </w:pPr>
    </w:lvl>
    <w:lvl w:ilvl="7" w:tplc="90FEE87E">
      <w:start w:val="1"/>
      <w:numFmt w:val="lowerLetter"/>
      <w:lvlText w:val="%8."/>
      <w:lvlJc w:val="left"/>
      <w:pPr>
        <w:ind w:left="5760" w:hanging="360"/>
      </w:pPr>
    </w:lvl>
    <w:lvl w:ilvl="8" w:tplc="C68C87C8">
      <w:start w:val="1"/>
      <w:numFmt w:val="lowerRoman"/>
      <w:lvlText w:val="%9."/>
      <w:lvlJc w:val="right"/>
      <w:pPr>
        <w:ind w:left="6480" w:hanging="180"/>
      </w:pPr>
    </w:lvl>
  </w:abstractNum>
  <w:num w:numId="1" w16cid:durableId="136459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3461FD79"/>
    <w:rsid w:val="00000F31"/>
    <w:rsid w:val="00002478"/>
    <w:rsid w:val="00010330"/>
    <w:rsid w:val="00013D32"/>
    <w:rsid w:val="00020522"/>
    <w:rsid w:val="000234A5"/>
    <w:rsid w:val="00027844"/>
    <w:rsid w:val="00031997"/>
    <w:rsid w:val="0003371B"/>
    <w:rsid w:val="00037651"/>
    <w:rsid w:val="00042910"/>
    <w:rsid w:val="0004400D"/>
    <w:rsid w:val="00044289"/>
    <w:rsid w:val="00053EA0"/>
    <w:rsid w:val="0005509B"/>
    <w:rsid w:val="00055108"/>
    <w:rsid w:val="00056CF1"/>
    <w:rsid w:val="00064493"/>
    <w:rsid w:val="00064604"/>
    <w:rsid w:val="0007296B"/>
    <w:rsid w:val="00072AF6"/>
    <w:rsid w:val="0007340E"/>
    <w:rsid w:val="00073774"/>
    <w:rsid w:val="0008097C"/>
    <w:rsid w:val="00081781"/>
    <w:rsid w:val="0008432F"/>
    <w:rsid w:val="00087B51"/>
    <w:rsid w:val="000914BB"/>
    <w:rsid w:val="0009275B"/>
    <w:rsid w:val="00095854"/>
    <w:rsid w:val="00097C74"/>
    <w:rsid w:val="00097FDE"/>
    <w:rsid w:val="000A08E1"/>
    <w:rsid w:val="000A4E0F"/>
    <w:rsid w:val="000A7B8A"/>
    <w:rsid w:val="000B1442"/>
    <w:rsid w:val="000B2716"/>
    <w:rsid w:val="000B2EEB"/>
    <w:rsid w:val="000B5C32"/>
    <w:rsid w:val="000C67A7"/>
    <w:rsid w:val="000D02CA"/>
    <w:rsid w:val="000D1BD3"/>
    <w:rsid w:val="000D2000"/>
    <w:rsid w:val="000D2A12"/>
    <w:rsid w:val="000E14CD"/>
    <w:rsid w:val="000E331D"/>
    <w:rsid w:val="000E3598"/>
    <w:rsid w:val="000E46F0"/>
    <w:rsid w:val="000F1B1F"/>
    <w:rsid w:val="000F4F9F"/>
    <w:rsid w:val="00100541"/>
    <w:rsid w:val="00102982"/>
    <w:rsid w:val="00103BBF"/>
    <w:rsid w:val="00107557"/>
    <w:rsid w:val="001078CB"/>
    <w:rsid w:val="001152F6"/>
    <w:rsid w:val="00122E8C"/>
    <w:rsid w:val="00126970"/>
    <w:rsid w:val="00133608"/>
    <w:rsid w:val="001369AE"/>
    <w:rsid w:val="00142F48"/>
    <w:rsid w:val="00145165"/>
    <w:rsid w:val="00152F34"/>
    <w:rsid w:val="001537DB"/>
    <w:rsid w:val="00154216"/>
    <w:rsid w:val="00155DF6"/>
    <w:rsid w:val="00163283"/>
    <w:rsid w:val="00171D21"/>
    <w:rsid w:val="00175E72"/>
    <w:rsid w:val="00182668"/>
    <w:rsid w:val="001840DB"/>
    <w:rsid w:val="00185B9E"/>
    <w:rsid w:val="00192899"/>
    <w:rsid w:val="00193E7E"/>
    <w:rsid w:val="00194B22"/>
    <w:rsid w:val="00197810"/>
    <w:rsid w:val="001A1F4A"/>
    <w:rsid w:val="001A4DAA"/>
    <w:rsid w:val="001A6851"/>
    <w:rsid w:val="001A6D3B"/>
    <w:rsid w:val="001B0F6E"/>
    <w:rsid w:val="001B3020"/>
    <w:rsid w:val="001B67F6"/>
    <w:rsid w:val="001B771B"/>
    <w:rsid w:val="001C3FD7"/>
    <w:rsid w:val="001C4DF5"/>
    <w:rsid w:val="001C4E28"/>
    <w:rsid w:val="001C60A1"/>
    <w:rsid w:val="001C611E"/>
    <w:rsid w:val="001C663A"/>
    <w:rsid w:val="001C6E0C"/>
    <w:rsid w:val="001D3477"/>
    <w:rsid w:val="001E067D"/>
    <w:rsid w:val="001E157D"/>
    <w:rsid w:val="001E1E84"/>
    <w:rsid w:val="001E29F2"/>
    <w:rsid w:val="001E5D2B"/>
    <w:rsid w:val="001E6039"/>
    <w:rsid w:val="001E7987"/>
    <w:rsid w:val="001E7BF5"/>
    <w:rsid w:val="00202E8D"/>
    <w:rsid w:val="002046FE"/>
    <w:rsid w:val="002053A1"/>
    <w:rsid w:val="002069A3"/>
    <w:rsid w:val="00207075"/>
    <w:rsid w:val="00213A2C"/>
    <w:rsid w:val="00215769"/>
    <w:rsid w:val="002231D9"/>
    <w:rsid w:val="002239AA"/>
    <w:rsid w:val="0022661F"/>
    <w:rsid w:val="00227A70"/>
    <w:rsid w:val="002327A9"/>
    <w:rsid w:val="00233F50"/>
    <w:rsid w:val="00236901"/>
    <w:rsid w:val="0023706B"/>
    <w:rsid w:val="0024046D"/>
    <w:rsid w:val="002441D5"/>
    <w:rsid w:val="00245354"/>
    <w:rsid w:val="00251B7D"/>
    <w:rsid w:val="002523D1"/>
    <w:rsid w:val="002610D8"/>
    <w:rsid w:val="00263F36"/>
    <w:rsid w:val="00265D44"/>
    <w:rsid w:val="0027323E"/>
    <w:rsid w:val="002747DC"/>
    <w:rsid w:val="00277F66"/>
    <w:rsid w:val="00287BDD"/>
    <w:rsid w:val="00290C59"/>
    <w:rsid w:val="00291376"/>
    <w:rsid w:val="00291393"/>
    <w:rsid w:val="00291868"/>
    <w:rsid w:val="0029639E"/>
    <w:rsid w:val="00297B66"/>
    <w:rsid w:val="002A7727"/>
    <w:rsid w:val="002B2A93"/>
    <w:rsid w:val="002B5346"/>
    <w:rsid w:val="002C33D1"/>
    <w:rsid w:val="002C53BE"/>
    <w:rsid w:val="002D3F3B"/>
    <w:rsid w:val="002D51EA"/>
    <w:rsid w:val="002E0EFF"/>
    <w:rsid w:val="002E2296"/>
    <w:rsid w:val="002E2AE1"/>
    <w:rsid w:val="002E3D56"/>
    <w:rsid w:val="002E3DF6"/>
    <w:rsid w:val="002E73AB"/>
    <w:rsid w:val="002F6744"/>
    <w:rsid w:val="0030719A"/>
    <w:rsid w:val="00312CF9"/>
    <w:rsid w:val="00313954"/>
    <w:rsid w:val="00316420"/>
    <w:rsid w:val="003206D1"/>
    <w:rsid w:val="00323795"/>
    <w:rsid w:val="00323E9B"/>
    <w:rsid w:val="00324CE1"/>
    <w:rsid w:val="00326189"/>
    <w:rsid w:val="00330236"/>
    <w:rsid w:val="0033205C"/>
    <w:rsid w:val="00335C94"/>
    <w:rsid w:val="00337C1D"/>
    <w:rsid w:val="0034096A"/>
    <w:rsid w:val="00340FED"/>
    <w:rsid w:val="0034117A"/>
    <w:rsid w:val="003430FA"/>
    <w:rsid w:val="00343298"/>
    <w:rsid w:val="0034483F"/>
    <w:rsid w:val="00346F13"/>
    <w:rsid w:val="00360266"/>
    <w:rsid w:val="003652E2"/>
    <w:rsid w:val="00367840"/>
    <w:rsid w:val="0037050B"/>
    <w:rsid w:val="00375865"/>
    <w:rsid w:val="00377056"/>
    <w:rsid w:val="00380D0D"/>
    <w:rsid w:val="003814CD"/>
    <w:rsid w:val="003818AC"/>
    <w:rsid w:val="00382524"/>
    <w:rsid w:val="0038425C"/>
    <w:rsid w:val="003847F4"/>
    <w:rsid w:val="0038775B"/>
    <w:rsid w:val="00396B58"/>
    <w:rsid w:val="00396DA5"/>
    <w:rsid w:val="003A16CF"/>
    <w:rsid w:val="003A2A2D"/>
    <w:rsid w:val="003A519D"/>
    <w:rsid w:val="003A74F5"/>
    <w:rsid w:val="003B1E6C"/>
    <w:rsid w:val="003B4736"/>
    <w:rsid w:val="003B5008"/>
    <w:rsid w:val="003C4A52"/>
    <w:rsid w:val="003C60E3"/>
    <w:rsid w:val="003C6136"/>
    <w:rsid w:val="003D2192"/>
    <w:rsid w:val="003D2CDD"/>
    <w:rsid w:val="003D2F3A"/>
    <w:rsid w:val="003E656B"/>
    <w:rsid w:val="003E6D18"/>
    <w:rsid w:val="003F48D0"/>
    <w:rsid w:val="003F5AF0"/>
    <w:rsid w:val="004003D6"/>
    <w:rsid w:val="004013A1"/>
    <w:rsid w:val="0040341D"/>
    <w:rsid w:val="00403E3B"/>
    <w:rsid w:val="00407934"/>
    <w:rsid w:val="00415E23"/>
    <w:rsid w:val="004212E1"/>
    <w:rsid w:val="00423CA8"/>
    <w:rsid w:val="00425F78"/>
    <w:rsid w:val="00431341"/>
    <w:rsid w:val="00435D61"/>
    <w:rsid w:val="004376CB"/>
    <w:rsid w:val="00442ADB"/>
    <w:rsid w:val="00445629"/>
    <w:rsid w:val="00456752"/>
    <w:rsid w:val="00464CE4"/>
    <w:rsid w:val="00466521"/>
    <w:rsid w:val="00470F53"/>
    <w:rsid w:val="00471DE2"/>
    <w:rsid w:val="00472006"/>
    <w:rsid w:val="0047624A"/>
    <w:rsid w:val="0047648D"/>
    <w:rsid w:val="00484651"/>
    <w:rsid w:val="00485167"/>
    <w:rsid w:val="00493224"/>
    <w:rsid w:val="00493DFF"/>
    <w:rsid w:val="004942F9"/>
    <w:rsid w:val="00495369"/>
    <w:rsid w:val="00496D7C"/>
    <w:rsid w:val="004974F4"/>
    <w:rsid w:val="004B5361"/>
    <w:rsid w:val="004B7AEB"/>
    <w:rsid w:val="004C1D26"/>
    <w:rsid w:val="004C1F7F"/>
    <w:rsid w:val="004C3A18"/>
    <w:rsid w:val="004C68D7"/>
    <w:rsid w:val="004D5BC0"/>
    <w:rsid w:val="004D6572"/>
    <w:rsid w:val="004E4D72"/>
    <w:rsid w:val="00501536"/>
    <w:rsid w:val="00501E98"/>
    <w:rsid w:val="00503DC7"/>
    <w:rsid w:val="005057FA"/>
    <w:rsid w:val="00506BED"/>
    <w:rsid w:val="0052073A"/>
    <w:rsid w:val="00525468"/>
    <w:rsid w:val="0054139C"/>
    <w:rsid w:val="0054462E"/>
    <w:rsid w:val="00545288"/>
    <w:rsid w:val="00564E84"/>
    <w:rsid w:val="005676F7"/>
    <w:rsid w:val="00567FA5"/>
    <w:rsid w:val="00573514"/>
    <w:rsid w:val="0057796E"/>
    <w:rsid w:val="00581556"/>
    <w:rsid w:val="005851F9"/>
    <w:rsid w:val="0059112E"/>
    <w:rsid w:val="00591CCE"/>
    <w:rsid w:val="00592571"/>
    <w:rsid w:val="00594DBA"/>
    <w:rsid w:val="00597A68"/>
    <w:rsid w:val="005A3933"/>
    <w:rsid w:val="005B0C1E"/>
    <w:rsid w:val="005B3BF5"/>
    <w:rsid w:val="005C15F6"/>
    <w:rsid w:val="005E174A"/>
    <w:rsid w:val="005E19D9"/>
    <w:rsid w:val="005E5022"/>
    <w:rsid w:val="005E5209"/>
    <w:rsid w:val="005E7637"/>
    <w:rsid w:val="005F0236"/>
    <w:rsid w:val="005F0618"/>
    <w:rsid w:val="005F3205"/>
    <w:rsid w:val="005F3F5F"/>
    <w:rsid w:val="005F6CD4"/>
    <w:rsid w:val="005F766C"/>
    <w:rsid w:val="00600759"/>
    <w:rsid w:val="00622586"/>
    <w:rsid w:val="006264F1"/>
    <w:rsid w:val="00637035"/>
    <w:rsid w:val="00646A9C"/>
    <w:rsid w:val="0064722E"/>
    <w:rsid w:val="00653DA2"/>
    <w:rsid w:val="006551EB"/>
    <w:rsid w:val="00655332"/>
    <w:rsid w:val="00661658"/>
    <w:rsid w:val="0066644B"/>
    <w:rsid w:val="00675618"/>
    <w:rsid w:val="0068055F"/>
    <w:rsid w:val="006823F4"/>
    <w:rsid w:val="006843AF"/>
    <w:rsid w:val="0069214B"/>
    <w:rsid w:val="00694E73"/>
    <w:rsid w:val="006A5740"/>
    <w:rsid w:val="006A62CF"/>
    <w:rsid w:val="006A6CA3"/>
    <w:rsid w:val="006A7C9A"/>
    <w:rsid w:val="006B0599"/>
    <w:rsid w:val="006B25AD"/>
    <w:rsid w:val="006B4E59"/>
    <w:rsid w:val="006B7F60"/>
    <w:rsid w:val="006C1BEC"/>
    <w:rsid w:val="006C34C8"/>
    <w:rsid w:val="006C7CC7"/>
    <w:rsid w:val="006D414F"/>
    <w:rsid w:val="006D5661"/>
    <w:rsid w:val="006E02A7"/>
    <w:rsid w:val="006E14BB"/>
    <w:rsid w:val="006E2504"/>
    <w:rsid w:val="006E3CDD"/>
    <w:rsid w:val="006E683E"/>
    <w:rsid w:val="006F43B8"/>
    <w:rsid w:val="006F4CFD"/>
    <w:rsid w:val="00704F09"/>
    <w:rsid w:val="00710887"/>
    <w:rsid w:val="00712F0E"/>
    <w:rsid w:val="00715BDE"/>
    <w:rsid w:val="00716375"/>
    <w:rsid w:val="007247AA"/>
    <w:rsid w:val="00724C7A"/>
    <w:rsid w:val="00731F9F"/>
    <w:rsid w:val="007335B7"/>
    <w:rsid w:val="00734E33"/>
    <w:rsid w:val="00741DC1"/>
    <w:rsid w:val="00741DE0"/>
    <w:rsid w:val="0074691D"/>
    <w:rsid w:val="00751347"/>
    <w:rsid w:val="007609A0"/>
    <w:rsid w:val="0076171B"/>
    <w:rsid w:val="0076482E"/>
    <w:rsid w:val="0077462A"/>
    <w:rsid w:val="00781432"/>
    <w:rsid w:val="00785621"/>
    <w:rsid w:val="0078791E"/>
    <w:rsid w:val="007931AD"/>
    <w:rsid w:val="007A009B"/>
    <w:rsid w:val="007A5718"/>
    <w:rsid w:val="007A6C55"/>
    <w:rsid w:val="007B439A"/>
    <w:rsid w:val="007C06C4"/>
    <w:rsid w:val="007D07FA"/>
    <w:rsid w:val="007D0FDB"/>
    <w:rsid w:val="007D49D5"/>
    <w:rsid w:val="007D6C62"/>
    <w:rsid w:val="007D7697"/>
    <w:rsid w:val="007E2390"/>
    <w:rsid w:val="007F031E"/>
    <w:rsid w:val="007F2F0B"/>
    <w:rsid w:val="007F39A4"/>
    <w:rsid w:val="007F3C88"/>
    <w:rsid w:val="008029F3"/>
    <w:rsid w:val="00802EC3"/>
    <w:rsid w:val="008046E1"/>
    <w:rsid w:val="008065F1"/>
    <w:rsid w:val="00810BEA"/>
    <w:rsid w:val="0081226B"/>
    <w:rsid w:val="008171F4"/>
    <w:rsid w:val="00817F2A"/>
    <w:rsid w:val="0082251E"/>
    <w:rsid w:val="008241E8"/>
    <w:rsid w:val="0083005F"/>
    <w:rsid w:val="00833794"/>
    <w:rsid w:val="0083792B"/>
    <w:rsid w:val="00837F85"/>
    <w:rsid w:val="00843180"/>
    <w:rsid w:val="008466EA"/>
    <w:rsid w:val="00846791"/>
    <w:rsid w:val="00850853"/>
    <w:rsid w:val="0085121F"/>
    <w:rsid w:val="00851EE0"/>
    <w:rsid w:val="00854A85"/>
    <w:rsid w:val="008574B9"/>
    <w:rsid w:val="00861CB5"/>
    <w:rsid w:val="00863DEB"/>
    <w:rsid w:val="00867F29"/>
    <w:rsid w:val="0087011B"/>
    <w:rsid w:val="00870E4E"/>
    <w:rsid w:val="00870EC5"/>
    <w:rsid w:val="00871A40"/>
    <w:rsid w:val="00875C51"/>
    <w:rsid w:val="00880457"/>
    <w:rsid w:val="00880610"/>
    <w:rsid w:val="0088105D"/>
    <w:rsid w:val="00882B24"/>
    <w:rsid w:val="00883FD8"/>
    <w:rsid w:val="008857EC"/>
    <w:rsid w:val="00886ADC"/>
    <w:rsid w:val="00893444"/>
    <w:rsid w:val="00895184"/>
    <w:rsid w:val="008957E3"/>
    <w:rsid w:val="008A0277"/>
    <w:rsid w:val="008A1CCA"/>
    <w:rsid w:val="008A2D86"/>
    <w:rsid w:val="008A7FE4"/>
    <w:rsid w:val="008B0071"/>
    <w:rsid w:val="008B0689"/>
    <w:rsid w:val="008B21AB"/>
    <w:rsid w:val="008B2844"/>
    <w:rsid w:val="008B469F"/>
    <w:rsid w:val="008B4BCD"/>
    <w:rsid w:val="008B69F1"/>
    <w:rsid w:val="008B72D4"/>
    <w:rsid w:val="008C0996"/>
    <w:rsid w:val="008C1EA4"/>
    <w:rsid w:val="008C2164"/>
    <w:rsid w:val="008C3490"/>
    <w:rsid w:val="008C4778"/>
    <w:rsid w:val="008C7BB9"/>
    <w:rsid w:val="008D1848"/>
    <w:rsid w:val="008D355E"/>
    <w:rsid w:val="008D405F"/>
    <w:rsid w:val="008D5082"/>
    <w:rsid w:val="008D52B4"/>
    <w:rsid w:val="008D63EF"/>
    <w:rsid w:val="008E1607"/>
    <w:rsid w:val="008E2627"/>
    <w:rsid w:val="008E6454"/>
    <w:rsid w:val="008E7251"/>
    <w:rsid w:val="008F0E24"/>
    <w:rsid w:val="008F2943"/>
    <w:rsid w:val="008F3CB5"/>
    <w:rsid w:val="008F57E1"/>
    <w:rsid w:val="008F60D9"/>
    <w:rsid w:val="00902735"/>
    <w:rsid w:val="00904055"/>
    <w:rsid w:val="00904754"/>
    <w:rsid w:val="00911A05"/>
    <w:rsid w:val="0091641E"/>
    <w:rsid w:val="009202F7"/>
    <w:rsid w:val="0092168B"/>
    <w:rsid w:val="0093705A"/>
    <w:rsid w:val="009378AF"/>
    <w:rsid w:val="00942901"/>
    <w:rsid w:val="00943A26"/>
    <w:rsid w:val="00944B5F"/>
    <w:rsid w:val="009553E6"/>
    <w:rsid w:val="009555DE"/>
    <w:rsid w:val="009617F9"/>
    <w:rsid w:val="009702EB"/>
    <w:rsid w:val="00971A2D"/>
    <w:rsid w:val="009733AC"/>
    <w:rsid w:val="009733C9"/>
    <w:rsid w:val="00973AEF"/>
    <w:rsid w:val="009746AC"/>
    <w:rsid w:val="00974858"/>
    <w:rsid w:val="009753CD"/>
    <w:rsid w:val="009759B3"/>
    <w:rsid w:val="00980EB0"/>
    <w:rsid w:val="00982D80"/>
    <w:rsid w:val="0098340B"/>
    <w:rsid w:val="009836EB"/>
    <w:rsid w:val="009903AD"/>
    <w:rsid w:val="00991567"/>
    <w:rsid w:val="00993778"/>
    <w:rsid w:val="00994467"/>
    <w:rsid w:val="00994DCA"/>
    <w:rsid w:val="00995BA6"/>
    <w:rsid w:val="00995D21"/>
    <w:rsid w:val="009A00B3"/>
    <w:rsid w:val="009A062B"/>
    <w:rsid w:val="009A3A68"/>
    <w:rsid w:val="009B1709"/>
    <w:rsid w:val="009B461A"/>
    <w:rsid w:val="009C176B"/>
    <w:rsid w:val="009C5279"/>
    <w:rsid w:val="009C52CB"/>
    <w:rsid w:val="009C64B9"/>
    <w:rsid w:val="009D576C"/>
    <w:rsid w:val="009E06A5"/>
    <w:rsid w:val="009E257B"/>
    <w:rsid w:val="009F6BD8"/>
    <w:rsid w:val="00A01202"/>
    <w:rsid w:val="00A02681"/>
    <w:rsid w:val="00A067B0"/>
    <w:rsid w:val="00A07095"/>
    <w:rsid w:val="00A11644"/>
    <w:rsid w:val="00A12889"/>
    <w:rsid w:val="00A14E92"/>
    <w:rsid w:val="00A16439"/>
    <w:rsid w:val="00A21851"/>
    <w:rsid w:val="00A2227B"/>
    <w:rsid w:val="00A2269A"/>
    <w:rsid w:val="00A25266"/>
    <w:rsid w:val="00A25C21"/>
    <w:rsid w:val="00A27ACE"/>
    <w:rsid w:val="00A33583"/>
    <w:rsid w:val="00A34304"/>
    <w:rsid w:val="00A36053"/>
    <w:rsid w:val="00A41C5B"/>
    <w:rsid w:val="00A451F3"/>
    <w:rsid w:val="00A46CB7"/>
    <w:rsid w:val="00A54929"/>
    <w:rsid w:val="00A5496A"/>
    <w:rsid w:val="00A54FA2"/>
    <w:rsid w:val="00A56FAF"/>
    <w:rsid w:val="00A62B29"/>
    <w:rsid w:val="00A63F0C"/>
    <w:rsid w:val="00A6792E"/>
    <w:rsid w:val="00A72840"/>
    <w:rsid w:val="00A73D32"/>
    <w:rsid w:val="00A74B17"/>
    <w:rsid w:val="00A76D81"/>
    <w:rsid w:val="00A8019F"/>
    <w:rsid w:val="00A812B7"/>
    <w:rsid w:val="00A907D1"/>
    <w:rsid w:val="00A9229D"/>
    <w:rsid w:val="00A92724"/>
    <w:rsid w:val="00A94B68"/>
    <w:rsid w:val="00AA0D67"/>
    <w:rsid w:val="00AB59E7"/>
    <w:rsid w:val="00AC1EF0"/>
    <w:rsid w:val="00AC246D"/>
    <w:rsid w:val="00AC4304"/>
    <w:rsid w:val="00AC4425"/>
    <w:rsid w:val="00AC733A"/>
    <w:rsid w:val="00AD2CCA"/>
    <w:rsid w:val="00AD5B4D"/>
    <w:rsid w:val="00AE129E"/>
    <w:rsid w:val="00AE1918"/>
    <w:rsid w:val="00AE5751"/>
    <w:rsid w:val="00AE5838"/>
    <w:rsid w:val="00AE64F1"/>
    <w:rsid w:val="00AE7117"/>
    <w:rsid w:val="00AF06F3"/>
    <w:rsid w:val="00AF295D"/>
    <w:rsid w:val="00AF468B"/>
    <w:rsid w:val="00AF697A"/>
    <w:rsid w:val="00B02337"/>
    <w:rsid w:val="00B0254E"/>
    <w:rsid w:val="00B066EC"/>
    <w:rsid w:val="00B15B22"/>
    <w:rsid w:val="00B164B9"/>
    <w:rsid w:val="00B17667"/>
    <w:rsid w:val="00B2043C"/>
    <w:rsid w:val="00B204FA"/>
    <w:rsid w:val="00B23502"/>
    <w:rsid w:val="00B30874"/>
    <w:rsid w:val="00B33724"/>
    <w:rsid w:val="00B3521C"/>
    <w:rsid w:val="00B423AF"/>
    <w:rsid w:val="00B42E75"/>
    <w:rsid w:val="00B479A3"/>
    <w:rsid w:val="00B47E61"/>
    <w:rsid w:val="00B5035E"/>
    <w:rsid w:val="00B52D3D"/>
    <w:rsid w:val="00B55AE5"/>
    <w:rsid w:val="00B6278C"/>
    <w:rsid w:val="00B6370D"/>
    <w:rsid w:val="00B6577D"/>
    <w:rsid w:val="00B673BB"/>
    <w:rsid w:val="00B7023C"/>
    <w:rsid w:val="00B75825"/>
    <w:rsid w:val="00B91ECF"/>
    <w:rsid w:val="00B94996"/>
    <w:rsid w:val="00B95B6F"/>
    <w:rsid w:val="00B97FC4"/>
    <w:rsid w:val="00BA2212"/>
    <w:rsid w:val="00BA2C1D"/>
    <w:rsid w:val="00BB4004"/>
    <w:rsid w:val="00BC1139"/>
    <w:rsid w:val="00BC1DA1"/>
    <w:rsid w:val="00BC4578"/>
    <w:rsid w:val="00BD7933"/>
    <w:rsid w:val="00BE2F54"/>
    <w:rsid w:val="00BE3213"/>
    <w:rsid w:val="00BE5C9D"/>
    <w:rsid w:val="00BF084B"/>
    <w:rsid w:val="00BF3057"/>
    <w:rsid w:val="00BF56BD"/>
    <w:rsid w:val="00BF6078"/>
    <w:rsid w:val="00BF62CD"/>
    <w:rsid w:val="00C01583"/>
    <w:rsid w:val="00C01D14"/>
    <w:rsid w:val="00C0589B"/>
    <w:rsid w:val="00C11B80"/>
    <w:rsid w:val="00C12101"/>
    <w:rsid w:val="00C16558"/>
    <w:rsid w:val="00C201BF"/>
    <w:rsid w:val="00C212E7"/>
    <w:rsid w:val="00C21375"/>
    <w:rsid w:val="00C230AB"/>
    <w:rsid w:val="00C253F8"/>
    <w:rsid w:val="00C26E25"/>
    <w:rsid w:val="00C27A97"/>
    <w:rsid w:val="00C31000"/>
    <w:rsid w:val="00C37F24"/>
    <w:rsid w:val="00C41CC6"/>
    <w:rsid w:val="00C42CBB"/>
    <w:rsid w:val="00C43EC7"/>
    <w:rsid w:val="00C47A0C"/>
    <w:rsid w:val="00C503EF"/>
    <w:rsid w:val="00C53CBA"/>
    <w:rsid w:val="00C53EEF"/>
    <w:rsid w:val="00C53F9B"/>
    <w:rsid w:val="00C548AD"/>
    <w:rsid w:val="00C6337A"/>
    <w:rsid w:val="00C6456D"/>
    <w:rsid w:val="00C647DF"/>
    <w:rsid w:val="00C70C50"/>
    <w:rsid w:val="00C72511"/>
    <w:rsid w:val="00C72935"/>
    <w:rsid w:val="00C73933"/>
    <w:rsid w:val="00C764B1"/>
    <w:rsid w:val="00C814E1"/>
    <w:rsid w:val="00C83CE3"/>
    <w:rsid w:val="00C92892"/>
    <w:rsid w:val="00C97A28"/>
    <w:rsid w:val="00CA047C"/>
    <w:rsid w:val="00CA2A88"/>
    <w:rsid w:val="00CA3A7C"/>
    <w:rsid w:val="00CB3D1C"/>
    <w:rsid w:val="00CB4442"/>
    <w:rsid w:val="00CB4538"/>
    <w:rsid w:val="00CB735F"/>
    <w:rsid w:val="00CC0392"/>
    <w:rsid w:val="00CC7655"/>
    <w:rsid w:val="00CD059B"/>
    <w:rsid w:val="00CE38CE"/>
    <w:rsid w:val="00CE412F"/>
    <w:rsid w:val="00CE431D"/>
    <w:rsid w:val="00CE4C96"/>
    <w:rsid w:val="00CF035A"/>
    <w:rsid w:val="00CF0C01"/>
    <w:rsid w:val="00CF3DBC"/>
    <w:rsid w:val="00CF6C04"/>
    <w:rsid w:val="00CF7FA6"/>
    <w:rsid w:val="00D001F6"/>
    <w:rsid w:val="00D12AE7"/>
    <w:rsid w:val="00D13936"/>
    <w:rsid w:val="00D16CF1"/>
    <w:rsid w:val="00D17FAA"/>
    <w:rsid w:val="00D24C69"/>
    <w:rsid w:val="00D24E13"/>
    <w:rsid w:val="00D370D5"/>
    <w:rsid w:val="00D372C8"/>
    <w:rsid w:val="00D42AFE"/>
    <w:rsid w:val="00D42B07"/>
    <w:rsid w:val="00D44530"/>
    <w:rsid w:val="00D5471F"/>
    <w:rsid w:val="00D57BDB"/>
    <w:rsid w:val="00D601C1"/>
    <w:rsid w:val="00D609BF"/>
    <w:rsid w:val="00D65600"/>
    <w:rsid w:val="00D7549D"/>
    <w:rsid w:val="00D76D68"/>
    <w:rsid w:val="00D8653B"/>
    <w:rsid w:val="00D86CE2"/>
    <w:rsid w:val="00D875EE"/>
    <w:rsid w:val="00D87F86"/>
    <w:rsid w:val="00D929F5"/>
    <w:rsid w:val="00D93CAF"/>
    <w:rsid w:val="00D963ED"/>
    <w:rsid w:val="00DA185C"/>
    <w:rsid w:val="00DA4783"/>
    <w:rsid w:val="00DA71F5"/>
    <w:rsid w:val="00DB3D84"/>
    <w:rsid w:val="00DB4C2A"/>
    <w:rsid w:val="00DC4F55"/>
    <w:rsid w:val="00DC5FEA"/>
    <w:rsid w:val="00DC62FD"/>
    <w:rsid w:val="00DC7EBC"/>
    <w:rsid w:val="00DD4CC1"/>
    <w:rsid w:val="00DD685D"/>
    <w:rsid w:val="00DE0F0F"/>
    <w:rsid w:val="00DE103F"/>
    <w:rsid w:val="00DE66DC"/>
    <w:rsid w:val="00DF0040"/>
    <w:rsid w:val="00E00A51"/>
    <w:rsid w:val="00E03B90"/>
    <w:rsid w:val="00E03BBD"/>
    <w:rsid w:val="00E06651"/>
    <w:rsid w:val="00E12356"/>
    <w:rsid w:val="00E16936"/>
    <w:rsid w:val="00E25DE1"/>
    <w:rsid w:val="00E27A06"/>
    <w:rsid w:val="00E30337"/>
    <w:rsid w:val="00E33AE0"/>
    <w:rsid w:val="00E518DC"/>
    <w:rsid w:val="00E52AD1"/>
    <w:rsid w:val="00E54745"/>
    <w:rsid w:val="00E5655F"/>
    <w:rsid w:val="00E642D3"/>
    <w:rsid w:val="00E666C0"/>
    <w:rsid w:val="00E66984"/>
    <w:rsid w:val="00E759D6"/>
    <w:rsid w:val="00E811AA"/>
    <w:rsid w:val="00E855F1"/>
    <w:rsid w:val="00E90A6D"/>
    <w:rsid w:val="00E92C67"/>
    <w:rsid w:val="00E92EE7"/>
    <w:rsid w:val="00E9328B"/>
    <w:rsid w:val="00EA23F7"/>
    <w:rsid w:val="00EA3C2F"/>
    <w:rsid w:val="00EB2520"/>
    <w:rsid w:val="00EC669A"/>
    <w:rsid w:val="00ED3C5A"/>
    <w:rsid w:val="00EE0AB7"/>
    <w:rsid w:val="00EE45A5"/>
    <w:rsid w:val="00EE7481"/>
    <w:rsid w:val="00EE7CD5"/>
    <w:rsid w:val="00EF1834"/>
    <w:rsid w:val="00EF476E"/>
    <w:rsid w:val="00EF5008"/>
    <w:rsid w:val="00EF7508"/>
    <w:rsid w:val="00F022E2"/>
    <w:rsid w:val="00F03A85"/>
    <w:rsid w:val="00F0497C"/>
    <w:rsid w:val="00F064D0"/>
    <w:rsid w:val="00F06602"/>
    <w:rsid w:val="00F165E1"/>
    <w:rsid w:val="00F17415"/>
    <w:rsid w:val="00F21389"/>
    <w:rsid w:val="00F23500"/>
    <w:rsid w:val="00F23C43"/>
    <w:rsid w:val="00F30BB8"/>
    <w:rsid w:val="00F34C31"/>
    <w:rsid w:val="00F376EC"/>
    <w:rsid w:val="00F46BA1"/>
    <w:rsid w:val="00F565BB"/>
    <w:rsid w:val="00F61B56"/>
    <w:rsid w:val="00F64419"/>
    <w:rsid w:val="00F64F35"/>
    <w:rsid w:val="00F719D7"/>
    <w:rsid w:val="00F77575"/>
    <w:rsid w:val="00F85561"/>
    <w:rsid w:val="00F86604"/>
    <w:rsid w:val="00F93C73"/>
    <w:rsid w:val="00F9747C"/>
    <w:rsid w:val="00FA2791"/>
    <w:rsid w:val="00FA28F7"/>
    <w:rsid w:val="00FA5996"/>
    <w:rsid w:val="00FA5DDC"/>
    <w:rsid w:val="00FA7866"/>
    <w:rsid w:val="00FB0339"/>
    <w:rsid w:val="00FB5C44"/>
    <w:rsid w:val="00FC199D"/>
    <w:rsid w:val="00FC3BBC"/>
    <w:rsid w:val="00FC682F"/>
    <w:rsid w:val="00FC71A4"/>
    <w:rsid w:val="00FD257A"/>
    <w:rsid w:val="00FD2828"/>
    <w:rsid w:val="00FD7F06"/>
    <w:rsid w:val="00FE0D6F"/>
    <w:rsid w:val="00FE13E2"/>
    <w:rsid w:val="00FE41A8"/>
    <w:rsid w:val="00FE41E5"/>
    <w:rsid w:val="00FE5092"/>
    <w:rsid w:val="00FF1BC5"/>
    <w:rsid w:val="012CE854"/>
    <w:rsid w:val="01AE359B"/>
    <w:rsid w:val="01DD5251"/>
    <w:rsid w:val="01FE68DC"/>
    <w:rsid w:val="03AD4323"/>
    <w:rsid w:val="03DB3F92"/>
    <w:rsid w:val="03E0F0AA"/>
    <w:rsid w:val="042C585D"/>
    <w:rsid w:val="043ED939"/>
    <w:rsid w:val="050B1C93"/>
    <w:rsid w:val="0580F246"/>
    <w:rsid w:val="05ED2BCD"/>
    <w:rsid w:val="06E28068"/>
    <w:rsid w:val="0702178F"/>
    <w:rsid w:val="0742772E"/>
    <w:rsid w:val="079E6139"/>
    <w:rsid w:val="07CAFABB"/>
    <w:rsid w:val="07FB8C44"/>
    <w:rsid w:val="07FF50FD"/>
    <w:rsid w:val="0815C7B1"/>
    <w:rsid w:val="08259773"/>
    <w:rsid w:val="088BB561"/>
    <w:rsid w:val="08AE02C7"/>
    <w:rsid w:val="090C6AE2"/>
    <w:rsid w:val="091380F8"/>
    <w:rsid w:val="09875E51"/>
    <w:rsid w:val="099063AF"/>
    <w:rsid w:val="0A83300E"/>
    <w:rsid w:val="0AC41359"/>
    <w:rsid w:val="0B09CF7B"/>
    <w:rsid w:val="0B0F35B1"/>
    <w:rsid w:val="0B22E6DE"/>
    <w:rsid w:val="0B2DA5AE"/>
    <w:rsid w:val="0B42C423"/>
    <w:rsid w:val="0B5FD9DF"/>
    <w:rsid w:val="0BC3107E"/>
    <w:rsid w:val="0C7FF337"/>
    <w:rsid w:val="0CB873AE"/>
    <w:rsid w:val="0D1945EA"/>
    <w:rsid w:val="0D535BB5"/>
    <w:rsid w:val="0DE3CC71"/>
    <w:rsid w:val="0E261605"/>
    <w:rsid w:val="0EA4A832"/>
    <w:rsid w:val="0EC2F763"/>
    <w:rsid w:val="0EC79FD3"/>
    <w:rsid w:val="0EF92262"/>
    <w:rsid w:val="0F122C98"/>
    <w:rsid w:val="0FFB56D0"/>
    <w:rsid w:val="10030F48"/>
    <w:rsid w:val="108289E1"/>
    <w:rsid w:val="10AAC259"/>
    <w:rsid w:val="1121837B"/>
    <w:rsid w:val="1169A883"/>
    <w:rsid w:val="118B8F18"/>
    <w:rsid w:val="11A58A42"/>
    <w:rsid w:val="11D0F96A"/>
    <w:rsid w:val="11E87C0F"/>
    <w:rsid w:val="1203EFDB"/>
    <w:rsid w:val="12F41E57"/>
    <w:rsid w:val="1300A64F"/>
    <w:rsid w:val="133A0058"/>
    <w:rsid w:val="13951048"/>
    <w:rsid w:val="139D55E6"/>
    <w:rsid w:val="1447BE64"/>
    <w:rsid w:val="14DF5080"/>
    <w:rsid w:val="15A68382"/>
    <w:rsid w:val="15EE94F5"/>
    <w:rsid w:val="15FFD9FB"/>
    <w:rsid w:val="160D04DA"/>
    <w:rsid w:val="1632C5D2"/>
    <w:rsid w:val="16789550"/>
    <w:rsid w:val="16A68DE8"/>
    <w:rsid w:val="16E13DC7"/>
    <w:rsid w:val="16F6D035"/>
    <w:rsid w:val="17570BA6"/>
    <w:rsid w:val="178A92C9"/>
    <w:rsid w:val="17A270AC"/>
    <w:rsid w:val="17DCCB93"/>
    <w:rsid w:val="182759F9"/>
    <w:rsid w:val="184E8427"/>
    <w:rsid w:val="18B3A60A"/>
    <w:rsid w:val="190064CF"/>
    <w:rsid w:val="196CFE78"/>
    <w:rsid w:val="1B8B44C5"/>
    <w:rsid w:val="1B8BCC88"/>
    <w:rsid w:val="1BBE2E7F"/>
    <w:rsid w:val="1C3415C6"/>
    <w:rsid w:val="1C412843"/>
    <w:rsid w:val="1D1E31A2"/>
    <w:rsid w:val="1D58FE21"/>
    <w:rsid w:val="1D822C6C"/>
    <w:rsid w:val="1D8AF77F"/>
    <w:rsid w:val="1DAF776D"/>
    <w:rsid w:val="1DF69952"/>
    <w:rsid w:val="1ED18604"/>
    <w:rsid w:val="1F1490B5"/>
    <w:rsid w:val="1F70C23F"/>
    <w:rsid w:val="1FA09FCA"/>
    <w:rsid w:val="1FC2AF7D"/>
    <w:rsid w:val="20563968"/>
    <w:rsid w:val="20BFF1ED"/>
    <w:rsid w:val="21436F8A"/>
    <w:rsid w:val="2192D56E"/>
    <w:rsid w:val="22202117"/>
    <w:rsid w:val="22E14480"/>
    <w:rsid w:val="23359EAC"/>
    <w:rsid w:val="237F3F93"/>
    <w:rsid w:val="23EEDB0E"/>
    <w:rsid w:val="24993B14"/>
    <w:rsid w:val="24AFA6BC"/>
    <w:rsid w:val="24D6D403"/>
    <w:rsid w:val="24D9EFD9"/>
    <w:rsid w:val="24E624D1"/>
    <w:rsid w:val="24FD80D9"/>
    <w:rsid w:val="253B6EC3"/>
    <w:rsid w:val="2615213B"/>
    <w:rsid w:val="262AD585"/>
    <w:rsid w:val="26B35969"/>
    <w:rsid w:val="26E07FD3"/>
    <w:rsid w:val="276EECE2"/>
    <w:rsid w:val="278C7C71"/>
    <w:rsid w:val="28702F40"/>
    <w:rsid w:val="28B0F783"/>
    <w:rsid w:val="28DF0AE8"/>
    <w:rsid w:val="28FE1A4A"/>
    <w:rsid w:val="29C1B83B"/>
    <w:rsid w:val="29CDE328"/>
    <w:rsid w:val="2A04F97B"/>
    <w:rsid w:val="2A140892"/>
    <w:rsid w:val="2A6F95A1"/>
    <w:rsid w:val="2A7A04D0"/>
    <w:rsid w:val="2AC19773"/>
    <w:rsid w:val="2AE8C958"/>
    <w:rsid w:val="2AF7A4DA"/>
    <w:rsid w:val="2B169C1B"/>
    <w:rsid w:val="2B514F5A"/>
    <w:rsid w:val="2B66332D"/>
    <w:rsid w:val="2BE9B261"/>
    <w:rsid w:val="2C7CAA1F"/>
    <w:rsid w:val="2CEAD276"/>
    <w:rsid w:val="2D009FB2"/>
    <w:rsid w:val="2D5C2BD7"/>
    <w:rsid w:val="2D7C6AFF"/>
    <w:rsid w:val="2DB929BD"/>
    <w:rsid w:val="2DF25DCB"/>
    <w:rsid w:val="2E33F544"/>
    <w:rsid w:val="2E373703"/>
    <w:rsid w:val="2E6E59ED"/>
    <w:rsid w:val="2FAADAC1"/>
    <w:rsid w:val="2FB1D4F2"/>
    <w:rsid w:val="2FF289C7"/>
    <w:rsid w:val="3033109A"/>
    <w:rsid w:val="305567BA"/>
    <w:rsid w:val="3094034E"/>
    <w:rsid w:val="316AB844"/>
    <w:rsid w:val="31CE45E2"/>
    <w:rsid w:val="32125E6C"/>
    <w:rsid w:val="324EEF81"/>
    <w:rsid w:val="3440EE27"/>
    <w:rsid w:val="3461FD79"/>
    <w:rsid w:val="346784D6"/>
    <w:rsid w:val="34831266"/>
    <w:rsid w:val="34F205DB"/>
    <w:rsid w:val="35083B29"/>
    <w:rsid w:val="355F63DC"/>
    <w:rsid w:val="36CA88BD"/>
    <w:rsid w:val="36F78928"/>
    <w:rsid w:val="370513FA"/>
    <w:rsid w:val="3713A5B6"/>
    <w:rsid w:val="37727576"/>
    <w:rsid w:val="37C8995B"/>
    <w:rsid w:val="3813B4AA"/>
    <w:rsid w:val="382DFC35"/>
    <w:rsid w:val="388DA420"/>
    <w:rsid w:val="38D06648"/>
    <w:rsid w:val="38EC54FF"/>
    <w:rsid w:val="39158570"/>
    <w:rsid w:val="391E7738"/>
    <w:rsid w:val="39791491"/>
    <w:rsid w:val="3A2C3AAE"/>
    <w:rsid w:val="3AAF852D"/>
    <w:rsid w:val="3AB621E5"/>
    <w:rsid w:val="3AD503B4"/>
    <w:rsid w:val="3B62FE04"/>
    <w:rsid w:val="3B67135F"/>
    <w:rsid w:val="3B985FDD"/>
    <w:rsid w:val="3B9BE002"/>
    <w:rsid w:val="3BA82E52"/>
    <w:rsid w:val="3BCDF7F8"/>
    <w:rsid w:val="3BD60823"/>
    <w:rsid w:val="3BDA279A"/>
    <w:rsid w:val="3C3CF2E5"/>
    <w:rsid w:val="3C6B73AA"/>
    <w:rsid w:val="3C71582F"/>
    <w:rsid w:val="3D11A2F9"/>
    <w:rsid w:val="3DA36A45"/>
    <w:rsid w:val="3E5323F5"/>
    <w:rsid w:val="3E93C9EE"/>
    <w:rsid w:val="3EC2D122"/>
    <w:rsid w:val="3F1BB5FF"/>
    <w:rsid w:val="3F6BAB84"/>
    <w:rsid w:val="3F845D8B"/>
    <w:rsid w:val="4015607C"/>
    <w:rsid w:val="40302DB2"/>
    <w:rsid w:val="40AA336C"/>
    <w:rsid w:val="40B76E37"/>
    <w:rsid w:val="41B96B81"/>
    <w:rsid w:val="420D9BBC"/>
    <w:rsid w:val="42225971"/>
    <w:rsid w:val="42474FA1"/>
    <w:rsid w:val="42EE26DA"/>
    <w:rsid w:val="42F0E338"/>
    <w:rsid w:val="42FF142D"/>
    <w:rsid w:val="433FCF32"/>
    <w:rsid w:val="434D6EC5"/>
    <w:rsid w:val="434EC1F9"/>
    <w:rsid w:val="43ABEE65"/>
    <w:rsid w:val="43B44119"/>
    <w:rsid w:val="43FAECFB"/>
    <w:rsid w:val="44364FAB"/>
    <w:rsid w:val="4475116D"/>
    <w:rsid w:val="447E9E9C"/>
    <w:rsid w:val="447F2777"/>
    <w:rsid w:val="44966C39"/>
    <w:rsid w:val="44B1DB74"/>
    <w:rsid w:val="44BD98A3"/>
    <w:rsid w:val="44C6285C"/>
    <w:rsid w:val="44E236BA"/>
    <w:rsid w:val="452428A2"/>
    <w:rsid w:val="4554A750"/>
    <w:rsid w:val="45635911"/>
    <w:rsid w:val="45794E17"/>
    <w:rsid w:val="463A5FDB"/>
    <w:rsid w:val="4695317E"/>
    <w:rsid w:val="46AF7A45"/>
    <w:rsid w:val="475E2E5B"/>
    <w:rsid w:val="47970B28"/>
    <w:rsid w:val="47E55657"/>
    <w:rsid w:val="491DD60B"/>
    <w:rsid w:val="49D91473"/>
    <w:rsid w:val="4A730239"/>
    <w:rsid w:val="4A776ED9"/>
    <w:rsid w:val="4A794A78"/>
    <w:rsid w:val="4AD57B72"/>
    <w:rsid w:val="4AFC5AC3"/>
    <w:rsid w:val="4B5E56A7"/>
    <w:rsid w:val="4B78D520"/>
    <w:rsid w:val="4BF84AEA"/>
    <w:rsid w:val="4C010869"/>
    <w:rsid w:val="4C2F79F2"/>
    <w:rsid w:val="4C38FDDB"/>
    <w:rsid w:val="4C6248F4"/>
    <w:rsid w:val="4C66B6CA"/>
    <w:rsid w:val="4C7A28FF"/>
    <w:rsid w:val="4C863E02"/>
    <w:rsid w:val="4C8AC690"/>
    <w:rsid w:val="4D7668D0"/>
    <w:rsid w:val="4D8E1C37"/>
    <w:rsid w:val="4DB445AC"/>
    <w:rsid w:val="4E8AD27A"/>
    <w:rsid w:val="4F1CEAB3"/>
    <w:rsid w:val="4F6D91AD"/>
    <w:rsid w:val="4FDC8487"/>
    <w:rsid w:val="5010B66C"/>
    <w:rsid w:val="50161689"/>
    <w:rsid w:val="50650409"/>
    <w:rsid w:val="50C66CAD"/>
    <w:rsid w:val="50E7697D"/>
    <w:rsid w:val="50E9EC07"/>
    <w:rsid w:val="5151E635"/>
    <w:rsid w:val="5153E3C8"/>
    <w:rsid w:val="51C76D2E"/>
    <w:rsid w:val="51F78EA7"/>
    <w:rsid w:val="52000638"/>
    <w:rsid w:val="5235D53D"/>
    <w:rsid w:val="525FD88F"/>
    <w:rsid w:val="527AB5ED"/>
    <w:rsid w:val="52932957"/>
    <w:rsid w:val="52C072F9"/>
    <w:rsid w:val="53E6D7B9"/>
    <w:rsid w:val="53EEB76A"/>
    <w:rsid w:val="540FEEF4"/>
    <w:rsid w:val="558259F4"/>
    <w:rsid w:val="5603512F"/>
    <w:rsid w:val="572A905D"/>
    <w:rsid w:val="5734D6D4"/>
    <w:rsid w:val="57A8572B"/>
    <w:rsid w:val="57CBA313"/>
    <w:rsid w:val="57FD4CB3"/>
    <w:rsid w:val="580045A3"/>
    <w:rsid w:val="58B61A36"/>
    <w:rsid w:val="58C791C9"/>
    <w:rsid w:val="58D481A8"/>
    <w:rsid w:val="58E0817A"/>
    <w:rsid w:val="59027BA0"/>
    <w:rsid w:val="592C0028"/>
    <w:rsid w:val="596B4E44"/>
    <w:rsid w:val="59F699B4"/>
    <w:rsid w:val="5A3AC263"/>
    <w:rsid w:val="5AA69248"/>
    <w:rsid w:val="5ACEA5E7"/>
    <w:rsid w:val="5B00C18B"/>
    <w:rsid w:val="5B73CB26"/>
    <w:rsid w:val="5BA9BE55"/>
    <w:rsid w:val="5BA9E6DF"/>
    <w:rsid w:val="5BFDDD0D"/>
    <w:rsid w:val="5C1BCA81"/>
    <w:rsid w:val="5C81CB05"/>
    <w:rsid w:val="5CB38BD1"/>
    <w:rsid w:val="5CC47B12"/>
    <w:rsid w:val="5D0223EC"/>
    <w:rsid w:val="5DA200B6"/>
    <w:rsid w:val="5E5F3DCF"/>
    <w:rsid w:val="5E8BDC08"/>
    <w:rsid w:val="5EFE0DE0"/>
    <w:rsid w:val="5F104055"/>
    <w:rsid w:val="60129E39"/>
    <w:rsid w:val="607259C5"/>
    <w:rsid w:val="60EA6289"/>
    <w:rsid w:val="6167D254"/>
    <w:rsid w:val="62329BFD"/>
    <w:rsid w:val="62436054"/>
    <w:rsid w:val="62B7B83B"/>
    <w:rsid w:val="62DC6680"/>
    <w:rsid w:val="645B589A"/>
    <w:rsid w:val="6476B819"/>
    <w:rsid w:val="64A1AA28"/>
    <w:rsid w:val="64E97D4F"/>
    <w:rsid w:val="64F9C110"/>
    <w:rsid w:val="65EE7EC3"/>
    <w:rsid w:val="66022187"/>
    <w:rsid w:val="661535A7"/>
    <w:rsid w:val="662427A9"/>
    <w:rsid w:val="669DE240"/>
    <w:rsid w:val="673BF3E6"/>
    <w:rsid w:val="67F49A53"/>
    <w:rsid w:val="684B32B2"/>
    <w:rsid w:val="688B0E54"/>
    <w:rsid w:val="68D28822"/>
    <w:rsid w:val="68DF6878"/>
    <w:rsid w:val="691B9A07"/>
    <w:rsid w:val="69283E84"/>
    <w:rsid w:val="696D17D1"/>
    <w:rsid w:val="6996DDB2"/>
    <w:rsid w:val="69F0710A"/>
    <w:rsid w:val="6B0A5F91"/>
    <w:rsid w:val="6B455213"/>
    <w:rsid w:val="6B56BF56"/>
    <w:rsid w:val="6BBEF081"/>
    <w:rsid w:val="6BC0223C"/>
    <w:rsid w:val="6C71ED59"/>
    <w:rsid w:val="6CE7574F"/>
    <w:rsid w:val="6D1AAA5D"/>
    <w:rsid w:val="6D2FFADD"/>
    <w:rsid w:val="6DDABA47"/>
    <w:rsid w:val="6E102A88"/>
    <w:rsid w:val="6E21ED85"/>
    <w:rsid w:val="6F9B1048"/>
    <w:rsid w:val="7048F3E2"/>
    <w:rsid w:val="71044472"/>
    <w:rsid w:val="71C7666E"/>
    <w:rsid w:val="720BDD75"/>
    <w:rsid w:val="72231E30"/>
    <w:rsid w:val="727BD9A2"/>
    <w:rsid w:val="727BF727"/>
    <w:rsid w:val="728399B8"/>
    <w:rsid w:val="72F6C22C"/>
    <w:rsid w:val="730ACD6B"/>
    <w:rsid w:val="73DEC866"/>
    <w:rsid w:val="7411DEAC"/>
    <w:rsid w:val="74E99387"/>
    <w:rsid w:val="74EB47E9"/>
    <w:rsid w:val="75007C32"/>
    <w:rsid w:val="75A4A1E0"/>
    <w:rsid w:val="76060E52"/>
    <w:rsid w:val="76217382"/>
    <w:rsid w:val="774E8ED3"/>
    <w:rsid w:val="77B7028D"/>
    <w:rsid w:val="77CF8A76"/>
    <w:rsid w:val="77D2EA63"/>
    <w:rsid w:val="77DAE13F"/>
    <w:rsid w:val="77EC29E4"/>
    <w:rsid w:val="781DC65C"/>
    <w:rsid w:val="7854DFE5"/>
    <w:rsid w:val="78742CA4"/>
    <w:rsid w:val="78BFA1FF"/>
    <w:rsid w:val="78CB0BB5"/>
    <w:rsid w:val="78F17CB6"/>
    <w:rsid w:val="79364379"/>
    <w:rsid w:val="7959279F"/>
    <w:rsid w:val="79654F12"/>
    <w:rsid w:val="79675A1A"/>
    <w:rsid w:val="7980803A"/>
    <w:rsid w:val="79B26487"/>
    <w:rsid w:val="79B66168"/>
    <w:rsid w:val="79FB5488"/>
    <w:rsid w:val="7AD1D111"/>
    <w:rsid w:val="7B1EC918"/>
    <w:rsid w:val="7B8958F6"/>
    <w:rsid w:val="7B98F8F5"/>
    <w:rsid w:val="7BE96E31"/>
    <w:rsid w:val="7BEBBFAD"/>
    <w:rsid w:val="7BF439F6"/>
    <w:rsid w:val="7C727C2D"/>
    <w:rsid w:val="7D3DD28F"/>
    <w:rsid w:val="7D548EF3"/>
    <w:rsid w:val="7D7805F0"/>
    <w:rsid w:val="7D797555"/>
    <w:rsid w:val="7DAB8CC5"/>
    <w:rsid w:val="7DAED23F"/>
    <w:rsid w:val="7E206844"/>
    <w:rsid w:val="7E2CD16D"/>
    <w:rsid w:val="7E46EAF3"/>
    <w:rsid w:val="7EBC5D2F"/>
    <w:rsid w:val="7F10380C"/>
    <w:rsid w:val="7F895E2C"/>
    <w:rsid w:val="7FE6E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AB75"/>
  <w15:chartTrackingRefBased/>
  <w15:docId w15:val="{C4FE1255-5459-451F-8A26-3D4181BE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7970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7970B28"/>
    <w:rPr>
      <w:color w:val="467886"/>
      <w:u w:val="single"/>
    </w:rPr>
  </w:style>
  <w:style w:type="character" w:styleId="CommentReference">
    <w:name w:val="annotation reference"/>
    <w:basedOn w:val="DefaultParagraphFont"/>
    <w:uiPriority w:val="99"/>
    <w:semiHidden/>
    <w:unhideWhenUsed/>
    <w:rsid w:val="00064604"/>
    <w:rPr>
      <w:sz w:val="16"/>
      <w:szCs w:val="16"/>
    </w:rPr>
  </w:style>
  <w:style w:type="paragraph" w:styleId="CommentText">
    <w:name w:val="annotation text"/>
    <w:basedOn w:val="Normal"/>
    <w:link w:val="CommentTextChar"/>
    <w:uiPriority w:val="99"/>
    <w:unhideWhenUsed/>
    <w:rsid w:val="00064604"/>
    <w:pPr>
      <w:spacing w:line="240" w:lineRule="auto"/>
    </w:pPr>
    <w:rPr>
      <w:sz w:val="20"/>
      <w:szCs w:val="20"/>
    </w:rPr>
  </w:style>
  <w:style w:type="character" w:customStyle="1" w:styleId="CommentTextChar">
    <w:name w:val="Comment Text Char"/>
    <w:basedOn w:val="DefaultParagraphFont"/>
    <w:link w:val="CommentText"/>
    <w:uiPriority w:val="99"/>
    <w:rsid w:val="00064604"/>
    <w:rPr>
      <w:sz w:val="20"/>
      <w:szCs w:val="20"/>
    </w:rPr>
  </w:style>
  <w:style w:type="paragraph" w:styleId="CommentSubject">
    <w:name w:val="annotation subject"/>
    <w:basedOn w:val="CommentText"/>
    <w:next w:val="CommentText"/>
    <w:link w:val="CommentSubjectChar"/>
    <w:uiPriority w:val="99"/>
    <w:semiHidden/>
    <w:unhideWhenUsed/>
    <w:rsid w:val="00064604"/>
    <w:rPr>
      <w:b/>
      <w:bCs/>
    </w:rPr>
  </w:style>
  <w:style w:type="character" w:customStyle="1" w:styleId="CommentSubjectChar">
    <w:name w:val="Comment Subject Char"/>
    <w:basedOn w:val="CommentTextChar"/>
    <w:link w:val="CommentSubject"/>
    <w:uiPriority w:val="99"/>
    <w:semiHidden/>
    <w:rsid w:val="00064604"/>
    <w:rPr>
      <w:b/>
      <w:bCs/>
      <w:sz w:val="20"/>
      <w:szCs w:val="20"/>
    </w:rPr>
  </w:style>
  <w:style w:type="paragraph" w:styleId="Revision">
    <w:name w:val="Revision"/>
    <w:hidden/>
    <w:uiPriority w:val="99"/>
    <w:semiHidden/>
    <w:rsid w:val="008F57E1"/>
    <w:pPr>
      <w:spacing w:after="0" w:line="240" w:lineRule="auto"/>
    </w:pPr>
  </w:style>
  <w:style w:type="character" w:styleId="Mention">
    <w:name w:val="Mention"/>
    <w:basedOn w:val="DefaultParagraphFont"/>
    <w:uiPriority w:val="99"/>
    <w:unhideWhenUsed/>
    <w:rsid w:val="00197810"/>
    <w:rPr>
      <w:color w:val="2B579A"/>
      <w:shd w:val="clear" w:color="auto" w:fill="E1DFDD"/>
    </w:rPr>
  </w:style>
  <w:style w:type="paragraph" w:styleId="FootnoteText">
    <w:name w:val="footnote text"/>
    <w:basedOn w:val="Normal"/>
    <w:uiPriority w:val="99"/>
    <w:semiHidden/>
    <w:unhideWhenUsed/>
    <w:rsid w:val="52932957"/>
    <w:pPr>
      <w:spacing w:after="0" w:line="240" w:lineRule="auto"/>
    </w:pPr>
    <w:rPr>
      <w:sz w:val="20"/>
      <w:szCs w:val="20"/>
    </w:rPr>
  </w:style>
  <w:style w:type="character" w:styleId="FootnoteReference">
    <w:name w:val="footnote reference"/>
    <w:basedOn w:val="DefaultParagraphFont"/>
    <w:uiPriority w:val="99"/>
    <w:semiHidden/>
    <w:unhideWhenUsed/>
    <w:rsid w:val="52932957"/>
    <w:rPr>
      <w:vertAlign w:val="superscript"/>
    </w:rPr>
  </w:style>
  <w:style w:type="paragraph" w:styleId="Header">
    <w:name w:val="header"/>
    <w:basedOn w:val="Normal"/>
    <w:link w:val="HeaderChar"/>
    <w:uiPriority w:val="99"/>
    <w:unhideWhenUsed/>
    <w:rsid w:val="00CD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59B"/>
  </w:style>
  <w:style w:type="paragraph" w:styleId="Footer">
    <w:name w:val="footer"/>
    <w:basedOn w:val="Normal"/>
    <w:link w:val="FooterChar"/>
    <w:uiPriority w:val="99"/>
    <w:unhideWhenUsed/>
    <w:rsid w:val="00CD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59B"/>
  </w:style>
  <w:style w:type="character" w:styleId="UnresolvedMention">
    <w:name w:val="Unresolved Mention"/>
    <w:basedOn w:val="DefaultParagraphFont"/>
    <w:uiPriority w:val="99"/>
    <w:semiHidden/>
    <w:unhideWhenUsed/>
    <w:rsid w:val="00215769"/>
    <w:rPr>
      <w:color w:val="605E5C"/>
      <w:shd w:val="clear" w:color="auto" w:fill="E1DFDD"/>
    </w:rPr>
  </w:style>
  <w:style w:type="character" w:styleId="FollowedHyperlink">
    <w:name w:val="FollowedHyperlink"/>
    <w:basedOn w:val="DefaultParagraphFont"/>
    <w:uiPriority w:val="99"/>
    <w:semiHidden/>
    <w:unhideWhenUsed/>
    <w:rsid w:val="00FA5D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7077">
      <w:bodyDiv w:val="1"/>
      <w:marLeft w:val="0"/>
      <w:marRight w:val="0"/>
      <w:marTop w:val="0"/>
      <w:marBottom w:val="0"/>
      <w:divBdr>
        <w:top w:val="none" w:sz="0" w:space="0" w:color="auto"/>
        <w:left w:val="none" w:sz="0" w:space="0" w:color="auto"/>
        <w:bottom w:val="none" w:sz="0" w:space="0" w:color="auto"/>
        <w:right w:val="none" w:sz="0" w:space="0" w:color="auto"/>
      </w:divBdr>
    </w:div>
    <w:div w:id="1240946852">
      <w:bodyDiv w:val="1"/>
      <w:marLeft w:val="0"/>
      <w:marRight w:val="0"/>
      <w:marTop w:val="0"/>
      <w:marBottom w:val="0"/>
      <w:divBdr>
        <w:top w:val="none" w:sz="0" w:space="0" w:color="auto"/>
        <w:left w:val="none" w:sz="0" w:space="0" w:color="auto"/>
        <w:bottom w:val="none" w:sz="0" w:space="0" w:color="auto"/>
        <w:right w:val="none" w:sz="0" w:space="0" w:color="auto"/>
      </w:divBdr>
    </w:div>
    <w:div w:id="1895039788">
      <w:bodyDiv w:val="1"/>
      <w:marLeft w:val="0"/>
      <w:marRight w:val="0"/>
      <w:marTop w:val="0"/>
      <w:marBottom w:val="0"/>
      <w:divBdr>
        <w:top w:val="none" w:sz="0" w:space="0" w:color="auto"/>
        <w:left w:val="none" w:sz="0" w:space="0" w:color="auto"/>
        <w:bottom w:val="none" w:sz="0" w:space="0" w:color="auto"/>
        <w:right w:val="none" w:sz="0" w:space="0" w:color="auto"/>
      </w:divBdr>
    </w:div>
    <w:div w:id="20280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DC0500" TargetMode="External"/><Relationship Id="rId2" Type="http://schemas.openxmlformats.org/officeDocument/2006/relationships/hyperlink" Target="http://data.europa.eu/eli/reg/2021/690/oj" TargetMode="External"/><Relationship Id="rId1" Type="http://schemas.openxmlformats.org/officeDocument/2006/relationships/hyperlink" Target="https://eur-lex.europa.eu/EN/legal-content/glossary/eu-trade-policy.html" TargetMode="External"/><Relationship Id="rId5" Type="http://schemas.openxmlformats.org/officeDocument/2006/relationships/hyperlink" Target="http://data.europa.eu/eli/dec/2020/2053/oj" TargetMode="External"/><Relationship Id="rId4" Type="http://schemas.openxmlformats.org/officeDocument/2006/relationships/hyperlink" Target="https://eur-lex.europa.eu/legal-content/EN/TXT/?uri=celex:52023DC0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03B9-45E5-4140-A110-2792B1C4BD7F}">
  <ds:schemaRefs>
    <ds:schemaRef ds:uri="http://schemas.microsoft.com/sharepoint/v3/contenttype/forms"/>
  </ds:schemaRefs>
</ds:datastoreItem>
</file>

<file path=customXml/itemProps2.xml><?xml version="1.0" encoding="utf-8"?>
<ds:datastoreItem xmlns:ds="http://schemas.openxmlformats.org/officeDocument/2006/customXml" ds:itemID="{BEEAD190-9235-4C78-BFA0-087262E26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E6C60-3C0B-4150-B25C-37DF90BD84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CD5EF-BFE4-47D9-A993-81EBA069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1728</Words>
  <Characters>9297</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 Erik (GROW)</dc:creator>
  <cp:keywords/>
  <dc:description/>
  <cp:lastModifiedBy>ROSSI Simona (SG)</cp:lastModifiedBy>
  <cp:revision>3</cp:revision>
  <dcterms:created xsi:type="dcterms:W3CDTF">2026-06-01T07:25:00Z</dcterms:created>
  <dcterms:modified xsi:type="dcterms:W3CDTF">2026-06-01T07:27:00Z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0x01010078D2C354A9B80F4897019BC7E2880A88</vt:lpwstr>
  </property>
  <property fmtid="{D5CDD505-2E9C-101B-9397-08002B2CF9AE}" pid="3" name="MSIP_Label_6bd9ddd1-4d20-43f6-abfa-fc3c07406f94_Enabled">
    <vt:lpwstr>true</vt:lpwstr>
  </property>
  <property fmtid="{D5CDD505-2E9C-101B-9397-08002B2CF9AE}" pid="4" name="MSIP_Label_6bd9ddd1-4d20-43f6-abfa-fc3c07406f94_SetDate">
    <vt:lpwstr>2026-01-29T09:17:15Z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72f61e1d-1ca2-43a5-b22d-4cc3a383bfd1</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ies>
</file>