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charts/chart33.xml" ContentType="application/vnd.openxmlformats-officedocument.drawingml.chart+xml"/>
  <Override PartName="/word/charts/colors32.xml" ContentType="application/vnd.ms-office.chartcolorstyle+xml"/>
  <Override PartName="/word/charts/chart32.xml" ContentType="application/vnd.openxmlformats-officedocument.drawingml.chart+xml"/>
  <Override PartName="/word/charts/colors31.xml" ContentType="application/vnd.ms-office.chartcolorstyle+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style32.xml" ContentType="application/vnd.ms-office.chartstyle+xml"/>
  <Override PartName="/word/charts/chart34.xml" ContentType="application/vnd.openxmlformats-officedocument.drawingml.chart+xml"/>
  <Override PartName="/word/charts/colors33.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colors35.xml" ContentType="application/vnd.ms-office.chartcolorstyle+xml"/>
  <Override PartName="/word/charts/style35.xml" ContentType="application/vnd.ms-office.chartstyle+xml"/>
  <Override PartName="/word/charts/chart35.xml" ContentType="application/vnd.openxmlformats-officedocument.drawingml.chart+xml"/>
  <Override PartName="/word/charts/colors34.xml" ContentType="application/vnd.ms-office.chartcolorstyle+xml"/>
  <Override PartName="/word/charts/style34.xml" ContentType="application/vnd.ms-office.chartstyle+xml"/>
  <Override PartName="/word/charts/chart30.xml" ContentType="application/vnd.openxmlformats-officedocument.drawingml.chart+xml"/>
  <Override PartName="/word/charts/style33.xml" ContentType="application/vnd.ms-office.chartstyle+xml"/>
  <Override PartName="/word/charts/style37.xml" ContentType="application/vnd.ms-office.chartstyle+xml"/>
  <Override PartName="/word/charts/chart27.xml" ContentType="application/vnd.openxmlformats-officedocument.drawingml.chart+xml"/>
  <Override PartName="/word/charts/colors26.xml" ContentType="application/vnd.ms-office.chartcolorstyle+xml"/>
  <Override PartName="/word/charts/style26.xml" ContentType="application/vnd.ms-office.chartstyle+xml"/>
  <Override PartName="/word/charts/chart26.xml" ContentType="application/vnd.openxmlformats-officedocument.drawingml.chart+xml"/>
  <Override PartName="/word/theme/themeOverride8.xml" ContentType="application/vnd.openxmlformats-officedocument.themeOverride+xml"/>
  <Override PartName="/word/charts/colors25.xml" ContentType="application/vnd.ms-office.chartcolorstyle+xml"/>
  <Override PartName="/word/charts/style25.xml" ContentType="application/vnd.ms-office.chartstyle+xml"/>
  <Override PartName="/word/charts/chart25.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9.xml" ContentType="application/vnd.openxmlformats-officedocument.themeOverride+xml"/>
  <Override PartName="/word/theme/themeOverride10.xml" ContentType="application/vnd.openxmlformats-officedocument.themeOverride+xml"/>
  <Override PartName="/word/charts/colors29.xml" ContentType="application/vnd.ms-office.chartcolorstyle+xml"/>
  <Override PartName="/word/charts/style29.xml" ContentType="application/vnd.ms-office.chartstyle+xml"/>
  <Override PartName="/word/charts/chart29.xml" ContentType="application/vnd.openxmlformats-officedocument.drawingml.chart+xml"/>
  <Override PartName="/word/charts/colors28.xml" ContentType="application/vnd.ms-office.chartcolorstyle+xml"/>
  <Override PartName="/word/charts/style28.xml" ContentType="application/vnd.ms-office.chartstyle+xml"/>
  <Override PartName="/word/charts/chart28.xml" ContentType="application/vnd.openxmlformats-officedocument.drawingml.chart+xml"/>
  <Override PartName="/word/charts/colors38.xml" ContentType="application/vnd.ms-office.chartcolorstyle+xml"/>
  <Override PartName="/word/charts/chart38.xml" ContentType="application/vnd.openxmlformats-officedocument.drawingml.chart+xml"/>
  <Override PartName="/word/charts/colors40.xml" ContentType="application/vnd.ms-office.chartcolorstyle+xml"/>
  <Override PartName="/word/charts/style40.xml" ContentType="application/vnd.ms-office.chartstyle+xml"/>
  <Override PartName="/word/charts/chart40.xml" ContentType="application/vnd.openxmlformats-officedocument.drawingml.chart+xml"/>
  <Override PartName="/word/charts/colors39.xml" ContentType="application/vnd.ms-office.chartcolorstyle+xml"/>
  <Override PartName="/word/charts/style39.xml" ContentType="application/vnd.ms-office.chartstyle+xml"/>
  <Override PartName="/word/charts/chart39.xml" ContentType="application/vnd.openxmlformats-officedocument.drawingml.chart+xml"/>
  <Override PartName="/word/charts/colors24.xml" ContentType="application/vnd.ms-office.chartcolorstyle+xml"/>
  <Override PartName="/word/charts/style38.xml" ContentType="application/vnd.ms-office.chart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1.xml" ContentType="application/vnd.openxmlformats-officedocument.theme+xml"/>
  <Override PartName="/word/charts/colors37.xml" ContentType="application/vnd.ms-office.chartcolorstyle+xml"/>
  <Override PartName="/word/charts/chart24.xml" ContentType="application/vnd.openxmlformats-officedocument.drawingml.chart+xml"/>
  <Override PartName="/word/charts/colors8.xml" ContentType="application/vnd.ms-office.chartcolorstyle+xml"/>
  <Override PartName="/word/charts/style8.xml" ContentType="application/vnd.ms-office.chartstyle+xml"/>
  <Override PartName="/word/charts/chart8.xml" ContentType="application/vnd.openxmlformats-officedocument.drawingml.chart+xml"/>
  <Override PartName="/word/charts/colors7.xml" ContentType="application/vnd.ms-office.chartcolorstyle+xml"/>
  <Override PartName="/word/charts/style7.xml" ContentType="application/vnd.ms-office.chartstyle+xml"/>
  <Override PartName="/word/charts/chart7.xml" ContentType="application/vnd.openxmlformats-officedocument.drawingml.chart+xml"/>
  <Override PartName="/word/charts/colors6.xml" ContentType="application/vnd.ms-office.chartcolorstyle+xml"/>
  <Override PartName="/word/charts/style6.xml" ContentType="application/vnd.ms-office.chartstyle+xml"/>
  <Override PartName="/word/charts/chart6.xml" ContentType="application/vnd.openxmlformats-officedocument.drawingml.chart+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2.xml" ContentType="application/vnd.openxmlformats-officedocument.drawingml.chart+xml"/>
  <Override PartName="/word/charts/colors11.xml" ContentType="application/vnd.ms-office.chartcolorstyle+xml"/>
  <Override PartName="/word/charts/style11.xml" ContentType="application/vnd.ms-office.chartstyle+xml"/>
  <Override PartName="/word/charts/chart11.xml" ContentType="application/vnd.openxmlformats-officedocument.drawingml.chart+xml"/>
  <Override PartName="/word/charts/colors10.xml" ContentType="application/vnd.ms-office.chartcolorstyle+xml"/>
  <Override PartName="/word/charts/style10.xml" ContentType="application/vnd.ms-office.chartstyle+xml"/>
  <Override PartName="/word/charts/chart10.xml" ContentType="application/vnd.openxmlformats-officedocument.drawingml.chart+xml"/>
  <Override PartName="/word/theme/themeOverride1.xml" ContentType="application/vnd.openxmlformats-officedocument.themeOverride+xml"/>
  <Override PartName="/word/charts/colors5.xml" ContentType="application/vnd.ms-office.chartcolorstyle+xml"/>
  <Override PartName="/word/charts/style5.xml" ContentType="application/vnd.ms-office.chartstyle+xml"/>
  <Override PartName="/word/charts/chart5.xml" ContentType="application/vnd.openxmlformats-officedocument.drawingml.chart+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olors4.xml" ContentType="application/vnd.ms-office.chartcolorstyle+xml"/>
  <Override PartName="/word/charts/style4.xml" ContentType="application/vnd.ms-office.chartstyle+xml"/>
  <Override PartName="/word/charts/chart4.xml" ContentType="application/vnd.openxmlformats-officedocument.drawingml.chart+xml"/>
  <Override PartName="/word/charts/colors3.xml" ContentType="application/vnd.ms-office.chartcolorstyle+xml"/>
  <Override PartName="/word/charts/style3.xml" ContentType="application/vnd.ms-office.chartstyle+xml"/>
  <Override PartName="/word/charts/chart3.xml" ContentType="application/vnd.openxmlformats-officedocument.drawingml.chart+xml"/>
  <Override PartName="/word/charts/colors2.xml" ContentType="application/vnd.ms-office.chartcolorstyle+xml"/>
  <Override PartName="/word/charts/style2.xml" ContentType="application/vnd.ms-office.chartstyle+xml"/>
  <Override PartName="/word/charts/style24.xml" ContentType="application/vnd.ms-office.chartstyle+xml"/>
  <Override PartName="/word/charts/style12.xml" ContentType="application/vnd.ms-office.chartstyle+xml"/>
  <Override PartName="/word/theme/themeOverride2.xml" ContentType="application/vnd.openxmlformats-officedocument.themeOverride+xml"/>
  <Override PartName="/word/charts/style21.xml" ContentType="application/vnd.ms-office.chartstyle+xml"/>
  <Override PartName="/word/charts/chart21.xml" ContentType="application/vnd.openxmlformats-officedocument.drawingml.chart+xml"/>
  <Override PartName="/word/charts/colors20.xml" ContentType="application/vnd.ms-office.chartcolorstyle+xml"/>
  <Override PartName="/word/charts/style20.xml" ContentType="application/vnd.ms-office.chartstyle+xml"/>
  <Override PartName="/word/charts/chart20.xml" ContentType="application/vnd.openxmlformats-officedocument.drawingml.chart+xml"/>
  <Override PartName="/word/charts/colors19.xml" ContentType="application/vnd.ms-office.chartcolorstyle+xml"/>
  <Override PartName="/word/charts/style19.xml" ContentType="application/vnd.ms-office.chartstyle+xml"/>
  <Override PartName="/word/charts/chart19.xml" ContentType="application/vnd.openxmlformats-officedocument.drawingml.chart+xml"/>
  <Override PartName="/word/charts/colors21.xml" ContentType="application/vnd.ms-office.chartcolorstyle+xml"/>
  <Override PartName="/word/theme/themeOverride6.xml" ContentType="application/vnd.openxmlformats-officedocument.themeOverride+xml"/>
  <Override PartName="/word/theme/themeOverride7.xml" ContentType="application/vnd.openxmlformats-officedocument.themeOverride+xml"/>
  <Override PartName="/word/charts/colors23.xml" ContentType="application/vnd.ms-office.chartcolorstyle+xml"/>
  <Override PartName="/word/charts/style23.xml" ContentType="application/vnd.ms-office.chartstyle+xml"/>
  <Override PartName="/word/charts/chart23.xml" ContentType="application/vnd.openxmlformats-officedocument.drawingml.chart+xml"/>
  <Override PartName="/word/charts/colors22.xml" ContentType="application/vnd.ms-office.chartcolorstyle+xml"/>
  <Override PartName="/word/charts/style22.xml" ContentType="application/vnd.ms-office.chartstyle+xml"/>
  <Override PartName="/word/charts/chart22.xml" ContentType="application/vnd.openxmlformats-officedocument.drawingml.chart+xml"/>
  <Override PartName="/word/charts/colors12.xml" ContentType="application/vnd.ms-office.chartcolorstyle+xml"/>
  <Override PartName="/word/theme/themeOverride5.xml" ContentType="application/vnd.openxmlformats-officedocument.themeOverride+xml"/>
  <Override PartName="/word/charts/style18.xml" ContentType="application/vnd.ms-office.chartstyle+xml"/>
  <Override PartName="/word/charts/colors14.xml" ContentType="application/vnd.ms-office.chartcolorstyle+xml"/>
  <Override PartName="/word/charts/style14.xml" ContentType="application/vnd.ms-office.chartstyle+xml"/>
  <Override PartName="/word/charts/chart14.xml" ContentType="application/vnd.openxmlformats-officedocument.drawingml.chart+xml"/>
  <Override PartName="/word/theme/themeOverride3.xml" ContentType="application/vnd.openxmlformats-officedocument.themeOverride+xml"/>
  <Override PartName="/word/charts/colors13.xml" ContentType="application/vnd.ms-office.chartcolorstyle+xml"/>
  <Override PartName="/word/charts/style13.xml" ContentType="application/vnd.ms-office.chartstyle+xml"/>
  <Override PartName="/word/charts/chart13.xml" ContentType="application/vnd.openxmlformats-officedocument.drawingml.chart+xml"/>
  <Override PartName="/word/charts/colors18.xml" ContentType="application/vnd.ms-office.chartcolorstyle+xml"/>
  <Override PartName="/word/charts/chart15.xml" ContentType="application/vnd.openxmlformats-officedocument.drawingml.chart+xml"/>
  <Override PartName="/word/charts/colors15.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5.xml" ContentType="application/vnd.ms-office.chartstyle+xml"/>
  <Override PartName="/word/charts/chart16.xml" ContentType="application/vnd.openxmlformats-officedocument.drawingml.chart+xml"/>
  <Override PartName="/word/theme/themeOverride4.xml" ContentType="application/vnd.openxmlformats-officedocument.themeOverride+xml"/>
  <Override PartName="/word/charts/style16.xml" ContentType="application/vnd.ms-office.chartstyle+xml"/>
  <Override PartName="/word/charts/colors16.xml" ContentType="application/vnd.ms-office.chartcolorstyl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custom.xml" ContentType="application/vnd.openxmlformats-officedocument.custom-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a16="http://schemas.microsoft.com/office/drawing/2014/main" xmlns:c="http://schemas.openxmlformats.org/drawingml/2006/char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name="_GoBack" w:displacedByCustomXml="next" w:id="0"/>
    <w:bookmarkEnd w:displacedByCustomXml="next" w:id="0"/>
    <w:sdt>
      <w:sdtPr>
        <w:id w:val="2068840592"/>
        <w:docPartObj>
          <w:docPartGallery w:val="Cover Pages"/>
          <w:docPartUnique/>
        </w:docPartObj>
      </w:sdtPr>
      <w:sdtEndPr/>
      <w:sdtContent>
        <w:p w:rsidRPr="00E3672F" w:rsidR="00C266C7" w:rsidP="001E1287" w:rsidRDefault="00832E8C" w14:paraId="4D659C4C" w14:textId="2F7FEE31">
          <w:pPr>
            <w:spacing w:line="360" w:lineRule="auto"/>
          </w:pPr>
          <w:r w:rsidRPr="00E3672F">
            <w:rPr>
              <w:noProof/>
              <w:lang w:val="en-US"/>
            </w:rPr>
            <w:drawing>
              <wp:anchor distT="0" distB="360045" distL="114300" distR="114300" simplePos="0" relativeHeight="251658240" behindDoc="0" locked="0" layoutInCell="1" allowOverlap="1" wp14:editId="0320104C" wp14:anchorId="3126A512">
                <wp:simplePos x="0" y="0"/>
                <wp:positionH relativeFrom="margin">
                  <wp:posOffset>-488992</wp:posOffset>
                </wp:positionH>
                <wp:positionV relativeFrom="page">
                  <wp:posOffset>391628</wp:posOffset>
                </wp:positionV>
                <wp:extent cx="6839585" cy="1605280"/>
                <wp:effectExtent l="0" t="0" r="0" b="0"/>
                <wp:wrapTopAndBottom/>
                <wp:docPr id="1635355685" name="Picture 1635355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ESC-Word-header-E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39585" cy="1605280"/>
                        </a:xfrm>
                        <a:prstGeom prst="rect">
                          <a:avLst/>
                        </a:prstGeom>
                      </pic:spPr>
                    </pic:pic>
                  </a:graphicData>
                </a:graphic>
                <wp14:sizeRelH relativeFrom="margin">
                  <wp14:pctWidth>0</wp14:pctWidth>
                </wp14:sizeRelH>
                <wp14:sizeRelV relativeFrom="margin">
                  <wp14:pctHeight>0</wp14:pctHeight>
                </wp14:sizeRelV>
              </wp:anchor>
            </w:drawing>
          </w:r>
        </w:p>
        <w:p w:rsidRPr="00E3672F" w:rsidR="00C266C7" w:rsidP="001E1287" w:rsidRDefault="00C266C7" w14:paraId="4E29ED6B" w14:textId="2B04284B">
          <w:pPr>
            <w:pStyle w:val="Title"/>
            <w:spacing w:line="360" w:lineRule="auto"/>
            <w:rPr>
              <w:rFonts w:ascii="Times New Roman" w:hAnsi="Times New Roman" w:cs="Times New Roman"/>
              <w:b/>
              <w:bCs/>
            </w:rPr>
          </w:pPr>
          <w:r w:rsidRPr="00E3672F">
            <w:rPr>
              <w:rFonts w:ascii="Times New Roman" w:hAnsi="Times New Roman" w:cs="Times New Roman"/>
              <w:b/>
              <w:bCs/>
            </w:rPr>
            <w:t>SOC/8</w:t>
          </w:r>
          <w:r w:rsidRPr="00E3672F" w:rsidR="007954D8">
            <w:rPr>
              <w:rFonts w:ascii="Times New Roman" w:hAnsi="Times New Roman" w:cs="Times New Roman"/>
              <w:b/>
              <w:bCs/>
            </w:rPr>
            <w:t>4</w:t>
          </w:r>
          <w:r w:rsidRPr="00E3672F">
            <w:rPr>
              <w:rFonts w:ascii="Times New Roman" w:hAnsi="Times New Roman" w:cs="Times New Roman"/>
              <w:b/>
              <w:bCs/>
            </w:rPr>
            <w:t>7 TECHNICAL ANNEX</w:t>
          </w:r>
        </w:p>
        <w:p w:rsidRPr="00E3672F" w:rsidR="00C266C7" w:rsidP="000408B1" w:rsidRDefault="00C266C7" w14:paraId="17F63D98" w14:textId="73B6BF30">
          <w:pPr>
            <w:pStyle w:val="Subtitle"/>
            <w:spacing w:line="360" w:lineRule="auto"/>
            <w:rPr>
              <w:rFonts w:cs="Times New Roman"/>
            </w:rPr>
          </w:pPr>
          <w:r w:rsidRPr="00E3672F">
            <w:rPr>
              <w:rFonts w:cs="Times New Roman"/>
            </w:rPr>
            <w:t xml:space="preserve">Accompanying the Evaluation Report </w:t>
          </w:r>
        </w:p>
        <w:p w:rsidRPr="00E3672F" w:rsidR="00C266C7" w:rsidP="000408B1" w:rsidRDefault="00C266C7" w14:paraId="5DEF6282" w14:textId="3F435709">
          <w:pPr>
            <w:pStyle w:val="NoSpacing"/>
            <w:spacing w:line="360" w:lineRule="auto"/>
            <w:jc w:val="right"/>
            <w:rPr>
              <w:rFonts w:cs="Times New Roman"/>
              <w:b/>
              <w:bCs/>
              <w:color w:val="156082" w:themeColor="accent1"/>
              <w:sz w:val="28"/>
              <w:szCs w:val="28"/>
              <w:lang w:val="en-GB"/>
            </w:rPr>
          </w:pPr>
          <w:r w:rsidRPr="00E3672F">
            <w:rPr>
              <w:rFonts w:cs="Times New Roman"/>
              <w:b/>
              <w:bCs/>
              <w:color w:val="215E99" w:themeColor="text2" w:themeTint="BF"/>
              <w:sz w:val="28"/>
              <w:szCs w:val="28"/>
              <w:lang w:val="en-GB"/>
            </w:rPr>
            <w:t>Please note</w:t>
          </w:r>
        </w:p>
        <w:p w:rsidRPr="00E3672F" w:rsidR="00C266C7" w:rsidP="001E1287" w:rsidRDefault="00C266C7" w14:paraId="61299DC3" w14:textId="393562A6">
          <w:pPr>
            <w:pStyle w:val="NoSpacing"/>
            <w:spacing w:line="360" w:lineRule="auto"/>
            <w:ind w:left="1560" w:right="426"/>
            <w:jc w:val="both"/>
            <w:rPr>
              <w:rFonts w:cs="Times New Roman"/>
              <w:color w:val="595959" w:themeColor="text1" w:themeTint="A6"/>
              <w:sz w:val="20"/>
              <w:szCs w:val="20"/>
              <w:lang w:val="en-GB"/>
            </w:rPr>
          </w:pPr>
          <w:r w:rsidRPr="00E3672F">
            <w:rPr>
              <w:rFonts w:cs="Times New Roman"/>
              <w:color w:val="595959" w:themeColor="text1" w:themeTint="A6"/>
              <w:sz w:val="20"/>
              <w:szCs w:val="20"/>
              <w:lang w:val="en-GB"/>
            </w:rPr>
            <w:t xml:space="preserve">According to the Bureau decision on the practical arrangements for the implementation of </w:t>
          </w:r>
          <w:r w:rsidRPr="00E3672F" w:rsidR="002775F5">
            <w:rPr>
              <w:rFonts w:cs="Times New Roman"/>
              <w:b/>
              <w:bCs/>
              <w:color w:val="595959" w:themeColor="text1" w:themeTint="A6"/>
              <w:sz w:val="20"/>
              <w:szCs w:val="20"/>
              <w:lang w:val="en-GB"/>
            </w:rPr>
            <w:t>e</w:t>
          </w:r>
          <w:r w:rsidRPr="00E3672F">
            <w:rPr>
              <w:rFonts w:cs="Times New Roman"/>
              <w:b/>
              <w:bCs/>
              <w:color w:val="595959" w:themeColor="text1" w:themeTint="A6"/>
              <w:sz w:val="20"/>
              <w:szCs w:val="20"/>
              <w:lang w:val="en-GB"/>
            </w:rPr>
            <w:t>valuation reports, these shall be composed of clearly distinguished conclusions and recommendations and an appendix setting out a technical report</w:t>
          </w:r>
          <w:r w:rsidRPr="00E3672F">
            <w:rPr>
              <w:rFonts w:cs="Times New Roman"/>
              <w:color w:val="595959" w:themeColor="text1" w:themeTint="A6"/>
              <w:sz w:val="20"/>
              <w:szCs w:val="20"/>
              <w:lang w:val="en-GB"/>
            </w:rPr>
            <w:t>. The appendix shall include a list of the consultation activities undertaken and the findings of these consultations, as well as a list of the organisations consulted.</w:t>
          </w:r>
        </w:p>
        <w:p w:rsidRPr="00E3672F" w:rsidR="00C266C7" w:rsidP="001E1287" w:rsidRDefault="00C266C7" w14:paraId="14963109" w14:textId="0D3351E7">
          <w:pPr>
            <w:pStyle w:val="NoSpacing"/>
            <w:spacing w:line="360" w:lineRule="auto"/>
            <w:ind w:left="1560" w:right="426"/>
            <w:jc w:val="both"/>
            <w:rPr>
              <w:rFonts w:cs="Times New Roman"/>
              <w:color w:val="595959" w:themeColor="text1" w:themeTint="A6"/>
              <w:sz w:val="20"/>
              <w:szCs w:val="20"/>
              <w:lang w:val="en-GB"/>
            </w:rPr>
          </w:pPr>
          <w:r w:rsidRPr="00E3672F">
            <w:rPr>
              <w:rFonts w:cs="Times New Roman"/>
              <w:color w:val="595959" w:themeColor="text1" w:themeTint="A6"/>
              <w:sz w:val="20"/>
              <w:szCs w:val="20"/>
              <w:lang w:val="en-GB"/>
            </w:rPr>
            <w:t xml:space="preserve">The Technical Annex is thus a part of the Evaluation Report, and the </w:t>
          </w:r>
          <w:r w:rsidRPr="00E3672F" w:rsidR="002775F5">
            <w:rPr>
              <w:rFonts w:cs="Times New Roman"/>
              <w:color w:val="595959" w:themeColor="text1" w:themeTint="A6"/>
              <w:sz w:val="20"/>
              <w:szCs w:val="20"/>
              <w:lang w:val="en-GB"/>
            </w:rPr>
            <w:t>s</w:t>
          </w:r>
          <w:r w:rsidRPr="00E3672F">
            <w:rPr>
              <w:rFonts w:cs="Times New Roman"/>
              <w:color w:val="595959" w:themeColor="text1" w:themeTint="A6"/>
              <w:sz w:val="20"/>
              <w:szCs w:val="20"/>
              <w:lang w:val="en-GB"/>
            </w:rPr>
            <w:t xml:space="preserve">tudy </w:t>
          </w:r>
          <w:r w:rsidRPr="00E3672F" w:rsidR="002775F5">
            <w:rPr>
              <w:rFonts w:cs="Times New Roman"/>
              <w:color w:val="595959" w:themeColor="text1" w:themeTint="A6"/>
              <w:sz w:val="20"/>
              <w:szCs w:val="20"/>
              <w:lang w:val="en-GB"/>
            </w:rPr>
            <w:t>g</w:t>
          </w:r>
          <w:r w:rsidRPr="00E3672F">
            <w:rPr>
              <w:rFonts w:cs="Times New Roman"/>
              <w:color w:val="595959" w:themeColor="text1" w:themeTint="A6"/>
              <w:sz w:val="20"/>
              <w:szCs w:val="20"/>
              <w:lang w:val="en-GB"/>
            </w:rPr>
            <w:t>roup is asked to take note of it and</w:t>
          </w:r>
          <w:r w:rsidRPr="00E3672F" w:rsidR="002775F5">
            <w:rPr>
              <w:rFonts w:cs="Times New Roman"/>
              <w:color w:val="595959" w:themeColor="text1" w:themeTint="A6"/>
              <w:sz w:val="20"/>
              <w:szCs w:val="20"/>
              <w:lang w:val="en-GB"/>
            </w:rPr>
            <w:t xml:space="preserve"> to</w:t>
          </w:r>
          <w:r w:rsidRPr="00E3672F">
            <w:rPr>
              <w:rFonts w:cs="Times New Roman"/>
              <w:color w:val="595959" w:themeColor="text1" w:themeTint="A6"/>
              <w:sz w:val="20"/>
              <w:szCs w:val="20"/>
              <w:lang w:val="en-GB"/>
            </w:rPr>
            <w:t xml:space="preserve"> request modifications in case they find any inaccuracies in its content that do not correspond to the information gathered in the stakeholder consultations. </w:t>
          </w:r>
        </w:p>
        <w:p w:rsidRPr="00E3672F" w:rsidR="00C266C7" w:rsidP="001E1287" w:rsidRDefault="00C266C7" w14:paraId="60E3EF06" w14:textId="4C1CD6DC">
          <w:pPr>
            <w:pStyle w:val="NoSpacing"/>
            <w:spacing w:line="360" w:lineRule="auto"/>
            <w:ind w:left="1560" w:right="426"/>
            <w:jc w:val="both"/>
            <w:rPr>
              <w:rFonts w:cs="Times New Roman"/>
              <w:b/>
              <w:bCs/>
              <w:color w:val="215E99" w:themeColor="text2" w:themeTint="BF"/>
              <w:sz w:val="20"/>
              <w:szCs w:val="20"/>
              <w:lang w:val="en-GB"/>
            </w:rPr>
          </w:pPr>
          <w:r w:rsidRPr="00E3672F">
            <w:rPr>
              <w:rFonts w:cs="Times New Roman"/>
              <w:b/>
              <w:bCs/>
              <w:color w:val="215E99" w:themeColor="text2" w:themeTint="BF"/>
              <w:sz w:val="20"/>
              <w:szCs w:val="20"/>
              <w:lang w:val="en-GB"/>
            </w:rPr>
            <w:t xml:space="preserve">The Technical Annex is published in English only. Any translation provided in other languages will be made </w:t>
          </w:r>
          <w:r w:rsidRPr="00E3672F" w:rsidR="00F76BBD">
            <w:rPr>
              <w:rFonts w:cs="Times New Roman"/>
              <w:b/>
              <w:bCs/>
              <w:color w:val="215E99" w:themeColor="text2" w:themeTint="BF"/>
              <w:sz w:val="20"/>
              <w:szCs w:val="20"/>
              <w:lang w:val="en-GB"/>
            </w:rPr>
            <w:t xml:space="preserve">using </w:t>
          </w:r>
          <w:r w:rsidRPr="00E3672F">
            <w:rPr>
              <w:rFonts w:cs="Times New Roman"/>
              <w:b/>
              <w:bCs/>
              <w:color w:val="215E99" w:themeColor="text2" w:themeTint="BF"/>
              <w:sz w:val="20"/>
              <w:szCs w:val="20"/>
              <w:lang w:val="en-GB"/>
            </w:rPr>
            <w:t>an automatic translator</w:t>
          </w:r>
          <w:r w:rsidRPr="00E3672F" w:rsidR="00F76BBD">
            <w:rPr>
              <w:rFonts w:cs="Times New Roman"/>
              <w:b/>
              <w:bCs/>
              <w:color w:val="215E99" w:themeColor="text2" w:themeTint="BF"/>
              <w:sz w:val="20"/>
              <w:szCs w:val="20"/>
              <w:lang w:val="en-GB"/>
            </w:rPr>
            <w:t>.</w:t>
          </w:r>
          <w:r w:rsidRPr="00E3672F">
            <w:rPr>
              <w:rFonts w:cs="Times New Roman"/>
              <w:b/>
              <w:bCs/>
              <w:color w:val="215E99" w:themeColor="text2" w:themeTint="BF"/>
              <w:sz w:val="20"/>
              <w:szCs w:val="20"/>
              <w:lang w:val="en-GB"/>
            </w:rPr>
            <w:t xml:space="preserve"> </w:t>
          </w:r>
          <w:r w:rsidRPr="00E3672F" w:rsidR="00F76BBD">
            <w:rPr>
              <w:rFonts w:cs="Times New Roman"/>
              <w:b/>
              <w:bCs/>
              <w:color w:val="215E99" w:themeColor="text2" w:themeTint="BF"/>
              <w:sz w:val="20"/>
              <w:szCs w:val="20"/>
              <w:lang w:val="en-GB"/>
            </w:rPr>
            <w:t>It shall not constitute</w:t>
          </w:r>
          <w:r w:rsidRPr="00E3672F">
            <w:rPr>
              <w:rFonts w:cs="Times New Roman"/>
              <w:b/>
              <w:bCs/>
              <w:color w:val="215E99" w:themeColor="text2" w:themeTint="BF"/>
              <w:sz w:val="20"/>
              <w:szCs w:val="20"/>
              <w:lang w:val="en-GB"/>
            </w:rPr>
            <w:t xml:space="preserve"> </w:t>
          </w:r>
          <w:r w:rsidRPr="00E3672F" w:rsidR="00F76BBD">
            <w:rPr>
              <w:rFonts w:cs="Times New Roman"/>
              <w:b/>
              <w:bCs/>
              <w:color w:val="215E99" w:themeColor="text2" w:themeTint="BF"/>
              <w:sz w:val="20"/>
              <w:szCs w:val="20"/>
              <w:lang w:val="en-GB"/>
            </w:rPr>
            <w:t xml:space="preserve">an </w:t>
          </w:r>
          <w:r w:rsidRPr="00E3672F">
            <w:rPr>
              <w:rFonts w:cs="Times New Roman"/>
              <w:b/>
              <w:bCs/>
              <w:color w:val="215E99" w:themeColor="text2" w:themeTint="BF"/>
              <w:sz w:val="20"/>
              <w:szCs w:val="20"/>
              <w:lang w:val="en-GB"/>
            </w:rPr>
            <w:t xml:space="preserve">official document and </w:t>
          </w:r>
          <w:r w:rsidRPr="00E3672F" w:rsidR="00F76BBD">
            <w:rPr>
              <w:rFonts w:cs="Times New Roman"/>
              <w:b/>
              <w:bCs/>
              <w:color w:val="215E99" w:themeColor="text2" w:themeTint="BF"/>
              <w:sz w:val="20"/>
              <w:szCs w:val="20"/>
              <w:lang w:val="en-GB"/>
            </w:rPr>
            <w:t>may</w:t>
          </w:r>
          <w:r w:rsidRPr="00E3672F">
            <w:rPr>
              <w:rFonts w:cs="Times New Roman"/>
              <w:b/>
              <w:bCs/>
              <w:color w:val="215E99" w:themeColor="text2" w:themeTint="BF"/>
              <w:sz w:val="20"/>
              <w:szCs w:val="20"/>
              <w:lang w:val="en-GB"/>
            </w:rPr>
            <w:t xml:space="preserve"> be used only as a working document.</w:t>
          </w:r>
        </w:p>
        <w:p w:rsidRPr="00E3672F" w:rsidR="00C266C7" w:rsidP="001E1287" w:rsidRDefault="00C266C7" w14:paraId="2355A155" w14:textId="77777777">
          <w:pPr>
            <w:pStyle w:val="NoSpacing"/>
            <w:spacing w:line="360" w:lineRule="auto"/>
            <w:ind w:left="1560" w:right="426"/>
            <w:jc w:val="both"/>
            <w:rPr>
              <w:rFonts w:cs="Times New Roman"/>
              <w:b/>
              <w:bCs/>
              <w:color w:val="215E99" w:themeColor="text2" w:themeTint="BF"/>
              <w:sz w:val="20"/>
              <w:szCs w:val="20"/>
              <w:lang w:val="en-GB"/>
            </w:rPr>
          </w:pPr>
        </w:p>
        <w:p w:rsidRPr="00E3672F" w:rsidR="00C266C7" w:rsidP="000408B1" w:rsidRDefault="00C266C7" w14:paraId="34790842" w14:textId="096B922A">
          <w:pPr>
            <w:pStyle w:val="NoSpacing"/>
            <w:spacing w:line="360" w:lineRule="auto"/>
            <w:ind w:left="1560" w:right="426"/>
            <w:jc w:val="both"/>
            <w:rPr>
              <w:rFonts w:cs="Times New Roman"/>
              <w:b/>
              <w:bCs/>
              <w:webHidden/>
              <w:color w:val="595959" w:themeColor="text1" w:themeTint="A6"/>
              <w:sz w:val="18"/>
              <w:szCs w:val="18"/>
              <w:lang w:val="en-GB"/>
            </w:rPr>
          </w:pPr>
          <w:r w:rsidRPr="00E3672F">
            <w:rPr>
              <w:rFonts w:cs="Times New Roman"/>
              <w:color w:val="595959" w:themeColor="text1" w:themeTint="A6"/>
              <w:sz w:val="20"/>
              <w:szCs w:val="20"/>
              <w:lang w:val="en-GB"/>
            </w:rPr>
            <w:t xml:space="preserve">As set out in </w:t>
          </w:r>
          <w:r w:rsidR="00EA4566">
            <w:rPr>
              <w:rFonts w:cs="Times New Roman"/>
              <w:color w:val="595959" w:themeColor="text1" w:themeTint="A6"/>
              <w:sz w:val="20"/>
              <w:szCs w:val="20"/>
              <w:lang w:val="en-GB"/>
            </w:rPr>
            <w:t>A</w:t>
          </w:r>
          <w:r w:rsidRPr="00E3672F">
            <w:rPr>
              <w:rFonts w:cs="Times New Roman"/>
              <w:color w:val="595959" w:themeColor="text1" w:themeTint="A6"/>
              <w:sz w:val="20"/>
              <w:szCs w:val="20"/>
              <w:lang w:val="en-GB"/>
            </w:rPr>
            <w:t xml:space="preserve">rticle 48 of the Rules of Procedure, the draft report shall be submitted for adoption to the section concerned and then presented to the plenary session, which shall vote on the report and, where appropriate, on sending it to the other EU institutions. </w:t>
          </w:r>
          <w:r w:rsidRPr="00E3672F">
            <w:rPr>
              <w:rFonts w:cs="Times New Roman"/>
              <w:b/>
              <w:bCs/>
              <w:color w:val="595959" w:themeColor="text1" w:themeTint="A6"/>
              <w:sz w:val="20"/>
              <w:szCs w:val="20"/>
              <w:lang w:val="en-GB"/>
            </w:rPr>
            <w:t>Evaluation reports approved by the plenary for submission shall not be published in the Official Journal, but shall in all cases be made available, with their appendices, on the Committee</w:t>
          </w:r>
          <w:r w:rsidRPr="00E3672F" w:rsidR="00413731">
            <w:rPr>
              <w:rFonts w:cs="Times New Roman"/>
              <w:b/>
              <w:bCs/>
              <w:color w:val="595959" w:themeColor="text1" w:themeTint="A6"/>
              <w:sz w:val="20"/>
              <w:szCs w:val="20"/>
              <w:lang w:val="en-GB"/>
            </w:rPr>
            <w:t>’</w:t>
          </w:r>
          <w:r w:rsidRPr="00E3672F">
            <w:rPr>
              <w:rFonts w:cs="Times New Roman"/>
              <w:b/>
              <w:bCs/>
              <w:color w:val="595959" w:themeColor="text1" w:themeTint="A6"/>
              <w:sz w:val="20"/>
              <w:szCs w:val="20"/>
              <w:lang w:val="en-GB"/>
            </w:rPr>
            <w:t>s website</w:t>
          </w:r>
          <w:r w:rsidRPr="00E3672F">
            <w:rPr>
              <w:rFonts w:cs="Times New Roman"/>
              <w:color w:val="595959" w:themeColor="text1" w:themeTint="A6"/>
              <w:sz w:val="20"/>
              <w:szCs w:val="20"/>
              <w:lang w:val="en-GB"/>
            </w:rPr>
            <w:t>.</w:t>
          </w:r>
          <w:r w:rsidRPr="00E3672F">
            <w:rPr>
              <w:color w:val="595959" w:themeColor="text1" w:themeTint="A6"/>
              <w:sz w:val="20"/>
              <w:szCs w:val="20"/>
              <w:lang w:val="en-GB"/>
            </w:rPr>
            <w:t xml:space="preserve"> </w:t>
          </w:r>
          <w:r w:rsidRPr="00E3672F">
            <w:rPr>
              <w:rFonts w:cs="Times New Roman"/>
              <w:b/>
              <w:bCs/>
              <w:color w:val="215E99" w:themeColor="text2" w:themeTint="BF"/>
              <w:sz w:val="20"/>
              <w:szCs w:val="20"/>
              <w:lang w:val="en-GB"/>
            </w:rPr>
            <w:t xml:space="preserve"> </w:t>
          </w:r>
        </w:p>
        <w:p w:rsidRPr="00E3672F" w:rsidR="00C266C7" w:rsidP="001E1287" w:rsidRDefault="00C266C7" w14:paraId="223EA7C4" w14:textId="3ED5CA91">
          <w:pPr>
            <w:spacing w:line="360" w:lineRule="auto"/>
            <w:rPr>
              <w:webHidden/>
            </w:rPr>
          </w:pPr>
        </w:p>
        <w:p w:rsidRPr="00E3672F" w:rsidR="00C266C7" w:rsidP="009363D5" w:rsidRDefault="00C266C7" w14:paraId="58B6D13C" w14:textId="4626787C">
          <w:pPr>
            <w:spacing w:before="120" w:after="120" w:line="360" w:lineRule="auto"/>
            <w:ind w:left="851"/>
            <w:jc w:val="right"/>
            <w:rPr>
              <w:b/>
              <w:bCs/>
              <w:color w:val="595959" w:themeColor="text1" w:themeTint="A6"/>
              <w:sz w:val="18"/>
              <w:szCs w:val="18"/>
            </w:rPr>
          </w:pPr>
          <w:r w:rsidRPr="00E3672F">
            <w:rPr>
              <w:b/>
              <w:bCs/>
              <w:color w:val="595959" w:themeColor="text1" w:themeTint="A6"/>
              <w:sz w:val="18"/>
              <w:szCs w:val="18"/>
            </w:rPr>
            <w:t>For comments, please contact the secretariat</w:t>
          </w:r>
        </w:p>
        <w:p w:rsidRPr="00B32E90" w:rsidR="009363D5" w:rsidP="009363D5" w:rsidRDefault="00C266C7" w14:paraId="3C0D0B53" w14:textId="77777777">
          <w:pPr>
            <w:spacing w:before="120" w:after="120" w:line="360" w:lineRule="auto"/>
            <w:ind w:left="851"/>
            <w:jc w:val="right"/>
            <w:rPr>
              <w:b/>
              <w:bCs/>
              <w:color w:val="595959" w:themeColor="text1" w:themeTint="A6"/>
              <w:sz w:val="18"/>
              <w:szCs w:val="18"/>
              <w:lang w:val="sv-SE"/>
            </w:rPr>
          </w:pPr>
          <w:hyperlink w:history="1" r:id="rId12">
            <w:r w:rsidRPr="00B32E90">
              <w:rPr>
                <w:rStyle w:val="Hyperlink"/>
                <w:b/>
                <w:bCs/>
                <w:sz w:val="18"/>
                <w:szCs w:val="18"/>
                <w:lang w:val="sv-SE"/>
              </w:rPr>
              <w:t>Igor.Caldeira@eesc.europa.eu</w:t>
            </w:r>
          </w:hyperlink>
          <w:r w:rsidRPr="00B32E90" w:rsidR="009363D5">
            <w:rPr>
              <w:b/>
              <w:bCs/>
              <w:color w:val="595959" w:themeColor="text1" w:themeTint="A6"/>
              <w:sz w:val="18"/>
              <w:szCs w:val="18"/>
              <w:lang w:val="sv-SE"/>
            </w:rPr>
            <w:t xml:space="preserve"> (FSA), </w:t>
          </w:r>
        </w:p>
        <w:p w:rsidRPr="009B193B" w:rsidR="009363D5" w:rsidP="009363D5" w:rsidRDefault="009363D5" w14:paraId="4F38539E" w14:textId="68352AC5">
          <w:pPr>
            <w:spacing w:before="120" w:after="120" w:line="360" w:lineRule="auto"/>
            <w:ind w:left="851"/>
            <w:jc w:val="right"/>
            <w:rPr>
              <w:b/>
              <w:bCs/>
              <w:color w:val="595959" w:themeColor="text1" w:themeTint="A6"/>
              <w:sz w:val="18"/>
              <w:szCs w:val="18"/>
              <w:lang w:val="pl-PL"/>
            </w:rPr>
          </w:pPr>
          <w:hyperlink w:history="1" r:id="rId13">
            <w:r w:rsidRPr="009B193B">
              <w:rPr>
                <w:rStyle w:val="Hyperlink"/>
                <w:b/>
                <w:bCs/>
                <w:sz w:val="18"/>
                <w:szCs w:val="18"/>
                <w:lang w:val="pl-PL"/>
              </w:rPr>
              <w:t>June.Bedaton@eesc.europa.eu</w:t>
            </w:r>
          </w:hyperlink>
          <w:r w:rsidRPr="009B193B">
            <w:rPr>
              <w:b/>
              <w:bCs/>
              <w:color w:val="595959" w:themeColor="text1" w:themeTint="A6"/>
              <w:sz w:val="18"/>
              <w:szCs w:val="18"/>
              <w:lang w:val="pl-PL"/>
            </w:rPr>
            <w:t xml:space="preserve"> (SOC), </w:t>
          </w:r>
        </w:p>
        <w:p w:rsidRPr="00E3672F" w:rsidR="00C266C7" w:rsidP="009363D5" w:rsidRDefault="009363D5" w14:paraId="06F71004" w14:textId="2EB3B353">
          <w:pPr>
            <w:spacing w:before="120" w:after="120" w:line="360" w:lineRule="auto"/>
            <w:ind w:left="851"/>
            <w:jc w:val="right"/>
            <w:rPr>
              <w:b/>
              <w:bCs/>
              <w:color w:val="595959" w:themeColor="text1" w:themeTint="A6"/>
            </w:rPr>
          </w:pPr>
          <w:r w:rsidRPr="00E3672F">
            <w:rPr>
              <w:b/>
              <w:bCs/>
              <w:color w:val="595959" w:themeColor="text1" w:themeTint="A6"/>
              <w:sz w:val="18"/>
              <w:szCs w:val="18"/>
            </w:rPr>
            <w:t xml:space="preserve">and </w:t>
          </w:r>
          <w:hyperlink w:history="1" r:id="rId14">
            <w:r w:rsidRPr="00E3672F">
              <w:rPr>
                <w:rStyle w:val="Hyperlink"/>
                <w:b/>
                <w:bCs/>
                <w:sz w:val="18"/>
                <w:szCs w:val="18"/>
              </w:rPr>
              <w:t>JeanMarie.Rogue@eesc.europa.eu</w:t>
            </w:r>
          </w:hyperlink>
          <w:r w:rsidRPr="00E3672F">
            <w:rPr>
              <w:b/>
              <w:bCs/>
              <w:color w:val="595959" w:themeColor="text1" w:themeTint="A6"/>
              <w:sz w:val="18"/>
              <w:szCs w:val="18"/>
            </w:rPr>
            <w:t xml:space="preserve"> (SOC).</w:t>
          </w:r>
        </w:p>
        <w:p w:rsidR="00DE43C7" w:rsidRDefault="00DE43C7" w14:paraId="0AAD29D3" w14:textId="77777777">
          <w:pPr>
            <w:spacing w:after="160" w:line="278" w:lineRule="auto"/>
            <w:jc w:val="left"/>
          </w:pPr>
          <w:r>
            <w:br w:type="page"/>
          </w:r>
        </w:p>
        <w:p w:rsidRPr="00E3672F" w:rsidR="00C266C7" w:rsidP="00D0335D" w:rsidRDefault="00C266C7" w14:paraId="3C093793" w14:textId="71AA02B5">
          <w:pPr>
            <w:spacing w:after="160" w:line="360" w:lineRule="auto"/>
          </w:pPr>
          <w:r w:rsidRPr="00E3672F">
            <w:lastRenderedPageBreak/>
            <w:br w:type="page"/>
          </w:r>
        </w:p>
      </w:sdtContent>
    </w:sdt>
    <w:p w:rsidRPr="00E3672F" w:rsidR="00C266C7" w:rsidP="001E1287" w:rsidRDefault="00C266C7" w14:paraId="1E834240" w14:textId="77777777">
      <w:pPr>
        <w:spacing w:line="360" w:lineRule="auto"/>
      </w:pPr>
    </w:p>
    <w:tbl>
      <w:tblPr>
        <w:tblStyle w:val="TableGrid"/>
        <w:tblpPr w:leftFromText="141" w:rightFromText="141" w:vertAnchor="text" w:horzAnchor="margin" w:tblpXSpec="center" w:tblpY="-77"/>
        <w:tblW w:w="0" w:type="auto"/>
        <w:jc w:val="center"/>
        <w:tblInd w:w="0" w:type="dxa"/>
        <w:tblLook w:val="04A0" w:firstRow="1" w:lastRow="0" w:firstColumn="1" w:lastColumn="0" w:noHBand="0" w:noVBand="1"/>
      </w:tblPr>
      <w:tblGrid>
        <w:gridCol w:w="9032"/>
      </w:tblGrid>
      <w:tr w:rsidRPr="00E3672F" w:rsidR="00A91BE1" w:rsidTr="00495AB1" w14:paraId="4555160B" w14:textId="77777777">
        <w:trPr>
          <w:trHeight w:val="2400"/>
          <w:jc w:val="center"/>
        </w:trPr>
        <w:tc>
          <w:tcPr>
            <w:tcW w:w="9032" w:type="dxa"/>
            <w:tcBorders>
              <w:top w:val="single" w:color="auto" w:sz="4" w:space="0"/>
              <w:left w:val="single" w:color="auto" w:sz="4" w:space="0"/>
              <w:bottom w:val="single" w:color="auto" w:sz="4" w:space="0"/>
              <w:right w:val="single" w:color="auto" w:sz="4" w:space="0"/>
            </w:tcBorders>
            <w:shd w:val="clear" w:color="auto" w:fill="DAE9F7" w:themeFill="text2" w:themeFillTint="1A"/>
            <w:vAlign w:val="center"/>
            <w:hideMark/>
          </w:tcPr>
          <w:p w:rsidRPr="00E3672F" w:rsidR="007954D8" w:rsidP="001E1287" w:rsidRDefault="00596104" w14:paraId="0709704A" w14:textId="77777777">
            <w:pPr>
              <w:spacing w:before="120" w:after="120" w:line="360" w:lineRule="auto"/>
              <w:contextualSpacing/>
              <w:jc w:val="center"/>
              <w:rPr>
                <w:b/>
                <w:sz w:val="36"/>
                <w:szCs w:val="36"/>
              </w:rPr>
            </w:pPr>
            <w:r w:rsidRPr="00E3672F">
              <w:rPr>
                <w:b/>
                <w:bCs/>
                <w:color w:val="000000" w:themeColor="text1"/>
                <w:sz w:val="36"/>
                <w:szCs w:val="36"/>
              </w:rPr>
              <w:t xml:space="preserve">Evaluation </w:t>
            </w:r>
            <w:r w:rsidRPr="00E3672F">
              <w:rPr>
                <w:b/>
                <w:sz w:val="36"/>
                <w:szCs w:val="36"/>
              </w:rPr>
              <w:t xml:space="preserve">of the </w:t>
            </w:r>
          </w:p>
          <w:p w:rsidRPr="00E3672F" w:rsidR="00F61D6F" w:rsidP="001E1287" w:rsidRDefault="00596104" w14:paraId="1E161390" w14:textId="5E37356D">
            <w:pPr>
              <w:spacing w:before="120" w:after="120" w:line="360" w:lineRule="auto"/>
              <w:contextualSpacing/>
              <w:jc w:val="center"/>
              <w:rPr>
                <w:b/>
                <w:bCs/>
                <w:color w:val="000000" w:themeColor="text1"/>
                <w:sz w:val="36"/>
                <w:szCs w:val="36"/>
              </w:rPr>
            </w:pPr>
            <w:r w:rsidRPr="00E3672F">
              <w:rPr>
                <w:b/>
                <w:sz w:val="36"/>
                <w:szCs w:val="36"/>
              </w:rPr>
              <w:t>Whistleblower Protection Directive (EU) 2019/1937</w:t>
            </w:r>
          </w:p>
          <w:p w:rsidRPr="00E3672F" w:rsidR="008B171A" w:rsidP="001E1287" w:rsidRDefault="00596104" w14:paraId="401083DF" w14:textId="60FD4AF4">
            <w:pPr>
              <w:spacing w:before="120" w:after="120" w:line="360" w:lineRule="auto"/>
              <w:contextualSpacing/>
              <w:jc w:val="center"/>
              <w:rPr>
                <w:b/>
                <w:bCs/>
                <w:i/>
                <w:iCs/>
                <w:color w:val="000000" w:themeColor="text1"/>
                <w:sz w:val="28"/>
                <w:szCs w:val="28"/>
              </w:rPr>
            </w:pPr>
            <w:r w:rsidRPr="00E3672F">
              <w:rPr>
                <w:b/>
                <w:bCs/>
                <w:i/>
                <w:iCs/>
                <w:color w:val="000000" w:themeColor="text1"/>
                <w:sz w:val="36"/>
                <w:szCs w:val="36"/>
              </w:rPr>
              <w:t>SOC</w:t>
            </w:r>
            <w:r w:rsidRPr="00E3672F" w:rsidR="00F61D6F">
              <w:rPr>
                <w:b/>
                <w:bCs/>
                <w:i/>
                <w:iCs/>
                <w:color w:val="000000" w:themeColor="text1"/>
                <w:sz w:val="36"/>
                <w:szCs w:val="36"/>
              </w:rPr>
              <w:t>/</w:t>
            </w:r>
            <w:r w:rsidRPr="00E3672F">
              <w:rPr>
                <w:b/>
                <w:bCs/>
                <w:i/>
                <w:iCs/>
                <w:color w:val="000000" w:themeColor="text1"/>
                <w:sz w:val="36"/>
                <w:szCs w:val="36"/>
              </w:rPr>
              <w:t>847</w:t>
            </w:r>
          </w:p>
          <w:p w:rsidRPr="00E3672F" w:rsidR="00A91BE1" w:rsidP="001E1287" w:rsidRDefault="00A91BE1" w14:paraId="065D5366" w14:textId="77777777">
            <w:pPr>
              <w:spacing w:before="120" w:after="120" w:line="360" w:lineRule="auto"/>
              <w:contextualSpacing/>
              <w:jc w:val="center"/>
              <w:rPr>
                <w:sz w:val="28"/>
                <w:szCs w:val="28"/>
              </w:rPr>
            </w:pPr>
            <w:r w:rsidRPr="00E3672F">
              <w:rPr>
                <w:i/>
                <w:iCs/>
                <w:color w:val="000000" w:themeColor="text1"/>
                <w:sz w:val="28"/>
                <w:szCs w:val="28"/>
              </w:rPr>
              <w:t>Technical annex</w:t>
            </w:r>
          </w:p>
        </w:tc>
      </w:tr>
    </w:tbl>
    <w:p w:rsidRPr="00E3672F" w:rsidR="00A91BE1" w:rsidP="001E1287" w:rsidRDefault="00A91BE1" w14:paraId="6C3B815B" w14:textId="77777777">
      <w:pPr>
        <w:spacing w:before="120" w:after="120" w:line="360" w:lineRule="auto"/>
        <w:contextualSpacing/>
      </w:pPr>
    </w:p>
    <w:p w:rsidRPr="00E3672F" w:rsidR="00A91BE1" w:rsidP="001E1287" w:rsidRDefault="00A91BE1" w14:paraId="41DE6656" w14:textId="571EACA0">
      <w:pPr>
        <w:spacing w:before="120" w:after="120" w:line="360" w:lineRule="auto"/>
        <w:contextualSpacing/>
      </w:pPr>
    </w:p>
    <w:sdt>
      <w:sdtPr>
        <w:rPr>
          <w:rFonts w:eastAsia="Times New Roman" w:cs="Times New Roman"/>
          <w:b w:val="0"/>
          <w:color w:val="auto"/>
          <w:sz w:val="22"/>
          <w:szCs w:val="22"/>
        </w:rPr>
        <w:id w:val="-1742783689"/>
        <w:docPartObj>
          <w:docPartGallery w:val="Table of Contents"/>
          <w:docPartUnique/>
        </w:docPartObj>
      </w:sdtPr>
      <w:sdtEndPr>
        <w:rPr>
          <w:bCs/>
        </w:rPr>
      </w:sdtEndPr>
      <w:sdtContent>
        <w:p w:rsidRPr="00E3672F" w:rsidR="00A91BE1" w:rsidP="000B42B1" w:rsidRDefault="00A91BE1" w14:paraId="480D7A2E" w14:textId="59E192E2">
          <w:pPr>
            <w:pStyle w:val="TOCHeading"/>
            <w:spacing w:before="120" w:after="120" w:line="360" w:lineRule="auto"/>
            <w:contextualSpacing/>
          </w:pPr>
          <w:r w:rsidRPr="00E3672F">
            <w:rPr>
              <w:rFonts w:cs="Times New Roman"/>
            </w:rPr>
            <w:t>Table of contents</w:t>
          </w:r>
        </w:p>
        <w:p w:rsidRPr="008F6FA7" w:rsidR="00C63177" w:rsidP="008F6FA7" w:rsidRDefault="00A91BE1" w14:paraId="086B787D" w14:textId="68ECFB7F">
          <w:pPr>
            <w:pStyle w:val="TOC1"/>
            <w:rPr>
              <w:rFonts w:asciiTheme="minorHAnsi" w:hAnsiTheme="minorHAnsi" w:eastAsiaTheme="minorEastAsia" w:cstheme="minorBidi"/>
              <w:kern w:val="2"/>
              <w:sz w:val="24"/>
              <w:szCs w:val="24"/>
              <w:lang w:eastAsia="en-GB"/>
              <w14:ligatures w14:val="standardContextual"/>
            </w:rPr>
          </w:pPr>
          <w:r w:rsidRPr="00E3672F">
            <w:rPr>
              <w:noProof w:val="0"/>
            </w:rPr>
            <w:fldChar w:fldCharType="begin"/>
          </w:r>
          <w:r w:rsidRPr="00E3672F">
            <w:rPr>
              <w:noProof w:val="0"/>
            </w:rPr>
            <w:instrText xml:space="preserve"> TOC \o "1-3" \h \z \u </w:instrText>
          </w:r>
          <w:r w:rsidRPr="00E3672F">
            <w:rPr>
              <w:noProof w:val="0"/>
            </w:rPr>
            <w:fldChar w:fldCharType="separate"/>
          </w:r>
          <w:hyperlink w:history="1" w:anchor="_Toc228180508">
            <w:r w:rsidRPr="008F6FA7" w:rsidR="00C63177">
              <w:rPr>
                <w:rStyle w:val="Hyperlink"/>
                <w:color w:val="002060"/>
              </w:rPr>
              <w:t>1. Introduction</w:t>
            </w:r>
            <w:r w:rsidRPr="008F6FA7" w:rsidR="00C63177">
              <w:rPr>
                <w:webHidden/>
              </w:rPr>
              <w:tab/>
            </w:r>
            <w:r w:rsidRPr="008F6FA7" w:rsidR="00C63177">
              <w:rPr>
                <w:webHidden/>
              </w:rPr>
              <w:fldChar w:fldCharType="begin"/>
            </w:r>
            <w:r w:rsidRPr="008F6FA7" w:rsidR="00C63177">
              <w:rPr>
                <w:webHidden/>
              </w:rPr>
              <w:instrText xml:space="preserve"> PAGEREF _Toc228180508 \h </w:instrText>
            </w:r>
            <w:r w:rsidRPr="008F6FA7" w:rsidR="00C63177">
              <w:rPr>
                <w:webHidden/>
              </w:rPr>
            </w:r>
            <w:r w:rsidRPr="008F6FA7" w:rsidR="00C63177">
              <w:rPr>
                <w:webHidden/>
              </w:rPr>
              <w:fldChar w:fldCharType="separate"/>
            </w:r>
            <w:r w:rsidR="00D93C36">
              <w:rPr>
                <w:webHidden/>
              </w:rPr>
              <w:t>1</w:t>
            </w:r>
            <w:r w:rsidRPr="008F6FA7" w:rsidR="00C63177">
              <w:rPr>
                <w:webHidden/>
              </w:rPr>
              <w:fldChar w:fldCharType="end"/>
            </w:r>
          </w:hyperlink>
        </w:p>
        <w:p w:rsidR="00C63177" w:rsidRDefault="007E11B8" w14:paraId="1DFA120D" w14:textId="7EA9A567">
          <w:pPr>
            <w:pStyle w:val="TOC2"/>
            <w:tabs>
              <w:tab w:val="left" w:pos="960"/>
              <w:tab w:val="right" w:leader="dot" w:pos="9063"/>
            </w:tabs>
            <w:rPr>
              <w:rFonts w:asciiTheme="minorHAnsi" w:hAnsiTheme="minorHAnsi" w:eastAsiaTheme="minorEastAsia" w:cstheme="minorBidi"/>
              <w:noProof/>
              <w:kern w:val="2"/>
              <w:sz w:val="24"/>
              <w:szCs w:val="24"/>
              <w:lang w:eastAsia="en-GB"/>
              <w14:ligatures w14:val="standardContextual"/>
            </w:rPr>
          </w:pPr>
          <w:hyperlink w:history="1" w:anchor="_Toc228180509">
            <w:r w:rsidRPr="003D6C6E" w:rsidR="00C63177">
              <w:rPr>
                <w:rStyle w:val="Hyperlink"/>
                <w:noProof/>
              </w:rPr>
              <w:t xml:space="preserve">1.1 </w:t>
            </w:r>
            <w:r w:rsidR="00C63177">
              <w:rPr>
                <w:rFonts w:asciiTheme="minorHAnsi" w:hAnsiTheme="minorHAnsi" w:eastAsiaTheme="minorEastAsia" w:cstheme="minorBidi"/>
                <w:noProof/>
                <w:kern w:val="2"/>
                <w:sz w:val="24"/>
                <w:szCs w:val="24"/>
                <w:lang w:eastAsia="en-GB"/>
                <w14:ligatures w14:val="standardContextual"/>
              </w:rPr>
              <w:tab/>
            </w:r>
            <w:r w:rsidRPr="003D6C6E" w:rsidR="00C63177">
              <w:rPr>
                <w:rStyle w:val="Hyperlink"/>
                <w:noProof/>
              </w:rPr>
              <w:t>Focus of the evaluation</w:t>
            </w:r>
            <w:r w:rsidR="00C63177">
              <w:rPr>
                <w:noProof/>
                <w:webHidden/>
              </w:rPr>
              <w:tab/>
            </w:r>
            <w:r w:rsidR="00C63177">
              <w:rPr>
                <w:noProof/>
                <w:webHidden/>
              </w:rPr>
              <w:fldChar w:fldCharType="begin"/>
            </w:r>
            <w:r w:rsidR="00C63177">
              <w:rPr>
                <w:noProof/>
                <w:webHidden/>
              </w:rPr>
              <w:instrText xml:space="preserve"> PAGEREF _Toc228180509 \h </w:instrText>
            </w:r>
            <w:r w:rsidR="00C63177">
              <w:rPr>
                <w:noProof/>
                <w:webHidden/>
              </w:rPr>
            </w:r>
            <w:r w:rsidR="00C63177">
              <w:rPr>
                <w:noProof/>
                <w:webHidden/>
              </w:rPr>
              <w:fldChar w:fldCharType="separate"/>
            </w:r>
            <w:r w:rsidR="00D93C36">
              <w:rPr>
                <w:noProof/>
                <w:webHidden/>
              </w:rPr>
              <w:t>1</w:t>
            </w:r>
            <w:r w:rsidR="00C63177">
              <w:rPr>
                <w:noProof/>
                <w:webHidden/>
              </w:rPr>
              <w:fldChar w:fldCharType="end"/>
            </w:r>
          </w:hyperlink>
        </w:p>
        <w:p w:rsidR="00C63177" w:rsidRDefault="007E11B8" w14:paraId="1D9350DF" w14:textId="2C1704FF">
          <w:pPr>
            <w:pStyle w:val="TOC2"/>
            <w:tabs>
              <w:tab w:val="left" w:pos="960"/>
              <w:tab w:val="right" w:leader="dot" w:pos="9063"/>
            </w:tabs>
            <w:rPr>
              <w:rFonts w:asciiTheme="minorHAnsi" w:hAnsiTheme="minorHAnsi" w:eastAsiaTheme="minorEastAsia" w:cstheme="minorBidi"/>
              <w:noProof/>
              <w:kern w:val="2"/>
              <w:sz w:val="24"/>
              <w:szCs w:val="24"/>
              <w:lang w:eastAsia="en-GB"/>
              <w14:ligatures w14:val="standardContextual"/>
            </w:rPr>
          </w:pPr>
          <w:hyperlink w:history="1" w:anchor="_Toc228180510">
            <w:r w:rsidRPr="003D6C6E" w:rsidR="00C63177">
              <w:rPr>
                <w:rStyle w:val="Hyperlink"/>
                <w:noProof/>
              </w:rPr>
              <w:t xml:space="preserve">1.2 </w:t>
            </w:r>
            <w:r w:rsidR="00C63177">
              <w:rPr>
                <w:rFonts w:asciiTheme="minorHAnsi" w:hAnsiTheme="minorHAnsi" w:eastAsiaTheme="minorEastAsia" w:cstheme="minorBidi"/>
                <w:noProof/>
                <w:kern w:val="2"/>
                <w:sz w:val="24"/>
                <w:szCs w:val="24"/>
                <w:lang w:eastAsia="en-GB"/>
                <w14:ligatures w14:val="standardContextual"/>
              </w:rPr>
              <w:tab/>
            </w:r>
            <w:r w:rsidRPr="003D6C6E" w:rsidR="00C63177">
              <w:rPr>
                <w:rStyle w:val="Hyperlink"/>
                <w:noProof/>
              </w:rPr>
              <w:t>Methodology and study group</w:t>
            </w:r>
            <w:r w:rsidR="00C63177">
              <w:rPr>
                <w:noProof/>
                <w:webHidden/>
              </w:rPr>
              <w:tab/>
            </w:r>
            <w:r w:rsidR="00C63177">
              <w:rPr>
                <w:noProof/>
                <w:webHidden/>
              </w:rPr>
              <w:fldChar w:fldCharType="begin"/>
            </w:r>
            <w:r w:rsidR="00C63177">
              <w:rPr>
                <w:noProof/>
                <w:webHidden/>
              </w:rPr>
              <w:instrText xml:space="preserve"> PAGEREF _Toc228180510 \h </w:instrText>
            </w:r>
            <w:r w:rsidR="00C63177">
              <w:rPr>
                <w:noProof/>
                <w:webHidden/>
              </w:rPr>
            </w:r>
            <w:r w:rsidR="00C63177">
              <w:rPr>
                <w:noProof/>
                <w:webHidden/>
              </w:rPr>
              <w:fldChar w:fldCharType="separate"/>
            </w:r>
            <w:r w:rsidR="00D93C36">
              <w:rPr>
                <w:noProof/>
                <w:webHidden/>
              </w:rPr>
              <w:t>2</w:t>
            </w:r>
            <w:r w:rsidR="00C63177">
              <w:rPr>
                <w:noProof/>
                <w:webHidden/>
              </w:rPr>
              <w:fldChar w:fldCharType="end"/>
            </w:r>
          </w:hyperlink>
        </w:p>
        <w:p w:rsidR="00C63177" w:rsidRDefault="007E11B8" w14:paraId="37922DD0" w14:textId="5F280C07">
          <w:pPr>
            <w:pStyle w:val="TOC2"/>
            <w:tabs>
              <w:tab w:val="left" w:pos="960"/>
              <w:tab w:val="right" w:leader="dot" w:pos="9063"/>
            </w:tabs>
            <w:rPr>
              <w:rFonts w:asciiTheme="minorHAnsi" w:hAnsiTheme="minorHAnsi" w:eastAsiaTheme="minorEastAsia" w:cstheme="minorBidi"/>
              <w:noProof/>
              <w:kern w:val="2"/>
              <w:sz w:val="24"/>
              <w:szCs w:val="24"/>
              <w:lang w:eastAsia="en-GB"/>
              <w14:ligatures w14:val="standardContextual"/>
            </w:rPr>
          </w:pPr>
          <w:hyperlink w:history="1" w:anchor="_Toc228180511">
            <w:r w:rsidRPr="003D6C6E" w:rsidR="00C63177">
              <w:rPr>
                <w:rStyle w:val="Hyperlink"/>
                <w:bCs/>
                <w:noProof/>
              </w:rPr>
              <w:t xml:space="preserve">1.3 </w:t>
            </w:r>
            <w:r w:rsidR="00C63177">
              <w:rPr>
                <w:rFonts w:asciiTheme="minorHAnsi" w:hAnsiTheme="minorHAnsi" w:eastAsiaTheme="minorEastAsia" w:cstheme="minorBidi"/>
                <w:noProof/>
                <w:kern w:val="2"/>
                <w:sz w:val="24"/>
                <w:szCs w:val="24"/>
                <w:lang w:eastAsia="en-GB"/>
                <w14:ligatures w14:val="standardContextual"/>
              </w:rPr>
              <w:tab/>
            </w:r>
            <w:r w:rsidRPr="003D6C6E" w:rsidR="00C63177">
              <w:rPr>
                <w:rStyle w:val="Hyperlink"/>
                <w:bCs/>
                <w:noProof/>
              </w:rPr>
              <w:t>Fact-finding meetings</w:t>
            </w:r>
            <w:r w:rsidR="00C63177">
              <w:rPr>
                <w:noProof/>
                <w:webHidden/>
              </w:rPr>
              <w:tab/>
            </w:r>
            <w:r w:rsidR="00C63177">
              <w:rPr>
                <w:noProof/>
                <w:webHidden/>
              </w:rPr>
              <w:fldChar w:fldCharType="begin"/>
            </w:r>
            <w:r w:rsidR="00C63177">
              <w:rPr>
                <w:noProof/>
                <w:webHidden/>
              </w:rPr>
              <w:instrText xml:space="preserve"> PAGEREF _Toc228180511 \h </w:instrText>
            </w:r>
            <w:r w:rsidR="00C63177">
              <w:rPr>
                <w:noProof/>
                <w:webHidden/>
              </w:rPr>
            </w:r>
            <w:r w:rsidR="00C63177">
              <w:rPr>
                <w:noProof/>
                <w:webHidden/>
              </w:rPr>
              <w:fldChar w:fldCharType="separate"/>
            </w:r>
            <w:r w:rsidR="00D93C36">
              <w:rPr>
                <w:noProof/>
                <w:webHidden/>
              </w:rPr>
              <w:t>3</w:t>
            </w:r>
            <w:r w:rsidR="00C63177">
              <w:rPr>
                <w:noProof/>
                <w:webHidden/>
              </w:rPr>
              <w:fldChar w:fldCharType="end"/>
            </w:r>
          </w:hyperlink>
        </w:p>
        <w:p w:rsidR="00C63177" w:rsidRDefault="007E11B8" w14:paraId="7DF4643E" w14:textId="7FEFA6F0">
          <w:pPr>
            <w:pStyle w:val="TOC2"/>
            <w:tabs>
              <w:tab w:val="left" w:pos="960"/>
              <w:tab w:val="right" w:leader="dot" w:pos="9063"/>
            </w:tabs>
            <w:rPr>
              <w:rFonts w:asciiTheme="minorHAnsi" w:hAnsiTheme="minorHAnsi" w:eastAsiaTheme="minorEastAsia" w:cstheme="minorBidi"/>
              <w:noProof/>
              <w:kern w:val="2"/>
              <w:sz w:val="24"/>
              <w:szCs w:val="24"/>
              <w:lang w:eastAsia="en-GB"/>
              <w14:ligatures w14:val="standardContextual"/>
            </w:rPr>
          </w:pPr>
          <w:hyperlink w:history="1" w:anchor="_Toc228180512">
            <w:r w:rsidRPr="003D6C6E" w:rsidR="00C63177">
              <w:rPr>
                <w:rStyle w:val="Hyperlink"/>
                <w:bCs/>
                <w:noProof/>
              </w:rPr>
              <w:t xml:space="preserve">1.4 </w:t>
            </w:r>
            <w:r w:rsidR="00C63177">
              <w:rPr>
                <w:rFonts w:asciiTheme="minorHAnsi" w:hAnsiTheme="minorHAnsi" w:eastAsiaTheme="minorEastAsia" w:cstheme="minorBidi"/>
                <w:noProof/>
                <w:kern w:val="2"/>
                <w:sz w:val="24"/>
                <w:szCs w:val="24"/>
                <w:lang w:eastAsia="en-GB"/>
                <w14:ligatures w14:val="standardContextual"/>
              </w:rPr>
              <w:tab/>
            </w:r>
            <w:r w:rsidRPr="003D6C6E" w:rsidR="00C63177">
              <w:rPr>
                <w:rStyle w:val="Hyperlink"/>
                <w:bCs/>
                <w:noProof/>
              </w:rPr>
              <w:t>Questionnaire</w:t>
            </w:r>
            <w:r w:rsidR="00C63177">
              <w:rPr>
                <w:noProof/>
                <w:webHidden/>
              </w:rPr>
              <w:tab/>
            </w:r>
            <w:r w:rsidR="00C63177">
              <w:rPr>
                <w:noProof/>
                <w:webHidden/>
              </w:rPr>
              <w:fldChar w:fldCharType="begin"/>
            </w:r>
            <w:r w:rsidR="00C63177">
              <w:rPr>
                <w:noProof/>
                <w:webHidden/>
              </w:rPr>
              <w:instrText xml:space="preserve"> PAGEREF _Toc228180512 \h </w:instrText>
            </w:r>
            <w:r w:rsidR="00C63177">
              <w:rPr>
                <w:noProof/>
                <w:webHidden/>
              </w:rPr>
            </w:r>
            <w:r w:rsidR="00C63177">
              <w:rPr>
                <w:noProof/>
                <w:webHidden/>
              </w:rPr>
              <w:fldChar w:fldCharType="separate"/>
            </w:r>
            <w:r w:rsidR="00D93C36">
              <w:rPr>
                <w:noProof/>
                <w:webHidden/>
              </w:rPr>
              <w:t>4</w:t>
            </w:r>
            <w:r w:rsidR="00C63177">
              <w:rPr>
                <w:noProof/>
                <w:webHidden/>
              </w:rPr>
              <w:fldChar w:fldCharType="end"/>
            </w:r>
          </w:hyperlink>
        </w:p>
        <w:p w:rsidR="00C63177" w:rsidP="008F6FA7" w:rsidRDefault="007E11B8" w14:paraId="23B69D01" w14:textId="718C4AC4">
          <w:pPr>
            <w:pStyle w:val="TOC1"/>
            <w:rPr>
              <w:rFonts w:asciiTheme="minorHAnsi" w:hAnsiTheme="minorHAnsi" w:eastAsiaTheme="minorEastAsia" w:cstheme="minorBidi"/>
              <w:kern w:val="2"/>
              <w:sz w:val="24"/>
              <w:szCs w:val="24"/>
              <w:lang w:eastAsia="en-GB"/>
              <w14:ligatures w14:val="standardContextual"/>
            </w:rPr>
          </w:pPr>
          <w:hyperlink w:history="1" w:anchor="_Toc228180513">
            <w:r w:rsidRPr="003D6C6E" w:rsidR="00C63177">
              <w:rPr>
                <w:rStyle w:val="Hyperlink"/>
              </w:rPr>
              <w:t>2.</w:t>
            </w:r>
            <w:r w:rsidR="00C63177">
              <w:rPr>
                <w:rFonts w:asciiTheme="minorHAnsi" w:hAnsiTheme="minorHAnsi" w:eastAsiaTheme="minorEastAsia" w:cstheme="minorBidi"/>
                <w:kern w:val="2"/>
                <w:sz w:val="24"/>
                <w:szCs w:val="24"/>
                <w:lang w:eastAsia="en-GB"/>
                <w14:ligatures w14:val="standardContextual"/>
              </w:rPr>
              <w:tab/>
            </w:r>
            <w:r w:rsidRPr="003D6C6E" w:rsidR="00C63177">
              <w:rPr>
                <w:rStyle w:val="Hyperlink"/>
              </w:rPr>
              <w:t>Policy overview</w:t>
            </w:r>
            <w:r w:rsidR="00C63177">
              <w:rPr>
                <w:webHidden/>
              </w:rPr>
              <w:tab/>
            </w:r>
            <w:r w:rsidR="00C63177">
              <w:rPr>
                <w:webHidden/>
              </w:rPr>
              <w:fldChar w:fldCharType="begin"/>
            </w:r>
            <w:r w:rsidR="00C63177">
              <w:rPr>
                <w:webHidden/>
              </w:rPr>
              <w:instrText xml:space="preserve"> PAGEREF _Toc228180513 \h </w:instrText>
            </w:r>
            <w:r w:rsidR="00C63177">
              <w:rPr>
                <w:webHidden/>
              </w:rPr>
            </w:r>
            <w:r w:rsidR="00C63177">
              <w:rPr>
                <w:webHidden/>
              </w:rPr>
              <w:fldChar w:fldCharType="separate"/>
            </w:r>
            <w:r w:rsidR="00D93C36">
              <w:rPr>
                <w:webHidden/>
              </w:rPr>
              <w:t>7</w:t>
            </w:r>
            <w:r w:rsidR="00C63177">
              <w:rPr>
                <w:webHidden/>
              </w:rPr>
              <w:fldChar w:fldCharType="end"/>
            </w:r>
          </w:hyperlink>
        </w:p>
        <w:p w:rsidR="00C63177" w:rsidRDefault="007E11B8" w14:paraId="2FB1FA38" w14:textId="78DE0FD4">
          <w:pPr>
            <w:pStyle w:val="TOC2"/>
            <w:tabs>
              <w:tab w:val="right" w:leader="dot" w:pos="9063"/>
            </w:tabs>
            <w:rPr>
              <w:rFonts w:asciiTheme="minorHAnsi" w:hAnsiTheme="minorHAnsi" w:eastAsiaTheme="minorEastAsia" w:cstheme="minorBidi"/>
              <w:noProof/>
              <w:kern w:val="2"/>
              <w:sz w:val="24"/>
              <w:szCs w:val="24"/>
              <w:lang w:eastAsia="en-GB"/>
              <w14:ligatures w14:val="standardContextual"/>
            </w:rPr>
          </w:pPr>
          <w:hyperlink w:history="1" w:anchor="_Toc228180514">
            <w:r w:rsidRPr="003D6C6E" w:rsidR="00C63177">
              <w:rPr>
                <w:rStyle w:val="Hyperlink"/>
                <w:noProof/>
              </w:rPr>
              <w:t>2.1. General overview</w:t>
            </w:r>
            <w:r w:rsidR="00C63177">
              <w:rPr>
                <w:noProof/>
                <w:webHidden/>
              </w:rPr>
              <w:tab/>
            </w:r>
            <w:r w:rsidR="00C63177">
              <w:rPr>
                <w:noProof/>
                <w:webHidden/>
              </w:rPr>
              <w:fldChar w:fldCharType="begin"/>
            </w:r>
            <w:r w:rsidR="00C63177">
              <w:rPr>
                <w:noProof/>
                <w:webHidden/>
              </w:rPr>
              <w:instrText xml:space="preserve"> PAGEREF _Toc228180514 \h </w:instrText>
            </w:r>
            <w:r w:rsidR="00C63177">
              <w:rPr>
                <w:noProof/>
                <w:webHidden/>
              </w:rPr>
            </w:r>
            <w:r w:rsidR="00C63177">
              <w:rPr>
                <w:noProof/>
                <w:webHidden/>
              </w:rPr>
              <w:fldChar w:fldCharType="separate"/>
            </w:r>
            <w:r w:rsidR="00D93C36">
              <w:rPr>
                <w:noProof/>
                <w:webHidden/>
              </w:rPr>
              <w:t>7</w:t>
            </w:r>
            <w:r w:rsidR="00C63177">
              <w:rPr>
                <w:noProof/>
                <w:webHidden/>
              </w:rPr>
              <w:fldChar w:fldCharType="end"/>
            </w:r>
          </w:hyperlink>
        </w:p>
        <w:p w:rsidR="00C63177" w:rsidRDefault="007E11B8" w14:paraId="59D8FB6D" w14:textId="454B209F">
          <w:pPr>
            <w:pStyle w:val="TOC2"/>
            <w:tabs>
              <w:tab w:val="right" w:leader="dot" w:pos="9063"/>
            </w:tabs>
            <w:rPr>
              <w:rFonts w:asciiTheme="minorHAnsi" w:hAnsiTheme="minorHAnsi" w:eastAsiaTheme="minorEastAsia" w:cstheme="minorBidi"/>
              <w:noProof/>
              <w:kern w:val="2"/>
              <w:sz w:val="24"/>
              <w:szCs w:val="24"/>
              <w:lang w:eastAsia="en-GB"/>
              <w14:ligatures w14:val="standardContextual"/>
            </w:rPr>
          </w:pPr>
          <w:hyperlink w:history="1" w:anchor="_Toc228180515">
            <w:r w:rsidRPr="003D6C6E" w:rsidR="00C63177">
              <w:rPr>
                <w:rStyle w:val="Hyperlink"/>
                <w:noProof/>
              </w:rPr>
              <w:t>2.2. Implementation in the selected Member States</w:t>
            </w:r>
            <w:r w:rsidR="00C63177">
              <w:rPr>
                <w:noProof/>
                <w:webHidden/>
              </w:rPr>
              <w:tab/>
            </w:r>
            <w:r w:rsidR="00C63177">
              <w:rPr>
                <w:noProof/>
                <w:webHidden/>
              </w:rPr>
              <w:fldChar w:fldCharType="begin"/>
            </w:r>
            <w:r w:rsidR="00C63177">
              <w:rPr>
                <w:noProof/>
                <w:webHidden/>
              </w:rPr>
              <w:instrText xml:space="preserve"> PAGEREF _Toc228180515 \h </w:instrText>
            </w:r>
            <w:r w:rsidR="00C63177">
              <w:rPr>
                <w:noProof/>
                <w:webHidden/>
              </w:rPr>
            </w:r>
            <w:r w:rsidR="00C63177">
              <w:rPr>
                <w:noProof/>
                <w:webHidden/>
              </w:rPr>
              <w:fldChar w:fldCharType="separate"/>
            </w:r>
            <w:r w:rsidR="00D93C36">
              <w:rPr>
                <w:noProof/>
                <w:webHidden/>
              </w:rPr>
              <w:t>11</w:t>
            </w:r>
            <w:r w:rsidR="00C63177">
              <w:rPr>
                <w:noProof/>
                <w:webHidden/>
              </w:rPr>
              <w:fldChar w:fldCharType="end"/>
            </w:r>
          </w:hyperlink>
        </w:p>
        <w:p w:rsidRPr="00725C58" w:rsidR="00C63177" w:rsidP="00725C58" w:rsidRDefault="007E11B8" w14:paraId="74327091" w14:textId="012DCD37">
          <w:pPr>
            <w:pStyle w:val="TOC2"/>
            <w:tabs>
              <w:tab w:val="right" w:leader="dot" w:pos="9063"/>
            </w:tabs>
            <w:ind w:left="1440"/>
            <w:rPr>
              <w:rFonts w:asciiTheme="minorHAnsi" w:hAnsiTheme="minorHAnsi" w:eastAsiaTheme="minorEastAsia" w:cstheme="minorBidi"/>
              <w:i/>
              <w:iCs/>
              <w:noProof/>
              <w:kern w:val="2"/>
              <w:sz w:val="24"/>
              <w:szCs w:val="24"/>
              <w:lang w:eastAsia="en-GB"/>
              <w14:ligatures w14:val="standardContextual"/>
            </w:rPr>
          </w:pPr>
          <w:hyperlink w:history="1" w:anchor="_Toc228180516">
            <w:r w:rsidRPr="00725C58" w:rsidR="00C63177">
              <w:rPr>
                <w:rStyle w:val="Hyperlink"/>
                <w:i/>
                <w:iCs/>
                <w:noProof/>
              </w:rPr>
              <w:t>Denmark</w:t>
            </w:r>
            <w:r w:rsidRPr="00725C58" w:rsidR="00C63177">
              <w:rPr>
                <w:i/>
                <w:iCs/>
                <w:noProof/>
                <w:webHidden/>
              </w:rPr>
              <w:tab/>
            </w:r>
            <w:r w:rsidRPr="00725C58" w:rsidR="00C63177">
              <w:rPr>
                <w:i/>
                <w:iCs/>
                <w:noProof/>
                <w:webHidden/>
              </w:rPr>
              <w:fldChar w:fldCharType="begin"/>
            </w:r>
            <w:r w:rsidRPr="00725C58" w:rsidR="00C63177">
              <w:rPr>
                <w:i/>
                <w:iCs/>
                <w:noProof/>
                <w:webHidden/>
              </w:rPr>
              <w:instrText xml:space="preserve"> PAGEREF _Toc228180516 \h </w:instrText>
            </w:r>
            <w:r w:rsidRPr="00725C58" w:rsidR="00C63177">
              <w:rPr>
                <w:i/>
                <w:iCs/>
                <w:noProof/>
                <w:webHidden/>
              </w:rPr>
            </w:r>
            <w:r w:rsidRPr="00725C58" w:rsidR="00C63177">
              <w:rPr>
                <w:i/>
                <w:iCs/>
                <w:noProof/>
                <w:webHidden/>
              </w:rPr>
              <w:fldChar w:fldCharType="separate"/>
            </w:r>
            <w:r w:rsidR="00D93C36">
              <w:rPr>
                <w:i/>
                <w:iCs/>
                <w:noProof/>
                <w:webHidden/>
              </w:rPr>
              <w:t>11</w:t>
            </w:r>
            <w:r w:rsidRPr="00725C58" w:rsidR="00C63177">
              <w:rPr>
                <w:i/>
                <w:iCs/>
                <w:noProof/>
                <w:webHidden/>
              </w:rPr>
              <w:fldChar w:fldCharType="end"/>
            </w:r>
          </w:hyperlink>
        </w:p>
        <w:p w:rsidRPr="00725C58" w:rsidR="00C63177" w:rsidP="00725C58" w:rsidRDefault="007E11B8" w14:paraId="4E156110" w14:textId="446C7C06">
          <w:pPr>
            <w:pStyle w:val="TOC2"/>
            <w:tabs>
              <w:tab w:val="right" w:leader="dot" w:pos="9063"/>
            </w:tabs>
            <w:ind w:left="1440"/>
            <w:rPr>
              <w:rFonts w:asciiTheme="minorHAnsi" w:hAnsiTheme="minorHAnsi" w:eastAsiaTheme="minorEastAsia" w:cstheme="minorBidi"/>
              <w:i/>
              <w:iCs/>
              <w:noProof/>
              <w:kern w:val="2"/>
              <w:sz w:val="24"/>
              <w:szCs w:val="24"/>
              <w:lang w:eastAsia="en-GB"/>
              <w14:ligatures w14:val="standardContextual"/>
            </w:rPr>
          </w:pPr>
          <w:hyperlink w:history="1" w:anchor="_Toc228180517">
            <w:r w:rsidRPr="00725C58" w:rsidR="00C63177">
              <w:rPr>
                <w:rStyle w:val="Hyperlink"/>
                <w:i/>
                <w:iCs/>
                <w:noProof/>
              </w:rPr>
              <w:t>France</w:t>
            </w:r>
            <w:r w:rsidRPr="00725C58" w:rsidR="00C63177">
              <w:rPr>
                <w:i/>
                <w:iCs/>
                <w:noProof/>
                <w:webHidden/>
              </w:rPr>
              <w:tab/>
            </w:r>
            <w:r w:rsidRPr="00725C58" w:rsidR="00C63177">
              <w:rPr>
                <w:i/>
                <w:iCs/>
                <w:noProof/>
                <w:webHidden/>
              </w:rPr>
              <w:fldChar w:fldCharType="begin"/>
            </w:r>
            <w:r w:rsidRPr="00725C58" w:rsidR="00C63177">
              <w:rPr>
                <w:i/>
                <w:iCs/>
                <w:noProof/>
                <w:webHidden/>
              </w:rPr>
              <w:instrText xml:space="preserve"> PAGEREF _Toc228180517 \h </w:instrText>
            </w:r>
            <w:r w:rsidRPr="00725C58" w:rsidR="00C63177">
              <w:rPr>
                <w:i/>
                <w:iCs/>
                <w:noProof/>
                <w:webHidden/>
              </w:rPr>
            </w:r>
            <w:r w:rsidRPr="00725C58" w:rsidR="00C63177">
              <w:rPr>
                <w:i/>
                <w:iCs/>
                <w:noProof/>
                <w:webHidden/>
              </w:rPr>
              <w:fldChar w:fldCharType="separate"/>
            </w:r>
            <w:r w:rsidR="00D93C36">
              <w:rPr>
                <w:i/>
                <w:iCs/>
                <w:noProof/>
                <w:webHidden/>
              </w:rPr>
              <w:t>14</w:t>
            </w:r>
            <w:r w:rsidRPr="00725C58" w:rsidR="00C63177">
              <w:rPr>
                <w:i/>
                <w:iCs/>
                <w:noProof/>
                <w:webHidden/>
              </w:rPr>
              <w:fldChar w:fldCharType="end"/>
            </w:r>
          </w:hyperlink>
        </w:p>
        <w:p w:rsidRPr="00725C58" w:rsidR="00C63177" w:rsidP="00725C58" w:rsidRDefault="007E11B8" w14:paraId="25397C5B" w14:textId="06C8B59E">
          <w:pPr>
            <w:pStyle w:val="TOC2"/>
            <w:tabs>
              <w:tab w:val="right" w:leader="dot" w:pos="9063"/>
            </w:tabs>
            <w:ind w:left="1440"/>
            <w:rPr>
              <w:rFonts w:asciiTheme="minorHAnsi" w:hAnsiTheme="minorHAnsi" w:eastAsiaTheme="minorEastAsia" w:cstheme="minorBidi"/>
              <w:i/>
              <w:iCs/>
              <w:noProof/>
              <w:kern w:val="2"/>
              <w:sz w:val="24"/>
              <w:szCs w:val="24"/>
              <w:lang w:eastAsia="en-GB"/>
              <w14:ligatures w14:val="standardContextual"/>
            </w:rPr>
          </w:pPr>
          <w:hyperlink w:history="1" w:anchor="_Toc228180518">
            <w:r w:rsidRPr="00725C58" w:rsidR="00C63177">
              <w:rPr>
                <w:rStyle w:val="Hyperlink"/>
                <w:i/>
                <w:iCs/>
                <w:noProof/>
              </w:rPr>
              <w:t>Italy</w:t>
            </w:r>
            <w:r w:rsidRPr="00725C58" w:rsidR="00C63177">
              <w:rPr>
                <w:i/>
                <w:iCs/>
                <w:noProof/>
                <w:webHidden/>
              </w:rPr>
              <w:tab/>
            </w:r>
            <w:r w:rsidRPr="00725C58" w:rsidR="00C63177">
              <w:rPr>
                <w:i/>
                <w:iCs/>
                <w:noProof/>
                <w:webHidden/>
              </w:rPr>
              <w:fldChar w:fldCharType="begin"/>
            </w:r>
            <w:r w:rsidRPr="00725C58" w:rsidR="00C63177">
              <w:rPr>
                <w:i/>
                <w:iCs/>
                <w:noProof/>
                <w:webHidden/>
              </w:rPr>
              <w:instrText xml:space="preserve"> PAGEREF _Toc228180518 \h </w:instrText>
            </w:r>
            <w:r w:rsidRPr="00725C58" w:rsidR="00C63177">
              <w:rPr>
                <w:i/>
                <w:iCs/>
                <w:noProof/>
                <w:webHidden/>
              </w:rPr>
            </w:r>
            <w:r w:rsidRPr="00725C58" w:rsidR="00C63177">
              <w:rPr>
                <w:i/>
                <w:iCs/>
                <w:noProof/>
                <w:webHidden/>
              </w:rPr>
              <w:fldChar w:fldCharType="separate"/>
            </w:r>
            <w:r w:rsidR="00D93C36">
              <w:rPr>
                <w:i/>
                <w:iCs/>
                <w:noProof/>
                <w:webHidden/>
              </w:rPr>
              <w:t>18</w:t>
            </w:r>
            <w:r w:rsidRPr="00725C58" w:rsidR="00C63177">
              <w:rPr>
                <w:i/>
                <w:iCs/>
                <w:noProof/>
                <w:webHidden/>
              </w:rPr>
              <w:fldChar w:fldCharType="end"/>
            </w:r>
          </w:hyperlink>
        </w:p>
        <w:p w:rsidRPr="00725C58" w:rsidR="00C63177" w:rsidP="00725C58" w:rsidRDefault="007E11B8" w14:paraId="296464DC" w14:textId="246C15B7">
          <w:pPr>
            <w:pStyle w:val="TOC2"/>
            <w:tabs>
              <w:tab w:val="right" w:leader="dot" w:pos="9063"/>
            </w:tabs>
            <w:ind w:left="1440"/>
            <w:rPr>
              <w:rFonts w:asciiTheme="minorHAnsi" w:hAnsiTheme="minorHAnsi" w:eastAsiaTheme="minorEastAsia" w:cstheme="minorBidi"/>
              <w:i/>
              <w:iCs/>
              <w:noProof/>
              <w:kern w:val="2"/>
              <w:sz w:val="24"/>
              <w:szCs w:val="24"/>
              <w:lang w:eastAsia="en-GB"/>
              <w14:ligatures w14:val="standardContextual"/>
            </w:rPr>
          </w:pPr>
          <w:hyperlink w:history="1" w:anchor="_Toc228180519">
            <w:r w:rsidRPr="00725C58" w:rsidR="00C63177">
              <w:rPr>
                <w:rStyle w:val="Hyperlink"/>
                <w:i/>
                <w:iCs/>
                <w:noProof/>
              </w:rPr>
              <w:t>Latvia</w:t>
            </w:r>
            <w:r w:rsidRPr="00725C58" w:rsidR="00C63177">
              <w:rPr>
                <w:i/>
                <w:iCs/>
                <w:noProof/>
                <w:webHidden/>
              </w:rPr>
              <w:tab/>
            </w:r>
            <w:r w:rsidRPr="00725C58" w:rsidR="00C63177">
              <w:rPr>
                <w:i/>
                <w:iCs/>
                <w:noProof/>
                <w:webHidden/>
              </w:rPr>
              <w:fldChar w:fldCharType="begin"/>
            </w:r>
            <w:r w:rsidRPr="00725C58" w:rsidR="00C63177">
              <w:rPr>
                <w:i/>
                <w:iCs/>
                <w:noProof/>
                <w:webHidden/>
              </w:rPr>
              <w:instrText xml:space="preserve"> PAGEREF _Toc228180519 \h </w:instrText>
            </w:r>
            <w:r w:rsidRPr="00725C58" w:rsidR="00C63177">
              <w:rPr>
                <w:i/>
                <w:iCs/>
                <w:noProof/>
                <w:webHidden/>
              </w:rPr>
            </w:r>
            <w:r w:rsidRPr="00725C58" w:rsidR="00C63177">
              <w:rPr>
                <w:i/>
                <w:iCs/>
                <w:noProof/>
                <w:webHidden/>
              </w:rPr>
              <w:fldChar w:fldCharType="separate"/>
            </w:r>
            <w:r w:rsidR="00D93C36">
              <w:rPr>
                <w:i/>
                <w:iCs/>
                <w:noProof/>
                <w:webHidden/>
              </w:rPr>
              <w:t>22</w:t>
            </w:r>
            <w:r w:rsidRPr="00725C58" w:rsidR="00C63177">
              <w:rPr>
                <w:i/>
                <w:iCs/>
                <w:noProof/>
                <w:webHidden/>
              </w:rPr>
              <w:fldChar w:fldCharType="end"/>
            </w:r>
          </w:hyperlink>
        </w:p>
        <w:p w:rsidR="00C63177" w:rsidP="00725C58" w:rsidRDefault="007E11B8" w14:paraId="0B7E0F70" w14:textId="0D1609B3">
          <w:pPr>
            <w:pStyle w:val="TOC2"/>
            <w:tabs>
              <w:tab w:val="right" w:leader="dot" w:pos="9063"/>
            </w:tabs>
            <w:ind w:left="1440"/>
            <w:rPr>
              <w:rFonts w:asciiTheme="minorHAnsi" w:hAnsiTheme="minorHAnsi" w:eastAsiaTheme="minorEastAsia" w:cstheme="minorBidi"/>
              <w:noProof/>
              <w:kern w:val="2"/>
              <w:sz w:val="24"/>
              <w:szCs w:val="24"/>
              <w:lang w:eastAsia="en-GB"/>
              <w14:ligatures w14:val="standardContextual"/>
            </w:rPr>
          </w:pPr>
          <w:hyperlink w:history="1" w:anchor="_Toc228180520">
            <w:r w:rsidRPr="00725C58" w:rsidR="00C63177">
              <w:rPr>
                <w:rStyle w:val="Hyperlink"/>
                <w:i/>
                <w:iCs/>
                <w:noProof/>
              </w:rPr>
              <w:t>Romania</w:t>
            </w:r>
            <w:r w:rsidRPr="00725C58" w:rsidR="00C63177">
              <w:rPr>
                <w:i/>
                <w:iCs/>
                <w:noProof/>
                <w:webHidden/>
              </w:rPr>
              <w:tab/>
            </w:r>
            <w:r w:rsidRPr="00725C58" w:rsidR="00C63177">
              <w:rPr>
                <w:i/>
                <w:iCs/>
                <w:noProof/>
                <w:webHidden/>
              </w:rPr>
              <w:fldChar w:fldCharType="begin"/>
            </w:r>
            <w:r w:rsidRPr="00725C58" w:rsidR="00C63177">
              <w:rPr>
                <w:i/>
                <w:iCs/>
                <w:noProof/>
                <w:webHidden/>
              </w:rPr>
              <w:instrText xml:space="preserve"> PAGEREF _Toc228180520 \h </w:instrText>
            </w:r>
            <w:r w:rsidRPr="00725C58" w:rsidR="00C63177">
              <w:rPr>
                <w:i/>
                <w:iCs/>
                <w:noProof/>
                <w:webHidden/>
              </w:rPr>
            </w:r>
            <w:r w:rsidRPr="00725C58" w:rsidR="00C63177">
              <w:rPr>
                <w:i/>
                <w:iCs/>
                <w:noProof/>
                <w:webHidden/>
              </w:rPr>
              <w:fldChar w:fldCharType="separate"/>
            </w:r>
            <w:r w:rsidR="00D93C36">
              <w:rPr>
                <w:i/>
                <w:iCs/>
                <w:noProof/>
                <w:webHidden/>
              </w:rPr>
              <w:t>26</w:t>
            </w:r>
            <w:r w:rsidRPr="00725C58" w:rsidR="00C63177">
              <w:rPr>
                <w:i/>
                <w:iCs/>
                <w:noProof/>
                <w:webHidden/>
              </w:rPr>
              <w:fldChar w:fldCharType="end"/>
            </w:r>
          </w:hyperlink>
        </w:p>
        <w:p w:rsidR="00C63177" w:rsidP="008F6FA7" w:rsidRDefault="007E11B8" w14:paraId="7E22E20C" w14:textId="621891CA">
          <w:pPr>
            <w:pStyle w:val="TOC1"/>
            <w:rPr>
              <w:rFonts w:asciiTheme="minorHAnsi" w:hAnsiTheme="minorHAnsi" w:eastAsiaTheme="minorEastAsia" w:cstheme="minorBidi"/>
              <w:kern w:val="2"/>
              <w:sz w:val="24"/>
              <w:szCs w:val="24"/>
              <w:lang w:eastAsia="en-GB"/>
              <w14:ligatures w14:val="standardContextual"/>
            </w:rPr>
          </w:pPr>
          <w:hyperlink w:history="1" w:anchor="_Toc228180521">
            <w:r w:rsidRPr="003D6C6E" w:rsidR="00C63177">
              <w:rPr>
                <w:rStyle w:val="Hyperlink"/>
              </w:rPr>
              <w:t>3. Primary data: Effectiveness</w:t>
            </w:r>
            <w:r w:rsidR="00C63177">
              <w:rPr>
                <w:webHidden/>
              </w:rPr>
              <w:tab/>
            </w:r>
            <w:r w:rsidR="00C63177">
              <w:rPr>
                <w:webHidden/>
              </w:rPr>
              <w:fldChar w:fldCharType="begin"/>
            </w:r>
            <w:r w:rsidR="00C63177">
              <w:rPr>
                <w:webHidden/>
              </w:rPr>
              <w:instrText xml:space="preserve"> PAGEREF _Toc228180521 \h </w:instrText>
            </w:r>
            <w:r w:rsidR="00C63177">
              <w:rPr>
                <w:webHidden/>
              </w:rPr>
            </w:r>
            <w:r w:rsidR="00C63177">
              <w:rPr>
                <w:webHidden/>
              </w:rPr>
              <w:fldChar w:fldCharType="separate"/>
            </w:r>
            <w:r w:rsidR="00D93C36">
              <w:rPr>
                <w:webHidden/>
              </w:rPr>
              <w:t>30</w:t>
            </w:r>
            <w:r w:rsidR="00C63177">
              <w:rPr>
                <w:webHidden/>
              </w:rPr>
              <w:fldChar w:fldCharType="end"/>
            </w:r>
          </w:hyperlink>
        </w:p>
        <w:p w:rsidR="00C63177" w:rsidRDefault="007E11B8" w14:paraId="1B46E690" w14:textId="7FD430BC">
          <w:pPr>
            <w:pStyle w:val="TOC2"/>
            <w:tabs>
              <w:tab w:val="left" w:pos="960"/>
              <w:tab w:val="right" w:leader="dot" w:pos="9063"/>
            </w:tabs>
            <w:rPr>
              <w:rFonts w:asciiTheme="minorHAnsi" w:hAnsiTheme="minorHAnsi" w:eastAsiaTheme="minorEastAsia" w:cstheme="minorBidi"/>
              <w:noProof/>
              <w:kern w:val="2"/>
              <w:sz w:val="24"/>
              <w:szCs w:val="24"/>
              <w:lang w:eastAsia="en-GB"/>
              <w14:ligatures w14:val="standardContextual"/>
            </w:rPr>
          </w:pPr>
          <w:hyperlink w:history="1" w:anchor="_Toc228180522">
            <w:r w:rsidRPr="003D6C6E" w:rsidR="00C63177">
              <w:rPr>
                <w:rStyle w:val="Hyperlink"/>
                <w:noProof/>
              </w:rPr>
              <w:t>3.1</w:t>
            </w:r>
            <w:r w:rsidR="00C63177">
              <w:rPr>
                <w:rFonts w:asciiTheme="minorHAnsi" w:hAnsiTheme="minorHAnsi" w:eastAsiaTheme="minorEastAsia" w:cstheme="minorBidi"/>
                <w:noProof/>
                <w:kern w:val="2"/>
                <w:sz w:val="24"/>
                <w:szCs w:val="24"/>
                <w:lang w:eastAsia="en-GB"/>
                <w14:ligatures w14:val="standardContextual"/>
              </w:rPr>
              <w:tab/>
            </w:r>
            <w:r w:rsidRPr="003D6C6E" w:rsidR="00C63177">
              <w:rPr>
                <w:rStyle w:val="Hyperlink"/>
                <w:noProof/>
              </w:rPr>
              <w:t>Information gathered in stakeholder meetings and written contributions</w:t>
            </w:r>
            <w:r w:rsidR="00C63177">
              <w:rPr>
                <w:noProof/>
                <w:webHidden/>
              </w:rPr>
              <w:tab/>
            </w:r>
            <w:r w:rsidR="00C63177">
              <w:rPr>
                <w:noProof/>
                <w:webHidden/>
              </w:rPr>
              <w:fldChar w:fldCharType="begin"/>
            </w:r>
            <w:r w:rsidR="00C63177">
              <w:rPr>
                <w:noProof/>
                <w:webHidden/>
              </w:rPr>
              <w:instrText xml:space="preserve"> PAGEREF _Toc228180522 \h </w:instrText>
            </w:r>
            <w:r w:rsidR="00C63177">
              <w:rPr>
                <w:noProof/>
                <w:webHidden/>
              </w:rPr>
            </w:r>
            <w:r w:rsidR="00C63177">
              <w:rPr>
                <w:noProof/>
                <w:webHidden/>
              </w:rPr>
              <w:fldChar w:fldCharType="separate"/>
            </w:r>
            <w:r w:rsidR="00D93C36">
              <w:rPr>
                <w:noProof/>
                <w:webHidden/>
              </w:rPr>
              <w:t>30</w:t>
            </w:r>
            <w:r w:rsidR="00C63177">
              <w:rPr>
                <w:noProof/>
                <w:webHidden/>
              </w:rPr>
              <w:fldChar w:fldCharType="end"/>
            </w:r>
          </w:hyperlink>
        </w:p>
        <w:p w:rsidRPr="00725C58" w:rsidR="00C63177" w:rsidP="00725C58" w:rsidRDefault="007E11B8" w14:paraId="0A07F410" w14:textId="55B6C423">
          <w:pPr>
            <w:pStyle w:val="TOC2"/>
            <w:tabs>
              <w:tab w:val="right" w:leader="dot" w:pos="9063"/>
            </w:tabs>
            <w:ind w:left="1440"/>
            <w:rPr>
              <w:rFonts w:asciiTheme="minorHAnsi" w:hAnsiTheme="minorHAnsi" w:eastAsiaTheme="minorEastAsia" w:cstheme="minorBidi"/>
              <w:i/>
              <w:iCs/>
              <w:noProof/>
              <w:kern w:val="2"/>
              <w:sz w:val="24"/>
              <w:szCs w:val="24"/>
              <w:lang w:eastAsia="en-GB"/>
              <w14:ligatures w14:val="standardContextual"/>
            </w:rPr>
          </w:pPr>
          <w:hyperlink w:history="1" w:anchor="_Toc228180523">
            <w:r w:rsidRPr="00725C58" w:rsidR="00C63177">
              <w:rPr>
                <w:rStyle w:val="Hyperlink"/>
                <w:i/>
                <w:iCs/>
                <w:noProof/>
              </w:rPr>
              <w:t>National Implementation Challenges and Scope Extension</w:t>
            </w:r>
            <w:r w:rsidRPr="00725C58" w:rsidR="00C63177">
              <w:rPr>
                <w:i/>
                <w:iCs/>
                <w:noProof/>
                <w:webHidden/>
              </w:rPr>
              <w:tab/>
            </w:r>
            <w:r w:rsidRPr="00725C58" w:rsidR="00C63177">
              <w:rPr>
                <w:i/>
                <w:iCs/>
                <w:noProof/>
                <w:webHidden/>
              </w:rPr>
              <w:fldChar w:fldCharType="begin"/>
            </w:r>
            <w:r w:rsidRPr="00725C58" w:rsidR="00C63177">
              <w:rPr>
                <w:i/>
                <w:iCs/>
                <w:noProof/>
                <w:webHidden/>
              </w:rPr>
              <w:instrText xml:space="preserve"> PAGEREF _Toc228180523 \h </w:instrText>
            </w:r>
            <w:r w:rsidRPr="00725C58" w:rsidR="00C63177">
              <w:rPr>
                <w:i/>
                <w:iCs/>
                <w:noProof/>
                <w:webHidden/>
              </w:rPr>
            </w:r>
            <w:r w:rsidRPr="00725C58" w:rsidR="00C63177">
              <w:rPr>
                <w:i/>
                <w:iCs/>
                <w:noProof/>
                <w:webHidden/>
              </w:rPr>
              <w:fldChar w:fldCharType="separate"/>
            </w:r>
            <w:r w:rsidR="00D93C36">
              <w:rPr>
                <w:i/>
                <w:iCs/>
                <w:noProof/>
                <w:webHidden/>
              </w:rPr>
              <w:t>30</w:t>
            </w:r>
            <w:r w:rsidRPr="00725C58" w:rsidR="00C63177">
              <w:rPr>
                <w:i/>
                <w:iCs/>
                <w:noProof/>
                <w:webHidden/>
              </w:rPr>
              <w:fldChar w:fldCharType="end"/>
            </w:r>
          </w:hyperlink>
        </w:p>
        <w:p w:rsidRPr="00725C58" w:rsidR="00C63177" w:rsidP="00725C58" w:rsidRDefault="007E11B8" w14:paraId="6E2AC3CE" w14:textId="71EC2A68">
          <w:pPr>
            <w:pStyle w:val="TOC2"/>
            <w:tabs>
              <w:tab w:val="right" w:leader="dot" w:pos="9063"/>
            </w:tabs>
            <w:ind w:left="1440"/>
            <w:rPr>
              <w:rFonts w:asciiTheme="minorHAnsi" w:hAnsiTheme="minorHAnsi" w:eastAsiaTheme="minorEastAsia" w:cstheme="minorBidi"/>
              <w:i/>
              <w:iCs/>
              <w:noProof/>
              <w:kern w:val="2"/>
              <w:sz w:val="24"/>
              <w:szCs w:val="24"/>
              <w:lang w:eastAsia="en-GB"/>
              <w14:ligatures w14:val="standardContextual"/>
            </w:rPr>
          </w:pPr>
          <w:hyperlink w:history="1" w:anchor="_Toc228180524">
            <w:r w:rsidRPr="00725C58" w:rsidR="00C63177">
              <w:rPr>
                <w:rStyle w:val="Hyperlink"/>
                <w:i/>
                <w:iCs/>
                <w:noProof/>
              </w:rPr>
              <w:t>Functionality and Accessibility of Reporting Channels</w:t>
            </w:r>
            <w:r w:rsidRPr="00725C58" w:rsidR="00C63177">
              <w:rPr>
                <w:i/>
                <w:iCs/>
                <w:noProof/>
                <w:webHidden/>
              </w:rPr>
              <w:tab/>
            </w:r>
            <w:r w:rsidRPr="00725C58" w:rsidR="00C63177">
              <w:rPr>
                <w:i/>
                <w:iCs/>
                <w:noProof/>
                <w:webHidden/>
              </w:rPr>
              <w:fldChar w:fldCharType="begin"/>
            </w:r>
            <w:r w:rsidRPr="00725C58" w:rsidR="00C63177">
              <w:rPr>
                <w:i/>
                <w:iCs/>
                <w:noProof/>
                <w:webHidden/>
              </w:rPr>
              <w:instrText xml:space="preserve"> PAGEREF _Toc228180524 \h </w:instrText>
            </w:r>
            <w:r w:rsidRPr="00725C58" w:rsidR="00C63177">
              <w:rPr>
                <w:i/>
                <w:iCs/>
                <w:noProof/>
                <w:webHidden/>
              </w:rPr>
            </w:r>
            <w:r w:rsidRPr="00725C58" w:rsidR="00C63177">
              <w:rPr>
                <w:i/>
                <w:iCs/>
                <w:noProof/>
                <w:webHidden/>
              </w:rPr>
              <w:fldChar w:fldCharType="separate"/>
            </w:r>
            <w:r w:rsidR="00D93C36">
              <w:rPr>
                <w:i/>
                <w:iCs/>
                <w:noProof/>
                <w:webHidden/>
              </w:rPr>
              <w:t>35</w:t>
            </w:r>
            <w:r w:rsidRPr="00725C58" w:rsidR="00C63177">
              <w:rPr>
                <w:i/>
                <w:iCs/>
                <w:noProof/>
                <w:webHidden/>
              </w:rPr>
              <w:fldChar w:fldCharType="end"/>
            </w:r>
          </w:hyperlink>
        </w:p>
        <w:p w:rsidRPr="00725C58" w:rsidR="00C63177" w:rsidP="00725C58" w:rsidRDefault="007E11B8" w14:paraId="79A6A64D" w14:textId="30446ACC">
          <w:pPr>
            <w:pStyle w:val="TOC2"/>
            <w:tabs>
              <w:tab w:val="right" w:leader="dot" w:pos="9063"/>
            </w:tabs>
            <w:ind w:left="1440"/>
            <w:rPr>
              <w:rFonts w:asciiTheme="minorHAnsi" w:hAnsiTheme="minorHAnsi" w:eastAsiaTheme="minorEastAsia" w:cstheme="minorBidi"/>
              <w:i/>
              <w:iCs/>
              <w:noProof/>
              <w:kern w:val="2"/>
              <w:sz w:val="24"/>
              <w:szCs w:val="24"/>
              <w:lang w:eastAsia="en-GB"/>
              <w14:ligatures w14:val="standardContextual"/>
            </w:rPr>
          </w:pPr>
          <w:hyperlink w:history="1" w:anchor="_Toc228180525">
            <w:r w:rsidRPr="00725C58" w:rsidR="00C63177">
              <w:rPr>
                <w:rStyle w:val="Hyperlink"/>
                <w:i/>
                <w:iCs/>
                <w:noProof/>
              </w:rPr>
              <w:t>Consultation Procedures and Social Partner Agreement</w:t>
            </w:r>
            <w:r w:rsidRPr="00725C58" w:rsidR="00C63177">
              <w:rPr>
                <w:i/>
                <w:iCs/>
                <w:noProof/>
                <w:webHidden/>
              </w:rPr>
              <w:tab/>
            </w:r>
            <w:r w:rsidRPr="00725C58" w:rsidR="00C63177">
              <w:rPr>
                <w:i/>
                <w:iCs/>
                <w:noProof/>
                <w:webHidden/>
              </w:rPr>
              <w:fldChar w:fldCharType="begin"/>
            </w:r>
            <w:r w:rsidRPr="00725C58" w:rsidR="00C63177">
              <w:rPr>
                <w:i/>
                <w:iCs/>
                <w:noProof/>
                <w:webHidden/>
              </w:rPr>
              <w:instrText xml:space="preserve"> PAGEREF _Toc228180525 \h </w:instrText>
            </w:r>
            <w:r w:rsidRPr="00725C58" w:rsidR="00C63177">
              <w:rPr>
                <w:i/>
                <w:iCs/>
                <w:noProof/>
                <w:webHidden/>
              </w:rPr>
            </w:r>
            <w:r w:rsidRPr="00725C58" w:rsidR="00C63177">
              <w:rPr>
                <w:i/>
                <w:iCs/>
                <w:noProof/>
                <w:webHidden/>
              </w:rPr>
              <w:fldChar w:fldCharType="separate"/>
            </w:r>
            <w:r w:rsidR="00D93C36">
              <w:rPr>
                <w:i/>
                <w:iCs/>
                <w:noProof/>
                <w:webHidden/>
              </w:rPr>
              <w:t>41</w:t>
            </w:r>
            <w:r w:rsidRPr="00725C58" w:rsidR="00C63177">
              <w:rPr>
                <w:i/>
                <w:iCs/>
                <w:noProof/>
                <w:webHidden/>
              </w:rPr>
              <w:fldChar w:fldCharType="end"/>
            </w:r>
          </w:hyperlink>
        </w:p>
        <w:p w:rsidRPr="00725C58" w:rsidR="00C63177" w:rsidP="00725C58" w:rsidRDefault="007E11B8" w14:paraId="0946CA8B" w14:textId="17A6FE29">
          <w:pPr>
            <w:pStyle w:val="TOC2"/>
            <w:tabs>
              <w:tab w:val="right" w:leader="dot" w:pos="9063"/>
            </w:tabs>
            <w:ind w:left="1440"/>
            <w:rPr>
              <w:rFonts w:asciiTheme="minorHAnsi" w:hAnsiTheme="minorHAnsi" w:eastAsiaTheme="minorEastAsia" w:cstheme="minorBidi"/>
              <w:i/>
              <w:iCs/>
              <w:noProof/>
              <w:kern w:val="2"/>
              <w:sz w:val="24"/>
              <w:szCs w:val="24"/>
              <w:lang w:eastAsia="en-GB"/>
              <w14:ligatures w14:val="standardContextual"/>
            </w:rPr>
          </w:pPr>
          <w:hyperlink w:history="1" w:anchor="_Toc228180526">
            <w:r w:rsidRPr="00725C58" w:rsidR="00C63177">
              <w:rPr>
                <w:rStyle w:val="Hyperlink"/>
                <w:i/>
                <w:iCs/>
                <w:noProof/>
              </w:rPr>
              <w:t>Enforcement, Remedies and Anti-Retaliation Measures</w:t>
            </w:r>
            <w:r w:rsidRPr="00725C58" w:rsidR="00C63177">
              <w:rPr>
                <w:i/>
                <w:iCs/>
                <w:noProof/>
                <w:webHidden/>
              </w:rPr>
              <w:tab/>
            </w:r>
            <w:r w:rsidRPr="00725C58" w:rsidR="00C63177">
              <w:rPr>
                <w:i/>
                <w:iCs/>
                <w:noProof/>
                <w:webHidden/>
              </w:rPr>
              <w:fldChar w:fldCharType="begin"/>
            </w:r>
            <w:r w:rsidRPr="00725C58" w:rsidR="00C63177">
              <w:rPr>
                <w:i/>
                <w:iCs/>
                <w:noProof/>
                <w:webHidden/>
              </w:rPr>
              <w:instrText xml:space="preserve"> PAGEREF _Toc228180526 \h </w:instrText>
            </w:r>
            <w:r w:rsidRPr="00725C58" w:rsidR="00C63177">
              <w:rPr>
                <w:i/>
                <w:iCs/>
                <w:noProof/>
                <w:webHidden/>
              </w:rPr>
            </w:r>
            <w:r w:rsidRPr="00725C58" w:rsidR="00C63177">
              <w:rPr>
                <w:i/>
                <w:iCs/>
                <w:noProof/>
                <w:webHidden/>
              </w:rPr>
              <w:fldChar w:fldCharType="separate"/>
            </w:r>
            <w:r w:rsidR="00D93C36">
              <w:rPr>
                <w:i/>
                <w:iCs/>
                <w:noProof/>
                <w:webHidden/>
              </w:rPr>
              <w:t>45</w:t>
            </w:r>
            <w:r w:rsidRPr="00725C58" w:rsidR="00C63177">
              <w:rPr>
                <w:i/>
                <w:iCs/>
                <w:noProof/>
                <w:webHidden/>
              </w:rPr>
              <w:fldChar w:fldCharType="end"/>
            </w:r>
          </w:hyperlink>
        </w:p>
        <w:p w:rsidR="00C63177" w:rsidP="00725C58" w:rsidRDefault="007E11B8" w14:paraId="7BD4DFA1" w14:textId="59BEAE96">
          <w:pPr>
            <w:pStyle w:val="TOC2"/>
            <w:tabs>
              <w:tab w:val="right" w:leader="dot" w:pos="9063"/>
            </w:tabs>
            <w:ind w:left="1440"/>
            <w:rPr>
              <w:rFonts w:asciiTheme="minorHAnsi" w:hAnsiTheme="minorHAnsi" w:eastAsiaTheme="minorEastAsia" w:cstheme="minorBidi"/>
              <w:noProof/>
              <w:kern w:val="2"/>
              <w:sz w:val="24"/>
              <w:szCs w:val="24"/>
              <w:lang w:eastAsia="en-GB"/>
              <w14:ligatures w14:val="standardContextual"/>
            </w:rPr>
          </w:pPr>
          <w:hyperlink w:history="1" w:anchor="_Toc228180527">
            <w:r w:rsidRPr="00725C58" w:rsidR="00C63177">
              <w:rPr>
                <w:rStyle w:val="Hyperlink"/>
                <w:i/>
                <w:iCs/>
                <w:noProof/>
              </w:rPr>
              <w:t>Integration with Professional Secrecy and Confidentiality</w:t>
            </w:r>
            <w:r w:rsidRPr="00725C58" w:rsidR="00C63177">
              <w:rPr>
                <w:i/>
                <w:iCs/>
                <w:noProof/>
                <w:webHidden/>
              </w:rPr>
              <w:tab/>
            </w:r>
            <w:r w:rsidRPr="00725C58" w:rsidR="00C63177">
              <w:rPr>
                <w:i/>
                <w:iCs/>
                <w:noProof/>
                <w:webHidden/>
              </w:rPr>
              <w:fldChar w:fldCharType="begin"/>
            </w:r>
            <w:r w:rsidRPr="00725C58" w:rsidR="00C63177">
              <w:rPr>
                <w:i/>
                <w:iCs/>
                <w:noProof/>
                <w:webHidden/>
              </w:rPr>
              <w:instrText xml:space="preserve"> PAGEREF _Toc228180527 \h </w:instrText>
            </w:r>
            <w:r w:rsidRPr="00725C58" w:rsidR="00C63177">
              <w:rPr>
                <w:i/>
                <w:iCs/>
                <w:noProof/>
                <w:webHidden/>
              </w:rPr>
            </w:r>
            <w:r w:rsidRPr="00725C58" w:rsidR="00C63177">
              <w:rPr>
                <w:i/>
                <w:iCs/>
                <w:noProof/>
                <w:webHidden/>
              </w:rPr>
              <w:fldChar w:fldCharType="separate"/>
            </w:r>
            <w:r w:rsidR="00D93C36">
              <w:rPr>
                <w:i/>
                <w:iCs/>
                <w:noProof/>
                <w:webHidden/>
              </w:rPr>
              <w:t>50</w:t>
            </w:r>
            <w:r w:rsidRPr="00725C58" w:rsidR="00C63177">
              <w:rPr>
                <w:i/>
                <w:iCs/>
                <w:noProof/>
                <w:webHidden/>
              </w:rPr>
              <w:fldChar w:fldCharType="end"/>
            </w:r>
          </w:hyperlink>
        </w:p>
        <w:p w:rsidR="00C63177" w:rsidRDefault="007E11B8" w14:paraId="309418FA" w14:textId="014E81CF">
          <w:pPr>
            <w:pStyle w:val="TOC2"/>
            <w:tabs>
              <w:tab w:val="left" w:pos="960"/>
              <w:tab w:val="right" w:leader="dot" w:pos="9063"/>
            </w:tabs>
            <w:rPr>
              <w:rFonts w:asciiTheme="minorHAnsi" w:hAnsiTheme="minorHAnsi" w:eastAsiaTheme="minorEastAsia" w:cstheme="minorBidi"/>
              <w:noProof/>
              <w:kern w:val="2"/>
              <w:sz w:val="24"/>
              <w:szCs w:val="24"/>
              <w:lang w:eastAsia="en-GB"/>
              <w14:ligatures w14:val="standardContextual"/>
            </w:rPr>
          </w:pPr>
          <w:hyperlink w:history="1" w:anchor="_Toc228180528">
            <w:r w:rsidRPr="003D6C6E" w:rsidR="00C63177">
              <w:rPr>
                <w:rStyle w:val="Hyperlink"/>
                <w:noProof/>
              </w:rPr>
              <w:t>3.2</w:t>
            </w:r>
            <w:r w:rsidR="00C63177">
              <w:rPr>
                <w:rFonts w:asciiTheme="minorHAnsi" w:hAnsiTheme="minorHAnsi" w:eastAsiaTheme="minorEastAsia" w:cstheme="minorBidi"/>
                <w:noProof/>
                <w:kern w:val="2"/>
                <w:sz w:val="24"/>
                <w:szCs w:val="24"/>
                <w:lang w:eastAsia="en-GB"/>
                <w14:ligatures w14:val="standardContextual"/>
              </w:rPr>
              <w:tab/>
            </w:r>
            <w:r w:rsidRPr="003D6C6E" w:rsidR="00C63177">
              <w:rPr>
                <w:rStyle w:val="Hyperlink"/>
                <w:noProof/>
              </w:rPr>
              <w:t>Information from the questionnaire</w:t>
            </w:r>
            <w:r w:rsidR="00C63177">
              <w:rPr>
                <w:noProof/>
                <w:webHidden/>
              </w:rPr>
              <w:tab/>
            </w:r>
            <w:r w:rsidR="00C63177">
              <w:rPr>
                <w:noProof/>
                <w:webHidden/>
              </w:rPr>
              <w:fldChar w:fldCharType="begin"/>
            </w:r>
            <w:r w:rsidR="00C63177">
              <w:rPr>
                <w:noProof/>
                <w:webHidden/>
              </w:rPr>
              <w:instrText xml:space="preserve"> PAGEREF _Toc228180528 \h </w:instrText>
            </w:r>
            <w:r w:rsidR="00C63177">
              <w:rPr>
                <w:noProof/>
                <w:webHidden/>
              </w:rPr>
            </w:r>
            <w:r w:rsidR="00C63177">
              <w:rPr>
                <w:noProof/>
                <w:webHidden/>
              </w:rPr>
              <w:fldChar w:fldCharType="separate"/>
            </w:r>
            <w:r w:rsidR="00D93C36">
              <w:rPr>
                <w:noProof/>
                <w:webHidden/>
              </w:rPr>
              <w:t>54</w:t>
            </w:r>
            <w:r w:rsidR="00C63177">
              <w:rPr>
                <w:noProof/>
                <w:webHidden/>
              </w:rPr>
              <w:fldChar w:fldCharType="end"/>
            </w:r>
          </w:hyperlink>
        </w:p>
        <w:p w:rsidRPr="00725C58" w:rsidR="00C63177" w:rsidP="00725C58" w:rsidRDefault="007E11B8" w14:paraId="3C8F0177" w14:textId="55EC2031">
          <w:pPr>
            <w:pStyle w:val="TOC2"/>
            <w:tabs>
              <w:tab w:val="right" w:leader="dot" w:pos="9063"/>
            </w:tabs>
            <w:ind w:left="1440"/>
            <w:rPr>
              <w:rFonts w:asciiTheme="minorHAnsi" w:hAnsiTheme="minorHAnsi" w:eastAsiaTheme="minorEastAsia" w:cstheme="minorBidi"/>
              <w:i/>
              <w:iCs/>
              <w:noProof/>
              <w:kern w:val="2"/>
              <w:sz w:val="24"/>
              <w:szCs w:val="24"/>
              <w:lang w:eastAsia="en-GB"/>
              <w14:ligatures w14:val="standardContextual"/>
            </w:rPr>
          </w:pPr>
          <w:hyperlink w:history="1" w:anchor="_Toc228180529">
            <w:r w:rsidRPr="00725C58" w:rsidR="00C63177">
              <w:rPr>
                <w:rStyle w:val="Hyperlink"/>
                <w:i/>
                <w:iCs/>
                <w:noProof/>
              </w:rPr>
              <w:t>In general: main opportunities and challenges</w:t>
            </w:r>
            <w:r w:rsidRPr="00725C58" w:rsidR="00C63177">
              <w:rPr>
                <w:i/>
                <w:iCs/>
                <w:noProof/>
                <w:webHidden/>
              </w:rPr>
              <w:tab/>
            </w:r>
            <w:r w:rsidRPr="00725C58" w:rsidR="00C63177">
              <w:rPr>
                <w:i/>
                <w:iCs/>
                <w:noProof/>
                <w:webHidden/>
              </w:rPr>
              <w:fldChar w:fldCharType="begin"/>
            </w:r>
            <w:r w:rsidRPr="00725C58" w:rsidR="00C63177">
              <w:rPr>
                <w:i/>
                <w:iCs/>
                <w:noProof/>
                <w:webHidden/>
              </w:rPr>
              <w:instrText xml:space="preserve"> PAGEREF _Toc228180529 \h </w:instrText>
            </w:r>
            <w:r w:rsidRPr="00725C58" w:rsidR="00C63177">
              <w:rPr>
                <w:i/>
                <w:iCs/>
                <w:noProof/>
                <w:webHidden/>
              </w:rPr>
            </w:r>
            <w:r w:rsidRPr="00725C58" w:rsidR="00C63177">
              <w:rPr>
                <w:i/>
                <w:iCs/>
                <w:noProof/>
                <w:webHidden/>
              </w:rPr>
              <w:fldChar w:fldCharType="separate"/>
            </w:r>
            <w:r w:rsidR="00D93C36">
              <w:rPr>
                <w:i/>
                <w:iCs/>
                <w:noProof/>
                <w:webHidden/>
              </w:rPr>
              <w:t>54</w:t>
            </w:r>
            <w:r w:rsidRPr="00725C58" w:rsidR="00C63177">
              <w:rPr>
                <w:i/>
                <w:iCs/>
                <w:noProof/>
                <w:webHidden/>
              </w:rPr>
              <w:fldChar w:fldCharType="end"/>
            </w:r>
          </w:hyperlink>
        </w:p>
        <w:p w:rsidRPr="00725C58" w:rsidR="00C63177" w:rsidP="00725C58" w:rsidRDefault="007E11B8" w14:paraId="5538197B" w14:textId="2B0F3FF9">
          <w:pPr>
            <w:pStyle w:val="TOC2"/>
            <w:tabs>
              <w:tab w:val="right" w:leader="dot" w:pos="9063"/>
            </w:tabs>
            <w:ind w:left="1440"/>
            <w:rPr>
              <w:rFonts w:asciiTheme="minorHAnsi" w:hAnsiTheme="minorHAnsi" w:eastAsiaTheme="minorEastAsia" w:cstheme="minorBidi"/>
              <w:i/>
              <w:iCs/>
              <w:noProof/>
              <w:kern w:val="2"/>
              <w:sz w:val="24"/>
              <w:szCs w:val="24"/>
              <w:lang w:eastAsia="en-GB"/>
              <w14:ligatures w14:val="standardContextual"/>
            </w:rPr>
          </w:pPr>
          <w:hyperlink w:history="1" w:anchor="_Toc228180530">
            <w:r w:rsidRPr="00725C58" w:rsidR="00C63177">
              <w:rPr>
                <w:rStyle w:val="Hyperlink"/>
                <w:i/>
                <w:iCs/>
                <w:noProof/>
              </w:rPr>
              <w:t>Material scope</w:t>
            </w:r>
            <w:r w:rsidRPr="00725C58" w:rsidR="00C63177">
              <w:rPr>
                <w:i/>
                <w:iCs/>
                <w:noProof/>
                <w:webHidden/>
              </w:rPr>
              <w:tab/>
            </w:r>
            <w:r w:rsidRPr="00725C58" w:rsidR="00C63177">
              <w:rPr>
                <w:i/>
                <w:iCs/>
                <w:noProof/>
                <w:webHidden/>
              </w:rPr>
              <w:fldChar w:fldCharType="begin"/>
            </w:r>
            <w:r w:rsidRPr="00725C58" w:rsidR="00C63177">
              <w:rPr>
                <w:i/>
                <w:iCs/>
                <w:noProof/>
                <w:webHidden/>
              </w:rPr>
              <w:instrText xml:space="preserve"> PAGEREF _Toc228180530 \h </w:instrText>
            </w:r>
            <w:r w:rsidRPr="00725C58" w:rsidR="00C63177">
              <w:rPr>
                <w:i/>
                <w:iCs/>
                <w:noProof/>
                <w:webHidden/>
              </w:rPr>
            </w:r>
            <w:r w:rsidRPr="00725C58" w:rsidR="00C63177">
              <w:rPr>
                <w:i/>
                <w:iCs/>
                <w:noProof/>
                <w:webHidden/>
              </w:rPr>
              <w:fldChar w:fldCharType="separate"/>
            </w:r>
            <w:r w:rsidR="00D93C36">
              <w:rPr>
                <w:i/>
                <w:iCs/>
                <w:noProof/>
                <w:webHidden/>
              </w:rPr>
              <w:t>56</w:t>
            </w:r>
            <w:r w:rsidRPr="00725C58" w:rsidR="00C63177">
              <w:rPr>
                <w:i/>
                <w:iCs/>
                <w:noProof/>
                <w:webHidden/>
              </w:rPr>
              <w:fldChar w:fldCharType="end"/>
            </w:r>
          </w:hyperlink>
        </w:p>
        <w:p w:rsidRPr="00725C58" w:rsidR="00C63177" w:rsidP="00725C58" w:rsidRDefault="007E11B8" w14:paraId="6436690F" w14:textId="60169A3F">
          <w:pPr>
            <w:pStyle w:val="TOC2"/>
            <w:tabs>
              <w:tab w:val="right" w:leader="dot" w:pos="9063"/>
            </w:tabs>
            <w:ind w:left="1440"/>
            <w:rPr>
              <w:rFonts w:asciiTheme="minorHAnsi" w:hAnsiTheme="minorHAnsi" w:eastAsiaTheme="minorEastAsia" w:cstheme="minorBidi"/>
              <w:i/>
              <w:iCs/>
              <w:noProof/>
              <w:kern w:val="2"/>
              <w:sz w:val="24"/>
              <w:szCs w:val="24"/>
              <w:lang w:eastAsia="en-GB"/>
              <w14:ligatures w14:val="standardContextual"/>
            </w:rPr>
          </w:pPr>
          <w:hyperlink w:history="1" w:anchor="_Toc228180531">
            <w:r w:rsidRPr="00725C58" w:rsidR="00C63177">
              <w:rPr>
                <w:rStyle w:val="Hyperlink"/>
                <w:i/>
                <w:iCs/>
                <w:noProof/>
              </w:rPr>
              <w:t>Scope of persons protected</w:t>
            </w:r>
            <w:r w:rsidRPr="00725C58" w:rsidR="00C63177">
              <w:rPr>
                <w:i/>
                <w:iCs/>
                <w:noProof/>
                <w:webHidden/>
              </w:rPr>
              <w:tab/>
            </w:r>
            <w:r w:rsidRPr="00725C58" w:rsidR="00C63177">
              <w:rPr>
                <w:i/>
                <w:iCs/>
                <w:noProof/>
                <w:webHidden/>
              </w:rPr>
              <w:fldChar w:fldCharType="begin"/>
            </w:r>
            <w:r w:rsidRPr="00725C58" w:rsidR="00C63177">
              <w:rPr>
                <w:i/>
                <w:iCs/>
                <w:noProof/>
                <w:webHidden/>
              </w:rPr>
              <w:instrText xml:space="preserve"> PAGEREF _Toc228180531 \h </w:instrText>
            </w:r>
            <w:r w:rsidRPr="00725C58" w:rsidR="00C63177">
              <w:rPr>
                <w:i/>
                <w:iCs/>
                <w:noProof/>
                <w:webHidden/>
              </w:rPr>
            </w:r>
            <w:r w:rsidRPr="00725C58" w:rsidR="00C63177">
              <w:rPr>
                <w:i/>
                <w:iCs/>
                <w:noProof/>
                <w:webHidden/>
              </w:rPr>
              <w:fldChar w:fldCharType="separate"/>
            </w:r>
            <w:r w:rsidR="00D93C36">
              <w:rPr>
                <w:i/>
                <w:iCs/>
                <w:noProof/>
                <w:webHidden/>
              </w:rPr>
              <w:t>59</w:t>
            </w:r>
            <w:r w:rsidRPr="00725C58" w:rsidR="00C63177">
              <w:rPr>
                <w:i/>
                <w:iCs/>
                <w:noProof/>
                <w:webHidden/>
              </w:rPr>
              <w:fldChar w:fldCharType="end"/>
            </w:r>
          </w:hyperlink>
        </w:p>
        <w:p w:rsidRPr="00725C58" w:rsidR="00C63177" w:rsidP="00725C58" w:rsidRDefault="007E11B8" w14:paraId="16695B70" w14:textId="5599B193">
          <w:pPr>
            <w:pStyle w:val="TOC2"/>
            <w:tabs>
              <w:tab w:val="right" w:leader="dot" w:pos="9063"/>
            </w:tabs>
            <w:ind w:left="1440"/>
            <w:rPr>
              <w:rFonts w:asciiTheme="minorHAnsi" w:hAnsiTheme="minorHAnsi" w:eastAsiaTheme="minorEastAsia" w:cstheme="minorBidi"/>
              <w:i/>
              <w:iCs/>
              <w:noProof/>
              <w:kern w:val="2"/>
              <w:sz w:val="24"/>
              <w:szCs w:val="24"/>
              <w:lang w:eastAsia="en-GB"/>
              <w14:ligatures w14:val="standardContextual"/>
            </w:rPr>
          </w:pPr>
          <w:hyperlink w:history="1" w:anchor="_Toc228180532">
            <w:r w:rsidRPr="00725C58" w:rsidR="00C63177">
              <w:rPr>
                <w:rStyle w:val="Hyperlink"/>
                <w:i/>
                <w:iCs/>
                <w:noProof/>
              </w:rPr>
              <w:t>Reporting channels</w:t>
            </w:r>
            <w:r w:rsidRPr="00725C58" w:rsidR="00C63177">
              <w:rPr>
                <w:i/>
                <w:iCs/>
                <w:noProof/>
                <w:webHidden/>
              </w:rPr>
              <w:tab/>
            </w:r>
            <w:r w:rsidRPr="00725C58" w:rsidR="00C63177">
              <w:rPr>
                <w:i/>
                <w:iCs/>
                <w:noProof/>
                <w:webHidden/>
              </w:rPr>
              <w:fldChar w:fldCharType="begin"/>
            </w:r>
            <w:r w:rsidRPr="00725C58" w:rsidR="00C63177">
              <w:rPr>
                <w:i/>
                <w:iCs/>
                <w:noProof/>
                <w:webHidden/>
              </w:rPr>
              <w:instrText xml:space="preserve"> PAGEREF _Toc228180532 \h </w:instrText>
            </w:r>
            <w:r w:rsidRPr="00725C58" w:rsidR="00C63177">
              <w:rPr>
                <w:i/>
                <w:iCs/>
                <w:noProof/>
                <w:webHidden/>
              </w:rPr>
            </w:r>
            <w:r w:rsidRPr="00725C58" w:rsidR="00C63177">
              <w:rPr>
                <w:i/>
                <w:iCs/>
                <w:noProof/>
                <w:webHidden/>
              </w:rPr>
              <w:fldChar w:fldCharType="separate"/>
            </w:r>
            <w:r w:rsidR="00D93C36">
              <w:rPr>
                <w:i/>
                <w:iCs/>
                <w:noProof/>
                <w:webHidden/>
              </w:rPr>
              <w:t>60</w:t>
            </w:r>
            <w:r w:rsidRPr="00725C58" w:rsidR="00C63177">
              <w:rPr>
                <w:i/>
                <w:iCs/>
                <w:noProof/>
                <w:webHidden/>
              </w:rPr>
              <w:fldChar w:fldCharType="end"/>
            </w:r>
          </w:hyperlink>
        </w:p>
        <w:p w:rsidRPr="00725C58" w:rsidR="00C63177" w:rsidP="00725C58" w:rsidRDefault="007E11B8" w14:paraId="62E59C3F" w14:textId="3963960E">
          <w:pPr>
            <w:pStyle w:val="TOC2"/>
            <w:tabs>
              <w:tab w:val="right" w:leader="dot" w:pos="9063"/>
            </w:tabs>
            <w:ind w:left="1440"/>
            <w:rPr>
              <w:rFonts w:asciiTheme="minorHAnsi" w:hAnsiTheme="minorHAnsi" w:eastAsiaTheme="minorEastAsia" w:cstheme="minorBidi"/>
              <w:i/>
              <w:iCs/>
              <w:noProof/>
              <w:kern w:val="2"/>
              <w:sz w:val="24"/>
              <w:szCs w:val="24"/>
              <w:lang w:eastAsia="en-GB"/>
              <w14:ligatures w14:val="standardContextual"/>
            </w:rPr>
          </w:pPr>
          <w:hyperlink w:history="1" w:anchor="_Toc228180533">
            <w:r w:rsidRPr="00725C58" w:rsidR="00C63177">
              <w:rPr>
                <w:rStyle w:val="Hyperlink"/>
                <w:i/>
                <w:iCs/>
                <w:noProof/>
              </w:rPr>
              <w:t>Uses and outcomes of reporting</w:t>
            </w:r>
            <w:r w:rsidRPr="00725C58" w:rsidR="00C63177">
              <w:rPr>
                <w:i/>
                <w:iCs/>
                <w:noProof/>
                <w:webHidden/>
              </w:rPr>
              <w:tab/>
            </w:r>
            <w:r w:rsidRPr="00725C58" w:rsidR="00C63177">
              <w:rPr>
                <w:i/>
                <w:iCs/>
                <w:noProof/>
                <w:webHidden/>
              </w:rPr>
              <w:fldChar w:fldCharType="begin"/>
            </w:r>
            <w:r w:rsidRPr="00725C58" w:rsidR="00C63177">
              <w:rPr>
                <w:i/>
                <w:iCs/>
                <w:noProof/>
                <w:webHidden/>
              </w:rPr>
              <w:instrText xml:space="preserve"> PAGEREF _Toc228180533 \h </w:instrText>
            </w:r>
            <w:r w:rsidRPr="00725C58" w:rsidR="00C63177">
              <w:rPr>
                <w:i/>
                <w:iCs/>
                <w:noProof/>
                <w:webHidden/>
              </w:rPr>
            </w:r>
            <w:r w:rsidRPr="00725C58" w:rsidR="00C63177">
              <w:rPr>
                <w:i/>
                <w:iCs/>
                <w:noProof/>
                <w:webHidden/>
              </w:rPr>
              <w:fldChar w:fldCharType="separate"/>
            </w:r>
            <w:r w:rsidR="00D93C36">
              <w:rPr>
                <w:i/>
                <w:iCs/>
                <w:noProof/>
                <w:webHidden/>
              </w:rPr>
              <w:t>66</w:t>
            </w:r>
            <w:r w:rsidRPr="00725C58" w:rsidR="00C63177">
              <w:rPr>
                <w:i/>
                <w:iCs/>
                <w:noProof/>
                <w:webHidden/>
              </w:rPr>
              <w:fldChar w:fldCharType="end"/>
            </w:r>
          </w:hyperlink>
        </w:p>
        <w:p w:rsidRPr="00725C58" w:rsidR="00C63177" w:rsidP="00725C58" w:rsidRDefault="007E11B8" w14:paraId="1DA7FE72" w14:textId="2149E943">
          <w:pPr>
            <w:pStyle w:val="TOC2"/>
            <w:tabs>
              <w:tab w:val="right" w:leader="dot" w:pos="9063"/>
            </w:tabs>
            <w:ind w:left="1440"/>
            <w:rPr>
              <w:rFonts w:asciiTheme="minorHAnsi" w:hAnsiTheme="minorHAnsi" w:eastAsiaTheme="minorEastAsia" w:cstheme="minorBidi"/>
              <w:i/>
              <w:iCs/>
              <w:noProof/>
              <w:kern w:val="2"/>
              <w:sz w:val="24"/>
              <w:szCs w:val="24"/>
              <w:lang w:eastAsia="en-GB"/>
              <w14:ligatures w14:val="standardContextual"/>
            </w:rPr>
          </w:pPr>
          <w:hyperlink w:history="1" w:anchor="_Toc228180534">
            <w:r w:rsidRPr="00725C58" w:rsidR="00C63177">
              <w:rPr>
                <w:rStyle w:val="Hyperlink"/>
                <w:i/>
                <w:iCs/>
                <w:noProof/>
              </w:rPr>
              <w:t>Protection and enforcement</w:t>
            </w:r>
            <w:r w:rsidRPr="00725C58" w:rsidR="00C63177">
              <w:rPr>
                <w:i/>
                <w:iCs/>
                <w:noProof/>
                <w:webHidden/>
              </w:rPr>
              <w:tab/>
            </w:r>
            <w:r w:rsidRPr="00725C58" w:rsidR="00C63177">
              <w:rPr>
                <w:i/>
                <w:iCs/>
                <w:noProof/>
                <w:webHidden/>
              </w:rPr>
              <w:fldChar w:fldCharType="begin"/>
            </w:r>
            <w:r w:rsidRPr="00725C58" w:rsidR="00C63177">
              <w:rPr>
                <w:i/>
                <w:iCs/>
                <w:noProof/>
                <w:webHidden/>
              </w:rPr>
              <w:instrText xml:space="preserve"> PAGEREF _Toc228180534 \h </w:instrText>
            </w:r>
            <w:r w:rsidRPr="00725C58" w:rsidR="00C63177">
              <w:rPr>
                <w:i/>
                <w:iCs/>
                <w:noProof/>
                <w:webHidden/>
              </w:rPr>
            </w:r>
            <w:r w:rsidRPr="00725C58" w:rsidR="00C63177">
              <w:rPr>
                <w:i/>
                <w:iCs/>
                <w:noProof/>
                <w:webHidden/>
              </w:rPr>
              <w:fldChar w:fldCharType="separate"/>
            </w:r>
            <w:r w:rsidR="00D93C36">
              <w:rPr>
                <w:i/>
                <w:iCs/>
                <w:noProof/>
                <w:webHidden/>
              </w:rPr>
              <w:t>69</w:t>
            </w:r>
            <w:r w:rsidRPr="00725C58" w:rsidR="00C63177">
              <w:rPr>
                <w:i/>
                <w:iCs/>
                <w:noProof/>
                <w:webHidden/>
              </w:rPr>
              <w:fldChar w:fldCharType="end"/>
            </w:r>
          </w:hyperlink>
        </w:p>
        <w:p w:rsidRPr="00725C58" w:rsidR="00C63177" w:rsidP="00725C58" w:rsidRDefault="007E11B8" w14:paraId="50D921EC" w14:textId="7FF75162">
          <w:pPr>
            <w:pStyle w:val="TOC2"/>
            <w:tabs>
              <w:tab w:val="right" w:leader="dot" w:pos="9063"/>
            </w:tabs>
            <w:ind w:left="1440"/>
            <w:rPr>
              <w:rFonts w:asciiTheme="minorHAnsi" w:hAnsiTheme="minorHAnsi" w:eastAsiaTheme="minorEastAsia" w:cstheme="minorBidi"/>
              <w:i/>
              <w:iCs/>
              <w:noProof/>
              <w:kern w:val="2"/>
              <w:sz w:val="24"/>
              <w:szCs w:val="24"/>
              <w:lang w:eastAsia="en-GB"/>
              <w14:ligatures w14:val="standardContextual"/>
            </w:rPr>
          </w:pPr>
          <w:hyperlink w:history="1" w:anchor="_Toc228180535">
            <w:r w:rsidRPr="00725C58" w:rsidR="00C63177">
              <w:rPr>
                <w:rStyle w:val="Hyperlink"/>
                <w:i/>
                <w:iCs/>
                <w:noProof/>
              </w:rPr>
              <w:t>Cross-border cooperation</w:t>
            </w:r>
            <w:r w:rsidRPr="00725C58" w:rsidR="00C63177">
              <w:rPr>
                <w:i/>
                <w:iCs/>
                <w:noProof/>
                <w:webHidden/>
              </w:rPr>
              <w:tab/>
            </w:r>
            <w:r w:rsidRPr="00725C58" w:rsidR="00C63177">
              <w:rPr>
                <w:i/>
                <w:iCs/>
                <w:noProof/>
                <w:webHidden/>
              </w:rPr>
              <w:fldChar w:fldCharType="begin"/>
            </w:r>
            <w:r w:rsidRPr="00725C58" w:rsidR="00C63177">
              <w:rPr>
                <w:i/>
                <w:iCs/>
                <w:noProof/>
                <w:webHidden/>
              </w:rPr>
              <w:instrText xml:space="preserve"> PAGEREF _Toc228180535 \h </w:instrText>
            </w:r>
            <w:r w:rsidRPr="00725C58" w:rsidR="00C63177">
              <w:rPr>
                <w:i/>
                <w:iCs/>
                <w:noProof/>
                <w:webHidden/>
              </w:rPr>
            </w:r>
            <w:r w:rsidRPr="00725C58" w:rsidR="00C63177">
              <w:rPr>
                <w:i/>
                <w:iCs/>
                <w:noProof/>
                <w:webHidden/>
              </w:rPr>
              <w:fldChar w:fldCharType="separate"/>
            </w:r>
            <w:r w:rsidR="00D93C36">
              <w:rPr>
                <w:i/>
                <w:iCs/>
                <w:noProof/>
                <w:webHidden/>
              </w:rPr>
              <w:t>74</w:t>
            </w:r>
            <w:r w:rsidRPr="00725C58" w:rsidR="00C63177">
              <w:rPr>
                <w:i/>
                <w:iCs/>
                <w:noProof/>
                <w:webHidden/>
              </w:rPr>
              <w:fldChar w:fldCharType="end"/>
            </w:r>
          </w:hyperlink>
        </w:p>
        <w:p w:rsidR="00C63177" w:rsidP="008F6FA7" w:rsidRDefault="007E11B8" w14:paraId="34F731A7" w14:textId="19220526">
          <w:pPr>
            <w:pStyle w:val="TOC1"/>
            <w:rPr>
              <w:rFonts w:asciiTheme="minorHAnsi" w:hAnsiTheme="minorHAnsi" w:eastAsiaTheme="minorEastAsia" w:cstheme="minorBidi"/>
              <w:kern w:val="2"/>
              <w:sz w:val="24"/>
              <w:szCs w:val="24"/>
              <w:lang w:eastAsia="en-GB"/>
              <w14:ligatures w14:val="standardContextual"/>
            </w:rPr>
          </w:pPr>
          <w:hyperlink w:history="1" w:anchor="_Toc228180536">
            <w:r w:rsidRPr="003D6C6E" w:rsidR="00C63177">
              <w:rPr>
                <w:rStyle w:val="Hyperlink"/>
              </w:rPr>
              <w:t>4. Primary data: Relevance</w:t>
            </w:r>
            <w:r w:rsidR="00C63177">
              <w:rPr>
                <w:webHidden/>
              </w:rPr>
              <w:tab/>
            </w:r>
            <w:r w:rsidR="00C63177">
              <w:rPr>
                <w:webHidden/>
              </w:rPr>
              <w:fldChar w:fldCharType="begin"/>
            </w:r>
            <w:r w:rsidR="00C63177">
              <w:rPr>
                <w:webHidden/>
              </w:rPr>
              <w:instrText xml:space="preserve"> PAGEREF _Toc228180536 \h </w:instrText>
            </w:r>
            <w:r w:rsidR="00C63177">
              <w:rPr>
                <w:webHidden/>
              </w:rPr>
            </w:r>
            <w:r w:rsidR="00C63177">
              <w:rPr>
                <w:webHidden/>
              </w:rPr>
              <w:fldChar w:fldCharType="separate"/>
            </w:r>
            <w:r w:rsidR="00D93C36">
              <w:rPr>
                <w:webHidden/>
              </w:rPr>
              <w:t>76</w:t>
            </w:r>
            <w:r w:rsidR="00C63177">
              <w:rPr>
                <w:webHidden/>
              </w:rPr>
              <w:fldChar w:fldCharType="end"/>
            </w:r>
          </w:hyperlink>
        </w:p>
        <w:p w:rsidR="00C63177" w:rsidRDefault="007E11B8" w14:paraId="0A38A21F" w14:textId="0F468CAB">
          <w:pPr>
            <w:pStyle w:val="TOC2"/>
            <w:tabs>
              <w:tab w:val="left" w:pos="960"/>
              <w:tab w:val="right" w:leader="dot" w:pos="9063"/>
            </w:tabs>
            <w:rPr>
              <w:rFonts w:asciiTheme="minorHAnsi" w:hAnsiTheme="minorHAnsi" w:eastAsiaTheme="minorEastAsia" w:cstheme="minorBidi"/>
              <w:noProof/>
              <w:kern w:val="2"/>
              <w:sz w:val="24"/>
              <w:szCs w:val="24"/>
              <w:lang w:eastAsia="en-GB"/>
              <w14:ligatures w14:val="standardContextual"/>
            </w:rPr>
          </w:pPr>
          <w:hyperlink w:history="1" w:anchor="_Toc228180537">
            <w:r w:rsidRPr="003D6C6E" w:rsidR="00C63177">
              <w:rPr>
                <w:rStyle w:val="Hyperlink"/>
                <w:noProof/>
              </w:rPr>
              <w:t>4.1</w:t>
            </w:r>
            <w:r w:rsidR="00C63177">
              <w:rPr>
                <w:rFonts w:asciiTheme="minorHAnsi" w:hAnsiTheme="minorHAnsi" w:eastAsiaTheme="minorEastAsia" w:cstheme="minorBidi"/>
                <w:noProof/>
                <w:kern w:val="2"/>
                <w:sz w:val="24"/>
                <w:szCs w:val="24"/>
                <w:lang w:eastAsia="en-GB"/>
                <w14:ligatures w14:val="standardContextual"/>
              </w:rPr>
              <w:tab/>
            </w:r>
            <w:r w:rsidRPr="003D6C6E" w:rsidR="00C63177">
              <w:rPr>
                <w:rStyle w:val="Hyperlink"/>
                <w:noProof/>
              </w:rPr>
              <w:t>Information gathered in stakeholder meetings and written contributions</w:t>
            </w:r>
            <w:r w:rsidR="00C63177">
              <w:rPr>
                <w:noProof/>
                <w:webHidden/>
              </w:rPr>
              <w:tab/>
            </w:r>
            <w:r w:rsidR="00C63177">
              <w:rPr>
                <w:noProof/>
                <w:webHidden/>
              </w:rPr>
              <w:fldChar w:fldCharType="begin"/>
            </w:r>
            <w:r w:rsidR="00C63177">
              <w:rPr>
                <w:noProof/>
                <w:webHidden/>
              </w:rPr>
              <w:instrText xml:space="preserve"> PAGEREF _Toc228180537 \h </w:instrText>
            </w:r>
            <w:r w:rsidR="00C63177">
              <w:rPr>
                <w:noProof/>
                <w:webHidden/>
              </w:rPr>
            </w:r>
            <w:r w:rsidR="00C63177">
              <w:rPr>
                <w:noProof/>
                <w:webHidden/>
              </w:rPr>
              <w:fldChar w:fldCharType="separate"/>
            </w:r>
            <w:r w:rsidR="00D93C36">
              <w:rPr>
                <w:noProof/>
                <w:webHidden/>
              </w:rPr>
              <w:t>76</w:t>
            </w:r>
            <w:r w:rsidR="00C63177">
              <w:rPr>
                <w:noProof/>
                <w:webHidden/>
              </w:rPr>
              <w:fldChar w:fldCharType="end"/>
            </w:r>
          </w:hyperlink>
        </w:p>
        <w:p w:rsidRPr="00725C58" w:rsidR="00C63177" w:rsidP="00725C58" w:rsidRDefault="007E11B8" w14:paraId="39B0398F" w14:textId="577AFA8C">
          <w:pPr>
            <w:pStyle w:val="TOC2"/>
            <w:tabs>
              <w:tab w:val="right" w:leader="dot" w:pos="9063"/>
            </w:tabs>
            <w:ind w:left="1440"/>
            <w:rPr>
              <w:rFonts w:asciiTheme="minorHAnsi" w:hAnsiTheme="minorHAnsi" w:eastAsiaTheme="minorEastAsia" w:cstheme="minorBidi"/>
              <w:i/>
              <w:iCs/>
              <w:noProof/>
              <w:kern w:val="2"/>
              <w:sz w:val="24"/>
              <w:szCs w:val="24"/>
              <w:lang w:eastAsia="en-GB"/>
              <w14:ligatures w14:val="standardContextual"/>
            </w:rPr>
          </w:pPr>
          <w:hyperlink w:history="1" w:anchor="_Toc228180538">
            <w:r w:rsidRPr="00725C58" w:rsidR="00C63177">
              <w:rPr>
                <w:rStyle w:val="Hyperlink"/>
                <w:i/>
                <w:iCs/>
                <w:noProof/>
              </w:rPr>
              <w:t>Adequacy of the Material Scope</w:t>
            </w:r>
            <w:r w:rsidRPr="00725C58" w:rsidR="00C63177">
              <w:rPr>
                <w:i/>
                <w:iCs/>
                <w:noProof/>
                <w:webHidden/>
              </w:rPr>
              <w:tab/>
            </w:r>
            <w:r w:rsidRPr="00725C58" w:rsidR="00C63177">
              <w:rPr>
                <w:i/>
                <w:iCs/>
                <w:noProof/>
                <w:webHidden/>
              </w:rPr>
              <w:fldChar w:fldCharType="begin"/>
            </w:r>
            <w:r w:rsidRPr="00725C58" w:rsidR="00C63177">
              <w:rPr>
                <w:i/>
                <w:iCs/>
                <w:noProof/>
                <w:webHidden/>
              </w:rPr>
              <w:instrText xml:space="preserve"> PAGEREF _Toc228180538 \h </w:instrText>
            </w:r>
            <w:r w:rsidRPr="00725C58" w:rsidR="00C63177">
              <w:rPr>
                <w:i/>
                <w:iCs/>
                <w:noProof/>
                <w:webHidden/>
              </w:rPr>
            </w:r>
            <w:r w:rsidRPr="00725C58" w:rsidR="00C63177">
              <w:rPr>
                <w:i/>
                <w:iCs/>
                <w:noProof/>
                <w:webHidden/>
              </w:rPr>
              <w:fldChar w:fldCharType="separate"/>
            </w:r>
            <w:r w:rsidR="00D93C36">
              <w:rPr>
                <w:i/>
                <w:iCs/>
                <w:noProof/>
                <w:webHidden/>
              </w:rPr>
              <w:t>76</w:t>
            </w:r>
            <w:r w:rsidRPr="00725C58" w:rsidR="00C63177">
              <w:rPr>
                <w:i/>
                <w:iCs/>
                <w:noProof/>
                <w:webHidden/>
              </w:rPr>
              <w:fldChar w:fldCharType="end"/>
            </w:r>
          </w:hyperlink>
        </w:p>
        <w:p w:rsidRPr="00725C58" w:rsidR="00C63177" w:rsidP="00725C58" w:rsidRDefault="007E11B8" w14:paraId="389CE290" w14:textId="3D3DBE80">
          <w:pPr>
            <w:pStyle w:val="TOC2"/>
            <w:tabs>
              <w:tab w:val="right" w:leader="dot" w:pos="9063"/>
            </w:tabs>
            <w:ind w:left="1440"/>
            <w:rPr>
              <w:rFonts w:asciiTheme="minorHAnsi" w:hAnsiTheme="minorHAnsi" w:eastAsiaTheme="minorEastAsia" w:cstheme="minorBidi"/>
              <w:i/>
              <w:iCs/>
              <w:noProof/>
              <w:kern w:val="2"/>
              <w:sz w:val="24"/>
              <w:szCs w:val="24"/>
              <w:lang w:eastAsia="en-GB"/>
              <w14:ligatures w14:val="standardContextual"/>
            </w:rPr>
          </w:pPr>
          <w:hyperlink w:history="1" w:anchor="_Toc228180539">
            <w:r w:rsidRPr="00725C58" w:rsidR="00C63177">
              <w:rPr>
                <w:rStyle w:val="Hyperlink"/>
                <w:i/>
                <w:iCs/>
                <w:noProof/>
              </w:rPr>
              <w:t>Potential Extension to Social and Workplace Issues</w:t>
            </w:r>
            <w:r w:rsidRPr="00725C58" w:rsidR="00C63177">
              <w:rPr>
                <w:i/>
                <w:iCs/>
                <w:noProof/>
                <w:webHidden/>
              </w:rPr>
              <w:tab/>
            </w:r>
            <w:r w:rsidRPr="00725C58" w:rsidR="00C63177">
              <w:rPr>
                <w:i/>
                <w:iCs/>
                <w:noProof/>
                <w:webHidden/>
              </w:rPr>
              <w:fldChar w:fldCharType="begin"/>
            </w:r>
            <w:r w:rsidRPr="00725C58" w:rsidR="00C63177">
              <w:rPr>
                <w:i/>
                <w:iCs/>
                <w:noProof/>
                <w:webHidden/>
              </w:rPr>
              <w:instrText xml:space="preserve"> PAGEREF _Toc228180539 \h </w:instrText>
            </w:r>
            <w:r w:rsidRPr="00725C58" w:rsidR="00C63177">
              <w:rPr>
                <w:i/>
                <w:iCs/>
                <w:noProof/>
                <w:webHidden/>
              </w:rPr>
            </w:r>
            <w:r w:rsidRPr="00725C58" w:rsidR="00C63177">
              <w:rPr>
                <w:i/>
                <w:iCs/>
                <w:noProof/>
                <w:webHidden/>
              </w:rPr>
              <w:fldChar w:fldCharType="separate"/>
            </w:r>
            <w:r w:rsidR="00D93C36">
              <w:rPr>
                <w:i/>
                <w:iCs/>
                <w:noProof/>
                <w:webHidden/>
              </w:rPr>
              <w:t>80</w:t>
            </w:r>
            <w:r w:rsidRPr="00725C58" w:rsidR="00C63177">
              <w:rPr>
                <w:i/>
                <w:iCs/>
                <w:noProof/>
                <w:webHidden/>
              </w:rPr>
              <w:fldChar w:fldCharType="end"/>
            </w:r>
          </w:hyperlink>
        </w:p>
        <w:p w:rsidRPr="00725C58" w:rsidR="00C63177" w:rsidP="00725C58" w:rsidRDefault="007E11B8" w14:paraId="75AC9051" w14:textId="40DF5120">
          <w:pPr>
            <w:pStyle w:val="TOC2"/>
            <w:tabs>
              <w:tab w:val="right" w:leader="dot" w:pos="9063"/>
            </w:tabs>
            <w:ind w:left="1440"/>
            <w:rPr>
              <w:rFonts w:asciiTheme="minorHAnsi" w:hAnsiTheme="minorHAnsi" w:eastAsiaTheme="minorEastAsia" w:cstheme="minorBidi"/>
              <w:i/>
              <w:iCs/>
              <w:noProof/>
              <w:kern w:val="2"/>
              <w:sz w:val="24"/>
              <w:szCs w:val="24"/>
              <w:lang w:eastAsia="en-GB"/>
              <w14:ligatures w14:val="standardContextual"/>
            </w:rPr>
          </w:pPr>
          <w:hyperlink w:history="1" w:anchor="_Toc228180540">
            <w:r w:rsidRPr="00725C58" w:rsidR="00C63177">
              <w:rPr>
                <w:rStyle w:val="Hyperlink"/>
                <w:i/>
                <w:iCs/>
                <w:noProof/>
              </w:rPr>
              <w:t>National Gaps and Inconsistencies</w:t>
            </w:r>
            <w:r w:rsidRPr="00725C58" w:rsidR="00C63177">
              <w:rPr>
                <w:i/>
                <w:iCs/>
                <w:noProof/>
                <w:webHidden/>
              </w:rPr>
              <w:tab/>
            </w:r>
            <w:r w:rsidRPr="00725C58" w:rsidR="00C63177">
              <w:rPr>
                <w:i/>
                <w:iCs/>
                <w:noProof/>
                <w:webHidden/>
              </w:rPr>
              <w:fldChar w:fldCharType="begin"/>
            </w:r>
            <w:r w:rsidRPr="00725C58" w:rsidR="00C63177">
              <w:rPr>
                <w:i/>
                <w:iCs/>
                <w:noProof/>
                <w:webHidden/>
              </w:rPr>
              <w:instrText xml:space="preserve"> PAGEREF _Toc228180540 \h </w:instrText>
            </w:r>
            <w:r w:rsidRPr="00725C58" w:rsidR="00C63177">
              <w:rPr>
                <w:i/>
                <w:iCs/>
                <w:noProof/>
                <w:webHidden/>
              </w:rPr>
            </w:r>
            <w:r w:rsidRPr="00725C58" w:rsidR="00C63177">
              <w:rPr>
                <w:i/>
                <w:iCs/>
                <w:noProof/>
                <w:webHidden/>
              </w:rPr>
              <w:fldChar w:fldCharType="separate"/>
            </w:r>
            <w:r w:rsidR="00D93C36">
              <w:rPr>
                <w:i/>
                <w:iCs/>
                <w:noProof/>
                <w:webHidden/>
              </w:rPr>
              <w:t>84</w:t>
            </w:r>
            <w:r w:rsidRPr="00725C58" w:rsidR="00C63177">
              <w:rPr>
                <w:i/>
                <w:iCs/>
                <w:noProof/>
                <w:webHidden/>
              </w:rPr>
              <w:fldChar w:fldCharType="end"/>
            </w:r>
          </w:hyperlink>
        </w:p>
        <w:p w:rsidRPr="00725C58" w:rsidR="00C63177" w:rsidP="00725C58" w:rsidRDefault="007E11B8" w14:paraId="782963BD" w14:textId="3E0BB38A">
          <w:pPr>
            <w:pStyle w:val="TOC2"/>
            <w:tabs>
              <w:tab w:val="right" w:leader="dot" w:pos="9063"/>
            </w:tabs>
            <w:ind w:left="1440"/>
            <w:rPr>
              <w:rFonts w:asciiTheme="minorHAnsi" w:hAnsiTheme="minorHAnsi" w:eastAsiaTheme="minorEastAsia" w:cstheme="minorBidi"/>
              <w:i/>
              <w:iCs/>
              <w:noProof/>
              <w:kern w:val="2"/>
              <w:sz w:val="24"/>
              <w:szCs w:val="24"/>
              <w:lang w:eastAsia="en-GB"/>
              <w14:ligatures w14:val="standardContextual"/>
            </w:rPr>
          </w:pPr>
          <w:hyperlink w:history="1" w:anchor="_Toc228180541">
            <w:r w:rsidRPr="00725C58" w:rsidR="00C63177">
              <w:rPr>
                <w:rStyle w:val="Hyperlink"/>
                <w:i/>
                <w:iCs/>
                <w:noProof/>
              </w:rPr>
              <w:t>Legal Overlap and System Integration</w:t>
            </w:r>
            <w:r w:rsidRPr="00725C58" w:rsidR="00C63177">
              <w:rPr>
                <w:i/>
                <w:iCs/>
                <w:noProof/>
                <w:webHidden/>
              </w:rPr>
              <w:tab/>
            </w:r>
            <w:r w:rsidRPr="00725C58" w:rsidR="00C63177">
              <w:rPr>
                <w:i/>
                <w:iCs/>
                <w:noProof/>
                <w:webHidden/>
              </w:rPr>
              <w:fldChar w:fldCharType="begin"/>
            </w:r>
            <w:r w:rsidRPr="00725C58" w:rsidR="00C63177">
              <w:rPr>
                <w:i/>
                <w:iCs/>
                <w:noProof/>
                <w:webHidden/>
              </w:rPr>
              <w:instrText xml:space="preserve"> PAGEREF _Toc228180541 \h </w:instrText>
            </w:r>
            <w:r w:rsidRPr="00725C58" w:rsidR="00C63177">
              <w:rPr>
                <w:i/>
                <w:iCs/>
                <w:noProof/>
                <w:webHidden/>
              </w:rPr>
            </w:r>
            <w:r w:rsidRPr="00725C58" w:rsidR="00C63177">
              <w:rPr>
                <w:i/>
                <w:iCs/>
                <w:noProof/>
                <w:webHidden/>
              </w:rPr>
              <w:fldChar w:fldCharType="separate"/>
            </w:r>
            <w:r w:rsidR="00D93C36">
              <w:rPr>
                <w:i/>
                <w:iCs/>
                <w:noProof/>
                <w:webHidden/>
              </w:rPr>
              <w:t>89</w:t>
            </w:r>
            <w:r w:rsidRPr="00725C58" w:rsidR="00C63177">
              <w:rPr>
                <w:i/>
                <w:iCs/>
                <w:noProof/>
                <w:webHidden/>
              </w:rPr>
              <w:fldChar w:fldCharType="end"/>
            </w:r>
          </w:hyperlink>
        </w:p>
        <w:p w:rsidR="00C63177" w:rsidRDefault="007E11B8" w14:paraId="66E454A6" w14:textId="2429D8EF">
          <w:pPr>
            <w:pStyle w:val="TOC2"/>
            <w:tabs>
              <w:tab w:val="left" w:pos="960"/>
              <w:tab w:val="right" w:leader="dot" w:pos="9063"/>
            </w:tabs>
            <w:rPr>
              <w:rFonts w:asciiTheme="minorHAnsi" w:hAnsiTheme="minorHAnsi" w:eastAsiaTheme="minorEastAsia" w:cstheme="minorBidi"/>
              <w:noProof/>
              <w:kern w:val="2"/>
              <w:sz w:val="24"/>
              <w:szCs w:val="24"/>
              <w:lang w:eastAsia="en-GB"/>
              <w14:ligatures w14:val="standardContextual"/>
            </w:rPr>
          </w:pPr>
          <w:hyperlink w:history="1" w:anchor="_Toc228180542">
            <w:r w:rsidRPr="003D6C6E" w:rsidR="00C63177">
              <w:rPr>
                <w:rStyle w:val="Hyperlink"/>
                <w:noProof/>
              </w:rPr>
              <w:t>4.2</w:t>
            </w:r>
            <w:r w:rsidR="00C63177">
              <w:rPr>
                <w:rFonts w:asciiTheme="minorHAnsi" w:hAnsiTheme="minorHAnsi" w:eastAsiaTheme="minorEastAsia" w:cstheme="minorBidi"/>
                <w:noProof/>
                <w:kern w:val="2"/>
                <w:sz w:val="24"/>
                <w:szCs w:val="24"/>
                <w:lang w:eastAsia="en-GB"/>
                <w14:ligatures w14:val="standardContextual"/>
              </w:rPr>
              <w:tab/>
            </w:r>
            <w:r w:rsidRPr="003D6C6E" w:rsidR="00C63177">
              <w:rPr>
                <w:rStyle w:val="Hyperlink"/>
                <w:noProof/>
              </w:rPr>
              <w:t>Information from the questionnaire</w:t>
            </w:r>
            <w:r w:rsidR="00C63177">
              <w:rPr>
                <w:noProof/>
                <w:webHidden/>
              </w:rPr>
              <w:tab/>
            </w:r>
            <w:r w:rsidR="00C63177">
              <w:rPr>
                <w:noProof/>
                <w:webHidden/>
              </w:rPr>
              <w:fldChar w:fldCharType="begin"/>
            </w:r>
            <w:r w:rsidR="00C63177">
              <w:rPr>
                <w:noProof/>
                <w:webHidden/>
              </w:rPr>
              <w:instrText xml:space="preserve"> PAGEREF _Toc228180542 \h </w:instrText>
            </w:r>
            <w:r w:rsidR="00C63177">
              <w:rPr>
                <w:noProof/>
                <w:webHidden/>
              </w:rPr>
            </w:r>
            <w:r w:rsidR="00C63177">
              <w:rPr>
                <w:noProof/>
                <w:webHidden/>
              </w:rPr>
              <w:fldChar w:fldCharType="separate"/>
            </w:r>
            <w:r w:rsidR="00D93C36">
              <w:rPr>
                <w:noProof/>
                <w:webHidden/>
              </w:rPr>
              <w:t>93</w:t>
            </w:r>
            <w:r w:rsidR="00C63177">
              <w:rPr>
                <w:noProof/>
                <w:webHidden/>
              </w:rPr>
              <w:fldChar w:fldCharType="end"/>
            </w:r>
          </w:hyperlink>
        </w:p>
        <w:p w:rsidRPr="00725C58" w:rsidR="00C63177" w:rsidP="00725C58" w:rsidRDefault="007E11B8" w14:paraId="60906268" w14:textId="01652AE1">
          <w:pPr>
            <w:pStyle w:val="TOC2"/>
            <w:tabs>
              <w:tab w:val="right" w:leader="dot" w:pos="9063"/>
            </w:tabs>
            <w:ind w:left="1440"/>
            <w:rPr>
              <w:rFonts w:asciiTheme="minorHAnsi" w:hAnsiTheme="minorHAnsi" w:eastAsiaTheme="minorEastAsia" w:cstheme="minorBidi"/>
              <w:i/>
              <w:iCs/>
              <w:noProof/>
              <w:kern w:val="2"/>
              <w:sz w:val="24"/>
              <w:szCs w:val="24"/>
              <w:lang w:eastAsia="en-GB"/>
              <w14:ligatures w14:val="standardContextual"/>
            </w:rPr>
          </w:pPr>
          <w:hyperlink w:history="1" w:anchor="_Toc228180543">
            <w:r w:rsidRPr="00725C58" w:rsidR="00C63177">
              <w:rPr>
                <w:rStyle w:val="Hyperlink"/>
                <w:i/>
                <w:iCs/>
                <w:noProof/>
              </w:rPr>
              <w:t>Material scope</w:t>
            </w:r>
            <w:r w:rsidRPr="00725C58" w:rsidR="00C63177">
              <w:rPr>
                <w:i/>
                <w:iCs/>
                <w:noProof/>
                <w:webHidden/>
              </w:rPr>
              <w:tab/>
            </w:r>
            <w:r w:rsidRPr="00725C58" w:rsidR="00C63177">
              <w:rPr>
                <w:i/>
                <w:iCs/>
                <w:noProof/>
                <w:webHidden/>
              </w:rPr>
              <w:fldChar w:fldCharType="begin"/>
            </w:r>
            <w:r w:rsidRPr="00725C58" w:rsidR="00C63177">
              <w:rPr>
                <w:i/>
                <w:iCs/>
                <w:noProof/>
                <w:webHidden/>
              </w:rPr>
              <w:instrText xml:space="preserve"> PAGEREF _Toc228180543 \h </w:instrText>
            </w:r>
            <w:r w:rsidRPr="00725C58" w:rsidR="00C63177">
              <w:rPr>
                <w:i/>
                <w:iCs/>
                <w:noProof/>
                <w:webHidden/>
              </w:rPr>
            </w:r>
            <w:r w:rsidRPr="00725C58" w:rsidR="00C63177">
              <w:rPr>
                <w:i/>
                <w:iCs/>
                <w:noProof/>
                <w:webHidden/>
              </w:rPr>
              <w:fldChar w:fldCharType="separate"/>
            </w:r>
            <w:r w:rsidR="00D93C36">
              <w:rPr>
                <w:i/>
                <w:iCs/>
                <w:noProof/>
                <w:webHidden/>
              </w:rPr>
              <w:t>93</w:t>
            </w:r>
            <w:r w:rsidRPr="00725C58" w:rsidR="00C63177">
              <w:rPr>
                <w:i/>
                <w:iCs/>
                <w:noProof/>
                <w:webHidden/>
              </w:rPr>
              <w:fldChar w:fldCharType="end"/>
            </w:r>
          </w:hyperlink>
        </w:p>
        <w:p w:rsidRPr="00725C58" w:rsidR="00C63177" w:rsidP="00725C58" w:rsidRDefault="007E11B8" w14:paraId="1E1C2486" w14:textId="6F854EA7">
          <w:pPr>
            <w:pStyle w:val="TOC2"/>
            <w:tabs>
              <w:tab w:val="right" w:leader="dot" w:pos="9063"/>
            </w:tabs>
            <w:ind w:left="1440"/>
            <w:rPr>
              <w:rFonts w:asciiTheme="minorHAnsi" w:hAnsiTheme="minorHAnsi" w:eastAsiaTheme="minorEastAsia" w:cstheme="minorBidi"/>
              <w:i/>
              <w:iCs/>
              <w:noProof/>
              <w:kern w:val="2"/>
              <w:sz w:val="24"/>
              <w:szCs w:val="24"/>
              <w:lang w:eastAsia="en-GB"/>
              <w14:ligatures w14:val="standardContextual"/>
            </w:rPr>
          </w:pPr>
          <w:hyperlink w:history="1" w:anchor="_Toc228180544">
            <w:r w:rsidRPr="00725C58" w:rsidR="00C63177">
              <w:rPr>
                <w:rStyle w:val="Hyperlink"/>
                <w:i/>
                <w:iCs/>
                <w:noProof/>
              </w:rPr>
              <w:t>Coverage of social and labour issues</w:t>
            </w:r>
            <w:r w:rsidRPr="00725C58" w:rsidR="00C63177">
              <w:rPr>
                <w:i/>
                <w:iCs/>
                <w:noProof/>
                <w:webHidden/>
              </w:rPr>
              <w:tab/>
            </w:r>
            <w:r w:rsidRPr="00725C58" w:rsidR="00C63177">
              <w:rPr>
                <w:i/>
                <w:iCs/>
                <w:noProof/>
                <w:webHidden/>
              </w:rPr>
              <w:fldChar w:fldCharType="begin"/>
            </w:r>
            <w:r w:rsidRPr="00725C58" w:rsidR="00C63177">
              <w:rPr>
                <w:i/>
                <w:iCs/>
                <w:noProof/>
                <w:webHidden/>
              </w:rPr>
              <w:instrText xml:space="preserve"> PAGEREF _Toc228180544 \h </w:instrText>
            </w:r>
            <w:r w:rsidRPr="00725C58" w:rsidR="00C63177">
              <w:rPr>
                <w:i/>
                <w:iCs/>
                <w:noProof/>
                <w:webHidden/>
              </w:rPr>
            </w:r>
            <w:r w:rsidRPr="00725C58" w:rsidR="00C63177">
              <w:rPr>
                <w:i/>
                <w:iCs/>
                <w:noProof/>
                <w:webHidden/>
              </w:rPr>
              <w:fldChar w:fldCharType="separate"/>
            </w:r>
            <w:r w:rsidR="00D93C36">
              <w:rPr>
                <w:i/>
                <w:iCs/>
                <w:noProof/>
                <w:webHidden/>
              </w:rPr>
              <w:t>94</w:t>
            </w:r>
            <w:r w:rsidRPr="00725C58" w:rsidR="00C63177">
              <w:rPr>
                <w:i/>
                <w:iCs/>
                <w:noProof/>
                <w:webHidden/>
              </w:rPr>
              <w:fldChar w:fldCharType="end"/>
            </w:r>
          </w:hyperlink>
        </w:p>
        <w:p w:rsidR="00C63177" w:rsidP="00725C58" w:rsidRDefault="007E11B8" w14:paraId="38B1DC02" w14:textId="738C0845">
          <w:pPr>
            <w:pStyle w:val="TOC2"/>
            <w:tabs>
              <w:tab w:val="right" w:leader="dot" w:pos="9063"/>
            </w:tabs>
            <w:ind w:left="1440"/>
            <w:rPr>
              <w:rFonts w:asciiTheme="minorHAnsi" w:hAnsiTheme="minorHAnsi" w:eastAsiaTheme="minorEastAsia" w:cstheme="minorBidi"/>
              <w:noProof/>
              <w:kern w:val="2"/>
              <w:sz w:val="24"/>
              <w:szCs w:val="24"/>
              <w:lang w:eastAsia="en-GB"/>
              <w14:ligatures w14:val="standardContextual"/>
            </w:rPr>
          </w:pPr>
          <w:hyperlink w:history="1" w:anchor="_Toc228180545">
            <w:r w:rsidRPr="00725C58" w:rsidR="00C63177">
              <w:rPr>
                <w:rStyle w:val="Hyperlink"/>
                <w:i/>
                <w:iCs/>
                <w:noProof/>
              </w:rPr>
              <w:t>Overlap with national frameworks</w:t>
            </w:r>
            <w:r w:rsidRPr="00725C58" w:rsidR="00C63177">
              <w:rPr>
                <w:i/>
                <w:iCs/>
                <w:noProof/>
                <w:webHidden/>
              </w:rPr>
              <w:tab/>
            </w:r>
            <w:r w:rsidRPr="00725C58" w:rsidR="00C63177">
              <w:rPr>
                <w:i/>
                <w:iCs/>
                <w:noProof/>
                <w:webHidden/>
              </w:rPr>
              <w:fldChar w:fldCharType="begin"/>
            </w:r>
            <w:r w:rsidRPr="00725C58" w:rsidR="00C63177">
              <w:rPr>
                <w:i/>
                <w:iCs/>
                <w:noProof/>
                <w:webHidden/>
              </w:rPr>
              <w:instrText xml:space="preserve"> PAGEREF _Toc228180545 \h </w:instrText>
            </w:r>
            <w:r w:rsidRPr="00725C58" w:rsidR="00C63177">
              <w:rPr>
                <w:i/>
                <w:iCs/>
                <w:noProof/>
                <w:webHidden/>
              </w:rPr>
            </w:r>
            <w:r w:rsidRPr="00725C58" w:rsidR="00C63177">
              <w:rPr>
                <w:i/>
                <w:iCs/>
                <w:noProof/>
                <w:webHidden/>
              </w:rPr>
              <w:fldChar w:fldCharType="separate"/>
            </w:r>
            <w:r w:rsidR="00D93C36">
              <w:rPr>
                <w:i/>
                <w:iCs/>
                <w:noProof/>
                <w:webHidden/>
              </w:rPr>
              <w:t>96</w:t>
            </w:r>
            <w:r w:rsidRPr="00725C58" w:rsidR="00C63177">
              <w:rPr>
                <w:i/>
                <w:iCs/>
                <w:noProof/>
                <w:webHidden/>
              </w:rPr>
              <w:fldChar w:fldCharType="end"/>
            </w:r>
          </w:hyperlink>
        </w:p>
        <w:p w:rsidR="00C63177" w:rsidP="008F6FA7" w:rsidRDefault="007E11B8" w14:paraId="1A51FC77" w14:textId="52E56A2B">
          <w:pPr>
            <w:pStyle w:val="TOC1"/>
            <w:rPr>
              <w:rFonts w:asciiTheme="minorHAnsi" w:hAnsiTheme="minorHAnsi" w:eastAsiaTheme="minorEastAsia" w:cstheme="minorBidi"/>
              <w:kern w:val="2"/>
              <w:sz w:val="24"/>
              <w:szCs w:val="24"/>
              <w:lang w:eastAsia="en-GB"/>
              <w14:ligatures w14:val="standardContextual"/>
            </w:rPr>
          </w:pPr>
          <w:hyperlink w:history="1" w:anchor="_Toc228180546">
            <w:r w:rsidRPr="003D6C6E" w:rsidR="00C63177">
              <w:rPr>
                <w:rStyle w:val="Hyperlink"/>
              </w:rPr>
              <w:t>5. Primary data: Inclusion of civil society</w:t>
            </w:r>
            <w:r w:rsidR="00C63177">
              <w:rPr>
                <w:webHidden/>
              </w:rPr>
              <w:tab/>
            </w:r>
            <w:r w:rsidR="00C63177">
              <w:rPr>
                <w:webHidden/>
              </w:rPr>
              <w:fldChar w:fldCharType="begin"/>
            </w:r>
            <w:r w:rsidR="00C63177">
              <w:rPr>
                <w:webHidden/>
              </w:rPr>
              <w:instrText xml:space="preserve"> PAGEREF _Toc228180546 \h </w:instrText>
            </w:r>
            <w:r w:rsidR="00C63177">
              <w:rPr>
                <w:webHidden/>
              </w:rPr>
            </w:r>
            <w:r w:rsidR="00C63177">
              <w:rPr>
                <w:webHidden/>
              </w:rPr>
              <w:fldChar w:fldCharType="separate"/>
            </w:r>
            <w:r w:rsidR="00D93C36">
              <w:rPr>
                <w:webHidden/>
              </w:rPr>
              <w:t>98</w:t>
            </w:r>
            <w:r w:rsidR="00C63177">
              <w:rPr>
                <w:webHidden/>
              </w:rPr>
              <w:fldChar w:fldCharType="end"/>
            </w:r>
          </w:hyperlink>
        </w:p>
        <w:p w:rsidR="00C63177" w:rsidRDefault="007E11B8" w14:paraId="564F1C7F" w14:textId="79F44F5D">
          <w:pPr>
            <w:pStyle w:val="TOC2"/>
            <w:tabs>
              <w:tab w:val="left" w:pos="960"/>
              <w:tab w:val="right" w:leader="dot" w:pos="9063"/>
            </w:tabs>
            <w:rPr>
              <w:rFonts w:asciiTheme="minorHAnsi" w:hAnsiTheme="minorHAnsi" w:eastAsiaTheme="minorEastAsia" w:cstheme="minorBidi"/>
              <w:noProof/>
              <w:kern w:val="2"/>
              <w:sz w:val="24"/>
              <w:szCs w:val="24"/>
              <w:lang w:eastAsia="en-GB"/>
              <w14:ligatures w14:val="standardContextual"/>
            </w:rPr>
          </w:pPr>
          <w:hyperlink w:history="1" w:anchor="_Toc228180547">
            <w:r w:rsidRPr="003D6C6E" w:rsidR="00C63177">
              <w:rPr>
                <w:rStyle w:val="Hyperlink"/>
                <w:noProof/>
              </w:rPr>
              <w:t>5.1</w:t>
            </w:r>
            <w:r w:rsidR="00C63177">
              <w:rPr>
                <w:rFonts w:asciiTheme="minorHAnsi" w:hAnsiTheme="minorHAnsi" w:eastAsiaTheme="minorEastAsia" w:cstheme="minorBidi"/>
                <w:noProof/>
                <w:kern w:val="2"/>
                <w:sz w:val="24"/>
                <w:szCs w:val="24"/>
                <w:lang w:eastAsia="en-GB"/>
                <w14:ligatures w14:val="standardContextual"/>
              </w:rPr>
              <w:tab/>
            </w:r>
            <w:r w:rsidRPr="003D6C6E" w:rsidR="00C63177">
              <w:rPr>
                <w:rStyle w:val="Hyperlink"/>
                <w:noProof/>
              </w:rPr>
              <w:t>Information gathered in stakeholder meetings and written contributions</w:t>
            </w:r>
            <w:r w:rsidR="00C63177">
              <w:rPr>
                <w:noProof/>
                <w:webHidden/>
              </w:rPr>
              <w:tab/>
            </w:r>
            <w:r w:rsidR="00C63177">
              <w:rPr>
                <w:noProof/>
                <w:webHidden/>
              </w:rPr>
              <w:fldChar w:fldCharType="begin"/>
            </w:r>
            <w:r w:rsidR="00C63177">
              <w:rPr>
                <w:noProof/>
                <w:webHidden/>
              </w:rPr>
              <w:instrText xml:space="preserve"> PAGEREF _Toc228180547 \h </w:instrText>
            </w:r>
            <w:r w:rsidR="00C63177">
              <w:rPr>
                <w:noProof/>
                <w:webHidden/>
              </w:rPr>
            </w:r>
            <w:r w:rsidR="00C63177">
              <w:rPr>
                <w:noProof/>
                <w:webHidden/>
              </w:rPr>
              <w:fldChar w:fldCharType="separate"/>
            </w:r>
            <w:r w:rsidR="00D93C36">
              <w:rPr>
                <w:noProof/>
                <w:webHidden/>
              </w:rPr>
              <w:t>98</w:t>
            </w:r>
            <w:r w:rsidR="00C63177">
              <w:rPr>
                <w:noProof/>
                <w:webHidden/>
              </w:rPr>
              <w:fldChar w:fldCharType="end"/>
            </w:r>
          </w:hyperlink>
        </w:p>
        <w:p w:rsidRPr="00725C58" w:rsidR="00C63177" w:rsidP="00725C58" w:rsidRDefault="007E11B8" w14:paraId="340527FA" w14:textId="25B5B67E">
          <w:pPr>
            <w:pStyle w:val="TOC2"/>
            <w:tabs>
              <w:tab w:val="right" w:leader="dot" w:pos="9063"/>
            </w:tabs>
            <w:ind w:left="1440"/>
            <w:rPr>
              <w:rFonts w:asciiTheme="minorHAnsi" w:hAnsiTheme="minorHAnsi" w:eastAsiaTheme="minorEastAsia" w:cstheme="minorBidi"/>
              <w:i/>
              <w:iCs/>
              <w:noProof/>
              <w:kern w:val="2"/>
              <w:sz w:val="24"/>
              <w:szCs w:val="24"/>
              <w:lang w:eastAsia="en-GB"/>
              <w14:ligatures w14:val="standardContextual"/>
            </w:rPr>
          </w:pPr>
          <w:hyperlink w:history="1" w:anchor="_Toc228180548">
            <w:r w:rsidRPr="00725C58" w:rsidR="00C63177">
              <w:rPr>
                <w:rStyle w:val="Hyperlink"/>
                <w:i/>
                <w:iCs/>
                <w:noProof/>
              </w:rPr>
              <w:t>Involvement of Social Partners in Implementation</w:t>
            </w:r>
            <w:r w:rsidRPr="00725C58" w:rsidR="00C63177">
              <w:rPr>
                <w:i/>
                <w:iCs/>
                <w:noProof/>
                <w:webHidden/>
              </w:rPr>
              <w:tab/>
            </w:r>
            <w:r w:rsidRPr="00725C58" w:rsidR="00C63177">
              <w:rPr>
                <w:i/>
                <w:iCs/>
                <w:noProof/>
                <w:webHidden/>
              </w:rPr>
              <w:fldChar w:fldCharType="begin"/>
            </w:r>
            <w:r w:rsidRPr="00725C58" w:rsidR="00C63177">
              <w:rPr>
                <w:i/>
                <w:iCs/>
                <w:noProof/>
                <w:webHidden/>
              </w:rPr>
              <w:instrText xml:space="preserve"> PAGEREF _Toc228180548 \h </w:instrText>
            </w:r>
            <w:r w:rsidRPr="00725C58" w:rsidR="00C63177">
              <w:rPr>
                <w:i/>
                <w:iCs/>
                <w:noProof/>
                <w:webHidden/>
              </w:rPr>
            </w:r>
            <w:r w:rsidRPr="00725C58" w:rsidR="00C63177">
              <w:rPr>
                <w:i/>
                <w:iCs/>
                <w:noProof/>
                <w:webHidden/>
              </w:rPr>
              <w:fldChar w:fldCharType="separate"/>
            </w:r>
            <w:r w:rsidR="00D93C36">
              <w:rPr>
                <w:i/>
                <w:iCs/>
                <w:noProof/>
                <w:webHidden/>
              </w:rPr>
              <w:t>98</w:t>
            </w:r>
            <w:r w:rsidRPr="00725C58" w:rsidR="00C63177">
              <w:rPr>
                <w:i/>
                <w:iCs/>
                <w:noProof/>
                <w:webHidden/>
              </w:rPr>
              <w:fldChar w:fldCharType="end"/>
            </w:r>
          </w:hyperlink>
        </w:p>
        <w:p w:rsidRPr="00725C58" w:rsidR="00C63177" w:rsidP="00725C58" w:rsidRDefault="007E11B8" w14:paraId="44DB749E" w14:textId="151340CB">
          <w:pPr>
            <w:pStyle w:val="TOC2"/>
            <w:tabs>
              <w:tab w:val="right" w:leader="dot" w:pos="9063"/>
            </w:tabs>
            <w:ind w:left="1440"/>
            <w:rPr>
              <w:rFonts w:asciiTheme="minorHAnsi" w:hAnsiTheme="minorHAnsi" w:eastAsiaTheme="minorEastAsia" w:cstheme="minorBidi"/>
              <w:i/>
              <w:iCs/>
              <w:noProof/>
              <w:kern w:val="2"/>
              <w:sz w:val="24"/>
              <w:szCs w:val="24"/>
              <w:lang w:eastAsia="en-GB"/>
              <w14:ligatures w14:val="standardContextual"/>
            </w:rPr>
          </w:pPr>
          <w:hyperlink w:history="1" w:anchor="_Toc228180549">
            <w:r w:rsidRPr="00725C58" w:rsidR="00C63177">
              <w:rPr>
                <w:rStyle w:val="Hyperlink"/>
                <w:i/>
                <w:iCs/>
                <w:noProof/>
              </w:rPr>
              <w:t>Support Roles of Unions and Civil Society Organisations</w:t>
            </w:r>
            <w:r w:rsidRPr="00725C58" w:rsidR="00C63177">
              <w:rPr>
                <w:i/>
                <w:iCs/>
                <w:noProof/>
                <w:webHidden/>
              </w:rPr>
              <w:tab/>
            </w:r>
            <w:r w:rsidRPr="00725C58" w:rsidR="00C63177">
              <w:rPr>
                <w:i/>
                <w:iCs/>
                <w:noProof/>
                <w:webHidden/>
              </w:rPr>
              <w:fldChar w:fldCharType="begin"/>
            </w:r>
            <w:r w:rsidRPr="00725C58" w:rsidR="00C63177">
              <w:rPr>
                <w:i/>
                <w:iCs/>
                <w:noProof/>
                <w:webHidden/>
              </w:rPr>
              <w:instrText xml:space="preserve"> PAGEREF _Toc228180549 \h </w:instrText>
            </w:r>
            <w:r w:rsidRPr="00725C58" w:rsidR="00C63177">
              <w:rPr>
                <w:i/>
                <w:iCs/>
                <w:noProof/>
                <w:webHidden/>
              </w:rPr>
            </w:r>
            <w:r w:rsidRPr="00725C58" w:rsidR="00C63177">
              <w:rPr>
                <w:i/>
                <w:iCs/>
                <w:noProof/>
                <w:webHidden/>
              </w:rPr>
              <w:fldChar w:fldCharType="separate"/>
            </w:r>
            <w:r w:rsidR="00D93C36">
              <w:rPr>
                <w:i/>
                <w:iCs/>
                <w:noProof/>
                <w:webHidden/>
              </w:rPr>
              <w:t>102</w:t>
            </w:r>
            <w:r w:rsidRPr="00725C58" w:rsidR="00C63177">
              <w:rPr>
                <w:i/>
                <w:iCs/>
                <w:noProof/>
                <w:webHidden/>
              </w:rPr>
              <w:fldChar w:fldCharType="end"/>
            </w:r>
          </w:hyperlink>
        </w:p>
        <w:p w:rsidRPr="00725C58" w:rsidR="00C63177" w:rsidP="00725C58" w:rsidRDefault="007E11B8" w14:paraId="3215A039" w14:textId="323F4B83">
          <w:pPr>
            <w:pStyle w:val="TOC2"/>
            <w:tabs>
              <w:tab w:val="right" w:leader="dot" w:pos="9063"/>
            </w:tabs>
            <w:ind w:left="1440"/>
            <w:rPr>
              <w:rFonts w:asciiTheme="minorHAnsi" w:hAnsiTheme="minorHAnsi" w:eastAsiaTheme="minorEastAsia" w:cstheme="minorBidi"/>
              <w:i/>
              <w:iCs/>
              <w:noProof/>
              <w:kern w:val="2"/>
              <w:sz w:val="24"/>
              <w:szCs w:val="24"/>
              <w:lang w:eastAsia="en-GB"/>
              <w14:ligatures w14:val="standardContextual"/>
            </w:rPr>
          </w:pPr>
          <w:hyperlink w:history="1" w:anchor="_Toc228180550">
            <w:r w:rsidRPr="00725C58" w:rsidR="00C63177">
              <w:rPr>
                <w:rStyle w:val="Hyperlink"/>
                <w:i/>
                <w:iCs/>
                <w:noProof/>
              </w:rPr>
              <w:t>Participation in Reporting Channel Management</w:t>
            </w:r>
            <w:r w:rsidRPr="00725C58" w:rsidR="00C63177">
              <w:rPr>
                <w:i/>
                <w:iCs/>
                <w:noProof/>
                <w:webHidden/>
              </w:rPr>
              <w:tab/>
            </w:r>
            <w:r w:rsidRPr="00725C58" w:rsidR="00C63177">
              <w:rPr>
                <w:i/>
                <w:iCs/>
                <w:noProof/>
                <w:webHidden/>
              </w:rPr>
              <w:fldChar w:fldCharType="begin"/>
            </w:r>
            <w:r w:rsidRPr="00725C58" w:rsidR="00C63177">
              <w:rPr>
                <w:i/>
                <w:iCs/>
                <w:noProof/>
                <w:webHidden/>
              </w:rPr>
              <w:instrText xml:space="preserve"> PAGEREF _Toc228180550 \h </w:instrText>
            </w:r>
            <w:r w:rsidRPr="00725C58" w:rsidR="00C63177">
              <w:rPr>
                <w:i/>
                <w:iCs/>
                <w:noProof/>
                <w:webHidden/>
              </w:rPr>
            </w:r>
            <w:r w:rsidRPr="00725C58" w:rsidR="00C63177">
              <w:rPr>
                <w:i/>
                <w:iCs/>
                <w:noProof/>
                <w:webHidden/>
              </w:rPr>
              <w:fldChar w:fldCharType="separate"/>
            </w:r>
            <w:r w:rsidR="00D93C36">
              <w:rPr>
                <w:i/>
                <w:iCs/>
                <w:noProof/>
                <w:webHidden/>
              </w:rPr>
              <w:t>106</w:t>
            </w:r>
            <w:r w:rsidRPr="00725C58" w:rsidR="00C63177">
              <w:rPr>
                <w:i/>
                <w:iCs/>
                <w:noProof/>
                <w:webHidden/>
              </w:rPr>
              <w:fldChar w:fldCharType="end"/>
            </w:r>
          </w:hyperlink>
        </w:p>
        <w:p w:rsidRPr="00725C58" w:rsidR="00C63177" w:rsidP="00725C58" w:rsidRDefault="007E11B8" w14:paraId="02B087D9" w14:textId="34F17B79">
          <w:pPr>
            <w:pStyle w:val="TOC2"/>
            <w:tabs>
              <w:tab w:val="right" w:leader="dot" w:pos="9063"/>
            </w:tabs>
            <w:ind w:left="1440"/>
            <w:rPr>
              <w:rFonts w:asciiTheme="minorHAnsi" w:hAnsiTheme="minorHAnsi" w:eastAsiaTheme="minorEastAsia" w:cstheme="minorBidi"/>
              <w:i/>
              <w:iCs/>
              <w:noProof/>
              <w:kern w:val="2"/>
              <w:sz w:val="24"/>
              <w:szCs w:val="24"/>
              <w:lang w:eastAsia="en-GB"/>
              <w14:ligatures w14:val="standardContextual"/>
            </w:rPr>
          </w:pPr>
          <w:hyperlink w:history="1" w:anchor="_Toc228180551">
            <w:r w:rsidRPr="00725C58" w:rsidR="00C63177">
              <w:rPr>
                <w:rStyle w:val="Hyperlink"/>
                <w:i/>
                <w:iCs/>
                <w:noProof/>
              </w:rPr>
              <w:t>The Role of Media in Disclosure and Accountability</w:t>
            </w:r>
            <w:r w:rsidRPr="00725C58" w:rsidR="00C63177">
              <w:rPr>
                <w:i/>
                <w:iCs/>
                <w:noProof/>
                <w:webHidden/>
              </w:rPr>
              <w:tab/>
            </w:r>
            <w:r w:rsidRPr="00725C58" w:rsidR="00C63177">
              <w:rPr>
                <w:i/>
                <w:iCs/>
                <w:noProof/>
                <w:webHidden/>
              </w:rPr>
              <w:fldChar w:fldCharType="begin"/>
            </w:r>
            <w:r w:rsidRPr="00725C58" w:rsidR="00C63177">
              <w:rPr>
                <w:i/>
                <w:iCs/>
                <w:noProof/>
                <w:webHidden/>
              </w:rPr>
              <w:instrText xml:space="preserve"> PAGEREF _Toc228180551 \h </w:instrText>
            </w:r>
            <w:r w:rsidRPr="00725C58" w:rsidR="00C63177">
              <w:rPr>
                <w:i/>
                <w:iCs/>
                <w:noProof/>
                <w:webHidden/>
              </w:rPr>
            </w:r>
            <w:r w:rsidRPr="00725C58" w:rsidR="00C63177">
              <w:rPr>
                <w:i/>
                <w:iCs/>
                <w:noProof/>
                <w:webHidden/>
              </w:rPr>
              <w:fldChar w:fldCharType="separate"/>
            </w:r>
            <w:r w:rsidR="00D93C36">
              <w:rPr>
                <w:i/>
                <w:iCs/>
                <w:noProof/>
                <w:webHidden/>
              </w:rPr>
              <w:t>110</w:t>
            </w:r>
            <w:r w:rsidRPr="00725C58" w:rsidR="00C63177">
              <w:rPr>
                <w:i/>
                <w:iCs/>
                <w:noProof/>
                <w:webHidden/>
              </w:rPr>
              <w:fldChar w:fldCharType="end"/>
            </w:r>
          </w:hyperlink>
        </w:p>
        <w:p w:rsidR="00C63177" w:rsidRDefault="007E11B8" w14:paraId="49583AD7" w14:textId="30A7DE1F">
          <w:pPr>
            <w:pStyle w:val="TOC2"/>
            <w:tabs>
              <w:tab w:val="left" w:pos="960"/>
              <w:tab w:val="right" w:leader="dot" w:pos="9063"/>
            </w:tabs>
            <w:rPr>
              <w:rFonts w:asciiTheme="minorHAnsi" w:hAnsiTheme="minorHAnsi" w:eastAsiaTheme="minorEastAsia" w:cstheme="minorBidi"/>
              <w:noProof/>
              <w:kern w:val="2"/>
              <w:sz w:val="24"/>
              <w:szCs w:val="24"/>
              <w:lang w:eastAsia="en-GB"/>
              <w14:ligatures w14:val="standardContextual"/>
            </w:rPr>
          </w:pPr>
          <w:hyperlink w:history="1" w:anchor="_Toc228180552">
            <w:r w:rsidRPr="003D6C6E" w:rsidR="00C63177">
              <w:rPr>
                <w:rStyle w:val="Hyperlink"/>
                <w:noProof/>
              </w:rPr>
              <w:t>5.2</w:t>
            </w:r>
            <w:r w:rsidR="00C63177">
              <w:rPr>
                <w:rFonts w:asciiTheme="minorHAnsi" w:hAnsiTheme="minorHAnsi" w:eastAsiaTheme="minorEastAsia" w:cstheme="minorBidi"/>
                <w:noProof/>
                <w:kern w:val="2"/>
                <w:sz w:val="24"/>
                <w:szCs w:val="24"/>
                <w:lang w:eastAsia="en-GB"/>
                <w14:ligatures w14:val="standardContextual"/>
              </w:rPr>
              <w:tab/>
            </w:r>
            <w:r w:rsidRPr="003D6C6E" w:rsidR="00C63177">
              <w:rPr>
                <w:rStyle w:val="Hyperlink"/>
                <w:noProof/>
              </w:rPr>
              <w:t>Information from the questionnaire</w:t>
            </w:r>
            <w:r w:rsidR="00C63177">
              <w:rPr>
                <w:noProof/>
                <w:webHidden/>
              </w:rPr>
              <w:tab/>
            </w:r>
            <w:r w:rsidR="00C63177">
              <w:rPr>
                <w:noProof/>
                <w:webHidden/>
              </w:rPr>
              <w:fldChar w:fldCharType="begin"/>
            </w:r>
            <w:r w:rsidR="00C63177">
              <w:rPr>
                <w:noProof/>
                <w:webHidden/>
              </w:rPr>
              <w:instrText xml:space="preserve"> PAGEREF _Toc228180552 \h </w:instrText>
            </w:r>
            <w:r w:rsidR="00C63177">
              <w:rPr>
                <w:noProof/>
                <w:webHidden/>
              </w:rPr>
            </w:r>
            <w:r w:rsidR="00C63177">
              <w:rPr>
                <w:noProof/>
                <w:webHidden/>
              </w:rPr>
              <w:fldChar w:fldCharType="separate"/>
            </w:r>
            <w:r w:rsidR="00D93C36">
              <w:rPr>
                <w:noProof/>
                <w:webHidden/>
              </w:rPr>
              <w:t>115</w:t>
            </w:r>
            <w:r w:rsidR="00C63177">
              <w:rPr>
                <w:noProof/>
                <w:webHidden/>
              </w:rPr>
              <w:fldChar w:fldCharType="end"/>
            </w:r>
          </w:hyperlink>
        </w:p>
        <w:p w:rsidRPr="00725C58" w:rsidR="00C63177" w:rsidP="00725C58" w:rsidRDefault="007E11B8" w14:paraId="58D62DFC" w14:textId="5DF44B85">
          <w:pPr>
            <w:pStyle w:val="TOC2"/>
            <w:tabs>
              <w:tab w:val="right" w:leader="dot" w:pos="9063"/>
            </w:tabs>
            <w:ind w:left="1440"/>
            <w:rPr>
              <w:rFonts w:asciiTheme="minorHAnsi" w:hAnsiTheme="minorHAnsi" w:eastAsiaTheme="minorEastAsia" w:cstheme="minorBidi"/>
              <w:i/>
              <w:iCs/>
              <w:noProof/>
              <w:kern w:val="2"/>
              <w:sz w:val="24"/>
              <w:szCs w:val="24"/>
              <w:lang w:eastAsia="en-GB"/>
              <w14:ligatures w14:val="standardContextual"/>
            </w:rPr>
          </w:pPr>
          <w:hyperlink w:history="1" w:anchor="_Toc228180553">
            <w:r w:rsidRPr="00725C58" w:rsidR="00C63177">
              <w:rPr>
                <w:rStyle w:val="Hyperlink"/>
                <w:i/>
                <w:iCs/>
                <w:noProof/>
              </w:rPr>
              <w:t>Role of social partners and CSOs</w:t>
            </w:r>
            <w:r w:rsidRPr="00725C58" w:rsidR="00C63177">
              <w:rPr>
                <w:i/>
                <w:iCs/>
                <w:noProof/>
                <w:webHidden/>
              </w:rPr>
              <w:tab/>
            </w:r>
            <w:r w:rsidRPr="00725C58" w:rsidR="00C63177">
              <w:rPr>
                <w:i/>
                <w:iCs/>
                <w:noProof/>
                <w:webHidden/>
              </w:rPr>
              <w:fldChar w:fldCharType="begin"/>
            </w:r>
            <w:r w:rsidRPr="00725C58" w:rsidR="00C63177">
              <w:rPr>
                <w:i/>
                <w:iCs/>
                <w:noProof/>
                <w:webHidden/>
              </w:rPr>
              <w:instrText xml:space="preserve"> PAGEREF _Toc228180553 \h </w:instrText>
            </w:r>
            <w:r w:rsidRPr="00725C58" w:rsidR="00C63177">
              <w:rPr>
                <w:i/>
                <w:iCs/>
                <w:noProof/>
                <w:webHidden/>
              </w:rPr>
            </w:r>
            <w:r w:rsidRPr="00725C58" w:rsidR="00C63177">
              <w:rPr>
                <w:i/>
                <w:iCs/>
                <w:noProof/>
                <w:webHidden/>
              </w:rPr>
              <w:fldChar w:fldCharType="separate"/>
            </w:r>
            <w:r w:rsidR="00D93C36">
              <w:rPr>
                <w:i/>
                <w:iCs/>
                <w:noProof/>
                <w:webHidden/>
              </w:rPr>
              <w:t>115</w:t>
            </w:r>
            <w:r w:rsidRPr="00725C58" w:rsidR="00C63177">
              <w:rPr>
                <w:i/>
                <w:iCs/>
                <w:noProof/>
                <w:webHidden/>
              </w:rPr>
              <w:fldChar w:fldCharType="end"/>
            </w:r>
          </w:hyperlink>
        </w:p>
        <w:p w:rsidRPr="00725C58" w:rsidR="00C63177" w:rsidP="00725C58" w:rsidRDefault="007E11B8" w14:paraId="2BAF1243" w14:textId="5517763D">
          <w:pPr>
            <w:pStyle w:val="TOC2"/>
            <w:tabs>
              <w:tab w:val="right" w:leader="dot" w:pos="9063"/>
            </w:tabs>
            <w:ind w:left="1440"/>
            <w:rPr>
              <w:rFonts w:asciiTheme="minorHAnsi" w:hAnsiTheme="minorHAnsi" w:eastAsiaTheme="minorEastAsia" w:cstheme="minorBidi"/>
              <w:i/>
              <w:iCs/>
              <w:noProof/>
              <w:kern w:val="2"/>
              <w:sz w:val="24"/>
              <w:szCs w:val="24"/>
              <w:lang w:eastAsia="en-GB"/>
              <w14:ligatures w14:val="standardContextual"/>
            </w:rPr>
          </w:pPr>
          <w:hyperlink w:history="1" w:anchor="_Toc228180554">
            <w:r w:rsidRPr="00725C58" w:rsidR="00C63177">
              <w:rPr>
                <w:rStyle w:val="Hyperlink"/>
                <w:i/>
                <w:iCs/>
                <w:noProof/>
              </w:rPr>
              <w:t>Trust and perception</w:t>
            </w:r>
            <w:r w:rsidRPr="00725C58" w:rsidR="00C63177">
              <w:rPr>
                <w:i/>
                <w:iCs/>
                <w:noProof/>
                <w:webHidden/>
              </w:rPr>
              <w:tab/>
            </w:r>
            <w:r w:rsidRPr="00725C58" w:rsidR="00C63177">
              <w:rPr>
                <w:i/>
                <w:iCs/>
                <w:noProof/>
                <w:webHidden/>
              </w:rPr>
              <w:fldChar w:fldCharType="begin"/>
            </w:r>
            <w:r w:rsidRPr="00725C58" w:rsidR="00C63177">
              <w:rPr>
                <w:i/>
                <w:iCs/>
                <w:noProof/>
                <w:webHidden/>
              </w:rPr>
              <w:instrText xml:space="preserve"> PAGEREF _Toc228180554 \h </w:instrText>
            </w:r>
            <w:r w:rsidRPr="00725C58" w:rsidR="00C63177">
              <w:rPr>
                <w:i/>
                <w:iCs/>
                <w:noProof/>
                <w:webHidden/>
              </w:rPr>
            </w:r>
            <w:r w:rsidRPr="00725C58" w:rsidR="00C63177">
              <w:rPr>
                <w:i/>
                <w:iCs/>
                <w:noProof/>
                <w:webHidden/>
              </w:rPr>
              <w:fldChar w:fldCharType="separate"/>
            </w:r>
            <w:r w:rsidR="00D93C36">
              <w:rPr>
                <w:i/>
                <w:iCs/>
                <w:noProof/>
                <w:webHidden/>
              </w:rPr>
              <w:t>117</w:t>
            </w:r>
            <w:r w:rsidRPr="00725C58" w:rsidR="00C63177">
              <w:rPr>
                <w:i/>
                <w:iCs/>
                <w:noProof/>
                <w:webHidden/>
              </w:rPr>
              <w:fldChar w:fldCharType="end"/>
            </w:r>
          </w:hyperlink>
        </w:p>
        <w:p w:rsidRPr="00725C58" w:rsidR="00C63177" w:rsidP="00725C58" w:rsidRDefault="007E11B8" w14:paraId="765C5586" w14:textId="4E96F9A7">
          <w:pPr>
            <w:pStyle w:val="TOC2"/>
            <w:tabs>
              <w:tab w:val="right" w:leader="dot" w:pos="9063"/>
            </w:tabs>
            <w:ind w:left="1440"/>
            <w:rPr>
              <w:rFonts w:asciiTheme="minorHAnsi" w:hAnsiTheme="minorHAnsi" w:eastAsiaTheme="minorEastAsia" w:cstheme="minorBidi"/>
              <w:i/>
              <w:iCs/>
              <w:noProof/>
              <w:kern w:val="2"/>
              <w:sz w:val="24"/>
              <w:szCs w:val="24"/>
              <w:lang w:eastAsia="en-GB"/>
              <w14:ligatures w14:val="standardContextual"/>
            </w:rPr>
          </w:pPr>
          <w:hyperlink w:history="1" w:anchor="_Toc228180555">
            <w:r w:rsidRPr="00725C58" w:rsidR="00C63177">
              <w:rPr>
                <w:rStyle w:val="Hyperlink"/>
                <w:i/>
                <w:iCs/>
                <w:noProof/>
              </w:rPr>
              <w:t>Awareness and communication</w:t>
            </w:r>
            <w:r w:rsidRPr="00725C58" w:rsidR="00C63177">
              <w:rPr>
                <w:i/>
                <w:iCs/>
                <w:noProof/>
                <w:webHidden/>
              </w:rPr>
              <w:tab/>
            </w:r>
            <w:r w:rsidRPr="00725C58" w:rsidR="00C63177">
              <w:rPr>
                <w:i/>
                <w:iCs/>
                <w:noProof/>
                <w:webHidden/>
              </w:rPr>
              <w:fldChar w:fldCharType="begin"/>
            </w:r>
            <w:r w:rsidRPr="00725C58" w:rsidR="00C63177">
              <w:rPr>
                <w:i/>
                <w:iCs/>
                <w:noProof/>
                <w:webHidden/>
              </w:rPr>
              <w:instrText xml:space="preserve"> PAGEREF _Toc228180555 \h </w:instrText>
            </w:r>
            <w:r w:rsidRPr="00725C58" w:rsidR="00C63177">
              <w:rPr>
                <w:i/>
                <w:iCs/>
                <w:noProof/>
                <w:webHidden/>
              </w:rPr>
            </w:r>
            <w:r w:rsidRPr="00725C58" w:rsidR="00C63177">
              <w:rPr>
                <w:i/>
                <w:iCs/>
                <w:noProof/>
                <w:webHidden/>
              </w:rPr>
              <w:fldChar w:fldCharType="separate"/>
            </w:r>
            <w:r w:rsidR="00D93C36">
              <w:rPr>
                <w:i/>
                <w:iCs/>
                <w:noProof/>
                <w:webHidden/>
              </w:rPr>
              <w:t>119</w:t>
            </w:r>
            <w:r w:rsidRPr="00725C58" w:rsidR="00C63177">
              <w:rPr>
                <w:i/>
                <w:iCs/>
                <w:noProof/>
                <w:webHidden/>
              </w:rPr>
              <w:fldChar w:fldCharType="end"/>
            </w:r>
          </w:hyperlink>
        </w:p>
        <w:p w:rsidR="00C63177" w:rsidP="008F6FA7" w:rsidRDefault="007E11B8" w14:paraId="4F49F6EE" w14:textId="1B0345CC">
          <w:pPr>
            <w:pStyle w:val="TOC1"/>
            <w:rPr>
              <w:rFonts w:asciiTheme="minorHAnsi" w:hAnsiTheme="minorHAnsi" w:eastAsiaTheme="minorEastAsia" w:cstheme="minorBidi"/>
              <w:kern w:val="2"/>
              <w:sz w:val="24"/>
              <w:szCs w:val="24"/>
              <w:lang w:eastAsia="en-GB"/>
              <w14:ligatures w14:val="standardContextual"/>
            </w:rPr>
          </w:pPr>
          <w:hyperlink w:history="1" w:anchor="_Toc228180556">
            <w:r w:rsidRPr="003D6C6E" w:rsidR="00C63177">
              <w:rPr>
                <w:rStyle w:val="Hyperlink"/>
              </w:rPr>
              <w:t>6. Primary data: Additional information</w:t>
            </w:r>
            <w:r w:rsidR="00C63177">
              <w:rPr>
                <w:webHidden/>
              </w:rPr>
              <w:tab/>
            </w:r>
            <w:r w:rsidR="00C63177">
              <w:rPr>
                <w:webHidden/>
              </w:rPr>
              <w:fldChar w:fldCharType="begin"/>
            </w:r>
            <w:r w:rsidR="00C63177">
              <w:rPr>
                <w:webHidden/>
              </w:rPr>
              <w:instrText xml:space="preserve"> PAGEREF _Toc228180556 \h </w:instrText>
            </w:r>
            <w:r w:rsidR="00C63177">
              <w:rPr>
                <w:webHidden/>
              </w:rPr>
            </w:r>
            <w:r w:rsidR="00C63177">
              <w:rPr>
                <w:webHidden/>
              </w:rPr>
              <w:fldChar w:fldCharType="separate"/>
            </w:r>
            <w:r w:rsidR="00D93C36">
              <w:rPr>
                <w:webHidden/>
              </w:rPr>
              <w:t>122</w:t>
            </w:r>
            <w:r w:rsidR="00C63177">
              <w:rPr>
                <w:webHidden/>
              </w:rPr>
              <w:fldChar w:fldCharType="end"/>
            </w:r>
          </w:hyperlink>
        </w:p>
        <w:p w:rsidR="00C63177" w:rsidRDefault="007E11B8" w14:paraId="6392EF09" w14:textId="54965883">
          <w:pPr>
            <w:pStyle w:val="TOC2"/>
            <w:tabs>
              <w:tab w:val="left" w:pos="960"/>
              <w:tab w:val="right" w:leader="dot" w:pos="9063"/>
            </w:tabs>
            <w:rPr>
              <w:rFonts w:asciiTheme="minorHAnsi" w:hAnsiTheme="minorHAnsi" w:eastAsiaTheme="minorEastAsia" w:cstheme="minorBidi"/>
              <w:noProof/>
              <w:kern w:val="2"/>
              <w:sz w:val="24"/>
              <w:szCs w:val="24"/>
              <w:lang w:eastAsia="en-GB"/>
              <w14:ligatures w14:val="standardContextual"/>
            </w:rPr>
          </w:pPr>
          <w:hyperlink w:history="1" w:anchor="_Toc228180557">
            <w:r w:rsidRPr="003D6C6E" w:rsidR="00C63177">
              <w:rPr>
                <w:rStyle w:val="Hyperlink"/>
                <w:noProof/>
              </w:rPr>
              <w:t>6.1</w:t>
            </w:r>
            <w:r w:rsidR="00C63177">
              <w:rPr>
                <w:rFonts w:asciiTheme="minorHAnsi" w:hAnsiTheme="minorHAnsi" w:eastAsiaTheme="minorEastAsia" w:cstheme="minorBidi"/>
                <w:noProof/>
                <w:kern w:val="2"/>
                <w:sz w:val="24"/>
                <w:szCs w:val="24"/>
                <w:lang w:eastAsia="en-GB"/>
                <w14:ligatures w14:val="standardContextual"/>
              </w:rPr>
              <w:tab/>
            </w:r>
            <w:r w:rsidRPr="003D6C6E" w:rsidR="00C63177">
              <w:rPr>
                <w:rStyle w:val="Hyperlink"/>
                <w:noProof/>
              </w:rPr>
              <w:t>Information gathered in written contributions</w:t>
            </w:r>
            <w:r w:rsidR="00C63177">
              <w:rPr>
                <w:noProof/>
                <w:webHidden/>
              </w:rPr>
              <w:tab/>
            </w:r>
            <w:r w:rsidR="00C63177">
              <w:rPr>
                <w:noProof/>
                <w:webHidden/>
              </w:rPr>
              <w:fldChar w:fldCharType="begin"/>
            </w:r>
            <w:r w:rsidR="00C63177">
              <w:rPr>
                <w:noProof/>
                <w:webHidden/>
              </w:rPr>
              <w:instrText xml:space="preserve"> PAGEREF _Toc228180557 \h </w:instrText>
            </w:r>
            <w:r w:rsidR="00C63177">
              <w:rPr>
                <w:noProof/>
                <w:webHidden/>
              </w:rPr>
            </w:r>
            <w:r w:rsidR="00C63177">
              <w:rPr>
                <w:noProof/>
                <w:webHidden/>
              </w:rPr>
              <w:fldChar w:fldCharType="separate"/>
            </w:r>
            <w:r w:rsidR="00D93C36">
              <w:rPr>
                <w:noProof/>
                <w:webHidden/>
              </w:rPr>
              <w:t>122</w:t>
            </w:r>
            <w:r w:rsidR="00C63177">
              <w:rPr>
                <w:noProof/>
                <w:webHidden/>
              </w:rPr>
              <w:fldChar w:fldCharType="end"/>
            </w:r>
          </w:hyperlink>
        </w:p>
        <w:p w:rsidR="00C63177" w:rsidRDefault="007E11B8" w14:paraId="16E91FA9" w14:textId="6733F759">
          <w:pPr>
            <w:pStyle w:val="TOC2"/>
            <w:tabs>
              <w:tab w:val="left" w:pos="960"/>
              <w:tab w:val="right" w:leader="dot" w:pos="9063"/>
            </w:tabs>
            <w:rPr>
              <w:rFonts w:asciiTheme="minorHAnsi" w:hAnsiTheme="minorHAnsi" w:eastAsiaTheme="minorEastAsia" w:cstheme="minorBidi"/>
              <w:noProof/>
              <w:kern w:val="2"/>
              <w:sz w:val="24"/>
              <w:szCs w:val="24"/>
              <w:lang w:eastAsia="en-GB"/>
              <w14:ligatures w14:val="standardContextual"/>
            </w:rPr>
          </w:pPr>
          <w:hyperlink w:history="1" w:anchor="_Toc228180558">
            <w:r w:rsidRPr="003D6C6E" w:rsidR="00C63177">
              <w:rPr>
                <w:rStyle w:val="Hyperlink"/>
                <w:noProof/>
              </w:rPr>
              <w:t>6.2</w:t>
            </w:r>
            <w:r w:rsidR="00C63177">
              <w:rPr>
                <w:rFonts w:asciiTheme="minorHAnsi" w:hAnsiTheme="minorHAnsi" w:eastAsiaTheme="minorEastAsia" w:cstheme="minorBidi"/>
                <w:noProof/>
                <w:kern w:val="2"/>
                <w:sz w:val="24"/>
                <w:szCs w:val="24"/>
                <w:lang w:eastAsia="en-GB"/>
                <w14:ligatures w14:val="standardContextual"/>
              </w:rPr>
              <w:tab/>
            </w:r>
            <w:r w:rsidRPr="003D6C6E" w:rsidR="00C63177">
              <w:rPr>
                <w:rStyle w:val="Hyperlink"/>
                <w:noProof/>
              </w:rPr>
              <w:t>Information from the questionnaire</w:t>
            </w:r>
            <w:r w:rsidR="00C63177">
              <w:rPr>
                <w:noProof/>
                <w:webHidden/>
              </w:rPr>
              <w:tab/>
            </w:r>
            <w:r w:rsidR="00C63177">
              <w:rPr>
                <w:noProof/>
                <w:webHidden/>
              </w:rPr>
              <w:fldChar w:fldCharType="begin"/>
            </w:r>
            <w:r w:rsidR="00C63177">
              <w:rPr>
                <w:noProof/>
                <w:webHidden/>
              </w:rPr>
              <w:instrText xml:space="preserve"> PAGEREF _Toc228180558 \h </w:instrText>
            </w:r>
            <w:r w:rsidR="00C63177">
              <w:rPr>
                <w:noProof/>
                <w:webHidden/>
              </w:rPr>
            </w:r>
            <w:r w:rsidR="00C63177">
              <w:rPr>
                <w:noProof/>
                <w:webHidden/>
              </w:rPr>
              <w:fldChar w:fldCharType="separate"/>
            </w:r>
            <w:r w:rsidR="00D93C36">
              <w:rPr>
                <w:noProof/>
                <w:webHidden/>
              </w:rPr>
              <w:t>123</w:t>
            </w:r>
            <w:r w:rsidR="00C63177">
              <w:rPr>
                <w:noProof/>
                <w:webHidden/>
              </w:rPr>
              <w:fldChar w:fldCharType="end"/>
            </w:r>
          </w:hyperlink>
        </w:p>
        <w:p w:rsidR="00C63177" w:rsidP="008F6FA7" w:rsidRDefault="007E11B8" w14:paraId="087065BF" w14:textId="537D1E68">
          <w:pPr>
            <w:pStyle w:val="TOC1"/>
            <w:rPr>
              <w:rFonts w:asciiTheme="minorHAnsi" w:hAnsiTheme="minorHAnsi" w:eastAsiaTheme="minorEastAsia" w:cstheme="minorBidi"/>
              <w:kern w:val="2"/>
              <w:sz w:val="24"/>
              <w:szCs w:val="24"/>
              <w:lang w:eastAsia="en-GB"/>
              <w14:ligatures w14:val="standardContextual"/>
            </w:rPr>
          </w:pPr>
          <w:hyperlink w:history="1" w:anchor="_Toc228180559">
            <w:r w:rsidRPr="003D6C6E" w:rsidR="00C63177">
              <w:rPr>
                <w:rStyle w:val="Hyperlink"/>
              </w:rPr>
              <w:t>7. Secondary data: Literature review of past EESC work</w:t>
            </w:r>
            <w:r w:rsidR="00C63177">
              <w:rPr>
                <w:webHidden/>
              </w:rPr>
              <w:tab/>
            </w:r>
            <w:r w:rsidR="00C63177">
              <w:rPr>
                <w:webHidden/>
              </w:rPr>
              <w:fldChar w:fldCharType="begin"/>
            </w:r>
            <w:r w:rsidR="00C63177">
              <w:rPr>
                <w:webHidden/>
              </w:rPr>
              <w:instrText xml:space="preserve"> PAGEREF _Toc228180559 \h </w:instrText>
            </w:r>
            <w:r w:rsidR="00C63177">
              <w:rPr>
                <w:webHidden/>
              </w:rPr>
            </w:r>
            <w:r w:rsidR="00C63177">
              <w:rPr>
                <w:webHidden/>
              </w:rPr>
              <w:fldChar w:fldCharType="separate"/>
            </w:r>
            <w:r w:rsidR="00D93C36">
              <w:rPr>
                <w:webHidden/>
              </w:rPr>
              <w:t>125</w:t>
            </w:r>
            <w:r w:rsidR="00C63177">
              <w:rPr>
                <w:webHidden/>
              </w:rPr>
              <w:fldChar w:fldCharType="end"/>
            </w:r>
          </w:hyperlink>
        </w:p>
        <w:p w:rsidR="00C63177" w:rsidP="008F6FA7" w:rsidRDefault="007E11B8" w14:paraId="5AFC1193" w14:textId="3E589CDE">
          <w:pPr>
            <w:pStyle w:val="TOC1"/>
            <w:rPr>
              <w:rFonts w:asciiTheme="minorHAnsi" w:hAnsiTheme="minorHAnsi" w:eastAsiaTheme="minorEastAsia" w:cstheme="minorBidi"/>
              <w:kern w:val="2"/>
              <w:sz w:val="24"/>
              <w:szCs w:val="24"/>
              <w:lang w:eastAsia="en-GB"/>
              <w14:ligatures w14:val="standardContextual"/>
            </w:rPr>
          </w:pPr>
          <w:hyperlink w:history="1" w:anchor="_Toc228180560">
            <w:r w:rsidRPr="003D6C6E" w:rsidR="00C63177">
              <w:rPr>
                <w:rStyle w:val="Hyperlink"/>
              </w:rPr>
              <w:t>8. List of organisations consulted</w:t>
            </w:r>
            <w:r w:rsidR="00C63177">
              <w:rPr>
                <w:webHidden/>
              </w:rPr>
              <w:tab/>
            </w:r>
            <w:r w:rsidR="00C63177">
              <w:rPr>
                <w:webHidden/>
              </w:rPr>
              <w:fldChar w:fldCharType="begin"/>
            </w:r>
            <w:r w:rsidR="00C63177">
              <w:rPr>
                <w:webHidden/>
              </w:rPr>
              <w:instrText xml:space="preserve"> PAGEREF _Toc228180560 \h </w:instrText>
            </w:r>
            <w:r w:rsidR="00C63177">
              <w:rPr>
                <w:webHidden/>
              </w:rPr>
            </w:r>
            <w:r w:rsidR="00C63177">
              <w:rPr>
                <w:webHidden/>
              </w:rPr>
              <w:fldChar w:fldCharType="separate"/>
            </w:r>
            <w:r w:rsidR="00D93C36">
              <w:rPr>
                <w:webHidden/>
              </w:rPr>
              <w:t>129</w:t>
            </w:r>
            <w:r w:rsidR="00C63177">
              <w:rPr>
                <w:webHidden/>
              </w:rPr>
              <w:fldChar w:fldCharType="end"/>
            </w:r>
          </w:hyperlink>
        </w:p>
        <w:p w:rsidRPr="00E3672F" w:rsidR="00A91BE1" w:rsidP="001E1287" w:rsidRDefault="00A91BE1" w14:paraId="4EDCE4A4" w14:textId="638165A7">
          <w:pPr>
            <w:spacing w:before="120" w:after="120" w:line="360" w:lineRule="auto"/>
            <w:contextualSpacing/>
            <w:rPr>
              <w:b/>
            </w:rPr>
            <w:sectPr w:rsidRPr="00E3672F" w:rsidR="00A91BE1" w:rsidSect="00C266C7">
              <w:headerReference w:type="default" r:id="rId15"/>
              <w:footerReference w:type="default" r:id="rId16"/>
              <w:pgSz w:w="11907" w:h="16839"/>
              <w:pgMar w:top="1417" w:right="1417" w:bottom="1417" w:left="1417" w:header="709" w:footer="709" w:gutter="0"/>
              <w:pgNumType w:start="0"/>
              <w:cols w:space="708"/>
              <w:titlePg/>
              <w:docGrid w:linePitch="360"/>
            </w:sectPr>
          </w:pPr>
          <w:r w:rsidRPr="00E3672F">
            <w:rPr>
              <w:b/>
            </w:rPr>
            <w:fldChar w:fldCharType="end"/>
          </w:r>
        </w:p>
      </w:sdtContent>
    </w:sdt>
    <w:p w:rsidR="00DE43C7" w:rsidP="000B42B1" w:rsidRDefault="00DE43C7" w14:paraId="6A1D4889" w14:textId="5FCD5A44">
      <w:pPr>
        <w:spacing w:before="120" w:after="120" w:line="360" w:lineRule="auto"/>
        <w:rPr>
          <w:rFonts w:eastAsiaTheme="majorEastAsia"/>
          <w:b/>
          <w:color w:val="004F88"/>
          <w:sz w:val="30"/>
          <w:szCs w:val="40"/>
        </w:rPr>
      </w:pPr>
      <w:bookmarkStart w:name="_Toc228180508" w:id="1"/>
    </w:p>
    <w:p w:rsidRPr="00E3672F" w:rsidR="00A91BE1" w:rsidP="001E1287" w:rsidRDefault="004928EF" w14:paraId="0B3C4923" w14:textId="7252B601">
      <w:pPr>
        <w:pStyle w:val="Heading1"/>
        <w:spacing w:before="120" w:after="120" w:line="360" w:lineRule="auto"/>
        <w:contextualSpacing/>
        <w:rPr>
          <w:rFonts w:cs="Times New Roman"/>
          <w:color w:val="004F88"/>
        </w:rPr>
      </w:pPr>
      <w:r w:rsidRPr="00E3672F">
        <w:rPr>
          <w:rFonts w:cs="Times New Roman"/>
          <w:color w:val="004F88"/>
        </w:rPr>
        <w:t xml:space="preserve">1. </w:t>
      </w:r>
      <w:r w:rsidRPr="00E3672F" w:rsidR="00A91BE1">
        <w:rPr>
          <w:rFonts w:cs="Times New Roman"/>
          <w:color w:val="004F88"/>
        </w:rPr>
        <w:t>Introduction</w:t>
      </w:r>
      <w:bookmarkEnd w:id="1"/>
    </w:p>
    <w:p w:rsidRPr="00E3672F" w:rsidR="00EC05E1" w:rsidP="001E1287" w:rsidRDefault="00EC05E1" w14:paraId="44CA85EF" w14:textId="77777777">
      <w:pPr>
        <w:spacing w:before="120" w:after="120" w:line="360" w:lineRule="auto"/>
        <w:contextualSpacing/>
      </w:pPr>
    </w:p>
    <w:p w:rsidRPr="00E3672F" w:rsidR="004928EF" w:rsidP="001E1287" w:rsidRDefault="004928EF" w14:paraId="4B5F782D" w14:textId="79814644">
      <w:pPr>
        <w:pStyle w:val="Heading2"/>
        <w:spacing w:before="120" w:after="120" w:line="360" w:lineRule="auto"/>
        <w:contextualSpacing/>
        <w:rPr>
          <w:rFonts w:cs="Times New Roman"/>
          <w:color w:val="004F88"/>
        </w:rPr>
      </w:pPr>
      <w:bookmarkStart w:name="_Toc228180509" w:id="2"/>
      <w:r w:rsidRPr="00E3672F">
        <w:rPr>
          <w:rFonts w:cs="Times New Roman"/>
          <w:color w:val="004F88"/>
        </w:rPr>
        <w:t xml:space="preserve">1.1 </w:t>
      </w:r>
      <w:r w:rsidRPr="00E3672F" w:rsidR="00892B67">
        <w:rPr>
          <w:rFonts w:cs="Times New Roman"/>
          <w:color w:val="004F88"/>
        </w:rPr>
        <w:tab/>
      </w:r>
      <w:r w:rsidRPr="00E3672F">
        <w:rPr>
          <w:rFonts w:cs="Times New Roman"/>
          <w:color w:val="004F88"/>
          <w:u w:val="single"/>
        </w:rPr>
        <w:t>Focus of the evaluation</w:t>
      </w:r>
      <w:bookmarkEnd w:id="2"/>
    </w:p>
    <w:p w:rsidRPr="00E3672F" w:rsidR="003E6569" w:rsidP="001E1287" w:rsidRDefault="007E11B8" w14:paraId="29FB1F10" w14:textId="72F9B2D2">
      <w:pPr>
        <w:spacing w:before="120" w:after="120" w:line="360" w:lineRule="auto"/>
        <w:contextualSpacing/>
      </w:pPr>
      <w:hyperlink w:history="1" r:id="rId17">
        <w:r w:rsidRPr="00E3672F" w:rsidR="003E6569">
          <w:rPr>
            <w:rStyle w:val="Hyperlink"/>
          </w:rPr>
          <w:t>Directive (EU) 2019/1937</w:t>
        </w:r>
      </w:hyperlink>
      <w:r w:rsidRPr="00E3672F" w:rsidR="003E6569">
        <w:t xml:space="preserve"> on the protection of persons who report breaches of Union law (hereafter </w:t>
      </w:r>
      <w:r w:rsidRPr="00E3672F" w:rsidR="00430258">
        <w:t>‘</w:t>
      </w:r>
      <w:r w:rsidRPr="00E3672F" w:rsidR="003E6569">
        <w:t>the Directive</w:t>
      </w:r>
      <w:r w:rsidRPr="00E3672F" w:rsidR="00430258">
        <w:t>’</w:t>
      </w:r>
      <w:r w:rsidRPr="00E3672F" w:rsidR="003E6569">
        <w:t xml:space="preserve">) entered into force in December 2019. It was introduced in response to growing concerns that the existing legal framework across the EU was inadequate, due to being fragmented at national level and limited to specific EU-level sectors. </w:t>
      </w:r>
    </w:p>
    <w:p w:rsidRPr="00E3672F" w:rsidR="00CC5569" w:rsidP="001E1287" w:rsidRDefault="00CC5569" w14:paraId="3DD991A3" w14:textId="3104CF38">
      <w:pPr>
        <w:spacing w:before="120" w:after="120" w:line="360" w:lineRule="auto"/>
        <w:contextualSpacing/>
      </w:pPr>
      <w:r w:rsidRPr="00E3672F">
        <w:t xml:space="preserve">The European Commission is currently performing an evaluation of </w:t>
      </w:r>
      <w:r w:rsidRPr="009B193B" w:rsidR="000F2813">
        <w:t>Directive 2019/1937 on the protection of persons who report breaches of Union law</w:t>
      </w:r>
      <w:r w:rsidRPr="00E3672F">
        <w:t xml:space="preserve">. This Directive is an instrument to </w:t>
      </w:r>
      <w:r w:rsidRPr="00E3672F" w:rsidR="00430258">
        <w:t>‘</w:t>
      </w:r>
      <w:r w:rsidRPr="00E3672F">
        <w:t>enhance the enforcement of Union Law and policies in specific areas</w:t>
      </w:r>
      <w:r w:rsidRPr="00E3672F" w:rsidR="00430258">
        <w:t>’</w:t>
      </w:r>
      <w:r w:rsidRPr="00E3672F">
        <w:t xml:space="preserve"> in a wide range of areas, </w:t>
      </w:r>
      <w:r w:rsidRPr="00E3672F" w:rsidR="00A60C69">
        <w:t xml:space="preserve">as </w:t>
      </w:r>
      <w:r w:rsidRPr="00E3672F">
        <w:t xml:space="preserve">described </w:t>
      </w:r>
      <w:r w:rsidRPr="00E3672F" w:rsidR="00A60C69">
        <w:t xml:space="preserve">in </w:t>
      </w:r>
      <w:r w:rsidRPr="00E3672F">
        <w:t>Article 2</w:t>
      </w:r>
      <w:r w:rsidRPr="00E3672F">
        <w:rPr>
          <w:rStyle w:val="FootnoteReference"/>
        </w:rPr>
        <w:footnoteReference w:id="1"/>
      </w:r>
      <w:r w:rsidRPr="00E3672F">
        <w:t xml:space="preserve">. </w:t>
      </w:r>
    </w:p>
    <w:p w:rsidR="00232510" w:rsidP="001E1287" w:rsidRDefault="00232510" w14:paraId="639D4F21" w14:textId="77777777">
      <w:pPr>
        <w:spacing w:before="120" w:after="120" w:line="360" w:lineRule="auto"/>
        <w:contextualSpacing/>
      </w:pPr>
    </w:p>
    <w:p w:rsidRPr="00E3672F" w:rsidR="00CC5569" w:rsidP="001E1287" w:rsidRDefault="00CC5569" w14:paraId="30493067" w14:textId="1DC0390F">
      <w:pPr>
        <w:spacing w:before="120" w:after="120" w:line="360" w:lineRule="auto"/>
        <w:contextualSpacing/>
      </w:pPr>
      <w:r w:rsidRPr="00E3672F">
        <w:t xml:space="preserve">The </w:t>
      </w:r>
      <w:r w:rsidRPr="00E3672F" w:rsidR="00A60C69">
        <w:t xml:space="preserve">European Commission </w:t>
      </w:r>
      <w:r w:rsidRPr="00E3672F">
        <w:t>has invited the European Economic and Social Committee (EESC) to contribute to this evaluation from the point of view of national social partners and civil society organisations, which the EESC represents at E</w:t>
      </w:r>
      <w:r w:rsidR="000F2813">
        <w:t>U</w:t>
      </w:r>
      <w:r w:rsidRPr="00E3672F">
        <w:t xml:space="preserve"> level.</w:t>
      </w:r>
      <w:r w:rsidR="00232510">
        <w:t xml:space="preserve"> </w:t>
      </w:r>
      <w:r w:rsidRPr="00E3672F">
        <w:t>To this end, the EESC conduct</w:t>
      </w:r>
      <w:r w:rsidRPr="00E3672F" w:rsidR="00A60C69">
        <w:t>ed</w:t>
      </w:r>
      <w:r w:rsidRPr="00E3672F">
        <w:t xml:space="preserve"> </w:t>
      </w:r>
      <w:r w:rsidRPr="00E3672F" w:rsidR="009438CB">
        <w:t>an</w:t>
      </w:r>
      <w:r w:rsidRPr="00E3672F">
        <w:t xml:space="preserve"> online questionnaire and </w:t>
      </w:r>
      <w:r w:rsidRPr="00E3672F" w:rsidR="009438CB">
        <w:t>carrie</w:t>
      </w:r>
      <w:r w:rsidRPr="00E3672F" w:rsidR="009C5AD0">
        <w:t>d</w:t>
      </w:r>
      <w:r w:rsidRPr="00E3672F">
        <w:t xml:space="preserve"> out physical and virtual fact-finding visits to five </w:t>
      </w:r>
      <w:r w:rsidRPr="00E3672F" w:rsidR="009438CB">
        <w:t xml:space="preserve">selected </w:t>
      </w:r>
      <w:r w:rsidRPr="00E3672F">
        <w:t>EU countries to collect information and views from the mentioned stakeholders.</w:t>
      </w:r>
    </w:p>
    <w:p w:rsidRPr="00E3672F" w:rsidR="00CC5569" w:rsidP="001E1287" w:rsidRDefault="00CC5569" w14:paraId="02D29A04" w14:textId="77777777">
      <w:pPr>
        <w:spacing w:before="120" w:after="120" w:line="360" w:lineRule="auto"/>
        <w:contextualSpacing/>
      </w:pPr>
    </w:p>
    <w:p w:rsidRPr="00E3672F" w:rsidR="00CC5569" w:rsidP="001E1287" w:rsidRDefault="00CC5569" w14:paraId="646B4093" w14:textId="7259B7E2">
      <w:pPr>
        <w:spacing w:before="120" w:after="120" w:line="360" w:lineRule="auto"/>
        <w:contextualSpacing/>
      </w:pPr>
      <w:r w:rsidRPr="00E3672F">
        <w:t xml:space="preserve">In its Evaluation Report, the </w:t>
      </w:r>
      <w:r w:rsidR="00C10652">
        <w:t>EESC</w:t>
      </w:r>
      <w:r w:rsidRPr="00E3672F">
        <w:t xml:space="preserve"> examine</w:t>
      </w:r>
      <w:r w:rsidR="00232510">
        <w:t>s</w:t>
      </w:r>
      <w:r w:rsidRPr="00E3672F">
        <w:t xml:space="preserve"> </w:t>
      </w:r>
      <w:r w:rsidRPr="00E3672F">
        <w:rPr>
          <w:b/>
          <w:bCs/>
        </w:rPr>
        <w:t xml:space="preserve">whether, how, and to what extent Directive 2019/1937 has strengthened the enforcement of European Union (EU) law and policies while respecting the fundamental rights guaranteed by the </w:t>
      </w:r>
      <w:hyperlink w:history="1" r:id="rId18">
        <w:r w:rsidRPr="00E3672F">
          <w:rPr>
            <w:rStyle w:val="Hyperlink"/>
            <w:b/>
            <w:bCs/>
          </w:rPr>
          <w:t>Charter of Fundamental Rights of the European Union</w:t>
        </w:r>
      </w:hyperlink>
      <w:r w:rsidRPr="00E3672F">
        <w:t>. Fundamental rights are, on the one hand, a core component of EU law; on the other hand, breaches of these rights affect the public interest and therefore can merit protection under the Directive. </w:t>
      </w:r>
    </w:p>
    <w:p w:rsidRPr="00E3672F" w:rsidR="00E04270" w:rsidP="001E1287" w:rsidRDefault="00CC5569" w14:paraId="07755D74" w14:textId="63D3C728">
      <w:pPr>
        <w:pStyle w:val="NoSpacing"/>
        <w:spacing w:before="120" w:after="120" w:line="360" w:lineRule="auto"/>
        <w:contextualSpacing/>
        <w:rPr>
          <w:rFonts w:cs="Times New Roman"/>
          <w:lang w:val="en-GB"/>
        </w:rPr>
      </w:pPr>
      <w:r w:rsidRPr="00E3672F">
        <w:rPr>
          <w:rFonts w:cs="Times New Roman"/>
          <w:lang w:val="en-GB"/>
        </w:rPr>
        <w:t xml:space="preserve">It is also important to remember that the Charter does not expand EU law beyond the </w:t>
      </w:r>
      <w:r w:rsidRPr="00E3672F" w:rsidR="00A60C69">
        <w:rPr>
          <w:rFonts w:cs="Times New Roman"/>
          <w:lang w:val="en-GB"/>
        </w:rPr>
        <w:t>E</w:t>
      </w:r>
      <w:r w:rsidRPr="00E3672F">
        <w:rPr>
          <w:rFonts w:cs="Times New Roman"/>
          <w:lang w:val="en-GB"/>
        </w:rPr>
        <w:t>U</w:t>
      </w:r>
      <w:r w:rsidRPr="00E3672F" w:rsidR="00413731">
        <w:rPr>
          <w:rFonts w:cs="Times New Roman"/>
          <w:lang w:val="en-GB"/>
        </w:rPr>
        <w:t>’</w:t>
      </w:r>
      <w:r w:rsidRPr="00E3672F">
        <w:rPr>
          <w:rFonts w:cs="Times New Roman"/>
          <w:lang w:val="en-GB"/>
        </w:rPr>
        <w:t xml:space="preserve">s </w:t>
      </w:r>
      <w:r w:rsidRPr="00E3672F" w:rsidR="009438CB">
        <w:rPr>
          <w:rFonts w:cs="Times New Roman"/>
          <w:lang w:val="en-GB"/>
        </w:rPr>
        <w:t>existing</w:t>
      </w:r>
      <w:r w:rsidRPr="00E3672F">
        <w:rPr>
          <w:rFonts w:cs="Times New Roman"/>
          <w:lang w:val="en-GB"/>
        </w:rPr>
        <w:t xml:space="preserve"> powers, and it does not create new powers or tasks for the </w:t>
      </w:r>
      <w:r w:rsidRPr="00E3672F" w:rsidR="00A60C69">
        <w:rPr>
          <w:rFonts w:cs="Times New Roman"/>
          <w:lang w:val="en-GB"/>
        </w:rPr>
        <w:t xml:space="preserve">EU </w:t>
      </w:r>
      <w:r w:rsidRPr="00E3672F">
        <w:rPr>
          <w:rFonts w:cs="Times New Roman"/>
          <w:lang w:val="en-GB"/>
        </w:rPr>
        <w:t>or change those already defined in the Treaties. </w:t>
      </w:r>
      <w:bookmarkStart w:name="_Toc65094376" w:id="3"/>
    </w:p>
    <w:p w:rsidRPr="00E3672F" w:rsidR="00FB58E4" w:rsidP="001E1287" w:rsidRDefault="00FB58E4" w14:paraId="65980D04" w14:textId="77777777">
      <w:pPr>
        <w:pStyle w:val="Header"/>
        <w:spacing w:before="120" w:after="120" w:line="360" w:lineRule="auto"/>
        <w:contextualSpacing/>
        <w:rPr>
          <w:b/>
          <w:bCs/>
        </w:rPr>
      </w:pPr>
    </w:p>
    <w:p w:rsidRPr="00E3672F" w:rsidR="008D19E7" w:rsidP="001E1287" w:rsidRDefault="00CA0419" w14:paraId="7901C8F5" w14:textId="02C98163">
      <w:pPr>
        <w:pStyle w:val="Heading2"/>
        <w:spacing w:before="120" w:after="120" w:line="360" w:lineRule="auto"/>
        <w:contextualSpacing/>
        <w:rPr>
          <w:rFonts w:cs="Times New Roman"/>
          <w:color w:val="004F88"/>
          <w:u w:val="single"/>
        </w:rPr>
      </w:pPr>
      <w:bookmarkStart w:name="_Toc228180510" w:id="4"/>
      <w:r w:rsidRPr="00E3672F">
        <w:rPr>
          <w:rFonts w:cs="Times New Roman"/>
          <w:color w:val="004F88"/>
        </w:rPr>
        <w:t xml:space="preserve">1.2 </w:t>
      </w:r>
      <w:r w:rsidRPr="00E3672F" w:rsidR="00892B67">
        <w:rPr>
          <w:rFonts w:cs="Times New Roman"/>
          <w:color w:val="004F88"/>
        </w:rPr>
        <w:tab/>
      </w:r>
      <w:r w:rsidRPr="00E3672F" w:rsidR="00A91BE1">
        <w:rPr>
          <w:rFonts w:cs="Times New Roman"/>
          <w:color w:val="004F88"/>
          <w:u w:val="single"/>
        </w:rPr>
        <w:t>Methodology</w:t>
      </w:r>
      <w:bookmarkEnd w:id="3"/>
      <w:r w:rsidRPr="00E3672F" w:rsidR="00A91BE1">
        <w:rPr>
          <w:rFonts w:cs="Times New Roman"/>
          <w:color w:val="004F88"/>
          <w:u w:val="single"/>
        </w:rPr>
        <w:t xml:space="preserve"> and </w:t>
      </w:r>
      <w:r w:rsidRPr="00E3672F" w:rsidR="00933453">
        <w:rPr>
          <w:rFonts w:cs="Times New Roman"/>
          <w:color w:val="004F88"/>
          <w:u w:val="single"/>
        </w:rPr>
        <w:t>study group</w:t>
      </w:r>
      <w:bookmarkEnd w:id="4"/>
    </w:p>
    <w:p w:rsidRPr="00E3672F" w:rsidR="00C37DF7" w:rsidP="001E1287" w:rsidRDefault="007C01EC" w14:paraId="581A29E5" w14:textId="4E8C4264">
      <w:pPr>
        <w:spacing w:before="120" w:after="120" w:line="360" w:lineRule="auto"/>
        <w:contextualSpacing/>
        <w:rPr>
          <w:b/>
          <w:bCs/>
        </w:rPr>
      </w:pPr>
      <w:r w:rsidRPr="00E3672F">
        <w:rPr>
          <w:b/>
          <w:bCs/>
        </w:rPr>
        <w:t>The EESC</w:t>
      </w:r>
      <w:r w:rsidRPr="00E3672F" w:rsidR="00413731">
        <w:rPr>
          <w:b/>
          <w:bCs/>
        </w:rPr>
        <w:t>’</w:t>
      </w:r>
      <w:r w:rsidRPr="00E3672F" w:rsidR="00933453">
        <w:rPr>
          <w:b/>
          <w:bCs/>
        </w:rPr>
        <w:t>s</w:t>
      </w:r>
      <w:r w:rsidRPr="00E3672F">
        <w:rPr>
          <w:b/>
          <w:bCs/>
        </w:rPr>
        <w:t xml:space="preserve"> methodology</w:t>
      </w:r>
      <w:r w:rsidRPr="00E3672F">
        <w:t xml:space="preserve"> </w:t>
      </w:r>
      <w:r w:rsidRPr="00E3672F" w:rsidR="001E477C">
        <w:t xml:space="preserve">for its evaluation reports </w:t>
      </w:r>
      <w:r w:rsidRPr="00E3672F">
        <w:t xml:space="preserve">is guided by the </w:t>
      </w:r>
      <w:r w:rsidRPr="00E3672F" w:rsidR="00933453">
        <w:t>Commission</w:t>
      </w:r>
      <w:r w:rsidRPr="00E3672F" w:rsidR="00413731">
        <w:t>’</w:t>
      </w:r>
      <w:r w:rsidRPr="00E3672F" w:rsidR="00933453">
        <w:t xml:space="preserve">s </w:t>
      </w:r>
      <w:r w:rsidRPr="00E3672F">
        <w:t xml:space="preserve">Better Regulation </w:t>
      </w:r>
      <w:r w:rsidR="00535389">
        <w:t>G</w:t>
      </w:r>
      <w:r w:rsidRPr="00E3672F">
        <w:t>uideline</w:t>
      </w:r>
      <w:r w:rsidRPr="00E3672F" w:rsidR="00980DE1">
        <w:t>s</w:t>
      </w:r>
      <w:r w:rsidRPr="00E3672F" w:rsidR="00C37DF7">
        <w:rPr>
          <w:rStyle w:val="FootnoteReference"/>
        </w:rPr>
        <w:footnoteReference w:id="2"/>
      </w:r>
      <w:r w:rsidRPr="00E3672F" w:rsidR="001E477C">
        <w:t xml:space="preserve">, with </w:t>
      </w:r>
      <w:r w:rsidRPr="00E3672F" w:rsidR="00BE1071">
        <w:t>its</w:t>
      </w:r>
      <w:r w:rsidRPr="00E3672F" w:rsidR="001E477C">
        <w:t xml:space="preserve"> reports </w:t>
      </w:r>
      <w:r w:rsidRPr="00E3672F" w:rsidR="00C37DF7">
        <w:t>us</w:t>
      </w:r>
      <w:r w:rsidRPr="00E3672F" w:rsidR="001E477C">
        <w:t>ing</w:t>
      </w:r>
      <w:r w:rsidRPr="00E3672F" w:rsidR="00C37DF7">
        <w:t xml:space="preserve"> </w:t>
      </w:r>
      <w:r w:rsidRPr="00E3672F" w:rsidR="003314FF">
        <w:t>two</w:t>
      </w:r>
      <w:r w:rsidRPr="00E3672F" w:rsidR="00C37DF7">
        <w:t xml:space="preserve"> of the three criteria mentioned in Tool 47 of the Better Regulation Toolbox</w:t>
      </w:r>
      <w:r w:rsidRPr="00E3672F" w:rsidR="00C37DF7">
        <w:rPr>
          <w:rStyle w:val="FootnoteReference"/>
        </w:rPr>
        <w:footnoteReference w:id="3"/>
      </w:r>
      <w:r w:rsidRPr="00E3672F" w:rsidR="00C37DF7">
        <w:t xml:space="preserve">: effectiveness and relevance. </w:t>
      </w:r>
      <w:r w:rsidRPr="00E3672F" w:rsidR="001646E7">
        <w:t>In addition</w:t>
      </w:r>
      <w:r w:rsidRPr="00E3672F" w:rsidR="00C37DF7">
        <w:t xml:space="preserve">, the </w:t>
      </w:r>
      <w:r w:rsidRPr="00E3672F" w:rsidR="001646E7">
        <w:t>EESC</w:t>
      </w:r>
      <w:r w:rsidRPr="00E3672F" w:rsidR="00413731">
        <w:t>’</w:t>
      </w:r>
      <w:r w:rsidRPr="00E3672F" w:rsidR="00594273">
        <w:t>s evaluation</w:t>
      </w:r>
      <w:r w:rsidRPr="00E3672F" w:rsidR="00BE1071">
        <w:t xml:space="preserve"> report</w:t>
      </w:r>
      <w:r w:rsidRPr="00E3672F" w:rsidR="00594273">
        <w:t>s</w:t>
      </w:r>
      <w:r w:rsidRPr="00E3672F" w:rsidR="001646E7">
        <w:t xml:space="preserve"> </w:t>
      </w:r>
      <w:r w:rsidRPr="00E3672F" w:rsidR="00C37DF7">
        <w:t xml:space="preserve">also </w:t>
      </w:r>
      <w:r w:rsidRPr="00E3672F" w:rsidR="00594273">
        <w:t xml:space="preserve">consider </w:t>
      </w:r>
      <w:r w:rsidRPr="00E3672F" w:rsidR="00C37DF7">
        <w:t>the added value of civil society involvement in the policy at hand.</w:t>
      </w:r>
      <w:r w:rsidRPr="00E3672F" w:rsidR="008B74EE">
        <w:t xml:space="preserve"> </w:t>
      </w:r>
    </w:p>
    <w:p w:rsidRPr="00E3672F" w:rsidR="007C01EC" w:rsidP="001E1287" w:rsidRDefault="007C01EC" w14:paraId="07B1DE05" w14:textId="77777777">
      <w:pPr>
        <w:spacing w:before="120" w:after="120" w:line="360" w:lineRule="auto"/>
        <w:contextualSpacing/>
      </w:pPr>
    </w:p>
    <w:p w:rsidRPr="00E3672F" w:rsidR="00980DE1" w:rsidP="001E1287" w:rsidRDefault="00980DE1" w14:paraId="5D86CE8B" w14:textId="41A33E3F">
      <w:pPr>
        <w:spacing w:before="120" w:after="120" w:line="360" w:lineRule="auto"/>
        <w:contextualSpacing/>
      </w:pPr>
      <w:r w:rsidRPr="00E3672F">
        <w:t xml:space="preserve">The </w:t>
      </w:r>
      <w:r w:rsidRPr="00E3672F" w:rsidR="00B83FB2">
        <w:t>three</w:t>
      </w:r>
      <w:r w:rsidRPr="00E3672F">
        <w:t xml:space="preserve"> criteria can be understood as</w:t>
      </w:r>
      <w:r w:rsidRPr="00E3672F" w:rsidR="00933453">
        <w:t xml:space="preserve"> follows</w:t>
      </w:r>
      <w:r w:rsidRPr="00E3672F">
        <w:t xml:space="preserve">: </w:t>
      </w:r>
    </w:p>
    <w:p w:rsidRPr="00E3672F" w:rsidR="00980DE1" w:rsidP="001E1287" w:rsidRDefault="00980DE1" w14:paraId="17AE9772" w14:textId="77777777">
      <w:pPr>
        <w:pStyle w:val="ListParagraph"/>
        <w:numPr>
          <w:ilvl w:val="0"/>
          <w:numId w:val="2"/>
        </w:numPr>
        <w:spacing w:before="120" w:after="120" w:line="360" w:lineRule="auto"/>
        <w:rPr>
          <w:bCs/>
        </w:rPr>
      </w:pPr>
      <w:r w:rsidRPr="00E3672F">
        <w:rPr>
          <w:b/>
        </w:rPr>
        <w:t>Effectiveness</w:t>
      </w:r>
      <w:r w:rsidRPr="00E3672F">
        <w:rPr>
          <w:bCs/>
        </w:rPr>
        <w:t>: considers how successful EU action has been in achieving (or progressing towards) its objectives.</w:t>
      </w:r>
    </w:p>
    <w:p w:rsidRPr="00E3672F" w:rsidR="00980DE1" w:rsidP="001E1287" w:rsidRDefault="00980DE1" w14:paraId="1FF4A7F0" w14:textId="75DBCFA4">
      <w:pPr>
        <w:pStyle w:val="ListParagraph"/>
        <w:numPr>
          <w:ilvl w:val="0"/>
          <w:numId w:val="2"/>
        </w:numPr>
        <w:spacing w:before="120" w:after="120" w:line="360" w:lineRule="auto"/>
        <w:rPr>
          <w:bCs/>
        </w:rPr>
      </w:pPr>
      <w:r w:rsidRPr="00E3672F">
        <w:rPr>
          <w:b/>
        </w:rPr>
        <w:t>Relevance</w:t>
      </w:r>
      <w:r w:rsidRPr="00E3672F">
        <w:rPr>
          <w:bCs/>
        </w:rPr>
        <w:t xml:space="preserve">: looks at the relationship between the needs and problems in society and the objectives of the intervention; relevance analysis requires consideration of how the objectives of an EU intervention correspond to wider EU policy goals and priorities. </w:t>
      </w:r>
    </w:p>
    <w:p w:rsidRPr="00E3672F" w:rsidR="003314FF" w:rsidP="001E1287" w:rsidRDefault="00980DE1" w14:paraId="58A350BE" w14:textId="0FCFF4E2">
      <w:pPr>
        <w:pStyle w:val="ListParagraph"/>
        <w:numPr>
          <w:ilvl w:val="0"/>
          <w:numId w:val="2"/>
        </w:numPr>
        <w:spacing w:before="120" w:after="120" w:line="360" w:lineRule="auto"/>
        <w:rPr>
          <w:bCs/>
        </w:rPr>
      </w:pPr>
      <w:r w:rsidRPr="00E3672F">
        <w:rPr>
          <w:b/>
        </w:rPr>
        <w:t xml:space="preserve">Added value of civil society </w:t>
      </w:r>
      <w:r w:rsidRPr="00E3672F" w:rsidR="00B729F9">
        <w:rPr>
          <w:b/>
        </w:rPr>
        <w:t>involvement:</w:t>
      </w:r>
      <w:r w:rsidRPr="00E3672F">
        <w:rPr>
          <w:bCs/>
        </w:rPr>
        <w:t xml:space="preserve"> assesses the level of involvement of civil society in the design, monitoring, implementation and evaluation of the EU legislation in question.</w:t>
      </w:r>
    </w:p>
    <w:p w:rsidRPr="00E3672F" w:rsidR="00980DE1" w:rsidP="001E1287" w:rsidRDefault="00980DE1" w14:paraId="6BB7DE01" w14:textId="77777777">
      <w:pPr>
        <w:pStyle w:val="ListParagraph"/>
        <w:spacing w:before="120" w:after="120" w:line="360" w:lineRule="auto"/>
        <w:ind w:left="1287"/>
        <w:rPr>
          <w:bCs/>
        </w:rPr>
      </w:pPr>
    </w:p>
    <w:p w:rsidRPr="00E3672F" w:rsidR="00980DE1" w:rsidP="001E1287" w:rsidRDefault="00980DE1" w14:paraId="44FA4E8A" w14:textId="2A887962">
      <w:pPr>
        <w:spacing w:before="120" w:after="120" w:line="360" w:lineRule="auto"/>
        <w:contextualSpacing/>
        <w:rPr>
          <w:bCs/>
        </w:rPr>
      </w:pPr>
      <w:r w:rsidRPr="00E3672F">
        <w:rPr>
          <w:bCs/>
        </w:rPr>
        <w:t>In practice, the EESC</w:t>
      </w:r>
      <w:r w:rsidRPr="00E3672F" w:rsidR="00413731">
        <w:rPr>
          <w:bCs/>
        </w:rPr>
        <w:t>’</w:t>
      </w:r>
      <w:r w:rsidRPr="00E3672F" w:rsidR="00594273">
        <w:rPr>
          <w:bCs/>
        </w:rPr>
        <w:t>s</w:t>
      </w:r>
      <w:r w:rsidRPr="00E3672F">
        <w:rPr>
          <w:bCs/>
        </w:rPr>
        <w:t xml:space="preserve"> </w:t>
      </w:r>
      <w:r w:rsidRPr="00E3672F" w:rsidR="00594273">
        <w:rPr>
          <w:bCs/>
        </w:rPr>
        <w:t xml:space="preserve">evaluation reports </w:t>
      </w:r>
      <w:r w:rsidRPr="00E3672F">
        <w:rPr>
          <w:bCs/>
        </w:rPr>
        <w:t xml:space="preserve">provide </w:t>
      </w:r>
      <w:r w:rsidRPr="00E3672F">
        <w:rPr>
          <w:b/>
        </w:rPr>
        <w:t>organised civil society</w:t>
      </w:r>
      <w:r w:rsidRPr="00E3672F" w:rsidR="00413731">
        <w:rPr>
          <w:b/>
        </w:rPr>
        <w:t>’</w:t>
      </w:r>
      <w:r w:rsidRPr="00E3672F">
        <w:rPr>
          <w:b/>
        </w:rPr>
        <w:t>s input</w:t>
      </w:r>
      <w:r w:rsidRPr="00E3672F">
        <w:rPr>
          <w:bCs/>
        </w:rPr>
        <w:t xml:space="preserve"> </w:t>
      </w:r>
      <w:r w:rsidRPr="00E3672F" w:rsidR="00594273">
        <w:rPr>
          <w:bCs/>
        </w:rPr>
        <w:t>in</w:t>
      </w:r>
      <w:r w:rsidRPr="00E3672F">
        <w:rPr>
          <w:bCs/>
        </w:rPr>
        <w:t xml:space="preserve">to an ongoing evaluation </w:t>
      </w:r>
      <w:r w:rsidRPr="00E3672F" w:rsidR="00594273">
        <w:rPr>
          <w:bCs/>
        </w:rPr>
        <w:t xml:space="preserve">by </w:t>
      </w:r>
      <w:r w:rsidRPr="00E3672F">
        <w:rPr>
          <w:bCs/>
        </w:rPr>
        <w:t>the European Commission.</w:t>
      </w:r>
    </w:p>
    <w:p w:rsidRPr="00E3672F" w:rsidR="00F92BD3" w:rsidP="001E1287" w:rsidRDefault="00980DE1" w14:paraId="2908A90F" w14:textId="0CB9B434">
      <w:pPr>
        <w:spacing w:before="120" w:after="120" w:line="360" w:lineRule="auto"/>
        <w:contextualSpacing/>
      </w:pPr>
      <w:r w:rsidRPr="00E3672F">
        <w:t xml:space="preserve">A </w:t>
      </w:r>
      <w:r w:rsidRPr="00E3672F">
        <w:rPr>
          <w:b/>
          <w:bCs/>
        </w:rPr>
        <w:t xml:space="preserve">study group of </w:t>
      </w:r>
      <w:r w:rsidR="00C10652">
        <w:rPr>
          <w:b/>
          <w:bCs/>
        </w:rPr>
        <w:t>12</w:t>
      </w:r>
      <w:r w:rsidRPr="00E3672F" w:rsidR="00C10652">
        <w:rPr>
          <w:b/>
          <w:bCs/>
        </w:rPr>
        <w:t xml:space="preserve"> </w:t>
      </w:r>
      <w:r w:rsidRPr="00E3672F" w:rsidR="00594273">
        <w:rPr>
          <w:b/>
          <w:bCs/>
        </w:rPr>
        <w:t>EESC</w:t>
      </w:r>
      <w:r w:rsidRPr="00E3672F" w:rsidR="00594273">
        <w:t xml:space="preserve"> </w:t>
      </w:r>
      <w:r w:rsidRPr="00E3672F">
        <w:rPr>
          <w:b/>
          <w:bCs/>
        </w:rPr>
        <w:t>members</w:t>
      </w:r>
      <w:r w:rsidRPr="00E3672F">
        <w:t xml:space="preserve"> collected the views of civil society organisations</w:t>
      </w:r>
      <w:r w:rsidRPr="00E3672F" w:rsidR="001E3575">
        <w:t xml:space="preserve">, </w:t>
      </w:r>
      <w:r w:rsidRPr="00E3672F">
        <w:t xml:space="preserve">public authorities </w:t>
      </w:r>
      <w:r w:rsidRPr="00E3672F" w:rsidR="001E3575">
        <w:t>and social partners</w:t>
      </w:r>
      <w:r w:rsidRPr="00E3672F" w:rsidR="00413731">
        <w:t>’</w:t>
      </w:r>
      <w:r w:rsidRPr="00E3672F" w:rsidR="001E3575">
        <w:t xml:space="preserve"> representatives </w:t>
      </w:r>
      <w:r w:rsidRPr="00E3672F">
        <w:t xml:space="preserve">through two channels: </w:t>
      </w:r>
      <w:r w:rsidRPr="00E3672F" w:rsidR="00F61D6F">
        <w:rPr>
          <w:b/>
          <w:bCs/>
        </w:rPr>
        <w:t>five</w:t>
      </w:r>
      <w:r w:rsidRPr="00E3672F">
        <w:rPr>
          <w:b/>
          <w:bCs/>
        </w:rPr>
        <w:t xml:space="preserve"> fact-finding visits</w:t>
      </w:r>
      <w:r w:rsidRPr="00E3672F">
        <w:t xml:space="preserve"> in selected Member States and a targeted </w:t>
      </w:r>
      <w:r w:rsidRPr="00E3672F">
        <w:rPr>
          <w:b/>
          <w:bCs/>
        </w:rPr>
        <w:t>online questionnaire</w:t>
      </w:r>
      <w:r w:rsidRPr="00E3672F">
        <w:t>.</w:t>
      </w:r>
    </w:p>
    <w:p w:rsidRPr="00E3672F" w:rsidR="00980DE1" w:rsidP="001E1287" w:rsidRDefault="00C37DF7" w14:paraId="3BE34F5C" w14:textId="1770BDB2">
      <w:pPr>
        <w:spacing w:before="120" w:after="120" w:line="360" w:lineRule="auto"/>
        <w:contextualSpacing/>
      </w:pPr>
      <w:r w:rsidRPr="00E3672F">
        <w:t xml:space="preserve">The group conducted a series of </w:t>
      </w:r>
      <w:r w:rsidRPr="00E3672F" w:rsidR="00B33468">
        <w:t xml:space="preserve">virtual and </w:t>
      </w:r>
      <w:r w:rsidRPr="00E3672F">
        <w:t xml:space="preserve">in-person visits to </w:t>
      </w:r>
      <w:r w:rsidRPr="00E3672F" w:rsidR="00F61D6F">
        <w:t>five</w:t>
      </w:r>
      <w:r w:rsidRPr="00E3672F">
        <w:t xml:space="preserve"> countries, chosen with a view to geographical and political diversity and the composition of the study group itself. The countries selected reflected a diverse range of legal and institutional arrangements concerning</w:t>
      </w:r>
      <w:r w:rsidRPr="00E3672F" w:rsidR="0056132C">
        <w:t xml:space="preserve"> market surveillance and</w:t>
      </w:r>
      <w:r w:rsidRPr="00E3672F">
        <w:t xml:space="preserve"> the protection of consumer right</w:t>
      </w:r>
      <w:r w:rsidRPr="00E3672F" w:rsidR="0056132C">
        <w:t>s</w:t>
      </w:r>
      <w:r w:rsidRPr="00E3672F">
        <w:t xml:space="preserve">. </w:t>
      </w:r>
    </w:p>
    <w:p w:rsidRPr="00E3672F" w:rsidR="00980DE1" w:rsidP="001E1287" w:rsidRDefault="00980DE1" w14:paraId="30FE4BC9" w14:textId="77777777">
      <w:pPr>
        <w:spacing w:before="120" w:after="120" w:line="360" w:lineRule="auto"/>
        <w:contextualSpacing/>
      </w:pPr>
    </w:p>
    <w:p w:rsidRPr="00E3672F" w:rsidR="00532D74" w:rsidP="001E1287" w:rsidRDefault="00C37DF7" w14:paraId="04B677A9" w14:textId="5E7792E4">
      <w:pPr>
        <w:spacing w:before="120" w:after="120" w:line="360" w:lineRule="auto"/>
        <w:contextualSpacing/>
      </w:pPr>
      <w:r w:rsidRPr="00E3672F">
        <w:t xml:space="preserve">The study group was </w:t>
      </w:r>
      <w:r w:rsidRPr="00E3672F" w:rsidR="00F754C8">
        <w:t>comprised of the following members</w:t>
      </w:r>
      <w:r w:rsidRPr="00E3672F">
        <w:t xml:space="preserve">: </w:t>
      </w:r>
    </w:p>
    <w:p w:rsidRPr="00E3672F" w:rsidR="00532D74" w:rsidP="001E1287" w:rsidRDefault="00E376B7" w14:paraId="6719337B" w14:textId="5775BCAB">
      <w:pPr>
        <w:pStyle w:val="NoSpacing"/>
        <w:numPr>
          <w:ilvl w:val="0"/>
          <w:numId w:val="4"/>
        </w:numPr>
        <w:spacing w:before="120" w:after="120" w:line="360" w:lineRule="auto"/>
        <w:ind w:left="714" w:hanging="357"/>
        <w:contextualSpacing/>
        <w:jc w:val="both"/>
        <w:rPr>
          <w:rFonts w:cs="Times New Roman"/>
          <w:lang w:val="en-GB"/>
        </w:rPr>
      </w:pPr>
      <w:hyperlink w:history="1" r:id="rId19">
        <w:r w:rsidRPr="00E3672F">
          <w:rPr>
            <w:rStyle w:val="Hyperlink"/>
            <w:rFonts w:cs="Times New Roman"/>
            <w:b/>
            <w:bCs/>
            <w:lang w:val="en-GB"/>
          </w:rPr>
          <w:t>Mira-Maria</w:t>
        </w:r>
        <w:r w:rsidR="00535389">
          <w:rPr>
            <w:rStyle w:val="Hyperlink"/>
            <w:rFonts w:cs="Times New Roman"/>
            <w:b/>
            <w:bCs/>
            <w:lang w:val="en-GB"/>
          </w:rPr>
          <w:t xml:space="preserve"> Danisman</w:t>
        </w:r>
        <w:r w:rsidRPr="00E3672F">
          <w:rPr>
            <w:rStyle w:val="Hyperlink"/>
            <w:rFonts w:cs="Times New Roman"/>
            <w:lang w:val="en-GB"/>
          </w:rPr>
          <w:t> </w:t>
        </w:r>
      </w:hyperlink>
      <w:r w:rsidRPr="00E3672F" w:rsidR="00026652">
        <w:rPr>
          <w:rFonts w:cs="Times New Roman"/>
          <w:lang w:val="en-GB"/>
        </w:rPr>
        <w:t xml:space="preserve">– </w:t>
      </w:r>
      <w:r w:rsidRPr="00E3672F" w:rsidR="00532D74">
        <w:rPr>
          <w:rFonts w:cs="Times New Roman"/>
          <w:lang w:val="en-GB"/>
        </w:rPr>
        <w:t>Employers</w:t>
      </w:r>
      <w:r w:rsidRPr="00E3672F" w:rsidR="00413731">
        <w:rPr>
          <w:rFonts w:cs="Times New Roman"/>
          <w:lang w:val="en-GB"/>
        </w:rPr>
        <w:t>’</w:t>
      </w:r>
      <w:r w:rsidRPr="00E3672F" w:rsidR="00532D74">
        <w:rPr>
          <w:rFonts w:cs="Times New Roman"/>
          <w:lang w:val="en-GB"/>
        </w:rPr>
        <w:t xml:space="preserve"> Group. </w:t>
      </w:r>
      <w:r w:rsidRPr="00E3672F" w:rsidR="00195BD3">
        <w:rPr>
          <w:rFonts w:cs="Times New Roman"/>
          <w:lang w:val="en-GB"/>
        </w:rPr>
        <w:t>Head of EU office, Federation of Finnish Enterprises</w:t>
      </w:r>
    </w:p>
    <w:p w:rsidRPr="00E3672F" w:rsidR="00532D74" w:rsidP="001E1287" w:rsidRDefault="007E11B8" w14:paraId="39DC7CF5" w14:textId="33329745">
      <w:pPr>
        <w:pStyle w:val="NoSpacing"/>
        <w:numPr>
          <w:ilvl w:val="0"/>
          <w:numId w:val="4"/>
        </w:numPr>
        <w:spacing w:before="120" w:after="120" w:line="360" w:lineRule="auto"/>
        <w:ind w:left="714" w:hanging="357"/>
        <w:contextualSpacing/>
        <w:jc w:val="both"/>
        <w:rPr>
          <w:rFonts w:cs="Times New Roman"/>
          <w:lang w:val="en-GB"/>
        </w:rPr>
      </w:pPr>
      <w:hyperlink w:history="1" r:id="rId20">
        <w:r w:rsidRPr="009B193B" w:rsidR="00D90D71">
          <w:rPr>
            <w:rStyle w:val="Hyperlink"/>
            <w:rFonts w:cs="Times New Roman"/>
            <w:b/>
            <w:bCs/>
          </w:rPr>
          <w:t>Jean-Michel</w:t>
        </w:r>
      </w:hyperlink>
      <w:r w:rsidRPr="009B193B" w:rsidR="00535389">
        <w:rPr>
          <w:rStyle w:val="Hyperlink"/>
          <w:rFonts w:cs="Times New Roman"/>
        </w:rPr>
        <w:t xml:space="preserve"> </w:t>
      </w:r>
      <w:r w:rsidRPr="009B193B" w:rsidR="00535389">
        <w:rPr>
          <w:rStyle w:val="Hyperlink"/>
          <w:rFonts w:cs="Times New Roman"/>
          <w:b/>
          <w:bCs/>
        </w:rPr>
        <w:t>Pottier</w:t>
      </w:r>
      <w:r w:rsidRPr="009B193B" w:rsidR="00D90D71">
        <w:rPr>
          <w:rFonts w:cs="Times New Roman"/>
        </w:rPr>
        <w:t xml:space="preserve"> </w:t>
      </w:r>
      <w:hyperlink w:history="1" r:id="rId21"/>
      <w:r w:rsidRPr="009B193B" w:rsidR="00026652">
        <w:rPr>
          <w:rFonts w:cs="Times New Roman"/>
        </w:rPr>
        <w:t>–</w:t>
      </w:r>
      <w:r w:rsidRPr="009B193B" w:rsidR="00532D74">
        <w:rPr>
          <w:rFonts w:cs="Times New Roman"/>
        </w:rPr>
        <w:t xml:space="preserve"> Employers</w:t>
      </w:r>
      <w:r w:rsidRPr="009B193B" w:rsidR="00413731">
        <w:rPr>
          <w:rFonts w:cs="Times New Roman"/>
        </w:rPr>
        <w:t>’</w:t>
      </w:r>
      <w:r w:rsidRPr="009B193B" w:rsidR="00532D74">
        <w:rPr>
          <w:rFonts w:cs="Times New Roman"/>
        </w:rPr>
        <w:t xml:space="preserve"> Group. </w:t>
      </w:r>
      <w:r w:rsidRPr="00E3672F" w:rsidR="00195BD3">
        <w:rPr>
          <w:rFonts w:cs="Times New Roman"/>
          <w:lang w:val="en-GB"/>
        </w:rPr>
        <w:t>Employment and training officer of the Confederation of Small and Medium-</w:t>
      </w:r>
      <w:r w:rsidRPr="00E3672F" w:rsidR="00906E36">
        <w:rPr>
          <w:rFonts w:cs="Times New Roman"/>
          <w:lang w:val="en-GB"/>
        </w:rPr>
        <w:t>S</w:t>
      </w:r>
      <w:r w:rsidRPr="00E3672F" w:rsidR="00195BD3">
        <w:rPr>
          <w:rFonts w:cs="Times New Roman"/>
          <w:lang w:val="en-GB"/>
        </w:rPr>
        <w:t>ized Enterprises (Confédération des Petites et Moyennes Entreprises, CPME)</w:t>
      </w:r>
    </w:p>
    <w:p w:rsidRPr="00E3672F" w:rsidR="00532D74" w:rsidP="001E1287" w:rsidRDefault="005A6E74" w14:paraId="5AB29606" w14:textId="1B477895">
      <w:pPr>
        <w:pStyle w:val="NoSpacing"/>
        <w:numPr>
          <w:ilvl w:val="0"/>
          <w:numId w:val="4"/>
        </w:numPr>
        <w:spacing w:before="120" w:after="120" w:line="360" w:lineRule="auto"/>
        <w:ind w:left="714" w:hanging="357"/>
        <w:contextualSpacing/>
        <w:jc w:val="both"/>
        <w:rPr>
          <w:rFonts w:cs="Times New Roman"/>
          <w:lang w:val="en-GB"/>
        </w:rPr>
      </w:pPr>
      <w:hyperlink w:history="1" r:id="rId22">
        <w:r w:rsidRPr="00E3672F">
          <w:rPr>
            <w:rStyle w:val="Hyperlink"/>
            <w:rFonts w:cs="Times New Roman"/>
            <w:b/>
            <w:bCs/>
            <w:lang w:val="en-GB"/>
          </w:rPr>
          <w:t>Isabel</w:t>
        </w:r>
      </w:hyperlink>
      <w:r w:rsidR="00535389">
        <w:rPr>
          <w:rStyle w:val="Hyperlink"/>
          <w:rFonts w:cs="Times New Roman"/>
          <w:lang w:val="en-GB"/>
        </w:rPr>
        <w:t xml:space="preserve"> </w:t>
      </w:r>
      <w:r w:rsidRPr="009B193B" w:rsidR="00535389">
        <w:rPr>
          <w:rStyle w:val="Hyperlink"/>
          <w:rFonts w:cs="Times New Roman"/>
          <w:b/>
          <w:bCs/>
          <w:lang w:val="en-GB"/>
        </w:rPr>
        <w:t>Yglesias</w:t>
      </w:r>
      <w:r w:rsidRPr="00E3672F">
        <w:rPr>
          <w:rFonts w:cs="Times New Roman"/>
          <w:lang w:val="en-GB"/>
        </w:rPr>
        <w:t xml:space="preserve"> </w:t>
      </w:r>
      <w:r w:rsidRPr="00E3672F" w:rsidR="00026652">
        <w:rPr>
          <w:rFonts w:cs="Times New Roman"/>
          <w:lang w:val="en-GB"/>
        </w:rPr>
        <w:t>–</w:t>
      </w:r>
      <w:hyperlink w:history="1" r:id="rId23"/>
      <w:r w:rsidRPr="00E3672F" w:rsidR="00532D74">
        <w:rPr>
          <w:rFonts w:cs="Times New Roman"/>
          <w:lang w:val="en-GB"/>
        </w:rPr>
        <w:t xml:space="preserve"> Employers</w:t>
      </w:r>
      <w:r w:rsidRPr="00E3672F" w:rsidR="00413731">
        <w:rPr>
          <w:rFonts w:cs="Times New Roman"/>
          <w:lang w:val="en-GB"/>
        </w:rPr>
        <w:t>’</w:t>
      </w:r>
      <w:r w:rsidRPr="00E3672F" w:rsidR="00532D74">
        <w:rPr>
          <w:rFonts w:cs="Times New Roman"/>
          <w:lang w:val="en-GB"/>
        </w:rPr>
        <w:t xml:space="preserve"> Group. </w:t>
      </w:r>
      <w:r w:rsidRPr="00E3672F" w:rsidR="00195BD3">
        <w:rPr>
          <w:rFonts w:cs="Times New Roman"/>
          <w:lang w:val="en-GB"/>
        </w:rPr>
        <w:t>EU Affairs Director, CEOE</w:t>
      </w:r>
    </w:p>
    <w:p w:rsidRPr="00E3672F" w:rsidR="005A6E74" w:rsidP="001E1287" w:rsidRDefault="005A6E74" w14:paraId="59686226" w14:textId="537D8118">
      <w:pPr>
        <w:pStyle w:val="NoSpacing"/>
        <w:numPr>
          <w:ilvl w:val="0"/>
          <w:numId w:val="4"/>
        </w:numPr>
        <w:spacing w:before="120" w:after="120" w:line="360" w:lineRule="auto"/>
        <w:ind w:left="714" w:hanging="357"/>
        <w:contextualSpacing/>
        <w:rPr>
          <w:rFonts w:cs="Times New Roman"/>
          <w:lang w:val="en-GB"/>
        </w:rPr>
      </w:pPr>
      <w:hyperlink w:history="1" r:id="rId24">
        <w:r w:rsidRPr="00535389">
          <w:rPr>
            <w:rStyle w:val="Hyperlink"/>
            <w:rFonts w:cs="Times New Roman"/>
            <w:b/>
            <w:bCs/>
            <w:lang w:val="en-GB"/>
          </w:rPr>
          <w:t>Marie</w:t>
        </w:r>
      </w:hyperlink>
      <w:r w:rsidRPr="009B193B" w:rsidR="00535389">
        <w:rPr>
          <w:u w:val="single"/>
          <w:lang w:val="en-US"/>
        </w:rPr>
        <w:t xml:space="preserve"> </w:t>
      </w:r>
      <w:r w:rsidRPr="00535389" w:rsidR="00535389">
        <w:rPr>
          <w:rStyle w:val="Hyperlink"/>
          <w:rFonts w:cs="Times New Roman"/>
          <w:b/>
          <w:bCs/>
          <w:lang w:val="en-GB"/>
        </w:rPr>
        <w:t>Zvolská</w:t>
      </w:r>
      <w:r w:rsidRPr="00E3672F">
        <w:rPr>
          <w:rFonts w:cs="Times New Roman"/>
          <w:lang w:val="en-GB"/>
        </w:rPr>
        <w:t xml:space="preserve"> </w:t>
      </w:r>
      <w:r w:rsidRPr="00E3672F" w:rsidR="00026652">
        <w:rPr>
          <w:rFonts w:cs="Times New Roman"/>
          <w:lang w:val="en-GB"/>
        </w:rPr>
        <w:t>–</w:t>
      </w:r>
      <w:r w:rsidRPr="00E3672F">
        <w:rPr>
          <w:rFonts w:cs="Times New Roman"/>
          <w:lang w:val="en-GB"/>
        </w:rPr>
        <w:t xml:space="preserve"> Employers</w:t>
      </w:r>
      <w:r w:rsidRPr="00E3672F" w:rsidR="00413731">
        <w:rPr>
          <w:rFonts w:cs="Times New Roman"/>
          <w:lang w:val="en-GB"/>
        </w:rPr>
        <w:t>’</w:t>
      </w:r>
      <w:r w:rsidRPr="00E3672F">
        <w:rPr>
          <w:rFonts w:cs="Times New Roman"/>
          <w:lang w:val="en-GB"/>
        </w:rPr>
        <w:t xml:space="preserve"> Group.</w:t>
      </w:r>
      <w:r w:rsidRPr="00E3672F" w:rsidR="00195BD3">
        <w:rPr>
          <w:rFonts w:cs="Times New Roman"/>
          <w:lang w:val="en-GB"/>
        </w:rPr>
        <w:t xml:space="preserve"> European affairs advis</w:t>
      </w:r>
      <w:r w:rsidR="00C10652">
        <w:rPr>
          <w:rFonts w:cs="Times New Roman"/>
          <w:lang w:val="en-GB"/>
        </w:rPr>
        <w:t>o</w:t>
      </w:r>
      <w:r w:rsidRPr="00E3672F" w:rsidR="00195BD3">
        <w:rPr>
          <w:rFonts w:cs="Times New Roman"/>
          <w:lang w:val="en-GB"/>
        </w:rPr>
        <w:t>r of the Confederation of Employers and Entrepreneurs Associations of the Czech Republic (KZPS)</w:t>
      </w:r>
    </w:p>
    <w:p w:rsidRPr="00E3672F" w:rsidR="00E376B7" w:rsidP="001E1287" w:rsidRDefault="00E376B7" w14:paraId="5327FFEB" w14:textId="10CE4BBD">
      <w:pPr>
        <w:pStyle w:val="NoSpacing"/>
        <w:numPr>
          <w:ilvl w:val="0"/>
          <w:numId w:val="4"/>
        </w:numPr>
        <w:spacing w:before="120" w:after="120" w:line="360" w:lineRule="auto"/>
        <w:ind w:left="714" w:hanging="357"/>
        <w:contextualSpacing/>
        <w:rPr>
          <w:rFonts w:cs="Times New Roman"/>
          <w:lang w:val="en-GB"/>
        </w:rPr>
      </w:pPr>
      <w:hyperlink w:history="1" r:id="rId25">
        <w:r w:rsidRPr="00E3672F">
          <w:rPr>
            <w:rStyle w:val="Hyperlink"/>
            <w:rFonts w:cs="Times New Roman"/>
            <w:b/>
            <w:bCs/>
            <w:lang w:val="en-GB"/>
          </w:rPr>
          <w:t>Giulia</w:t>
        </w:r>
        <w:r w:rsidR="00535389">
          <w:rPr>
            <w:rStyle w:val="Hyperlink"/>
            <w:rFonts w:cs="Times New Roman"/>
            <w:b/>
            <w:bCs/>
            <w:lang w:val="en-GB"/>
          </w:rPr>
          <w:t xml:space="preserve"> Barbucci</w:t>
        </w:r>
        <w:r w:rsidRPr="00E3672F">
          <w:rPr>
            <w:rStyle w:val="Hyperlink"/>
            <w:rFonts w:cs="Times New Roman"/>
            <w:lang w:val="en-GB"/>
          </w:rPr>
          <w:t> </w:t>
        </w:r>
      </w:hyperlink>
      <w:r w:rsidRPr="00E3672F">
        <w:rPr>
          <w:rFonts w:cs="Times New Roman"/>
          <w:lang w:val="en-GB"/>
        </w:rPr>
        <w:t>– Workers</w:t>
      </w:r>
      <w:r w:rsidRPr="00E3672F" w:rsidR="00413731">
        <w:rPr>
          <w:rFonts w:cs="Times New Roman"/>
          <w:lang w:val="en-GB"/>
        </w:rPr>
        <w:t>’</w:t>
      </w:r>
      <w:r w:rsidRPr="00E3672F">
        <w:rPr>
          <w:rFonts w:cs="Times New Roman"/>
          <w:lang w:val="en-GB"/>
        </w:rPr>
        <w:t xml:space="preserve"> Group. </w:t>
      </w:r>
      <w:r w:rsidRPr="00E3672F" w:rsidR="00195BD3">
        <w:rPr>
          <w:rFonts w:cs="Times New Roman"/>
          <w:lang w:val="en-GB"/>
        </w:rPr>
        <w:t xml:space="preserve">European and international policy department of </w:t>
      </w:r>
      <w:r w:rsidR="00064591">
        <w:rPr>
          <w:rFonts w:cs="Times New Roman"/>
          <w:lang w:val="en-GB"/>
        </w:rPr>
        <w:t xml:space="preserve">the </w:t>
      </w:r>
      <w:r w:rsidRPr="00E3672F" w:rsidR="00195BD3">
        <w:rPr>
          <w:rFonts w:cs="Times New Roman"/>
          <w:lang w:val="en-GB"/>
        </w:rPr>
        <w:t>CGIL (Italian General Confederation of Labour)</w:t>
      </w:r>
      <w:r w:rsidRPr="00E3672F">
        <w:rPr>
          <w:rFonts w:cs="Times New Roman"/>
          <w:lang w:val="en-GB"/>
        </w:rPr>
        <w:t xml:space="preserve">. </w:t>
      </w:r>
      <w:r w:rsidRPr="00E3672F">
        <w:rPr>
          <w:rFonts w:cs="Times New Roman"/>
          <w:i/>
          <w:iCs/>
          <w:lang w:val="en-GB"/>
        </w:rPr>
        <w:t>Rapporteur</w:t>
      </w:r>
    </w:p>
    <w:p w:rsidRPr="00E3672F" w:rsidR="00532D74" w:rsidP="001E1287" w:rsidRDefault="00E376B7" w14:paraId="103247EA" w14:textId="34C5B556">
      <w:pPr>
        <w:pStyle w:val="NoSpacing"/>
        <w:numPr>
          <w:ilvl w:val="0"/>
          <w:numId w:val="4"/>
        </w:numPr>
        <w:spacing w:before="120" w:after="120" w:line="360" w:lineRule="auto"/>
        <w:ind w:left="714" w:hanging="357"/>
        <w:contextualSpacing/>
        <w:jc w:val="both"/>
        <w:rPr>
          <w:rFonts w:cs="Times New Roman"/>
          <w:lang w:val="en-GB"/>
        </w:rPr>
      </w:pPr>
      <w:hyperlink w:history="1" r:id="rId26">
        <w:r w:rsidRPr="00E3672F">
          <w:rPr>
            <w:rStyle w:val="Hyperlink"/>
            <w:rFonts w:cs="Times New Roman"/>
            <w:b/>
            <w:bCs/>
            <w:lang w:val="en-GB"/>
          </w:rPr>
          <w:t>Pascal</w:t>
        </w:r>
      </w:hyperlink>
      <w:r w:rsidR="00535389">
        <w:rPr>
          <w:rStyle w:val="Hyperlink"/>
          <w:rFonts w:cs="Times New Roman"/>
          <w:b/>
          <w:bCs/>
          <w:lang w:val="en-GB"/>
        </w:rPr>
        <w:t xml:space="preserve"> Debay</w:t>
      </w:r>
      <w:r w:rsidRPr="00E3672F" w:rsidR="00026652">
        <w:rPr>
          <w:rFonts w:cs="Times New Roman"/>
          <w:b/>
          <w:bCs/>
          <w:lang w:val="en-GB"/>
        </w:rPr>
        <w:t xml:space="preserve"> </w:t>
      </w:r>
      <w:r w:rsidRPr="00E3672F" w:rsidR="00026652">
        <w:rPr>
          <w:rFonts w:cs="Times New Roman"/>
          <w:lang w:val="en-GB"/>
        </w:rPr>
        <w:t xml:space="preserve">– </w:t>
      </w:r>
      <w:r w:rsidRPr="00E3672F" w:rsidR="00532D74">
        <w:rPr>
          <w:rFonts w:cs="Times New Roman"/>
          <w:lang w:val="en-GB"/>
        </w:rPr>
        <w:t>Workers</w:t>
      </w:r>
      <w:r w:rsidRPr="00E3672F" w:rsidR="00413731">
        <w:rPr>
          <w:rFonts w:cs="Times New Roman"/>
          <w:lang w:val="en-GB"/>
        </w:rPr>
        <w:t>’</w:t>
      </w:r>
      <w:r w:rsidRPr="00E3672F" w:rsidR="00532D74">
        <w:rPr>
          <w:rFonts w:cs="Times New Roman"/>
          <w:lang w:val="en-GB"/>
        </w:rPr>
        <w:t xml:space="preserve"> Group. </w:t>
      </w:r>
      <w:r w:rsidRPr="00E3672F" w:rsidR="0009126F">
        <w:rPr>
          <w:rFonts w:cs="Times New Roman"/>
          <w:lang w:val="en-GB"/>
        </w:rPr>
        <w:t>Special Educator at the Association for Integration and Social Reintegration in Nancy, General Confederation of Labour (CGT)</w:t>
      </w:r>
    </w:p>
    <w:p w:rsidRPr="00E3672F" w:rsidR="00532D74" w:rsidP="001E1287" w:rsidRDefault="00D90D71" w14:paraId="601A895E" w14:textId="2AB35941">
      <w:pPr>
        <w:pStyle w:val="NoSpacing"/>
        <w:numPr>
          <w:ilvl w:val="0"/>
          <w:numId w:val="4"/>
        </w:numPr>
        <w:spacing w:before="120" w:after="120" w:line="360" w:lineRule="auto"/>
        <w:ind w:left="714" w:hanging="357"/>
        <w:contextualSpacing/>
        <w:jc w:val="both"/>
        <w:rPr>
          <w:rFonts w:cs="Times New Roman"/>
          <w:lang w:val="en-GB"/>
        </w:rPr>
      </w:pPr>
      <w:hyperlink w:history="1" r:id="rId27">
        <w:r w:rsidRPr="00E3672F">
          <w:rPr>
            <w:rStyle w:val="Hyperlink"/>
            <w:rFonts w:cs="Times New Roman"/>
            <w:b/>
            <w:bCs/>
            <w:lang w:val="en-GB"/>
          </w:rPr>
          <w:t>Ellen</w:t>
        </w:r>
      </w:hyperlink>
      <w:r w:rsidRPr="009B193B" w:rsidR="00535389">
        <w:rPr>
          <w:rStyle w:val="Hyperlink"/>
          <w:rFonts w:cs="Times New Roman"/>
          <w:b/>
          <w:bCs/>
          <w:lang w:val="en-GB"/>
        </w:rPr>
        <w:t xml:space="preserve"> Nygren</w:t>
      </w:r>
      <w:r w:rsidRPr="00E3672F" w:rsidR="00026652">
        <w:rPr>
          <w:rFonts w:cs="Times New Roman"/>
          <w:lang w:val="en-GB"/>
        </w:rPr>
        <w:t xml:space="preserve"> –</w:t>
      </w:r>
      <w:r w:rsidRPr="00E3672F" w:rsidR="00532D74">
        <w:rPr>
          <w:rFonts w:cs="Times New Roman"/>
          <w:lang w:val="en-GB"/>
        </w:rPr>
        <w:t xml:space="preserve"> Workers</w:t>
      </w:r>
      <w:r w:rsidRPr="00E3672F" w:rsidR="00413731">
        <w:rPr>
          <w:rFonts w:cs="Times New Roman"/>
          <w:lang w:val="en-GB"/>
        </w:rPr>
        <w:t>’</w:t>
      </w:r>
      <w:r w:rsidRPr="00E3672F" w:rsidR="00532D74">
        <w:rPr>
          <w:rFonts w:cs="Times New Roman"/>
          <w:lang w:val="en-GB"/>
        </w:rPr>
        <w:t xml:space="preserve"> Group. </w:t>
      </w:r>
      <w:r w:rsidRPr="00E3672F" w:rsidR="000531DD">
        <w:rPr>
          <w:rFonts w:cs="Times New Roman"/>
          <w:lang w:val="en-GB"/>
        </w:rPr>
        <w:t>Trade Union Official, Swedish Trade Union Confederation (LO)</w:t>
      </w:r>
    </w:p>
    <w:p w:rsidRPr="00E3672F" w:rsidR="00532D74" w:rsidP="001E1287" w:rsidRDefault="005A6E74" w14:paraId="7514B489" w14:textId="39A2AE88">
      <w:pPr>
        <w:pStyle w:val="NoSpacing"/>
        <w:numPr>
          <w:ilvl w:val="0"/>
          <w:numId w:val="4"/>
        </w:numPr>
        <w:spacing w:before="120" w:after="120" w:line="360" w:lineRule="auto"/>
        <w:ind w:left="714" w:hanging="357"/>
        <w:contextualSpacing/>
        <w:rPr>
          <w:rFonts w:cs="Times New Roman"/>
          <w:lang w:val="en-GB"/>
        </w:rPr>
      </w:pPr>
      <w:hyperlink w:history="1" r:id="rId28">
        <w:r w:rsidRPr="00E3672F">
          <w:rPr>
            <w:rStyle w:val="Hyperlink"/>
            <w:rFonts w:cs="Times New Roman"/>
            <w:b/>
            <w:bCs/>
            <w:lang w:val="en-GB"/>
          </w:rPr>
          <w:t>Zo</w:t>
        </w:r>
        <w:r w:rsidRPr="00535389">
          <w:rPr>
            <w:rStyle w:val="Hyperlink"/>
            <w:rFonts w:cs="Times New Roman"/>
            <w:b/>
            <w:bCs/>
            <w:lang w:val="en-GB"/>
          </w:rPr>
          <w:t>i</w:t>
        </w:r>
        <w:r w:rsidRPr="009B193B" w:rsidR="00535389">
          <w:rPr>
            <w:u w:val="single"/>
            <w:lang w:val="en-US"/>
          </w:rPr>
          <w:t xml:space="preserve"> </w:t>
        </w:r>
        <w:r w:rsidRPr="00535389" w:rsidR="00535389">
          <w:rPr>
            <w:rStyle w:val="Hyperlink"/>
            <w:rFonts w:cs="Times New Roman"/>
            <w:b/>
            <w:bCs/>
            <w:lang w:val="en-GB"/>
          </w:rPr>
          <w:t>Tzotze-Lanara</w:t>
        </w:r>
        <w:r w:rsidRPr="00E3672F">
          <w:rPr>
            <w:rStyle w:val="Hyperlink"/>
            <w:rFonts w:cs="Times New Roman"/>
            <w:b/>
            <w:bCs/>
            <w:lang w:val="en-GB"/>
          </w:rPr>
          <w:t> </w:t>
        </w:r>
      </w:hyperlink>
      <w:r w:rsidRPr="00E3672F" w:rsidR="00026652">
        <w:rPr>
          <w:rFonts w:cs="Times New Roman"/>
          <w:lang w:val="en-GB"/>
        </w:rPr>
        <w:t>–</w:t>
      </w:r>
      <w:r w:rsidRPr="00E3672F" w:rsidR="00532D74">
        <w:rPr>
          <w:rFonts w:cs="Times New Roman"/>
          <w:lang w:val="en-GB"/>
        </w:rPr>
        <w:t xml:space="preserve"> Workers</w:t>
      </w:r>
      <w:r w:rsidRPr="00E3672F" w:rsidR="00413731">
        <w:rPr>
          <w:rFonts w:cs="Times New Roman"/>
          <w:lang w:val="en-GB"/>
        </w:rPr>
        <w:t>’</w:t>
      </w:r>
      <w:r w:rsidRPr="00E3672F" w:rsidR="00532D74">
        <w:rPr>
          <w:rFonts w:cs="Times New Roman"/>
          <w:lang w:val="en-GB"/>
        </w:rPr>
        <w:t xml:space="preserve"> Group. </w:t>
      </w:r>
      <w:r w:rsidRPr="00E3672F">
        <w:rPr>
          <w:rFonts w:cs="Times New Roman"/>
          <w:lang w:val="en-GB"/>
        </w:rPr>
        <w:t>Head of the international relations department of the Greek General Confederation Of Labour (GSEE)</w:t>
      </w:r>
    </w:p>
    <w:p w:rsidRPr="00E3672F" w:rsidR="00532D74" w:rsidP="001E1287" w:rsidRDefault="00E376B7" w14:paraId="365EE05C" w14:textId="0F5B0F3F">
      <w:pPr>
        <w:pStyle w:val="NoSpacing"/>
        <w:numPr>
          <w:ilvl w:val="0"/>
          <w:numId w:val="4"/>
        </w:numPr>
        <w:spacing w:before="120" w:after="120" w:line="360" w:lineRule="auto"/>
        <w:ind w:left="714" w:hanging="357"/>
        <w:contextualSpacing/>
        <w:rPr>
          <w:rFonts w:cs="Times New Roman"/>
          <w:lang w:val="en-GB"/>
        </w:rPr>
      </w:pPr>
      <w:hyperlink w:history="1" r:id="rId29">
        <w:r w:rsidRPr="00E3672F">
          <w:rPr>
            <w:rStyle w:val="Hyperlink"/>
            <w:rFonts w:cs="Times New Roman"/>
            <w:b/>
            <w:bCs/>
            <w:lang w:val="en-GB"/>
          </w:rPr>
          <w:t>Elena-Alexandra</w:t>
        </w:r>
        <w:r w:rsidR="00064591">
          <w:rPr>
            <w:rStyle w:val="Hyperlink"/>
            <w:rFonts w:cs="Times New Roman"/>
            <w:b/>
            <w:bCs/>
            <w:lang w:val="en-GB"/>
          </w:rPr>
          <w:t xml:space="preserve"> Calistru</w:t>
        </w:r>
        <w:r w:rsidRPr="00E3672F">
          <w:rPr>
            <w:rStyle w:val="Hyperlink"/>
            <w:rFonts w:cs="Times New Roman"/>
            <w:lang w:val="en-GB"/>
          </w:rPr>
          <w:t> </w:t>
        </w:r>
      </w:hyperlink>
      <w:r w:rsidRPr="00E3672F" w:rsidR="00026652">
        <w:rPr>
          <w:rFonts w:cs="Times New Roman"/>
          <w:lang w:val="en-GB"/>
        </w:rPr>
        <w:t>–</w:t>
      </w:r>
      <w:r w:rsidRPr="00E3672F" w:rsidR="00532D74">
        <w:rPr>
          <w:rFonts w:cs="Times New Roman"/>
          <w:lang w:val="en-GB"/>
        </w:rPr>
        <w:t xml:space="preserve"> Civil Society Organisations</w:t>
      </w:r>
      <w:r w:rsidRPr="00E3672F" w:rsidR="00413731">
        <w:rPr>
          <w:rFonts w:cs="Times New Roman"/>
          <w:lang w:val="en-GB"/>
        </w:rPr>
        <w:t>’</w:t>
      </w:r>
      <w:r w:rsidRPr="00E3672F" w:rsidR="00532D74">
        <w:rPr>
          <w:rFonts w:cs="Times New Roman"/>
          <w:lang w:val="en-GB"/>
        </w:rPr>
        <w:t xml:space="preserve"> Group. </w:t>
      </w:r>
      <w:r w:rsidRPr="00E3672F" w:rsidR="00C22F58">
        <w:rPr>
          <w:rFonts w:cs="Times New Roman"/>
          <w:lang w:val="en-GB"/>
        </w:rPr>
        <w:t>President of Funky Citizens</w:t>
      </w:r>
    </w:p>
    <w:p w:rsidRPr="00E3672F" w:rsidR="00532D74" w:rsidP="001E1287" w:rsidRDefault="00D90D71" w14:paraId="70D1F52C" w14:textId="36D2E827">
      <w:pPr>
        <w:pStyle w:val="NoSpacing"/>
        <w:numPr>
          <w:ilvl w:val="0"/>
          <w:numId w:val="4"/>
        </w:numPr>
        <w:spacing w:before="120" w:after="120" w:line="360" w:lineRule="auto"/>
        <w:ind w:left="714" w:hanging="357"/>
        <w:contextualSpacing/>
        <w:rPr>
          <w:rFonts w:cs="Times New Roman"/>
          <w:lang w:val="en-GB"/>
        </w:rPr>
      </w:pPr>
      <w:hyperlink w:history="1" r:id="rId30">
        <w:r w:rsidRPr="00E3672F">
          <w:rPr>
            <w:rStyle w:val="Hyperlink"/>
            <w:rFonts w:cs="Times New Roman"/>
            <w:b/>
            <w:bCs/>
            <w:lang w:val="en-GB"/>
          </w:rPr>
          <w:t>Maciej Dawid</w:t>
        </w:r>
        <w:r w:rsidR="00064591">
          <w:rPr>
            <w:rStyle w:val="Hyperlink"/>
            <w:rFonts w:cs="Times New Roman"/>
            <w:b/>
            <w:bCs/>
            <w:lang w:val="en-GB"/>
          </w:rPr>
          <w:t xml:space="preserve"> Kunysz</w:t>
        </w:r>
        <w:r w:rsidRPr="00E3672F">
          <w:rPr>
            <w:rStyle w:val="Hyperlink"/>
            <w:rFonts w:cs="Times New Roman"/>
            <w:lang w:val="en-GB"/>
          </w:rPr>
          <w:t> </w:t>
        </w:r>
      </w:hyperlink>
      <w:r w:rsidRPr="00E3672F" w:rsidR="00026652">
        <w:rPr>
          <w:rFonts w:cs="Times New Roman"/>
          <w:lang w:val="en-GB"/>
        </w:rPr>
        <w:t>–</w:t>
      </w:r>
      <w:r w:rsidRPr="00E3672F" w:rsidR="00532D74">
        <w:rPr>
          <w:rFonts w:cs="Times New Roman"/>
          <w:lang w:val="en-GB"/>
        </w:rPr>
        <w:t xml:space="preserve"> Civil Society Organisations</w:t>
      </w:r>
      <w:r w:rsidRPr="00E3672F" w:rsidR="00413731">
        <w:rPr>
          <w:rFonts w:cs="Times New Roman"/>
          <w:lang w:val="en-GB"/>
        </w:rPr>
        <w:t>’</w:t>
      </w:r>
      <w:r w:rsidRPr="00E3672F" w:rsidR="00532D74">
        <w:rPr>
          <w:rFonts w:cs="Times New Roman"/>
          <w:lang w:val="en-GB"/>
        </w:rPr>
        <w:t xml:space="preserve"> Group.</w:t>
      </w:r>
      <w:r w:rsidRPr="00E3672F" w:rsidR="00E21C4A">
        <w:rPr>
          <w:rFonts w:cs="Times New Roman"/>
          <w:lang w:val="en-GB"/>
        </w:rPr>
        <w:t xml:space="preserve"> </w:t>
      </w:r>
      <w:r w:rsidRPr="00E3672F" w:rsidR="00C22F58">
        <w:rPr>
          <w:rFonts w:cs="Times New Roman"/>
          <w:lang w:val="en-GB"/>
        </w:rPr>
        <w:t>Vice-Chair of the EKOSKOP Association, President of the Podkarpackie Federation of Citizens</w:t>
      </w:r>
      <w:r w:rsidRPr="00E3672F" w:rsidR="00413731">
        <w:rPr>
          <w:rFonts w:cs="Times New Roman"/>
          <w:lang w:val="en-GB"/>
        </w:rPr>
        <w:t>’</w:t>
      </w:r>
      <w:r w:rsidRPr="00E3672F" w:rsidR="00C22F58">
        <w:rPr>
          <w:rFonts w:cs="Times New Roman"/>
          <w:lang w:val="en-GB"/>
        </w:rPr>
        <w:t xml:space="preserve"> Organisations PARASOL, Vice-Chair of the Council for Public Benefit Activities</w:t>
      </w:r>
    </w:p>
    <w:p w:rsidRPr="00E3672F" w:rsidR="00532D74" w:rsidP="001E1287" w:rsidRDefault="00D90D71" w14:paraId="41B78B53" w14:textId="10D90841">
      <w:pPr>
        <w:pStyle w:val="NoSpacing"/>
        <w:numPr>
          <w:ilvl w:val="0"/>
          <w:numId w:val="4"/>
        </w:numPr>
        <w:spacing w:before="120" w:after="120" w:line="360" w:lineRule="auto"/>
        <w:ind w:left="714" w:hanging="357"/>
        <w:contextualSpacing/>
        <w:jc w:val="both"/>
        <w:rPr>
          <w:rFonts w:cs="Times New Roman"/>
          <w:lang w:val="en-GB"/>
        </w:rPr>
      </w:pPr>
      <w:hyperlink w:history="1" r:id="rId31">
        <w:r w:rsidRPr="00E3672F">
          <w:rPr>
            <w:rStyle w:val="Hyperlink"/>
            <w:rFonts w:cs="Times New Roman"/>
            <w:b/>
            <w:bCs/>
            <w:lang w:val="en-GB"/>
          </w:rPr>
          <w:t>Christian</w:t>
        </w:r>
        <w:r w:rsidR="00064591">
          <w:rPr>
            <w:rStyle w:val="Hyperlink"/>
            <w:rFonts w:cs="Times New Roman"/>
            <w:b/>
            <w:bCs/>
            <w:lang w:val="en-GB"/>
          </w:rPr>
          <w:t xml:space="preserve"> Moos</w:t>
        </w:r>
        <w:r w:rsidRPr="00E3672F">
          <w:rPr>
            <w:rStyle w:val="Hyperlink"/>
            <w:rFonts w:cs="Times New Roman"/>
            <w:lang w:val="en-GB"/>
          </w:rPr>
          <w:t> </w:t>
        </w:r>
      </w:hyperlink>
      <w:r w:rsidRPr="00E3672F" w:rsidR="00026652">
        <w:rPr>
          <w:rFonts w:cs="Times New Roman"/>
          <w:lang w:val="en-GB"/>
        </w:rPr>
        <w:t>–</w:t>
      </w:r>
      <w:hyperlink w:history="1" r:id="rId32"/>
      <w:r w:rsidRPr="00E3672F" w:rsidR="00532D74">
        <w:rPr>
          <w:rFonts w:cs="Times New Roman"/>
          <w:lang w:val="en-GB"/>
        </w:rPr>
        <w:t xml:space="preserve"> Civil Society Organisations</w:t>
      </w:r>
      <w:r w:rsidRPr="00E3672F" w:rsidR="00413731">
        <w:rPr>
          <w:rFonts w:cs="Times New Roman"/>
          <w:lang w:val="en-GB"/>
        </w:rPr>
        <w:t>’</w:t>
      </w:r>
      <w:r w:rsidRPr="00E3672F" w:rsidR="00532D74">
        <w:rPr>
          <w:rFonts w:cs="Times New Roman"/>
          <w:lang w:val="en-GB"/>
        </w:rPr>
        <w:t xml:space="preserve"> Group. </w:t>
      </w:r>
      <w:r w:rsidRPr="00E3672F" w:rsidR="00C22F58">
        <w:rPr>
          <w:rFonts w:cs="Times New Roman"/>
          <w:lang w:val="en-GB"/>
        </w:rPr>
        <w:t>Divisional Director (European and International Affairs), German Civil Service Association (dbb); Secretary-General of Europa-Union Deutschland; representative of the German National Network for Civil Society at European level; board member of the European Movement Germany (EBD)</w:t>
      </w:r>
    </w:p>
    <w:p w:rsidRPr="00E3672F" w:rsidR="00532D74" w:rsidP="001E1287" w:rsidRDefault="00D90D71" w14:paraId="3968D02F" w14:textId="6198C610">
      <w:pPr>
        <w:pStyle w:val="NoSpacing"/>
        <w:numPr>
          <w:ilvl w:val="0"/>
          <w:numId w:val="4"/>
        </w:numPr>
        <w:spacing w:before="120" w:after="120" w:line="360" w:lineRule="auto"/>
        <w:ind w:left="714" w:hanging="357"/>
        <w:contextualSpacing/>
        <w:rPr>
          <w:rFonts w:cs="Times New Roman"/>
          <w:lang w:val="en-GB"/>
        </w:rPr>
      </w:pPr>
      <w:hyperlink w:history="1" r:id="rId33">
        <w:r w:rsidRPr="00E3672F">
          <w:rPr>
            <w:rStyle w:val="Hyperlink"/>
            <w:rFonts w:cs="Times New Roman"/>
            <w:b/>
            <w:bCs/>
            <w:lang w:val="en-GB"/>
          </w:rPr>
          <w:t>Juliane Marie</w:t>
        </w:r>
        <w:r w:rsidRPr="009B193B" w:rsidR="00064591">
          <w:rPr>
            <w:u w:val="single"/>
            <w:lang w:val="en-US"/>
          </w:rPr>
          <w:t xml:space="preserve"> </w:t>
        </w:r>
        <w:r w:rsidRPr="00064591" w:rsidR="00064591">
          <w:rPr>
            <w:rStyle w:val="Hyperlink"/>
            <w:rFonts w:cs="Times New Roman"/>
            <w:b/>
            <w:bCs/>
            <w:lang w:val="en-GB"/>
          </w:rPr>
          <w:t>Neiiendam</w:t>
        </w:r>
        <w:r w:rsidRPr="00E3672F">
          <w:rPr>
            <w:rStyle w:val="Hyperlink"/>
            <w:rFonts w:cs="Times New Roman"/>
            <w:lang w:val="en-GB"/>
          </w:rPr>
          <w:t> </w:t>
        </w:r>
      </w:hyperlink>
      <w:r w:rsidRPr="00E3672F" w:rsidR="00026652">
        <w:rPr>
          <w:rFonts w:cs="Times New Roman"/>
          <w:lang w:val="en-GB"/>
        </w:rPr>
        <w:t>–</w:t>
      </w:r>
      <w:r w:rsidRPr="00E3672F" w:rsidR="00532D74">
        <w:rPr>
          <w:rFonts w:cs="Times New Roman"/>
          <w:lang w:val="en-GB"/>
        </w:rPr>
        <w:t xml:space="preserve"> Civil Society Organisations</w:t>
      </w:r>
      <w:r w:rsidRPr="00E3672F" w:rsidR="00413731">
        <w:rPr>
          <w:rFonts w:cs="Times New Roman"/>
          <w:lang w:val="en-GB"/>
        </w:rPr>
        <w:t>’</w:t>
      </w:r>
      <w:r w:rsidRPr="00E3672F" w:rsidR="00532D74">
        <w:rPr>
          <w:rFonts w:cs="Times New Roman"/>
          <w:lang w:val="en-GB"/>
        </w:rPr>
        <w:t xml:space="preserve"> Group. </w:t>
      </w:r>
      <w:r w:rsidRPr="00E3672F" w:rsidR="00C22F58">
        <w:rPr>
          <w:rFonts w:cs="Times New Roman"/>
          <w:lang w:val="en-GB"/>
        </w:rPr>
        <w:t>Member of the Board of the Women</w:t>
      </w:r>
      <w:r w:rsidRPr="00E3672F" w:rsidR="00413731">
        <w:rPr>
          <w:rFonts w:cs="Times New Roman"/>
          <w:lang w:val="en-GB"/>
        </w:rPr>
        <w:t>’</w:t>
      </w:r>
      <w:r w:rsidRPr="00E3672F" w:rsidR="00C22F58">
        <w:rPr>
          <w:rFonts w:cs="Times New Roman"/>
          <w:lang w:val="en-GB"/>
        </w:rPr>
        <w:t>s Council in Denmark</w:t>
      </w:r>
      <w:r w:rsidR="00064591">
        <w:rPr>
          <w:rFonts w:cs="Times New Roman"/>
          <w:lang w:val="en-GB"/>
        </w:rPr>
        <w:t>;</w:t>
      </w:r>
      <w:r w:rsidRPr="00E3672F" w:rsidR="00C22F58">
        <w:rPr>
          <w:rFonts w:cs="Times New Roman"/>
          <w:lang w:val="en-GB"/>
        </w:rPr>
        <w:t xml:space="preserve"> President of VIRKSOMME kvinder (Female SMEs)</w:t>
      </w:r>
      <w:r w:rsidR="00064591">
        <w:rPr>
          <w:rFonts w:cs="Times New Roman"/>
          <w:lang w:val="en-GB"/>
        </w:rPr>
        <w:t>;</w:t>
      </w:r>
      <w:r w:rsidRPr="00E3672F" w:rsidR="00C22F58">
        <w:rPr>
          <w:rFonts w:cs="Times New Roman"/>
          <w:lang w:val="en-GB"/>
        </w:rPr>
        <w:t xml:space="preserve"> Regional chair of IDA Copenhagen</w:t>
      </w:r>
      <w:r w:rsidR="00064591">
        <w:rPr>
          <w:rFonts w:cs="Times New Roman"/>
          <w:lang w:val="en-GB"/>
        </w:rPr>
        <w:t>;</w:t>
      </w:r>
      <w:r w:rsidRPr="00E3672F" w:rsidR="00C22F58">
        <w:rPr>
          <w:rFonts w:cs="Times New Roman"/>
          <w:lang w:val="en-GB"/>
        </w:rPr>
        <w:t xml:space="preserve"> MSc in Engineering and MBA with emphasis in marketing and leadership</w:t>
      </w:r>
      <w:r w:rsidRPr="00E3672F">
        <w:rPr>
          <w:rFonts w:cs="Times New Roman"/>
          <w:lang w:val="en-GB"/>
        </w:rPr>
        <w:t xml:space="preserve">. </w:t>
      </w:r>
      <w:r w:rsidRPr="00E3672F">
        <w:rPr>
          <w:rFonts w:cs="Times New Roman"/>
          <w:i/>
          <w:iCs/>
          <w:lang w:val="en-GB"/>
        </w:rPr>
        <w:t>President of the Study Group</w:t>
      </w:r>
    </w:p>
    <w:p w:rsidRPr="00232510" w:rsidR="00590A82" w:rsidP="001E1287" w:rsidRDefault="00614B0B" w14:paraId="56A2430B" w14:textId="41E21E6F">
      <w:pPr>
        <w:pStyle w:val="NoSpacing"/>
        <w:numPr>
          <w:ilvl w:val="0"/>
          <w:numId w:val="4"/>
        </w:numPr>
        <w:spacing w:before="120" w:after="120" w:line="360" w:lineRule="auto"/>
        <w:ind w:left="714" w:hanging="357"/>
        <w:contextualSpacing/>
        <w:jc w:val="both"/>
        <w:rPr>
          <w:rFonts w:cs="Times New Roman"/>
          <w:lang w:val="en-GB"/>
        </w:rPr>
      </w:pPr>
      <w:r w:rsidRPr="00E3672F">
        <w:rPr>
          <w:rFonts w:cs="Times New Roman"/>
          <w:b/>
          <w:bCs/>
          <w:lang w:val="en-GB"/>
        </w:rPr>
        <w:t>Silvia</w:t>
      </w:r>
      <w:r w:rsidR="00064591">
        <w:rPr>
          <w:rFonts w:cs="Times New Roman"/>
          <w:b/>
          <w:bCs/>
          <w:lang w:val="en-GB"/>
        </w:rPr>
        <w:t xml:space="preserve"> Borelli</w:t>
      </w:r>
      <w:r w:rsidRPr="00E3672F" w:rsidR="00532D74">
        <w:rPr>
          <w:rFonts w:cs="Times New Roman"/>
          <w:lang w:val="en-GB"/>
        </w:rPr>
        <w:t xml:space="preserve"> – </w:t>
      </w:r>
      <w:r w:rsidRPr="00E3672F" w:rsidR="007A48E0">
        <w:rPr>
          <w:rFonts w:cs="Times New Roman"/>
          <w:lang w:val="en-GB"/>
        </w:rPr>
        <w:t>a</w:t>
      </w:r>
      <w:r w:rsidRPr="00E3672F" w:rsidR="00532D74">
        <w:rPr>
          <w:rFonts w:cs="Times New Roman"/>
          <w:lang w:val="en-GB"/>
        </w:rPr>
        <w:t xml:space="preserve">dvisor to the </w:t>
      </w:r>
      <w:r w:rsidRPr="00E3672F" w:rsidR="007A48E0">
        <w:rPr>
          <w:rFonts w:cs="Times New Roman"/>
          <w:lang w:val="en-GB"/>
        </w:rPr>
        <w:t>r</w:t>
      </w:r>
      <w:r w:rsidRPr="00E3672F" w:rsidR="00532D74">
        <w:rPr>
          <w:rFonts w:cs="Times New Roman"/>
          <w:lang w:val="en-GB"/>
        </w:rPr>
        <w:t>apporteur</w:t>
      </w:r>
    </w:p>
    <w:p w:rsidRPr="00E3672F" w:rsidR="00A91BE1" w:rsidP="001E1287" w:rsidRDefault="00A91BE1" w14:paraId="5622D9E9" w14:textId="3DA8EDFE">
      <w:pPr>
        <w:spacing w:before="120" w:after="120" w:line="360" w:lineRule="auto"/>
        <w:contextualSpacing/>
      </w:pPr>
      <w:r w:rsidRPr="00E3672F">
        <w:t xml:space="preserve">Additionally, </w:t>
      </w:r>
      <w:r w:rsidRPr="00E3672F">
        <w:rPr>
          <w:b/>
          <w:bCs/>
        </w:rPr>
        <w:t>secondary data</w:t>
      </w:r>
      <w:r w:rsidRPr="00E3672F" w:rsidR="00E21C4A">
        <w:t xml:space="preserve"> (</w:t>
      </w:r>
      <w:r w:rsidRPr="00E3672F" w:rsidR="000F6F0B">
        <w:t xml:space="preserve">gathered </w:t>
      </w:r>
      <w:r w:rsidRPr="00E3672F">
        <w:t>from the EESC</w:t>
      </w:r>
      <w:r w:rsidRPr="00E3672F" w:rsidR="00413731">
        <w:t>’</w:t>
      </w:r>
      <w:r w:rsidRPr="00E3672F">
        <w:t>s past work on the subject</w:t>
      </w:r>
      <w:r w:rsidRPr="00E3672F" w:rsidR="00E21C4A">
        <w:t xml:space="preserve">) </w:t>
      </w:r>
      <w:r w:rsidRPr="00E3672F">
        <w:t>was also analysed.</w:t>
      </w:r>
    </w:p>
    <w:p w:rsidRPr="00E3672F" w:rsidR="00A91BE1" w:rsidP="001E1287" w:rsidRDefault="00A91BE1" w14:paraId="120EAED7" w14:textId="77777777">
      <w:pPr>
        <w:spacing w:before="120" w:after="120" w:line="360" w:lineRule="auto"/>
        <w:contextualSpacing/>
      </w:pPr>
    </w:p>
    <w:p w:rsidRPr="00E3672F" w:rsidR="00A91BE1" w:rsidP="001E1287" w:rsidRDefault="00244613" w14:paraId="585636DC" w14:textId="52B1685F">
      <w:pPr>
        <w:pStyle w:val="Heading2"/>
        <w:spacing w:before="120" w:after="120" w:line="360" w:lineRule="auto"/>
        <w:ind w:left="709" w:hanging="709"/>
        <w:contextualSpacing/>
        <w:rPr>
          <w:rFonts w:cs="Times New Roman"/>
          <w:bCs/>
          <w:color w:val="004F88"/>
        </w:rPr>
      </w:pPr>
      <w:bookmarkStart w:name="_Toc228180511" w:id="5"/>
      <w:r w:rsidRPr="00E3672F">
        <w:rPr>
          <w:rFonts w:cs="Times New Roman"/>
          <w:bCs/>
          <w:color w:val="004F88"/>
        </w:rPr>
        <w:t xml:space="preserve">1.3 </w:t>
      </w:r>
      <w:r w:rsidRPr="00E3672F" w:rsidR="00892B67">
        <w:rPr>
          <w:rFonts w:cs="Times New Roman"/>
          <w:bCs/>
          <w:color w:val="004F88"/>
        </w:rPr>
        <w:tab/>
      </w:r>
      <w:r w:rsidRPr="00E3672F" w:rsidR="00A91BE1">
        <w:rPr>
          <w:rFonts w:cs="Times New Roman"/>
          <w:bCs/>
          <w:color w:val="004F88"/>
          <w:u w:val="single"/>
        </w:rPr>
        <w:t>Fact-finding meetings</w:t>
      </w:r>
      <w:bookmarkEnd w:id="5"/>
    </w:p>
    <w:p w:rsidRPr="00E3672F" w:rsidR="00A91BE1" w:rsidP="001E1287" w:rsidRDefault="00A91BE1" w14:paraId="7E837E12" w14:textId="77777777">
      <w:pPr>
        <w:spacing w:before="120" w:after="120" w:line="360" w:lineRule="auto"/>
        <w:contextualSpacing/>
      </w:pPr>
    </w:p>
    <w:p w:rsidRPr="00E3672F" w:rsidR="00A91BE1" w:rsidP="001E1287" w:rsidRDefault="00A91BE1" w14:paraId="2C90452C" w14:textId="52276B8D">
      <w:pPr>
        <w:spacing w:before="120" w:after="120" w:line="360" w:lineRule="auto"/>
        <w:contextualSpacing/>
      </w:pPr>
      <w:r w:rsidRPr="00E3672F">
        <w:t>The fact-finding meetings included semi-structured interviews with local civil society organisations</w:t>
      </w:r>
      <w:r w:rsidRPr="00E3672F" w:rsidR="00BB7213">
        <w:t xml:space="preserve">, </w:t>
      </w:r>
      <w:r w:rsidRPr="00E3672F">
        <w:t>representatives of public authorities</w:t>
      </w:r>
      <w:r w:rsidRPr="00E3672F" w:rsidR="00945470">
        <w:t xml:space="preserve"> and</w:t>
      </w:r>
      <w:r w:rsidRPr="00E3672F">
        <w:t xml:space="preserve"> </w:t>
      </w:r>
      <w:r w:rsidRPr="00E3672F" w:rsidR="00945470">
        <w:rPr>
          <w:color w:val="000000" w:themeColor="text1"/>
        </w:rPr>
        <w:t>representatives of social partners</w:t>
      </w:r>
      <w:r w:rsidRPr="00E3672F" w:rsidR="00BB7213">
        <w:t xml:space="preserve">, </w:t>
      </w:r>
      <w:r w:rsidRPr="00E3672F">
        <w:t xml:space="preserve">generally following the thematic structure of the questionnaire. </w:t>
      </w:r>
    </w:p>
    <w:p w:rsidRPr="00E3672F" w:rsidR="00A91BE1" w:rsidP="001E1287" w:rsidRDefault="00A91BE1" w14:paraId="4DC11B44" w14:textId="24DA9BA2">
      <w:pPr>
        <w:spacing w:before="120" w:after="120" w:line="360" w:lineRule="auto"/>
        <w:contextualSpacing/>
      </w:pPr>
      <w:r w:rsidRPr="00E3672F">
        <w:t xml:space="preserve">The sample of Member States selected by the study group was based on criteria adopted by the EESC Bureau on </w:t>
      </w:r>
      <w:r w:rsidRPr="00E3672F" w:rsidR="00F10A9C">
        <w:t>13</w:t>
      </w:r>
      <w:r w:rsidRPr="00E3672F">
        <w:t> </w:t>
      </w:r>
      <w:r w:rsidRPr="00E3672F" w:rsidR="00F10A9C">
        <w:t xml:space="preserve">December </w:t>
      </w:r>
      <w:r w:rsidRPr="00E3672F">
        <w:t>202</w:t>
      </w:r>
      <w:r w:rsidRPr="00E3672F" w:rsidR="00F10A9C">
        <w:t>2</w:t>
      </w:r>
      <w:r w:rsidRPr="00E3672F">
        <w:t>. The European Commission was also informed about the sample.</w:t>
      </w:r>
    </w:p>
    <w:p w:rsidRPr="00E3672F" w:rsidR="00942B6A" w:rsidP="001E1287" w:rsidRDefault="00942B6A" w14:paraId="34A04AF9" w14:textId="0B932A91">
      <w:pPr>
        <w:spacing w:before="120" w:after="120" w:line="360" w:lineRule="auto"/>
        <w:contextualSpacing/>
        <w:rPr>
          <w:color w:val="000000" w:themeColor="text1"/>
        </w:rPr>
      </w:pPr>
      <w:r w:rsidRPr="00E3672F">
        <w:t xml:space="preserve">The </w:t>
      </w:r>
      <w:r w:rsidRPr="00E3672F" w:rsidR="00847AD8">
        <w:t xml:space="preserve">evaluation report </w:t>
      </w:r>
      <w:r w:rsidRPr="00E3672F">
        <w:t xml:space="preserve">focused on </w:t>
      </w:r>
      <w:r w:rsidRPr="00E3672F" w:rsidR="00F61D6F">
        <w:t>five</w:t>
      </w:r>
      <w:r w:rsidRPr="00E3672F">
        <w:t xml:space="preserve"> selected Member States </w:t>
      </w:r>
      <w:r w:rsidRPr="00E3672F" w:rsidR="00DD5C8E">
        <w:rPr>
          <w:color w:val="000000" w:themeColor="text1"/>
        </w:rPr>
        <w:t xml:space="preserve">– </w:t>
      </w:r>
      <w:r w:rsidRPr="00E3672F" w:rsidR="001D7A3C">
        <w:rPr>
          <w:b/>
          <w:bCs/>
          <w:color w:val="000000" w:themeColor="text1"/>
        </w:rPr>
        <w:t>Denmark</w:t>
      </w:r>
      <w:r w:rsidRPr="00E3672F" w:rsidR="00F61D6F">
        <w:rPr>
          <w:b/>
          <w:bCs/>
          <w:color w:val="000000" w:themeColor="text1"/>
        </w:rPr>
        <w:t xml:space="preserve">, </w:t>
      </w:r>
      <w:r w:rsidRPr="00E3672F" w:rsidR="001D7A3C">
        <w:rPr>
          <w:b/>
          <w:bCs/>
          <w:color w:val="000000" w:themeColor="text1"/>
        </w:rPr>
        <w:t>France</w:t>
      </w:r>
      <w:r w:rsidRPr="00E3672F" w:rsidR="00F61D6F">
        <w:rPr>
          <w:b/>
          <w:bCs/>
          <w:color w:val="000000" w:themeColor="text1"/>
        </w:rPr>
        <w:t xml:space="preserve">, </w:t>
      </w:r>
      <w:r w:rsidRPr="00E3672F" w:rsidR="001D7A3C">
        <w:rPr>
          <w:b/>
          <w:bCs/>
          <w:color w:val="000000" w:themeColor="text1"/>
        </w:rPr>
        <w:t xml:space="preserve">Latvia, </w:t>
      </w:r>
      <w:r w:rsidRPr="00E3672F" w:rsidR="00F61D6F">
        <w:rPr>
          <w:b/>
          <w:bCs/>
          <w:color w:val="000000" w:themeColor="text1"/>
        </w:rPr>
        <w:t>Italy</w:t>
      </w:r>
      <w:r w:rsidRPr="00E3672F" w:rsidR="001D7A3C">
        <w:rPr>
          <w:b/>
          <w:bCs/>
          <w:color w:val="000000" w:themeColor="text1"/>
        </w:rPr>
        <w:t xml:space="preserve"> and </w:t>
      </w:r>
      <w:r w:rsidRPr="00E3672F" w:rsidR="00F61D6F">
        <w:rPr>
          <w:b/>
          <w:bCs/>
          <w:color w:val="000000" w:themeColor="text1"/>
        </w:rPr>
        <w:t>Romania</w:t>
      </w:r>
      <w:r w:rsidRPr="00E3672F" w:rsidR="00DD5C8E">
        <w:rPr>
          <w:color w:val="000000" w:themeColor="text1"/>
        </w:rPr>
        <w:t>.</w:t>
      </w:r>
    </w:p>
    <w:p w:rsidRPr="00E3672F" w:rsidR="00A91BE1" w:rsidP="001E1287" w:rsidRDefault="00A91BE1" w14:paraId="043FDBDE" w14:textId="5C44F6C3">
      <w:pPr>
        <w:spacing w:before="120" w:after="120" w:line="360" w:lineRule="auto"/>
        <w:contextualSpacing/>
      </w:pPr>
      <w:r w:rsidRPr="00E3672F">
        <w:t xml:space="preserve">The countries were selected </w:t>
      </w:r>
      <w:r w:rsidRPr="00E3672F" w:rsidR="00847AD8">
        <w:t>with a view to</w:t>
      </w:r>
      <w:r w:rsidRPr="00E3672F">
        <w:t>:</w:t>
      </w:r>
    </w:p>
    <w:p w:rsidRPr="00E3672F" w:rsidR="00A91BE1" w:rsidP="001E1287" w:rsidRDefault="00847AD8" w14:paraId="20E29729" w14:textId="21E3A696">
      <w:pPr>
        <w:pStyle w:val="NormalWeb"/>
        <w:numPr>
          <w:ilvl w:val="0"/>
          <w:numId w:val="1"/>
        </w:numPr>
        <w:tabs>
          <w:tab w:val="left" w:pos="567"/>
        </w:tabs>
        <w:spacing w:before="120" w:beforeAutospacing="0" w:after="120" w:afterAutospacing="0" w:line="360" w:lineRule="auto"/>
        <w:ind w:left="927"/>
        <w:contextualSpacing/>
        <w:jc w:val="both"/>
        <w:rPr>
          <w:lang w:val="en-GB" w:eastAsia="en-US"/>
        </w:rPr>
      </w:pPr>
      <w:r w:rsidRPr="00E3672F">
        <w:rPr>
          <w:b/>
          <w:bCs/>
          <w:i/>
          <w:iCs/>
          <w:sz w:val="22"/>
          <w:szCs w:val="22"/>
          <w:lang w:val="en-GB" w:eastAsia="en-US"/>
        </w:rPr>
        <w:t xml:space="preserve">a </w:t>
      </w:r>
      <w:r w:rsidRPr="00E3672F" w:rsidR="00A91BE1">
        <w:rPr>
          <w:b/>
          <w:bCs/>
          <w:i/>
          <w:iCs/>
          <w:sz w:val="22"/>
          <w:szCs w:val="22"/>
          <w:lang w:val="en-GB" w:eastAsia="en-US"/>
        </w:rPr>
        <w:t>political spread</w:t>
      </w:r>
      <w:r w:rsidRPr="00E3672F" w:rsidR="00A91BE1">
        <w:rPr>
          <w:sz w:val="22"/>
          <w:szCs w:val="22"/>
          <w:lang w:val="en-GB" w:eastAsia="en-US"/>
        </w:rPr>
        <w:t xml:space="preserve">, </w:t>
      </w:r>
      <w:r w:rsidRPr="00E3672F">
        <w:rPr>
          <w:sz w:val="22"/>
          <w:szCs w:val="22"/>
          <w:lang w:val="en-GB" w:eastAsia="en-US"/>
        </w:rPr>
        <w:t>to reflect</w:t>
      </w:r>
      <w:r w:rsidRPr="00E3672F" w:rsidR="00A91BE1">
        <w:rPr>
          <w:sz w:val="22"/>
          <w:szCs w:val="22"/>
          <w:lang w:val="en-GB" w:eastAsia="en-US"/>
        </w:rPr>
        <w:t xml:space="preserve"> </w:t>
      </w:r>
      <w:r w:rsidRPr="00E3672F" w:rsidR="00942B6A">
        <w:rPr>
          <w:sz w:val="22"/>
          <w:szCs w:val="22"/>
          <w:lang w:val="en-GB"/>
        </w:rPr>
        <w:t>recent EU enlargement, the diversity of national enforcement models and stakeholder involvement</w:t>
      </w:r>
      <w:r w:rsidRPr="00E3672F">
        <w:rPr>
          <w:sz w:val="22"/>
          <w:szCs w:val="22"/>
          <w:lang w:val="en-GB"/>
        </w:rPr>
        <w:t>; and</w:t>
      </w:r>
      <w:r w:rsidRPr="00E3672F" w:rsidR="00942B6A">
        <w:rPr>
          <w:lang w:val="en-GB"/>
        </w:rPr>
        <w:t> </w:t>
      </w:r>
    </w:p>
    <w:p w:rsidRPr="00E3672F" w:rsidR="00A91BE1" w:rsidP="001E1287" w:rsidRDefault="00847AD8" w14:paraId="052FC99B" w14:textId="3D5B5685">
      <w:pPr>
        <w:pStyle w:val="NormalWeb"/>
        <w:numPr>
          <w:ilvl w:val="0"/>
          <w:numId w:val="1"/>
        </w:numPr>
        <w:tabs>
          <w:tab w:val="left" w:pos="567"/>
        </w:tabs>
        <w:spacing w:before="120" w:beforeAutospacing="0" w:after="120" w:afterAutospacing="0" w:line="360" w:lineRule="auto"/>
        <w:ind w:left="927"/>
        <w:contextualSpacing/>
        <w:jc w:val="both"/>
        <w:rPr>
          <w:lang w:val="en-GB"/>
        </w:rPr>
      </w:pPr>
      <w:r w:rsidRPr="00E3672F">
        <w:rPr>
          <w:b/>
          <w:bCs/>
          <w:i/>
          <w:iCs/>
          <w:sz w:val="22"/>
          <w:szCs w:val="22"/>
          <w:lang w:val="en-GB" w:eastAsia="en-US"/>
        </w:rPr>
        <w:t xml:space="preserve">a </w:t>
      </w:r>
      <w:r w:rsidRPr="00E3672F" w:rsidR="00A91BE1">
        <w:rPr>
          <w:b/>
          <w:bCs/>
          <w:i/>
          <w:iCs/>
          <w:sz w:val="22"/>
          <w:szCs w:val="22"/>
          <w:lang w:val="en-GB" w:eastAsia="en-US"/>
        </w:rPr>
        <w:t>geographical spread</w:t>
      </w:r>
      <w:r w:rsidRPr="00E3672F" w:rsidR="00A91BE1">
        <w:rPr>
          <w:sz w:val="22"/>
          <w:szCs w:val="22"/>
          <w:lang w:val="en-GB" w:eastAsia="en-US"/>
        </w:rPr>
        <w:t>.</w:t>
      </w:r>
    </w:p>
    <w:p w:rsidRPr="00E3672F" w:rsidR="00244613" w:rsidP="001E1287" w:rsidRDefault="00A91BE1" w14:paraId="770718FD" w14:textId="4EE19ED9">
      <w:pPr>
        <w:spacing w:before="120" w:after="120" w:line="360" w:lineRule="auto"/>
        <w:contextualSpacing/>
        <w:rPr>
          <w:b/>
          <w:bCs/>
          <w:color w:val="000000" w:themeColor="text1"/>
        </w:rPr>
      </w:pPr>
      <w:r w:rsidRPr="00E3672F">
        <w:rPr>
          <w:color w:val="000000" w:themeColor="text1"/>
        </w:rPr>
        <w:t xml:space="preserve">The EU Member States selected for this </w:t>
      </w:r>
      <w:r w:rsidRPr="00E3672F" w:rsidR="00847AD8">
        <w:rPr>
          <w:color w:val="000000" w:themeColor="text1"/>
        </w:rPr>
        <w:t xml:space="preserve">evaluation </w:t>
      </w:r>
      <w:r w:rsidRPr="00E3672F">
        <w:rPr>
          <w:color w:val="000000" w:themeColor="text1"/>
        </w:rPr>
        <w:t>report</w:t>
      </w:r>
      <w:r w:rsidRPr="00E3672F" w:rsidR="00114FCF">
        <w:rPr>
          <w:color w:val="000000" w:themeColor="text1"/>
        </w:rPr>
        <w:t>,</w:t>
      </w:r>
      <w:r w:rsidRPr="00E3672F">
        <w:rPr>
          <w:color w:val="000000" w:themeColor="text1"/>
        </w:rPr>
        <w:t xml:space="preserve"> </w:t>
      </w:r>
      <w:r w:rsidRPr="00E3672F" w:rsidR="000F6F0B">
        <w:rPr>
          <w:color w:val="000000" w:themeColor="text1"/>
        </w:rPr>
        <w:t xml:space="preserve">in which </w:t>
      </w:r>
      <w:r w:rsidRPr="00E3672F">
        <w:rPr>
          <w:color w:val="000000" w:themeColor="text1"/>
        </w:rPr>
        <w:t>in-person or virtual fact-finding meetings took place</w:t>
      </w:r>
      <w:r w:rsidRPr="00E3672F" w:rsidR="00114FCF">
        <w:rPr>
          <w:color w:val="000000" w:themeColor="text1"/>
        </w:rPr>
        <w:t>,</w:t>
      </w:r>
      <w:r w:rsidRPr="00E3672F">
        <w:rPr>
          <w:color w:val="000000" w:themeColor="text1"/>
        </w:rPr>
        <w:t xml:space="preserve"> were the following:</w:t>
      </w:r>
      <w:r w:rsidRPr="00E3672F">
        <w:rPr>
          <w:b/>
          <w:bCs/>
          <w:color w:val="000000" w:themeColor="text1"/>
        </w:rPr>
        <w:t xml:space="preserve"> </w:t>
      </w:r>
    </w:p>
    <w:p w:rsidRPr="00E3672F" w:rsidR="00F60D28" w:rsidP="001E1287" w:rsidRDefault="00F60D28" w14:paraId="618D9309" w14:textId="0F4E9DEF">
      <w:pPr>
        <w:pStyle w:val="ListParagraph"/>
        <w:numPr>
          <w:ilvl w:val="0"/>
          <w:numId w:val="3"/>
        </w:numPr>
        <w:spacing w:before="120" w:after="120" w:line="360" w:lineRule="auto"/>
        <w:rPr>
          <w:color w:val="000000" w:themeColor="text1"/>
        </w:rPr>
      </w:pPr>
      <w:r w:rsidRPr="00E3672F">
        <w:rPr>
          <w:b/>
          <w:bCs/>
          <w:color w:val="000000" w:themeColor="text1"/>
        </w:rPr>
        <w:t>Latvia (13 February 2026);</w:t>
      </w:r>
    </w:p>
    <w:p w:rsidRPr="00E3672F" w:rsidR="00F60D28" w:rsidP="001E1287" w:rsidRDefault="00F60D28" w14:paraId="5B10FFC6" w14:textId="4D55D9C3">
      <w:pPr>
        <w:pStyle w:val="ListParagraph"/>
        <w:numPr>
          <w:ilvl w:val="0"/>
          <w:numId w:val="3"/>
        </w:numPr>
        <w:spacing w:before="120" w:after="120" w:line="360" w:lineRule="auto"/>
        <w:rPr>
          <w:b/>
          <w:bCs/>
          <w:color w:val="000000" w:themeColor="text1"/>
        </w:rPr>
      </w:pPr>
      <w:r w:rsidRPr="00E3672F">
        <w:rPr>
          <w:b/>
          <w:bCs/>
          <w:color w:val="000000" w:themeColor="text1"/>
        </w:rPr>
        <w:t>Romania (</w:t>
      </w:r>
      <w:r w:rsidRPr="00E3672F" w:rsidR="00906E36">
        <w:rPr>
          <w:b/>
          <w:bCs/>
          <w:color w:val="000000" w:themeColor="text1"/>
        </w:rPr>
        <w:t>2 </w:t>
      </w:r>
      <w:r w:rsidRPr="00E3672F">
        <w:rPr>
          <w:b/>
          <w:bCs/>
          <w:color w:val="000000" w:themeColor="text1"/>
        </w:rPr>
        <w:t xml:space="preserve">March 2026); </w:t>
      </w:r>
    </w:p>
    <w:p w:rsidRPr="00E3672F" w:rsidR="00F60D28" w:rsidP="001E1287" w:rsidRDefault="00F60D28" w14:paraId="6D651CDB" w14:textId="718FEA00">
      <w:pPr>
        <w:pStyle w:val="ListParagraph"/>
        <w:numPr>
          <w:ilvl w:val="0"/>
          <w:numId w:val="3"/>
        </w:numPr>
        <w:spacing w:before="120" w:after="120" w:line="360" w:lineRule="auto"/>
        <w:rPr>
          <w:color w:val="000000" w:themeColor="text1"/>
        </w:rPr>
      </w:pPr>
      <w:r w:rsidRPr="00E3672F">
        <w:rPr>
          <w:b/>
          <w:bCs/>
          <w:color w:val="000000" w:themeColor="text1"/>
        </w:rPr>
        <w:t>Italy (</w:t>
      </w:r>
      <w:r w:rsidRPr="00E3672F" w:rsidR="00906E36">
        <w:rPr>
          <w:b/>
          <w:bCs/>
          <w:color w:val="000000" w:themeColor="text1"/>
        </w:rPr>
        <w:t>2 </w:t>
      </w:r>
      <w:r w:rsidRPr="00E3672F">
        <w:rPr>
          <w:b/>
          <w:bCs/>
          <w:color w:val="000000" w:themeColor="text1"/>
        </w:rPr>
        <w:t>March 2026)</w:t>
      </w:r>
      <w:r w:rsidRPr="00E3672F" w:rsidR="006F157C">
        <w:rPr>
          <w:b/>
          <w:bCs/>
          <w:color w:val="000000" w:themeColor="text1"/>
        </w:rPr>
        <w:t>;</w:t>
      </w:r>
    </w:p>
    <w:p w:rsidRPr="00E3672F" w:rsidR="00244613" w:rsidP="001E1287" w:rsidRDefault="00F60D28" w14:paraId="6920CBFE" w14:textId="5935BD2D">
      <w:pPr>
        <w:pStyle w:val="ListParagraph"/>
        <w:numPr>
          <w:ilvl w:val="0"/>
          <w:numId w:val="3"/>
        </w:numPr>
        <w:spacing w:before="120" w:after="120" w:line="360" w:lineRule="auto"/>
        <w:rPr>
          <w:color w:val="000000" w:themeColor="text1"/>
        </w:rPr>
      </w:pPr>
      <w:r w:rsidRPr="00E3672F">
        <w:rPr>
          <w:b/>
          <w:bCs/>
          <w:color w:val="000000" w:themeColor="text1"/>
        </w:rPr>
        <w:t>Denmark</w:t>
      </w:r>
      <w:r w:rsidRPr="00E3672F" w:rsidR="00BB7213">
        <w:rPr>
          <w:b/>
          <w:bCs/>
          <w:color w:val="000000" w:themeColor="text1"/>
        </w:rPr>
        <w:t xml:space="preserve"> (</w:t>
      </w:r>
      <w:r w:rsidRPr="00E3672F" w:rsidR="00906E36">
        <w:rPr>
          <w:b/>
          <w:bCs/>
          <w:color w:val="000000" w:themeColor="text1"/>
        </w:rPr>
        <w:t>5 </w:t>
      </w:r>
      <w:r w:rsidRPr="00E3672F">
        <w:rPr>
          <w:b/>
          <w:bCs/>
          <w:color w:val="000000" w:themeColor="text1"/>
        </w:rPr>
        <w:t>March</w:t>
      </w:r>
      <w:r w:rsidRPr="00E3672F" w:rsidR="00A91BE1">
        <w:rPr>
          <w:b/>
          <w:bCs/>
          <w:color w:val="000000" w:themeColor="text1"/>
        </w:rPr>
        <w:t xml:space="preserve"> 202</w:t>
      </w:r>
      <w:r w:rsidRPr="00E3672F" w:rsidR="00DD5C8E">
        <w:rPr>
          <w:b/>
          <w:bCs/>
          <w:color w:val="000000" w:themeColor="text1"/>
        </w:rPr>
        <w:t>6</w:t>
      </w:r>
      <w:r w:rsidRPr="00E3672F" w:rsidR="00A91BE1">
        <w:rPr>
          <w:b/>
          <w:bCs/>
          <w:color w:val="000000" w:themeColor="text1"/>
        </w:rPr>
        <w:t>)</w:t>
      </w:r>
      <w:r w:rsidRPr="00E3672F" w:rsidR="00847AD8">
        <w:rPr>
          <w:b/>
          <w:bCs/>
          <w:color w:val="000000" w:themeColor="text1"/>
        </w:rPr>
        <w:t>;</w:t>
      </w:r>
    </w:p>
    <w:p w:rsidRPr="00E3672F" w:rsidR="00DD5C8E" w:rsidP="001E1287" w:rsidRDefault="00F60D28" w14:paraId="2EA1DA38" w14:textId="35BCDC4A">
      <w:pPr>
        <w:pStyle w:val="ListParagraph"/>
        <w:numPr>
          <w:ilvl w:val="0"/>
          <w:numId w:val="3"/>
        </w:numPr>
        <w:spacing w:before="120" w:after="120" w:line="360" w:lineRule="auto"/>
        <w:rPr>
          <w:color w:val="000000" w:themeColor="text1"/>
        </w:rPr>
      </w:pPr>
      <w:r w:rsidRPr="00E3672F">
        <w:rPr>
          <w:b/>
          <w:bCs/>
          <w:color w:val="000000" w:themeColor="text1"/>
        </w:rPr>
        <w:t>France</w:t>
      </w:r>
      <w:r w:rsidRPr="00E3672F" w:rsidR="00DD5C8E">
        <w:rPr>
          <w:b/>
          <w:bCs/>
          <w:color w:val="000000" w:themeColor="text1"/>
        </w:rPr>
        <w:t xml:space="preserve"> (</w:t>
      </w:r>
      <w:r w:rsidRPr="00E3672F">
        <w:rPr>
          <w:b/>
          <w:bCs/>
          <w:color w:val="000000" w:themeColor="text1"/>
        </w:rPr>
        <w:t>5</w:t>
      </w:r>
      <w:r w:rsidRPr="00E3672F" w:rsidR="00DD5C8E">
        <w:rPr>
          <w:b/>
          <w:bCs/>
          <w:color w:val="000000" w:themeColor="text1"/>
        </w:rPr>
        <w:t> </w:t>
      </w:r>
      <w:r w:rsidRPr="00E3672F">
        <w:rPr>
          <w:b/>
          <w:bCs/>
          <w:color w:val="000000" w:themeColor="text1"/>
        </w:rPr>
        <w:t>March</w:t>
      </w:r>
      <w:r w:rsidRPr="00E3672F" w:rsidR="00DD5C8E">
        <w:rPr>
          <w:b/>
          <w:bCs/>
          <w:color w:val="000000" w:themeColor="text1"/>
        </w:rPr>
        <w:t xml:space="preserve"> 2026)</w:t>
      </w:r>
      <w:r w:rsidRPr="00E3672F" w:rsidR="006F157C">
        <w:rPr>
          <w:b/>
          <w:bCs/>
          <w:color w:val="000000" w:themeColor="text1"/>
        </w:rPr>
        <w:t>.</w:t>
      </w:r>
    </w:p>
    <w:p w:rsidR="00480051" w:rsidP="001E1287" w:rsidRDefault="00480051" w14:paraId="3967CDA6" w14:textId="77777777">
      <w:pPr>
        <w:spacing w:before="120" w:after="120" w:line="360" w:lineRule="auto"/>
        <w:contextualSpacing/>
        <w:rPr>
          <w:b/>
          <w:bCs/>
          <w:color w:val="000000" w:themeColor="text1"/>
        </w:rPr>
      </w:pPr>
    </w:p>
    <w:p w:rsidR="00A91BE1" w:rsidP="001E1287" w:rsidRDefault="00480051" w14:paraId="278A7B9C" w14:textId="17FF54E0">
      <w:pPr>
        <w:spacing w:before="120" w:after="120" w:line="360" w:lineRule="auto"/>
        <w:contextualSpacing/>
        <w:rPr>
          <w:b/>
          <w:bCs/>
          <w:color w:val="000000" w:themeColor="text1"/>
        </w:rPr>
      </w:pPr>
      <w:r w:rsidRPr="00063647">
        <w:rPr>
          <w:b/>
          <w:bCs/>
          <w:color w:val="000000" w:themeColor="text1"/>
        </w:rPr>
        <w:t>Out of the total of 84 organisations consulted throughout this evaluation, 67 were consulted in the five country visits.</w:t>
      </w:r>
    </w:p>
    <w:p w:rsidRPr="00E3672F" w:rsidR="00480051" w:rsidP="001E1287" w:rsidRDefault="00480051" w14:paraId="65A57827" w14:textId="77777777">
      <w:pPr>
        <w:spacing w:before="120" w:after="120" w:line="360" w:lineRule="auto"/>
        <w:contextualSpacing/>
        <w:rPr>
          <w:color w:val="000000" w:themeColor="text1"/>
        </w:rPr>
      </w:pPr>
    </w:p>
    <w:p w:rsidRPr="00E3672F" w:rsidR="00007430" w:rsidP="001E1287" w:rsidRDefault="00007430" w14:paraId="7E7C5A19" w14:textId="052770E3">
      <w:pPr>
        <w:pStyle w:val="Heading2"/>
        <w:spacing w:before="120" w:after="120" w:line="360" w:lineRule="auto"/>
        <w:ind w:left="851" w:hanging="709"/>
        <w:contextualSpacing/>
        <w:rPr>
          <w:rFonts w:cs="Times New Roman"/>
          <w:bCs/>
          <w:color w:val="004F88"/>
        </w:rPr>
      </w:pPr>
      <w:bookmarkStart w:name="_Toc228180512" w:id="6"/>
      <w:r w:rsidRPr="00E3672F">
        <w:rPr>
          <w:rFonts w:cs="Times New Roman"/>
          <w:bCs/>
          <w:color w:val="004F88"/>
        </w:rPr>
        <w:t xml:space="preserve">1.4 </w:t>
      </w:r>
      <w:r w:rsidRPr="00E3672F" w:rsidR="00892B67">
        <w:rPr>
          <w:rFonts w:cs="Times New Roman"/>
          <w:bCs/>
          <w:color w:val="004F88"/>
        </w:rPr>
        <w:tab/>
      </w:r>
      <w:r w:rsidRPr="00E3672F" w:rsidR="00A91BE1">
        <w:rPr>
          <w:rFonts w:cs="Times New Roman"/>
          <w:bCs/>
          <w:color w:val="004F88"/>
          <w:u w:val="single"/>
        </w:rPr>
        <w:t>Questionnaire</w:t>
      </w:r>
      <w:bookmarkEnd w:id="6"/>
    </w:p>
    <w:p w:rsidRPr="00E3672F" w:rsidR="00F92A79" w:rsidP="001E1287" w:rsidRDefault="00A91BE1" w14:paraId="6405B9E9" w14:textId="1EA83CA5">
      <w:pPr>
        <w:spacing w:before="120" w:after="120" w:line="360" w:lineRule="auto"/>
        <w:contextualSpacing/>
        <w:rPr>
          <w:color w:val="000000" w:themeColor="text1"/>
        </w:rPr>
      </w:pPr>
      <w:r w:rsidRPr="00E3672F">
        <w:rPr>
          <w:color w:val="000000" w:themeColor="text1"/>
        </w:rPr>
        <w:t>The questionnaire was created on the EU Survey online portal using a combination of question formats (filter questions, closed and open-ended questions, grid</w:t>
      </w:r>
      <w:r w:rsidRPr="00E3672F" w:rsidR="00312721">
        <w:rPr>
          <w:color w:val="000000" w:themeColor="text1"/>
        </w:rPr>
        <w:t>s, etc.</w:t>
      </w:r>
      <w:r w:rsidRPr="00E3672F">
        <w:rPr>
          <w:color w:val="000000" w:themeColor="text1"/>
        </w:rPr>
        <w:t xml:space="preserve">). The questionnaire was open from </w:t>
      </w:r>
      <w:r w:rsidRPr="00E3672F" w:rsidR="008E2D57">
        <w:rPr>
          <w:color w:val="000000" w:themeColor="text1"/>
        </w:rPr>
        <w:t>1</w:t>
      </w:r>
      <w:r w:rsidRPr="00E3672F" w:rsidR="00603217">
        <w:rPr>
          <w:color w:val="000000" w:themeColor="text1"/>
        </w:rPr>
        <w:t>3</w:t>
      </w:r>
      <w:r w:rsidRPr="00E3672F">
        <w:rPr>
          <w:color w:val="000000" w:themeColor="text1"/>
        </w:rPr>
        <w:t> </w:t>
      </w:r>
      <w:r w:rsidRPr="00E3672F" w:rsidR="008E2D57">
        <w:rPr>
          <w:color w:val="000000" w:themeColor="text1"/>
        </w:rPr>
        <w:t>January</w:t>
      </w:r>
      <w:r w:rsidRPr="00E3672F">
        <w:rPr>
          <w:color w:val="000000" w:themeColor="text1"/>
        </w:rPr>
        <w:t xml:space="preserve"> </w:t>
      </w:r>
      <w:r w:rsidRPr="00E3672F" w:rsidR="008E2D57">
        <w:rPr>
          <w:color w:val="000000" w:themeColor="text1"/>
        </w:rPr>
        <w:t>2026</w:t>
      </w:r>
      <w:r w:rsidRPr="00E3672F">
        <w:rPr>
          <w:color w:val="000000" w:themeColor="text1"/>
        </w:rPr>
        <w:t xml:space="preserve"> to </w:t>
      </w:r>
      <w:r w:rsidRPr="00E3672F" w:rsidR="008E2D57">
        <w:rPr>
          <w:color w:val="000000" w:themeColor="text1"/>
        </w:rPr>
        <w:t>1</w:t>
      </w:r>
      <w:r w:rsidRPr="00E3672F" w:rsidR="00603217">
        <w:rPr>
          <w:color w:val="000000" w:themeColor="text1"/>
        </w:rPr>
        <w:t>6</w:t>
      </w:r>
      <w:r w:rsidRPr="00E3672F">
        <w:rPr>
          <w:color w:val="000000" w:themeColor="text1"/>
        </w:rPr>
        <w:t> </w:t>
      </w:r>
      <w:r w:rsidRPr="00E3672F" w:rsidR="00F61D6F">
        <w:rPr>
          <w:color w:val="000000" w:themeColor="text1"/>
        </w:rPr>
        <w:t>March</w:t>
      </w:r>
      <w:r w:rsidRPr="00E3672F">
        <w:rPr>
          <w:color w:val="000000" w:themeColor="text1"/>
        </w:rPr>
        <w:t xml:space="preserve"> 202</w:t>
      </w:r>
      <w:r w:rsidRPr="00E3672F" w:rsidR="00872E78">
        <w:rPr>
          <w:color w:val="000000" w:themeColor="text1"/>
        </w:rPr>
        <w:t>6</w:t>
      </w:r>
      <w:r w:rsidRPr="00E3672F">
        <w:rPr>
          <w:color w:val="000000" w:themeColor="text1"/>
        </w:rPr>
        <w:t>.</w:t>
      </w:r>
    </w:p>
    <w:p w:rsidRPr="00E3672F" w:rsidR="000C1155" w:rsidP="001E1287" w:rsidRDefault="00A91BE1" w14:paraId="256F0608" w14:textId="66B08BDA">
      <w:pPr>
        <w:spacing w:before="120" w:after="120" w:line="360" w:lineRule="auto"/>
        <w:contextualSpacing/>
      </w:pPr>
      <w:r w:rsidRPr="00E3672F">
        <w:rPr>
          <w:color w:val="000000" w:themeColor="text1"/>
        </w:rPr>
        <w:t>The aim of the questi</w:t>
      </w:r>
      <w:r w:rsidRPr="00E3672F">
        <w:t xml:space="preserve">onnaire was to complement the information obtained from the fact-finding meetings. Composed </w:t>
      </w:r>
      <w:r w:rsidRPr="00E3672F">
        <w:rPr>
          <w:color w:val="000000" w:themeColor="text1"/>
        </w:rPr>
        <w:t>of</w:t>
      </w:r>
      <w:r w:rsidRPr="00E3672F" w:rsidR="00DD39A8">
        <w:rPr>
          <w:color w:val="000000" w:themeColor="text1"/>
        </w:rPr>
        <w:t xml:space="preserve"> </w:t>
      </w:r>
      <w:r w:rsidRPr="00E3672F" w:rsidR="000454F2">
        <w:rPr>
          <w:color w:val="000000" w:themeColor="text1"/>
        </w:rPr>
        <w:t>27</w:t>
      </w:r>
      <w:r w:rsidRPr="00E3672F">
        <w:rPr>
          <w:color w:val="000000" w:themeColor="text1"/>
        </w:rPr>
        <w:t xml:space="preserve"> questions </w:t>
      </w:r>
      <w:r w:rsidRPr="00E3672F">
        <w:t>(and additional sub</w:t>
      </w:r>
      <w:r w:rsidRPr="00E3672F" w:rsidR="00F37CF5">
        <w:t>-</w:t>
      </w:r>
      <w:r w:rsidRPr="00E3672F">
        <w:t xml:space="preserve">questions), the questionnaire was sent to organisations in the Member States </w:t>
      </w:r>
      <w:r w:rsidRPr="00E3672F" w:rsidR="000F6F0B">
        <w:t xml:space="preserve">that had been </w:t>
      </w:r>
      <w:r w:rsidRPr="00E3672F">
        <w:t>selected for the fact-finding meetings (</w:t>
      </w:r>
      <w:r w:rsidRPr="00E3672F" w:rsidR="000F6F0B">
        <w:t xml:space="preserve">and </w:t>
      </w:r>
      <w:r w:rsidRPr="00E3672F">
        <w:t xml:space="preserve">not only to </w:t>
      </w:r>
      <w:r w:rsidRPr="00E3672F" w:rsidR="000F6F0B">
        <w:t xml:space="preserve">the organisations </w:t>
      </w:r>
      <w:r w:rsidRPr="00E3672F">
        <w:t xml:space="preserve">participating in </w:t>
      </w:r>
      <w:r w:rsidRPr="00E3672F" w:rsidR="00050046">
        <w:t>those</w:t>
      </w:r>
      <w:r w:rsidRPr="00E3672F">
        <w:t xml:space="preserve"> meetings, but also to other relevant organisations).</w:t>
      </w:r>
    </w:p>
    <w:p w:rsidRPr="00E3672F" w:rsidR="00F92A79" w:rsidP="00F92A79" w:rsidRDefault="00F92A79" w14:paraId="7DED3BC1" w14:textId="111A5925">
      <w:pPr>
        <w:spacing w:before="120" w:after="120" w:line="360" w:lineRule="auto"/>
        <w:contextualSpacing/>
        <w:jc w:val="center"/>
      </w:pPr>
      <w:r w:rsidRPr="00E3672F">
        <w:rPr>
          <w:noProof/>
          <w:lang w:val="en-US"/>
          <w14:ligatures w14:val="standardContextual"/>
        </w:rPr>
        <w:drawing>
          <wp:inline distT="0" distB="0" distL="0" distR="0" wp14:anchorId="3ADAA800" wp14:editId="4D60A671">
            <wp:extent cx="4085617" cy="2529191"/>
            <wp:effectExtent l="0" t="0" r="10160" b="5080"/>
            <wp:docPr id="1941964763" name="Chart 1">
              <a:extLst xmlns:a="http://schemas.openxmlformats.org/drawingml/2006/main">
                <a:ext uri="{FF2B5EF4-FFF2-40B4-BE49-F238E27FC236}">
                  <a16:creationId xmlns:a16="http://schemas.microsoft.com/office/drawing/2014/main" id="{FE7AA7CD-1881-DB6C-FD25-38FECCD231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Pr="00E3672F" w:rsidR="0085079A" w:rsidP="002A730C" w:rsidRDefault="000C1155" w14:paraId="71AD6E83" w14:textId="1587F416">
      <w:pPr>
        <w:pStyle w:val="NoSpacing"/>
        <w:spacing w:line="360" w:lineRule="auto"/>
        <w:jc w:val="both"/>
        <w:rPr>
          <w:rFonts w:cs="Times New Roman"/>
          <w:lang w:val="en-GB"/>
        </w:rPr>
      </w:pPr>
      <w:r w:rsidRPr="00E3672F">
        <w:rPr>
          <w:lang w:val="en-GB"/>
        </w:rPr>
        <w:t xml:space="preserve">The questionnaire was completed by </w:t>
      </w:r>
      <w:r w:rsidRPr="00E3672F" w:rsidR="0085079A">
        <w:rPr>
          <w:lang w:val="en-GB"/>
        </w:rPr>
        <w:t>40</w:t>
      </w:r>
      <w:r w:rsidRPr="00E3672F">
        <w:rPr>
          <w:lang w:val="en-GB"/>
        </w:rPr>
        <w:t xml:space="preserve"> organisations. </w:t>
      </w:r>
      <w:r w:rsidRPr="00E3672F" w:rsidR="0085079A">
        <w:rPr>
          <w:rFonts w:cs="Times New Roman"/>
          <w:lang w:val="en-GB"/>
        </w:rPr>
        <w:t>Public authorities constituted the largest group, accounting for 33% of respondents (13 out of 40), followed by civil society organisations at 25% (10). Workers</w:t>
      </w:r>
      <w:r w:rsidRPr="00E3672F" w:rsidR="00413731">
        <w:rPr>
          <w:rFonts w:cs="Times New Roman"/>
          <w:lang w:val="en-GB"/>
        </w:rPr>
        <w:t>’</w:t>
      </w:r>
      <w:r w:rsidRPr="00E3672F" w:rsidR="0085079A">
        <w:rPr>
          <w:rFonts w:cs="Times New Roman"/>
          <w:lang w:val="en-GB"/>
        </w:rPr>
        <w:t xml:space="preserve"> organisations represented 18% of respondents (7). Business and employer organisations were the least represented among the questionnaire respondents at 10% (4 answers). Some respondents classified themselves in the </w:t>
      </w:r>
      <w:r w:rsidRPr="00E3672F" w:rsidR="00430258">
        <w:rPr>
          <w:rFonts w:cs="Times New Roman"/>
          <w:lang w:val="en-GB"/>
        </w:rPr>
        <w:t>‘</w:t>
      </w:r>
      <w:r w:rsidRPr="00E3672F" w:rsidR="0085079A">
        <w:rPr>
          <w:rFonts w:cs="Times New Roman"/>
          <w:lang w:val="en-GB"/>
        </w:rPr>
        <w:t>Other</w:t>
      </w:r>
      <w:r w:rsidRPr="00E3672F" w:rsidR="00430258">
        <w:rPr>
          <w:rFonts w:cs="Times New Roman"/>
          <w:lang w:val="en-GB"/>
        </w:rPr>
        <w:t>’</w:t>
      </w:r>
      <w:r w:rsidRPr="00E3672F" w:rsidR="0085079A">
        <w:rPr>
          <w:rFonts w:cs="Times New Roman"/>
          <w:lang w:val="en-GB"/>
        </w:rPr>
        <w:t xml:space="preserve"> category, representing 15% (6 answers). This group included a diverse mix of stakeholders such as independent administrative authorities, sector associations, volunteer organisations, private companies, media with an associative status, and government bodies under ministries.</w:t>
      </w:r>
    </w:p>
    <w:p w:rsidRPr="00E3672F" w:rsidR="0085079A" w:rsidP="002A730C" w:rsidRDefault="0085079A" w14:paraId="257579F9" w14:textId="77777777">
      <w:pPr>
        <w:pStyle w:val="NoSpacing"/>
        <w:spacing w:line="360" w:lineRule="auto"/>
        <w:jc w:val="both"/>
        <w:rPr>
          <w:rFonts w:cs="Times New Roman"/>
          <w:lang w:val="en-GB"/>
        </w:rPr>
      </w:pPr>
    </w:p>
    <w:p w:rsidRPr="00E3672F" w:rsidR="004D0166" w:rsidP="004D0166" w:rsidRDefault="004D0166" w14:paraId="456A8713" w14:textId="7B5343D6">
      <w:pPr>
        <w:pStyle w:val="NoSpacing"/>
        <w:spacing w:line="360" w:lineRule="auto"/>
        <w:jc w:val="center"/>
        <w:rPr>
          <w:rFonts w:cs="Times New Roman"/>
          <w:lang w:val="en-GB"/>
        </w:rPr>
      </w:pPr>
      <w:r w:rsidRPr="00E3672F">
        <w:rPr>
          <w:noProof/>
          <w:lang w:val="en-US"/>
          <w14:ligatures w14:val="standardContextual"/>
        </w:rPr>
        <w:drawing>
          <wp:inline distT="0" distB="0" distL="0" distR="0" wp14:anchorId="445E73A9" wp14:editId="65F11916">
            <wp:extent cx="4572000" cy="2062264"/>
            <wp:effectExtent l="0" t="0" r="0" b="14605"/>
            <wp:docPr id="720400158" name="Chart 1">
              <a:extLst xmlns:a="http://schemas.openxmlformats.org/drawingml/2006/main">
                <a:ext uri="{FF2B5EF4-FFF2-40B4-BE49-F238E27FC236}">
                  <a16:creationId xmlns:a16="http://schemas.microsoft.com/office/drawing/2014/main" id="{3AAB8D0E-9994-ED60-54A8-626A7CA124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Pr="00E3672F" w:rsidR="004D0166" w:rsidP="002A730C" w:rsidRDefault="004D0166" w14:paraId="0F381635" w14:textId="77777777">
      <w:pPr>
        <w:pStyle w:val="NoSpacing"/>
        <w:spacing w:line="360" w:lineRule="auto"/>
        <w:jc w:val="both"/>
        <w:rPr>
          <w:rFonts w:cs="Times New Roman"/>
          <w:lang w:val="en-GB"/>
        </w:rPr>
      </w:pPr>
    </w:p>
    <w:p w:rsidRPr="00E3672F" w:rsidR="0085079A" w:rsidP="002A730C" w:rsidRDefault="0085079A" w14:paraId="26D50BF7" w14:textId="1BABA378">
      <w:pPr>
        <w:pStyle w:val="NoSpacing"/>
        <w:spacing w:line="360" w:lineRule="auto"/>
        <w:jc w:val="both"/>
        <w:rPr>
          <w:rFonts w:cs="Times New Roman"/>
          <w:lang w:val="en-GB"/>
        </w:rPr>
      </w:pPr>
      <w:r w:rsidRPr="00E3672F">
        <w:rPr>
          <w:rFonts w:cs="Times New Roman"/>
          <w:lang w:val="en-GB"/>
        </w:rPr>
        <w:t>The survey captured perspectives from five EU Member States. Denmark accounted for the largest share, with 30% of respondents (12 out of 40), followed by France at 23% (9) and Italy at 20% (8). Latvia contributed 18% (7), while Romania represented the smallest share at 10% (4).</w:t>
      </w:r>
    </w:p>
    <w:p w:rsidRPr="00E3672F" w:rsidR="0085079A" w:rsidP="002A730C" w:rsidRDefault="0085079A" w14:paraId="5638D9A5" w14:textId="77777777">
      <w:pPr>
        <w:pStyle w:val="NoSpacing"/>
        <w:jc w:val="both"/>
        <w:rPr>
          <w:rFonts w:cs="Times New Roman"/>
          <w:lang w:val="en-GB"/>
        </w:rPr>
      </w:pPr>
    </w:p>
    <w:p w:rsidRPr="00E3672F" w:rsidR="002A730C" w:rsidP="002A730C" w:rsidRDefault="001E7CC5" w14:paraId="49F4DEFD" w14:textId="521B7297">
      <w:pPr>
        <w:pStyle w:val="NoSpacing"/>
        <w:spacing w:line="360" w:lineRule="auto"/>
        <w:jc w:val="both"/>
        <w:rPr>
          <w:rFonts w:cs="Times New Roman"/>
          <w:lang w:val="en-GB"/>
        </w:rPr>
      </w:pPr>
      <w:r w:rsidRPr="00E3672F">
        <w:rPr>
          <w:rFonts w:cs="Times New Roman"/>
          <w:lang w:val="en-GB"/>
        </w:rPr>
        <w:t xml:space="preserve">Regarding the profile </w:t>
      </w:r>
      <w:r w:rsidRPr="00E3672F" w:rsidR="00425F78">
        <w:rPr>
          <w:rFonts w:cs="Times New Roman"/>
          <w:lang w:val="en-GB"/>
        </w:rPr>
        <w:t xml:space="preserve">and expertise </w:t>
      </w:r>
      <w:r w:rsidRPr="00E3672F">
        <w:rPr>
          <w:rFonts w:cs="Times New Roman"/>
          <w:lang w:val="en-GB"/>
        </w:rPr>
        <w:t xml:space="preserve">of respondents, 26 out of 40 (65%) reported having experience working on cases of whistleblowing which have developed after the transposition of the Directive. </w:t>
      </w:r>
    </w:p>
    <w:p w:rsidRPr="00E3672F" w:rsidR="003A6D18" w:rsidP="002A730C" w:rsidRDefault="003A6D18" w14:paraId="36C4EABB" w14:textId="77777777">
      <w:pPr>
        <w:pStyle w:val="NoSpacing"/>
        <w:spacing w:line="360" w:lineRule="auto"/>
        <w:jc w:val="both"/>
        <w:rPr>
          <w:rFonts w:cs="Times New Roman"/>
          <w:lang w:val="en-GB"/>
        </w:rPr>
      </w:pPr>
    </w:p>
    <w:p w:rsidRPr="00E3672F" w:rsidR="003A6D18" w:rsidP="003A6D18" w:rsidRDefault="003A6D18" w14:paraId="01AC23DF" w14:textId="74154B9D">
      <w:pPr>
        <w:pStyle w:val="NoSpacing"/>
        <w:spacing w:line="360" w:lineRule="auto"/>
        <w:jc w:val="center"/>
        <w:rPr>
          <w:rFonts w:cs="Times New Roman"/>
          <w:lang w:val="en-GB"/>
        </w:rPr>
      </w:pPr>
      <w:r w:rsidRPr="00E3672F">
        <w:rPr>
          <w:noProof/>
          <w:lang w:val="en-US"/>
          <w14:ligatures w14:val="standardContextual"/>
        </w:rPr>
        <w:drawing>
          <wp:inline distT="0" distB="0" distL="0" distR="0" wp14:anchorId="7002C1F7" wp14:editId="5901D368">
            <wp:extent cx="5280025" cy="2667000"/>
            <wp:effectExtent l="0" t="0" r="15875" b="0"/>
            <wp:docPr id="112801714" name="Chart 1">
              <a:extLst xmlns:a="http://schemas.openxmlformats.org/drawingml/2006/main">
                <a:ext uri="{FF2B5EF4-FFF2-40B4-BE49-F238E27FC236}">
                  <a16:creationId xmlns:a16="http://schemas.microsoft.com/office/drawing/2014/main" id="{16AD5858-B9D0-95E6-8EB1-31DD8674F7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Pr="00E3672F" w:rsidR="002A730C" w:rsidP="002A730C" w:rsidRDefault="002A730C" w14:paraId="052223BA" w14:textId="77777777">
      <w:pPr>
        <w:pStyle w:val="NoSpacing"/>
        <w:spacing w:line="360" w:lineRule="auto"/>
        <w:jc w:val="both"/>
        <w:rPr>
          <w:rFonts w:cs="Times New Roman"/>
          <w:lang w:val="en-GB"/>
        </w:rPr>
      </w:pPr>
    </w:p>
    <w:p w:rsidRPr="00E3672F" w:rsidR="002A730C" w:rsidP="002A730C" w:rsidRDefault="002A730C" w14:paraId="70C87AEB" w14:textId="61BF7EF6">
      <w:pPr>
        <w:pStyle w:val="NoSpacing"/>
        <w:spacing w:line="360" w:lineRule="auto"/>
        <w:jc w:val="both"/>
        <w:rPr>
          <w:lang w:val="en-GB"/>
        </w:rPr>
      </w:pPr>
      <w:r w:rsidRPr="00E3672F">
        <w:rPr>
          <w:lang w:val="en-GB"/>
        </w:rPr>
        <w:t xml:space="preserve">Those who had experience with whistleblowing cases which have developed after the transposition of the Directive reported broad and cross-sectoral experience, often covering multiple legal and policy areas simultaneously. Several highlighted working either as national authorities, external reporting bodies, advisors or </w:t>
      </w:r>
      <w:r w:rsidRPr="00E3672F" w:rsidR="00180F2C">
        <w:rPr>
          <w:lang w:val="en-GB"/>
        </w:rPr>
        <w:t>CSOs</w:t>
      </w:r>
      <w:r w:rsidRPr="00E3672F">
        <w:rPr>
          <w:lang w:val="en-GB"/>
        </w:rPr>
        <w:t>, dealing with whistleblowing cases across both public and private sectors. The most common area mentioned was labour law and employment-related issues, including workplace safety and social security. Many cases also involve</w:t>
      </w:r>
      <w:r w:rsidRPr="00E3672F" w:rsidR="00BD0436">
        <w:rPr>
          <w:lang w:val="en-GB"/>
        </w:rPr>
        <w:t>d</w:t>
      </w:r>
      <w:r w:rsidRPr="00E3672F">
        <w:rPr>
          <w:lang w:val="en-GB"/>
        </w:rPr>
        <w:t xml:space="preserve"> corruption, integrity breaches and misconduct in both public and private sectors. Other frequently cited fields include taxation and financial misconduct, environmental protection and public sector governance. Additional areas mentioned are human rights, discrimination, data protection, competition law and sector-specific fields such as banking, energy and food safety. </w:t>
      </w:r>
    </w:p>
    <w:p w:rsidRPr="00E3672F" w:rsidR="002A730C" w:rsidP="001E7CC5" w:rsidRDefault="002A730C" w14:paraId="3CC104C4" w14:textId="77777777">
      <w:pPr>
        <w:pStyle w:val="NoSpacing"/>
        <w:spacing w:line="360" w:lineRule="auto"/>
        <w:jc w:val="both"/>
        <w:rPr>
          <w:rFonts w:cs="Times New Roman"/>
          <w:lang w:val="en-GB"/>
        </w:rPr>
      </w:pPr>
    </w:p>
    <w:p w:rsidRPr="00E3672F" w:rsidR="001E7CC5" w:rsidP="001E7CC5" w:rsidRDefault="001E7CC5" w14:paraId="5ABF5959" w14:textId="77777777">
      <w:pPr>
        <w:pStyle w:val="NoSpacing"/>
        <w:spacing w:line="360" w:lineRule="auto"/>
        <w:jc w:val="both"/>
        <w:rPr>
          <w:rFonts w:cs="Times New Roman"/>
          <w:lang w:val="en-GB"/>
        </w:rPr>
      </w:pPr>
    </w:p>
    <w:p w:rsidRPr="00E3672F" w:rsidR="000C1155" w:rsidP="0085079A" w:rsidRDefault="000C1155" w14:paraId="0AD086A0" w14:textId="5E0283C1">
      <w:pPr>
        <w:spacing w:before="120" w:after="120" w:line="360" w:lineRule="auto"/>
        <w:contextualSpacing/>
      </w:pPr>
    </w:p>
    <w:p w:rsidRPr="00E3672F" w:rsidR="00A91BE1" w:rsidP="001E1287" w:rsidRDefault="00A91BE1" w14:paraId="672E531D" w14:textId="6B2A3605">
      <w:pPr>
        <w:spacing w:before="120" w:after="120" w:line="360" w:lineRule="auto"/>
        <w:contextualSpacing/>
      </w:pPr>
    </w:p>
    <w:p w:rsidRPr="00E3672F" w:rsidR="00A91BE1" w:rsidP="001E1287" w:rsidRDefault="00A91BE1" w14:paraId="77377C5D" w14:textId="2538F981">
      <w:pPr>
        <w:spacing w:before="120" w:after="120" w:line="360" w:lineRule="auto"/>
        <w:contextualSpacing/>
        <w:jc w:val="center"/>
      </w:pPr>
      <w:r w:rsidRPr="00E3672F">
        <w:br w:type="page"/>
      </w:r>
    </w:p>
    <w:p w:rsidRPr="00E3672F" w:rsidR="00A91BE1" w:rsidP="001E1287" w:rsidRDefault="007B1433" w14:paraId="26AAED27" w14:textId="4E8F3B40">
      <w:pPr>
        <w:pStyle w:val="Heading1"/>
        <w:spacing w:before="120" w:after="120" w:line="360" w:lineRule="auto"/>
        <w:contextualSpacing/>
        <w:rPr>
          <w:rFonts w:cs="Times New Roman"/>
          <w:color w:val="004F88"/>
        </w:rPr>
      </w:pPr>
      <w:bookmarkStart w:name="_Toc228180513" w:id="7"/>
      <w:r w:rsidRPr="00E3672F">
        <w:rPr>
          <w:rFonts w:cs="Times New Roman"/>
          <w:color w:val="004F88"/>
        </w:rPr>
        <w:t>2.</w:t>
      </w:r>
      <w:r w:rsidRPr="00E3672F" w:rsidR="004C36B4">
        <w:rPr>
          <w:rFonts w:cs="Times New Roman"/>
          <w:color w:val="004F88"/>
        </w:rPr>
        <w:tab/>
        <w:t>Policy overview</w:t>
      </w:r>
      <w:bookmarkEnd w:id="7"/>
    </w:p>
    <w:p w:rsidRPr="00E3672F" w:rsidR="00A91BE1" w:rsidP="001E1287" w:rsidRDefault="00A91BE1" w14:paraId="0658C444" w14:textId="654F3A6F">
      <w:pPr>
        <w:spacing w:before="120" w:after="120" w:line="360" w:lineRule="auto"/>
        <w:contextualSpacing/>
      </w:pPr>
    </w:p>
    <w:p w:rsidRPr="00E3672F" w:rsidR="00125021" w:rsidP="001E1287" w:rsidRDefault="009D557F" w14:paraId="71E285F4" w14:textId="7D4AC2CF">
      <w:pPr>
        <w:pStyle w:val="Heading2"/>
        <w:spacing w:line="360" w:lineRule="auto"/>
        <w:ind w:left="720"/>
        <w:rPr>
          <w:u w:val="single"/>
        </w:rPr>
      </w:pPr>
      <w:bookmarkStart w:name="_Toc228180514" w:id="8"/>
      <w:r w:rsidRPr="00E3672F">
        <w:rPr>
          <w:u w:val="single"/>
        </w:rPr>
        <w:t xml:space="preserve">2.1. </w:t>
      </w:r>
      <w:r w:rsidRPr="00E3672F" w:rsidR="00150F07">
        <w:rPr>
          <w:u w:val="single"/>
        </w:rPr>
        <w:t>General overview</w:t>
      </w:r>
      <w:bookmarkEnd w:id="8"/>
    </w:p>
    <w:p w:rsidRPr="00E3672F" w:rsidR="00C2663F" w:rsidP="001E1287" w:rsidRDefault="00C2663F" w14:paraId="60D2BED7" w14:textId="77777777">
      <w:pPr>
        <w:spacing w:line="360" w:lineRule="auto"/>
      </w:pPr>
    </w:p>
    <w:p w:rsidRPr="00E3672F" w:rsidR="00974CF6" w:rsidP="001E1287" w:rsidRDefault="00974CF6" w14:paraId="5B6B2E76" w14:textId="10231C4E">
      <w:pPr>
        <w:spacing w:before="120" w:after="120" w:line="360" w:lineRule="auto"/>
        <w:contextualSpacing/>
        <w:rPr>
          <w:u w:val="single"/>
        </w:rPr>
      </w:pPr>
      <w:r w:rsidRPr="00E3672F">
        <w:rPr>
          <w:u w:val="single"/>
        </w:rPr>
        <w:t>Background and context</w:t>
      </w:r>
    </w:p>
    <w:p w:rsidRPr="00E3672F" w:rsidR="00974CF6" w:rsidP="001E1287" w:rsidRDefault="007E11B8" w14:paraId="794797EE" w14:textId="79743F0D">
      <w:pPr>
        <w:spacing w:before="120" w:after="120" w:line="360" w:lineRule="auto"/>
        <w:contextualSpacing/>
      </w:pPr>
      <w:hyperlink w:history="1" r:id="rId37">
        <w:r w:rsidRPr="00E3672F" w:rsidR="00974CF6">
          <w:rPr>
            <w:rStyle w:val="Hyperlink"/>
          </w:rPr>
          <w:t>Directive (EU) 2019/1937</w:t>
        </w:r>
      </w:hyperlink>
      <w:r w:rsidRPr="00E3672F" w:rsidR="00974CF6">
        <w:t xml:space="preserve"> on the protection of persons who report breaches of Union law (hereafter </w:t>
      </w:r>
      <w:r w:rsidRPr="00E3672F" w:rsidR="00430258">
        <w:t>‘</w:t>
      </w:r>
      <w:r w:rsidRPr="00E3672F" w:rsidR="00974CF6">
        <w:t>the Directive</w:t>
      </w:r>
      <w:r w:rsidRPr="00E3672F" w:rsidR="00430258">
        <w:t>’</w:t>
      </w:r>
      <w:r w:rsidRPr="00E3672F" w:rsidR="00974CF6">
        <w:t>) entered into force in December 2019. It was introduced in response to growing concerns that the existing legal framework across the EU was inadequate, due to being fragmented at national level and limited to specific EU-level sectors. Civil society organisations and trade unions</w:t>
      </w:r>
      <w:r w:rsidRPr="00E3672F" w:rsidR="00974CF6">
        <w:rPr>
          <w:rStyle w:val="FootnoteReference"/>
        </w:rPr>
        <w:footnoteReference w:id="4"/>
      </w:r>
      <w:r w:rsidRPr="00E3672F" w:rsidR="00974CF6">
        <w:t xml:space="preserve"> have consistently called for EU-wide legislation on the protection of whistleblowers acting in the public interest. Moreover, recent whistleblowing cases</w:t>
      </w:r>
      <w:r w:rsidRPr="00E3672F" w:rsidR="00974CF6">
        <w:rPr>
          <w:rStyle w:val="FootnoteReference"/>
        </w:rPr>
        <w:footnoteReference w:id="5"/>
      </w:r>
      <w:r w:rsidRPr="00E3672F" w:rsidR="00974CF6">
        <w:t xml:space="preserve"> have attracted significant public attention, which underscored the need for a harmonised legal framework at EU level. </w:t>
      </w:r>
    </w:p>
    <w:p w:rsidRPr="00E3672F" w:rsidR="00974CF6" w:rsidP="001E1287" w:rsidRDefault="00974CF6" w14:paraId="0173AEF7" w14:textId="5832ECC2">
      <w:pPr>
        <w:spacing w:before="120" w:after="120" w:line="360" w:lineRule="auto"/>
        <w:contextualSpacing/>
      </w:pPr>
      <w:r w:rsidRPr="00E3672F">
        <w:t xml:space="preserve">In 2017, a </w:t>
      </w:r>
      <w:hyperlink w:history="1" r:id="rId38">
        <w:r w:rsidRPr="00E3672F" w:rsidR="00BD0436">
          <w:rPr>
            <w:rStyle w:val="Hyperlink"/>
          </w:rPr>
          <w:t>s</w:t>
        </w:r>
        <w:r w:rsidRPr="00E3672F">
          <w:rPr>
            <w:rStyle w:val="Hyperlink"/>
          </w:rPr>
          <w:t>pecial Eurobarometer survey</w:t>
        </w:r>
      </w:hyperlink>
      <w:r w:rsidRPr="00E3672F">
        <w:t xml:space="preserve"> found that </w:t>
      </w:r>
      <w:r w:rsidRPr="00E3672F">
        <w:rPr>
          <w:b/>
          <w:bCs/>
        </w:rPr>
        <w:t>although 5% of Europeans experienced or witnessed corruption, 81% did not report it</w:t>
      </w:r>
      <w:r w:rsidRPr="00E3672F">
        <w:t xml:space="preserve">, mainly due to fear of retaliation. The same year, the </w:t>
      </w:r>
      <w:hyperlink w:history="1" r:id="rId39">
        <w:r w:rsidRPr="00E3672F">
          <w:rPr>
            <w:rStyle w:val="Hyperlink"/>
          </w:rPr>
          <w:t>Commission</w:t>
        </w:r>
        <w:r w:rsidRPr="00E3672F" w:rsidR="00413731">
          <w:rPr>
            <w:rStyle w:val="Hyperlink"/>
          </w:rPr>
          <w:t>’</w:t>
        </w:r>
        <w:r w:rsidRPr="00E3672F">
          <w:rPr>
            <w:rStyle w:val="Hyperlink"/>
          </w:rPr>
          <w:t>s public consultation</w:t>
        </w:r>
      </w:hyperlink>
      <w:r w:rsidRPr="00E3672F">
        <w:t xml:space="preserve"> reported that </w:t>
      </w:r>
      <w:r w:rsidRPr="00E3672F">
        <w:rPr>
          <w:b/>
          <w:bCs/>
        </w:rPr>
        <w:t>85% of respondents believed that workers very rarely or rarely report concerns about threat or harm to the public</w:t>
      </w:r>
      <w:r w:rsidRPr="00E3672F">
        <w:t xml:space="preserve"> </w:t>
      </w:r>
      <w:r w:rsidRPr="00E3672F">
        <w:rPr>
          <w:b/>
          <w:bCs/>
        </w:rPr>
        <w:t>because of fear of legal and financial consequences</w:t>
      </w:r>
      <w:r w:rsidRPr="00E3672F">
        <w:t xml:space="preserve">. This has created a twofold issue of infringement on freedom of expression, as well as an impairment to the enforcement of EU law. </w:t>
      </w:r>
    </w:p>
    <w:p w:rsidRPr="00E3672F" w:rsidR="00974CF6" w:rsidP="001E1287" w:rsidRDefault="00974CF6" w14:paraId="397B5FBA" w14:textId="0F44EA97">
      <w:pPr>
        <w:spacing w:before="120" w:after="120" w:line="360" w:lineRule="auto"/>
        <w:contextualSpacing/>
      </w:pPr>
      <w:r w:rsidRPr="00E3672F">
        <w:t xml:space="preserve">This Directive is the first overarching piece of legislation </w:t>
      </w:r>
      <w:r w:rsidR="00A92644">
        <w:t>to introduce</w:t>
      </w:r>
      <w:r w:rsidRPr="00E3672F" w:rsidR="00A92644">
        <w:t xml:space="preserve"> </w:t>
      </w:r>
      <w:r w:rsidRPr="00E3672F">
        <w:t>common minimum standards in the EU, although it is not the first European legal text relating to whistleblowers. It builds on previous EU sector-specific legislation</w:t>
      </w:r>
      <w:r w:rsidRPr="00E3672F">
        <w:rPr>
          <w:rStyle w:val="FootnoteReference"/>
        </w:rPr>
        <w:footnoteReference w:id="6"/>
      </w:r>
      <w:r w:rsidRPr="00E3672F">
        <w:t>, the European Court of Human Rights case law</w:t>
      </w:r>
      <w:r w:rsidRPr="00E3672F">
        <w:rPr>
          <w:rStyle w:val="FootnoteReference"/>
        </w:rPr>
        <w:footnoteReference w:id="7"/>
      </w:r>
      <w:r w:rsidRPr="00E3672F">
        <w:t xml:space="preserve"> and Council of Europe standards, namely the </w:t>
      </w:r>
      <w:hyperlink w:history="1" r:id="rId40">
        <w:r w:rsidRPr="00E3672F">
          <w:rPr>
            <w:rStyle w:val="Hyperlink"/>
          </w:rPr>
          <w:t>PACE Resolution 1729(2010)</w:t>
        </w:r>
      </w:hyperlink>
      <w:r w:rsidRPr="00E3672F">
        <w:rPr>
          <w:rStyle w:val="FootnoteReference"/>
        </w:rPr>
        <w:footnoteReference w:id="8"/>
      </w:r>
      <w:r w:rsidRPr="00E3672F">
        <w:t xml:space="preserve"> and the </w:t>
      </w:r>
      <w:hyperlink w:history="1" r:id="rId41">
        <w:r w:rsidRPr="00E3672F">
          <w:rPr>
            <w:rStyle w:val="Hyperlink"/>
          </w:rPr>
          <w:t>2014 Recommendation</w:t>
        </w:r>
      </w:hyperlink>
      <w:r w:rsidRPr="00E3672F">
        <w:rPr>
          <w:rStyle w:val="FootnoteReference"/>
        </w:rPr>
        <w:footnoteReference w:id="9"/>
      </w:r>
      <w:r w:rsidRPr="00E3672F">
        <w:t xml:space="preserve">. The text also situates whistleblower protection within the broader human rights framework, affirming the right to freedom of expression as guaranteed by the EU Charter and the European Convention on Human Rights. </w:t>
      </w:r>
    </w:p>
    <w:p w:rsidRPr="00E3672F" w:rsidR="00974CF6" w:rsidP="001E1287" w:rsidRDefault="00974CF6" w14:paraId="4D143823" w14:textId="77777777">
      <w:pPr>
        <w:spacing w:before="120" w:after="120" w:line="360" w:lineRule="auto"/>
        <w:contextualSpacing/>
      </w:pPr>
      <w:r w:rsidRPr="00E3672F">
        <w:t>Overall, the Directive was well received by the European Parliament and the Council of the European Union</w:t>
      </w:r>
      <w:r w:rsidRPr="00E3672F">
        <w:rPr>
          <w:rStyle w:val="FootnoteReference"/>
        </w:rPr>
        <w:footnoteReference w:id="10"/>
      </w:r>
      <w:r w:rsidRPr="00E3672F">
        <w:t xml:space="preserve">, as well as the </w:t>
      </w:r>
      <w:hyperlink w:history="1" r:id="rId42">
        <w:r w:rsidRPr="00E3672F">
          <w:rPr>
            <w:rStyle w:val="Hyperlink"/>
          </w:rPr>
          <w:t>Council of Europe</w:t>
        </w:r>
      </w:hyperlink>
      <w:r w:rsidRPr="00E3672F">
        <w:t>.</w:t>
      </w:r>
    </w:p>
    <w:p w:rsidRPr="00E3672F" w:rsidR="00974CF6" w:rsidP="001E1287" w:rsidRDefault="00974CF6" w14:paraId="1BBA8131" w14:textId="77777777">
      <w:pPr>
        <w:spacing w:before="120" w:after="120" w:line="360" w:lineRule="auto"/>
        <w:contextualSpacing/>
      </w:pPr>
    </w:p>
    <w:p w:rsidRPr="00E3672F" w:rsidR="00974CF6" w:rsidP="001E1287" w:rsidRDefault="00974CF6" w14:paraId="21519618" w14:textId="5EDCA90F">
      <w:pPr>
        <w:spacing w:before="120" w:after="120" w:line="360" w:lineRule="auto"/>
        <w:contextualSpacing/>
        <w:rPr>
          <w:u w:val="single"/>
        </w:rPr>
      </w:pPr>
      <w:r w:rsidRPr="00E3672F">
        <w:rPr>
          <w:u w:val="single"/>
        </w:rPr>
        <w:t xml:space="preserve">EESC </w:t>
      </w:r>
      <w:r w:rsidR="00A92644">
        <w:rPr>
          <w:u w:val="single"/>
        </w:rPr>
        <w:t>o</w:t>
      </w:r>
      <w:r w:rsidRPr="00E3672F">
        <w:rPr>
          <w:u w:val="single"/>
        </w:rPr>
        <w:t xml:space="preserve">pinion on </w:t>
      </w:r>
      <w:r w:rsidR="00A92644">
        <w:rPr>
          <w:u w:val="single"/>
        </w:rPr>
        <w:t>w</w:t>
      </w:r>
      <w:r w:rsidRPr="00E3672F" w:rsidR="00A92644">
        <w:rPr>
          <w:u w:val="single"/>
        </w:rPr>
        <w:t xml:space="preserve">histleblowing </w:t>
      </w:r>
      <w:r w:rsidRPr="00E3672F">
        <w:rPr>
          <w:u w:val="single"/>
        </w:rPr>
        <w:t>(SOC/593)</w:t>
      </w:r>
    </w:p>
    <w:p w:rsidRPr="00E3672F" w:rsidR="00974CF6" w:rsidP="001E1287" w:rsidRDefault="00974CF6" w14:paraId="2F0E188C" w14:textId="2C1E22B7">
      <w:pPr>
        <w:spacing w:before="120" w:after="120" w:line="360" w:lineRule="auto"/>
        <w:contextualSpacing/>
      </w:pPr>
      <w:r w:rsidRPr="00E3672F">
        <w:t xml:space="preserve">The </w:t>
      </w:r>
      <w:hyperlink w:history="1" r:id="rId43">
        <w:r w:rsidRPr="00E3672F">
          <w:rPr>
            <w:rStyle w:val="Hyperlink"/>
          </w:rPr>
          <w:t xml:space="preserve">2018 EESC opinion </w:t>
        </w:r>
        <w:r w:rsidRPr="009B193B">
          <w:rPr>
            <w:rStyle w:val="Hyperlink"/>
            <w:i/>
            <w:iCs/>
          </w:rPr>
          <w:t>Strengthening whistleblower protection at EU level</w:t>
        </w:r>
        <w:r w:rsidRPr="00E3672F">
          <w:rPr>
            <w:rStyle w:val="Hyperlink"/>
          </w:rPr>
          <w:t xml:space="preserve"> (SOC/593)</w:t>
        </w:r>
      </w:hyperlink>
      <w:r w:rsidRPr="00E3672F">
        <w:t xml:space="preserve"> recognises whistleblower protection as a crucial tool not only for safeguarding individuals but also for helping companies address unlawful and unethical practices. It stresses that the Directive</w:t>
      </w:r>
      <w:r w:rsidRPr="00E3672F" w:rsidR="00413731">
        <w:t>’</w:t>
      </w:r>
      <w:r w:rsidRPr="00E3672F">
        <w:t xml:space="preserve">s scope should be broad and regularly evaluated to ensure it effectively protects the general interest. The EESC encourages </w:t>
      </w:r>
      <w:r w:rsidRPr="00E3672F">
        <w:rPr>
          <w:b/>
          <w:bCs/>
        </w:rPr>
        <w:t>Member States to go</w:t>
      </w:r>
      <w:r w:rsidRPr="00E3672F">
        <w:t xml:space="preserve"> </w:t>
      </w:r>
      <w:r w:rsidRPr="00E3672F">
        <w:rPr>
          <w:b/>
          <w:bCs/>
        </w:rPr>
        <w:t>beyond the minimum standards</w:t>
      </w:r>
      <w:r w:rsidRPr="00E3672F">
        <w:t xml:space="preserve"> set by the Directive.</w:t>
      </w:r>
    </w:p>
    <w:p w:rsidRPr="00E3672F" w:rsidR="00974CF6" w:rsidP="001E1287" w:rsidRDefault="00974CF6" w14:paraId="3A400867" w14:textId="316BB7C9">
      <w:pPr>
        <w:spacing w:before="120" w:after="120" w:line="360" w:lineRule="auto"/>
        <w:contextualSpacing/>
      </w:pPr>
      <w:r w:rsidRPr="00E3672F">
        <w:t>The EESC urges the Commission to revise the legal basis of the Directive to explicitly include workers</w:t>
      </w:r>
      <w:r w:rsidRPr="00E3672F" w:rsidR="00413731">
        <w:t>’</w:t>
      </w:r>
      <w:r w:rsidRPr="00E3672F">
        <w:t xml:space="preserve"> rights under </w:t>
      </w:r>
      <w:hyperlink w:history="1" r:id="rId44">
        <w:r w:rsidRPr="00E3672F">
          <w:rPr>
            <w:rStyle w:val="Hyperlink"/>
          </w:rPr>
          <w:t>Article 153 TFEU</w:t>
        </w:r>
      </w:hyperlink>
      <w:r w:rsidRPr="00E3672F">
        <w:t xml:space="preserve">. The Committee also advocates </w:t>
      </w:r>
      <w:r w:rsidRPr="00E3672F">
        <w:rPr>
          <w:b/>
          <w:bCs/>
        </w:rPr>
        <w:t>extending protection to former employees, trade union representatives and legal persons</w:t>
      </w:r>
      <w:r w:rsidRPr="00E3672F">
        <w:t xml:space="preserve">, and recommends their explicit inclusion in the Directive. It emphasises the role of trade unions throughout the reporting process, both in supporting whistleblowers and negotiating internal procedures through social dialogue. The Committee also calls for robust protections against retaliation, including full compensation for damages without national variability, and urges Member States to include social issues like workplace harassment under whistleblower protection. </w:t>
      </w:r>
    </w:p>
    <w:p w:rsidRPr="00E3672F" w:rsidR="00974CF6" w:rsidP="001E1287" w:rsidRDefault="00974CF6" w14:paraId="2130A4D9" w14:textId="7A2206ED">
      <w:pPr>
        <w:spacing w:before="120" w:after="120" w:line="360" w:lineRule="auto"/>
        <w:contextualSpacing/>
      </w:pPr>
      <w:r w:rsidRPr="00E3672F">
        <w:t xml:space="preserve">The EESC called for clearer wording regarding the burden of proof, stating that it should suffice for whistleblowers to show they </w:t>
      </w:r>
      <w:r w:rsidR="00A92644">
        <w:t xml:space="preserve">have </w:t>
      </w:r>
      <w:r w:rsidRPr="00E3672F">
        <w:t xml:space="preserve">made a report. It strongly recommends including an </w:t>
      </w:r>
      <w:r w:rsidRPr="00E3672F">
        <w:rPr>
          <w:b/>
          <w:bCs/>
        </w:rPr>
        <w:t>explicit non-regression clause</w:t>
      </w:r>
      <w:r w:rsidRPr="00E3672F">
        <w:t xml:space="preserve"> to prevent any weakening of existing national protections because of the Directive</w:t>
      </w:r>
      <w:r w:rsidRPr="00E3672F" w:rsidR="00413731">
        <w:t>’</w:t>
      </w:r>
      <w:r w:rsidRPr="00E3672F">
        <w:t>s implementation.</w:t>
      </w:r>
    </w:p>
    <w:p w:rsidRPr="00E3672F" w:rsidR="00974CF6" w:rsidP="001E1287" w:rsidRDefault="00974CF6" w14:paraId="09C96E72" w14:textId="69AEF8D4">
      <w:pPr>
        <w:spacing w:before="120" w:after="120" w:line="360" w:lineRule="auto"/>
        <w:contextualSpacing/>
      </w:pPr>
      <w:r w:rsidRPr="00E3672F">
        <w:t>Overall, it can be assessed that the final text of the Directive (see below) is in line with many of the</w:t>
      </w:r>
      <w:r w:rsidRPr="00E3672F">
        <w:rPr>
          <w:b/>
          <w:bCs/>
        </w:rPr>
        <w:t xml:space="preserve"> </w:t>
      </w:r>
      <w:r w:rsidRPr="00E3672F">
        <w:t>EESC</w:t>
      </w:r>
      <w:r w:rsidRPr="00E3672F" w:rsidR="00413731">
        <w:t>’</w:t>
      </w:r>
      <w:r w:rsidRPr="00E3672F">
        <w:t>s core recommendations (personal scope, anti-retaliation measures, burden of proof, non-regression). However, the Directive has remained limited to breaches of EU law, no worker-rights legal basis under Article 153 TFEU was added, and the trade unions</w:t>
      </w:r>
      <w:r w:rsidRPr="00E3672F" w:rsidR="00413731">
        <w:t>’</w:t>
      </w:r>
      <w:r w:rsidRPr="00E3672F">
        <w:t xml:space="preserve"> structural role was not anchored.</w:t>
      </w:r>
    </w:p>
    <w:p w:rsidRPr="00E3672F" w:rsidR="00974CF6" w:rsidP="001E1287" w:rsidRDefault="00974CF6" w14:paraId="0F9EC650" w14:textId="77777777">
      <w:pPr>
        <w:spacing w:before="120" w:after="120" w:line="360" w:lineRule="auto"/>
        <w:contextualSpacing/>
      </w:pPr>
    </w:p>
    <w:p w:rsidRPr="00E3672F" w:rsidR="00974CF6" w:rsidP="001E1287" w:rsidRDefault="00974CF6" w14:paraId="51BDB510" w14:textId="0DA3687A">
      <w:pPr>
        <w:spacing w:before="120" w:after="120" w:line="360" w:lineRule="auto"/>
        <w:contextualSpacing/>
        <w:rPr>
          <w:u w:val="single"/>
        </w:rPr>
      </w:pPr>
      <w:r w:rsidRPr="00E3672F">
        <w:rPr>
          <w:u w:val="single"/>
        </w:rPr>
        <w:t>Presentation of the text of the Directive</w:t>
      </w:r>
    </w:p>
    <w:p w:rsidRPr="00E3672F" w:rsidR="00974CF6" w:rsidP="001E1287" w:rsidRDefault="00974CF6" w14:paraId="7E6F2C5E" w14:textId="347BD0CC">
      <w:pPr>
        <w:spacing w:before="120" w:after="120" w:line="360" w:lineRule="auto"/>
        <w:contextualSpacing/>
      </w:pPr>
      <w:r w:rsidRPr="00E3672F">
        <w:t>As per Article 1</w:t>
      </w:r>
      <w:r w:rsidRPr="00E3672F">
        <w:rPr>
          <w:rStyle w:val="FootnoteReference"/>
        </w:rPr>
        <w:footnoteReference w:id="11"/>
      </w:r>
      <w:r w:rsidRPr="00E3672F">
        <w:t xml:space="preserve"> of the Directive, its purpose is to </w:t>
      </w:r>
      <w:r w:rsidRPr="00E3672F" w:rsidR="00413731">
        <w:t>‘</w:t>
      </w:r>
      <w:r w:rsidRPr="00E3672F">
        <w:t xml:space="preserve">enhance the enforcement of </w:t>
      </w:r>
      <w:r w:rsidRPr="00E3672F">
        <w:rPr>
          <w:b/>
          <w:bCs/>
        </w:rPr>
        <w:t>Union law and policies</w:t>
      </w:r>
      <w:r w:rsidRPr="00E3672F" w:rsidR="00413731">
        <w:t>’</w:t>
      </w:r>
      <w:r w:rsidRPr="00E3672F">
        <w:t xml:space="preserve"> and establish </w:t>
      </w:r>
      <w:r w:rsidRPr="00E3672F">
        <w:rPr>
          <w:b/>
          <w:bCs/>
        </w:rPr>
        <w:t>minimum common standards</w:t>
      </w:r>
      <w:r w:rsidRPr="00E3672F">
        <w:t xml:space="preserve"> to protect individuals who report breaches of EU</w:t>
      </w:r>
      <w:r w:rsidRPr="00E3672F" w:rsidR="00D81EEA">
        <w:t xml:space="preserve"> law</w:t>
      </w:r>
      <w:r w:rsidRPr="00E3672F">
        <w:t>. In terms of the material scope as set out in Article 2(1)</w:t>
      </w:r>
      <w:r w:rsidRPr="00E3672F">
        <w:rPr>
          <w:rStyle w:val="FootnoteReference"/>
        </w:rPr>
        <w:footnoteReference w:id="12"/>
      </w:r>
      <w:r w:rsidRPr="00E3672F">
        <w:t xml:space="preserve">, the Directive covers breaches falling within the </w:t>
      </w:r>
      <w:r w:rsidR="00A92644">
        <w:t>competence</w:t>
      </w:r>
      <w:r w:rsidRPr="00E3672F" w:rsidR="00A92644">
        <w:t xml:space="preserve"> </w:t>
      </w:r>
      <w:r w:rsidRPr="00E3672F">
        <w:t xml:space="preserve">of the </w:t>
      </w:r>
      <w:r w:rsidR="00A92644">
        <w:t>EU</w:t>
      </w:r>
      <w:r w:rsidRPr="00E3672F" w:rsidR="00A92644">
        <w:t xml:space="preserve"> </w:t>
      </w:r>
      <w:r w:rsidRPr="00E3672F">
        <w:t xml:space="preserve">in the following areas: </w:t>
      </w:r>
    </w:p>
    <w:p w:rsidRPr="00E3672F" w:rsidR="00974CF6" w:rsidP="001E1287" w:rsidRDefault="00974CF6" w14:paraId="0A05FDF9" w14:textId="77777777">
      <w:pPr>
        <w:spacing w:before="120" w:after="120" w:line="360" w:lineRule="auto"/>
        <w:ind w:left="720"/>
        <w:contextualSpacing/>
      </w:pPr>
      <w:r w:rsidRPr="00E3672F">
        <w:t>(i) public procurement;</w:t>
      </w:r>
    </w:p>
    <w:p w:rsidRPr="00E3672F" w:rsidR="00974CF6" w:rsidP="001E1287" w:rsidRDefault="00974CF6" w14:paraId="22ECFB9F" w14:textId="77777777">
      <w:pPr>
        <w:spacing w:before="120" w:after="120" w:line="360" w:lineRule="auto"/>
        <w:ind w:left="720"/>
        <w:contextualSpacing/>
      </w:pPr>
      <w:r w:rsidRPr="00E3672F">
        <w:t>(ii) financial services, products and markets, and prevention of money laundering and terrorist financing;</w:t>
      </w:r>
    </w:p>
    <w:p w:rsidRPr="00E3672F" w:rsidR="00974CF6" w:rsidP="001E1287" w:rsidRDefault="00974CF6" w14:paraId="787DC525" w14:textId="77777777">
      <w:pPr>
        <w:spacing w:before="120" w:after="120" w:line="360" w:lineRule="auto"/>
        <w:ind w:left="720"/>
        <w:contextualSpacing/>
      </w:pPr>
      <w:r w:rsidRPr="00E3672F">
        <w:t>(iii) product safety and compliance;</w:t>
      </w:r>
    </w:p>
    <w:p w:rsidRPr="00E3672F" w:rsidR="00974CF6" w:rsidP="001E1287" w:rsidRDefault="00974CF6" w14:paraId="0C011A1A" w14:textId="77777777">
      <w:pPr>
        <w:spacing w:before="120" w:after="120" w:line="360" w:lineRule="auto"/>
        <w:ind w:left="720"/>
        <w:contextualSpacing/>
      </w:pPr>
      <w:r w:rsidRPr="00E3672F">
        <w:t>(iv) transport safety;</w:t>
      </w:r>
    </w:p>
    <w:p w:rsidRPr="00E3672F" w:rsidR="00974CF6" w:rsidP="001E1287" w:rsidRDefault="00974CF6" w14:paraId="2152FC16" w14:textId="77777777">
      <w:pPr>
        <w:spacing w:before="120" w:after="120" w:line="360" w:lineRule="auto"/>
        <w:ind w:left="720"/>
        <w:contextualSpacing/>
      </w:pPr>
      <w:r w:rsidRPr="00E3672F">
        <w:t>(v) protection of the environment;</w:t>
      </w:r>
    </w:p>
    <w:p w:rsidRPr="00E3672F" w:rsidR="00974CF6" w:rsidP="001E1287" w:rsidRDefault="00974CF6" w14:paraId="079DAB04" w14:textId="77777777">
      <w:pPr>
        <w:spacing w:before="120" w:after="120" w:line="360" w:lineRule="auto"/>
        <w:ind w:left="720"/>
        <w:contextualSpacing/>
      </w:pPr>
      <w:r w:rsidRPr="00E3672F">
        <w:t>(vi) radiation protection and nuclear safety;</w:t>
      </w:r>
    </w:p>
    <w:p w:rsidRPr="00E3672F" w:rsidR="00974CF6" w:rsidP="001E1287" w:rsidRDefault="00974CF6" w14:paraId="46B675D2" w14:textId="77777777">
      <w:pPr>
        <w:spacing w:before="120" w:after="120" w:line="360" w:lineRule="auto"/>
        <w:ind w:left="720"/>
        <w:contextualSpacing/>
      </w:pPr>
      <w:r w:rsidRPr="00E3672F">
        <w:t>(vii) food and feed safety, animal health and welfare;</w:t>
      </w:r>
    </w:p>
    <w:p w:rsidRPr="00E3672F" w:rsidR="00974CF6" w:rsidP="001E1287" w:rsidRDefault="00974CF6" w14:paraId="60D2CA0F" w14:textId="77777777">
      <w:pPr>
        <w:spacing w:before="120" w:after="120" w:line="360" w:lineRule="auto"/>
        <w:ind w:left="720"/>
        <w:contextualSpacing/>
      </w:pPr>
      <w:r w:rsidRPr="00E3672F">
        <w:t>(viii) public health;</w:t>
      </w:r>
    </w:p>
    <w:p w:rsidRPr="00E3672F" w:rsidR="00974CF6" w:rsidP="001E1287" w:rsidRDefault="00974CF6" w14:paraId="119E9A50" w14:textId="77777777">
      <w:pPr>
        <w:spacing w:before="120" w:after="120" w:line="360" w:lineRule="auto"/>
        <w:ind w:left="720"/>
        <w:contextualSpacing/>
      </w:pPr>
      <w:r w:rsidRPr="00E3672F">
        <w:t>(ix) consumer protection;</w:t>
      </w:r>
    </w:p>
    <w:p w:rsidRPr="00E3672F" w:rsidR="00974CF6" w:rsidP="001E1287" w:rsidRDefault="00974CF6" w14:paraId="0C92A204" w14:textId="77777777">
      <w:pPr>
        <w:spacing w:before="120" w:after="120" w:line="360" w:lineRule="auto"/>
        <w:ind w:left="720"/>
        <w:contextualSpacing/>
      </w:pPr>
      <w:r w:rsidRPr="00E3672F">
        <w:t>(x) protection of privacy and personal data, and security of network and information systems.</w:t>
      </w:r>
    </w:p>
    <w:p w:rsidRPr="00E3672F" w:rsidR="00974CF6" w:rsidP="001E1287" w:rsidRDefault="00974CF6" w14:paraId="705E3AB5" w14:textId="77777777">
      <w:pPr>
        <w:spacing w:before="120" w:after="120" w:line="360" w:lineRule="auto"/>
        <w:contextualSpacing/>
      </w:pPr>
    </w:p>
    <w:p w:rsidRPr="00E3672F" w:rsidR="00974CF6" w:rsidP="001E1287" w:rsidRDefault="00974CF6" w14:paraId="7CAE0706" w14:textId="0CB4EE6E">
      <w:pPr>
        <w:spacing w:before="120" w:after="120" w:line="360" w:lineRule="auto"/>
        <w:contextualSpacing/>
        <w:rPr>
          <w:b/>
          <w:bCs/>
        </w:rPr>
      </w:pPr>
      <w:r w:rsidRPr="00E3672F">
        <w:t xml:space="preserve">The Directive also applies to breaches affecting the financial interests of the </w:t>
      </w:r>
      <w:r w:rsidRPr="00E3672F" w:rsidR="00D81EEA">
        <w:t xml:space="preserve">EU </w:t>
      </w:r>
      <w:r w:rsidRPr="00E3672F">
        <w:t>as referred to in Article 325 TFEU</w:t>
      </w:r>
      <w:r w:rsidRPr="00E3672F">
        <w:rPr>
          <w:rStyle w:val="FootnoteReference"/>
        </w:rPr>
        <w:footnoteReference w:id="13"/>
      </w:r>
      <w:r w:rsidRPr="00E3672F">
        <w:t xml:space="preserve"> and those relating to the internal market, as referred to in Article 26(2) TFEU</w:t>
      </w:r>
      <w:r w:rsidRPr="00E3672F">
        <w:rPr>
          <w:rStyle w:val="FootnoteReference"/>
        </w:rPr>
        <w:footnoteReference w:id="14"/>
      </w:r>
      <w:r w:rsidRPr="00E3672F">
        <w:t xml:space="preserve">. The latter includes breaches of </w:t>
      </w:r>
      <w:r w:rsidRPr="00E3672F" w:rsidR="00D81EEA">
        <w:t xml:space="preserve">EU </w:t>
      </w:r>
      <w:r w:rsidRPr="00E3672F">
        <w:t xml:space="preserve">competition and State aid laws, as well as internal market violations involving corporate tax abuses. Articles 3(2) and 3(3) clearly state that the Directive does not interfere with the application of </w:t>
      </w:r>
      <w:r w:rsidRPr="00E3672F" w:rsidR="00D81EEA">
        <w:t xml:space="preserve">EU </w:t>
      </w:r>
      <w:r w:rsidRPr="00E3672F">
        <w:t>or national laws concerning the protection of classified information, legal and medical professional privilege, the secrecy of judicial deliberations, or rules on criminal procedure.</w:t>
      </w:r>
    </w:p>
    <w:p w:rsidRPr="00E3672F" w:rsidR="00974CF6" w:rsidP="001E1287" w:rsidRDefault="00974CF6" w14:paraId="1606C65A" w14:textId="6BA43245">
      <w:pPr>
        <w:spacing w:before="120" w:after="120" w:line="360" w:lineRule="auto"/>
        <w:contextualSpacing/>
      </w:pPr>
      <w:r w:rsidRPr="00E3672F">
        <w:t xml:space="preserve">While the Directive does not refer to nor define what a </w:t>
      </w:r>
      <w:r w:rsidRPr="00E3672F" w:rsidR="00413731">
        <w:t>‘</w:t>
      </w:r>
      <w:r w:rsidRPr="00E3672F">
        <w:t>whistleblower</w:t>
      </w:r>
      <w:r w:rsidRPr="00E3672F" w:rsidR="00413731">
        <w:t>’</w:t>
      </w:r>
      <w:r w:rsidRPr="00E3672F" w:rsidR="00D81EEA">
        <w:t xml:space="preserve"> would be</w:t>
      </w:r>
      <w:r w:rsidRPr="00E3672F">
        <w:t xml:space="preserve">, it defines a </w:t>
      </w:r>
      <w:r w:rsidRPr="00E3672F" w:rsidR="00413731">
        <w:t>‘</w:t>
      </w:r>
      <w:r w:rsidRPr="00E3672F">
        <w:t>reporting person</w:t>
      </w:r>
      <w:r w:rsidRPr="00E3672F" w:rsidR="00413731">
        <w:t>’</w:t>
      </w:r>
      <w:r w:rsidRPr="00E3672F">
        <w:t xml:space="preserve"> in Article 5(7) as anyone who reports breaches learned through work-related activities. It covers a broad range of individuals, including </w:t>
      </w:r>
      <w:r w:rsidRPr="00E3672F">
        <w:rPr>
          <w:b/>
          <w:bCs/>
        </w:rPr>
        <w:t>public and private sector workers</w:t>
      </w:r>
      <w:r w:rsidRPr="00E3672F">
        <w:t xml:space="preserve"> </w:t>
      </w:r>
      <w:r w:rsidRPr="00E3672F">
        <w:rPr>
          <w:b/>
          <w:bCs/>
        </w:rPr>
        <w:t>(full-time, part-time, fixed-term), civil servants, shareholders, management, self-employed</w:t>
      </w:r>
      <w:r w:rsidR="005A4525">
        <w:rPr>
          <w:b/>
          <w:bCs/>
        </w:rPr>
        <w:t xml:space="preserve"> persons</w:t>
      </w:r>
      <w:r w:rsidRPr="00E3672F">
        <w:rPr>
          <w:b/>
          <w:bCs/>
        </w:rPr>
        <w:t>, volunteers, trainees, subcontractors and suppliers</w:t>
      </w:r>
      <w:r w:rsidRPr="00E3672F">
        <w:t>. Protection also extends to anonymous reporting persons who are later identified and retaliated against, those who have ended or not yet started their working relationship, and to third persons who are connected with the reporting persons.</w:t>
      </w:r>
    </w:p>
    <w:p w:rsidRPr="00E3672F" w:rsidR="00974CF6" w:rsidP="001E1287" w:rsidRDefault="00974CF6" w14:paraId="5D80E0C8" w14:textId="6F6BBE32">
      <w:pPr>
        <w:spacing w:before="120" w:after="120" w:line="360" w:lineRule="auto"/>
        <w:contextualSpacing/>
      </w:pPr>
      <w:r w:rsidRPr="00E3672F">
        <w:t>To qualify for protection, reporting persons must have reasonable grounds to believe the reported information is true and falls within the Directive</w:t>
      </w:r>
      <w:r w:rsidRPr="00E3672F" w:rsidR="00413731">
        <w:t>’</w:t>
      </w:r>
      <w:r w:rsidRPr="00E3672F">
        <w:t>s material scope, and they must report it internally, externally or publicly</w:t>
      </w:r>
      <w:r w:rsidRPr="00E3672F">
        <w:rPr>
          <w:rStyle w:val="FootnoteReference"/>
        </w:rPr>
        <w:footnoteReference w:id="15"/>
      </w:r>
      <w:r w:rsidRPr="00E3672F">
        <w:t xml:space="preserve">. While Article 7(2) </w:t>
      </w:r>
      <w:r w:rsidRPr="00E3672F" w:rsidR="00413731">
        <w:rPr>
          <w:i/>
          <w:iCs/>
        </w:rPr>
        <w:t>‘</w:t>
      </w:r>
      <w:r w:rsidRPr="00E3672F">
        <w:rPr>
          <w:i/>
          <w:iCs/>
        </w:rPr>
        <w:t>encourages</w:t>
      </w:r>
      <w:r w:rsidRPr="00E3672F" w:rsidR="00413731">
        <w:rPr>
          <w:i/>
          <w:iCs/>
        </w:rPr>
        <w:t>’</w:t>
      </w:r>
      <w:r w:rsidRPr="00E3672F">
        <w:t xml:space="preserve"> internal reporting </w:t>
      </w:r>
      <w:r w:rsidRPr="00E3672F" w:rsidR="00413731">
        <w:t>‘</w:t>
      </w:r>
      <w:r w:rsidRPr="00E3672F">
        <w:t>before reporting through external reporting channels</w:t>
      </w:r>
      <w:r w:rsidRPr="00E3672F" w:rsidR="00413731">
        <w:t>’</w:t>
      </w:r>
      <w:r w:rsidRPr="00E3672F">
        <w:t xml:space="preserve">, Articles 10, 11 and 12 allow for external reports. Thus, the Directive avoids a </w:t>
      </w:r>
      <w:r w:rsidRPr="00E3672F" w:rsidR="00413731">
        <w:t>‘</w:t>
      </w:r>
      <w:r w:rsidRPr="00E3672F">
        <w:t>mandatory internal reporting first</w:t>
      </w:r>
      <w:r w:rsidRPr="00E3672F" w:rsidR="00413731">
        <w:t>’</w:t>
      </w:r>
      <w:r w:rsidRPr="00E3672F">
        <w:t xml:space="preserve"> rule, in line with what the EESC recommended. Public disclosures are protected only if no action follows internal and external reports, or if the breach poses an imminent danger to the public interest. Private sector organisations with over 50 employees must establish internal reporting channels, and Member States must ensure designated authorities are in place for external reporting.</w:t>
      </w:r>
    </w:p>
    <w:p w:rsidRPr="00E3672F" w:rsidR="00974CF6" w:rsidP="001E1287" w:rsidRDefault="00974CF6" w14:paraId="081039C8" w14:textId="136C8498">
      <w:pPr>
        <w:spacing w:before="120" w:after="120" w:line="360" w:lineRule="auto"/>
        <w:contextualSpacing/>
      </w:pPr>
      <w:r w:rsidRPr="00E3672F">
        <w:t>The Directive obliges Member States to implement strong safeguards against retaliation, which includes a broad list of retaliatory actions such as dismissal, demotion or harassment. They are also required to offer support measures, including legal advice and financial assistance, and to uphold whistleblowers</w:t>
      </w:r>
      <w:r w:rsidRPr="00E3672F" w:rsidR="00413731">
        <w:t>’</w:t>
      </w:r>
      <w:r w:rsidRPr="00E3672F">
        <w:t xml:space="preserve"> rights to a fair trial.</w:t>
      </w:r>
    </w:p>
    <w:p w:rsidRPr="00E3672F" w:rsidR="00974CF6" w:rsidP="001E1287" w:rsidRDefault="00974CF6" w14:paraId="7185640D" w14:textId="66A105D3">
      <w:pPr>
        <w:spacing w:before="120" w:after="120" w:line="360" w:lineRule="auto"/>
        <w:contextualSpacing/>
      </w:pPr>
      <w:r w:rsidRPr="00E3672F">
        <w:t xml:space="preserve">The text states that </w:t>
      </w:r>
      <w:r w:rsidRPr="00E3672F">
        <w:rPr>
          <w:b/>
          <w:bCs/>
        </w:rPr>
        <w:t xml:space="preserve">Member States may adopt or maintain more protective provisions for reporting persons </w:t>
      </w:r>
      <w:r w:rsidRPr="00E3672F">
        <w:t xml:space="preserve">and that the Directive must not reduce existing safeguards in areas covered. In the </w:t>
      </w:r>
      <w:r w:rsidRPr="00E3672F" w:rsidR="0061724A">
        <w:t>e</w:t>
      </w:r>
      <w:r w:rsidRPr="00E3672F">
        <w:t xml:space="preserve">xplanatory memorandum accompanying its initial </w:t>
      </w:r>
      <w:hyperlink w:history="1" r:id="rId45">
        <w:r w:rsidRPr="00E3672F">
          <w:rPr>
            <w:rStyle w:val="Hyperlink"/>
          </w:rPr>
          <w:t>proposal for the Directive</w:t>
        </w:r>
      </w:hyperlink>
      <w:r w:rsidRPr="00E3672F">
        <w:t xml:space="preserve">, the Commission had emphasised that whistleblower protection will raise the overall level of protection of workers, in line with the aims of the </w:t>
      </w:r>
      <w:hyperlink w:history="1" r:id="rId46">
        <w:r w:rsidRPr="00E3672F">
          <w:rPr>
            <w:rStyle w:val="Hyperlink"/>
          </w:rPr>
          <w:t>European Pillar of Social Rights</w:t>
        </w:r>
      </w:hyperlink>
      <w:r w:rsidRPr="00E3672F">
        <w:t xml:space="preserve"> and in particular its principles 5 (fair working conditions) and 7b (protection in case of dismissals). It also recognised the key role of social partners in promoting good governance, shaping reporting procedures and supporting whistleblowers.</w:t>
      </w:r>
    </w:p>
    <w:p w:rsidRPr="00E3672F" w:rsidR="00974CF6" w:rsidP="001E1287" w:rsidRDefault="00974CF6" w14:paraId="255C41FB" w14:textId="77777777">
      <w:pPr>
        <w:spacing w:before="120" w:after="120" w:line="360" w:lineRule="auto"/>
        <w:contextualSpacing/>
      </w:pPr>
    </w:p>
    <w:p w:rsidRPr="00E3672F" w:rsidR="00974CF6" w:rsidP="001E1287" w:rsidRDefault="00974CF6" w14:paraId="6953C90A" w14:textId="668054D9">
      <w:pPr>
        <w:spacing w:before="120" w:after="120" w:line="360" w:lineRule="auto"/>
        <w:contextualSpacing/>
        <w:rPr>
          <w:u w:val="single"/>
        </w:rPr>
      </w:pPr>
      <w:r w:rsidRPr="00E3672F">
        <w:rPr>
          <w:u w:val="single"/>
        </w:rPr>
        <w:t>State of play of implementation</w:t>
      </w:r>
    </w:p>
    <w:p w:rsidRPr="00E3672F" w:rsidR="00974CF6" w:rsidP="001E1287" w:rsidRDefault="00974CF6" w14:paraId="1B285B0A" w14:textId="26272F3C">
      <w:pPr>
        <w:spacing w:before="120" w:after="120" w:line="360" w:lineRule="auto"/>
        <w:contextualSpacing/>
      </w:pPr>
      <w:r w:rsidRPr="00E3672F">
        <w:t xml:space="preserve">Member States had until </w:t>
      </w:r>
      <w:r w:rsidRPr="00E3672F" w:rsidR="009A77A4">
        <w:t>17 </w:t>
      </w:r>
      <w:r w:rsidRPr="00E3672F">
        <w:t xml:space="preserve">December 2021 to transpose the Directive, with an optional extension until </w:t>
      </w:r>
      <w:r w:rsidRPr="00E3672F" w:rsidR="009A77A4">
        <w:t>17 </w:t>
      </w:r>
      <w:r w:rsidRPr="00E3672F">
        <w:t>December 2023 for private</w:t>
      </w:r>
      <w:r w:rsidR="00C10652">
        <w:t xml:space="preserve"> </w:t>
      </w:r>
      <w:r w:rsidRPr="00E3672F">
        <w:t>sector entities with 50-249 employees. According to the European Commission</w:t>
      </w:r>
      <w:r w:rsidRPr="00E3672F">
        <w:rPr>
          <w:rStyle w:val="FootnoteReference"/>
        </w:rPr>
        <w:footnoteReference w:id="16"/>
      </w:r>
      <w:r w:rsidRPr="00E3672F">
        <w:t xml:space="preserve">, </w:t>
      </w:r>
      <w:r w:rsidRPr="00E3672F">
        <w:rPr>
          <w:b/>
          <w:bCs/>
        </w:rPr>
        <w:t>all Member States have completed the transposition</w:t>
      </w:r>
      <w:r w:rsidRPr="00E3672F">
        <w:t xml:space="preserve">, with most having done so in 2023. </w:t>
      </w:r>
      <w:r w:rsidRPr="00E3672F">
        <w:rPr>
          <w:b/>
          <w:bCs/>
        </w:rPr>
        <w:t>Estonia</w:t>
      </w:r>
      <w:r w:rsidRPr="00E3672F">
        <w:t xml:space="preserve"> and </w:t>
      </w:r>
      <w:r w:rsidRPr="00E3672F">
        <w:rPr>
          <w:b/>
          <w:bCs/>
        </w:rPr>
        <w:t>Poland</w:t>
      </w:r>
      <w:r w:rsidRPr="00E3672F">
        <w:t xml:space="preserve"> were the last to complete the transposition in 2024. By the first deadline, only </w:t>
      </w:r>
      <w:r w:rsidRPr="00E3672F">
        <w:rPr>
          <w:b/>
          <w:bCs/>
        </w:rPr>
        <w:t xml:space="preserve">Malta, Portugal </w:t>
      </w:r>
      <w:r w:rsidRPr="00E3672F">
        <w:t xml:space="preserve">and </w:t>
      </w:r>
      <w:r w:rsidRPr="00E3672F">
        <w:rPr>
          <w:b/>
          <w:bCs/>
        </w:rPr>
        <w:t>Sweden</w:t>
      </w:r>
      <w:r w:rsidRPr="00E3672F">
        <w:t xml:space="preserve"> had adopted and notified complete transposition measures. The </w:t>
      </w:r>
      <w:hyperlink w:history="1" r:id="rId47">
        <w:r w:rsidRPr="00E3672F">
          <w:rPr>
            <w:rStyle w:val="Hyperlink"/>
          </w:rPr>
          <w:t>Commission</w:t>
        </w:r>
      </w:hyperlink>
      <w:r w:rsidRPr="00E3672F">
        <w:t xml:space="preserve"> issued 24 letters of formal notice</w:t>
      </w:r>
      <w:r w:rsidRPr="00E3672F">
        <w:rPr>
          <w:rStyle w:val="FootnoteReference"/>
        </w:rPr>
        <w:footnoteReference w:id="17"/>
      </w:r>
      <w:r w:rsidRPr="00E3672F">
        <w:t xml:space="preserve"> in January 2022 due to delays in implementing national measures. In March 2023, the Commission referred </w:t>
      </w:r>
      <w:r w:rsidRPr="00E3672F">
        <w:rPr>
          <w:b/>
          <w:bCs/>
        </w:rPr>
        <w:t>six Member States</w:t>
      </w:r>
      <w:r w:rsidRPr="00E3672F">
        <w:rPr>
          <w:rStyle w:val="FootnoteReference"/>
        </w:rPr>
        <w:footnoteReference w:id="18"/>
      </w:r>
      <w:r w:rsidRPr="00E3672F">
        <w:t xml:space="preserve"> to the </w:t>
      </w:r>
      <w:hyperlink w:history="1" r:id="rId48">
        <w:r w:rsidRPr="00E3672F">
          <w:rPr>
            <w:rStyle w:val="Hyperlink"/>
          </w:rPr>
          <w:t>Court of Justice of the European Union</w:t>
        </w:r>
      </w:hyperlink>
      <w:r w:rsidRPr="00E3672F">
        <w:t xml:space="preserve"> for failure to transpose the Directive and failure to notify transposition measures, asking the Court to impose financial penalties.</w:t>
      </w:r>
    </w:p>
    <w:p w:rsidR="00C21EC6" w:rsidP="00C21EC6" w:rsidRDefault="00C21EC6" w14:paraId="2FC549D7" w14:textId="75CF9175">
      <w:pPr>
        <w:spacing w:before="120" w:after="120" w:line="360" w:lineRule="auto"/>
        <w:contextualSpacing/>
      </w:pPr>
      <w:r>
        <w:t>In its 2024 Report, the Commission has stressed “that the lack of confidential reporting channels and appropriate protection has a chilling effect on potential whistleblowers, with negative impacts far beyond the Directive itself”</w:t>
      </w:r>
      <w:r>
        <w:rPr>
          <w:rStyle w:val="FootnoteReference"/>
        </w:rPr>
        <w:footnoteReference w:id="19"/>
      </w:r>
      <w:r>
        <w:t>. The Commission’s Report shows as well “that the transposition of the Directive needs to be improved on certain key areas, such as the material scope, the conditions for protection and the measures of protection against retaliation, in particular the exemptions from liability and the penalties”</w:t>
      </w:r>
      <w:r>
        <w:rPr>
          <w:rStyle w:val="FootnoteReference"/>
        </w:rPr>
        <w:footnoteReference w:id="20"/>
      </w:r>
      <w:r>
        <w:t>.</w:t>
      </w:r>
    </w:p>
    <w:p w:rsidRPr="00E3672F" w:rsidR="00974CF6" w:rsidP="001E1287" w:rsidRDefault="007E11B8" w14:paraId="276CC5BE" w14:textId="7CD41D45">
      <w:pPr>
        <w:spacing w:before="120" w:after="120" w:line="360" w:lineRule="auto"/>
        <w:contextualSpacing/>
      </w:pPr>
      <w:hyperlink w:history="1" r:id="rId49">
        <w:r w:rsidRPr="00E3672F" w:rsidR="00974CF6">
          <w:rPr>
            <w:rStyle w:val="Hyperlink"/>
          </w:rPr>
          <w:t>The Commission</w:t>
        </w:r>
      </w:hyperlink>
      <w:r w:rsidRPr="00E3672F" w:rsidR="00974CF6">
        <w:t xml:space="preserve"> has also noted widespread delays and gaps in transposition, particularly regarding the material scope, protection conditions and liability exemptions. As stated in the </w:t>
      </w:r>
      <w:hyperlink w:history="1" r:id="rId50">
        <w:r w:rsidRPr="00E3672F" w:rsidR="00974CF6">
          <w:rPr>
            <w:rStyle w:val="Hyperlink"/>
          </w:rPr>
          <w:t>Commission</w:t>
        </w:r>
        <w:r w:rsidRPr="00E3672F" w:rsidR="00413731">
          <w:rPr>
            <w:rStyle w:val="Hyperlink"/>
          </w:rPr>
          <w:t>’</w:t>
        </w:r>
        <w:r w:rsidRPr="00E3672F" w:rsidR="00974CF6">
          <w:rPr>
            <w:rStyle w:val="Hyperlink"/>
          </w:rPr>
          <w:t>s</w:t>
        </w:r>
      </w:hyperlink>
      <w:r w:rsidRPr="00E3672F" w:rsidR="00974CF6">
        <w:t xml:space="preserve"> 2024 report on the implementation and application of the Directive, some Member States have failed to include the protection of certain groups, such as trainees, volunteers, contractors or suppliers</w:t>
      </w:r>
      <w:r w:rsidR="005A4525">
        <w:t>,</w:t>
      </w:r>
      <w:r w:rsidRPr="00E3672F" w:rsidR="00974CF6">
        <w:t xml:space="preserve"> in their national law. Many also limited the definitions of </w:t>
      </w:r>
      <w:r w:rsidRPr="00E3672F" w:rsidR="00413731">
        <w:t>‘</w:t>
      </w:r>
      <w:r w:rsidRPr="00E3672F" w:rsidR="00974CF6">
        <w:t>workers</w:t>
      </w:r>
      <w:r w:rsidRPr="00E3672F" w:rsidR="00413731">
        <w:t>’</w:t>
      </w:r>
      <w:r w:rsidRPr="00E3672F" w:rsidR="00974CF6">
        <w:t xml:space="preserve"> and </w:t>
      </w:r>
      <w:r w:rsidRPr="00E3672F" w:rsidR="00413731">
        <w:t>‘</w:t>
      </w:r>
      <w:r w:rsidRPr="00E3672F" w:rsidR="00974CF6">
        <w:t>self-employed</w:t>
      </w:r>
      <w:r w:rsidRPr="00E3672F" w:rsidR="00413731">
        <w:t>’</w:t>
      </w:r>
      <w:r w:rsidRPr="00E3672F" w:rsidR="00974CF6">
        <w:t xml:space="preserve"> by not referencing EU Treaty provisions, undermining consistent application across the EU. The Commission warns that inadequate implementation weakens both whistleblower protections and broader enforcement of EU law.</w:t>
      </w:r>
    </w:p>
    <w:p w:rsidRPr="00E3672F" w:rsidR="00125021" w:rsidP="001E1287" w:rsidRDefault="00974CF6" w14:paraId="1A39D0B0" w14:textId="38B5A5AF">
      <w:pPr>
        <w:pStyle w:val="NoSpacing"/>
        <w:spacing w:before="120" w:after="120" w:line="360" w:lineRule="auto"/>
        <w:contextualSpacing/>
        <w:jc w:val="both"/>
        <w:rPr>
          <w:rFonts w:cs="Times New Roman"/>
          <w:lang w:val="en-GB"/>
        </w:rPr>
      </w:pPr>
      <w:r w:rsidRPr="00E3672F">
        <w:rPr>
          <w:rFonts w:cs="Times New Roman"/>
          <w:lang w:val="en-GB"/>
        </w:rPr>
        <w:t xml:space="preserve">As part of its continuous monitoring, the Commission led a </w:t>
      </w:r>
      <w:hyperlink w:history="1" r:id="rId51">
        <w:r w:rsidRPr="00D0335D" w:rsidR="00B32E90">
          <w:rPr>
            <w:rStyle w:val="Hyperlink"/>
            <w:lang w:val="en-US"/>
          </w:rPr>
          <w:t>consultation</w:t>
        </w:r>
      </w:hyperlink>
      <w:r w:rsidRPr="00E3672F">
        <w:rPr>
          <w:rFonts w:cs="Times New Roman"/>
          <w:lang w:val="en-GB"/>
        </w:rPr>
        <w:t xml:space="preserve"> from </w:t>
      </w:r>
      <w:r w:rsidRPr="00E3672F" w:rsidR="002435EF">
        <w:rPr>
          <w:rFonts w:cs="Times New Roman"/>
          <w:lang w:val="en-GB"/>
        </w:rPr>
        <w:t>21 </w:t>
      </w:r>
      <w:r w:rsidRPr="00E3672F">
        <w:rPr>
          <w:rFonts w:cs="Times New Roman"/>
          <w:lang w:val="en-GB"/>
        </w:rPr>
        <w:t xml:space="preserve">August 2025 to </w:t>
      </w:r>
      <w:r w:rsidRPr="00E3672F" w:rsidR="002435EF">
        <w:rPr>
          <w:rFonts w:cs="Times New Roman"/>
          <w:lang w:val="en-GB"/>
        </w:rPr>
        <w:t>18 </w:t>
      </w:r>
      <w:r w:rsidRPr="00E3672F">
        <w:rPr>
          <w:rFonts w:cs="Times New Roman"/>
          <w:lang w:val="en-GB"/>
        </w:rPr>
        <w:t>September 2025 to gather stakeholders</w:t>
      </w:r>
      <w:r w:rsidR="005A4525">
        <w:rPr>
          <w:rFonts w:cs="Times New Roman"/>
          <w:lang w:val="en-GB"/>
        </w:rPr>
        <w:t>’ views</w:t>
      </w:r>
      <w:r w:rsidRPr="00E3672F">
        <w:rPr>
          <w:rFonts w:cs="Times New Roman"/>
          <w:lang w:val="en-GB"/>
        </w:rPr>
        <w:t xml:space="preserve"> about the Directive. This will be used to inform the full evaluation</w:t>
      </w:r>
      <w:r w:rsidRPr="00E3672F" w:rsidR="002435EF">
        <w:rPr>
          <w:rFonts w:cs="Times New Roman"/>
          <w:lang w:val="en-GB"/>
        </w:rPr>
        <w:t>,</w:t>
      </w:r>
      <w:r w:rsidRPr="00E3672F">
        <w:rPr>
          <w:rFonts w:cs="Times New Roman"/>
          <w:lang w:val="en-GB"/>
        </w:rPr>
        <w:t xml:space="preserve"> which is due by 2026.</w:t>
      </w:r>
    </w:p>
    <w:p w:rsidRPr="00E3672F" w:rsidR="00A77294" w:rsidP="001E1287" w:rsidRDefault="00A77294" w14:paraId="5FEB71C6" w14:textId="77777777">
      <w:pPr>
        <w:spacing w:before="120" w:after="120" w:line="360" w:lineRule="auto"/>
        <w:contextualSpacing/>
      </w:pPr>
    </w:p>
    <w:p w:rsidRPr="00E3672F" w:rsidR="00E864FE" w:rsidP="001E1287" w:rsidRDefault="00971868" w14:paraId="7850C25A" w14:textId="16DA17EC">
      <w:pPr>
        <w:pStyle w:val="Heading2"/>
        <w:spacing w:line="360" w:lineRule="auto"/>
        <w:ind w:left="720"/>
        <w:rPr>
          <w:color w:val="004F88"/>
          <w:u w:val="single"/>
        </w:rPr>
      </w:pPr>
      <w:bookmarkStart w:name="_Toc228180515" w:id="9"/>
      <w:r w:rsidRPr="00E3672F">
        <w:rPr>
          <w:color w:val="004F88"/>
          <w:u w:val="single"/>
        </w:rPr>
        <w:t xml:space="preserve">2.2. </w:t>
      </w:r>
      <w:bookmarkStart w:name="_Toc172878352" w:id="10"/>
      <w:r w:rsidRPr="00E3672F" w:rsidR="00150F07">
        <w:rPr>
          <w:color w:val="004F88"/>
          <w:u w:val="single"/>
        </w:rPr>
        <w:t>I</w:t>
      </w:r>
      <w:r w:rsidRPr="00E3672F">
        <w:rPr>
          <w:color w:val="004F88"/>
          <w:u w:val="single"/>
        </w:rPr>
        <w:t>mplementation in the selected Member States</w:t>
      </w:r>
      <w:bookmarkEnd w:id="9"/>
      <w:bookmarkEnd w:id="10"/>
    </w:p>
    <w:p w:rsidRPr="00E3672F" w:rsidR="00A77294" w:rsidP="001E1287" w:rsidRDefault="00A77294" w14:paraId="2EA18E9A" w14:textId="3F6C8732">
      <w:pPr>
        <w:pStyle w:val="NoSpacing"/>
        <w:spacing w:before="120" w:after="120" w:line="360" w:lineRule="auto"/>
        <w:contextualSpacing/>
        <w:jc w:val="both"/>
        <w:rPr>
          <w:rFonts w:cs="Times New Roman"/>
          <w:lang w:val="en-GB"/>
        </w:rPr>
      </w:pPr>
      <w:r w:rsidRPr="00E3672F">
        <w:rPr>
          <w:rFonts w:cs="Times New Roman"/>
          <w:lang w:val="en-GB"/>
        </w:rPr>
        <w:t xml:space="preserve">The following section presents a brief overview of the implementation of the </w:t>
      </w:r>
      <w:r w:rsidRPr="00E3672F" w:rsidR="008E17FE">
        <w:rPr>
          <w:rFonts w:cs="Times New Roman"/>
          <w:lang w:val="en-GB"/>
        </w:rPr>
        <w:t>Directive</w:t>
      </w:r>
      <w:r w:rsidRPr="00E3672F">
        <w:rPr>
          <w:rFonts w:cs="Times New Roman"/>
          <w:lang w:val="en-GB"/>
        </w:rPr>
        <w:t xml:space="preserve"> in each of the selected Member States.</w:t>
      </w:r>
    </w:p>
    <w:p w:rsidRPr="00E3672F" w:rsidR="00E92E9F" w:rsidP="001E1287" w:rsidRDefault="00E92E9F" w14:paraId="54F0DE7C" w14:textId="77777777">
      <w:pPr>
        <w:pStyle w:val="NoSpacing"/>
        <w:spacing w:before="120" w:after="120" w:line="360" w:lineRule="auto"/>
        <w:contextualSpacing/>
        <w:jc w:val="both"/>
        <w:rPr>
          <w:rFonts w:cs="Times New Roman"/>
          <w:lang w:val="en-GB"/>
        </w:rPr>
      </w:pPr>
    </w:p>
    <w:p w:rsidRPr="00E3672F" w:rsidR="00D008DE" w:rsidP="001E1287" w:rsidRDefault="00FF388D" w14:paraId="78D04A26" w14:textId="7C5AA2B8">
      <w:pPr>
        <w:pStyle w:val="Heading2"/>
        <w:spacing w:before="120" w:after="120" w:line="360" w:lineRule="auto"/>
        <w:ind w:left="720"/>
        <w:contextualSpacing/>
        <w:rPr>
          <w:rFonts w:cs="Times New Roman"/>
          <w:u w:val="single"/>
        </w:rPr>
      </w:pPr>
      <w:bookmarkStart w:name="_Toc228180516" w:id="11"/>
      <w:r w:rsidRPr="00E3672F">
        <w:rPr>
          <w:rFonts w:cs="Times New Roman"/>
          <w:u w:val="single"/>
        </w:rPr>
        <w:t>Denmark</w:t>
      </w:r>
      <w:bookmarkEnd w:id="11"/>
    </w:p>
    <w:p w:rsidRPr="00E3672F" w:rsidR="005B6CC3" w:rsidP="001E1287" w:rsidRDefault="005B6CC3" w14:paraId="4D0E56A8" w14:textId="3BA6EAA4">
      <w:pPr>
        <w:spacing w:before="120" w:after="120" w:line="360" w:lineRule="auto"/>
        <w:contextualSpacing/>
      </w:pPr>
      <w:r w:rsidRPr="00E3672F">
        <w:t xml:space="preserve">The EU Whistleblowing Directive was implemented in Denmark by </w:t>
      </w:r>
      <w:hyperlink r:id="rId52">
        <w:r w:rsidRPr="00E3672F">
          <w:rPr>
            <w:rStyle w:val="Hyperlink"/>
          </w:rPr>
          <w:t>the Act on the Protection of Whistleblowers (APW)</w:t>
        </w:r>
      </w:hyperlink>
      <w:r w:rsidRPr="00E3672F">
        <w:t xml:space="preserve"> which was </w:t>
      </w:r>
      <w:r w:rsidRPr="00E3672F">
        <w:rPr>
          <w:b/>
        </w:rPr>
        <w:t xml:space="preserve">adopted on </w:t>
      </w:r>
      <w:r w:rsidRPr="00E3672F" w:rsidR="00D45F06">
        <w:rPr>
          <w:b/>
          <w:bCs/>
        </w:rPr>
        <w:t>24 </w:t>
      </w:r>
      <w:r w:rsidRPr="00E3672F">
        <w:rPr>
          <w:b/>
          <w:bCs/>
        </w:rPr>
        <w:t>June</w:t>
      </w:r>
      <w:r w:rsidRPr="00E3672F">
        <w:rPr>
          <w:b/>
        </w:rPr>
        <w:t xml:space="preserve"> </w:t>
      </w:r>
      <w:r w:rsidRPr="00E3672F">
        <w:rPr>
          <w:b/>
          <w:bCs/>
        </w:rPr>
        <w:t>2021,</w:t>
      </w:r>
      <w:r w:rsidRPr="00E3672F">
        <w:t xml:space="preserve"> and which came </w:t>
      </w:r>
      <w:r w:rsidRPr="00E3672F">
        <w:rPr>
          <w:b/>
        </w:rPr>
        <w:t>into force on 17</w:t>
      </w:r>
      <w:r w:rsidRPr="00E3672F" w:rsidR="00D45F06">
        <w:rPr>
          <w:b/>
        </w:rPr>
        <w:t> </w:t>
      </w:r>
      <w:r w:rsidRPr="00E3672F">
        <w:rPr>
          <w:b/>
        </w:rPr>
        <w:t>December 2021</w:t>
      </w:r>
      <w:r w:rsidRPr="00E3672F">
        <w:t>. It represents Denmark</w:t>
      </w:r>
      <w:r w:rsidRPr="00E3672F" w:rsidR="00413731">
        <w:t>’</w:t>
      </w:r>
      <w:r w:rsidRPr="00E3672F">
        <w:t xml:space="preserve">s first comprehensive and cross-sector framework governing whistleblowing systems and the legal protection of whistleblowers. Before the adoption of this Act, Denmark did not have a unified or general statutory regime dedicated specifically to whistleblower protection. Denmark was the first EU country to transpose </w:t>
      </w:r>
      <w:r w:rsidRPr="00E3672F" w:rsidR="00D45F06">
        <w:t>t</w:t>
      </w:r>
      <w:r w:rsidRPr="00E3672F">
        <w:t>he EU Whistleblowing Directive into national law</w:t>
      </w:r>
      <w:r w:rsidRPr="00E3672F">
        <w:rPr>
          <w:rStyle w:val="FootnoteReference"/>
        </w:rPr>
        <w:footnoteReference w:id="21"/>
      </w:r>
      <w:r w:rsidR="00644C70">
        <w:t>.</w:t>
      </w:r>
    </w:p>
    <w:p w:rsidRPr="00E3672F" w:rsidR="005B6CC3" w:rsidP="001E1287" w:rsidRDefault="005B6CC3" w14:paraId="3A1F4B04" w14:textId="77777777">
      <w:pPr>
        <w:spacing w:before="120" w:after="120" w:line="360" w:lineRule="auto"/>
        <w:contextualSpacing/>
      </w:pPr>
    </w:p>
    <w:p w:rsidRPr="00E3672F" w:rsidR="005B6CC3" w:rsidP="001E1287" w:rsidRDefault="005B6CC3" w14:paraId="5D8DA614" w14:textId="1703F428">
      <w:pPr>
        <w:pStyle w:val="NoSpacing"/>
        <w:spacing w:before="120" w:after="120" w:line="360" w:lineRule="auto"/>
        <w:contextualSpacing/>
        <w:jc w:val="both"/>
        <w:rPr>
          <w:rFonts w:cs="Times New Roman"/>
          <w:u w:val="single"/>
          <w:lang w:val="en-GB"/>
        </w:rPr>
      </w:pPr>
      <w:r w:rsidRPr="00E3672F">
        <w:rPr>
          <w:rFonts w:cs="Times New Roman"/>
          <w:u w:val="single"/>
          <w:lang w:val="en-GB"/>
        </w:rPr>
        <w:t xml:space="preserve">Reporting </w:t>
      </w:r>
      <w:r w:rsidRPr="00E3672F" w:rsidR="009F5DB6">
        <w:rPr>
          <w:rFonts w:cs="Times New Roman"/>
          <w:u w:val="single"/>
          <w:lang w:val="en-GB"/>
        </w:rPr>
        <w:t>m</w:t>
      </w:r>
      <w:r w:rsidRPr="00E3672F">
        <w:rPr>
          <w:rFonts w:cs="Times New Roman"/>
          <w:u w:val="single"/>
          <w:lang w:val="en-GB"/>
        </w:rPr>
        <w:t xml:space="preserve">atters </w:t>
      </w:r>
      <w:r w:rsidRPr="00E3672F" w:rsidR="009F5DB6">
        <w:rPr>
          <w:rFonts w:cs="Times New Roman"/>
          <w:u w:val="single"/>
          <w:lang w:val="en-GB"/>
        </w:rPr>
        <w:t>c</w:t>
      </w:r>
      <w:r w:rsidRPr="00E3672F">
        <w:rPr>
          <w:rFonts w:cs="Times New Roman"/>
          <w:u w:val="single"/>
          <w:lang w:val="en-GB"/>
        </w:rPr>
        <w:t>overed</w:t>
      </w:r>
    </w:p>
    <w:p w:rsidRPr="00E3672F" w:rsidR="005B6CC3" w:rsidP="001E1287" w:rsidRDefault="005B6CC3" w14:paraId="1E292E00" w14:textId="663BC6C2">
      <w:pPr>
        <w:spacing w:before="120" w:after="120" w:line="360" w:lineRule="auto"/>
        <w:contextualSpacing/>
      </w:pPr>
      <w:r w:rsidRPr="00E3672F">
        <w:t xml:space="preserve">The APW has a broader material scope than the </w:t>
      </w:r>
      <w:r w:rsidRPr="00E3672F" w:rsidR="00D45F06">
        <w:t>D</w:t>
      </w:r>
      <w:r w:rsidRPr="00E3672F">
        <w:t xml:space="preserve">irective, and </w:t>
      </w:r>
      <w:r w:rsidRPr="00E3672F">
        <w:rPr>
          <w:b/>
        </w:rPr>
        <w:t>in addition to the reporting matters covered in the EU Whistleblowing Directive</w:t>
      </w:r>
      <w:r w:rsidRPr="00E3672F">
        <w:t>, the APW allows for reporting of any serious violations of Danish law and other serious matters</w:t>
      </w:r>
      <w:r w:rsidRPr="00E3672F">
        <w:rPr>
          <w:rStyle w:val="FootnoteReference"/>
        </w:rPr>
        <w:footnoteReference w:id="22"/>
      </w:r>
      <w:r w:rsidRPr="00E3672F">
        <w:t>.</w:t>
      </w:r>
    </w:p>
    <w:p w:rsidRPr="00E3672F" w:rsidR="005B6CC3" w:rsidP="001E1287" w:rsidRDefault="005B6CC3" w14:paraId="2CD67C95" w14:textId="1E44F79D">
      <w:pPr>
        <w:spacing w:before="120" w:after="120" w:line="360" w:lineRule="auto"/>
        <w:contextualSpacing/>
      </w:pPr>
      <w:r w:rsidRPr="00E3672F">
        <w:t xml:space="preserve">Under the </w:t>
      </w:r>
      <w:r w:rsidRPr="00E3672F" w:rsidR="00D45F06">
        <w:t>APW</w:t>
      </w:r>
      <w:r w:rsidRPr="00E3672F">
        <w:t>, protected disclosures may also concern:</w:t>
      </w:r>
    </w:p>
    <w:p w:rsidRPr="00E3672F" w:rsidR="005B6CC3" w:rsidP="001E1287" w:rsidRDefault="00D45F06" w14:paraId="3B763E04" w14:textId="56DC1488">
      <w:pPr>
        <w:pStyle w:val="ListParagraph"/>
        <w:numPr>
          <w:ilvl w:val="0"/>
          <w:numId w:val="7"/>
        </w:numPr>
        <w:spacing w:before="120" w:after="120" w:line="360" w:lineRule="auto"/>
      </w:pPr>
      <w:r w:rsidRPr="00E3672F">
        <w:rPr>
          <w:b/>
          <w:bCs/>
        </w:rPr>
        <w:t>o</w:t>
      </w:r>
      <w:r w:rsidRPr="00E3672F" w:rsidR="005B6CC3">
        <w:rPr>
          <w:b/>
          <w:bCs/>
        </w:rPr>
        <w:t>ther serious offences</w:t>
      </w:r>
      <w:r w:rsidRPr="00E3672F" w:rsidR="005B6CC3">
        <w:t xml:space="preserve">; and </w:t>
      </w:r>
    </w:p>
    <w:p w:rsidRPr="00E3672F" w:rsidR="005B6CC3" w:rsidP="001E1287" w:rsidRDefault="00D45F06" w14:paraId="4235E9C8" w14:textId="540C7EB8">
      <w:pPr>
        <w:pStyle w:val="ListParagraph"/>
        <w:numPr>
          <w:ilvl w:val="0"/>
          <w:numId w:val="7"/>
        </w:numPr>
        <w:spacing w:before="120" w:after="120" w:line="360" w:lineRule="auto"/>
        <w:rPr>
          <w:b/>
          <w:bCs/>
        </w:rPr>
      </w:pPr>
      <w:r w:rsidRPr="00E3672F">
        <w:rPr>
          <w:b/>
          <w:bCs/>
        </w:rPr>
        <w:t>o</w:t>
      </w:r>
      <w:r w:rsidRPr="00E3672F" w:rsidR="005B6CC3">
        <w:rPr>
          <w:b/>
          <w:bCs/>
        </w:rPr>
        <w:t>ther serious matters</w:t>
      </w:r>
    </w:p>
    <w:p w:rsidRPr="00E3672F" w:rsidR="005B6CC3" w:rsidP="001E1287" w:rsidRDefault="005B6CC3" w14:paraId="29567EB1" w14:textId="2D1BD6A2">
      <w:pPr>
        <w:pStyle w:val="NormalWeb"/>
        <w:spacing w:before="120" w:beforeAutospacing="0" w:after="120" w:afterAutospacing="0" w:line="360" w:lineRule="auto"/>
        <w:contextualSpacing/>
        <w:jc w:val="both"/>
        <w:rPr>
          <w:sz w:val="22"/>
          <w:szCs w:val="22"/>
          <w:lang w:val="en-GB"/>
        </w:rPr>
      </w:pPr>
      <w:r w:rsidRPr="00E3672F">
        <w:rPr>
          <w:sz w:val="22"/>
          <w:szCs w:val="22"/>
          <w:lang w:val="en-GB"/>
        </w:rPr>
        <w:t xml:space="preserve">For these </w:t>
      </w:r>
      <w:r w:rsidRPr="00E3672F" w:rsidR="00430258">
        <w:rPr>
          <w:sz w:val="22"/>
          <w:szCs w:val="22"/>
          <w:lang w:val="en-GB"/>
        </w:rPr>
        <w:t>‘</w:t>
      </w:r>
      <w:r w:rsidRPr="00E3672F">
        <w:rPr>
          <w:sz w:val="22"/>
          <w:szCs w:val="22"/>
          <w:lang w:val="en-GB"/>
        </w:rPr>
        <w:t xml:space="preserve">other serious </w:t>
      </w:r>
      <w:r w:rsidRPr="00E3672F" w:rsidR="00CD4574">
        <w:rPr>
          <w:sz w:val="22"/>
          <w:szCs w:val="22"/>
          <w:lang w:val="en-GB"/>
        </w:rPr>
        <w:t>offence</w:t>
      </w:r>
      <w:r w:rsidRPr="00E3672F">
        <w:rPr>
          <w:sz w:val="22"/>
          <w:szCs w:val="22"/>
          <w:lang w:val="en-GB"/>
        </w:rPr>
        <w:t>s</w:t>
      </w:r>
      <w:r w:rsidRPr="00E3672F" w:rsidR="00430258">
        <w:rPr>
          <w:sz w:val="22"/>
          <w:szCs w:val="22"/>
          <w:lang w:val="en-GB"/>
        </w:rPr>
        <w:t>’</w:t>
      </w:r>
      <w:r w:rsidRPr="00E3672F">
        <w:rPr>
          <w:sz w:val="22"/>
          <w:szCs w:val="22"/>
          <w:lang w:val="en-GB"/>
        </w:rPr>
        <w:t xml:space="preserve"> or </w:t>
      </w:r>
      <w:r w:rsidRPr="00E3672F" w:rsidR="00430258">
        <w:rPr>
          <w:sz w:val="22"/>
          <w:szCs w:val="22"/>
          <w:lang w:val="en-GB"/>
        </w:rPr>
        <w:t>‘</w:t>
      </w:r>
      <w:r w:rsidRPr="00E3672F">
        <w:rPr>
          <w:sz w:val="22"/>
          <w:szCs w:val="22"/>
          <w:lang w:val="en-GB"/>
        </w:rPr>
        <w:t>other serious matters</w:t>
      </w:r>
      <w:r w:rsidRPr="00E3672F" w:rsidR="00430258">
        <w:rPr>
          <w:sz w:val="22"/>
          <w:szCs w:val="22"/>
          <w:lang w:val="en-GB"/>
        </w:rPr>
        <w:t>’</w:t>
      </w:r>
      <w:r w:rsidRPr="00E3672F">
        <w:rPr>
          <w:sz w:val="22"/>
          <w:szCs w:val="22"/>
          <w:lang w:val="en-GB"/>
        </w:rPr>
        <w:t xml:space="preserve">, the </w:t>
      </w:r>
      <w:r w:rsidRPr="00E3672F" w:rsidR="00D45F06">
        <w:rPr>
          <w:sz w:val="22"/>
          <w:szCs w:val="22"/>
          <w:lang w:val="en-GB"/>
        </w:rPr>
        <w:t xml:space="preserve">APW </w:t>
      </w:r>
      <w:r w:rsidRPr="00E3672F">
        <w:rPr>
          <w:sz w:val="22"/>
          <w:szCs w:val="22"/>
          <w:lang w:val="en-GB"/>
        </w:rPr>
        <w:t xml:space="preserve">requires that the wrongdoing be </w:t>
      </w:r>
      <w:r w:rsidRPr="00E3672F">
        <w:rPr>
          <w:rStyle w:val="Strong"/>
          <w:rFonts w:eastAsiaTheme="majorEastAsia"/>
          <w:sz w:val="22"/>
          <w:szCs w:val="22"/>
          <w:lang w:val="en-GB"/>
        </w:rPr>
        <w:t>significant in nature</w:t>
      </w:r>
      <w:r w:rsidRPr="00E3672F">
        <w:rPr>
          <w:sz w:val="22"/>
          <w:szCs w:val="22"/>
          <w:lang w:val="en-GB"/>
        </w:rPr>
        <w:t xml:space="preserve"> to fall within its protection. In practice, companies and organi</w:t>
      </w:r>
      <w:r w:rsidRPr="00E3672F" w:rsidR="00413731">
        <w:rPr>
          <w:sz w:val="22"/>
          <w:szCs w:val="22"/>
          <w:lang w:val="en-GB"/>
        </w:rPr>
        <w:t>s</w:t>
      </w:r>
      <w:r w:rsidRPr="00E3672F">
        <w:rPr>
          <w:sz w:val="22"/>
          <w:szCs w:val="22"/>
          <w:lang w:val="en-GB"/>
        </w:rPr>
        <w:t xml:space="preserve">ations may assess whether the disclosure would be </w:t>
      </w:r>
      <w:r w:rsidRPr="00E3672F">
        <w:rPr>
          <w:rStyle w:val="Strong"/>
          <w:rFonts w:eastAsiaTheme="majorEastAsia"/>
          <w:sz w:val="22"/>
          <w:szCs w:val="22"/>
          <w:lang w:val="en-GB"/>
        </w:rPr>
        <w:t>in the public interest</w:t>
      </w:r>
      <w:r w:rsidRPr="00E3672F">
        <w:rPr>
          <w:sz w:val="22"/>
          <w:szCs w:val="22"/>
          <w:lang w:val="en-GB"/>
        </w:rPr>
        <w:t xml:space="preserve"> when determining if the seriousness threshold is met.</w:t>
      </w:r>
    </w:p>
    <w:p w:rsidRPr="00E3672F" w:rsidR="005B6CC3" w:rsidP="001E1287" w:rsidRDefault="005B6CC3" w14:paraId="76470864" w14:textId="2005D0AF">
      <w:pPr>
        <w:pStyle w:val="NormalWeb"/>
        <w:spacing w:before="120" w:beforeAutospacing="0" w:after="120" w:afterAutospacing="0" w:line="360" w:lineRule="auto"/>
        <w:contextualSpacing/>
        <w:jc w:val="both"/>
        <w:rPr>
          <w:sz w:val="22"/>
          <w:szCs w:val="22"/>
          <w:lang w:val="en-GB"/>
        </w:rPr>
      </w:pPr>
      <w:r w:rsidRPr="00E3672F">
        <w:rPr>
          <w:sz w:val="22"/>
          <w:szCs w:val="22"/>
          <w:lang w:val="en-GB"/>
        </w:rPr>
        <w:t xml:space="preserve">Examples of conduct that will generally be covered under the </w:t>
      </w:r>
      <w:r w:rsidRPr="00E3672F" w:rsidR="00D45F06">
        <w:rPr>
          <w:sz w:val="22"/>
          <w:szCs w:val="22"/>
          <w:lang w:val="en-GB"/>
        </w:rPr>
        <w:t xml:space="preserve">APW </w:t>
      </w:r>
      <w:r w:rsidRPr="00E3672F">
        <w:rPr>
          <w:sz w:val="22"/>
          <w:szCs w:val="22"/>
          <w:lang w:val="en-GB"/>
        </w:rPr>
        <w:t>include:</w:t>
      </w:r>
    </w:p>
    <w:p w:rsidRPr="00E3672F" w:rsidR="005B6CC3" w:rsidP="001E1287" w:rsidRDefault="005B6CC3" w14:paraId="1E19D818" w14:textId="1AA1C55C">
      <w:pPr>
        <w:pStyle w:val="NormalWeb"/>
        <w:numPr>
          <w:ilvl w:val="0"/>
          <w:numId w:val="6"/>
        </w:numPr>
        <w:spacing w:before="120" w:beforeAutospacing="0" w:after="120" w:afterAutospacing="0" w:line="360" w:lineRule="auto"/>
        <w:contextualSpacing/>
        <w:jc w:val="both"/>
        <w:rPr>
          <w:sz w:val="22"/>
          <w:szCs w:val="22"/>
          <w:lang w:val="en-GB"/>
        </w:rPr>
      </w:pPr>
      <w:r w:rsidRPr="00E3672F">
        <w:rPr>
          <w:rStyle w:val="Strong"/>
          <w:rFonts w:eastAsiaTheme="majorEastAsia"/>
          <w:sz w:val="22"/>
          <w:szCs w:val="22"/>
          <w:lang w:val="en-GB"/>
        </w:rPr>
        <w:t xml:space="preserve">Criminal </w:t>
      </w:r>
      <w:r w:rsidRPr="00E3672F" w:rsidR="00CD4574">
        <w:rPr>
          <w:rStyle w:val="Strong"/>
          <w:rFonts w:eastAsiaTheme="majorEastAsia"/>
          <w:sz w:val="22"/>
          <w:szCs w:val="22"/>
          <w:lang w:val="en-GB"/>
        </w:rPr>
        <w:t>offence</w:t>
      </w:r>
      <w:r w:rsidRPr="00E3672F">
        <w:rPr>
          <w:rStyle w:val="Strong"/>
          <w:rFonts w:eastAsiaTheme="majorEastAsia"/>
          <w:sz w:val="22"/>
          <w:szCs w:val="22"/>
          <w:lang w:val="en-GB"/>
        </w:rPr>
        <w:t>s</w:t>
      </w:r>
      <w:r w:rsidRPr="00E3672F">
        <w:rPr>
          <w:sz w:val="22"/>
          <w:szCs w:val="22"/>
          <w:lang w:val="en-GB"/>
        </w:rPr>
        <w:t>, such as breaches of statutory confidentiality, misappropriation of funds, theft, fraud, embezzlement or bribery</w:t>
      </w:r>
      <w:r w:rsidRPr="00E3672F" w:rsidR="00D45F06">
        <w:rPr>
          <w:sz w:val="22"/>
          <w:szCs w:val="22"/>
          <w:lang w:val="en-GB"/>
        </w:rPr>
        <w:t>;</w:t>
      </w:r>
    </w:p>
    <w:p w:rsidRPr="00E3672F" w:rsidR="005B6CC3" w:rsidP="001E1287" w:rsidRDefault="005B6CC3" w14:paraId="6083DC9F" w14:textId="4B1D195C">
      <w:pPr>
        <w:pStyle w:val="NormalWeb"/>
        <w:numPr>
          <w:ilvl w:val="0"/>
          <w:numId w:val="6"/>
        </w:numPr>
        <w:spacing w:before="120" w:beforeAutospacing="0" w:after="120" w:afterAutospacing="0" w:line="360" w:lineRule="auto"/>
        <w:contextualSpacing/>
        <w:jc w:val="both"/>
        <w:rPr>
          <w:sz w:val="22"/>
          <w:szCs w:val="22"/>
          <w:lang w:val="en-GB"/>
        </w:rPr>
      </w:pPr>
      <w:r w:rsidRPr="00E3672F">
        <w:rPr>
          <w:rStyle w:val="Strong"/>
          <w:rFonts w:eastAsiaTheme="majorEastAsia"/>
          <w:sz w:val="22"/>
          <w:szCs w:val="22"/>
          <w:lang w:val="en-GB"/>
        </w:rPr>
        <w:t>Serious or repeated breaches of other laws</w:t>
      </w:r>
      <w:r w:rsidRPr="00E3672F">
        <w:rPr>
          <w:sz w:val="22"/>
          <w:szCs w:val="22"/>
          <w:lang w:val="en-GB"/>
        </w:rPr>
        <w:t xml:space="preserve">, for example, violations of the </w:t>
      </w:r>
      <w:r w:rsidRPr="00E3672F">
        <w:rPr>
          <w:rStyle w:val="Strong"/>
          <w:rFonts w:eastAsiaTheme="majorEastAsia"/>
          <w:sz w:val="22"/>
          <w:szCs w:val="22"/>
          <w:lang w:val="en-GB"/>
        </w:rPr>
        <w:t>Public Administration Act</w:t>
      </w:r>
      <w:r w:rsidRPr="00E3672F">
        <w:rPr>
          <w:sz w:val="22"/>
          <w:szCs w:val="22"/>
          <w:lang w:val="en-GB"/>
        </w:rPr>
        <w:t xml:space="preserve">, the </w:t>
      </w:r>
      <w:r w:rsidRPr="00E3672F">
        <w:rPr>
          <w:rStyle w:val="Strong"/>
          <w:rFonts w:eastAsiaTheme="majorEastAsia"/>
          <w:sz w:val="22"/>
          <w:szCs w:val="22"/>
          <w:lang w:val="en-GB"/>
        </w:rPr>
        <w:t>Freedom of Information Act</w:t>
      </w:r>
      <w:r w:rsidRPr="00E3672F">
        <w:rPr>
          <w:sz w:val="22"/>
          <w:szCs w:val="22"/>
          <w:lang w:val="en-GB"/>
        </w:rPr>
        <w:t xml:space="preserve">, or </w:t>
      </w:r>
      <w:r w:rsidRPr="00E3672F">
        <w:rPr>
          <w:rStyle w:val="Strong"/>
          <w:rFonts w:eastAsiaTheme="majorEastAsia"/>
          <w:sz w:val="22"/>
          <w:szCs w:val="22"/>
          <w:lang w:val="en-GB"/>
        </w:rPr>
        <w:t>data protection legislation</w:t>
      </w:r>
      <w:r w:rsidRPr="00E3672F" w:rsidR="00D45F06">
        <w:rPr>
          <w:sz w:val="22"/>
          <w:szCs w:val="22"/>
          <w:lang w:val="en-GB"/>
        </w:rPr>
        <w:t>;</w:t>
      </w:r>
    </w:p>
    <w:p w:rsidRPr="00E3672F" w:rsidR="005B6CC3" w:rsidP="001E1287" w:rsidRDefault="005B6CC3" w14:paraId="3DB399AD" w14:textId="07968DBC">
      <w:pPr>
        <w:pStyle w:val="NormalWeb"/>
        <w:numPr>
          <w:ilvl w:val="0"/>
          <w:numId w:val="6"/>
        </w:numPr>
        <w:spacing w:before="120" w:beforeAutospacing="0" w:after="120" w:afterAutospacing="0" w:line="360" w:lineRule="auto"/>
        <w:contextualSpacing/>
        <w:jc w:val="both"/>
        <w:rPr>
          <w:sz w:val="22"/>
          <w:szCs w:val="22"/>
          <w:lang w:val="en-GB"/>
        </w:rPr>
      </w:pPr>
      <w:r w:rsidRPr="00E3672F">
        <w:rPr>
          <w:rStyle w:val="Strong"/>
          <w:rFonts w:eastAsiaTheme="majorEastAsia"/>
          <w:sz w:val="22"/>
          <w:szCs w:val="22"/>
          <w:lang w:val="en-GB"/>
        </w:rPr>
        <w:t>Serious or repeated violations of administrative law principles</w:t>
      </w:r>
      <w:r w:rsidRPr="00E3672F">
        <w:rPr>
          <w:sz w:val="22"/>
          <w:szCs w:val="22"/>
          <w:lang w:val="en-GB"/>
        </w:rPr>
        <w:t>, including the principles of inquiry, equality, objectivity and proportionality</w:t>
      </w:r>
      <w:r w:rsidRPr="00E3672F" w:rsidR="00D45F06">
        <w:rPr>
          <w:sz w:val="22"/>
          <w:szCs w:val="22"/>
          <w:lang w:val="en-GB"/>
        </w:rPr>
        <w:t>;</w:t>
      </w:r>
    </w:p>
    <w:p w:rsidRPr="00E3672F" w:rsidR="005B6CC3" w:rsidP="001E1287" w:rsidRDefault="005B6CC3" w14:paraId="2E1B5A7D" w14:textId="35C8201E">
      <w:pPr>
        <w:pStyle w:val="NormalWeb"/>
        <w:numPr>
          <w:ilvl w:val="0"/>
          <w:numId w:val="6"/>
        </w:numPr>
        <w:spacing w:before="120" w:beforeAutospacing="0" w:after="120" w:afterAutospacing="0" w:line="360" w:lineRule="auto"/>
        <w:contextualSpacing/>
        <w:jc w:val="both"/>
        <w:rPr>
          <w:sz w:val="22"/>
          <w:szCs w:val="22"/>
          <w:lang w:val="en-GB"/>
        </w:rPr>
      </w:pPr>
      <w:r w:rsidRPr="00E3672F">
        <w:rPr>
          <w:rStyle w:val="Strong"/>
          <w:rFonts w:eastAsiaTheme="majorEastAsia"/>
          <w:sz w:val="22"/>
          <w:szCs w:val="22"/>
          <w:lang w:val="en-GB"/>
        </w:rPr>
        <w:t>Non-compliance with professional standards</w:t>
      </w:r>
      <w:r w:rsidRPr="00E3672F">
        <w:rPr>
          <w:sz w:val="22"/>
          <w:szCs w:val="22"/>
          <w:lang w:val="en-GB"/>
        </w:rPr>
        <w:t xml:space="preserve"> that may pose a </w:t>
      </w:r>
      <w:r w:rsidRPr="00E3672F">
        <w:rPr>
          <w:rStyle w:val="Strong"/>
          <w:rFonts w:eastAsiaTheme="majorEastAsia"/>
          <w:sz w:val="22"/>
          <w:szCs w:val="22"/>
          <w:lang w:val="en-GB"/>
        </w:rPr>
        <w:t>risk to health or safety</w:t>
      </w:r>
      <w:r w:rsidRPr="00E3672F" w:rsidR="00D45F06">
        <w:rPr>
          <w:sz w:val="22"/>
          <w:szCs w:val="22"/>
          <w:lang w:val="en-GB"/>
        </w:rPr>
        <w:t>;</w:t>
      </w:r>
    </w:p>
    <w:p w:rsidRPr="00E3672F" w:rsidR="005B6CC3" w:rsidP="001E1287" w:rsidRDefault="005B6CC3" w14:paraId="6A6B42AD" w14:textId="5984E8ED">
      <w:pPr>
        <w:pStyle w:val="NormalWeb"/>
        <w:numPr>
          <w:ilvl w:val="0"/>
          <w:numId w:val="6"/>
        </w:numPr>
        <w:spacing w:before="120" w:beforeAutospacing="0" w:after="120" w:afterAutospacing="0" w:line="360" w:lineRule="auto"/>
        <w:contextualSpacing/>
        <w:jc w:val="both"/>
        <w:rPr>
          <w:lang w:val="en-GB"/>
        </w:rPr>
      </w:pPr>
      <w:r w:rsidRPr="00E3672F">
        <w:rPr>
          <w:rStyle w:val="Strong"/>
          <w:rFonts w:eastAsiaTheme="majorEastAsia"/>
          <w:sz w:val="22"/>
          <w:szCs w:val="22"/>
          <w:lang w:val="en-GB"/>
        </w:rPr>
        <w:t>Sexual harassment</w:t>
      </w:r>
      <w:r w:rsidRPr="00E3672F">
        <w:rPr>
          <w:sz w:val="22"/>
          <w:szCs w:val="22"/>
          <w:lang w:val="en-GB"/>
        </w:rPr>
        <w:t xml:space="preserve"> and other forms of </w:t>
      </w:r>
      <w:r w:rsidRPr="00E3672F">
        <w:rPr>
          <w:rStyle w:val="Strong"/>
          <w:rFonts w:eastAsiaTheme="majorEastAsia"/>
          <w:sz w:val="22"/>
          <w:szCs w:val="22"/>
          <w:lang w:val="en-GB"/>
        </w:rPr>
        <w:t>serious workplace harassment</w:t>
      </w:r>
      <w:r w:rsidRPr="00E3672F" w:rsidR="00D45F06">
        <w:rPr>
          <w:sz w:val="22"/>
          <w:szCs w:val="22"/>
          <w:lang w:val="en-GB"/>
        </w:rPr>
        <w:t>;</w:t>
      </w:r>
    </w:p>
    <w:p w:rsidRPr="00E3672F" w:rsidR="005B6CC3" w:rsidP="001E1287" w:rsidRDefault="005B6CC3" w14:paraId="2FE9DBD0" w14:textId="77777777">
      <w:pPr>
        <w:pStyle w:val="NormalWeb"/>
        <w:numPr>
          <w:ilvl w:val="0"/>
          <w:numId w:val="6"/>
        </w:numPr>
        <w:spacing w:before="120" w:beforeAutospacing="0" w:after="120" w:afterAutospacing="0" w:line="360" w:lineRule="auto"/>
        <w:contextualSpacing/>
        <w:jc w:val="both"/>
        <w:rPr>
          <w:sz w:val="22"/>
          <w:szCs w:val="22"/>
          <w:lang w:val="en-GB"/>
        </w:rPr>
      </w:pPr>
      <w:r w:rsidRPr="00E3672F">
        <w:rPr>
          <w:rStyle w:val="Strong"/>
          <w:rFonts w:eastAsiaTheme="majorEastAsia"/>
          <w:sz w:val="22"/>
          <w:szCs w:val="22"/>
          <w:lang w:val="en-GB"/>
        </w:rPr>
        <w:t>Severe interpersonal conflicts</w:t>
      </w:r>
      <w:r w:rsidRPr="00E3672F">
        <w:rPr>
          <w:sz w:val="22"/>
          <w:szCs w:val="22"/>
          <w:lang w:val="en-GB"/>
        </w:rPr>
        <w:t xml:space="preserve"> at work, such as prolonged or grave harassment between colleagues.</w:t>
      </w:r>
    </w:p>
    <w:p w:rsidRPr="00E3672F" w:rsidR="005B6CC3" w:rsidP="001E1287" w:rsidRDefault="005B6CC3" w14:paraId="1F40E871" w14:textId="6D85E923">
      <w:pPr>
        <w:pStyle w:val="NormalWeb"/>
        <w:spacing w:before="120" w:beforeAutospacing="0" w:after="120" w:afterAutospacing="0" w:line="360" w:lineRule="auto"/>
        <w:contextualSpacing/>
        <w:jc w:val="both"/>
        <w:rPr>
          <w:b/>
          <w:bCs/>
          <w:lang w:val="en-GB"/>
        </w:rPr>
      </w:pPr>
      <w:r w:rsidRPr="00E3672F">
        <w:rPr>
          <w:sz w:val="22"/>
          <w:szCs w:val="22"/>
          <w:lang w:val="en-GB"/>
        </w:rPr>
        <w:t xml:space="preserve">Conversely, reports that concern </w:t>
      </w:r>
      <w:r w:rsidRPr="00E3672F">
        <w:rPr>
          <w:rStyle w:val="Strong"/>
          <w:rFonts w:eastAsiaTheme="majorEastAsia"/>
          <w:sz w:val="22"/>
          <w:szCs w:val="22"/>
          <w:lang w:val="en-GB"/>
        </w:rPr>
        <w:t>minor or trivial violations</w:t>
      </w:r>
      <w:r w:rsidRPr="00E3672F">
        <w:rPr>
          <w:sz w:val="22"/>
          <w:szCs w:val="22"/>
          <w:lang w:val="en-GB"/>
        </w:rPr>
        <w:t>, or matters relating solely to the whistleblower</w:t>
      </w:r>
      <w:r w:rsidRPr="00E3672F" w:rsidR="00413731">
        <w:rPr>
          <w:sz w:val="22"/>
          <w:szCs w:val="22"/>
          <w:lang w:val="en-GB"/>
        </w:rPr>
        <w:t>’</w:t>
      </w:r>
      <w:r w:rsidRPr="00E3672F">
        <w:rPr>
          <w:sz w:val="22"/>
          <w:szCs w:val="22"/>
          <w:lang w:val="en-GB"/>
        </w:rPr>
        <w:t xml:space="preserve">s own employment conditions, </w:t>
      </w:r>
      <w:r w:rsidRPr="00E3672F">
        <w:rPr>
          <w:rStyle w:val="Strong"/>
          <w:rFonts w:eastAsiaTheme="majorEastAsia"/>
          <w:sz w:val="22"/>
          <w:szCs w:val="22"/>
          <w:lang w:val="en-GB"/>
        </w:rPr>
        <w:t>are generally not covered</w:t>
      </w:r>
      <w:r w:rsidRPr="00E3672F">
        <w:rPr>
          <w:sz w:val="22"/>
          <w:szCs w:val="22"/>
          <w:lang w:val="en-GB"/>
        </w:rPr>
        <w:t xml:space="preserve"> under the scope of the Whistleblower Act.</w:t>
      </w:r>
      <w:r w:rsidRPr="00E3672F" w:rsidR="00FF13E3">
        <w:rPr>
          <w:sz w:val="22"/>
          <w:szCs w:val="22"/>
          <w:lang w:val="en-GB"/>
        </w:rPr>
        <w:t xml:space="preserve"> </w:t>
      </w:r>
      <w:r w:rsidRPr="00E3672F">
        <w:rPr>
          <w:sz w:val="22"/>
          <w:szCs w:val="22"/>
          <w:lang w:val="en-GB"/>
        </w:rPr>
        <w:t>This framing emphasi</w:t>
      </w:r>
      <w:r w:rsidRPr="00E3672F" w:rsidR="00413731">
        <w:rPr>
          <w:sz w:val="22"/>
          <w:szCs w:val="22"/>
          <w:lang w:val="en-GB"/>
        </w:rPr>
        <w:t>s</w:t>
      </w:r>
      <w:r w:rsidRPr="00E3672F">
        <w:rPr>
          <w:sz w:val="22"/>
          <w:szCs w:val="22"/>
          <w:lang w:val="en-GB"/>
        </w:rPr>
        <w:t xml:space="preserve">es that the law targets </w:t>
      </w:r>
      <w:r w:rsidRPr="00E3672F">
        <w:rPr>
          <w:rStyle w:val="Strong"/>
          <w:rFonts w:eastAsiaTheme="majorEastAsia"/>
          <w:sz w:val="22"/>
          <w:szCs w:val="22"/>
          <w:lang w:val="en-GB"/>
        </w:rPr>
        <w:t>serious wrongdoing affecting the public interest</w:t>
      </w:r>
      <w:r w:rsidRPr="00E3672F">
        <w:rPr>
          <w:sz w:val="22"/>
          <w:szCs w:val="22"/>
          <w:lang w:val="en-GB"/>
        </w:rPr>
        <w:t>, rather than ordinary workplace grievances</w:t>
      </w:r>
      <w:r w:rsidRPr="00E3672F">
        <w:rPr>
          <w:rStyle w:val="FootnoteReference"/>
          <w:lang w:val="en-GB"/>
        </w:rPr>
        <w:footnoteReference w:id="23"/>
      </w:r>
      <w:r w:rsidRPr="009B193B" w:rsidR="00430258">
        <w:rPr>
          <w:lang w:val="en-GB"/>
        </w:rPr>
        <w:t>.</w:t>
      </w:r>
    </w:p>
    <w:p w:rsidRPr="00E3672F" w:rsidR="0081378C" w:rsidP="001E1287" w:rsidRDefault="0081378C" w14:paraId="112A8E99" w14:textId="77777777">
      <w:pPr>
        <w:pStyle w:val="NormalWeb"/>
        <w:spacing w:before="120" w:beforeAutospacing="0" w:after="120" w:afterAutospacing="0" w:line="360" w:lineRule="auto"/>
        <w:contextualSpacing/>
        <w:jc w:val="both"/>
        <w:rPr>
          <w:sz w:val="22"/>
          <w:szCs w:val="22"/>
          <w:lang w:val="en-GB"/>
        </w:rPr>
      </w:pPr>
    </w:p>
    <w:p w:rsidRPr="00E3672F" w:rsidR="00A65F45" w:rsidP="001E1287" w:rsidRDefault="005B6CC3" w14:paraId="2EF80FB7" w14:textId="684EDCAB">
      <w:pPr>
        <w:pStyle w:val="NoSpacing"/>
        <w:spacing w:before="120" w:after="120" w:line="360" w:lineRule="auto"/>
        <w:contextualSpacing/>
        <w:jc w:val="both"/>
        <w:rPr>
          <w:rFonts w:cs="Times New Roman"/>
          <w:u w:val="single"/>
          <w:lang w:val="en-GB"/>
        </w:rPr>
      </w:pPr>
      <w:r w:rsidRPr="00E3672F">
        <w:rPr>
          <w:rFonts w:cs="Times New Roman"/>
          <w:u w:val="single"/>
          <w:lang w:val="en-GB"/>
        </w:rPr>
        <w:t xml:space="preserve">Legally </w:t>
      </w:r>
      <w:r w:rsidRPr="00E3672F" w:rsidR="009F5DB6">
        <w:rPr>
          <w:rFonts w:cs="Times New Roman"/>
          <w:u w:val="single"/>
          <w:lang w:val="en-GB"/>
        </w:rPr>
        <w:t>r</w:t>
      </w:r>
      <w:r w:rsidRPr="00E3672F">
        <w:rPr>
          <w:rFonts w:cs="Times New Roman"/>
          <w:u w:val="single"/>
          <w:lang w:val="en-GB"/>
        </w:rPr>
        <w:t xml:space="preserve">equired </w:t>
      </w:r>
      <w:r w:rsidRPr="00E3672F" w:rsidR="009F5DB6">
        <w:rPr>
          <w:rFonts w:cs="Times New Roman"/>
          <w:u w:val="single"/>
          <w:lang w:val="en-GB"/>
        </w:rPr>
        <w:t>c</w:t>
      </w:r>
      <w:r w:rsidRPr="00E3672F">
        <w:rPr>
          <w:rFonts w:cs="Times New Roman"/>
          <w:u w:val="single"/>
          <w:lang w:val="en-GB"/>
        </w:rPr>
        <w:t xml:space="preserve">hannels of </w:t>
      </w:r>
      <w:r w:rsidRPr="00E3672F" w:rsidR="009F5DB6">
        <w:rPr>
          <w:rFonts w:cs="Times New Roman"/>
          <w:u w:val="single"/>
          <w:lang w:val="en-GB"/>
        </w:rPr>
        <w:t>r</w:t>
      </w:r>
      <w:r w:rsidRPr="00E3672F">
        <w:rPr>
          <w:rFonts w:cs="Times New Roman"/>
          <w:u w:val="single"/>
          <w:lang w:val="en-GB"/>
        </w:rPr>
        <w:t>eporting</w:t>
      </w:r>
    </w:p>
    <w:p w:rsidRPr="00E3672F" w:rsidR="005B6CC3" w:rsidP="001E1287" w:rsidRDefault="005B6CC3" w14:paraId="6A7F3412" w14:textId="56C3C20B">
      <w:pPr>
        <w:pStyle w:val="NoSpacing"/>
        <w:spacing w:before="120" w:after="120" w:line="360" w:lineRule="auto"/>
        <w:contextualSpacing/>
        <w:jc w:val="both"/>
        <w:rPr>
          <w:rFonts w:cs="Times New Roman"/>
          <w:b/>
          <w:bCs/>
          <w:highlight w:val="yellow"/>
          <w:lang w:val="en-GB"/>
        </w:rPr>
      </w:pPr>
      <w:r w:rsidRPr="00E3672F">
        <w:rPr>
          <w:rFonts w:cs="Times New Roman"/>
          <w:lang w:val="en-GB"/>
        </w:rPr>
        <w:t xml:space="preserve">According to the APW, </w:t>
      </w:r>
      <w:r w:rsidRPr="00E3672F">
        <w:rPr>
          <w:rFonts w:cs="Times New Roman"/>
          <w:b/>
          <w:lang w:val="en-GB"/>
        </w:rPr>
        <w:t>whistleblowers have access to various reporting methods</w:t>
      </w:r>
      <w:r w:rsidRPr="00E3672F">
        <w:rPr>
          <w:rFonts w:cs="Times New Roman"/>
          <w:lang w:val="en-GB"/>
        </w:rPr>
        <w:t xml:space="preserve">: </w:t>
      </w:r>
    </w:p>
    <w:p w:rsidRPr="00E3672F" w:rsidR="005B6CC3" w:rsidP="001E1287" w:rsidRDefault="005B6CC3" w14:paraId="2CFD9159" w14:textId="454DE2B8">
      <w:pPr>
        <w:pStyle w:val="ListParagraph"/>
        <w:numPr>
          <w:ilvl w:val="0"/>
          <w:numId w:val="5"/>
        </w:numPr>
        <w:spacing w:before="120" w:after="120" w:line="360" w:lineRule="auto"/>
      </w:pPr>
      <w:r w:rsidRPr="00E3672F">
        <w:rPr>
          <w:b/>
          <w:bCs/>
        </w:rPr>
        <w:t>Internal whistleblowing mechanisms</w:t>
      </w:r>
    </w:p>
    <w:p w:rsidRPr="00E3672F" w:rsidR="005B6CC3" w:rsidP="001E1287" w:rsidRDefault="005B6CC3" w14:paraId="16BDD202" w14:textId="77777777">
      <w:pPr>
        <w:pStyle w:val="ListParagraph"/>
        <w:spacing w:before="120" w:after="120" w:line="360" w:lineRule="auto"/>
      </w:pPr>
      <w:r w:rsidRPr="00E3672F">
        <w:t xml:space="preserve">Employers with 50 or more employees are required to establish an internal whistleblowing system. This system allows employees to report matters covered by the APW section 1(1), cf. section 9(1) of the APW.   </w:t>
      </w:r>
    </w:p>
    <w:p w:rsidRPr="00E3672F" w:rsidR="005B6CC3" w:rsidP="001E1287" w:rsidRDefault="005B6CC3" w14:paraId="0B2E65EE" w14:textId="77777777">
      <w:pPr>
        <w:pStyle w:val="ListParagraph"/>
        <w:spacing w:before="120" w:after="120" w:line="360" w:lineRule="auto"/>
      </w:pPr>
    </w:p>
    <w:p w:rsidRPr="00E3672F" w:rsidR="0081378C" w:rsidP="001E1287" w:rsidRDefault="005B6CC3" w14:paraId="1E341E4D" w14:textId="77777777">
      <w:pPr>
        <w:pStyle w:val="ListParagraph"/>
        <w:numPr>
          <w:ilvl w:val="0"/>
          <w:numId w:val="5"/>
        </w:numPr>
        <w:spacing w:before="120" w:after="120" w:line="360" w:lineRule="auto"/>
        <w:rPr>
          <w:b/>
          <w:bCs/>
        </w:rPr>
      </w:pPr>
      <w:r w:rsidRPr="00E3672F">
        <w:rPr>
          <w:b/>
          <w:bCs/>
        </w:rPr>
        <w:t>External whistleblowing mechanisms</w:t>
      </w:r>
    </w:p>
    <w:p w:rsidRPr="00E3672F" w:rsidR="005B6CC3" w:rsidP="001E1287" w:rsidRDefault="005B6CC3" w14:paraId="0E090EB7" w14:textId="3DD136E7">
      <w:pPr>
        <w:pStyle w:val="ListParagraph"/>
        <w:spacing w:before="120" w:after="120" w:line="360" w:lineRule="auto"/>
        <w:rPr>
          <w:b/>
          <w:bCs/>
        </w:rPr>
      </w:pPr>
      <w:r w:rsidRPr="00E3672F">
        <w:t>Denmark has established three independent and autonomous external reporting mechanisms, which operate under the supervision of the competent authorities to receive and handle whistleblower reports:</w:t>
      </w:r>
    </w:p>
    <w:p w:rsidRPr="00E3672F" w:rsidR="005B6CC3" w:rsidP="001E1287" w:rsidRDefault="005B6CC3" w14:paraId="0C863F40" w14:textId="77777777">
      <w:pPr>
        <w:pStyle w:val="ListParagraph"/>
        <w:numPr>
          <w:ilvl w:val="0"/>
          <w:numId w:val="8"/>
        </w:numPr>
        <w:spacing w:before="120" w:after="120" w:line="360" w:lineRule="auto"/>
      </w:pPr>
      <w:r w:rsidRPr="00E3672F">
        <w:t xml:space="preserve">The </w:t>
      </w:r>
      <w:r w:rsidRPr="00E3672F">
        <w:rPr>
          <w:b/>
          <w:bCs/>
        </w:rPr>
        <w:t>Danish Data Protection Agency (Datatilsynet)</w:t>
      </w:r>
      <w:r w:rsidRPr="00E3672F">
        <w:t xml:space="preserve"> operates an external channel for reports under </w:t>
      </w:r>
      <w:r w:rsidRPr="00E3672F">
        <w:rPr>
          <w:b/>
          <w:bCs/>
        </w:rPr>
        <w:t>section 17(1) APW</w:t>
      </w:r>
      <w:r w:rsidRPr="00E3672F">
        <w:t>;</w:t>
      </w:r>
    </w:p>
    <w:p w:rsidRPr="00E3672F" w:rsidR="005B6CC3" w:rsidP="001E1287" w:rsidRDefault="005B6CC3" w14:paraId="153539A4" w14:textId="77777777">
      <w:pPr>
        <w:pStyle w:val="ListParagraph"/>
        <w:numPr>
          <w:ilvl w:val="0"/>
          <w:numId w:val="8"/>
        </w:numPr>
        <w:spacing w:before="120" w:after="120" w:line="360" w:lineRule="auto"/>
      </w:pPr>
      <w:r w:rsidRPr="00E3672F">
        <w:t xml:space="preserve">The </w:t>
      </w:r>
      <w:r w:rsidRPr="00E3672F">
        <w:rPr>
          <w:b/>
          <w:bCs/>
        </w:rPr>
        <w:t>Danish Police Intelligence Unit</w:t>
      </w:r>
      <w:r w:rsidRPr="00E3672F">
        <w:t xml:space="preserve"> and the </w:t>
      </w:r>
      <w:r w:rsidRPr="00E3672F">
        <w:rPr>
          <w:b/>
          <w:bCs/>
        </w:rPr>
        <w:t>Danish Defence Intelligence Service</w:t>
      </w:r>
      <w:r w:rsidRPr="00E3672F">
        <w:t xml:space="preserve"> each operate separate external channels for reporting breaches within their respective areas of responsibility, pursuant to </w:t>
      </w:r>
      <w:r w:rsidRPr="00E3672F">
        <w:rPr>
          <w:b/>
          <w:bCs/>
        </w:rPr>
        <w:t>sections 17(2) and 17(3) APW</w:t>
      </w:r>
      <w:r w:rsidRPr="00E3672F">
        <w:t>;</w:t>
      </w:r>
    </w:p>
    <w:p w:rsidRPr="00E3672F" w:rsidR="005B6CC3" w:rsidP="001E1287" w:rsidRDefault="005B6CC3" w14:paraId="35F115AE" w14:textId="77777777">
      <w:pPr>
        <w:pStyle w:val="ListParagraph"/>
        <w:numPr>
          <w:ilvl w:val="0"/>
          <w:numId w:val="8"/>
        </w:numPr>
        <w:spacing w:before="120" w:after="120" w:line="360" w:lineRule="auto"/>
      </w:pPr>
      <w:r w:rsidRPr="00E3672F">
        <w:t xml:space="preserve">Additional </w:t>
      </w:r>
      <w:r w:rsidRPr="00E3672F">
        <w:rPr>
          <w:b/>
          <w:bCs/>
        </w:rPr>
        <w:t>sector-specific external mechanisms</w:t>
      </w:r>
      <w:r w:rsidRPr="00E3672F">
        <w:t xml:space="preserve"> have also been established for certain regulated industries.</w:t>
      </w:r>
    </w:p>
    <w:p w:rsidRPr="00E3672F" w:rsidR="009F5DB6" w:rsidP="001E1287" w:rsidRDefault="005B6CC3" w14:paraId="2F42C7D9" w14:textId="57FF8230">
      <w:pPr>
        <w:spacing w:before="120" w:after="120" w:line="360" w:lineRule="auto"/>
        <w:contextualSpacing/>
      </w:pPr>
      <w:r w:rsidRPr="00E3672F">
        <w:t xml:space="preserve">All internal and external channels must allow whistleblowers to submit reports </w:t>
      </w:r>
      <w:r w:rsidRPr="00E3672F">
        <w:rPr>
          <w:b/>
          <w:bCs/>
        </w:rPr>
        <w:t>either in writing or orally</w:t>
      </w:r>
      <w:r w:rsidRPr="00E3672F">
        <w:t xml:space="preserve">, or both. Where requested by the reporting individual, oral reporting must be possible through a </w:t>
      </w:r>
      <w:r w:rsidRPr="00E3672F">
        <w:rPr>
          <w:b/>
          <w:bCs/>
        </w:rPr>
        <w:t>physical meeting arranged within a reasonable timeframe</w:t>
      </w:r>
      <w:r w:rsidRPr="00E3672F">
        <w:t xml:space="preserve">, as stipulated in </w:t>
      </w:r>
      <w:r w:rsidRPr="00E3672F">
        <w:rPr>
          <w:b/>
          <w:bCs/>
        </w:rPr>
        <w:t>sections 10 and 18(1) APW</w:t>
      </w:r>
      <w:r w:rsidRPr="00E3672F">
        <w:rPr>
          <w:rStyle w:val="FootnoteReference"/>
        </w:rPr>
        <w:footnoteReference w:id="24"/>
      </w:r>
      <w:r w:rsidRPr="00E3672F" w:rsidR="00DA1E6E">
        <w:t>.</w:t>
      </w:r>
    </w:p>
    <w:p w:rsidRPr="00E3672F" w:rsidR="00030B98" w:rsidP="001E1287" w:rsidRDefault="00030B98" w14:paraId="13099DDC" w14:textId="77777777">
      <w:pPr>
        <w:spacing w:before="120" w:after="120" w:line="360" w:lineRule="auto"/>
        <w:contextualSpacing/>
      </w:pPr>
    </w:p>
    <w:p w:rsidRPr="00E3672F" w:rsidR="005B6CC3" w:rsidP="001E1287" w:rsidRDefault="005B6CC3" w14:paraId="40A44079" w14:textId="38325C42">
      <w:pPr>
        <w:pStyle w:val="NoSpacing"/>
        <w:spacing w:before="120" w:after="120" w:line="360" w:lineRule="auto"/>
        <w:contextualSpacing/>
        <w:jc w:val="both"/>
        <w:rPr>
          <w:rFonts w:cs="Times New Roman"/>
          <w:u w:val="single"/>
          <w:lang w:val="en-GB"/>
        </w:rPr>
      </w:pPr>
      <w:r w:rsidRPr="00E3672F">
        <w:rPr>
          <w:rFonts w:cs="Times New Roman"/>
          <w:u w:val="single"/>
          <w:lang w:val="en-GB"/>
        </w:rPr>
        <w:t xml:space="preserve">Mandatory </w:t>
      </w:r>
      <w:r w:rsidRPr="00E3672F" w:rsidR="009F5DB6">
        <w:rPr>
          <w:rFonts w:cs="Times New Roman"/>
          <w:u w:val="single"/>
          <w:lang w:val="en-GB"/>
        </w:rPr>
        <w:t>p</w:t>
      </w:r>
      <w:r w:rsidRPr="00E3672F">
        <w:rPr>
          <w:rFonts w:cs="Times New Roman"/>
          <w:u w:val="single"/>
          <w:lang w:val="en-GB"/>
        </w:rPr>
        <w:t>rocedure</w:t>
      </w:r>
    </w:p>
    <w:p w:rsidRPr="00E3672F" w:rsidR="005B6CC3" w:rsidP="001E1287" w:rsidRDefault="005B6CC3" w14:paraId="784A3D4B" w14:textId="00324103">
      <w:pPr>
        <w:spacing w:before="120" w:after="120" w:line="360" w:lineRule="auto"/>
        <w:contextualSpacing/>
      </w:pPr>
      <w:r w:rsidRPr="00E3672F">
        <w:t>Under the APW, employers falling within the scope of the legislation are required to establish secure internal reporting mechanisms for handling whistleblower disclosures. These mechanisms must be designed and operated in a way that safeguards the confidentiality of the whistleblower</w:t>
      </w:r>
      <w:r w:rsidRPr="00E3672F" w:rsidR="00413731">
        <w:t>’</w:t>
      </w:r>
      <w:r w:rsidRPr="00E3672F">
        <w:t>s identity, as well as the identity of any third parties mentioned in the report and must prevent access by unauthorised personnel. The system must also allow for anonymous reporting</w:t>
      </w:r>
      <w:r w:rsidRPr="00E3672F">
        <w:rPr>
          <w:rStyle w:val="FootnoteReference"/>
        </w:rPr>
        <w:footnoteReference w:id="25"/>
      </w:r>
      <w:r w:rsidRPr="00E3672F" w:rsidR="001667E6">
        <w:t>.</w:t>
      </w:r>
    </w:p>
    <w:p w:rsidRPr="00E3672F" w:rsidR="005B6CC3" w:rsidP="001E1287" w:rsidRDefault="005B6CC3" w14:paraId="531E5032" w14:textId="22F4ADD7">
      <w:pPr>
        <w:spacing w:before="120" w:after="120" w:line="360" w:lineRule="auto"/>
        <w:contextualSpacing/>
      </w:pPr>
      <w:r w:rsidRPr="00E3672F">
        <w:t>Internal reporting channels must enable submissions either in writing, orally or through a combination of both. Where requested by the reporting person, oral reporting must be facilitated through a physical meeting within a reasonable timeframe (section 10 APW).</w:t>
      </w:r>
    </w:p>
    <w:p w:rsidRPr="00E3672F" w:rsidR="005B6CC3" w:rsidP="001E1287" w:rsidRDefault="005B6CC3" w14:paraId="4CF76202" w14:textId="4ECF40D1">
      <w:pPr>
        <w:spacing w:before="120" w:after="120" w:line="360" w:lineRule="auto"/>
        <w:contextualSpacing/>
      </w:pPr>
      <w:r w:rsidRPr="00E3672F">
        <w:t xml:space="preserve">Employers are required to appoint an impartial individual or department responsible for managing the whistleblowing process (section 11(1) APW). This designated </w:t>
      </w:r>
      <w:r w:rsidR="00041618">
        <w:t>party</w:t>
      </w:r>
      <w:r w:rsidRPr="00E3672F" w:rsidR="00041618">
        <w:t xml:space="preserve"> </w:t>
      </w:r>
      <w:r w:rsidRPr="00E3672F">
        <w:t>must receive reports, maintain communication with the whistleblower, ensure appropriate follow-up and provide feedback.</w:t>
      </w:r>
    </w:p>
    <w:p w:rsidRPr="00E3672F" w:rsidR="005B6CC3" w:rsidP="001E1287" w:rsidRDefault="005B6CC3" w14:paraId="4977CA62" w14:textId="77777777">
      <w:pPr>
        <w:spacing w:before="120" w:after="120" w:line="360" w:lineRule="auto"/>
        <w:contextualSpacing/>
      </w:pPr>
      <w:r w:rsidRPr="00E3672F">
        <w:t>Procedurally, the employer must acknowledge receipt of a report within seven days (section 12(2) APW). Reports must be handled diligently, and feedback must be provided as soon as possible and no later than three months from the acknowledgement of receipt.</w:t>
      </w:r>
    </w:p>
    <w:p w:rsidRPr="00E3672F" w:rsidR="00DC0499" w:rsidP="001E1287" w:rsidRDefault="005B6CC3" w14:paraId="3028EC20" w14:textId="004CD07C">
      <w:pPr>
        <w:pStyle w:val="NoSpacing"/>
        <w:spacing w:before="120" w:after="120" w:line="360" w:lineRule="auto"/>
        <w:contextualSpacing/>
        <w:jc w:val="both"/>
        <w:rPr>
          <w:rFonts w:cs="Times New Roman"/>
          <w:lang w:val="en-GB"/>
        </w:rPr>
      </w:pPr>
      <w:r w:rsidRPr="00E3672F">
        <w:rPr>
          <w:rFonts w:cs="Times New Roman"/>
          <w:lang w:val="en-GB"/>
        </w:rPr>
        <w:t>In addition, employers must make clear and easily accessible information available to employees regarding both internal and external reporting procedures (section 13(1) APW). This includes guidance on when internal reporting is encouraged, particularly where the issue can be effectively addressed internally and where there is no perceived risk of retaliation, as well as information on how to report externally, including to relevant EU institutions where applicable</w:t>
      </w:r>
      <w:r w:rsidRPr="00E3672F" w:rsidR="009363D5">
        <w:rPr>
          <w:rStyle w:val="FootnoteReference"/>
          <w:rFonts w:cs="Times New Roman"/>
          <w:lang w:val="en-GB"/>
        </w:rPr>
        <w:footnoteReference w:id="26"/>
      </w:r>
      <w:r w:rsidRPr="00E3672F">
        <w:rPr>
          <w:rFonts w:cs="Times New Roman"/>
          <w:lang w:val="en-GB"/>
        </w:rPr>
        <w:t>.</w:t>
      </w:r>
    </w:p>
    <w:p w:rsidRPr="00E3672F" w:rsidR="00DC0499" w:rsidP="001E1287" w:rsidRDefault="00DC0499" w14:paraId="267D4545" w14:textId="77777777">
      <w:pPr>
        <w:pStyle w:val="NoSpacing"/>
        <w:spacing w:before="120" w:after="120" w:line="360" w:lineRule="auto"/>
        <w:contextualSpacing/>
        <w:jc w:val="both"/>
        <w:rPr>
          <w:rFonts w:cs="Times New Roman"/>
          <w:lang w:val="en-GB"/>
        </w:rPr>
      </w:pPr>
    </w:p>
    <w:p w:rsidRPr="00E3672F" w:rsidR="00DC0499" w:rsidP="001E1287" w:rsidRDefault="00DC0499" w14:paraId="1153469D" w14:textId="226C34C7">
      <w:pPr>
        <w:pStyle w:val="NoSpacing"/>
        <w:spacing w:before="120" w:after="120" w:line="360" w:lineRule="auto"/>
        <w:contextualSpacing/>
        <w:jc w:val="both"/>
        <w:rPr>
          <w:rFonts w:cs="Times New Roman"/>
          <w:u w:val="single"/>
          <w:lang w:val="en-GB"/>
        </w:rPr>
      </w:pPr>
      <w:r w:rsidRPr="00E3672F">
        <w:rPr>
          <w:rFonts w:cs="Times New Roman"/>
          <w:u w:val="single"/>
          <w:lang w:val="en-GB"/>
        </w:rPr>
        <w:t>Protection measures for whistleblowers</w:t>
      </w:r>
    </w:p>
    <w:p w:rsidRPr="00E3672F" w:rsidR="005B6CC3" w:rsidP="001E1287" w:rsidRDefault="005B6CC3" w14:paraId="2081116B" w14:textId="2ED73685">
      <w:pPr>
        <w:pStyle w:val="NoSpacing"/>
        <w:spacing w:before="120" w:after="120" w:line="360" w:lineRule="auto"/>
        <w:contextualSpacing/>
        <w:jc w:val="both"/>
        <w:rPr>
          <w:rFonts w:cs="Times New Roman"/>
          <w:lang w:val="en-GB"/>
        </w:rPr>
      </w:pPr>
      <w:r w:rsidRPr="00E3672F">
        <w:rPr>
          <w:rFonts w:cs="Times New Roman"/>
          <w:lang w:val="en-GB"/>
        </w:rPr>
        <w:t>The APW grants protection to individuals who submit reports in good faith. Whistleblowers are safeguarded against retaliatory actions, meaning any adverse or disadvantageous treatment that occurs because they made a disclosure.</w:t>
      </w:r>
    </w:p>
    <w:p w:rsidRPr="00E3672F" w:rsidR="005B6CC3" w:rsidP="001E1287" w:rsidRDefault="005B6CC3" w14:paraId="1285F3FD" w14:textId="7FF661CC">
      <w:pPr>
        <w:pStyle w:val="NoSpacing"/>
        <w:spacing w:before="120" w:after="120" w:line="360" w:lineRule="auto"/>
        <w:contextualSpacing/>
        <w:jc w:val="both"/>
        <w:rPr>
          <w:rFonts w:cs="Times New Roman"/>
          <w:lang w:val="en-GB"/>
        </w:rPr>
      </w:pPr>
      <w:r w:rsidRPr="00E3672F">
        <w:rPr>
          <w:rFonts w:cs="Times New Roman"/>
          <w:lang w:val="en-GB"/>
        </w:rPr>
        <w:t>If a whistleblower demonstrates that they have submitted a report and subsequently experienced negative treatment, the burden shifts to the employer. In such cases, it is the employer who must establish that the measures taken were unrelated to the whistleblowing and did not constitute retaliation</w:t>
      </w:r>
      <w:r w:rsidRPr="009B193B">
        <w:rPr>
          <w:rStyle w:val="FootnoteReference"/>
          <w:rFonts w:cs="Times New Roman"/>
          <w:sz w:val="22"/>
          <w:lang w:val="en-GB"/>
        </w:rPr>
        <w:footnoteReference w:id="27"/>
      </w:r>
      <w:r w:rsidRPr="00E3672F" w:rsidR="00BD4395">
        <w:rPr>
          <w:rFonts w:cs="Times New Roman"/>
          <w:lang w:val="en-GB"/>
        </w:rPr>
        <w:t>.</w:t>
      </w:r>
    </w:p>
    <w:p w:rsidRPr="00E3672F" w:rsidR="005B6CC3" w:rsidP="001E1287" w:rsidRDefault="005B6CC3" w14:paraId="37EDFAA4" w14:textId="653E390D">
      <w:pPr>
        <w:pStyle w:val="NoSpacing"/>
        <w:spacing w:before="120" w:after="120" w:line="360" w:lineRule="auto"/>
        <w:contextualSpacing/>
        <w:jc w:val="both"/>
        <w:rPr>
          <w:rFonts w:cs="Times New Roman"/>
          <w:lang w:val="en-GB"/>
        </w:rPr>
      </w:pPr>
    </w:p>
    <w:p w:rsidRPr="00E3672F" w:rsidR="00DC0499" w:rsidP="001E1287" w:rsidRDefault="00DC0499" w14:paraId="1BAB0A15" w14:textId="050DDB70">
      <w:pPr>
        <w:pStyle w:val="NoSpacing"/>
        <w:spacing w:before="120" w:after="120" w:line="360" w:lineRule="auto"/>
        <w:contextualSpacing/>
        <w:jc w:val="both"/>
        <w:rPr>
          <w:rFonts w:cs="Times New Roman"/>
          <w:u w:val="single"/>
          <w:lang w:val="en-GB"/>
        </w:rPr>
      </w:pPr>
      <w:r w:rsidRPr="00E3672F">
        <w:rPr>
          <w:rFonts w:cs="Times New Roman"/>
          <w:u w:val="single"/>
          <w:lang w:val="en-GB"/>
        </w:rPr>
        <w:t>Penalties and sanctions</w:t>
      </w:r>
    </w:p>
    <w:p w:rsidRPr="00E3672F" w:rsidR="005B6CC3" w:rsidP="001E1287" w:rsidRDefault="005B6CC3" w14:paraId="36E9751D" w14:textId="3D7F0860">
      <w:pPr>
        <w:pStyle w:val="NoSpacing"/>
        <w:spacing w:before="120" w:after="120" w:line="360" w:lineRule="auto"/>
        <w:contextualSpacing/>
        <w:jc w:val="both"/>
        <w:rPr>
          <w:rFonts w:cs="Times New Roman"/>
          <w:lang w:val="en-GB"/>
        </w:rPr>
      </w:pPr>
      <w:r w:rsidRPr="00E3672F">
        <w:rPr>
          <w:rFonts w:cs="Times New Roman"/>
          <w:lang w:val="en-GB"/>
        </w:rPr>
        <w:t>The APW establishes financial penalties for both individuals and legal entities in cases of non-compliance. Individuals who violate the confidentiality obligations under the Act or who intentionally submit false information may be subject to a fine, unless more severe sanctions apply under other relevant Danish legislation.</w:t>
      </w:r>
    </w:p>
    <w:p w:rsidRPr="00E3672F" w:rsidR="005B6CC3" w:rsidP="001E1287" w:rsidRDefault="005B6CC3" w14:paraId="4220B3CA" w14:textId="649EDC87">
      <w:pPr>
        <w:spacing w:before="120" w:after="120" w:line="360" w:lineRule="auto"/>
        <w:contextualSpacing/>
      </w:pPr>
      <w:r w:rsidRPr="00E3672F">
        <w:t>Legal entities may also incur fines if they fail to establish and properly operate internal whistleblowing channels in accordance with the statutory requirements. This includes situations where organisations do not adequately handle or investigate reports or fail to provide the required follow-up and feedback to whistleblowers.</w:t>
      </w:r>
    </w:p>
    <w:p w:rsidRPr="00E3672F" w:rsidR="005B6CC3" w:rsidP="001E1287" w:rsidRDefault="005B6CC3" w14:paraId="7B9E14AF" w14:textId="2A12C114">
      <w:pPr>
        <w:spacing w:before="120" w:after="120" w:line="360" w:lineRule="auto"/>
        <w:contextualSpacing/>
      </w:pPr>
      <w:r w:rsidRPr="00E3672F">
        <w:t>Any fines are imposed by the Danish courts. Furthermore, legal entities may, in certain circumstances, incur criminal liability under the Danish Criminal Code for non-compliance with the obligations set out in the Act</w:t>
      </w:r>
      <w:r w:rsidRPr="00E3672F">
        <w:rPr>
          <w:rStyle w:val="FootnoteReference"/>
        </w:rPr>
        <w:footnoteReference w:id="28"/>
      </w:r>
      <w:r w:rsidRPr="00E3672F" w:rsidR="00BD4395">
        <w:t>.</w:t>
      </w:r>
    </w:p>
    <w:p w:rsidRPr="00E3672F" w:rsidR="005B6CC3" w:rsidP="001E1287" w:rsidRDefault="005B6CC3" w14:paraId="7C62DA36" w14:textId="77777777">
      <w:pPr>
        <w:spacing w:before="120" w:after="120" w:line="360" w:lineRule="auto"/>
        <w:contextualSpacing/>
      </w:pPr>
    </w:p>
    <w:p w:rsidRPr="00E3672F" w:rsidR="005B6CC3" w:rsidP="001E1287" w:rsidRDefault="005B6CC3" w14:paraId="5A7075D5" w14:textId="02098DBA">
      <w:pPr>
        <w:pStyle w:val="NoSpacing"/>
        <w:spacing w:before="120" w:after="120" w:line="360" w:lineRule="auto"/>
        <w:contextualSpacing/>
        <w:jc w:val="both"/>
        <w:rPr>
          <w:rFonts w:cs="Times New Roman"/>
          <w:u w:val="single"/>
          <w:lang w:val="en-GB"/>
        </w:rPr>
      </w:pPr>
      <w:r w:rsidRPr="00E3672F">
        <w:rPr>
          <w:rFonts w:cs="Times New Roman"/>
          <w:u w:val="single"/>
          <w:lang w:val="en-GB"/>
        </w:rPr>
        <w:t>Publicity campaign activity</w:t>
      </w:r>
    </w:p>
    <w:p w:rsidRPr="00E3672F" w:rsidR="005B6CC3" w:rsidP="001E1287" w:rsidRDefault="005B6CC3" w14:paraId="758E09A1" w14:textId="35741B84">
      <w:pPr>
        <w:spacing w:before="120" w:after="120" w:line="360" w:lineRule="auto"/>
        <w:contextualSpacing/>
      </w:pPr>
      <w:r w:rsidRPr="00E3672F">
        <w:t xml:space="preserve">The Ministry of </w:t>
      </w:r>
      <w:r w:rsidRPr="00E3672F" w:rsidR="00BD4395">
        <w:t>J</w:t>
      </w:r>
      <w:r w:rsidRPr="00E3672F">
        <w:t>ustice has provided official guidance and explanatory materials on the application of the Act</w:t>
      </w:r>
      <w:r w:rsidRPr="00E3672F">
        <w:rPr>
          <w:rStyle w:val="FootnoteReference"/>
        </w:rPr>
        <w:footnoteReference w:id="29"/>
      </w:r>
      <w:r w:rsidRPr="00E3672F">
        <w:t xml:space="preserve">. According to the </w:t>
      </w:r>
      <w:r w:rsidRPr="00E3672F" w:rsidR="00BD4395">
        <w:t>OECD</w:t>
      </w:r>
      <w:r w:rsidRPr="00E3672F">
        <w:t xml:space="preserve">, </w:t>
      </w:r>
      <w:r w:rsidRPr="00E3672F" w:rsidR="00430258">
        <w:t>‘</w:t>
      </w:r>
      <w:r w:rsidRPr="00E3672F">
        <w:t>Denmark has also taken steps to enhance its efforts to raise public awareness of the available reporting channels, protections, confidentiality guarantees and the scope of misconduct that can be reported. The National Whistleblower Scheme conducted an advertisement campaign in 2023 in three trade journals, emphasi</w:t>
      </w:r>
      <w:r w:rsidRPr="00E3672F" w:rsidR="00413731">
        <w:t>s</w:t>
      </w:r>
      <w:r w:rsidRPr="00E3672F">
        <w:t>ing that employees can anonymously make reports or direct questions to this agency. The campaign contained a link and a QR code directing to the National Whistleblower Scheme</w:t>
      </w:r>
      <w:r w:rsidRPr="00E3672F" w:rsidR="00413731">
        <w:t>’</w:t>
      </w:r>
      <w:r w:rsidRPr="00E3672F">
        <w:t>s website. This website provides information on the whistleblower protection framework</w:t>
      </w:r>
      <w:r w:rsidRPr="00E3672F" w:rsidR="00BD4395">
        <w:rPr>
          <w:rStyle w:val="FootnoteReference"/>
        </w:rPr>
        <w:footnoteReference w:id="30"/>
      </w:r>
      <w:r w:rsidRPr="00E3672F">
        <w:t>.</w:t>
      </w:r>
      <w:r w:rsidRPr="00E3672F" w:rsidR="00430258">
        <w:t>’</w:t>
      </w:r>
      <w:r w:rsidRPr="00E3672F">
        <w:t xml:space="preserve"> Furthermore, the authorities expressed willingness to take an OECD recommendation into account in future initiatives to further raise awareness of the whistleblower protection framework. </w:t>
      </w:r>
    </w:p>
    <w:p w:rsidRPr="00E3672F" w:rsidR="005B6CC3" w:rsidP="001E1287" w:rsidRDefault="005B6CC3" w14:paraId="65146889" w14:textId="06780927">
      <w:pPr>
        <w:spacing w:before="120" w:after="120" w:line="360" w:lineRule="auto"/>
        <w:contextualSpacing/>
      </w:pPr>
      <w:r w:rsidRPr="00E3672F">
        <w:t>The Danish authorities operate a National Whistleblower Scheme under the Danish Data Protection Authority. The scheme has been promoted through its website and a rebranding and clarification of its broader mandate in 2023 was followed by a significant rise in reports in 2024, which the reporting authority links to increased public awareness of where and how to report concerns</w:t>
      </w:r>
      <w:r w:rsidRPr="00E3672F">
        <w:rPr>
          <w:rStyle w:val="FootnoteReference"/>
        </w:rPr>
        <w:footnoteReference w:id="31"/>
      </w:r>
      <w:r w:rsidRPr="00E3672F">
        <w:t xml:space="preserve">. </w:t>
      </w:r>
      <w:r w:rsidR="00041618">
        <w:t>Section 9 of t</w:t>
      </w:r>
      <w:r w:rsidRPr="00E3672F">
        <w:t xml:space="preserve">he APW embeds </w:t>
      </w:r>
      <w:r w:rsidRPr="00E3672F">
        <w:rPr>
          <w:b/>
          <w:bCs/>
        </w:rPr>
        <w:t>mandatory internal awareness</w:t>
      </w:r>
      <w:r w:rsidRPr="00E3672F">
        <w:rPr>
          <w:b/>
          <w:bCs/>
        </w:rPr>
        <w:noBreakHyphen/>
        <w:t>raising</w:t>
      </w:r>
      <w:r w:rsidRPr="00E3672F">
        <w:t xml:space="preserve"> within organisations, which could also be a source of increased awareness. </w:t>
      </w:r>
    </w:p>
    <w:p w:rsidRPr="00E3672F" w:rsidR="005B6CC3" w:rsidP="001E1287" w:rsidRDefault="005B6CC3" w14:paraId="5AFB4422" w14:textId="77777777">
      <w:pPr>
        <w:spacing w:before="120" w:after="120" w:line="360" w:lineRule="auto"/>
        <w:contextualSpacing/>
      </w:pPr>
    </w:p>
    <w:p w:rsidRPr="00E3672F" w:rsidR="00A04F95" w:rsidP="001E1287" w:rsidRDefault="00A04F95" w14:paraId="435DA2FF" w14:textId="77777777">
      <w:pPr>
        <w:spacing w:before="120" w:after="120" w:line="360" w:lineRule="auto"/>
        <w:contextualSpacing/>
      </w:pPr>
    </w:p>
    <w:p w:rsidRPr="00E3672F" w:rsidR="00A77294" w:rsidP="001E1287" w:rsidRDefault="00FF388D" w14:paraId="06E868D0" w14:textId="1E7BD843">
      <w:pPr>
        <w:pStyle w:val="Heading2"/>
        <w:spacing w:before="120" w:after="120" w:line="360" w:lineRule="auto"/>
        <w:ind w:left="720"/>
        <w:contextualSpacing/>
        <w:rPr>
          <w:rFonts w:cs="Times New Roman"/>
          <w:u w:val="single"/>
        </w:rPr>
      </w:pPr>
      <w:bookmarkStart w:name="_Toc228180517" w:id="12"/>
      <w:r w:rsidRPr="00E3672F">
        <w:rPr>
          <w:rFonts w:cs="Times New Roman"/>
          <w:u w:val="single"/>
        </w:rPr>
        <w:t>France</w:t>
      </w:r>
      <w:bookmarkEnd w:id="12"/>
    </w:p>
    <w:p w:rsidRPr="00E3672F" w:rsidR="00E5504B" w:rsidP="001E1287" w:rsidRDefault="00210DE9" w14:paraId="468D8199" w14:textId="5264C8EE">
      <w:pPr>
        <w:pStyle w:val="P68B1DB1-Normal5"/>
        <w:spacing w:before="120" w:after="120" w:line="360" w:lineRule="auto"/>
        <w:contextualSpacing/>
        <w:rPr>
          <w:b w:val="0"/>
          <w:bCs/>
          <w:sz w:val="22"/>
          <w:szCs w:val="22"/>
          <w:lang w:val="en-GB"/>
        </w:rPr>
      </w:pPr>
      <w:r w:rsidRPr="00E3672F">
        <w:rPr>
          <w:b w:val="0"/>
          <w:bCs/>
          <w:sz w:val="22"/>
          <w:szCs w:val="22"/>
          <w:lang w:val="en-GB"/>
        </w:rPr>
        <w:t>L</w:t>
      </w:r>
      <w:r w:rsidRPr="00E3672F" w:rsidR="00E5504B">
        <w:rPr>
          <w:b w:val="0"/>
          <w:bCs/>
          <w:sz w:val="22"/>
          <w:szCs w:val="22"/>
          <w:lang w:val="en-GB"/>
        </w:rPr>
        <w:t>egal background</w:t>
      </w:r>
    </w:p>
    <w:p w:rsidRPr="00E3672F" w:rsidR="00E5504B" w:rsidP="001E1287" w:rsidRDefault="00E5504B" w14:paraId="65001DC1" w14:textId="415C19F0">
      <w:pPr>
        <w:pStyle w:val="P68B1DB1-Normal6"/>
        <w:spacing w:before="120" w:after="120" w:line="360" w:lineRule="auto"/>
        <w:contextualSpacing/>
        <w:rPr>
          <w:bCs/>
          <w:sz w:val="22"/>
          <w:szCs w:val="22"/>
          <w:lang w:val="en-GB"/>
        </w:rPr>
      </w:pPr>
      <w:r w:rsidRPr="00E3672F">
        <w:rPr>
          <w:sz w:val="22"/>
          <w:szCs w:val="22"/>
          <w:lang w:val="en-GB"/>
        </w:rPr>
        <w:t xml:space="preserve">The Waserman </w:t>
      </w:r>
      <w:r w:rsidRPr="00E3672F" w:rsidR="007177FC">
        <w:rPr>
          <w:sz w:val="22"/>
          <w:szCs w:val="22"/>
          <w:lang w:val="en-GB"/>
        </w:rPr>
        <w:t>Law</w:t>
      </w:r>
      <w:r w:rsidRPr="00E3672F">
        <w:rPr>
          <w:sz w:val="22"/>
          <w:szCs w:val="22"/>
          <w:lang w:val="en-GB"/>
        </w:rPr>
        <w:t xml:space="preserve">: extension of the Sapin II </w:t>
      </w:r>
      <w:r w:rsidRPr="00E3672F" w:rsidR="007177FC">
        <w:rPr>
          <w:sz w:val="22"/>
          <w:szCs w:val="22"/>
          <w:lang w:val="en-GB"/>
        </w:rPr>
        <w:t>Law</w:t>
      </w:r>
      <w:r w:rsidRPr="00E3672F">
        <w:rPr>
          <w:sz w:val="22"/>
          <w:szCs w:val="22"/>
          <w:lang w:val="en-GB"/>
        </w:rPr>
        <w:t xml:space="preserve"> (2016) and alignment with Directive (EU) 2019/1937</w:t>
      </w:r>
    </w:p>
    <w:p w:rsidRPr="00E3672F" w:rsidR="00E5504B" w:rsidP="001E1287" w:rsidRDefault="00E5504B" w14:paraId="3679E601" w14:textId="775AFADE">
      <w:pPr>
        <w:spacing w:before="120" w:after="120" w:line="360" w:lineRule="auto"/>
        <w:contextualSpacing/>
      </w:pPr>
      <w:r w:rsidRPr="00E3672F">
        <w:t>The French system for the protection of whistleblowers was established</w:t>
      </w:r>
      <w:r w:rsidR="00BA4D82">
        <w:t>,</w:t>
      </w:r>
      <w:r w:rsidRPr="00E3672F">
        <w:t xml:space="preserve"> in particular</w:t>
      </w:r>
      <w:r w:rsidR="00BA4D82">
        <w:t>,</w:t>
      </w:r>
      <w:r w:rsidRPr="00E3672F">
        <w:t xml:space="preserve"> by </w:t>
      </w:r>
      <w:hyperlink w:history="1" r:id="rId53">
        <w:r w:rsidRPr="00E3672F">
          <w:rPr>
            <w:rStyle w:val="Hyperlink"/>
            <w:rFonts w:eastAsiaTheme="majorEastAsia"/>
            <w:b/>
          </w:rPr>
          <w:t xml:space="preserve">Law No 2016-1691 of </w:t>
        </w:r>
        <w:r w:rsidRPr="00E3672F" w:rsidR="00B75A7A">
          <w:rPr>
            <w:rStyle w:val="Hyperlink"/>
            <w:rFonts w:eastAsiaTheme="majorEastAsia"/>
            <w:b/>
          </w:rPr>
          <w:t>9 </w:t>
        </w:r>
        <w:r w:rsidRPr="00E3672F">
          <w:rPr>
            <w:rStyle w:val="Hyperlink"/>
            <w:rFonts w:eastAsiaTheme="majorEastAsia"/>
            <w:b/>
          </w:rPr>
          <w:t>December 2016</w:t>
        </w:r>
      </w:hyperlink>
      <w:r w:rsidRPr="00E3672F">
        <w:t xml:space="preserve">, known as the </w:t>
      </w:r>
      <w:r w:rsidRPr="009B193B">
        <w:rPr>
          <w:b/>
          <w:iCs/>
        </w:rPr>
        <w:t>Sapin II Law</w:t>
      </w:r>
      <w:r w:rsidRPr="00E3672F">
        <w:t>, which defined the concept of whistle</w:t>
      </w:r>
      <w:r w:rsidRPr="00E3672F" w:rsidR="00DA2327">
        <w:t>b</w:t>
      </w:r>
      <w:r w:rsidRPr="00E3672F">
        <w:t>lower and established internal, external and public reporting channels, accompanied by guarantees of protection.</w:t>
      </w:r>
    </w:p>
    <w:p w:rsidRPr="00E3672F" w:rsidR="00E5504B" w:rsidP="001E1287" w:rsidRDefault="007E11B8" w14:paraId="7D7995EB" w14:textId="3FA45FE9">
      <w:pPr>
        <w:spacing w:before="120" w:after="120" w:line="360" w:lineRule="auto"/>
        <w:contextualSpacing/>
      </w:pPr>
      <w:hyperlink w:history="1" r:id="rId54">
        <w:r w:rsidRPr="00E3672F" w:rsidR="00E5504B">
          <w:rPr>
            <w:rStyle w:val="Hyperlink"/>
            <w:rFonts w:eastAsiaTheme="majorEastAsia"/>
            <w:b/>
          </w:rPr>
          <w:t xml:space="preserve">Law No 2022-401 of </w:t>
        </w:r>
        <w:r w:rsidRPr="00E3672F" w:rsidR="00B75A7A">
          <w:rPr>
            <w:rStyle w:val="Hyperlink"/>
            <w:rFonts w:eastAsiaTheme="majorEastAsia"/>
            <w:b/>
          </w:rPr>
          <w:t>21 </w:t>
        </w:r>
        <w:r w:rsidRPr="00E3672F" w:rsidR="00E5504B">
          <w:rPr>
            <w:rStyle w:val="Hyperlink"/>
            <w:rFonts w:eastAsiaTheme="majorEastAsia"/>
            <w:b/>
          </w:rPr>
          <w:t>March 2022</w:t>
        </w:r>
      </w:hyperlink>
      <w:r w:rsidRPr="00E3672F" w:rsidR="00E5504B">
        <w:t xml:space="preserve">, known as the </w:t>
      </w:r>
      <w:r w:rsidRPr="009B193B" w:rsidR="00E5504B">
        <w:rPr>
          <w:b/>
          <w:iCs/>
        </w:rPr>
        <w:t>Waserman</w:t>
      </w:r>
      <w:r w:rsidRPr="00BA4D82" w:rsidR="00E5504B">
        <w:rPr>
          <w:iCs/>
        </w:rPr>
        <w:t xml:space="preserve"> </w:t>
      </w:r>
      <w:r w:rsidRPr="009B193B" w:rsidR="00E5504B">
        <w:rPr>
          <w:b/>
          <w:iCs/>
        </w:rPr>
        <w:t>Law</w:t>
      </w:r>
      <w:r w:rsidRPr="009B193B" w:rsidR="00E5504B">
        <w:rPr>
          <w:bCs/>
          <w:iCs/>
        </w:rPr>
        <w:t>,</w:t>
      </w:r>
      <w:r w:rsidRPr="00E3672F" w:rsidR="00E5504B">
        <w:t xml:space="preserve"> amended and strengthened that regime in order to transpose Directive (EU) 2019/1937 on the protection of persons who report breaches of Union law, by aligning French law with European standards while preserving certain more protective characteristics of national law (in particular beyond breaches of </w:t>
      </w:r>
      <w:r w:rsidR="00BA4D82">
        <w:t>EU</w:t>
      </w:r>
      <w:r w:rsidRPr="00E3672F" w:rsidR="00BA4D82">
        <w:t xml:space="preserve"> </w:t>
      </w:r>
      <w:r w:rsidRPr="00E3672F" w:rsidR="00E5504B">
        <w:t>law alone, including breaches of the general interest).</w:t>
      </w:r>
    </w:p>
    <w:p w:rsidRPr="00E3672F" w:rsidR="00E5504B" w:rsidP="001E1287" w:rsidRDefault="00E5504B" w14:paraId="13623285" w14:textId="77777777">
      <w:pPr>
        <w:spacing w:before="120" w:after="120" w:line="360" w:lineRule="auto"/>
        <w:contextualSpacing/>
        <w:rPr>
          <w:b/>
          <w:bCs/>
        </w:rPr>
      </w:pPr>
    </w:p>
    <w:p w:rsidRPr="00E3672F" w:rsidR="00210DE9" w:rsidP="001E1287" w:rsidRDefault="00E5504B" w14:paraId="18A51E0D" w14:textId="77777777">
      <w:pPr>
        <w:pStyle w:val="P68B1DB1-Normal6"/>
        <w:spacing w:before="120" w:after="120" w:line="360" w:lineRule="auto"/>
        <w:contextualSpacing/>
        <w:rPr>
          <w:b w:val="0"/>
          <w:bCs/>
          <w:sz w:val="22"/>
          <w:szCs w:val="22"/>
          <w:u w:val="single"/>
          <w:lang w:val="en-GB"/>
        </w:rPr>
      </w:pPr>
      <w:r w:rsidRPr="00E3672F">
        <w:rPr>
          <w:b w:val="0"/>
          <w:bCs/>
          <w:sz w:val="22"/>
          <w:szCs w:val="22"/>
          <w:u w:val="single"/>
          <w:lang w:val="en-GB"/>
        </w:rPr>
        <w:t>General evaluation in the light of Directive (EU) 2019/1937</w:t>
      </w:r>
    </w:p>
    <w:p w:rsidRPr="00E3672F" w:rsidR="00E5504B" w:rsidP="001E1287" w:rsidRDefault="00E5504B" w14:paraId="4B1C06B6" w14:textId="20004E61">
      <w:pPr>
        <w:pStyle w:val="P68B1DB1-Normal6"/>
        <w:spacing w:before="120" w:after="120" w:line="360" w:lineRule="auto"/>
        <w:contextualSpacing/>
        <w:rPr>
          <w:b w:val="0"/>
          <w:bCs/>
          <w:sz w:val="22"/>
          <w:szCs w:val="22"/>
          <w:u w:val="single"/>
          <w:lang w:val="en-GB"/>
        </w:rPr>
      </w:pPr>
      <w:r w:rsidRPr="00E3672F">
        <w:rPr>
          <w:b w:val="0"/>
          <w:bCs/>
          <w:sz w:val="22"/>
          <w:szCs w:val="22"/>
          <w:lang w:val="en-GB"/>
        </w:rPr>
        <w:t xml:space="preserve">France enshrined whistleblower protection in its legal order as early as 2016, i.e. before the adoption of the 2019 Directive. The Waserman </w:t>
      </w:r>
      <w:r w:rsidR="00871BF8">
        <w:rPr>
          <w:b w:val="0"/>
          <w:bCs/>
          <w:sz w:val="22"/>
          <w:szCs w:val="22"/>
          <w:lang w:val="en-GB"/>
        </w:rPr>
        <w:t>Law</w:t>
      </w:r>
      <w:r w:rsidRPr="00E3672F" w:rsidR="00871BF8">
        <w:rPr>
          <w:b w:val="0"/>
          <w:bCs/>
          <w:sz w:val="22"/>
          <w:szCs w:val="22"/>
          <w:lang w:val="en-GB"/>
        </w:rPr>
        <w:t xml:space="preserve"> </w:t>
      </w:r>
      <w:r w:rsidRPr="00E3672F">
        <w:rPr>
          <w:b w:val="0"/>
          <w:bCs/>
          <w:sz w:val="22"/>
          <w:szCs w:val="22"/>
          <w:lang w:val="en-GB"/>
        </w:rPr>
        <w:t>of 2022 thus illustrates a transposition without regression, preserving and strengthening pre-existing national safeguards, and going beyond the minimum requirements laid down by the Directive.</w:t>
      </w:r>
    </w:p>
    <w:p w:rsidRPr="00E3672F" w:rsidR="00E5504B" w:rsidP="001E1287" w:rsidRDefault="00E5504B" w14:paraId="0D3A529B" w14:textId="77777777">
      <w:pPr>
        <w:spacing w:before="120" w:after="120" w:line="360" w:lineRule="auto"/>
        <w:contextualSpacing/>
      </w:pPr>
    </w:p>
    <w:p w:rsidRPr="00E3672F" w:rsidR="00E5504B" w:rsidP="001E1287" w:rsidRDefault="00E5504B" w14:paraId="117FB9A9" w14:textId="77777777">
      <w:pPr>
        <w:spacing w:before="120" w:after="120" w:line="360" w:lineRule="auto"/>
        <w:contextualSpacing/>
      </w:pPr>
      <w:r w:rsidRPr="00E3672F">
        <w:t>The main features of French law in relation to the Directive include</w:t>
      </w:r>
      <w:r w:rsidRPr="00E3672F">
        <w:rPr>
          <w:rStyle w:val="FootnoteReference"/>
          <w:rFonts w:eastAsiaTheme="majorEastAsia"/>
          <w:sz w:val="22"/>
        </w:rPr>
        <w:footnoteReference w:id="32"/>
      </w:r>
      <w:r w:rsidRPr="00E3672F">
        <w:t>:</w:t>
      </w:r>
    </w:p>
    <w:p w:rsidRPr="00E3672F" w:rsidR="00E5504B" w:rsidP="001E1287" w:rsidRDefault="00E5504B" w14:paraId="6C024875" w14:textId="46CBA5D2">
      <w:pPr>
        <w:pStyle w:val="NormalWeb"/>
        <w:numPr>
          <w:ilvl w:val="0"/>
          <w:numId w:val="40"/>
        </w:numPr>
        <w:spacing w:before="120" w:beforeAutospacing="0" w:after="120" w:afterAutospacing="0" w:line="360" w:lineRule="auto"/>
        <w:contextualSpacing/>
        <w:jc w:val="both"/>
        <w:rPr>
          <w:sz w:val="22"/>
          <w:szCs w:val="22"/>
          <w:lang w:val="en-GB"/>
        </w:rPr>
      </w:pPr>
      <w:r w:rsidRPr="00E3672F">
        <w:rPr>
          <w:b/>
          <w:sz w:val="22"/>
          <w:szCs w:val="22"/>
          <w:lang w:val="en-GB"/>
        </w:rPr>
        <w:t>An extended material scope</w:t>
      </w:r>
      <w:r w:rsidRPr="00E3672F">
        <w:rPr>
          <w:sz w:val="22"/>
          <w:szCs w:val="22"/>
          <w:lang w:val="en-GB"/>
        </w:rPr>
        <w:t xml:space="preserve">: protection shall also apply to reports that harm the public interest, including in the absence of a breach of </w:t>
      </w:r>
      <w:r w:rsidRPr="00E3672F" w:rsidR="008366E6">
        <w:rPr>
          <w:sz w:val="22"/>
          <w:szCs w:val="22"/>
          <w:lang w:val="en-GB"/>
        </w:rPr>
        <w:t xml:space="preserve">EU </w:t>
      </w:r>
      <w:r w:rsidRPr="00E3672F">
        <w:rPr>
          <w:sz w:val="22"/>
          <w:szCs w:val="22"/>
          <w:lang w:val="en-GB"/>
        </w:rPr>
        <w:t>or national law;</w:t>
      </w:r>
    </w:p>
    <w:p w:rsidRPr="00E3672F" w:rsidR="00E5504B" w:rsidP="001E1287" w:rsidRDefault="00E5504B" w14:paraId="2EA295F5" w14:textId="77777777">
      <w:pPr>
        <w:pStyle w:val="NormalWeb"/>
        <w:numPr>
          <w:ilvl w:val="0"/>
          <w:numId w:val="40"/>
        </w:numPr>
        <w:spacing w:before="120" w:beforeAutospacing="0" w:after="120" w:afterAutospacing="0" w:line="360" w:lineRule="auto"/>
        <w:contextualSpacing/>
        <w:jc w:val="both"/>
        <w:rPr>
          <w:sz w:val="22"/>
          <w:szCs w:val="22"/>
          <w:lang w:val="en-GB"/>
        </w:rPr>
      </w:pPr>
      <w:r w:rsidRPr="00E3672F">
        <w:rPr>
          <w:b/>
          <w:sz w:val="22"/>
          <w:szCs w:val="22"/>
          <w:lang w:val="en-GB"/>
        </w:rPr>
        <w:t>Protection of reporting facilitators</w:t>
      </w:r>
      <w:r w:rsidRPr="00E3672F">
        <w:rPr>
          <w:sz w:val="22"/>
          <w:szCs w:val="22"/>
          <w:lang w:val="en-GB"/>
        </w:rPr>
        <w:t>, including non-governmental organisations assisting the whistleblower;</w:t>
      </w:r>
    </w:p>
    <w:p w:rsidRPr="00E3672F" w:rsidR="00E5504B" w:rsidP="001E1287" w:rsidRDefault="00E5504B" w14:paraId="2E5FAFBF" w14:textId="77777777">
      <w:pPr>
        <w:pStyle w:val="NormalWeb"/>
        <w:numPr>
          <w:ilvl w:val="0"/>
          <w:numId w:val="40"/>
        </w:numPr>
        <w:spacing w:before="120" w:beforeAutospacing="0" w:after="120" w:afterAutospacing="0" w:line="360" w:lineRule="auto"/>
        <w:contextualSpacing/>
        <w:jc w:val="both"/>
        <w:rPr>
          <w:sz w:val="22"/>
          <w:szCs w:val="22"/>
          <w:lang w:val="en-GB"/>
        </w:rPr>
      </w:pPr>
      <w:r w:rsidRPr="00E3672F">
        <w:rPr>
          <w:b/>
          <w:sz w:val="22"/>
          <w:szCs w:val="22"/>
          <w:lang w:val="en-GB"/>
        </w:rPr>
        <w:t>Civil and criminal immunities</w:t>
      </w:r>
      <w:r w:rsidRPr="00E3672F">
        <w:rPr>
          <w:sz w:val="22"/>
          <w:szCs w:val="22"/>
          <w:lang w:val="en-GB"/>
        </w:rPr>
        <w:t xml:space="preserve"> granted to the whistleblower;</w:t>
      </w:r>
    </w:p>
    <w:p w:rsidRPr="00E3672F" w:rsidR="00E5504B" w:rsidP="001E1287" w:rsidRDefault="00E5504B" w14:paraId="27E600C3" w14:textId="77777777">
      <w:pPr>
        <w:pStyle w:val="NormalWeb"/>
        <w:numPr>
          <w:ilvl w:val="0"/>
          <w:numId w:val="40"/>
        </w:numPr>
        <w:spacing w:before="120" w:beforeAutospacing="0" w:after="120" w:afterAutospacing="0" w:line="360" w:lineRule="auto"/>
        <w:contextualSpacing/>
        <w:jc w:val="both"/>
        <w:rPr>
          <w:sz w:val="22"/>
          <w:szCs w:val="22"/>
          <w:lang w:val="en-GB"/>
        </w:rPr>
      </w:pPr>
      <w:r w:rsidRPr="00E3672F">
        <w:rPr>
          <w:b/>
          <w:sz w:val="22"/>
          <w:szCs w:val="22"/>
          <w:lang w:val="en-GB"/>
        </w:rPr>
        <w:t>Support measures</w:t>
      </w:r>
      <w:r w:rsidRPr="00E3672F">
        <w:rPr>
          <w:sz w:val="22"/>
          <w:szCs w:val="22"/>
          <w:lang w:val="en-GB"/>
        </w:rPr>
        <w:t>, including financial and psychological assistance and legal costs;</w:t>
      </w:r>
    </w:p>
    <w:p w:rsidRPr="00E3672F" w:rsidR="00E5504B" w:rsidP="001E1287" w:rsidRDefault="00E5504B" w14:paraId="3DB81288" w14:textId="0DA5472D">
      <w:pPr>
        <w:pStyle w:val="NormalWeb"/>
        <w:numPr>
          <w:ilvl w:val="0"/>
          <w:numId w:val="40"/>
        </w:numPr>
        <w:spacing w:before="120" w:beforeAutospacing="0" w:after="120" w:afterAutospacing="0" w:line="360" w:lineRule="auto"/>
        <w:contextualSpacing/>
        <w:jc w:val="both"/>
        <w:rPr>
          <w:sz w:val="22"/>
          <w:szCs w:val="22"/>
          <w:lang w:val="en-GB"/>
        </w:rPr>
      </w:pPr>
      <w:r w:rsidRPr="00E3672F">
        <w:rPr>
          <w:b/>
          <w:sz w:val="22"/>
          <w:szCs w:val="22"/>
          <w:lang w:val="en-GB"/>
        </w:rPr>
        <w:t>Dissuasive sanctions</w:t>
      </w:r>
      <w:r w:rsidRPr="00E3672F">
        <w:rPr>
          <w:sz w:val="22"/>
          <w:szCs w:val="22"/>
          <w:lang w:val="en-GB"/>
        </w:rPr>
        <w:t xml:space="preserve">, including personal liability of perpetrators of retaliation, punishable by fines of up to EUR </w:t>
      </w:r>
      <w:r w:rsidRPr="00E3672F" w:rsidR="008366E6">
        <w:rPr>
          <w:sz w:val="22"/>
          <w:szCs w:val="22"/>
          <w:lang w:val="en-GB"/>
        </w:rPr>
        <w:t>60 </w:t>
      </w:r>
      <w:r w:rsidRPr="00E3672F">
        <w:rPr>
          <w:sz w:val="22"/>
          <w:szCs w:val="22"/>
          <w:lang w:val="en-GB"/>
        </w:rPr>
        <w:t>000 and imprisonment of up to three years.</w:t>
      </w:r>
    </w:p>
    <w:p w:rsidRPr="00E3672F" w:rsidR="00E5504B" w:rsidP="001E1287" w:rsidRDefault="00E5504B" w14:paraId="59ABAF24" w14:textId="77777777">
      <w:pPr>
        <w:spacing w:before="120" w:after="120" w:line="360" w:lineRule="auto"/>
        <w:ind w:left="720"/>
        <w:contextualSpacing/>
        <w:rPr>
          <w:b/>
          <w:bCs/>
        </w:rPr>
      </w:pPr>
    </w:p>
    <w:p w:rsidRPr="00E3672F" w:rsidR="00E5504B" w:rsidP="001E1287" w:rsidRDefault="00DA2327" w14:paraId="602EE897" w14:textId="16A0E6BA">
      <w:pPr>
        <w:pStyle w:val="P68B1DB1-Normal5"/>
        <w:spacing w:before="120" w:after="120" w:line="360" w:lineRule="auto"/>
        <w:contextualSpacing/>
        <w:rPr>
          <w:b w:val="0"/>
          <w:bCs/>
          <w:sz w:val="22"/>
          <w:szCs w:val="22"/>
          <w:lang w:val="en-GB"/>
        </w:rPr>
      </w:pPr>
      <w:r w:rsidRPr="00E3672F">
        <w:rPr>
          <w:b w:val="0"/>
          <w:bCs/>
          <w:sz w:val="22"/>
          <w:szCs w:val="22"/>
          <w:lang w:val="en-GB"/>
        </w:rPr>
        <w:t>D</w:t>
      </w:r>
      <w:r w:rsidRPr="00E3672F" w:rsidR="00E5504B">
        <w:rPr>
          <w:b w:val="0"/>
          <w:bCs/>
          <w:sz w:val="22"/>
          <w:szCs w:val="22"/>
          <w:lang w:val="en-GB"/>
        </w:rPr>
        <w:t xml:space="preserve">efinition of </w:t>
      </w:r>
      <w:r w:rsidRPr="00E3672F" w:rsidR="00413731">
        <w:rPr>
          <w:b w:val="0"/>
          <w:bCs/>
          <w:sz w:val="22"/>
          <w:szCs w:val="22"/>
          <w:lang w:val="en-GB"/>
        </w:rPr>
        <w:t>‘</w:t>
      </w:r>
      <w:r w:rsidRPr="00E3672F" w:rsidR="00E5504B">
        <w:rPr>
          <w:b w:val="0"/>
          <w:bCs/>
          <w:sz w:val="22"/>
          <w:szCs w:val="22"/>
          <w:lang w:val="en-GB"/>
        </w:rPr>
        <w:t>whistleblower</w:t>
      </w:r>
      <w:r w:rsidRPr="00E3672F" w:rsidR="00413731">
        <w:rPr>
          <w:b w:val="0"/>
          <w:bCs/>
          <w:sz w:val="22"/>
          <w:szCs w:val="22"/>
          <w:lang w:val="en-GB"/>
        </w:rPr>
        <w:t>’</w:t>
      </w:r>
      <w:r w:rsidRPr="00E3672F" w:rsidR="00E5504B">
        <w:rPr>
          <w:b w:val="0"/>
          <w:bCs/>
          <w:sz w:val="22"/>
          <w:szCs w:val="22"/>
          <w:lang w:val="en-GB"/>
        </w:rPr>
        <w:t xml:space="preserve"> and material scope</w:t>
      </w:r>
    </w:p>
    <w:p w:rsidRPr="00E3672F" w:rsidR="00E5504B" w:rsidP="001E1287" w:rsidRDefault="00DA2327" w14:paraId="7DF48246" w14:textId="18A853AE">
      <w:pPr>
        <w:spacing w:before="120" w:after="120" w:line="360" w:lineRule="auto"/>
        <w:contextualSpacing/>
      </w:pPr>
      <w:r w:rsidRPr="00E3672F">
        <w:rPr>
          <w:rFonts w:eastAsiaTheme="majorEastAsia"/>
        </w:rPr>
        <w:t>French l</w:t>
      </w:r>
      <w:r w:rsidRPr="00E3672F" w:rsidR="00E5504B">
        <w:t xml:space="preserve">aw adopts a </w:t>
      </w:r>
      <w:r w:rsidRPr="00E3672F" w:rsidR="00E5504B">
        <w:rPr>
          <w:b/>
        </w:rPr>
        <w:t>broad definition</w:t>
      </w:r>
      <w:r w:rsidRPr="00E3672F" w:rsidR="00E5504B">
        <w:rPr>
          <w:rStyle w:val="FootnoteReference"/>
          <w:rFonts w:eastAsiaTheme="majorEastAsia"/>
          <w:sz w:val="22"/>
        </w:rPr>
        <w:footnoteReference w:id="33"/>
      </w:r>
      <w:r w:rsidRPr="00E3672F" w:rsidR="008366E6">
        <w:t xml:space="preserve"> </w:t>
      </w:r>
      <w:r w:rsidRPr="00E3672F" w:rsidR="00E5504B">
        <w:t>of whistleblower, leading to a broad material scope. Unlike the Directive (Article 2), French legislation is not based on an exhaustive list of areas covered.</w:t>
      </w:r>
    </w:p>
    <w:p w:rsidRPr="00E3672F" w:rsidR="00E5504B" w:rsidP="001E1287" w:rsidRDefault="00E5504B" w14:paraId="2836BAEF" w14:textId="2470210E">
      <w:pPr>
        <w:pStyle w:val="NormalWeb"/>
        <w:spacing w:before="120" w:beforeAutospacing="0" w:after="120" w:afterAutospacing="0" w:line="360" w:lineRule="auto"/>
        <w:contextualSpacing/>
        <w:jc w:val="both"/>
        <w:rPr>
          <w:sz w:val="22"/>
          <w:szCs w:val="22"/>
          <w:lang w:val="en-GB"/>
        </w:rPr>
      </w:pPr>
      <w:r w:rsidRPr="00E3672F">
        <w:rPr>
          <w:sz w:val="22"/>
          <w:szCs w:val="22"/>
          <w:lang w:val="en-GB"/>
        </w:rPr>
        <w:t>Und</w:t>
      </w:r>
      <w:r w:rsidRPr="00E3672F" w:rsidR="00DA2327">
        <w:rPr>
          <w:sz w:val="22"/>
          <w:szCs w:val="22"/>
          <w:lang w:val="en-GB"/>
        </w:rPr>
        <w:t>e</w:t>
      </w:r>
      <w:r w:rsidRPr="00E3672F">
        <w:rPr>
          <w:sz w:val="22"/>
          <w:szCs w:val="22"/>
          <w:lang w:val="en-GB"/>
        </w:rPr>
        <w:t xml:space="preserve">r French law, a whistleblower is any natural person who reports or discloses, </w:t>
      </w:r>
      <w:r w:rsidRPr="00E3672F">
        <w:rPr>
          <w:b/>
          <w:sz w:val="22"/>
          <w:szCs w:val="22"/>
          <w:lang w:val="en-GB"/>
        </w:rPr>
        <w:t>in good faith and without direct financial consideration</w:t>
      </w:r>
      <w:r w:rsidRPr="00E3672F">
        <w:rPr>
          <w:sz w:val="22"/>
          <w:szCs w:val="22"/>
          <w:lang w:val="en-GB"/>
        </w:rPr>
        <w:t>, information relating to:</w:t>
      </w:r>
    </w:p>
    <w:p w:rsidRPr="00E3672F" w:rsidR="00E5504B" w:rsidP="001E1287" w:rsidRDefault="00E5504B" w14:paraId="56AE24D6" w14:textId="77777777">
      <w:pPr>
        <w:pStyle w:val="NormalWeb"/>
        <w:numPr>
          <w:ilvl w:val="0"/>
          <w:numId w:val="41"/>
        </w:numPr>
        <w:spacing w:before="120" w:beforeAutospacing="0" w:after="120" w:afterAutospacing="0" w:line="360" w:lineRule="auto"/>
        <w:contextualSpacing/>
        <w:jc w:val="both"/>
        <w:rPr>
          <w:sz w:val="22"/>
          <w:szCs w:val="22"/>
          <w:lang w:val="en-GB"/>
        </w:rPr>
      </w:pPr>
      <w:r w:rsidRPr="00E3672F">
        <w:rPr>
          <w:sz w:val="22"/>
          <w:szCs w:val="22"/>
          <w:lang w:val="en-GB"/>
        </w:rPr>
        <w:t xml:space="preserve">a </w:t>
      </w:r>
      <w:r w:rsidRPr="00E3672F">
        <w:rPr>
          <w:b/>
          <w:sz w:val="22"/>
          <w:szCs w:val="22"/>
          <w:lang w:val="en-GB"/>
        </w:rPr>
        <w:t>crime or an offence</w:t>
      </w:r>
      <w:r w:rsidRPr="00E3672F">
        <w:rPr>
          <w:sz w:val="22"/>
          <w:szCs w:val="22"/>
          <w:lang w:val="en-GB"/>
        </w:rPr>
        <w:t>;</w:t>
      </w:r>
    </w:p>
    <w:p w:rsidRPr="00E3672F" w:rsidR="00E5504B" w:rsidP="001E1287" w:rsidRDefault="00E5504B" w14:paraId="71C8008D" w14:textId="34CFD191">
      <w:pPr>
        <w:pStyle w:val="NormalWeb"/>
        <w:numPr>
          <w:ilvl w:val="0"/>
          <w:numId w:val="41"/>
        </w:numPr>
        <w:spacing w:before="120" w:beforeAutospacing="0" w:after="120" w:afterAutospacing="0" w:line="360" w:lineRule="auto"/>
        <w:contextualSpacing/>
        <w:jc w:val="both"/>
        <w:rPr>
          <w:sz w:val="22"/>
          <w:szCs w:val="22"/>
          <w:lang w:val="en-GB"/>
        </w:rPr>
      </w:pPr>
      <w:r w:rsidRPr="00E3672F">
        <w:rPr>
          <w:sz w:val="22"/>
          <w:szCs w:val="22"/>
          <w:lang w:val="en-GB"/>
        </w:rPr>
        <w:t xml:space="preserve">a </w:t>
      </w:r>
      <w:r w:rsidRPr="00E3672F">
        <w:rPr>
          <w:b/>
          <w:sz w:val="22"/>
          <w:szCs w:val="22"/>
          <w:lang w:val="en-GB"/>
        </w:rPr>
        <w:t>threat or harm to the public interest</w:t>
      </w:r>
      <w:r w:rsidRPr="00E3672F">
        <w:rPr>
          <w:sz w:val="22"/>
          <w:szCs w:val="22"/>
          <w:lang w:val="en-GB"/>
        </w:rPr>
        <w:t xml:space="preserve"> </w:t>
      </w:r>
      <w:r w:rsidRPr="00E3672F" w:rsidR="008366E6">
        <w:rPr>
          <w:sz w:val="22"/>
          <w:szCs w:val="22"/>
          <w:lang w:val="en-GB"/>
        </w:rPr>
        <w:t>(</w:t>
      </w:r>
      <w:r w:rsidRPr="00E3672F">
        <w:rPr>
          <w:sz w:val="22"/>
          <w:szCs w:val="22"/>
          <w:lang w:val="en-GB"/>
        </w:rPr>
        <w:t xml:space="preserve">beyond breaches of </w:t>
      </w:r>
      <w:r w:rsidRPr="00E3672F" w:rsidR="008366E6">
        <w:rPr>
          <w:sz w:val="22"/>
          <w:szCs w:val="22"/>
          <w:lang w:val="en-GB"/>
        </w:rPr>
        <w:t xml:space="preserve">EU </w:t>
      </w:r>
      <w:r w:rsidRPr="00E3672F">
        <w:rPr>
          <w:sz w:val="22"/>
          <w:szCs w:val="22"/>
          <w:lang w:val="en-GB"/>
        </w:rPr>
        <w:t>law only – broader than the scope of the Directive</w:t>
      </w:r>
      <w:r w:rsidRPr="00E3672F" w:rsidR="008366E6">
        <w:rPr>
          <w:sz w:val="22"/>
          <w:szCs w:val="22"/>
          <w:lang w:val="en-GB"/>
        </w:rPr>
        <w:t>)</w:t>
      </w:r>
      <w:r w:rsidRPr="00E3672F">
        <w:rPr>
          <w:sz w:val="22"/>
          <w:szCs w:val="22"/>
          <w:lang w:val="en-GB"/>
        </w:rPr>
        <w:t>;</w:t>
      </w:r>
    </w:p>
    <w:p w:rsidRPr="00E3672F" w:rsidR="00E5504B" w:rsidP="001E1287" w:rsidRDefault="00E5504B" w14:paraId="20CA271F" w14:textId="6CAF4D42">
      <w:pPr>
        <w:pStyle w:val="NormalWeb"/>
        <w:numPr>
          <w:ilvl w:val="0"/>
          <w:numId w:val="41"/>
        </w:numPr>
        <w:spacing w:before="120" w:beforeAutospacing="0" w:after="120" w:afterAutospacing="0" w:line="360" w:lineRule="auto"/>
        <w:contextualSpacing/>
        <w:jc w:val="both"/>
        <w:rPr>
          <w:sz w:val="22"/>
          <w:szCs w:val="22"/>
          <w:lang w:val="en-GB"/>
        </w:rPr>
      </w:pPr>
      <w:r w:rsidRPr="00E3672F">
        <w:rPr>
          <w:sz w:val="22"/>
          <w:szCs w:val="22"/>
          <w:lang w:val="en-GB"/>
        </w:rPr>
        <w:t xml:space="preserve">a </w:t>
      </w:r>
      <w:r w:rsidRPr="00E3672F">
        <w:rPr>
          <w:b/>
          <w:sz w:val="22"/>
          <w:szCs w:val="22"/>
          <w:lang w:val="en-GB"/>
        </w:rPr>
        <w:t xml:space="preserve">breach </w:t>
      </w:r>
      <w:r w:rsidRPr="00E3672F" w:rsidR="008366E6">
        <w:rPr>
          <w:sz w:val="22"/>
          <w:szCs w:val="22"/>
          <w:lang w:val="en-GB"/>
        </w:rPr>
        <w:t>(</w:t>
      </w:r>
      <w:r w:rsidRPr="00E3672F">
        <w:rPr>
          <w:sz w:val="22"/>
          <w:szCs w:val="22"/>
          <w:lang w:val="en-GB"/>
        </w:rPr>
        <w:t>same scope as the Directive</w:t>
      </w:r>
      <w:r w:rsidRPr="00E3672F" w:rsidR="008366E6">
        <w:rPr>
          <w:sz w:val="22"/>
          <w:szCs w:val="22"/>
          <w:lang w:val="en-GB"/>
        </w:rPr>
        <w:t>)</w:t>
      </w:r>
      <w:r w:rsidRPr="00E3672F">
        <w:rPr>
          <w:sz w:val="22"/>
          <w:szCs w:val="22"/>
          <w:lang w:val="en-GB"/>
        </w:rPr>
        <w:t xml:space="preserve">, or an </w:t>
      </w:r>
      <w:r w:rsidRPr="00E3672F">
        <w:rPr>
          <w:b/>
          <w:sz w:val="22"/>
          <w:szCs w:val="22"/>
          <w:lang w:val="en-GB"/>
        </w:rPr>
        <w:t>attempt to conceal a breach</w:t>
      </w:r>
      <w:r w:rsidRPr="00E3672F">
        <w:rPr>
          <w:sz w:val="22"/>
          <w:szCs w:val="22"/>
          <w:lang w:val="en-GB"/>
        </w:rPr>
        <w:t xml:space="preserve"> </w:t>
      </w:r>
      <w:r w:rsidRPr="00E3672F" w:rsidR="008366E6">
        <w:rPr>
          <w:sz w:val="22"/>
          <w:szCs w:val="22"/>
          <w:lang w:val="en-GB"/>
        </w:rPr>
        <w:t>(</w:t>
      </w:r>
      <w:r w:rsidRPr="00E3672F">
        <w:rPr>
          <w:sz w:val="22"/>
          <w:szCs w:val="22"/>
          <w:lang w:val="en-GB"/>
        </w:rPr>
        <w:t>broader scope than the Directive</w:t>
      </w:r>
      <w:r w:rsidRPr="00E3672F" w:rsidR="008366E6">
        <w:rPr>
          <w:sz w:val="22"/>
          <w:szCs w:val="22"/>
          <w:lang w:val="en-GB"/>
        </w:rPr>
        <w:t>)</w:t>
      </w:r>
      <w:r w:rsidRPr="00E3672F">
        <w:rPr>
          <w:sz w:val="22"/>
          <w:szCs w:val="22"/>
          <w:lang w:val="en-GB"/>
        </w:rPr>
        <w:t>, of:</w:t>
      </w:r>
    </w:p>
    <w:p w:rsidRPr="00E3672F" w:rsidR="00E5504B" w:rsidP="001E1287" w:rsidRDefault="00E5504B" w14:paraId="064B9A85" w14:textId="0B90ECB5">
      <w:pPr>
        <w:pStyle w:val="NormalWeb"/>
        <w:numPr>
          <w:ilvl w:val="1"/>
          <w:numId w:val="41"/>
        </w:numPr>
        <w:spacing w:before="120" w:beforeAutospacing="0" w:after="120" w:afterAutospacing="0" w:line="360" w:lineRule="auto"/>
        <w:contextualSpacing/>
        <w:jc w:val="both"/>
        <w:rPr>
          <w:sz w:val="22"/>
          <w:szCs w:val="22"/>
          <w:lang w:val="en-GB"/>
        </w:rPr>
      </w:pPr>
      <w:r w:rsidRPr="00E3672F">
        <w:rPr>
          <w:sz w:val="22"/>
          <w:szCs w:val="22"/>
          <w:lang w:val="en-GB"/>
        </w:rPr>
        <w:t xml:space="preserve">an international commitment regularly ratified or approved by France </w:t>
      </w:r>
      <w:r w:rsidRPr="00E3672F" w:rsidR="008366E6">
        <w:rPr>
          <w:sz w:val="22"/>
          <w:szCs w:val="22"/>
          <w:lang w:val="en-GB"/>
        </w:rPr>
        <w:t>(</w:t>
      </w:r>
      <w:r w:rsidRPr="00E3672F">
        <w:rPr>
          <w:sz w:val="22"/>
          <w:szCs w:val="22"/>
          <w:lang w:val="en-GB"/>
        </w:rPr>
        <w:t>beyond EU law alone</w:t>
      </w:r>
      <w:r w:rsidRPr="00E3672F" w:rsidR="008366E6">
        <w:rPr>
          <w:sz w:val="22"/>
          <w:szCs w:val="22"/>
          <w:lang w:val="en-GB"/>
        </w:rPr>
        <w:t>)</w:t>
      </w:r>
      <w:r w:rsidRPr="00E3672F">
        <w:rPr>
          <w:sz w:val="22"/>
          <w:szCs w:val="22"/>
          <w:lang w:val="en-GB"/>
        </w:rPr>
        <w:t>;</w:t>
      </w:r>
    </w:p>
    <w:p w:rsidRPr="00E3672F" w:rsidR="00E5504B" w:rsidP="001E1287" w:rsidRDefault="00E5504B" w14:paraId="1D739405" w14:textId="77777777">
      <w:pPr>
        <w:pStyle w:val="NormalWeb"/>
        <w:numPr>
          <w:ilvl w:val="1"/>
          <w:numId w:val="41"/>
        </w:numPr>
        <w:spacing w:before="120" w:beforeAutospacing="0" w:after="120" w:afterAutospacing="0" w:line="360" w:lineRule="auto"/>
        <w:contextualSpacing/>
        <w:jc w:val="both"/>
        <w:rPr>
          <w:sz w:val="22"/>
          <w:szCs w:val="22"/>
          <w:lang w:val="en-GB"/>
        </w:rPr>
      </w:pPr>
      <w:r w:rsidRPr="00E3672F">
        <w:rPr>
          <w:sz w:val="22"/>
          <w:szCs w:val="22"/>
          <w:lang w:val="en-GB"/>
        </w:rPr>
        <w:t>a unilateral act of an international organisation taken on the basis of such an undertaking;</w:t>
      </w:r>
    </w:p>
    <w:p w:rsidRPr="00E3672F" w:rsidR="00E5504B" w:rsidP="001E1287" w:rsidRDefault="00E5504B" w14:paraId="76024407" w14:textId="77777777">
      <w:pPr>
        <w:pStyle w:val="NormalWeb"/>
        <w:numPr>
          <w:ilvl w:val="1"/>
          <w:numId w:val="41"/>
        </w:numPr>
        <w:spacing w:before="120" w:beforeAutospacing="0" w:after="120" w:afterAutospacing="0" w:line="360" w:lineRule="auto"/>
        <w:contextualSpacing/>
        <w:jc w:val="both"/>
        <w:rPr>
          <w:sz w:val="22"/>
          <w:szCs w:val="22"/>
          <w:lang w:val="en-GB"/>
        </w:rPr>
      </w:pPr>
      <w:r w:rsidRPr="00E3672F">
        <w:rPr>
          <w:sz w:val="22"/>
          <w:szCs w:val="22"/>
          <w:lang w:val="en-GB"/>
        </w:rPr>
        <w:t>European Union law;</w:t>
      </w:r>
    </w:p>
    <w:p w:rsidRPr="00E3672F" w:rsidR="00E5504B" w:rsidP="001E1287" w:rsidRDefault="00E5504B" w14:paraId="4FF8B3EF" w14:textId="0932389E">
      <w:pPr>
        <w:pStyle w:val="NormalWeb"/>
        <w:numPr>
          <w:ilvl w:val="1"/>
          <w:numId w:val="41"/>
        </w:numPr>
        <w:spacing w:before="120" w:beforeAutospacing="0" w:after="120" w:afterAutospacing="0" w:line="360" w:lineRule="auto"/>
        <w:contextualSpacing/>
        <w:jc w:val="both"/>
        <w:rPr>
          <w:sz w:val="22"/>
          <w:szCs w:val="22"/>
          <w:lang w:val="en-GB"/>
        </w:rPr>
      </w:pPr>
      <w:r w:rsidRPr="00E3672F">
        <w:rPr>
          <w:sz w:val="22"/>
          <w:szCs w:val="22"/>
          <w:lang w:val="en-GB"/>
        </w:rPr>
        <w:t xml:space="preserve">French law or regulation </w:t>
      </w:r>
      <w:r w:rsidRPr="00E3672F" w:rsidR="008366E6">
        <w:rPr>
          <w:sz w:val="22"/>
          <w:szCs w:val="22"/>
          <w:lang w:val="en-GB"/>
        </w:rPr>
        <w:t>(</w:t>
      </w:r>
      <w:r w:rsidRPr="00E3672F">
        <w:rPr>
          <w:sz w:val="22"/>
          <w:szCs w:val="22"/>
          <w:lang w:val="en-GB"/>
        </w:rPr>
        <w:t>extension allowed by the Directive</w:t>
      </w:r>
      <w:r w:rsidRPr="00E3672F" w:rsidR="008366E6">
        <w:rPr>
          <w:sz w:val="22"/>
          <w:szCs w:val="22"/>
          <w:lang w:val="en-GB"/>
        </w:rPr>
        <w:t>)</w:t>
      </w:r>
      <w:r w:rsidRPr="00E3672F">
        <w:rPr>
          <w:sz w:val="22"/>
          <w:szCs w:val="22"/>
          <w:lang w:val="en-GB"/>
        </w:rPr>
        <w:t>.</w:t>
      </w:r>
    </w:p>
    <w:p w:rsidRPr="00E3672F" w:rsidR="00E5504B" w:rsidP="001E1287" w:rsidRDefault="00E5504B" w14:paraId="2D5D6703" w14:textId="77777777">
      <w:pPr>
        <w:spacing w:before="120" w:after="120" w:line="360" w:lineRule="auto"/>
        <w:contextualSpacing/>
        <w:rPr>
          <w:b/>
          <w:bCs/>
          <w:u w:val="single"/>
        </w:rPr>
      </w:pPr>
    </w:p>
    <w:p w:rsidRPr="00E3672F" w:rsidR="00EF5F3B" w:rsidP="001E1287" w:rsidRDefault="00E5504B" w14:paraId="27C86011" w14:textId="77777777">
      <w:pPr>
        <w:pStyle w:val="P68B1DB1-Normal5"/>
        <w:spacing w:before="120" w:after="120" w:line="360" w:lineRule="auto"/>
        <w:contextualSpacing/>
        <w:rPr>
          <w:b w:val="0"/>
          <w:bCs/>
          <w:sz w:val="22"/>
          <w:szCs w:val="22"/>
          <w:lang w:val="en-GB"/>
        </w:rPr>
      </w:pPr>
      <w:r w:rsidRPr="00E3672F">
        <w:rPr>
          <w:b w:val="0"/>
          <w:bCs/>
          <w:sz w:val="22"/>
          <w:szCs w:val="22"/>
          <w:lang w:val="en-GB"/>
        </w:rPr>
        <w:t>Protected persons</w:t>
      </w:r>
    </w:p>
    <w:p w:rsidRPr="00E3672F" w:rsidR="00E5504B" w:rsidP="001E1287" w:rsidRDefault="00E5504B" w14:paraId="2B591DBC" w14:textId="71EC9539">
      <w:pPr>
        <w:pStyle w:val="P68B1DB1-Normal5"/>
        <w:spacing w:before="120" w:after="120" w:line="360" w:lineRule="auto"/>
        <w:contextualSpacing/>
        <w:rPr>
          <w:b w:val="0"/>
          <w:bCs/>
          <w:sz w:val="22"/>
          <w:szCs w:val="22"/>
          <w:u w:val="none"/>
          <w:lang w:val="en-GB"/>
        </w:rPr>
      </w:pPr>
      <w:r w:rsidRPr="00E3672F">
        <w:rPr>
          <w:b w:val="0"/>
          <w:bCs/>
          <w:sz w:val="22"/>
          <w:szCs w:val="22"/>
          <w:u w:val="none"/>
          <w:lang w:val="en-GB"/>
        </w:rPr>
        <w:t xml:space="preserve">The transposition of the Directive through the Waserman </w:t>
      </w:r>
      <w:r w:rsidRPr="00E3672F" w:rsidR="007177FC">
        <w:rPr>
          <w:b w:val="0"/>
          <w:bCs/>
          <w:sz w:val="22"/>
          <w:szCs w:val="22"/>
          <w:u w:val="none"/>
          <w:lang w:val="en-GB"/>
        </w:rPr>
        <w:t>Law</w:t>
      </w:r>
      <w:r w:rsidRPr="00E3672F">
        <w:rPr>
          <w:b w:val="0"/>
          <w:bCs/>
          <w:sz w:val="22"/>
          <w:szCs w:val="22"/>
          <w:u w:val="none"/>
          <w:lang w:val="en-GB"/>
        </w:rPr>
        <w:t xml:space="preserve"> of 2022 (amending the Sapin II </w:t>
      </w:r>
      <w:r w:rsidR="008B42CE">
        <w:rPr>
          <w:b w:val="0"/>
          <w:bCs/>
          <w:sz w:val="22"/>
          <w:szCs w:val="22"/>
          <w:u w:val="none"/>
          <w:lang w:val="en-GB"/>
        </w:rPr>
        <w:t>Law</w:t>
      </w:r>
      <w:r w:rsidRPr="00E3672F" w:rsidR="008B42CE">
        <w:rPr>
          <w:b w:val="0"/>
          <w:bCs/>
          <w:sz w:val="22"/>
          <w:szCs w:val="22"/>
          <w:u w:val="none"/>
          <w:lang w:val="en-GB"/>
        </w:rPr>
        <w:t xml:space="preserve"> </w:t>
      </w:r>
      <w:r w:rsidRPr="00E3672F">
        <w:rPr>
          <w:b w:val="0"/>
          <w:bCs/>
          <w:sz w:val="22"/>
          <w:szCs w:val="22"/>
          <w:u w:val="none"/>
          <w:lang w:val="en-GB"/>
        </w:rPr>
        <w:t xml:space="preserve">of 2016) has significantly extended the categories of protected persons, beyond the whistleblower </w:t>
      </w:r>
      <w:r w:rsidRPr="009B193B" w:rsidR="008366E6">
        <w:rPr>
          <w:b w:val="0"/>
          <w:bCs/>
          <w:sz w:val="22"/>
          <w:szCs w:val="22"/>
          <w:u w:val="none"/>
          <w:lang w:val="en-GB"/>
        </w:rPr>
        <w:t>in the strict sense:</w:t>
      </w:r>
    </w:p>
    <w:p w:rsidRPr="00E3672F" w:rsidR="00E5504B" w:rsidP="001E1287" w:rsidRDefault="00E5504B" w14:paraId="14D6700B" w14:textId="1C25B1D5">
      <w:pPr>
        <w:pStyle w:val="NormalWeb"/>
        <w:numPr>
          <w:ilvl w:val="0"/>
          <w:numId w:val="42"/>
        </w:numPr>
        <w:spacing w:before="120" w:beforeAutospacing="0" w:after="120" w:afterAutospacing="0" w:line="360" w:lineRule="auto"/>
        <w:contextualSpacing/>
        <w:jc w:val="both"/>
        <w:rPr>
          <w:sz w:val="22"/>
          <w:szCs w:val="22"/>
          <w:lang w:val="en-GB"/>
        </w:rPr>
      </w:pPr>
      <w:r w:rsidRPr="00E3672F">
        <w:rPr>
          <w:b/>
          <w:sz w:val="22"/>
          <w:szCs w:val="22"/>
          <w:lang w:val="en-GB"/>
        </w:rPr>
        <w:t>Facilitators</w:t>
      </w:r>
      <w:r w:rsidRPr="00E3672F">
        <w:rPr>
          <w:sz w:val="22"/>
          <w:szCs w:val="22"/>
          <w:lang w:val="en-GB"/>
        </w:rPr>
        <w:t xml:space="preserve">, natural or legal persons assisting the whistleblower in reporting (trade unions, </w:t>
      </w:r>
      <w:r w:rsidRPr="00E3672F" w:rsidR="00180F2C">
        <w:rPr>
          <w:sz w:val="22"/>
          <w:szCs w:val="22"/>
          <w:lang w:val="en-GB"/>
        </w:rPr>
        <w:t>CSOs</w:t>
      </w:r>
      <w:r w:rsidRPr="00E3672F">
        <w:rPr>
          <w:sz w:val="22"/>
          <w:szCs w:val="22"/>
          <w:lang w:val="en-GB"/>
        </w:rPr>
        <w:t>, colleagues, legal advis</w:t>
      </w:r>
      <w:r w:rsidR="00C10652">
        <w:rPr>
          <w:sz w:val="22"/>
          <w:szCs w:val="22"/>
          <w:lang w:val="en-GB"/>
        </w:rPr>
        <w:t>o</w:t>
      </w:r>
      <w:r w:rsidRPr="00E3672F">
        <w:rPr>
          <w:sz w:val="22"/>
          <w:szCs w:val="22"/>
          <w:lang w:val="en-GB"/>
        </w:rPr>
        <w:t>rs);</w:t>
      </w:r>
    </w:p>
    <w:p w:rsidRPr="00E3672F" w:rsidR="00E5504B" w:rsidP="001E1287" w:rsidRDefault="00E5504B" w14:paraId="01951910" w14:textId="77777777">
      <w:pPr>
        <w:pStyle w:val="NormalWeb"/>
        <w:numPr>
          <w:ilvl w:val="0"/>
          <w:numId w:val="42"/>
        </w:numPr>
        <w:spacing w:before="120" w:beforeAutospacing="0" w:after="120" w:afterAutospacing="0" w:line="360" w:lineRule="auto"/>
        <w:contextualSpacing/>
        <w:jc w:val="both"/>
        <w:rPr>
          <w:sz w:val="22"/>
          <w:szCs w:val="22"/>
          <w:lang w:val="en-GB"/>
        </w:rPr>
      </w:pPr>
      <w:r w:rsidRPr="00E3672F">
        <w:rPr>
          <w:b/>
          <w:sz w:val="22"/>
          <w:szCs w:val="22"/>
          <w:lang w:val="en-GB"/>
        </w:rPr>
        <w:t>Persons related to the whistleblower</w:t>
      </w:r>
      <w:r w:rsidRPr="00E3672F">
        <w:rPr>
          <w:sz w:val="22"/>
          <w:szCs w:val="22"/>
          <w:lang w:val="en-GB"/>
        </w:rPr>
        <w:t xml:space="preserve"> who may suffer retaliation in a work-related context;</w:t>
      </w:r>
    </w:p>
    <w:p w:rsidRPr="00E3672F" w:rsidR="00E5504B" w:rsidP="001E1287" w:rsidRDefault="00E5504B" w14:paraId="4FEF1DBA" w14:textId="77777777">
      <w:pPr>
        <w:pStyle w:val="NormalWeb"/>
        <w:numPr>
          <w:ilvl w:val="0"/>
          <w:numId w:val="42"/>
        </w:numPr>
        <w:spacing w:before="120" w:beforeAutospacing="0" w:after="120" w:afterAutospacing="0" w:line="360" w:lineRule="auto"/>
        <w:contextualSpacing/>
        <w:jc w:val="both"/>
        <w:rPr>
          <w:sz w:val="22"/>
          <w:szCs w:val="22"/>
          <w:lang w:val="en-GB"/>
        </w:rPr>
      </w:pPr>
      <w:r w:rsidRPr="00E3672F">
        <w:rPr>
          <w:b/>
          <w:sz w:val="22"/>
          <w:szCs w:val="22"/>
          <w:lang w:val="en-GB"/>
        </w:rPr>
        <w:t>Legal persons controlled by the whistleblower</w:t>
      </w:r>
      <w:r w:rsidRPr="00E3672F">
        <w:rPr>
          <w:sz w:val="22"/>
          <w:szCs w:val="22"/>
          <w:lang w:val="en-GB"/>
        </w:rPr>
        <w:t>, where retaliation is indirectly directed at those entities.</w:t>
      </w:r>
    </w:p>
    <w:p w:rsidRPr="00E3672F" w:rsidR="00E5504B" w:rsidP="001E1287" w:rsidRDefault="00E5504B" w14:paraId="7639289A" w14:textId="6BAF4F13">
      <w:pPr>
        <w:pStyle w:val="NormalWeb"/>
        <w:spacing w:before="120" w:beforeAutospacing="0" w:after="120" w:afterAutospacing="0" w:line="360" w:lineRule="auto"/>
        <w:contextualSpacing/>
        <w:jc w:val="both"/>
        <w:rPr>
          <w:sz w:val="22"/>
          <w:szCs w:val="22"/>
          <w:lang w:val="en-GB"/>
        </w:rPr>
      </w:pPr>
      <w:r w:rsidRPr="00E3672F">
        <w:rPr>
          <w:sz w:val="22"/>
          <w:szCs w:val="22"/>
          <w:lang w:val="en-GB"/>
        </w:rPr>
        <w:t>This extension takes into accoun</w:t>
      </w:r>
      <w:r w:rsidRPr="00E3672F" w:rsidR="00EF5F3B">
        <w:rPr>
          <w:sz w:val="22"/>
          <w:szCs w:val="22"/>
          <w:lang w:val="en-GB"/>
        </w:rPr>
        <w:t>t</w:t>
      </w:r>
      <w:r w:rsidRPr="00E3672F">
        <w:rPr>
          <w:sz w:val="22"/>
          <w:szCs w:val="22"/>
          <w:lang w:val="en-GB"/>
        </w:rPr>
        <w:t xml:space="preserve"> indirect or collective forms of retaliation.</w:t>
      </w:r>
    </w:p>
    <w:p w:rsidRPr="00E3672F" w:rsidR="00E5504B" w:rsidP="001E1287" w:rsidRDefault="00E5504B" w14:paraId="2BB43BD6" w14:textId="77777777">
      <w:pPr>
        <w:spacing w:before="120" w:after="120" w:line="360" w:lineRule="auto"/>
        <w:contextualSpacing/>
      </w:pPr>
    </w:p>
    <w:p w:rsidRPr="00E3672F" w:rsidR="00EF5F3B" w:rsidP="001E1287" w:rsidRDefault="00E5504B" w14:paraId="092E107B" w14:textId="77777777">
      <w:pPr>
        <w:pStyle w:val="P68B1DB1-Normal5"/>
        <w:spacing w:before="120" w:after="120" w:line="360" w:lineRule="auto"/>
        <w:contextualSpacing/>
        <w:rPr>
          <w:b w:val="0"/>
          <w:bCs/>
          <w:sz w:val="22"/>
          <w:szCs w:val="22"/>
          <w:lang w:val="en-GB"/>
        </w:rPr>
      </w:pPr>
      <w:r w:rsidRPr="00E3672F">
        <w:rPr>
          <w:b w:val="0"/>
          <w:bCs/>
          <w:sz w:val="22"/>
          <w:szCs w:val="22"/>
          <w:lang w:val="en-GB"/>
        </w:rPr>
        <w:t>Reporting channels and procedures</w:t>
      </w:r>
    </w:p>
    <w:p w:rsidRPr="00E3672F" w:rsidR="00E5504B" w:rsidP="001E1287" w:rsidRDefault="00E5504B" w14:paraId="2F6D8428" w14:textId="4F5C331A">
      <w:pPr>
        <w:pStyle w:val="P68B1DB1-Normal5"/>
        <w:spacing w:before="120" w:after="120" w:line="360" w:lineRule="auto"/>
        <w:contextualSpacing/>
        <w:rPr>
          <w:b w:val="0"/>
          <w:bCs/>
          <w:sz w:val="22"/>
          <w:szCs w:val="22"/>
          <w:u w:val="none"/>
          <w:lang w:val="en-GB"/>
        </w:rPr>
      </w:pPr>
      <w:r w:rsidRPr="00E3672F">
        <w:rPr>
          <w:b w:val="0"/>
          <w:bCs/>
          <w:sz w:val="22"/>
          <w:szCs w:val="22"/>
          <w:u w:val="none"/>
          <w:lang w:val="en-GB"/>
        </w:rPr>
        <w:t>French la</w:t>
      </w:r>
      <w:r w:rsidRPr="00E3672F" w:rsidR="00EF5F3B">
        <w:rPr>
          <w:b w:val="0"/>
          <w:bCs/>
          <w:sz w:val="22"/>
          <w:szCs w:val="22"/>
          <w:u w:val="none"/>
          <w:lang w:val="en-GB"/>
        </w:rPr>
        <w:t>w</w:t>
      </w:r>
      <w:r w:rsidRPr="00E3672F">
        <w:rPr>
          <w:b w:val="0"/>
          <w:bCs/>
          <w:sz w:val="22"/>
          <w:szCs w:val="22"/>
          <w:u w:val="none"/>
          <w:lang w:val="en-GB"/>
        </w:rPr>
        <w:t xml:space="preserve"> maintains the architecture at three levels resulting from the Sapin II </w:t>
      </w:r>
      <w:r w:rsidR="008B42CE">
        <w:rPr>
          <w:b w:val="0"/>
          <w:bCs/>
          <w:sz w:val="22"/>
          <w:szCs w:val="22"/>
          <w:u w:val="none"/>
          <w:lang w:val="en-GB"/>
        </w:rPr>
        <w:t>L</w:t>
      </w:r>
      <w:r w:rsidRPr="00E3672F">
        <w:rPr>
          <w:b w:val="0"/>
          <w:bCs/>
          <w:sz w:val="22"/>
          <w:szCs w:val="22"/>
          <w:u w:val="none"/>
          <w:lang w:val="en-GB"/>
        </w:rPr>
        <w:t xml:space="preserve">aw, specified by the Waserman </w:t>
      </w:r>
      <w:r w:rsidR="008B42CE">
        <w:rPr>
          <w:b w:val="0"/>
          <w:bCs/>
          <w:sz w:val="22"/>
          <w:szCs w:val="22"/>
          <w:u w:val="none"/>
          <w:lang w:val="en-GB"/>
        </w:rPr>
        <w:t>L</w:t>
      </w:r>
      <w:r w:rsidRPr="00E3672F">
        <w:rPr>
          <w:b w:val="0"/>
          <w:bCs/>
          <w:sz w:val="22"/>
          <w:szCs w:val="22"/>
          <w:u w:val="none"/>
          <w:lang w:val="en-GB"/>
        </w:rPr>
        <w:t>aw:</w:t>
      </w:r>
    </w:p>
    <w:p w:rsidRPr="00E3672F" w:rsidR="00E5504B" w:rsidP="001E1287" w:rsidRDefault="00E5504B" w14:paraId="1773C747" w14:textId="77777777">
      <w:pPr>
        <w:pStyle w:val="P68B1DB1-Normal6"/>
        <w:numPr>
          <w:ilvl w:val="0"/>
          <w:numId w:val="48"/>
        </w:numPr>
        <w:spacing w:before="120" w:after="120" w:line="360" w:lineRule="auto"/>
        <w:contextualSpacing/>
        <w:rPr>
          <w:bCs/>
          <w:sz w:val="22"/>
          <w:szCs w:val="22"/>
          <w:lang w:val="en-GB"/>
        </w:rPr>
      </w:pPr>
      <w:r w:rsidRPr="00E3672F">
        <w:rPr>
          <w:sz w:val="22"/>
          <w:szCs w:val="22"/>
          <w:lang w:val="en-GB"/>
        </w:rPr>
        <w:t>Internal reporting:</w:t>
      </w:r>
    </w:p>
    <w:p w:rsidRPr="00E3672F" w:rsidR="00E5504B" w:rsidP="001E1287" w:rsidRDefault="00E5504B" w14:paraId="4FB0B2FA" w14:textId="1F213D38">
      <w:pPr>
        <w:pStyle w:val="P68B1DB1-ListParagraph7"/>
        <w:spacing w:before="120" w:after="120" w:line="360" w:lineRule="auto"/>
        <w:rPr>
          <w:sz w:val="22"/>
          <w:szCs w:val="22"/>
          <w:lang w:val="en-GB"/>
        </w:rPr>
      </w:pPr>
      <w:r w:rsidRPr="00E3672F">
        <w:rPr>
          <w:sz w:val="22"/>
          <w:szCs w:val="22"/>
          <w:lang w:val="en-GB"/>
        </w:rPr>
        <w:t>Report</w:t>
      </w:r>
      <w:r w:rsidRPr="00E3672F" w:rsidR="008366E6">
        <w:rPr>
          <w:sz w:val="22"/>
          <w:szCs w:val="22"/>
          <w:lang w:val="en-GB"/>
        </w:rPr>
        <w:t>ing</w:t>
      </w:r>
      <w:r w:rsidRPr="00E3672F">
        <w:rPr>
          <w:sz w:val="22"/>
          <w:szCs w:val="22"/>
          <w:lang w:val="en-GB"/>
        </w:rPr>
        <w:t xml:space="preserve"> to the employer or via a dedicated internal </w:t>
      </w:r>
      <w:r w:rsidR="008B42CE">
        <w:rPr>
          <w:sz w:val="22"/>
          <w:szCs w:val="22"/>
          <w:lang w:val="en-GB"/>
        </w:rPr>
        <w:t>system</w:t>
      </w:r>
      <w:r w:rsidRPr="00E3672F">
        <w:rPr>
          <w:sz w:val="22"/>
          <w:szCs w:val="22"/>
          <w:lang w:val="en-GB"/>
        </w:rPr>
        <w:t>.</w:t>
      </w:r>
    </w:p>
    <w:p w:rsidRPr="00E3672F" w:rsidR="00E5504B" w:rsidP="001E1287" w:rsidRDefault="00E5504B" w14:paraId="48CF05E6" w14:textId="77777777">
      <w:pPr>
        <w:pStyle w:val="P68B1DB1-Normal6"/>
        <w:numPr>
          <w:ilvl w:val="0"/>
          <w:numId w:val="48"/>
        </w:numPr>
        <w:spacing w:before="120" w:after="120" w:line="360" w:lineRule="auto"/>
        <w:contextualSpacing/>
        <w:rPr>
          <w:bCs/>
          <w:sz w:val="22"/>
          <w:szCs w:val="22"/>
          <w:lang w:val="en-GB"/>
        </w:rPr>
      </w:pPr>
      <w:r w:rsidRPr="00E3672F">
        <w:rPr>
          <w:sz w:val="22"/>
          <w:szCs w:val="22"/>
          <w:lang w:val="en-GB"/>
        </w:rPr>
        <w:t>External reporting:</w:t>
      </w:r>
    </w:p>
    <w:p w:rsidRPr="00E3672F" w:rsidR="00E5504B" w:rsidP="001E1287" w:rsidRDefault="00E5504B" w14:paraId="492223AB" w14:textId="77777777">
      <w:pPr>
        <w:pStyle w:val="P68B1DB1-ListParagraph7"/>
        <w:spacing w:before="120" w:after="120" w:line="360" w:lineRule="auto"/>
        <w:rPr>
          <w:sz w:val="22"/>
          <w:szCs w:val="22"/>
          <w:lang w:val="en-GB"/>
        </w:rPr>
      </w:pPr>
      <w:r w:rsidRPr="00E3672F">
        <w:rPr>
          <w:sz w:val="22"/>
          <w:szCs w:val="22"/>
          <w:lang w:val="en-GB"/>
        </w:rPr>
        <w:t xml:space="preserve">Reporting to a competent authority or the </w:t>
      </w:r>
      <w:r w:rsidRPr="00E3672F">
        <w:rPr>
          <w:b/>
          <w:sz w:val="22"/>
          <w:szCs w:val="22"/>
          <w:lang w:val="en-GB"/>
        </w:rPr>
        <w:t>Defender of Rights</w:t>
      </w:r>
      <w:r w:rsidRPr="00E3672F">
        <w:rPr>
          <w:sz w:val="22"/>
          <w:szCs w:val="22"/>
          <w:lang w:val="en-GB"/>
        </w:rPr>
        <w:t>, who plays a central role of guidance and protection.</w:t>
      </w:r>
    </w:p>
    <w:p w:rsidRPr="00E3672F" w:rsidR="00E5504B" w:rsidP="001E1287" w:rsidRDefault="00E5504B" w14:paraId="3DBF2C2A" w14:textId="77777777">
      <w:pPr>
        <w:pStyle w:val="P68B1DB1-Normal6"/>
        <w:numPr>
          <w:ilvl w:val="0"/>
          <w:numId w:val="48"/>
        </w:numPr>
        <w:spacing w:before="120" w:after="120" w:line="360" w:lineRule="auto"/>
        <w:contextualSpacing/>
        <w:rPr>
          <w:bCs/>
          <w:sz w:val="22"/>
          <w:szCs w:val="22"/>
          <w:lang w:val="en-GB"/>
        </w:rPr>
      </w:pPr>
      <w:r w:rsidRPr="00E3672F">
        <w:rPr>
          <w:sz w:val="22"/>
          <w:szCs w:val="22"/>
          <w:lang w:val="en-GB"/>
        </w:rPr>
        <w:t>Public disclosure:</w:t>
      </w:r>
    </w:p>
    <w:p w:rsidRPr="00E3672F" w:rsidR="00E5504B" w:rsidP="001E1287" w:rsidRDefault="00E5504B" w14:paraId="6A0E2750" w14:textId="77777777">
      <w:pPr>
        <w:pStyle w:val="P68B1DB1-ListParagraph7"/>
        <w:spacing w:before="120" w:after="120" w:line="360" w:lineRule="auto"/>
        <w:rPr>
          <w:sz w:val="22"/>
          <w:szCs w:val="22"/>
          <w:lang w:val="en-GB"/>
        </w:rPr>
      </w:pPr>
      <w:r w:rsidRPr="00E3672F">
        <w:rPr>
          <w:sz w:val="22"/>
          <w:szCs w:val="22"/>
          <w:lang w:val="en-GB"/>
        </w:rPr>
        <w:t>Disclosure to the public or to the media authorised in particular in the event of:</w:t>
      </w:r>
    </w:p>
    <w:p w:rsidRPr="00E3672F" w:rsidR="00E5504B" w:rsidP="001E1287" w:rsidRDefault="00E5504B" w14:paraId="3C072305" w14:textId="77777777">
      <w:pPr>
        <w:pStyle w:val="NormalWeb"/>
        <w:numPr>
          <w:ilvl w:val="0"/>
          <w:numId w:val="49"/>
        </w:numPr>
        <w:spacing w:before="120" w:beforeAutospacing="0" w:after="120" w:afterAutospacing="0" w:line="360" w:lineRule="auto"/>
        <w:contextualSpacing/>
        <w:jc w:val="both"/>
        <w:rPr>
          <w:sz w:val="22"/>
          <w:szCs w:val="22"/>
          <w:lang w:val="en-GB"/>
        </w:rPr>
      </w:pPr>
      <w:r w:rsidRPr="00E3672F">
        <w:rPr>
          <w:sz w:val="22"/>
          <w:szCs w:val="22"/>
          <w:lang w:val="en-GB"/>
        </w:rPr>
        <w:t>lack of appropriate treatment following an alert;</w:t>
      </w:r>
    </w:p>
    <w:p w:rsidRPr="00E3672F" w:rsidR="00E5504B" w:rsidP="001E1287" w:rsidRDefault="00E5504B" w14:paraId="78D7536D" w14:textId="77777777">
      <w:pPr>
        <w:pStyle w:val="NormalWeb"/>
        <w:numPr>
          <w:ilvl w:val="0"/>
          <w:numId w:val="49"/>
        </w:numPr>
        <w:spacing w:before="120" w:beforeAutospacing="0" w:after="120" w:afterAutospacing="0" w:line="360" w:lineRule="auto"/>
        <w:contextualSpacing/>
        <w:jc w:val="both"/>
        <w:rPr>
          <w:sz w:val="22"/>
          <w:szCs w:val="22"/>
          <w:lang w:val="en-GB"/>
        </w:rPr>
      </w:pPr>
      <w:r w:rsidRPr="00E3672F">
        <w:rPr>
          <w:sz w:val="22"/>
          <w:szCs w:val="22"/>
          <w:lang w:val="en-GB"/>
        </w:rPr>
        <w:t>serious and imminent danger to the public interest;</w:t>
      </w:r>
    </w:p>
    <w:p w:rsidRPr="00E3672F" w:rsidR="00E5504B" w:rsidP="001E1287" w:rsidRDefault="00E5504B" w14:paraId="77A869EA" w14:textId="77777777">
      <w:pPr>
        <w:pStyle w:val="NormalWeb"/>
        <w:numPr>
          <w:ilvl w:val="0"/>
          <w:numId w:val="49"/>
        </w:numPr>
        <w:spacing w:before="120" w:beforeAutospacing="0" w:after="120" w:afterAutospacing="0" w:line="360" w:lineRule="auto"/>
        <w:contextualSpacing/>
        <w:jc w:val="both"/>
        <w:rPr>
          <w:sz w:val="22"/>
          <w:szCs w:val="22"/>
          <w:lang w:val="en-GB"/>
        </w:rPr>
      </w:pPr>
      <w:r w:rsidRPr="00E3672F">
        <w:rPr>
          <w:sz w:val="22"/>
          <w:szCs w:val="22"/>
          <w:lang w:val="en-GB"/>
        </w:rPr>
        <w:t>the risk of retaliation or concealment of evidence.</w:t>
      </w:r>
    </w:p>
    <w:p w:rsidRPr="00E3672F" w:rsidR="00E5504B" w:rsidP="001E1287" w:rsidRDefault="00E5504B" w14:paraId="12F436D0" w14:textId="77777777">
      <w:pPr>
        <w:spacing w:before="120" w:after="120" w:line="360" w:lineRule="auto"/>
        <w:contextualSpacing/>
      </w:pPr>
    </w:p>
    <w:p w:rsidRPr="00E3672F" w:rsidR="00E5504B" w:rsidP="001E1287" w:rsidRDefault="00E5504B" w14:paraId="76192A44" w14:textId="7C310747">
      <w:pPr>
        <w:pStyle w:val="NormalWeb"/>
        <w:spacing w:before="120" w:beforeAutospacing="0" w:after="120" w:afterAutospacing="0" w:line="360" w:lineRule="auto"/>
        <w:contextualSpacing/>
        <w:jc w:val="both"/>
        <w:rPr>
          <w:sz w:val="22"/>
          <w:szCs w:val="22"/>
          <w:lang w:val="en-GB"/>
        </w:rPr>
      </w:pPr>
      <w:r w:rsidRPr="00E3672F">
        <w:rPr>
          <w:sz w:val="22"/>
          <w:szCs w:val="22"/>
          <w:lang w:val="en-GB"/>
        </w:rPr>
        <w:t xml:space="preserve">The reform </w:t>
      </w:r>
      <w:r w:rsidRPr="00E3672F">
        <w:rPr>
          <w:b/>
          <w:sz w:val="22"/>
          <w:szCs w:val="22"/>
          <w:lang w:val="en-GB"/>
        </w:rPr>
        <w:t>removed the requirement for a strict order between internal and external reporting</w:t>
      </w:r>
      <w:r w:rsidRPr="00E3672F">
        <w:rPr>
          <w:sz w:val="22"/>
          <w:szCs w:val="22"/>
          <w:lang w:val="en-GB"/>
        </w:rPr>
        <w:t>, increasing flexibility and legal certainty. Anonymous reporting shall be permitted, subject to confidentiality and data protection safeguards.</w:t>
      </w:r>
    </w:p>
    <w:p w:rsidRPr="00E3672F" w:rsidR="00E5504B" w:rsidP="001E1287" w:rsidRDefault="00E5504B" w14:paraId="05975604" w14:textId="77777777">
      <w:pPr>
        <w:spacing w:before="120" w:after="120" w:line="360" w:lineRule="auto"/>
        <w:contextualSpacing/>
      </w:pPr>
    </w:p>
    <w:p w:rsidRPr="00E3672F" w:rsidR="00E5504B" w:rsidP="001E1287" w:rsidRDefault="00E5504B" w14:paraId="19CB9B7E" w14:textId="0F0B1D17">
      <w:pPr>
        <w:pStyle w:val="P68B1DB1-Normal5"/>
        <w:spacing w:before="120" w:after="120" w:line="360" w:lineRule="auto"/>
        <w:contextualSpacing/>
        <w:rPr>
          <w:b w:val="0"/>
          <w:bCs/>
          <w:sz w:val="22"/>
          <w:szCs w:val="22"/>
          <w:lang w:val="en-GB"/>
        </w:rPr>
      </w:pPr>
      <w:r w:rsidRPr="00E3672F">
        <w:rPr>
          <w:b w:val="0"/>
          <w:bCs/>
          <w:sz w:val="22"/>
          <w:szCs w:val="22"/>
          <w:lang w:val="en-GB"/>
        </w:rPr>
        <w:t>Protection against retaliation</w:t>
      </w:r>
    </w:p>
    <w:p w:rsidRPr="00E3672F" w:rsidR="00E5504B" w:rsidP="001E1287" w:rsidRDefault="00E5504B" w14:paraId="3318E18E" w14:textId="77777777">
      <w:pPr>
        <w:spacing w:before="120" w:after="120" w:line="360" w:lineRule="auto"/>
        <w:contextualSpacing/>
        <w:rPr>
          <w:b/>
          <w:bCs/>
          <w:u w:val="single"/>
        </w:rPr>
      </w:pPr>
    </w:p>
    <w:p w:rsidRPr="00E3672F" w:rsidR="006905F1" w:rsidP="001E1287" w:rsidRDefault="00E5504B" w14:paraId="2E1D4966" w14:textId="77777777">
      <w:pPr>
        <w:pStyle w:val="P68B1DB1-Normal6"/>
        <w:spacing w:before="120" w:after="120" w:line="360" w:lineRule="auto"/>
        <w:contextualSpacing/>
        <w:rPr>
          <w:sz w:val="22"/>
          <w:szCs w:val="22"/>
          <w:lang w:val="en-GB"/>
        </w:rPr>
      </w:pPr>
      <w:r w:rsidRPr="00E3672F">
        <w:rPr>
          <w:sz w:val="22"/>
          <w:szCs w:val="22"/>
          <w:lang w:val="en-GB"/>
        </w:rPr>
        <w:t>(a) Safeguards against retaliation</w:t>
      </w:r>
    </w:p>
    <w:p w:rsidRPr="00E3672F" w:rsidR="00E5504B" w:rsidP="001E1287" w:rsidRDefault="00E5504B" w14:paraId="7200698C" w14:textId="5CE090BB">
      <w:pPr>
        <w:pStyle w:val="P68B1DB1-Normal6"/>
        <w:spacing w:before="120" w:after="120" w:line="360" w:lineRule="auto"/>
        <w:contextualSpacing/>
        <w:rPr>
          <w:b w:val="0"/>
          <w:bCs/>
          <w:sz w:val="22"/>
          <w:szCs w:val="22"/>
          <w:lang w:val="en-GB"/>
        </w:rPr>
      </w:pPr>
      <w:r w:rsidRPr="00E3672F">
        <w:rPr>
          <w:b w:val="0"/>
          <w:bCs/>
          <w:sz w:val="22"/>
          <w:szCs w:val="22"/>
          <w:lang w:val="en-GB"/>
        </w:rPr>
        <w:t>Any form of retaliation, whether direct or indirect, shall be prohibited, in particular:</w:t>
      </w:r>
    </w:p>
    <w:p w:rsidRPr="00E3672F" w:rsidR="00E5504B" w:rsidP="001E1287" w:rsidRDefault="00E5504B" w14:paraId="14DE1DAB" w14:textId="77777777">
      <w:pPr>
        <w:pStyle w:val="NormalWeb"/>
        <w:numPr>
          <w:ilvl w:val="0"/>
          <w:numId w:val="43"/>
        </w:numPr>
        <w:spacing w:before="120" w:beforeAutospacing="0" w:after="120" w:afterAutospacing="0" w:line="360" w:lineRule="auto"/>
        <w:contextualSpacing/>
        <w:jc w:val="both"/>
        <w:rPr>
          <w:sz w:val="22"/>
          <w:szCs w:val="22"/>
          <w:lang w:val="en-GB"/>
        </w:rPr>
      </w:pPr>
      <w:r w:rsidRPr="00E3672F">
        <w:rPr>
          <w:sz w:val="22"/>
          <w:szCs w:val="22"/>
          <w:lang w:val="en-GB"/>
        </w:rPr>
        <w:t>dismissal or disciplinary action;</w:t>
      </w:r>
    </w:p>
    <w:p w:rsidRPr="00E3672F" w:rsidR="00E5504B" w:rsidP="001E1287" w:rsidRDefault="00E5504B" w14:paraId="2824DBB3" w14:textId="77777777">
      <w:pPr>
        <w:pStyle w:val="NormalWeb"/>
        <w:numPr>
          <w:ilvl w:val="0"/>
          <w:numId w:val="43"/>
        </w:numPr>
        <w:spacing w:before="120" w:beforeAutospacing="0" w:after="120" w:afterAutospacing="0" w:line="360" w:lineRule="auto"/>
        <w:contextualSpacing/>
        <w:jc w:val="both"/>
        <w:rPr>
          <w:sz w:val="22"/>
          <w:szCs w:val="22"/>
          <w:lang w:val="en-GB"/>
        </w:rPr>
      </w:pPr>
      <w:r w:rsidRPr="00E3672F">
        <w:rPr>
          <w:sz w:val="22"/>
          <w:szCs w:val="22"/>
          <w:lang w:val="en-GB"/>
        </w:rPr>
        <w:t>discrimination, harassment or intimidation;</w:t>
      </w:r>
    </w:p>
    <w:p w:rsidRPr="00E3672F" w:rsidR="00E5504B" w:rsidP="001E1287" w:rsidRDefault="00E5504B" w14:paraId="797CBF50" w14:textId="48FCE8B0">
      <w:pPr>
        <w:pStyle w:val="NormalWeb"/>
        <w:numPr>
          <w:ilvl w:val="0"/>
          <w:numId w:val="43"/>
        </w:numPr>
        <w:spacing w:before="120" w:beforeAutospacing="0" w:after="120" w:afterAutospacing="0" w:line="360" w:lineRule="auto"/>
        <w:contextualSpacing/>
        <w:jc w:val="both"/>
        <w:rPr>
          <w:sz w:val="22"/>
          <w:szCs w:val="22"/>
          <w:lang w:val="en-GB"/>
        </w:rPr>
      </w:pPr>
      <w:r w:rsidRPr="00E3672F">
        <w:rPr>
          <w:sz w:val="22"/>
          <w:szCs w:val="22"/>
          <w:lang w:val="en-GB"/>
        </w:rPr>
        <w:t>unfavourable contractual measures or professional blacklisting.</w:t>
      </w:r>
    </w:p>
    <w:p w:rsidRPr="00E3672F" w:rsidR="00E5504B" w:rsidP="001E1287" w:rsidRDefault="00E5504B" w14:paraId="2343DE2F" w14:textId="6C9904CD">
      <w:pPr>
        <w:pStyle w:val="NormalWeb"/>
        <w:spacing w:before="120" w:beforeAutospacing="0" w:after="120" w:afterAutospacing="0" w:line="360" w:lineRule="auto"/>
        <w:contextualSpacing/>
        <w:jc w:val="both"/>
        <w:rPr>
          <w:sz w:val="22"/>
          <w:szCs w:val="22"/>
          <w:lang w:val="en-GB"/>
        </w:rPr>
      </w:pPr>
      <w:r w:rsidRPr="00E3672F">
        <w:rPr>
          <w:sz w:val="22"/>
          <w:szCs w:val="22"/>
          <w:lang w:val="en-GB"/>
        </w:rPr>
        <w:t xml:space="preserve">The protection covers </w:t>
      </w:r>
      <w:r w:rsidRPr="00E3672F">
        <w:rPr>
          <w:b/>
          <w:sz w:val="22"/>
          <w:szCs w:val="22"/>
          <w:lang w:val="en-GB"/>
        </w:rPr>
        <w:t>a wide range of employment situations</w:t>
      </w:r>
      <w:r w:rsidRPr="00E3672F">
        <w:rPr>
          <w:sz w:val="22"/>
          <w:szCs w:val="22"/>
          <w:lang w:val="en-GB"/>
        </w:rPr>
        <w:t xml:space="preserve"> (employees, public employees, self-employed</w:t>
      </w:r>
      <w:r w:rsidR="00370026">
        <w:rPr>
          <w:sz w:val="22"/>
          <w:szCs w:val="22"/>
          <w:lang w:val="en-GB"/>
        </w:rPr>
        <w:t xml:space="preserve"> persons</w:t>
      </w:r>
      <w:r w:rsidRPr="00E3672F">
        <w:rPr>
          <w:sz w:val="22"/>
          <w:szCs w:val="22"/>
          <w:lang w:val="en-GB"/>
        </w:rPr>
        <w:t>, job applicants, trainees, shareholders, subcontractors).</w:t>
      </w:r>
    </w:p>
    <w:p w:rsidRPr="00E3672F" w:rsidR="00E5504B" w:rsidP="001E1287" w:rsidRDefault="00E5504B" w14:paraId="4D2CE155" w14:textId="143A79D1">
      <w:pPr>
        <w:pStyle w:val="NormalWeb"/>
        <w:spacing w:before="120" w:beforeAutospacing="0" w:after="120" w:afterAutospacing="0" w:line="360" w:lineRule="auto"/>
        <w:contextualSpacing/>
        <w:jc w:val="both"/>
        <w:rPr>
          <w:sz w:val="22"/>
          <w:szCs w:val="22"/>
          <w:lang w:val="en-GB"/>
        </w:rPr>
      </w:pPr>
      <w:r w:rsidRPr="00E3672F">
        <w:rPr>
          <w:sz w:val="22"/>
          <w:szCs w:val="22"/>
          <w:lang w:val="en-GB"/>
        </w:rPr>
        <w:t xml:space="preserve">The </w:t>
      </w:r>
      <w:r w:rsidRPr="00E3672F">
        <w:rPr>
          <w:b/>
          <w:sz w:val="22"/>
          <w:szCs w:val="22"/>
          <w:lang w:val="en-GB"/>
        </w:rPr>
        <w:t>burden of proof</w:t>
      </w:r>
      <w:r w:rsidRPr="00E3672F">
        <w:rPr>
          <w:sz w:val="22"/>
          <w:szCs w:val="22"/>
          <w:lang w:val="en-GB"/>
        </w:rPr>
        <w:t xml:space="preserve"> is reversed: Once the allegation of retaliation has been made, it is for the employer or authority to demonstrate that the contested measure has no connection with the report.</w:t>
      </w:r>
    </w:p>
    <w:p w:rsidRPr="00E3672F" w:rsidR="00E5504B" w:rsidP="001E1287" w:rsidRDefault="00E5504B" w14:paraId="5B33B2F1" w14:textId="77777777">
      <w:pPr>
        <w:spacing w:before="120" w:after="120" w:line="360" w:lineRule="auto"/>
        <w:contextualSpacing/>
      </w:pPr>
    </w:p>
    <w:p w:rsidRPr="00E3672F" w:rsidR="006905F1" w:rsidP="001E1287" w:rsidRDefault="00E5504B" w14:paraId="62BF590E" w14:textId="77777777">
      <w:pPr>
        <w:pStyle w:val="P68B1DB1-Normal6"/>
        <w:spacing w:before="120" w:after="120" w:line="360" w:lineRule="auto"/>
        <w:contextualSpacing/>
        <w:rPr>
          <w:sz w:val="22"/>
          <w:szCs w:val="22"/>
          <w:lang w:val="en-GB"/>
        </w:rPr>
      </w:pPr>
      <w:r w:rsidRPr="00E3672F">
        <w:rPr>
          <w:sz w:val="22"/>
          <w:szCs w:val="22"/>
          <w:lang w:val="en-GB"/>
        </w:rPr>
        <w:t>(b) Exemption from civil and criminal liability</w:t>
      </w:r>
    </w:p>
    <w:p w:rsidRPr="00E3672F" w:rsidR="00E5504B" w:rsidP="001E1287" w:rsidRDefault="00E5504B" w14:paraId="40048807" w14:textId="5B298425">
      <w:pPr>
        <w:pStyle w:val="P68B1DB1-Normal6"/>
        <w:spacing w:before="120" w:after="120" w:line="360" w:lineRule="auto"/>
        <w:contextualSpacing/>
        <w:rPr>
          <w:b w:val="0"/>
          <w:bCs/>
          <w:sz w:val="22"/>
          <w:szCs w:val="22"/>
          <w:lang w:val="en-GB"/>
        </w:rPr>
      </w:pPr>
      <w:r w:rsidRPr="00E3672F">
        <w:rPr>
          <w:b w:val="0"/>
          <w:bCs/>
          <w:sz w:val="22"/>
          <w:szCs w:val="22"/>
          <w:lang w:val="en-GB"/>
        </w:rPr>
        <w:t>The whistleblower shall enjoy civil and criminal immunity if:</w:t>
      </w:r>
    </w:p>
    <w:p w:rsidRPr="00E3672F" w:rsidR="00E5504B" w:rsidP="001E1287" w:rsidRDefault="007177FC" w14:paraId="08E33E93" w14:textId="2EBD6C8B">
      <w:pPr>
        <w:pStyle w:val="NormalWeb"/>
        <w:numPr>
          <w:ilvl w:val="0"/>
          <w:numId w:val="44"/>
        </w:numPr>
        <w:spacing w:before="120" w:beforeAutospacing="0" w:after="120" w:afterAutospacing="0" w:line="360" w:lineRule="auto"/>
        <w:contextualSpacing/>
        <w:jc w:val="both"/>
        <w:rPr>
          <w:sz w:val="22"/>
          <w:szCs w:val="22"/>
          <w:lang w:val="en-GB"/>
        </w:rPr>
      </w:pPr>
      <w:r w:rsidRPr="00E3672F">
        <w:rPr>
          <w:sz w:val="22"/>
          <w:szCs w:val="22"/>
          <w:lang w:val="en-GB"/>
        </w:rPr>
        <w:t>the person</w:t>
      </w:r>
      <w:r w:rsidRPr="00E3672F" w:rsidR="00E5504B">
        <w:rPr>
          <w:sz w:val="22"/>
          <w:szCs w:val="22"/>
          <w:lang w:val="en-GB"/>
        </w:rPr>
        <w:t xml:space="preserve"> had reasonable grounds to believe that the information was true;</w:t>
      </w:r>
    </w:p>
    <w:p w:rsidRPr="00E3672F" w:rsidR="00E5504B" w:rsidP="001E1287" w:rsidRDefault="00E5504B" w14:paraId="10E45290" w14:textId="77777777">
      <w:pPr>
        <w:pStyle w:val="NormalWeb"/>
        <w:numPr>
          <w:ilvl w:val="0"/>
          <w:numId w:val="44"/>
        </w:numPr>
        <w:spacing w:before="120" w:beforeAutospacing="0" w:after="120" w:afterAutospacing="0" w:line="360" w:lineRule="auto"/>
        <w:contextualSpacing/>
        <w:jc w:val="both"/>
        <w:rPr>
          <w:sz w:val="22"/>
          <w:szCs w:val="22"/>
          <w:lang w:val="en-GB"/>
        </w:rPr>
      </w:pPr>
      <w:r w:rsidRPr="00E3672F">
        <w:rPr>
          <w:sz w:val="22"/>
          <w:szCs w:val="22"/>
          <w:lang w:val="en-GB"/>
        </w:rPr>
        <w:t>the disclosure was necessary for the protection of the public interest;</w:t>
      </w:r>
    </w:p>
    <w:p w:rsidRPr="00E3672F" w:rsidR="00E5504B" w:rsidP="001E1287" w:rsidRDefault="00E5504B" w14:paraId="22402AE4" w14:textId="77777777">
      <w:pPr>
        <w:pStyle w:val="NormalWeb"/>
        <w:numPr>
          <w:ilvl w:val="0"/>
          <w:numId w:val="44"/>
        </w:numPr>
        <w:spacing w:before="120" w:beforeAutospacing="0" w:after="120" w:afterAutospacing="0" w:line="360" w:lineRule="auto"/>
        <w:contextualSpacing/>
        <w:jc w:val="both"/>
        <w:rPr>
          <w:sz w:val="22"/>
          <w:szCs w:val="22"/>
          <w:lang w:val="en-GB"/>
        </w:rPr>
      </w:pPr>
      <w:r w:rsidRPr="00E3672F">
        <w:rPr>
          <w:sz w:val="22"/>
          <w:szCs w:val="22"/>
          <w:lang w:val="en-GB"/>
        </w:rPr>
        <w:t>the legal conditions for reporting were met.</w:t>
      </w:r>
    </w:p>
    <w:p w:rsidRPr="00E3672F" w:rsidR="00E5504B" w:rsidP="001E1287" w:rsidRDefault="00E5504B" w14:paraId="12BA38BC" w14:textId="77777777">
      <w:pPr>
        <w:spacing w:before="120" w:after="120" w:line="360" w:lineRule="auto"/>
        <w:contextualSpacing/>
      </w:pPr>
    </w:p>
    <w:p w:rsidRPr="00E3672F" w:rsidR="00E5504B" w:rsidP="001E1287" w:rsidRDefault="00E5504B" w14:paraId="01AE587A" w14:textId="0C12041D">
      <w:pPr>
        <w:pStyle w:val="NormalWeb"/>
        <w:spacing w:before="120" w:beforeAutospacing="0" w:after="120" w:afterAutospacing="0" w:line="360" w:lineRule="auto"/>
        <w:contextualSpacing/>
        <w:jc w:val="both"/>
        <w:rPr>
          <w:sz w:val="22"/>
          <w:szCs w:val="22"/>
          <w:lang w:val="en-GB"/>
        </w:rPr>
      </w:pPr>
      <w:r w:rsidRPr="00E3672F">
        <w:rPr>
          <w:sz w:val="22"/>
          <w:szCs w:val="22"/>
          <w:lang w:val="en-GB"/>
        </w:rPr>
        <w:t xml:space="preserve">The Waserman </w:t>
      </w:r>
      <w:r w:rsidRPr="00E3672F" w:rsidR="007177FC">
        <w:rPr>
          <w:sz w:val="22"/>
          <w:szCs w:val="22"/>
          <w:lang w:val="en-GB"/>
        </w:rPr>
        <w:t>Law</w:t>
      </w:r>
      <w:r w:rsidRPr="00E3672F">
        <w:rPr>
          <w:sz w:val="22"/>
          <w:szCs w:val="22"/>
          <w:lang w:val="en-GB"/>
        </w:rPr>
        <w:t xml:space="preserve"> specifies that this immunity also covers </w:t>
      </w:r>
      <w:r w:rsidRPr="00E3672F">
        <w:rPr>
          <w:b/>
          <w:sz w:val="22"/>
          <w:szCs w:val="22"/>
          <w:lang w:val="en-GB"/>
        </w:rPr>
        <w:t xml:space="preserve">access, removal or transmission of documents </w:t>
      </w:r>
      <w:r w:rsidRPr="00E3672F">
        <w:rPr>
          <w:sz w:val="22"/>
          <w:szCs w:val="22"/>
          <w:lang w:val="en-GB"/>
        </w:rPr>
        <w:t>strictly necessary for the alert.</w:t>
      </w:r>
    </w:p>
    <w:p w:rsidRPr="00E3672F" w:rsidR="00E5504B" w:rsidP="001E1287" w:rsidRDefault="00E5504B" w14:paraId="3EDA52AC" w14:textId="77777777">
      <w:pPr>
        <w:spacing w:before="120" w:after="120" w:line="360" w:lineRule="auto"/>
        <w:contextualSpacing/>
      </w:pPr>
    </w:p>
    <w:p w:rsidRPr="00E3672F" w:rsidR="00294D47" w:rsidP="001E1287" w:rsidRDefault="00E5504B" w14:paraId="4B77F3D3" w14:textId="44D5008B">
      <w:pPr>
        <w:pStyle w:val="P68B1DB1-Normal5"/>
        <w:spacing w:before="120" w:after="120" w:line="360" w:lineRule="auto"/>
        <w:contextualSpacing/>
        <w:rPr>
          <w:b w:val="0"/>
          <w:bCs/>
          <w:sz w:val="22"/>
          <w:szCs w:val="22"/>
          <w:lang w:val="en-GB"/>
        </w:rPr>
      </w:pPr>
      <w:r w:rsidRPr="00E3672F">
        <w:rPr>
          <w:b w:val="0"/>
          <w:bCs/>
          <w:sz w:val="22"/>
          <w:szCs w:val="22"/>
          <w:lang w:val="en-GB"/>
        </w:rPr>
        <w:t>Enforcement and redress</w:t>
      </w:r>
    </w:p>
    <w:p w:rsidRPr="00E3672F" w:rsidR="00E5504B" w:rsidP="001E1287" w:rsidRDefault="00E5504B" w14:paraId="6849B5D1" w14:textId="3A82BAEC">
      <w:pPr>
        <w:pStyle w:val="P68B1DB1-Normal5"/>
        <w:spacing w:before="120" w:after="120" w:line="360" w:lineRule="auto"/>
        <w:contextualSpacing/>
        <w:rPr>
          <w:b w:val="0"/>
          <w:bCs/>
          <w:sz w:val="22"/>
          <w:szCs w:val="22"/>
          <w:u w:val="none"/>
          <w:lang w:val="en-GB"/>
        </w:rPr>
      </w:pPr>
      <w:r w:rsidRPr="00E3672F">
        <w:rPr>
          <w:b w:val="0"/>
          <w:bCs/>
          <w:sz w:val="22"/>
          <w:szCs w:val="22"/>
          <w:u w:val="none"/>
          <w:lang w:val="en-GB"/>
        </w:rPr>
        <w:t>(a) Judicial and provisional measures</w:t>
      </w:r>
    </w:p>
    <w:p w:rsidRPr="00E3672F" w:rsidR="00E5504B" w:rsidP="001E1287" w:rsidRDefault="00E5504B" w14:paraId="6ED11406" w14:textId="77777777">
      <w:pPr>
        <w:pStyle w:val="NormalWeb"/>
        <w:spacing w:before="120" w:beforeAutospacing="0" w:after="120" w:afterAutospacing="0" w:line="360" w:lineRule="auto"/>
        <w:contextualSpacing/>
        <w:jc w:val="both"/>
        <w:rPr>
          <w:sz w:val="22"/>
          <w:szCs w:val="22"/>
          <w:lang w:val="en-GB"/>
        </w:rPr>
      </w:pPr>
      <w:r w:rsidRPr="00E3672F">
        <w:rPr>
          <w:sz w:val="22"/>
          <w:szCs w:val="22"/>
          <w:lang w:val="en-GB"/>
        </w:rPr>
        <w:t>The courts may order:</w:t>
      </w:r>
    </w:p>
    <w:p w:rsidRPr="00E3672F" w:rsidR="00E5504B" w:rsidP="001E1287" w:rsidRDefault="00E5504B" w14:paraId="65FA291B" w14:textId="77777777">
      <w:pPr>
        <w:pStyle w:val="NormalWeb"/>
        <w:numPr>
          <w:ilvl w:val="0"/>
          <w:numId w:val="45"/>
        </w:numPr>
        <w:spacing w:before="120" w:beforeAutospacing="0" w:after="120" w:afterAutospacing="0" w:line="360" w:lineRule="auto"/>
        <w:contextualSpacing/>
        <w:jc w:val="both"/>
        <w:rPr>
          <w:sz w:val="22"/>
          <w:szCs w:val="22"/>
          <w:lang w:val="en-GB"/>
        </w:rPr>
      </w:pPr>
      <w:r w:rsidRPr="00E3672F">
        <w:rPr>
          <w:sz w:val="22"/>
          <w:szCs w:val="22"/>
          <w:lang w:val="en-GB"/>
        </w:rPr>
        <w:t>the payment of a provision for costs;</w:t>
      </w:r>
    </w:p>
    <w:p w:rsidRPr="00E3672F" w:rsidR="00E5504B" w:rsidP="001E1287" w:rsidRDefault="00E5504B" w14:paraId="4907E59F" w14:textId="77777777">
      <w:pPr>
        <w:pStyle w:val="NormalWeb"/>
        <w:numPr>
          <w:ilvl w:val="0"/>
          <w:numId w:val="45"/>
        </w:numPr>
        <w:spacing w:before="120" w:beforeAutospacing="0" w:after="120" w:afterAutospacing="0" w:line="360" w:lineRule="auto"/>
        <w:contextualSpacing/>
        <w:jc w:val="both"/>
        <w:rPr>
          <w:sz w:val="22"/>
          <w:szCs w:val="22"/>
          <w:lang w:val="en-GB"/>
        </w:rPr>
      </w:pPr>
      <w:r w:rsidRPr="00E3672F">
        <w:rPr>
          <w:sz w:val="22"/>
          <w:szCs w:val="22"/>
          <w:lang w:val="en-GB"/>
        </w:rPr>
        <w:t>the suspension of retaliatory measures;</w:t>
      </w:r>
    </w:p>
    <w:p w:rsidRPr="00E3672F" w:rsidR="00E5504B" w:rsidP="001E1287" w:rsidRDefault="00E5504B" w14:paraId="4F00E56B" w14:textId="77777777">
      <w:pPr>
        <w:pStyle w:val="NormalWeb"/>
        <w:numPr>
          <w:ilvl w:val="0"/>
          <w:numId w:val="45"/>
        </w:numPr>
        <w:spacing w:before="120" w:beforeAutospacing="0" w:after="120" w:afterAutospacing="0" w:line="360" w:lineRule="auto"/>
        <w:contextualSpacing/>
        <w:jc w:val="both"/>
        <w:rPr>
          <w:sz w:val="22"/>
          <w:szCs w:val="22"/>
          <w:lang w:val="en-GB"/>
        </w:rPr>
      </w:pPr>
      <w:r w:rsidRPr="00E3672F">
        <w:rPr>
          <w:sz w:val="22"/>
          <w:szCs w:val="22"/>
          <w:lang w:val="en-GB"/>
        </w:rPr>
        <w:t>compensation for material and non-material damage.</w:t>
      </w:r>
    </w:p>
    <w:p w:rsidRPr="00E3672F" w:rsidR="00E5504B" w:rsidP="001E1287" w:rsidRDefault="00E5504B" w14:paraId="706E1FD9" w14:textId="77777777">
      <w:pPr>
        <w:spacing w:before="120" w:after="120" w:line="360" w:lineRule="auto"/>
        <w:contextualSpacing/>
        <w:rPr>
          <w:b/>
          <w:bCs/>
        </w:rPr>
      </w:pPr>
    </w:p>
    <w:p w:rsidRPr="00E3672F" w:rsidR="00E5504B" w:rsidP="001E1287" w:rsidRDefault="00E5504B" w14:paraId="6C28670F" w14:textId="77777777">
      <w:pPr>
        <w:spacing w:before="120" w:after="120" w:line="360" w:lineRule="auto"/>
        <w:contextualSpacing/>
      </w:pPr>
    </w:p>
    <w:p w:rsidRPr="00E3672F" w:rsidR="00294D47" w:rsidP="001E1287" w:rsidRDefault="00E5504B" w14:paraId="012BACB6" w14:textId="77777777">
      <w:pPr>
        <w:pStyle w:val="P68B1DB1-Normal6"/>
        <w:spacing w:before="120" w:after="120" w:line="360" w:lineRule="auto"/>
        <w:contextualSpacing/>
        <w:rPr>
          <w:sz w:val="22"/>
          <w:szCs w:val="22"/>
          <w:lang w:val="en-GB"/>
        </w:rPr>
      </w:pPr>
      <w:r w:rsidRPr="00E3672F">
        <w:rPr>
          <w:sz w:val="22"/>
          <w:szCs w:val="22"/>
          <w:lang w:val="en-GB"/>
        </w:rPr>
        <w:t>(b) Role of the Defender of Rights</w:t>
      </w:r>
    </w:p>
    <w:p w:rsidRPr="00E3672F" w:rsidR="00E5504B" w:rsidP="001E1287" w:rsidRDefault="00E5504B" w14:paraId="362DF315" w14:textId="229675A3">
      <w:pPr>
        <w:pStyle w:val="P68B1DB1-Normal6"/>
        <w:spacing w:before="120" w:after="120" w:line="360" w:lineRule="auto"/>
        <w:contextualSpacing/>
        <w:rPr>
          <w:b w:val="0"/>
          <w:bCs/>
          <w:sz w:val="22"/>
          <w:szCs w:val="22"/>
          <w:lang w:val="en-GB"/>
        </w:rPr>
      </w:pPr>
      <w:r w:rsidRPr="00E3672F">
        <w:rPr>
          <w:b w:val="0"/>
          <w:bCs/>
          <w:sz w:val="22"/>
          <w:szCs w:val="22"/>
          <w:lang w:val="en-GB"/>
        </w:rPr>
        <w:t>The Defender of Rights:</w:t>
      </w:r>
    </w:p>
    <w:p w:rsidRPr="00E3672F" w:rsidR="00E5504B" w:rsidP="001E1287" w:rsidRDefault="00E5504B" w14:paraId="1BD341D3" w14:textId="01112EA0">
      <w:pPr>
        <w:pStyle w:val="NormalWeb"/>
        <w:numPr>
          <w:ilvl w:val="0"/>
          <w:numId w:val="46"/>
        </w:numPr>
        <w:spacing w:before="120" w:beforeAutospacing="0" w:after="120" w:afterAutospacing="0" w:line="360" w:lineRule="auto"/>
        <w:contextualSpacing/>
        <w:jc w:val="both"/>
        <w:rPr>
          <w:sz w:val="22"/>
          <w:szCs w:val="22"/>
          <w:lang w:val="en-GB"/>
        </w:rPr>
      </w:pPr>
      <w:r w:rsidRPr="00E3672F">
        <w:rPr>
          <w:sz w:val="22"/>
          <w:szCs w:val="22"/>
          <w:lang w:val="en-GB"/>
        </w:rPr>
        <w:t>refer</w:t>
      </w:r>
      <w:r w:rsidRPr="00E3672F" w:rsidR="00883AEE">
        <w:rPr>
          <w:sz w:val="22"/>
          <w:szCs w:val="22"/>
          <w:lang w:val="en-GB"/>
        </w:rPr>
        <w:t>s</w:t>
      </w:r>
      <w:r w:rsidRPr="00E3672F">
        <w:rPr>
          <w:sz w:val="22"/>
          <w:szCs w:val="22"/>
          <w:lang w:val="en-GB"/>
        </w:rPr>
        <w:t xml:space="preserve"> whistleblowers to the appropriate channels;</w:t>
      </w:r>
    </w:p>
    <w:p w:rsidRPr="00E3672F" w:rsidR="00E5504B" w:rsidP="001E1287" w:rsidRDefault="00E5504B" w14:paraId="12910349" w14:textId="77777777">
      <w:pPr>
        <w:pStyle w:val="NormalWeb"/>
        <w:numPr>
          <w:ilvl w:val="0"/>
          <w:numId w:val="46"/>
        </w:numPr>
        <w:spacing w:before="120" w:beforeAutospacing="0" w:after="120" w:afterAutospacing="0" w:line="360" w:lineRule="auto"/>
        <w:contextualSpacing/>
        <w:jc w:val="both"/>
        <w:rPr>
          <w:sz w:val="22"/>
          <w:szCs w:val="22"/>
          <w:lang w:val="en-GB"/>
        </w:rPr>
      </w:pPr>
      <w:r w:rsidRPr="00E3672F">
        <w:rPr>
          <w:sz w:val="22"/>
          <w:szCs w:val="22"/>
          <w:lang w:val="en-GB"/>
        </w:rPr>
        <w:t>certifies their status;</w:t>
      </w:r>
    </w:p>
    <w:p w:rsidRPr="00E3672F" w:rsidR="00E5504B" w:rsidP="001E1287" w:rsidRDefault="00E5504B" w14:paraId="6037D3DF" w14:textId="42C26A14">
      <w:pPr>
        <w:pStyle w:val="NormalWeb"/>
        <w:numPr>
          <w:ilvl w:val="0"/>
          <w:numId w:val="46"/>
        </w:numPr>
        <w:spacing w:before="120" w:beforeAutospacing="0" w:after="120" w:afterAutospacing="0" w:line="360" w:lineRule="auto"/>
        <w:contextualSpacing/>
        <w:jc w:val="both"/>
        <w:rPr>
          <w:sz w:val="22"/>
          <w:szCs w:val="22"/>
          <w:lang w:val="en-GB"/>
        </w:rPr>
      </w:pPr>
      <w:r w:rsidRPr="00E3672F">
        <w:rPr>
          <w:sz w:val="22"/>
          <w:szCs w:val="22"/>
          <w:lang w:val="en-GB"/>
        </w:rPr>
        <w:t>assist</w:t>
      </w:r>
      <w:r w:rsidRPr="00E3672F" w:rsidR="00883AEE">
        <w:rPr>
          <w:sz w:val="22"/>
          <w:szCs w:val="22"/>
          <w:lang w:val="en-GB"/>
        </w:rPr>
        <w:t>s</w:t>
      </w:r>
      <w:r w:rsidRPr="00E3672F">
        <w:rPr>
          <w:sz w:val="22"/>
          <w:szCs w:val="22"/>
          <w:lang w:val="en-GB"/>
        </w:rPr>
        <w:t xml:space="preserve"> them in the event of a dispute or retaliation;</w:t>
      </w:r>
    </w:p>
    <w:p w:rsidRPr="00E3672F" w:rsidR="00E5504B" w:rsidP="001E1287" w:rsidRDefault="00E5504B" w14:paraId="58C7EF5F" w14:textId="77777777">
      <w:pPr>
        <w:pStyle w:val="NormalWeb"/>
        <w:numPr>
          <w:ilvl w:val="0"/>
          <w:numId w:val="46"/>
        </w:numPr>
        <w:spacing w:before="120" w:beforeAutospacing="0" w:after="120" w:afterAutospacing="0" w:line="360" w:lineRule="auto"/>
        <w:contextualSpacing/>
        <w:jc w:val="both"/>
        <w:rPr>
          <w:sz w:val="22"/>
          <w:szCs w:val="22"/>
          <w:lang w:val="en-GB"/>
        </w:rPr>
      </w:pPr>
      <w:r w:rsidRPr="00E3672F">
        <w:rPr>
          <w:sz w:val="22"/>
          <w:szCs w:val="22"/>
          <w:lang w:val="en-GB"/>
        </w:rPr>
        <w:t>publishes annual reports to Parliament.</w:t>
      </w:r>
    </w:p>
    <w:p w:rsidRPr="00E3672F" w:rsidR="00E5504B" w:rsidP="001E1287" w:rsidRDefault="00E5504B" w14:paraId="0936F5CB" w14:textId="77777777">
      <w:pPr>
        <w:spacing w:before="120" w:after="120" w:line="360" w:lineRule="auto"/>
        <w:contextualSpacing/>
      </w:pPr>
    </w:p>
    <w:p w:rsidRPr="00E3672F" w:rsidR="00E5504B" w:rsidP="001E1287" w:rsidRDefault="00E5504B" w14:paraId="7A07E062" w14:textId="70791A16">
      <w:pPr>
        <w:pStyle w:val="NormalWeb"/>
        <w:spacing w:before="120" w:beforeAutospacing="0" w:after="120" w:afterAutospacing="0" w:line="360" w:lineRule="auto"/>
        <w:contextualSpacing/>
        <w:jc w:val="both"/>
        <w:rPr>
          <w:sz w:val="22"/>
          <w:szCs w:val="22"/>
          <w:lang w:val="en-GB"/>
        </w:rPr>
      </w:pPr>
      <w:r w:rsidRPr="00E3672F">
        <w:rPr>
          <w:sz w:val="22"/>
          <w:szCs w:val="22"/>
          <w:lang w:val="en-GB"/>
        </w:rPr>
        <w:t xml:space="preserve">It is a </w:t>
      </w:r>
      <w:r w:rsidRPr="00E3672F">
        <w:rPr>
          <w:b/>
          <w:sz w:val="22"/>
          <w:szCs w:val="22"/>
          <w:lang w:val="en-GB"/>
        </w:rPr>
        <w:t>central, independent and institutionalised protection hub</w:t>
      </w:r>
      <w:r w:rsidRPr="00E3672F">
        <w:rPr>
          <w:sz w:val="22"/>
          <w:szCs w:val="22"/>
          <w:lang w:val="en-GB"/>
        </w:rPr>
        <w:t>.</w:t>
      </w:r>
    </w:p>
    <w:p w:rsidRPr="00E3672F" w:rsidR="00E92E9F" w:rsidP="001E1287" w:rsidRDefault="00E92E9F" w14:paraId="4A16F5ED" w14:textId="77777777">
      <w:pPr>
        <w:spacing w:before="120" w:after="120" w:line="360" w:lineRule="auto"/>
        <w:contextualSpacing/>
      </w:pPr>
    </w:p>
    <w:p w:rsidRPr="00E3672F" w:rsidR="00495034" w:rsidP="001E1287" w:rsidRDefault="00495034" w14:paraId="573D0195" w14:textId="77777777">
      <w:pPr>
        <w:pStyle w:val="Heading2"/>
        <w:spacing w:before="120" w:after="120" w:line="360" w:lineRule="auto"/>
        <w:ind w:left="720"/>
        <w:contextualSpacing/>
        <w:rPr>
          <w:rFonts w:cs="Times New Roman"/>
          <w:u w:val="single"/>
        </w:rPr>
      </w:pPr>
      <w:bookmarkStart w:name="_Toc228180518" w:id="13"/>
      <w:r w:rsidRPr="00E3672F">
        <w:rPr>
          <w:rFonts w:cs="Times New Roman"/>
          <w:u w:val="single"/>
        </w:rPr>
        <w:t>Italy</w:t>
      </w:r>
      <w:bookmarkEnd w:id="13"/>
    </w:p>
    <w:p w:rsidRPr="00E3672F" w:rsidR="00495034" w:rsidP="001E1287" w:rsidRDefault="00495034" w14:paraId="5A7283D9" w14:textId="2D1858CC">
      <w:pPr>
        <w:spacing w:before="120" w:after="120" w:line="360" w:lineRule="auto"/>
        <w:contextualSpacing/>
      </w:pPr>
      <w:r w:rsidRPr="00E3672F">
        <w:rPr>
          <w:b/>
          <w:bCs/>
        </w:rPr>
        <w:t>Directive (EU) 2019/1937</w:t>
      </w:r>
      <w:r w:rsidRPr="00E3672F">
        <w:t xml:space="preserve"> was transposed into Italian law by </w:t>
      </w:r>
      <w:r w:rsidRPr="00E3672F">
        <w:rPr>
          <w:b/>
          <w:bCs/>
        </w:rPr>
        <w:t xml:space="preserve">Legislative Decree No 24 of </w:t>
      </w:r>
      <w:r w:rsidRPr="00E3672F" w:rsidR="00AA3027">
        <w:rPr>
          <w:b/>
          <w:bCs/>
        </w:rPr>
        <w:t>10 </w:t>
      </w:r>
      <w:r w:rsidRPr="00E3672F">
        <w:rPr>
          <w:b/>
          <w:bCs/>
        </w:rPr>
        <w:t>March 2023</w:t>
      </w:r>
      <w:r w:rsidRPr="00E3672F">
        <w:t xml:space="preserve"> (</w:t>
      </w:r>
      <w:r w:rsidRPr="00E3672F" w:rsidR="00430258">
        <w:t>‘</w:t>
      </w:r>
      <w:r w:rsidRPr="00E3672F">
        <w:t>Whistleblowing Decree</w:t>
      </w:r>
      <w:r w:rsidRPr="00E3672F" w:rsidR="00430258">
        <w:t>’</w:t>
      </w:r>
      <w:r w:rsidRPr="00E3672F">
        <w:t>) as part of Italy</w:t>
      </w:r>
      <w:r w:rsidRPr="00E3672F" w:rsidR="00413731">
        <w:t>’</w:t>
      </w:r>
      <w:r w:rsidRPr="00E3672F">
        <w:t xml:space="preserve">s implementation of EU law on whistleblower protection. </w:t>
      </w:r>
    </w:p>
    <w:p w:rsidRPr="00E3672F" w:rsidR="00495034" w:rsidP="001E1287" w:rsidRDefault="00495034" w14:paraId="76390A0C" w14:textId="7369A90C">
      <w:pPr>
        <w:numPr>
          <w:ilvl w:val="0"/>
          <w:numId w:val="28"/>
        </w:numPr>
        <w:spacing w:before="120" w:after="120" w:line="360" w:lineRule="auto"/>
        <w:contextualSpacing/>
      </w:pPr>
      <w:r w:rsidRPr="00E3672F">
        <w:t xml:space="preserve">The Decree was </w:t>
      </w:r>
      <w:r w:rsidRPr="00E3672F">
        <w:rPr>
          <w:b/>
          <w:bCs/>
        </w:rPr>
        <w:t xml:space="preserve">published in Gazzetta Ufficiale No 63 on </w:t>
      </w:r>
      <w:r w:rsidRPr="00E3672F" w:rsidR="00AA3027">
        <w:rPr>
          <w:b/>
          <w:bCs/>
        </w:rPr>
        <w:t>15 </w:t>
      </w:r>
      <w:r w:rsidRPr="00E3672F">
        <w:rPr>
          <w:b/>
          <w:bCs/>
        </w:rPr>
        <w:t>March 2023</w:t>
      </w:r>
      <w:r w:rsidRPr="00E3672F">
        <w:t xml:space="preserve"> and entered into force on </w:t>
      </w:r>
      <w:r w:rsidRPr="00E3672F" w:rsidR="00AA3027">
        <w:rPr>
          <w:b/>
          <w:bCs/>
        </w:rPr>
        <w:t>30 </w:t>
      </w:r>
      <w:r w:rsidRPr="00E3672F">
        <w:rPr>
          <w:b/>
          <w:bCs/>
        </w:rPr>
        <w:t>March 2023</w:t>
      </w:r>
      <w:r w:rsidRPr="00E3672F">
        <w:t xml:space="preserve">. </w:t>
      </w:r>
    </w:p>
    <w:p w:rsidRPr="00E3672F" w:rsidR="00495034" w:rsidP="001E1287" w:rsidRDefault="00495034" w14:paraId="054375FC" w14:textId="77777777">
      <w:pPr>
        <w:numPr>
          <w:ilvl w:val="0"/>
          <w:numId w:val="28"/>
        </w:numPr>
        <w:spacing w:before="120" w:after="120" w:line="360" w:lineRule="auto"/>
        <w:contextualSpacing/>
      </w:pPr>
      <w:r w:rsidRPr="00E3672F">
        <w:t xml:space="preserve">It </w:t>
      </w:r>
      <w:r w:rsidRPr="00E3672F">
        <w:rPr>
          <w:b/>
          <w:bCs/>
        </w:rPr>
        <w:t>implements Directive (EU) 2019/1937 on the protection of persons reporting breaches of Union law</w:t>
      </w:r>
      <w:r w:rsidRPr="00E3672F">
        <w:t xml:space="preserve"> and applies to reporting of violations of both EU and national law. </w:t>
      </w:r>
    </w:p>
    <w:p w:rsidRPr="00E3672F" w:rsidR="00495034" w:rsidP="001E1287" w:rsidRDefault="00495034" w14:paraId="0811EF56" w14:textId="1693ACA7">
      <w:pPr>
        <w:spacing w:before="120" w:after="120" w:line="360" w:lineRule="auto"/>
        <w:contextualSpacing/>
      </w:pPr>
      <w:r w:rsidRPr="00E3672F">
        <w:t>Prior to the Directive</w:t>
      </w:r>
      <w:r w:rsidRPr="00E3672F" w:rsidR="00413731">
        <w:t>’</w:t>
      </w:r>
      <w:r w:rsidRPr="00E3672F">
        <w:t>s implementation, whistleblowing was already regulated in Italy:</w:t>
      </w:r>
    </w:p>
    <w:p w:rsidRPr="00E3672F" w:rsidR="00495034" w:rsidP="001E1287" w:rsidRDefault="00495034" w14:paraId="33175EDB" w14:textId="37873742">
      <w:pPr>
        <w:numPr>
          <w:ilvl w:val="0"/>
          <w:numId w:val="38"/>
        </w:numPr>
        <w:spacing w:before="120" w:after="120" w:line="360" w:lineRule="auto"/>
        <w:contextualSpacing/>
      </w:pPr>
      <w:r w:rsidRPr="00E3672F">
        <w:t>In the public sector by Law No 179/2017;</w:t>
      </w:r>
    </w:p>
    <w:p w:rsidRPr="00E3672F" w:rsidR="00495034" w:rsidP="001E1287" w:rsidRDefault="00495034" w14:paraId="229EBC45" w14:textId="595FA93B">
      <w:pPr>
        <w:numPr>
          <w:ilvl w:val="0"/>
          <w:numId w:val="38"/>
        </w:numPr>
        <w:spacing w:before="120" w:after="120" w:line="360" w:lineRule="auto"/>
        <w:contextualSpacing/>
      </w:pPr>
      <w:r w:rsidRPr="00E3672F">
        <w:t>In the private sector under Legislative Decree No 231/2001 (corporate criminal liability framework).</w:t>
      </w:r>
    </w:p>
    <w:p w:rsidRPr="00E3672F" w:rsidR="00495034" w:rsidP="001E1287" w:rsidRDefault="00495034" w14:paraId="3EA96C32" w14:textId="77777777">
      <w:pPr>
        <w:spacing w:before="120" w:after="120" w:line="360" w:lineRule="auto"/>
        <w:contextualSpacing/>
      </w:pPr>
      <w:r w:rsidRPr="00E3672F">
        <w:t xml:space="preserve">Legislative Decree 24/2023 repealed and replaced these fragmented provisions, introducing a unified system aligned with EU standards. Therefore, whistleblowing was not a new concept in Italy, but the Directive significantly </w:t>
      </w:r>
      <w:r w:rsidRPr="00E3672F">
        <w:rPr>
          <w:b/>
          <w:bCs/>
        </w:rPr>
        <w:t>broadened and harmonised the framework</w:t>
      </w:r>
      <w:r w:rsidRPr="00E3672F">
        <w:rPr>
          <w:rStyle w:val="FootnoteReference"/>
          <w:b/>
          <w:bCs/>
        </w:rPr>
        <w:footnoteReference w:id="34"/>
      </w:r>
      <w:r w:rsidRPr="00E3672F">
        <w:t>.</w:t>
      </w:r>
    </w:p>
    <w:p w:rsidRPr="00E3672F" w:rsidR="00495034" w:rsidP="001E1287" w:rsidRDefault="00495034" w14:paraId="04A89ECC" w14:textId="77777777">
      <w:pPr>
        <w:spacing w:before="120" w:after="120" w:line="360" w:lineRule="auto"/>
        <w:contextualSpacing/>
      </w:pPr>
    </w:p>
    <w:p w:rsidRPr="00E3672F" w:rsidR="00495034" w:rsidP="001E1287" w:rsidRDefault="00495034" w14:paraId="53E0A969" w14:textId="77777777">
      <w:pPr>
        <w:pStyle w:val="NoSpacing"/>
        <w:spacing w:before="120" w:after="120" w:line="360" w:lineRule="auto"/>
        <w:contextualSpacing/>
        <w:rPr>
          <w:rFonts w:cs="Times New Roman"/>
          <w:u w:val="single"/>
          <w:lang w:val="en-GB"/>
        </w:rPr>
      </w:pPr>
      <w:r w:rsidRPr="00E3672F">
        <w:rPr>
          <w:rFonts w:cs="Times New Roman"/>
          <w:u w:val="single"/>
          <w:lang w:val="en-GB"/>
        </w:rPr>
        <w:t>Key elements of the implementation</w:t>
      </w:r>
    </w:p>
    <w:p w:rsidRPr="00E3672F" w:rsidR="00495034" w:rsidP="001E1287" w:rsidRDefault="00495034" w14:paraId="6CD00EE9" w14:textId="287E7684">
      <w:pPr>
        <w:spacing w:before="120" w:after="120" w:line="360" w:lineRule="auto"/>
        <w:contextualSpacing/>
      </w:pPr>
      <w:r w:rsidRPr="00E3672F">
        <w:t xml:space="preserve">The Italian implementing law establishes </w:t>
      </w:r>
      <w:r w:rsidRPr="00E3672F">
        <w:rPr>
          <w:b/>
          <w:bCs/>
        </w:rPr>
        <w:t>procedures for reporting violations</w:t>
      </w:r>
      <w:r w:rsidRPr="00E3672F">
        <w:t xml:space="preserve"> and incorporates the Directive</w:t>
      </w:r>
      <w:r w:rsidRPr="00E3672F" w:rsidR="00413731">
        <w:t>’</w:t>
      </w:r>
      <w:r w:rsidRPr="00E3672F">
        <w:t xml:space="preserve">s minimum standards for protecting persons making reports. It aligns Italian law with the EU requirements for </w:t>
      </w:r>
      <w:r w:rsidRPr="00E3672F">
        <w:rPr>
          <w:b/>
          <w:bCs/>
        </w:rPr>
        <w:t>confidential reporting channels</w:t>
      </w:r>
      <w:r w:rsidRPr="00E3672F">
        <w:t>, protection from retaliation, and obligations on organisations to act on reports</w:t>
      </w:r>
      <w:r w:rsidRPr="00E3672F">
        <w:rPr>
          <w:rStyle w:val="FootnoteReference"/>
        </w:rPr>
        <w:footnoteReference w:id="35"/>
      </w:r>
      <w:r w:rsidRPr="00E3672F">
        <w:t>.</w:t>
      </w:r>
    </w:p>
    <w:p w:rsidRPr="00E3672F" w:rsidR="00495034" w:rsidP="001E1287" w:rsidRDefault="00495034" w14:paraId="04D904D2" w14:textId="68532049">
      <w:pPr>
        <w:spacing w:before="120" w:after="120" w:line="360" w:lineRule="auto"/>
        <w:contextualSpacing/>
      </w:pPr>
      <w:r w:rsidRPr="00E3672F">
        <w:t xml:space="preserve">However, </w:t>
      </w:r>
      <w:r w:rsidRPr="00E3672F">
        <w:rPr>
          <w:b/>
          <w:bCs/>
        </w:rPr>
        <w:t>civil society and expert commentators have raised concerns</w:t>
      </w:r>
      <w:r w:rsidRPr="00E3672F">
        <w:rPr>
          <w:rStyle w:val="FootnoteReference"/>
          <w:b/>
          <w:bCs/>
        </w:rPr>
        <w:footnoteReference w:id="36"/>
      </w:r>
      <w:r w:rsidRPr="00E3672F">
        <w:rPr>
          <w:b/>
          <w:bCs/>
        </w:rPr>
        <w:t xml:space="preserve"> </w:t>
      </w:r>
      <w:r w:rsidRPr="00E3672F">
        <w:rPr>
          <w:rStyle w:val="FootnoteReference"/>
          <w:b/>
          <w:bCs/>
        </w:rPr>
        <w:footnoteReference w:id="37"/>
      </w:r>
      <w:r w:rsidRPr="00E3672F">
        <w:t xml:space="preserve"> that certain parts of Italy</w:t>
      </w:r>
      <w:r w:rsidRPr="00E3672F" w:rsidR="00413731">
        <w:t>’</w:t>
      </w:r>
      <w:r w:rsidRPr="00E3672F">
        <w:t>s implementation may not fully respect all aspects of the Directive, possibly undermining the level of protection or not fully meeting EU requirements</w:t>
      </w:r>
      <w:r w:rsidRPr="00E3672F" w:rsidR="007177FC">
        <w:t>,</w:t>
      </w:r>
      <w:r w:rsidRPr="00E3672F">
        <w:t xml:space="preserve"> notably on scope and certain protections</w:t>
      </w:r>
      <w:r w:rsidRPr="00E3672F" w:rsidR="007177FC">
        <w:t xml:space="preserve">, </w:t>
      </w:r>
      <w:r w:rsidRPr="00E3672F">
        <w:t>and potentially violating the Directive</w:t>
      </w:r>
      <w:r w:rsidRPr="00E3672F" w:rsidR="00413731">
        <w:t>’</w:t>
      </w:r>
      <w:r w:rsidRPr="00E3672F">
        <w:t xml:space="preserve">s </w:t>
      </w:r>
      <w:r w:rsidRPr="00E3672F">
        <w:rPr>
          <w:b/>
          <w:bCs/>
        </w:rPr>
        <w:t>non-regression clause</w:t>
      </w:r>
      <w:r w:rsidRPr="00E3672F">
        <w:t xml:space="preserve"> (which prevents backsliding relative to existing national protections)</w:t>
      </w:r>
      <w:r w:rsidRPr="00E3672F">
        <w:rPr>
          <w:rStyle w:val="FootnoteReference"/>
        </w:rPr>
        <w:footnoteReference w:id="38"/>
      </w:r>
      <w:r w:rsidRPr="00E3672F">
        <w:t xml:space="preserve">. </w:t>
      </w:r>
    </w:p>
    <w:p w:rsidRPr="00E3672F" w:rsidR="00495034" w:rsidP="001E1287" w:rsidRDefault="00495034" w14:paraId="149AAFA7" w14:textId="77777777">
      <w:pPr>
        <w:spacing w:before="120" w:after="120" w:line="360" w:lineRule="auto"/>
        <w:contextualSpacing/>
      </w:pPr>
    </w:p>
    <w:p w:rsidRPr="00E3672F" w:rsidR="00495034" w:rsidP="001E1287" w:rsidRDefault="00495034" w14:paraId="0D515876" w14:textId="0D27ECB8">
      <w:pPr>
        <w:spacing w:before="120" w:after="120" w:line="360" w:lineRule="auto"/>
        <w:contextualSpacing/>
      </w:pPr>
      <w:r w:rsidRPr="00E3672F">
        <w:t xml:space="preserve">While the implementing law is now in force, the </w:t>
      </w:r>
      <w:r w:rsidRPr="00E3672F">
        <w:rPr>
          <w:b/>
          <w:bCs/>
        </w:rPr>
        <w:t>European Commission</w:t>
      </w:r>
      <w:r w:rsidRPr="00E3672F" w:rsidR="00413731">
        <w:rPr>
          <w:b/>
          <w:bCs/>
        </w:rPr>
        <w:t>’</w:t>
      </w:r>
      <w:r w:rsidRPr="00E3672F">
        <w:rPr>
          <w:b/>
          <w:bCs/>
        </w:rPr>
        <w:t>s 2024 report</w:t>
      </w:r>
      <w:r w:rsidRPr="00E3672F">
        <w:t xml:space="preserve"> on the </w:t>
      </w:r>
      <w:r w:rsidR="00370026">
        <w:t xml:space="preserve">application of the </w:t>
      </w:r>
      <w:r w:rsidRPr="00E3672F">
        <w:t xml:space="preserve">Directive (covering all Member States) highlighted </w:t>
      </w:r>
      <w:r w:rsidRPr="00E3672F">
        <w:rPr>
          <w:b/>
          <w:bCs/>
        </w:rPr>
        <w:t>remaining implementation challenges</w:t>
      </w:r>
      <w:r w:rsidRPr="00E3672F">
        <w:t xml:space="preserve"> across the EU, and similar concerns may exist in Italy regarding effective compliance and enforcement</w:t>
      </w:r>
      <w:r w:rsidRPr="00E3672F">
        <w:rPr>
          <w:rStyle w:val="FootnoteReference"/>
        </w:rPr>
        <w:footnoteReference w:id="39"/>
      </w:r>
      <w:r w:rsidRPr="00E3672F">
        <w:t>. The issue of whistleblower protection remains important in Italy not only from a regulatory standpoint, but also in public debates about transparency and accountability in both public and private sectors.</w:t>
      </w:r>
    </w:p>
    <w:p w:rsidRPr="00E3672F" w:rsidR="00495034" w:rsidP="001E1287" w:rsidRDefault="00495034" w14:paraId="04BB6297" w14:textId="77777777">
      <w:pPr>
        <w:spacing w:before="120" w:after="120" w:line="360" w:lineRule="auto"/>
        <w:contextualSpacing/>
      </w:pPr>
    </w:p>
    <w:p w:rsidRPr="00E3672F" w:rsidR="00495034" w:rsidP="001E1287" w:rsidRDefault="00495034" w14:paraId="23C1E56B" w14:textId="77777777">
      <w:pPr>
        <w:pStyle w:val="NoSpacing"/>
        <w:spacing w:before="120" w:after="120" w:line="360" w:lineRule="auto"/>
        <w:contextualSpacing/>
        <w:rPr>
          <w:rFonts w:cs="Times New Roman"/>
          <w:b/>
          <w:bCs/>
          <w:u w:val="single"/>
          <w:lang w:val="en-GB"/>
        </w:rPr>
      </w:pPr>
      <w:r w:rsidRPr="00E3672F">
        <w:rPr>
          <w:rFonts w:cs="Times New Roman"/>
          <w:u w:val="single"/>
          <w:lang w:val="en-GB"/>
        </w:rPr>
        <w:t>Scope and covered matters</w:t>
      </w:r>
      <w:r w:rsidRPr="00E3672F">
        <w:rPr>
          <w:rStyle w:val="FootnoteReference"/>
          <w:rFonts w:cs="Times New Roman"/>
          <w:u w:val="single"/>
          <w:lang w:val="en-GB"/>
        </w:rPr>
        <w:footnoteReference w:id="40"/>
      </w:r>
    </w:p>
    <w:p w:rsidRPr="00E3672F" w:rsidR="00495034" w:rsidP="001E1287" w:rsidRDefault="00495034" w14:paraId="608AF3F0" w14:textId="77777777">
      <w:pPr>
        <w:spacing w:before="120" w:after="120" w:line="360" w:lineRule="auto"/>
        <w:contextualSpacing/>
      </w:pPr>
      <w:r w:rsidRPr="00E3672F">
        <w:t>Under the Whistleblowing Decree, reportable matters include breaches of:</w:t>
      </w:r>
    </w:p>
    <w:p w:rsidRPr="00E3672F" w:rsidR="00495034" w:rsidP="001E1287" w:rsidRDefault="00495034" w14:paraId="4DBD359F" w14:textId="77777777">
      <w:pPr>
        <w:numPr>
          <w:ilvl w:val="0"/>
          <w:numId w:val="29"/>
        </w:numPr>
        <w:spacing w:before="120" w:after="120" w:line="360" w:lineRule="auto"/>
        <w:contextualSpacing/>
      </w:pPr>
      <w:r w:rsidRPr="00E3672F">
        <w:t xml:space="preserve">EU law and national law that </w:t>
      </w:r>
      <w:r w:rsidRPr="00E3672F">
        <w:rPr>
          <w:b/>
          <w:bCs/>
        </w:rPr>
        <w:t>harm public interest or the integrity</w:t>
      </w:r>
      <w:r w:rsidRPr="00E3672F">
        <w:t xml:space="preserve"> of public or private bodies;</w:t>
      </w:r>
    </w:p>
    <w:p w:rsidRPr="00E3672F" w:rsidR="00495034" w:rsidP="001E1287" w:rsidRDefault="00495034" w14:paraId="6EBF0321" w14:textId="77777777">
      <w:pPr>
        <w:numPr>
          <w:ilvl w:val="0"/>
          <w:numId w:val="29"/>
        </w:numPr>
        <w:spacing w:before="120" w:after="120" w:line="360" w:lineRule="auto"/>
        <w:contextualSpacing/>
      </w:pPr>
      <w:r w:rsidRPr="00E3672F">
        <w:t xml:space="preserve">Acts or omissions damaging safety, public health, environmental protection, financial or product market integrity, public procurement, consumer protection, etc. </w:t>
      </w:r>
    </w:p>
    <w:p w:rsidRPr="00E3672F" w:rsidR="00495034" w:rsidP="001E1287" w:rsidRDefault="00495034" w14:paraId="30E7F82F" w14:textId="4FB0F582">
      <w:pPr>
        <w:spacing w:before="120" w:after="120" w:line="360" w:lineRule="auto"/>
        <w:contextualSpacing/>
      </w:pPr>
      <w:r w:rsidRPr="00E3672F">
        <w:t>Italy</w:t>
      </w:r>
      <w:r w:rsidRPr="00E3672F" w:rsidR="00413731">
        <w:t>’</w:t>
      </w:r>
      <w:r w:rsidRPr="00E3672F">
        <w:t>s language mirrors the Directive</w:t>
      </w:r>
      <w:r w:rsidRPr="00E3672F" w:rsidR="00413731">
        <w:t>’</w:t>
      </w:r>
      <w:r w:rsidRPr="00E3672F">
        <w:t xml:space="preserve">s goals, which cover </w:t>
      </w:r>
      <w:r w:rsidRPr="00E3672F" w:rsidR="00CD55E0">
        <w:rPr>
          <w:b/>
          <w:bCs/>
        </w:rPr>
        <w:t xml:space="preserve">EU </w:t>
      </w:r>
      <w:r w:rsidRPr="00E3672F">
        <w:rPr>
          <w:b/>
          <w:bCs/>
        </w:rPr>
        <w:t>law violations in fields like public procurement, financial services, transport safety, environmental protection, data protection, consumer protection, etc.</w:t>
      </w:r>
      <w:r w:rsidRPr="00E3672F">
        <w:t xml:space="preserve"> (as set out in the Directive text). </w:t>
      </w:r>
    </w:p>
    <w:p w:rsidRPr="00E3672F" w:rsidR="00495034" w:rsidP="001E1287" w:rsidRDefault="00495034" w14:paraId="4E28EBD4" w14:textId="77777777">
      <w:pPr>
        <w:spacing w:before="120" w:after="120" w:line="360" w:lineRule="auto"/>
        <w:contextualSpacing/>
      </w:pPr>
      <w:r w:rsidRPr="00E3672F">
        <w:t xml:space="preserve">The Decree protects a broad range of persons who report breaches in a </w:t>
      </w:r>
      <w:r w:rsidRPr="00E3672F">
        <w:rPr>
          <w:b/>
          <w:bCs/>
        </w:rPr>
        <w:t>work-related context</w:t>
      </w:r>
      <w:r w:rsidRPr="00E3672F">
        <w:t>, including</w:t>
      </w:r>
      <w:r w:rsidRPr="00E3672F">
        <w:rPr>
          <w:rStyle w:val="FootnoteReference"/>
        </w:rPr>
        <w:footnoteReference w:id="41"/>
      </w:r>
      <w:r w:rsidRPr="00E3672F">
        <w:t>:</w:t>
      </w:r>
    </w:p>
    <w:p w:rsidRPr="00E3672F" w:rsidR="00495034" w:rsidP="001E1287" w:rsidRDefault="00495034" w14:paraId="12EC0C2B" w14:textId="77777777">
      <w:pPr>
        <w:numPr>
          <w:ilvl w:val="0"/>
          <w:numId w:val="30"/>
        </w:numPr>
        <w:spacing w:before="120" w:after="120" w:line="360" w:lineRule="auto"/>
        <w:contextualSpacing/>
      </w:pPr>
      <w:r w:rsidRPr="00E3672F">
        <w:t>Employees (public and private), consultants, freelancers;</w:t>
      </w:r>
    </w:p>
    <w:p w:rsidRPr="00E3672F" w:rsidR="00495034" w:rsidP="001E1287" w:rsidRDefault="00495034" w14:paraId="049B9388" w14:textId="77777777">
      <w:pPr>
        <w:numPr>
          <w:ilvl w:val="0"/>
          <w:numId w:val="30"/>
        </w:numPr>
        <w:spacing w:before="120" w:after="120" w:line="360" w:lineRule="auto"/>
        <w:contextualSpacing/>
      </w:pPr>
      <w:r w:rsidRPr="00E3672F">
        <w:t xml:space="preserve">Volunteers, interns, shareholders, administrators and persons holding governing or supervisory roles. </w:t>
      </w:r>
    </w:p>
    <w:p w:rsidRPr="00E3672F" w:rsidR="00495034" w:rsidP="001E1287" w:rsidRDefault="00495034" w14:paraId="5F778DF0" w14:textId="52C74B93">
      <w:pPr>
        <w:spacing w:before="120" w:after="120" w:line="360" w:lineRule="auto"/>
        <w:contextualSpacing/>
      </w:pPr>
      <w:r w:rsidRPr="00E3672F">
        <w:t>This closely aligns with the Directive</w:t>
      </w:r>
      <w:r w:rsidRPr="00E3672F" w:rsidR="00413731">
        <w:t>’</w:t>
      </w:r>
      <w:r w:rsidRPr="00E3672F">
        <w:t xml:space="preserve">s definitions of protected reporting persons (which include employees and other persons in work-related relationships reporting breaches of </w:t>
      </w:r>
      <w:r w:rsidRPr="00E3672F" w:rsidR="00F2645A">
        <w:t xml:space="preserve">EU </w:t>
      </w:r>
      <w:r w:rsidRPr="00E3672F">
        <w:t xml:space="preserve">law). </w:t>
      </w:r>
      <w:r w:rsidRPr="00E3672F">
        <w:rPr>
          <w:i/>
          <w:iCs/>
        </w:rPr>
        <w:t>(Directive text reference: Art. 4)</w:t>
      </w:r>
      <w:r w:rsidRPr="00E3672F">
        <w:t>.</w:t>
      </w:r>
    </w:p>
    <w:p w:rsidRPr="00E3672F" w:rsidR="00495034" w:rsidP="001E1287" w:rsidRDefault="00495034" w14:paraId="088D1F9C" w14:textId="77777777">
      <w:pPr>
        <w:spacing w:before="120" w:after="120" w:line="360" w:lineRule="auto"/>
        <w:contextualSpacing/>
      </w:pPr>
    </w:p>
    <w:p w:rsidRPr="00E3672F" w:rsidR="00495034" w:rsidP="001E1287" w:rsidRDefault="00495034" w14:paraId="29025AF8" w14:textId="77777777">
      <w:pPr>
        <w:pStyle w:val="NoSpacing"/>
        <w:spacing w:before="120" w:after="120" w:line="360" w:lineRule="auto"/>
        <w:contextualSpacing/>
        <w:rPr>
          <w:rFonts w:cs="Times New Roman"/>
          <w:u w:val="single"/>
          <w:lang w:val="en-GB"/>
        </w:rPr>
      </w:pPr>
      <w:r w:rsidRPr="00E3672F">
        <w:rPr>
          <w:rFonts w:cs="Times New Roman"/>
          <w:u w:val="single"/>
          <w:lang w:val="en-GB"/>
        </w:rPr>
        <w:t>Exclusions</w:t>
      </w:r>
    </w:p>
    <w:p w:rsidRPr="00E3672F" w:rsidR="00495034" w:rsidP="001E1287" w:rsidRDefault="00495034" w14:paraId="5A68B7E1" w14:textId="0637C71F">
      <w:pPr>
        <w:spacing w:before="120" w:after="120" w:line="360" w:lineRule="auto"/>
        <w:contextualSpacing/>
      </w:pPr>
      <w:r w:rsidRPr="00E3672F">
        <w:t>Italy</w:t>
      </w:r>
      <w:r w:rsidRPr="00E3672F" w:rsidR="00413731">
        <w:t>’</w:t>
      </w:r>
      <w:r w:rsidRPr="00E3672F">
        <w:t>s whistleblowing regime does not protect:</w:t>
      </w:r>
    </w:p>
    <w:p w:rsidRPr="00E3672F" w:rsidR="00495034" w:rsidP="001E1287" w:rsidRDefault="00495034" w14:paraId="7E632021" w14:textId="77777777">
      <w:pPr>
        <w:numPr>
          <w:ilvl w:val="0"/>
          <w:numId w:val="31"/>
        </w:numPr>
        <w:spacing w:before="120" w:after="120" w:line="360" w:lineRule="auto"/>
        <w:contextualSpacing/>
      </w:pPr>
      <w:r w:rsidRPr="00E3672F">
        <w:t xml:space="preserve">Reports involving </w:t>
      </w:r>
      <w:r w:rsidRPr="00E3672F">
        <w:rPr>
          <w:b/>
          <w:bCs/>
        </w:rPr>
        <w:t>classified state secrets or national security issues</w:t>
      </w:r>
      <w:r w:rsidRPr="00E3672F">
        <w:t>;</w:t>
      </w:r>
    </w:p>
    <w:p w:rsidRPr="00E3672F" w:rsidR="00495034" w:rsidP="001E1287" w:rsidRDefault="00495034" w14:paraId="3BD499AF" w14:textId="77777777">
      <w:pPr>
        <w:numPr>
          <w:ilvl w:val="0"/>
          <w:numId w:val="31"/>
        </w:numPr>
        <w:spacing w:before="120" w:after="120" w:line="360" w:lineRule="auto"/>
        <w:contextualSpacing/>
      </w:pPr>
      <w:r w:rsidRPr="00E3672F">
        <w:t>Disclosures that breach specific confidentiality regimes (e.g., professional legal secrecy).</w:t>
      </w:r>
    </w:p>
    <w:p w:rsidRPr="00E3672F" w:rsidR="00495034" w:rsidP="001E1287" w:rsidRDefault="00495034" w14:paraId="6618A69D" w14:textId="0CF732EE">
      <w:pPr>
        <w:spacing w:before="120" w:after="120" w:line="360" w:lineRule="auto"/>
        <w:contextualSpacing/>
        <w:rPr>
          <w:i/>
          <w:iCs/>
        </w:rPr>
      </w:pPr>
      <w:r w:rsidRPr="00E3672F">
        <w:t>While not explicitly detailed in the main sources above, national practice follows the Directive</w:t>
      </w:r>
      <w:r w:rsidRPr="00E3672F" w:rsidR="00413731">
        <w:t>’</w:t>
      </w:r>
      <w:r w:rsidRPr="00E3672F">
        <w:t xml:space="preserve">s allowance for Member States to exclude matters affecting national security. </w:t>
      </w:r>
      <w:r w:rsidRPr="00E3672F">
        <w:rPr>
          <w:i/>
          <w:iCs/>
        </w:rPr>
        <w:t>(Directive text reference: Art. 3(2)).</w:t>
      </w:r>
    </w:p>
    <w:p w:rsidRPr="00E3672F" w:rsidR="00495034" w:rsidP="001E1287" w:rsidRDefault="00495034" w14:paraId="5ABCBF48" w14:textId="77777777">
      <w:pPr>
        <w:spacing w:before="120" w:after="120" w:line="360" w:lineRule="auto"/>
        <w:contextualSpacing/>
      </w:pPr>
    </w:p>
    <w:p w:rsidRPr="00E3672F" w:rsidR="00495034" w:rsidP="001E1287" w:rsidRDefault="00495034" w14:paraId="16031CBA" w14:textId="48534F0F">
      <w:pPr>
        <w:pStyle w:val="NoSpacing"/>
        <w:spacing w:before="120" w:after="120" w:line="360" w:lineRule="auto"/>
        <w:contextualSpacing/>
        <w:rPr>
          <w:rFonts w:cs="Times New Roman"/>
          <w:u w:val="single"/>
          <w:lang w:val="en-GB"/>
        </w:rPr>
      </w:pPr>
      <w:r w:rsidRPr="00E3672F">
        <w:rPr>
          <w:rFonts w:cs="Times New Roman"/>
          <w:u w:val="single"/>
          <w:lang w:val="en-GB"/>
        </w:rPr>
        <w:t>Mandatory reporting channels</w:t>
      </w:r>
      <w:r w:rsidRPr="00E3672F">
        <w:rPr>
          <w:rStyle w:val="FootnoteReference"/>
          <w:rFonts w:cs="Times New Roman"/>
          <w:lang w:val="en-GB"/>
        </w:rPr>
        <w:footnoteReference w:id="42"/>
      </w:r>
      <w:r w:rsidRPr="00E3672F">
        <w:rPr>
          <w:rFonts w:cs="Times New Roman"/>
          <w:lang w:val="en-GB"/>
        </w:rPr>
        <w:t xml:space="preserve"> </w:t>
      </w:r>
      <w:r w:rsidRPr="00E3672F">
        <w:rPr>
          <w:rStyle w:val="FootnoteReference"/>
          <w:rFonts w:cs="Times New Roman"/>
          <w:lang w:val="en-GB"/>
        </w:rPr>
        <w:footnoteReference w:id="43"/>
      </w:r>
      <w:r w:rsidRPr="00E3672F">
        <w:rPr>
          <w:rFonts w:cs="Times New Roman"/>
          <w:lang w:val="en-GB"/>
        </w:rPr>
        <w:t xml:space="preserve"> </w:t>
      </w:r>
      <w:r w:rsidRPr="00E3672F">
        <w:rPr>
          <w:rStyle w:val="FootnoteReference"/>
          <w:rFonts w:cs="Times New Roman"/>
          <w:lang w:val="en-GB"/>
        </w:rPr>
        <w:footnoteReference w:id="44"/>
      </w:r>
    </w:p>
    <w:p w:rsidRPr="00E3672F" w:rsidR="00495034" w:rsidP="001E1287" w:rsidRDefault="00495034" w14:paraId="1071D0CF" w14:textId="77777777">
      <w:pPr>
        <w:spacing w:before="120" w:after="120" w:line="360" w:lineRule="auto"/>
        <w:contextualSpacing/>
      </w:pPr>
      <w:r w:rsidRPr="00E3672F">
        <w:t xml:space="preserve">Legislative Decree 24/2023 requires at least </w:t>
      </w:r>
      <w:r w:rsidRPr="00E3672F">
        <w:rPr>
          <w:b/>
          <w:bCs/>
        </w:rPr>
        <w:t>three levels of reporting</w:t>
      </w:r>
      <w:r w:rsidRPr="00E3672F">
        <w:t>:</w:t>
      </w:r>
    </w:p>
    <w:p w:rsidRPr="00E3672F" w:rsidR="00495034" w:rsidP="001E1287" w:rsidRDefault="00495034" w14:paraId="79644261" w14:textId="77777777">
      <w:pPr>
        <w:numPr>
          <w:ilvl w:val="0"/>
          <w:numId w:val="32"/>
        </w:numPr>
        <w:spacing w:before="120" w:after="120" w:line="360" w:lineRule="auto"/>
        <w:contextualSpacing/>
      </w:pPr>
      <w:r w:rsidRPr="00E3672F">
        <w:rPr>
          <w:b/>
          <w:bCs/>
        </w:rPr>
        <w:t>Internal reporting channels</w:t>
      </w:r>
      <w:r w:rsidRPr="00E3672F">
        <w:t xml:space="preserve"> established by obligated entities;</w:t>
      </w:r>
    </w:p>
    <w:p w:rsidRPr="00E3672F" w:rsidR="00495034" w:rsidP="001E1287" w:rsidRDefault="00495034" w14:paraId="16537163" w14:textId="77777777">
      <w:pPr>
        <w:numPr>
          <w:ilvl w:val="0"/>
          <w:numId w:val="32"/>
        </w:numPr>
        <w:spacing w:before="120" w:after="120" w:line="360" w:lineRule="auto"/>
        <w:contextualSpacing/>
      </w:pPr>
      <w:r w:rsidRPr="00E3672F">
        <w:rPr>
          <w:b/>
          <w:bCs/>
        </w:rPr>
        <w:t>External reporting</w:t>
      </w:r>
      <w:r w:rsidRPr="00E3672F">
        <w:t xml:space="preserve"> to a designated authority;</w:t>
      </w:r>
    </w:p>
    <w:p w:rsidRPr="00E3672F" w:rsidR="00495034" w:rsidP="001E1287" w:rsidRDefault="00495034" w14:paraId="1A31970B" w14:textId="77777777">
      <w:pPr>
        <w:numPr>
          <w:ilvl w:val="0"/>
          <w:numId w:val="32"/>
        </w:numPr>
        <w:spacing w:before="120" w:after="120" w:line="360" w:lineRule="auto"/>
        <w:contextualSpacing/>
      </w:pPr>
      <w:r w:rsidRPr="00E3672F">
        <w:rPr>
          <w:b/>
          <w:bCs/>
        </w:rPr>
        <w:t>Public disclosure</w:t>
      </w:r>
      <w:r w:rsidRPr="00E3672F">
        <w:t xml:space="preserve">, under limited circumstances. </w:t>
      </w:r>
    </w:p>
    <w:p w:rsidRPr="00E3672F" w:rsidR="00495034" w:rsidP="001E1287" w:rsidRDefault="00495034" w14:paraId="7B7C3DAF" w14:textId="77777777">
      <w:pPr>
        <w:pStyle w:val="NoSpacing"/>
        <w:spacing w:before="120" w:after="120" w:line="360" w:lineRule="auto"/>
        <w:contextualSpacing/>
        <w:rPr>
          <w:rFonts w:cs="Times New Roman"/>
          <w:lang w:val="en-GB"/>
        </w:rPr>
      </w:pPr>
    </w:p>
    <w:p w:rsidRPr="00E3672F" w:rsidR="00495034" w:rsidP="001E1287" w:rsidRDefault="00495034" w14:paraId="685767B8" w14:textId="77777777">
      <w:pPr>
        <w:pStyle w:val="NoSpacing"/>
        <w:spacing w:before="120" w:after="120" w:line="360" w:lineRule="auto"/>
        <w:contextualSpacing/>
        <w:rPr>
          <w:rFonts w:cs="Times New Roman"/>
          <w:u w:val="single"/>
          <w:lang w:val="en-GB"/>
        </w:rPr>
      </w:pPr>
      <w:r w:rsidRPr="00E3672F">
        <w:rPr>
          <w:rFonts w:cs="Times New Roman"/>
          <w:u w:val="single"/>
          <w:lang w:val="en-GB"/>
        </w:rPr>
        <w:t>Internal channels</w:t>
      </w:r>
    </w:p>
    <w:p w:rsidRPr="00E3672F" w:rsidR="00495034" w:rsidP="001E1287" w:rsidRDefault="00495034" w14:paraId="7C32F580" w14:textId="77777777">
      <w:pPr>
        <w:spacing w:before="120" w:after="120" w:line="360" w:lineRule="auto"/>
        <w:contextualSpacing/>
      </w:pPr>
      <w:r w:rsidRPr="00E3672F">
        <w:t>Organisations (public bodies and private entities with 50+ employees) must establish internal reporting mechanisms that:</w:t>
      </w:r>
    </w:p>
    <w:p w:rsidRPr="00E3672F" w:rsidR="00495034" w:rsidP="001E1287" w:rsidRDefault="00495034" w14:paraId="4A0132C6" w14:textId="77777777">
      <w:pPr>
        <w:numPr>
          <w:ilvl w:val="0"/>
          <w:numId w:val="33"/>
        </w:numPr>
        <w:spacing w:before="120" w:after="120" w:line="360" w:lineRule="auto"/>
        <w:contextualSpacing/>
      </w:pPr>
      <w:r w:rsidRPr="00E3672F">
        <w:t>Allow written reports (e.g., encrypted platforms) or oral reports;</w:t>
      </w:r>
    </w:p>
    <w:p w:rsidRPr="00E3672F" w:rsidR="00495034" w:rsidP="001E1287" w:rsidRDefault="00495034" w14:paraId="2B05B8C3" w14:textId="77777777">
      <w:pPr>
        <w:numPr>
          <w:ilvl w:val="0"/>
          <w:numId w:val="33"/>
        </w:numPr>
        <w:spacing w:before="120" w:after="120" w:line="360" w:lineRule="auto"/>
        <w:contextualSpacing/>
      </w:pPr>
      <w:r w:rsidRPr="00E3672F">
        <w:t xml:space="preserve">Safeguard the </w:t>
      </w:r>
      <w:r w:rsidRPr="00E3672F">
        <w:rPr>
          <w:b/>
          <w:bCs/>
        </w:rPr>
        <w:t>confidentiality</w:t>
      </w:r>
      <w:r w:rsidRPr="00E3672F">
        <w:t xml:space="preserve"> of whistleblower identities using secure methods. </w:t>
      </w:r>
    </w:p>
    <w:p w:rsidRPr="00E3672F" w:rsidR="00495034" w:rsidP="001E1287" w:rsidRDefault="00495034" w14:paraId="158DDAB9" w14:textId="77777777">
      <w:pPr>
        <w:spacing w:before="120" w:after="120" w:line="360" w:lineRule="auto"/>
        <w:contextualSpacing/>
      </w:pPr>
      <w:r w:rsidRPr="00E3672F">
        <w:t>Outsourcing of channel operation can be permitted so long as confidentiality and independence are assured.</w:t>
      </w:r>
    </w:p>
    <w:p w:rsidRPr="00E3672F" w:rsidR="00495034" w:rsidP="001E1287" w:rsidRDefault="00495034" w14:paraId="7E0CA26D" w14:textId="77777777">
      <w:pPr>
        <w:spacing w:before="120" w:after="120" w:line="360" w:lineRule="auto"/>
        <w:contextualSpacing/>
      </w:pPr>
    </w:p>
    <w:p w:rsidRPr="00E3672F" w:rsidR="00495034" w:rsidP="001E1287" w:rsidRDefault="00495034" w14:paraId="45C02AC8" w14:textId="77777777">
      <w:pPr>
        <w:pStyle w:val="NoSpacing"/>
        <w:spacing w:before="120" w:after="120" w:line="360" w:lineRule="auto"/>
        <w:contextualSpacing/>
        <w:rPr>
          <w:rFonts w:cs="Times New Roman"/>
          <w:u w:val="single"/>
          <w:lang w:val="en-GB"/>
        </w:rPr>
      </w:pPr>
      <w:r w:rsidRPr="00E3672F">
        <w:rPr>
          <w:rFonts w:cs="Times New Roman"/>
          <w:u w:val="single"/>
          <w:lang w:val="en-GB"/>
        </w:rPr>
        <w:t>External reporting</w:t>
      </w:r>
    </w:p>
    <w:p w:rsidRPr="00E3672F" w:rsidR="00495034" w:rsidP="001E1287" w:rsidRDefault="00495034" w14:paraId="783605CE" w14:textId="77777777">
      <w:pPr>
        <w:spacing w:before="120" w:after="120" w:line="360" w:lineRule="auto"/>
        <w:contextualSpacing/>
      </w:pPr>
      <w:r w:rsidRPr="00E3672F">
        <w:t xml:space="preserve">Italy designates the </w:t>
      </w:r>
      <w:r w:rsidRPr="00E3672F">
        <w:rPr>
          <w:b/>
          <w:bCs/>
        </w:rPr>
        <w:t>Autorità Nazionale Anticorruzione (ANAC)</w:t>
      </w:r>
      <w:r w:rsidRPr="00E3672F">
        <w:t xml:space="preserve"> as the authority to receive and handle external whistleblower reports. </w:t>
      </w:r>
    </w:p>
    <w:p w:rsidRPr="00E3672F" w:rsidR="00495034" w:rsidP="001E1287" w:rsidRDefault="00495034" w14:paraId="4B89B728" w14:textId="25997379">
      <w:pPr>
        <w:numPr>
          <w:ilvl w:val="0"/>
          <w:numId w:val="34"/>
        </w:numPr>
        <w:spacing w:before="120" w:after="120" w:line="360" w:lineRule="auto"/>
        <w:contextualSpacing/>
      </w:pPr>
      <w:r w:rsidRPr="00E3672F">
        <w:t>ANAC</w:t>
      </w:r>
      <w:r w:rsidRPr="00E3672F" w:rsidR="00413731">
        <w:t>’</w:t>
      </w:r>
      <w:r w:rsidRPr="00E3672F">
        <w:t xml:space="preserve">s role includes handling reports from those who prefer to report outside internal systems and supervising compliance. </w:t>
      </w:r>
    </w:p>
    <w:p w:rsidRPr="00E3672F" w:rsidR="00495034" w:rsidP="001E1287" w:rsidRDefault="00495034" w14:paraId="7D44552A" w14:textId="77777777">
      <w:pPr>
        <w:pStyle w:val="NoSpacing"/>
        <w:spacing w:before="120" w:after="120" w:line="360" w:lineRule="auto"/>
        <w:contextualSpacing/>
        <w:rPr>
          <w:rFonts w:cs="Times New Roman"/>
          <w:lang w:val="en-GB"/>
        </w:rPr>
      </w:pPr>
      <w:r w:rsidRPr="00E3672F">
        <w:rPr>
          <w:rFonts w:cs="Times New Roman"/>
          <w:lang w:val="en-GB"/>
        </w:rPr>
        <w:t>ANAC also represents Italy in European cooperation networks on integrity and whistleblower protection.</w:t>
      </w:r>
    </w:p>
    <w:p w:rsidRPr="00E3672F" w:rsidR="00495034" w:rsidP="001E1287" w:rsidRDefault="00495034" w14:paraId="41843214" w14:textId="77777777">
      <w:pPr>
        <w:pStyle w:val="NoSpacing"/>
        <w:spacing w:before="120" w:after="120" w:line="360" w:lineRule="auto"/>
        <w:contextualSpacing/>
        <w:rPr>
          <w:rFonts w:cs="Times New Roman"/>
          <w:lang w:val="en-GB"/>
        </w:rPr>
      </w:pPr>
    </w:p>
    <w:p w:rsidRPr="00E3672F" w:rsidR="00495034" w:rsidP="001E1287" w:rsidRDefault="00495034" w14:paraId="078212FE" w14:textId="77777777">
      <w:pPr>
        <w:pStyle w:val="NoSpacing"/>
        <w:spacing w:before="120" w:after="120" w:line="360" w:lineRule="auto"/>
        <w:contextualSpacing/>
        <w:rPr>
          <w:rFonts w:cs="Times New Roman"/>
          <w:u w:val="single"/>
          <w:lang w:val="en-GB"/>
        </w:rPr>
      </w:pPr>
      <w:r w:rsidRPr="00E3672F">
        <w:rPr>
          <w:rFonts w:cs="Times New Roman"/>
          <w:u w:val="single"/>
          <w:lang w:val="en-GB"/>
        </w:rPr>
        <w:t>Public disclosure</w:t>
      </w:r>
    </w:p>
    <w:p w:rsidRPr="00E3672F" w:rsidR="00495034" w:rsidP="001E1287" w:rsidRDefault="00495034" w14:paraId="241F5911" w14:textId="49BBBDE0">
      <w:pPr>
        <w:spacing w:before="120" w:after="120" w:line="360" w:lineRule="auto"/>
        <w:contextualSpacing/>
      </w:pPr>
      <w:r w:rsidRPr="00E3672F">
        <w:t>Whistleblowers may publicly disclose breaches where internal/external channels are ineffective, or when there is imminent danger or risk of retaliation</w:t>
      </w:r>
      <w:r w:rsidRPr="00E3672F" w:rsidR="007177FC">
        <w:t>,</w:t>
      </w:r>
      <w:r w:rsidRPr="00E3672F">
        <w:t xml:space="preserve"> in line with provisions from the Directive.</w:t>
      </w:r>
    </w:p>
    <w:p w:rsidRPr="00E3672F" w:rsidR="00495034" w:rsidP="001E1287" w:rsidRDefault="00495034" w14:paraId="61A89CE4" w14:textId="77777777">
      <w:pPr>
        <w:spacing w:before="120" w:after="120" w:line="360" w:lineRule="auto"/>
        <w:contextualSpacing/>
      </w:pPr>
    </w:p>
    <w:p w:rsidRPr="00E3672F" w:rsidR="00495034" w:rsidP="001E1287" w:rsidRDefault="00495034" w14:paraId="1C97CE1E" w14:textId="77777777">
      <w:pPr>
        <w:pStyle w:val="NoSpacing"/>
        <w:spacing w:before="120" w:after="120" w:line="360" w:lineRule="auto"/>
        <w:contextualSpacing/>
        <w:rPr>
          <w:rFonts w:cs="Times New Roman"/>
          <w:u w:val="single"/>
          <w:lang w:val="en-GB"/>
        </w:rPr>
      </w:pPr>
      <w:r w:rsidRPr="00E3672F">
        <w:rPr>
          <w:rFonts w:cs="Times New Roman"/>
          <w:u w:val="single"/>
          <w:lang w:val="en-GB"/>
        </w:rPr>
        <w:t>Protections against retaliation</w:t>
      </w:r>
      <w:r w:rsidRPr="00E3672F">
        <w:rPr>
          <w:rStyle w:val="FootnoteReference"/>
          <w:rFonts w:cs="Times New Roman"/>
          <w:u w:val="single"/>
          <w:lang w:val="en-GB"/>
        </w:rPr>
        <w:footnoteReference w:id="45"/>
      </w:r>
    </w:p>
    <w:p w:rsidRPr="00E3672F" w:rsidR="00495034" w:rsidP="001E1287" w:rsidRDefault="00495034" w14:paraId="06CB0EF9" w14:textId="29256AE7">
      <w:pPr>
        <w:spacing w:before="120" w:after="120" w:line="360" w:lineRule="auto"/>
        <w:contextualSpacing/>
      </w:pPr>
      <w:r w:rsidRPr="00E3672F">
        <w:t>Italian law adopts the Directive</w:t>
      </w:r>
      <w:r w:rsidRPr="00E3672F" w:rsidR="00413731">
        <w:t>’</w:t>
      </w:r>
      <w:r w:rsidRPr="00E3672F">
        <w:t>s core protections against retaliation:</w:t>
      </w:r>
    </w:p>
    <w:p w:rsidRPr="00E3672F" w:rsidR="00495034" w:rsidP="001E1287" w:rsidRDefault="00495034" w14:paraId="370A112B" w14:textId="77777777">
      <w:pPr>
        <w:numPr>
          <w:ilvl w:val="0"/>
          <w:numId w:val="35"/>
        </w:numPr>
        <w:spacing w:before="120" w:after="120" w:line="360" w:lineRule="auto"/>
        <w:contextualSpacing/>
      </w:pPr>
      <w:r w:rsidRPr="00E3672F">
        <w:t>Employment sanctions, dismissals, harassment, discrimination and other adverse retaliation are prohibited;</w:t>
      </w:r>
    </w:p>
    <w:p w:rsidRPr="00E3672F" w:rsidR="00495034" w:rsidP="001E1287" w:rsidRDefault="00495034" w14:paraId="184166A1" w14:textId="05A6D359">
      <w:pPr>
        <w:numPr>
          <w:ilvl w:val="0"/>
          <w:numId w:val="35"/>
        </w:numPr>
        <w:spacing w:before="120" w:after="120" w:line="360" w:lineRule="auto"/>
        <w:contextualSpacing/>
      </w:pPr>
      <w:r w:rsidRPr="00E3672F">
        <w:t>Confidentiality of the whistleblower</w:t>
      </w:r>
      <w:r w:rsidRPr="00E3672F" w:rsidR="00413731">
        <w:t>’</w:t>
      </w:r>
      <w:r w:rsidRPr="00E3672F">
        <w:t>s identity is maintained;</w:t>
      </w:r>
    </w:p>
    <w:p w:rsidRPr="00E3672F" w:rsidR="00495034" w:rsidP="001E1287" w:rsidRDefault="00495034" w14:paraId="200AF752" w14:textId="42AB2DF4">
      <w:pPr>
        <w:numPr>
          <w:ilvl w:val="0"/>
          <w:numId w:val="35"/>
        </w:numPr>
        <w:spacing w:before="120" w:after="120" w:line="360" w:lineRule="auto"/>
        <w:contextualSpacing/>
      </w:pPr>
      <w:r w:rsidRPr="00E3672F">
        <w:t xml:space="preserve">Reverse burden of proof applies when retaliation is alleged. </w:t>
      </w:r>
      <w:r w:rsidRPr="00E3672F">
        <w:rPr>
          <w:i/>
          <w:iCs/>
        </w:rPr>
        <w:t>(Directive text reference: Art. 19</w:t>
      </w:r>
      <w:r w:rsidR="002F3F9D">
        <w:rPr>
          <w:i/>
          <w:iCs/>
        </w:rPr>
        <w:t>-</w:t>
      </w:r>
      <w:r w:rsidRPr="00E3672F">
        <w:rPr>
          <w:i/>
          <w:iCs/>
        </w:rPr>
        <w:t>22; reflected in Italy through ANAC policies and protections.)</w:t>
      </w:r>
    </w:p>
    <w:p w:rsidRPr="00E3672F" w:rsidR="00495034" w:rsidP="001E1287" w:rsidRDefault="00495034" w14:paraId="5FBECD8B" w14:textId="77777777">
      <w:pPr>
        <w:spacing w:before="120" w:after="120" w:line="360" w:lineRule="auto"/>
        <w:contextualSpacing/>
      </w:pPr>
      <w:r w:rsidRPr="00E3672F">
        <w:t xml:space="preserve">External resources note that ANAC actively handles whistleblower retaliation cases and enforces related sanctions. </w:t>
      </w:r>
    </w:p>
    <w:p w:rsidRPr="00E3672F" w:rsidR="00495034" w:rsidP="001E1287" w:rsidRDefault="00495034" w14:paraId="35E035A6" w14:textId="77777777">
      <w:pPr>
        <w:spacing w:before="120" w:after="120" w:line="360" w:lineRule="auto"/>
        <w:contextualSpacing/>
      </w:pPr>
    </w:p>
    <w:p w:rsidRPr="00E3672F" w:rsidR="00495034" w:rsidP="001E1287" w:rsidRDefault="00495034" w14:paraId="7576E736" w14:textId="77777777">
      <w:pPr>
        <w:pStyle w:val="NoSpacing"/>
        <w:spacing w:before="120" w:after="120" w:line="360" w:lineRule="auto"/>
        <w:contextualSpacing/>
        <w:rPr>
          <w:rFonts w:cs="Times New Roman"/>
          <w:u w:val="single"/>
          <w:lang w:val="en-GB"/>
        </w:rPr>
      </w:pPr>
      <w:r w:rsidRPr="00E3672F">
        <w:rPr>
          <w:rFonts w:cs="Times New Roman"/>
          <w:u w:val="single"/>
          <w:lang w:val="en-GB"/>
        </w:rPr>
        <w:t>Penalties and sanctions</w:t>
      </w:r>
      <w:r w:rsidRPr="00E3672F">
        <w:rPr>
          <w:rStyle w:val="FootnoteReference"/>
          <w:rFonts w:cs="Times New Roman"/>
          <w:u w:val="single"/>
          <w:lang w:val="en-GB"/>
        </w:rPr>
        <w:footnoteReference w:id="46"/>
      </w:r>
    </w:p>
    <w:p w:rsidRPr="00E3672F" w:rsidR="00495034" w:rsidP="001E1287" w:rsidRDefault="00495034" w14:paraId="6D90EE83" w14:textId="77777777">
      <w:pPr>
        <w:spacing w:before="120" w:after="120" w:line="360" w:lineRule="auto"/>
        <w:contextualSpacing/>
      </w:pPr>
      <w:r w:rsidRPr="00E3672F">
        <w:t>ANAC may impose administrative sanctions on entities that fail to:</w:t>
      </w:r>
    </w:p>
    <w:p w:rsidRPr="00E3672F" w:rsidR="00495034" w:rsidP="001E1287" w:rsidRDefault="002F3F9D" w14:paraId="6C1B0701" w14:textId="3C0EC487">
      <w:pPr>
        <w:numPr>
          <w:ilvl w:val="0"/>
          <w:numId w:val="36"/>
        </w:numPr>
        <w:spacing w:before="120" w:after="120" w:line="360" w:lineRule="auto"/>
        <w:contextualSpacing/>
      </w:pPr>
      <w:r>
        <w:t>e</w:t>
      </w:r>
      <w:r w:rsidRPr="00E3672F" w:rsidR="00495034">
        <w:t>stablish required internal channels;</w:t>
      </w:r>
    </w:p>
    <w:p w:rsidRPr="00E3672F" w:rsidR="00495034" w:rsidP="001E1287" w:rsidRDefault="002F3F9D" w14:paraId="63E8B576" w14:textId="1D96558C">
      <w:pPr>
        <w:numPr>
          <w:ilvl w:val="0"/>
          <w:numId w:val="36"/>
        </w:numPr>
        <w:spacing w:before="120" w:after="120" w:line="360" w:lineRule="auto"/>
        <w:contextualSpacing/>
      </w:pPr>
      <w:r>
        <w:t>p</w:t>
      </w:r>
      <w:r w:rsidRPr="00E3672F" w:rsidR="00495034">
        <w:t>rotect reporting persons;</w:t>
      </w:r>
    </w:p>
    <w:p w:rsidRPr="00E3672F" w:rsidR="00495034" w:rsidP="001E1287" w:rsidRDefault="002F3F9D" w14:paraId="718652B2" w14:textId="2B5CA1EB">
      <w:pPr>
        <w:numPr>
          <w:ilvl w:val="0"/>
          <w:numId w:val="36"/>
        </w:numPr>
        <w:spacing w:before="120" w:after="120" w:line="360" w:lineRule="auto"/>
        <w:contextualSpacing/>
      </w:pPr>
      <w:r>
        <w:t>m</w:t>
      </w:r>
      <w:r w:rsidRPr="00E3672F" w:rsidR="00495034">
        <w:t>aintain reporting confidentiality;</w:t>
      </w:r>
    </w:p>
    <w:p w:rsidRPr="00E3672F" w:rsidR="00495034" w:rsidP="001E1287" w:rsidRDefault="002F3F9D" w14:paraId="491F66E8" w14:textId="1BBC87D8">
      <w:pPr>
        <w:numPr>
          <w:ilvl w:val="0"/>
          <w:numId w:val="36"/>
        </w:numPr>
        <w:spacing w:before="120" w:after="120" w:line="360" w:lineRule="auto"/>
        <w:contextualSpacing/>
      </w:pPr>
      <w:r>
        <w:t>m</w:t>
      </w:r>
      <w:r w:rsidRPr="00E3672F" w:rsidR="00495034">
        <w:t xml:space="preserve">anage reports in accordance with legal requirements. </w:t>
      </w:r>
    </w:p>
    <w:p w:rsidRPr="00E3672F" w:rsidR="00495034" w:rsidP="001E1287" w:rsidRDefault="00495034" w14:paraId="54BBB004" w14:textId="77777777">
      <w:pPr>
        <w:spacing w:before="120" w:after="120" w:line="360" w:lineRule="auto"/>
        <w:contextualSpacing/>
      </w:pPr>
      <w:r w:rsidRPr="00E3672F">
        <w:t>False reporting with wilful misconduct may result in disciplinary or ancillary legal consequences.</w:t>
      </w:r>
    </w:p>
    <w:p w:rsidRPr="00E3672F" w:rsidR="00495034" w:rsidP="001E1287" w:rsidRDefault="00495034" w14:paraId="3F5C6C35" w14:textId="60D4A06B">
      <w:pPr>
        <w:spacing w:before="120" w:after="120" w:line="360" w:lineRule="auto"/>
        <w:contextualSpacing/>
      </w:pPr>
      <w:r w:rsidRPr="00E3672F">
        <w:t xml:space="preserve">Administrative fines may range (depending on the violation) from approximately </w:t>
      </w:r>
      <w:r w:rsidRPr="00E3672F" w:rsidR="004E4DA0">
        <w:t>EUR </w:t>
      </w:r>
      <w:r w:rsidRPr="00E3672F">
        <w:t>10</w:t>
      </w:r>
      <w:r w:rsidRPr="00E3672F" w:rsidR="004E4DA0">
        <w:t> </w:t>
      </w:r>
      <w:r w:rsidRPr="00E3672F">
        <w:t xml:space="preserve">000 up to </w:t>
      </w:r>
      <w:r w:rsidRPr="00E3672F" w:rsidR="004E4DA0">
        <w:t>EUR </w:t>
      </w:r>
      <w:r w:rsidRPr="00E3672F">
        <w:t>50</w:t>
      </w:r>
      <w:r w:rsidRPr="00E3672F" w:rsidR="004E4DA0">
        <w:t> </w:t>
      </w:r>
      <w:r w:rsidRPr="00E3672F">
        <w:t>000.</w:t>
      </w:r>
    </w:p>
    <w:p w:rsidRPr="00E3672F" w:rsidR="00495034" w:rsidP="001E1287" w:rsidRDefault="00495034" w14:paraId="57B01687" w14:textId="77777777">
      <w:pPr>
        <w:spacing w:before="120" w:after="120" w:line="360" w:lineRule="auto"/>
        <w:contextualSpacing/>
      </w:pPr>
    </w:p>
    <w:p w:rsidRPr="00E3672F" w:rsidR="00495034" w:rsidP="001E1287" w:rsidRDefault="00495034" w14:paraId="195D1AC1" w14:textId="77777777">
      <w:pPr>
        <w:pStyle w:val="NoSpacing"/>
        <w:spacing w:before="120" w:after="120" w:line="360" w:lineRule="auto"/>
        <w:contextualSpacing/>
        <w:rPr>
          <w:rFonts w:cs="Times New Roman"/>
          <w:u w:val="single"/>
          <w:lang w:val="en-GB"/>
        </w:rPr>
      </w:pPr>
      <w:r w:rsidRPr="00E3672F">
        <w:rPr>
          <w:rFonts w:cs="Times New Roman"/>
          <w:u w:val="single"/>
          <w:lang w:val="en-GB"/>
        </w:rPr>
        <w:t>Institutional implementation and awareness</w:t>
      </w:r>
    </w:p>
    <w:p w:rsidRPr="00E3672F" w:rsidR="00495034" w:rsidP="001E1287" w:rsidRDefault="00495034" w14:paraId="23D80C32" w14:textId="20F2FE64">
      <w:pPr>
        <w:numPr>
          <w:ilvl w:val="0"/>
          <w:numId w:val="37"/>
        </w:numPr>
        <w:spacing w:before="120" w:after="120" w:line="360" w:lineRule="auto"/>
        <w:contextualSpacing/>
      </w:pPr>
      <w:r w:rsidRPr="00E3672F">
        <w:t xml:space="preserve">ANAC issued whistleblowing </w:t>
      </w:r>
      <w:r w:rsidRPr="00E3672F">
        <w:rPr>
          <w:b/>
          <w:bCs/>
        </w:rPr>
        <w:t>Guidelines</w:t>
      </w:r>
      <w:r w:rsidRPr="00E3672F">
        <w:t xml:space="preserve"> under </w:t>
      </w:r>
      <w:r w:rsidRPr="00E3672F" w:rsidR="00090FBF">
        <w:t>Resolution No</w:t>
      </w:r>
      <w:r w:rsidRPr="00E3672F">
        <w:t xml:space="preserve"> 311 on 12 July 2023, laying out detailed procedures for reporting and protections</w:t>
      </w:r>
      <w:r w:rsidRPr="00E3672F">
        <w:rPr>
          <w:rStyle w:val="FootnoteReference"/>
        </w:rPr>
        <w:footnoteReference w:id="47"/>
      </w:r>
      <w:r w:rsidRPr="00E3672F">
        <w:t xml:space="preserve">. </w:t>
      </w:r>
    </w:p>
    <w:p w:rsidRPr="00E3672F" w:rsidR="00495034" w:rsidP="001E1287" w:rsidRDefault="00495034" w14:paraId="3258A8D7" w14:textId="77777777">
      <w:pPr>
        <w:numPr>
          <w:ilvl w:val="0"/>
          <w:numId w:val="37"/>
        </w:numPr>
        <w:spacing w:before="120" w:after="120" w:line="360" w:lineRule="auto"/>
        <w:contextualSpacing/>
      </w:pPr>
      <w:r w:rsidRPr="00E3672F">
        <w:t>Public sector bodies (e.g., Presidency of the Council) have established internal reporting channels in compliance with the Decree</w:t>
      </w:r>
      <w:r w:rsidRPr="00E3672F">
        <w:rPr>
          <w:rStyle w:val="FootnoteReference"/>
        </w:rPr>
        <w:footnoteReference w:id="48"/>
      </w:r>
      <w:r w:rsidRPr="00E3672F">
        <w:t xml:space="preserve">. </w:t>
      </w:r>
    </w:p>
    <w:p w:rsidRPr="00E3672F" w:rsidR="00495034" w:rsidP="001E1287" w:rsidRDefault="00495034" w14:paraId="2BA8E559" w14:textId="77777777">
      <w:pPr>
        <w:spacing w:before="120" w:after="120" w:line="360" w:lineRule="auto"/>
        <w:contextualSpacing/>
        <w:rPr>
          <w:b/>
          <w:bCs/>
          <w:u w:val="single"/>
        </w:rPr>
      </w:pPr>
    </w:p>
    <w:p w:rsidRPr="00E3672F" w:rsidR="00D008DE" w:rsidP="001E1287" w:rsidRDefault="00FF388D" w14:paraId="0281BC73" w14:textId="4134392A">
      <w:pPr>
        <w:pStyle w:val="Heading2"/>
        <w:spacing w:before="120" w:after="120" w:line="360" w:lineRule="auto"/>
        <w:ind w:left="720"/>
        <w:contextualSpacing/>
        <w:rPr>
          <w:rFonts w:cs="Times New Roman"/>
          <w:u w:val="single"/>
        </w:rPr>
      </w:pPr>
      <w:bookmarkStart w:name="_Toc228180519" w:id="14"/>
      <w:r w:rsidRPr="00E3672F">
        <w:rPr>
          <w:rFonts w:cs="Times New Roman"/>
          <w:u w:val="single"/>
        </w:rPr>
        <w:t>Latvia</w:t>
      </w:r>
      <w:bookmarkEnd w:id="14"/>
    </w:p>
    <w:p w:rsidRPr="00E3672F" w:rsidR="00BD5E1F" w:rsidP="001E1287" w:rsidRDefault="00BD5E1F" w14:paraId="60E49EDA" w14:textId="6305AE8F">
      <w:pPr>
        <w:spacing w:before="120" w:after="120" w:line="360" w:lineRule="auto"/>
        <w:contextualSpacing/>
      </w:pPr>
      <w:r w:rsidRPr="00E3672F">
        <w:t xml:space="preserve">The EU Whistleblowing Directive was implemented in Latvia by the new </w:t>
      </w:r>
      <w:hyperlink w:history="1" r:id="rId55">
        <w:r w:rsidRPr="00E3672F" w:rsidR="00377539">
          <w:rPr>
            <w:rStyle w:val="Hyperlink"/>
          </w:rPr>
          <w:t>Whistleblowing Law</w:t>
        </w:r>
      </w:hyperlink>
      <w:r w:rsidRPr="00E3672F">
        <w:t xml:space="preserve">, which was </w:t>
      </w:r>
      <w:r w:rsidRPr="00E3672F">
        <w:rPr>
          <w:b/>
          <w:bCs/>
        </w:rPr>
        <w:t xml:space="preserve">adopted on </w:t>
      </w:r>
      <w:r w:rsidRPr="00E3672F" w:rsidR="00B93B34">
        <w:rPr>
          <w:b/>
          <w:bCs/>
        </w:rPr>
        <w:t>20 </w:t>
      </w:r>
      <w:r w:rsidRPr="00E3672F">
        <w:rPr>
          <w:b/>
          <w:bCs/>
        </w:rPr>
        <w:t>January 2022</w:t>
      </w:r>
      <w:r w:rsidRPr="00E3672F">
        <w:t xml:space="preserve"> and came </w:t>
      </w:r>
      <w:r w:rsidRPr="00E3672F">
        <w:rPr>
          <w:b/>
          <w:bCs/>
        </w:rPr>
        <w:t xml:space="preserve">into legal effect on </w:t>
      </w:r>
      <w:r w:rsidRPr="00E3672F" w:rsidR="00B93B34">
        <w:rPr>
          <w:b/>
          <w:bCs/>
        </w:rPr>
        <w:t>4 </w:t>
      </w:r>
      <w:r w:rsidRPr="00E3672F">
        <w:rPr>
          <w:b/>
          <w:bCs/>
        </w:rPr>
        <w:t>February 2022</w:t>
      </w:r>
      <w:r w:rsidRPr="00E3672F">
        <w:t xml:space="preserve">. The new Whistleblowing </w:t>
      </w:r>
      <w:r w:rsidR="002F3F9D">
        <w:t>Law</w:t>
      </w:r>
      <w:r w:rsidRPr="00E3672F" w:rsidR="002F3F9D">
        <w:t xml:space="preserve"> </w:t>
      </w:r>
      <w:r w:rsidRPr="00E3672F">
        <w:t xml:space="preserve">replaced the previous one, which was adopted on </w:t>
      </w:r>
      <w:r w:rsidRPr="00E3672F" w:rsidR="00B93B34">
        <w:t>11 </w:t>
      </w:r>
      <w:r w:rsidRPr="00E3672F">
        <w:t xml:space="preserve">November 2018 and was effective between </w:t>
      </w:r>
      <w:r w:rsidRPr="00E3672F" w:rsidR="00B93B34">
        <w:t>1 </w:t>
      </w:r>
      <w:r w:rsidRPr="00E3672F">
        <w:t xml:space="preserve">May 2019 and </w:t>
      </w:r>
      <w:r w:rsidRPr="00E3672F" w:rsidR="00B93B34">
        <w:t>3 </w:t>
      </w:r>
      <w:r w:rsidRPr="00E3672F">
        <w:t>February 2022. Therefore, whistleblowing as a mechanism was known in Latvia before the official implementation of the EU Whistleblowing Directive</w:t>
      </w:r>
      <w:r w:rsidRPr="00E3672F">
        <w:rPr>
          <w:rStyle w:val="FootnoteReference"/>
        </w:rPr>
        <w:footnoteReference w:id="49"/>
      </w:r>
      <w:r w:rsidRPr="00E3672F">
        <w:t>.</w:t>
      </w:r>
    </w:p>
    <w:p w:rsidRPr="00E3672F" w:rsidR="00AF73EA" w:rsidP="001E1287" w:rsidRDefault="00AF73EA" w14:paraId="03284145" w14:textId="77777777">
      <w:pPr>
        <w:spacing w:before="120" w:after="120" w:line="360" w:lineRule="auto"/>
        <w:contextualSpacing/>
      </w:pPr>
    </w:p>
    <w:p w:rsidRPr="00E3672F" w:rsidR="00AF73EA" w:rsidP="001E1287" w:rsidRDefault="00BD5E1F" w14:paraId="2C616D44" w14:textId="56230537">
      <w:pPr>
        <w:pStyle w:val="NoSpacing"/>
        <w:spacing w:before="120" w:after="120" w:line="360" w:lineRule="auto"/>
        <w:contextualSpacing/>
        <w:jc w:val="both"/>
        <w:rPr>
          <w:rFonts w:cs="Times New Roman"/>
          <w:u w:val="single"/>
          <w:lang w:val="en-GB"/>
        </w:rPr>
      </w:pPr>
      <w:r w:rsidRPr="00E3672F">
        <w:rPr>
          <w:rFonts w:cs="Times New Roman"/>
          <w:u w:val="single"/>
          <w:lang w:val="en-GB"/>
        </w:rPr>
        <w:t xml:space="preserve">Reporting </w:t>
      </w:r>
      <w:r w:rsidRPr="00E3672F" w:rsidR="0044642D">
        <w:rPr>
          <w:rFonts w:cs="Times New Roman"/>
          <w:u w:val="single"/>
          <w:lang w:val="en-GB"/>
        </w:rPr>
        <w:t>m</w:t>
      </w:r>
      <w:r w:rsidRPr="00E3672F">
        <w:rPr>
          <w:rFonts w:cs="Times New Roman"/>
          <w:u w:val="single"/>
          <w:lang w:val="en-GB"/>
        </w:rPr>
        <w:t xml:space="preserve">atters </w:t>
      </w:r>
      <w:r w:rsidRPr="00E3672F" w:rsidR="0044642D">
        <w:rPr>
          <w:rFonts w:cs="Times New Roman"/>
          <w:u w:val="single"/>
          <w:lang w:val="en-GB"/>
        </w:rPr>
        <w:t>c</w:t>
      </w:r>
      <w:r w:rsidRPr="00E3672F">
        <w:rPr>
          <w:rFonts w:cs="Times New Roman"/>
          <w:u w:val="single"/>
          <w:lang w:val="en-GB"/>
        </w:rPr>
        <w:t>overed</w:t>
      </w:r>
    </w:p>
    <w:p w:rsidRPr="00E3672F" w:rsidR="00BD5E1F" w:rsidP="001E1287" w:rsidRDefault="00BD5E1F" w14:paraId="7BC8FAF0" w14:textId="5CC97F52">
      <w:pPr>
        <w:pStyle w:val="NoSpacing"/>
        <w:spacing w:before="120" w:after="120" w:line="360" w:lineRule="auto"/>
        <w:contextualSpacing/>
        <w:jc w:val="both"/>
        <w:rPr>
          <w:rFonts w:cs="Times New Roman"/>
          <w:lang w:val="en-GB"/>
        </w:rPr>
      </w:pPr>
      <w:r w:rsidRPr="00E3672F">
        <w:rPr>
          <w:rFonts w:cs="Times New Roman"/>
          <w:lang w:val="en-GB"/>
        </w:rPr>
        <w:t xml:space="preserve">Article 3 of the Whistleblowing </w:t>
      </w:r>
      <w:r w:rsidR="002F3F9D">
        <w:rPr>
          <w:rFonts w:cs="Times New Roman"/>
          <w:lang w:val="en-GB"/>
        </w:rPr>
        <w:t>Law</w:t>
      </w:r>
      <w:r w:rsidRPr="00E3672F" w:rsidR="002F3F9D">
        <w:rPr>
          <w:rFonts w:cs="Times New Roman"/>
          <w:lang w:val="en-GB"/>
        </w:rPr>
        <w:t xml:space="preserve"> </w:t>
      </w:r>
      <w:r w:rsidRPr="00E3672F">
        <w:rPr>
          <w:rFonts w:cs="Times New Roman"/>
          <w:lang w:val="en-GB"/>
        </w:rPr>
        <w:t xml:space="preserve">describes reporting matters more broadly, </w:t>
      </w:r>
      <w:r w:rsidRPr="00E3672F" w:rsidR="000949AE">
        <w:rPr>
          <w:rFonts w:cs="Times New Roman"/>
          <w:lang w:val="en-GB"/>
        </w:rPr>
        <w:t xml:space="preserve">making it possible </w:t>
      </w:r>
      <w:r w:rsidRPr="00E3672F">
        <w:rPr>
          <w:rFonts w:cs="Times New Roman"/>
          <w:lang w:val="en-GB"/>
        </w:rPr>
        <w:t xml:space="preserve">to report any violations related to the public interest. </w:t>
      </w:r>
      <w:r w:rsidRPr="00E3672F">
        <w:rPr>
          <w:rFonts w:cs="Times New Roman"/>
          <w:b/>
          <w:bCs/>
          <w:lang w:val="en-GB"/>
        </w:rPr>
        <w:t>In addition to the reporting matters covered in the EU Whistleblowing Directive</w:t>
      </w:r>
      <w:r w:rsidRPr="00E3672F">
        <w:rPr>
          <w:rFonts w:cs="Times New Roman"/>
          <w:lang w:val="en-GB"/>
        </w:rPr>
        <w:t xml:space="preserve">, the Whistleblowing </w:t>
      </w:r>
      <w:r w:rsidRPr="00E3672F" w:rsidR="00377539">
        <w:rPr>
          <w:rFonts w:cs="Times New Roman"/>
          <w:lang w:val="en-GB"/>
        </w:rPr>
        <w:t xml:space="preserve">Law </w:t>
      </w:r>
      <w:r w:rsidRPr="00E3672F">
        <w:rPr>
          <w:rFonts w:cs="Times New Roman"/>
          <w:lang w:val="en-GB"/>
        </w:rPr>
        <w:t>highlights other reporting matters, including:</w:t>
      </w:r>
    </w:p>
    <w:p w:rsidRPr="00E3672F" w:rsidR="00BD5E1F" w:rsidP="001E1287" w:rsidRDefault="00BD5E1F" w14:paraId="684FB741" w14:textId="77777777">
      <w:pPr>
        <w:pStyle w:val="ListParagraph"/>
        <w:numPr>
          <w:ilvl w:val="0"/>
          <w:numId w:val="11"/>
        </w:numPr>
        <w:spacing w:before="120" w:after="120" w:line="360" w:lineRule="auto"/>
      </w:pPr>
      <w:r w:rsidRPr="00E3672F">
        <w:t>omission, negligence of officials, abuse of the official position by them, or any other wrongful act;</w:t>
      </w:r>
    </w:p>
    <w:p w:rsidRPr="00E3672F" w:rsidR="00BD5E1F" w:rsidP="001E1287" w:rsidRDefault="00BD5E1F" w14:paraId="5536325F" w14:textId="392648F4">
      <w:pPr>
        <w:pStyle w:val="ListParagraph"/>
        <w:numPr>
          <w:ilvl w:val="0"/>
          <w:numId w:val="11"/>
        </w:numPr>
        <w:spacing w:before="120" w:after="120" w:line="360" w:lineRule="auto"/>
      </w:pPr>
      <w:r w:rsidRPr="00E3672F">
        <w:t xml:space="preserve">corruption </w:t>
      </w:r>
      <w:r w:rsidRPr="00E3672F" w:rsidR="000949AE">
        <w:t>as well as</w:t>
      </w:r>
      <w:r w:rsidRPr="00E3672F">
        <w:t xml:space="preserve"> violations of the provisions for financing of political organisations (parties) and their alliances and of the restrictions on pre-election campaigning;</w:t>
      </w:r>
    </w:p>
    <w:p w:rsidRPr="00E3672F" w:rsidR="00BD5E1F" w:rsidP="001E1287" w:rsidRDefault="00BD5E1F" w14:paraId="1B3746B9" w14:textId="77777777">
      <w:pPr>
        <w:pStyle w:val="ListParagraph"/>
        <w:numPr>
          <w:ilvl w:val="0"/>
          <w:numId w:val="11"/>
        </w:numPr>
        <w:spacing w:before="120" w:after="120" w:line="360" w:lineRule="auto"/>
      </w:pPr>
      <w:r w:rsidRPr="00E3672F">
        <w:t>squandering of financial resources or property of a public person;</w:t>
      </w:r>
    </w:p>
    <w:p w:rsidRPr="00E3672F" w:rsidR="00BD5E1F" w:rsidP="001E1287" w:rsidRDefault="00BD5E1F" w14:paraId="32A0E360" w14:textId="77777777">
      <w:pPr>
        <w:pStyle w:val="ListParagraph"/>
        <w:numPr>
          <w:ilvl w:val="0"/>
          <w:numId w:val="11"/>
        </w:numPr>
        <w:spacing w:before="120" w:after="120" w:line="360" w:lineRule="auto"/>
      </w:pPr>
      <w:r w:rsidRPr="00E3672F">
        <w:t>tax evasion;</w:t>
      </w:r>
    </w:p>
    <w:p w:rsidRPr="00E3672F" w:rsidR="00BD5E1F" w:rsidP="001E1287" w:rsidRDefault="00BD5E1F" w14:paraId="613FAE3E" w14:textId="77777777">
      <w:pPr>
        <w:pStyle w:val="ListParagraph"/>
        <w:numPr>
          <w:ilvl w:val="0"/>
          <w:numId w:val="11"/>
        </w:numPr>
        <w:spacing w:before="120" w:after="120" w:line="360" w:lineRule="auto"/>
      </w:pPr>
      <w:r w:rsidRPr="00E3672F">
        <w:t>public health threat;</w:t>
      </w:r>
    </w:p>
    <w:p w:rsidRPr="00E3672F" w:rsidR="00BD5E1F" w:rsidP="001E1287" w:rsidRDefault="00BD5E1F" w14:paraId="630C6E97" w14:textId="77777777">
      <w:pPr>
        <w:pStyle w:val="ListParagraph"/>
        <w:numPr>
          <w:ilvl w:val="0"/>
          <w:numId w:val="11"/>
        </w:numPr>
        <w:spacing w:before="120" w:after="120" w:line="360" w:lineRule="auto"/>
      </w:pPr>
      <w:r w:rsidRPr="00E3672F">
        <w:t>construction safety threat;</w:t>
      </w:r>
    </w:p>
    <w:p w:rsidRPr="00E3672F" w:rsidR="00BD5E1F" w:rsidP="001E1287" w:rsidRDefault="00BD5E1F" w14:paraId="6EFB9089" w14:textId="77777777">
      <w:pPr>
        <w:pStyle w:val="ListParagraph"/>
        <w:numPr>
          <w:ilvl w:val="0"/>
          <w:numId w:val="11"/>
        </w:numPr>
        <w:spacing w:before="120" w:after="120" w:line="360" w:lineRule="auto"/>
      </w:pPr>
      <w:r w:rsidRPr="00E3672F">
        <w:t>environmental safety threat, including actions affecting climate change;</w:t>
      </w:r>
    </w:p>
    <w:p w:rsidRPr="00E3672F" w:rsidR="00BD5E1F" w:rsidP="001E1287" w:rsidRDefault="00BD5E1F" w14:paraId="43E4D75F" w14:textId="77777777">
      <w:pPr>
        <w:pStyle w:val="ListParagraph"/>
        <w:numPr>
          <w:ilvl w:val="0"/>
          <w:numId w:val="11"/>
        </w:numPr>
        <w:spacing w:before="120" w:after="120" w:line="360" w:lineRule="auto"/>
      </w:pPr>
      <w:r w:rsidRPr="00E3672F">
        <w:t>radiation protection and nuclear safety;</w:t>
      </w:r>
    </w:p>
    <w:p w:rsidRPr="00E3672F" w:rsidR="00BD5E1F" w:rsidP="001E1287" w:rsidRDefault="00BD5E1F" w14:paraId="3D273E3D" w14:textId="77777777">
      <w:pPr>
        <w:pStyle w:val="ListParagraph"/>
        <w:numPr>
          <w:ilvl w:val="0"/>
          <w:numId w:val="11"/>
        </w:numPr>
        <w:spacing w:before="120" w:after="120" w:line="360" w:lineRule="auto"/>
      </w:pPr>
      <w:r w:rsidRPr="00E3672F">
        <w:t>labour safety threat;</w:t>
      </w:r>
    </w:p>
    <w:p w:rsidRPr="00E3672F" w:rsidR="00BD5E1F" w:rsidP="001E1287" w:rsidRDefault="00BD5E1F" w14:paraId="258B8520" w14:textId="77777777">
      <w:pPr>
        <w:pStyle w:val="ListParagraph"/>
        <w:numPr>
          <w:ilvl w:val="0"/>
          <w:numId w:val="11"/>
        </w:numPr>
        <w:spacing w:before="120" w:after="120" w:line="360" w:lineRule="auto"/>
      </w:pPr>
      <w:r w:rsidRPr="00E3672F">
        <w:t>public order threat;</w:t>
      </w:r>
    </w:p>
    <w:p w:rsidRPr="00E3672F" w:rsidR="00BD5E1F" w:rsidP="001E1287" w:rsidRDefault="00BD5E1F" w14:paraId="747EE3BB" w14:textId="77777777">
      <w:pPr>
        <w:pStyle w:val="ListParagraph"/>
        <w:numPr>
          <w:ilvl w:val="0"/>
          <w:numId w:val="11"/>
        </w:numPr>
        <w:spacing w:before="120" w:after="120" w:line="360" w:lineRule="auto"/>
      </w:pPr>
      <w:r w:rsidRPr="00E3672F">
        <w:t>infringements of human rights;</w:t>
      </w:r>
    </w:p>
    <w:p w:rsidRPr="00E3672F" w:rsidR="00BD5E1F" w:rsidP="001E1287" w:rsidRDefault="00BD5E1F" w14:paraId="42F3653C" w14:textId="0CC97C28">
      <w:pPr>
        <w:pStyle w:val="ListParagraph"/>
        <w:numPr>
          <w:ilvl w:val="0"/>
          <w:numId w:val="11"/>
        </w:numPr>
        <w:spacing w:before="120" w:after="120" w:line="360" w:lineRule="auto"/>
      </w:pPr>
      <w:r w:rsidRPr="00E3672F">
        <w:t xml:space="preserve"> violations of competition law and the regulations regarding aid for commercial activity;</w:t>
      </w:r>
    </w:p>
    <w:p w:rsidRPr="00E3672F" w:rsidR="00BD5E1F" w:rsidP="001E1287" w:rsidRDefault="00BD5E1F" w14:paraId="0E7F82A5" w14:textId="77777777">
      <w:pPr>
        <w:pStyle w:val="ListParagraph"/>
        <w:numPr>
          <w:ilvl w:val="0"/>
          <w:numId w:val="11"/>
        </w:numPr>
        <w:spacing w:before="120" w:after="120" w:line="360" w:lineRule="auto"/>
      </w:pPr>
      <w:r w:rsidRPr="00E3672F">
        <w:t xml:space="preserve"> violations in the field of provision of goods and services, including in relation to safety and conformity;</w:t>
      </w:r>
    </w:p>
    <w:p w:rsidRPr="00E3672F" w:rsidR="00BD5E1F" w:rsidP="001E1287" w:rsidRDefault="00BD5E1F" w14:paraId="4CC3B13B" w14:textId="77777777">
      <w:pPr>
        <w:pStyle w:val="ListParagraph"/>
        <w:numPr>
          <w:ilvl w:val="0"/>
          <w:numId w:val="11"/>
        </w:numPr>
        <w:spacing w:before="120" w:after="120" w:line="360" w:lineRule="auto"/>
      </w:pPr>
      <w:r w:rsidRPr="00E3672F">
        <w:t xml:space="preserve"> violations in relation to the internal market.</w:t>
      </w:r>
    </w:p>
    <w:p w:rsidRPr="00E3672F" w:rsidR="00AF73EA" w:rsidP="001E1287" w:rsidRDefault="00BD5E1F" w14:paraId="2BC34310" w14:textId="4527C973">
      <w:pPr>
        <w:spacing w:before="120" w:after="120" w:line="360" w:lineRule="auto"/>
        <w:contextualSpacing/>
      </w:pPr>
      <w:r w:rsidRPr="00E3672F">
        <w:t xml:space="preserve">In Latvia, lawmakers have decided to </w:t>
      </w:r>
      <w:r w:rsidRPr="00E3672F">
        <w:rPr>
          <w:b/>
          <w:bCs/>
        </w:rPr>
        <w:t>exclude state secrets from the scope of the Whistleblowing Law</w:t>
      </w:r>
      <w:r w:rsidRPr="00E3672F">
        <w:t>, meaning that the disclosure of classified information is not considered whistleblowing under the law, and individuals remain legally responsible for such disclosures. While the EU Whistleblowing Directive and the Council of Europe</w:t>
      </w:r>
      <w:r w:rsidRPr="00E3672F" w:rsidR="00413731">
        <w:t>’</w:t>
      </w:r>
      <w:r w:rsidRPr="00E3672F">
        <w:t>s Recommendation on Whistleblower Protection provide some discretion regarding reporting violations related to national security, this should not create significant obstacles to exposing wrongdoing in such areas or protecting whistleblowers</w:t>
      </w:r>
      <w:r w:rsidRPr="00E3672F">
        <w:rPr>
          <w:rStyle w:val="FootnoteReference"/>
        </w:rPr>
        <w:footnoteReference w:id="50"/>
      </w:r>
      <w:r w:rsidRPr="00E3672F">
        <w:t>.</w:t>
      </w:r>
    </w:p>
    <w:p w:rsidRPr="00E3672F" w:rsidR="0044642D" w:rsidP="001E1287" w:rsidRDefault="0044642D" w14:paraId="7622DB0B" w14:textId="77777777">
      <w:pPr>
        <w:spacing w:before="120" w:after="120" w:line="360" w:lineRule="auto"/>
        <w:contextualSpacing/>
      </w:pPr>
    </w:p>
    <w:p w:rsidRPr="00E3672F" w:rsidR="00AF73EA" w:rsidP="001E1287" w:rsidRDefault="00BD5E1F" w14:paraId="01150C24" w14:textId="2989BB08">
      <w:pPr>
        <w:pStyle w:val="NoSpacing"/>
        <w:spacing w:before="120" w:after="120" w:line="360" w:lineRule="auto"/>
        <w:contextualSpacing/>
        <w:jc w:val="both"/>
        <w:rPr>
          <w:rFonts w:cs="Times New Roman"/>
          <w:u w:val="single"/>
          <w:lang w:val="en-GB"/>
        </w:rPr>
      </w:pPr>
      <w:r w:rsidRPr="00E3672F">
        <w:rPr>
          <w:rFonts w:cs="Times New Roman"/>
          <w:u w:val="single"/>
          <w:lang w:val="en-GB"/>
        </w:rPr>
        <w:t xml:space="preserve">Legally </w:t>
      </w:r>
      <w:r w:rsidRPr="00E3672F" w:rsidR="0044642D">
        <w:rPr>
          <w:rFonts w:cs="Times New Roman"/>
          <w:u w:val="single"/>
          <w:lang w:val="en-GB"/>
        </w:rPr>
        <w:t>r</w:t>
      </w:r>
      <w:r w:rsidRPr="00E3672F">
        <w:rPr>
          <w:rFonts w:cs="Times New Roman"/>
          <w:u w:val="single"/>
          <w:lang w:val="en-GB"/>
        </w:rPr>
        <w:t xml:space="preserve">equired </w:t>
      </w:r>
      <w:r w:rsidRPr="00E3672F" w:rsidR="0044642D">
        <w:rPr>
          <w:rFonts w:cs="Times New Roman"/>
          <w:u w:val="single"/>
          <w:lang w:val="en-GB"/>
        </w:rPr>
        <w:t>c</w:t>
      </w:r>
      <w:r w:rsidRPr="00E3672F">
        <w:rPr>
          <w:rFonts w:cs="Times New Roman"/>
          <w:u w:val="single"/>
          <w:lang w:val="en-GB"/>
        </w:rPr>
        <w:t xml:space="preserve">hannels of </w:t>
      </w:r>
      <w:r w:rsidRPr="00E3672F" w:rsidR="0044642D">
        <w:rPr>
          <w:rFonts w:cs="Times New Roman"/>
          <w:u w:val="single"/>
          <w:lang w:val="en-GB"/>
        </w:rPr>
        <w:t>r</w:t>
      </w:r>
      <w:r w:rsidRPr="00E3672F">
        <w:rPr>
          <w:rFonts w:cs="Times New Roman"/>
          <w:u w:val="single"/>
          <w:lang w:val="en-GB"/>
        </w:rPr>
        <w:t>eporting</w:t>
      </w:r>
    </w:p>
    <w:p w:rsidRPr="00E3672F" w:rsidR="00BD5E1F" w:rsidP="001E1287" w:rsidRDefault="00BD5E1F" w14:paraId="62092340" w14:textId="30CB44A4">
      <w:pPr>
        <w:pStyle w:val="NoSpacing"/>
        <w:spacing w:before="120" w:after="120" w:line="360" w:lineRule="auto"/>
        <w:contextualSpacing/>
        <w:jc w:val="both"/>
        <w:rPr>
          <w:rFonts w:cs="Times New Roman"/>
          <w:lang w:val="en-GB"/>
        </w:rPr>
      </w:pPr>
      <w:r w:rsidRPr="00E3672F">
        <w:rPr>
          <w:rFonts w:cs="Times New Roman"/>
          <w:lang w:val="en-GB"/>
        </w:rPr>
        <w:t xml:space="preserve">According to Article 4 of the Whistleblowing Law, </w:t>
      </w:r>
      <w:r w:rsidRPr="00E3672F">
        <w:rPr>
          <w:rFonts w:cs="Times New Roman"/>
          <w:b/>
          <w:bCs/>
          <w:lang w:val="en-GB"/>
        </w:rPr>
        <w:t>whistleblowers have access to various reporting methods</w:t>
      </w:r>
      <w:r w:rsidRPr="00E3672F">
        <w:rPr>
          <w:rFonts w:cs="Times New Roman"/>
          <w:lang w:val="en-GB"/>
        </w:rPr>
        <w:t xml:space="preserve">, allowing them to choose the most suitable option. The availability of multiple reporting mechanisms expands whistleblowing opportunities, thereby facilitating the detection and prevention of violations. A whistleblower can use the following mechanisms: </w:t>
      </w:r>
    </w:p>
    <w:p w:rsidRPr="00E3672F" w:rsidR="00BD5E1F" w:rsidP="001E1287" w:rsidRDefault="00BD5E1F" w14:paraId="139A3F78" w14:textId="77777777">
      <w:pPr>
        <w:pStyle w:val="ListParagraph"/>
        <w:numPr>
          <w:ilvl w:val="0"/>
          <w:numId w:val="5"/>
        </w:numPr>
        <w:spacing w:before="120" w:after="120" w:line="360" w:lineRule="auto"/>
      </w:pPr>
      <w:r w:rsidRPr="00E3672F">
        <w:t>Internal whistleblowing system (</w:t>
      </w:r>
      <w:r w:rsidRPr="00E3672F">
        <w:rPr>
          <w:b/>
          <w:bCs/>
        </w:rPr>
        <w:t>internal reporting</w:t>
      </w:r>
      <w:r w:rsidRPr="00E3672F">
        <w:t xml:space="preserve">); </w:t>
      </w:r>
    </w:p>
    <w:p w:rsidRPr="00E3672F" w:rsidR="00BD5E1F" w:rsidP="001E1287" w:rsidRDefault="00BD5E1F" w14:paraId="1F81A3AE" w14:textId="77777777">
      <w:pPr>
        <w:pStyle w:val="ListParagraph"/>
        <w:numPr>
          <w:ilvl w:val="0"/>
          <w:numId w:val="5"/>
        </w:numPr>
        <w:spacing w:before="120" w:after="120" w:line="360" w:lineRule="auto"/>
      </w:pPr>
      <w:r w:rsidRPr="00E3672F">
        <w:t>Reporting to a competent authority (</w:t>
      </w:r>
      <w:r w:rsidRPr="00E3672F">
        <w:rPr>
          <w:b/>
          <w:bCs/>
        </w:rPr>
        <w:t>external reporting</w:t>
      </w:r>
      <w:r w:rsidRPr="00E3672F">
        <w:t xml:space="preserve">); </w:t>
      </w:r>
    </w:p>
    <w:p w:rsidRPr="00E3672F" w:rsidR="00BD5E1F" w:rsidP="001E1287" w:rsidRDefault="00BD5E1F" w14:paraId="4B710FD2" w14:textId="77777777">
      <w:pPr>
        <w:pStyle w:val="ListParagraph"/>
        <w:numPr>
          <w:ilvl w:val="0"/>
          <w:numId w:val="5"/>
        </w:numPr>
        <w:spacing w:before="120" w:after="120" w:line="360" w:lineRule="auto"/>
      </w:pPr>
      <w:r w:rsidRPr="00E3672F">
        <w:rPr>
          <w:b/>
          <w:bCs/>
        </w:rPr>
        <w:t>Intermediary reporting</w:t>
      </w:r>
      <w:r w:rsidRPr="00E3672F">
        <w:t xml:space="preserve"> through the whistleblower contact point or an association, foundation, trade union, or trade union federation. </w:t>
      </w:r>
    </w:p>
    <w:p w:rsidRPr="00E3672F" w:rsidR="00BD5E1F" w:rsidP="001E1287" w:rsidRDefault="00BD5E1F" w14:paraId="4B78BB50" w14:textId="3918D394">
      <w:pPr>
        <w:spacing w:before="120" w:after="120" w:line="360" w:lineRule="auto"/>
        <w:contextualSpacing/>
      </w:pPr>
      <w:r w:rsidRPr="00E3672F">
        <w:t xml:space="preserve">The Whistleblowing Law also provides the </w:t>
      </w:r>
      <w:r w:rsidRPr="00E3672F">
        <w:rPr>
          <w:b/>
          <w:bCs/>
        </w:rPr>
        <w:t>possibility of public disclosure under certain circumstances</w:t>
      </w:r>
      <w:r w:rsidRPr="00E3672F">
        <w:t>, such as reporting to the media. The law also clarifies that a failure to recogni</w:t>
      </w:r>
      <w:r w:rsidRPr="00E3672F" w:rsidR="00413731">
        <w:t>s</w:t>
      </w:r>
      <w:r w:rsidRPr="00E3672F">
        <w:t>e a whistleblower</w:t>
      </w:r>
      <w:r w:rsidRPr="00E3672F" w:rsidR="00413731">
        <w:t>’</w:t>
      </w:r>
      <w:r w:rsidRPr="00E3672F">
        <w:t xml:space="preserve">s report as such or a refusal to process it does not constitute a valid reason for leaving a violation unaddressed. Pursuant to Article 5(1) of the Whistleblowing </w:t>
      </w:r>
      <w:r w:rsidRPr="00E3672F" w:rsidR="00377539">
        <w:t>Law</w:t>
      </w:r>
      <w:r w:rsidRPr="00E3672F">
        <w:t>, private entities can use the services of third parties to ensure operation of the internal whistleblowing system and handling of whistleblowers</w:t>
      </w:r>
      <w:r w:rsidRPr="00E3672F" w:rsidR="00413731">
        <w:t>’</w:t>
      </w:r>
      <w:r w:rsidRPr="00E3672F">
        <w:t xml:space="preserve"> reports. Outsourcing can be ensured by law offices, auditors or other reliable external parties</w:t>
      </w:r>
      <w:r w:rsidRPr="00E3672F">
        <w:rPr>
          <w:rStyle w:val="FootnoteReference"/>
        </w:rPr>
        <w:footnoteReference w:id="51"/>
      </w:r>
      <w:r w:rsidRPr="00E3672F">
        <w:t>. State/municipal authorities and companies are not allowed to use outsourcing for internal reporting.</w:t>
      </w:r>
    </w:p>
    <w:p w:rsidRPr="00E3672F" w:rsidR="00AF73EA" w:rsidP="001E1287" w:rsidRDefault="00AF73EA" w14:paraId="74C07683" w14:textId="77777777">
      <w:pPr>
        <w:spacing w:before="120" w:after="120" w:line="360" w:lineRule="auto"/>
        <w:contextualSpacing/>
      </w:pPr>
    </w:p>
    <w:p w:rsidRPr="00E3672F" w:rsidR="00BD5E1F" w:rsidP="001E1287" w:rsidRDefault="00BD5E1F" w14:paraId="71B6C599" w14:textId="77777777">
      <w:pPr>
        <w:pStyle w:val="NoSpacing"/>
        <w:spacing w:before="120" w:after="120" w:line="360" w:lineRule="auto"/>
        <w:contextualSpacing/>
        <w:jc w:val="both"/>
        <w:rPr>
          <w:rFonts w:cs="Times New Roman"/>
          <w:u w:val="single"/>
          <w:lang w:val="en-GB"/>
        </w:rPr>
      </w:pPr>
      <w:r w:rsidRPr="00E3672F">
        <w:rPr>
          <w:rFonts w:cs="Times New Roman"/>
          <w:u w:val="single"/>
          <w:lang w:val="en-GB"/>
        </w:rPr>
        <w:t>Competent authorities</w:t>
      </w:r>
    </w:p>
    <w:p w:rsidRPr="00E3672F" w:rsidR="00BD5E1F" w:rsidP="001E1287" w:rsidRDefault="00BD5E1F" w14:paraId="0BC7811C" w14:textId="3F1B02C2">
      <w:pPr>
        <w:spacing w:before="120" w:after="120" w:line="360" w:lineRule="auto"/>
        <w:contextualSpacing/>
      </w:pPr>
      <w:r w:rsidRPr="00E3672F">
        <w:t xml:space="preserve">Since </w:t>
      </w:r>
      <w:r w:rsidRPr="00E3672F" w:rsidR="00377539">
        <w:t>1 </w:t>
      </w:r>
      <w:r w:rsidRPr="00E3672F">
        <w:t>May 2019, the State Chancellery has been the contact point for whistleblowers. Its role is to coordinate the establishment of whistleblowing mechanisms in the country and to promote whistleblowing and public awareness. Each year, data on whistleblowing and the protection of whistleblowers is compiled in annual reports.</w:t>
      </w:r>
    </w:p>
    <w:p w:rsidRPr="00E3672F" w:rsidR="00BD5E1F" w:rsidP="001E1287" w:rsidRDefault="00377539" w14:paraId="7FB0D2D4" w14:textId="2AEDDB6A">
      <w:pPr>
        <w:spacing w:before="120" w:after="120" w:line="360" w:lineRule="auto"/>
        <w:contextualSpacing/>
      </w:pPr>
      <w:r w:rsidRPr="00E3672F">
        <w:t>The w</w:t>
      </w:r>
      <w:r w:rsidRPr="00E3672F" w:rsidR="00BD5E1F">
        <w:t xml:space="preserve">histleblower contact point at the State Chancellery represents Latvia at the Network of European Integrity and Whistleblowing </w:t>
      </w:r>
      <w:r w:rsidRPr="00E3672F">
        <w:t>A</w:t>
      </w:r>
      <w:r w:rsidRPr="00E3672F" w:rsidR="00BD5E1F">
        <w:t>uthorities.</w:t>
      </w:r>
    </w:p>
    <w:p w:rsidRPr="00E3672F" w:rsidR="009C03DD" w:rsidP="001E1287" w:rsidRDefault="009C03DD" w14:paraId="18C62A60" w14:textId="77777777">
      <w:pPr>
        <w:spacing w:before="120" w:after="120" w:line="360" w:lineRule="auto"/>
        <w:contextualSpacing/>
        <w:rPr>
          <w:sz w:val="24"/>
          <w:szCs w:val="24"/>
        </w:rPr>
      </w:pPr>
    </w:p>
    <w:p w:rsidRPr="00E3672F" w:rsidR="00BD5E1F" w:rsidP="001E1287" w:rsidRDefault="00BD5E1F" w14:paraId="3D95100B" w14:textId="1E5AC7E3">
      <w:pPr>
        <w:pStyle w:val="NoSpacing"/>
        <w:spacing w:before="120" w:after="120" w:line="360" w:lineRule="auto"/>
        <w:contextualSpacing/>
        <w:jc w:val="both"/>
        <w:rPr>
          <w:rFonts w:cs="Times New Roman"/>
          <w:u w:val="single"/>
          <w:lang w:val="en-GB"/>
        </w:rPr>
      </w:pPr>
      <w:r w:rsidRPr="00E3672F">
        <w:rPr>
          <w:rFonts w:cs="Times New Roman"/>
          <w:u w:val="single"/>
          <w:lang w:val="en-GB"/>
        </w:rPr>
        <w:t xml:space="preserve">Mandatory </w:t>
      </w:r>
      <w:r w:rsidRPr="00E3672F" w:rsidR="009C03DD">
        <w:rPr>
          <w:rFonts w:cs="Times New Roman"/>
          <w:u w:val="single"/>
          <w:lang w:val="en-GB"/>
        </w:rPr>
        <w:t>pr</w:t>
      </w:r>
      <w:r w:rsidRPr="00E3672F">
        <w:rPr>
          <w:rFonts w:cs="Times New Roman"/>
          <w:u w:val="single"/>
          <w:lang w:val="en-GB"/>
        </w:rPr>
        <w:t>ocedure</w:t>
      </w:r>
    </w:p>
    <w:p w:rsidRPr="00E3672F" w:rsidR="00BD5E1F" w:rsidP="001E1287" w:rsidRDefault="00BD5E1F" w14:paraId="1A9547BF" w14:textId="359D8475">
      <w:pPr>
        <w:spacing w:before="120" w:after="120" w:line="360" w:lineRule="auto"/>
        <w:contextualSpacing/>
      </w:pPr>
      <w:r w:rsidRPr="00E3672F">
        <w:t xml:space="preserve">Generally, the procedure for review and investigation of the reports is left </w:t>
      </w:r>
      <w:r w:rsidRPr="00E3672F" w:rsidR="00377539">
        <w:t xml:space="preserve">to </w:t>
      </w:r>
      <w:r w:rsidRPr="00E3672F">
        <w:t>the companies</w:t>
      </w:r>
      <w:r w:rsidRPr="00E3672F" w:rsidR="00413731">
        <w:t>’</w:t>
      </w:r>
      <w:r w:rsidRPr="00E3672F">
        <w:t xml:space="preserve"> discretion. However, the Whistleblowing </w:t>
      </w:r>
      <w:r w:rsidRPr="00E3672F" w:rsidR="00377539">
        <w:t xml:space="preserve">Law </w:t>
      </w:r>
      <w:r w:rsidRPr="00E3672F">
        <w:t xml:space="preserve">provides that a </w:t>
      </w:r>
      <w:r w:rsidRPr="00E3672F">
        <w:rPr>
          <w:b/>
          <w:bCs/>
        </w:rPr>
        <w:t>company must observe some statutory procedures and deadlines</w:t>
      </w:r>
      <w:r w:rsidRPr="00E3672F">
        <w:t xml:space="preserve"> when handling whistleblowing reports.</w:t>
      </w:r>
    </w:p>
    <w:p w:rsidRPr="00E3672F" w:rsidR="00BD5E1F" w:rsidP="001E1287" w:rsidRDefault="00BD5E1F" w14:paraId="6BEE2461" w14:textId="7A895B9C">
      <w:pPr>
        <w:spacing w:before="120" w:after="120" w:line="360" w:lineRule="auto"/>
        <w:contextualSpacing/>
      </w:pPr>
      <w:r w:rsidRPr="00E3672F">
        <w:t xml:space="preserve">Pursuant to Article 7(2) of the Whistleblowing </w:t>
      </w:r>
      <w:r w:rsidRPr="00E3672F" w:rsidR="00377539">
        <w:t>Law</w:t>
      </w:r>
      <w:r w:rsidRPr="00E3672F">
        <w:t xml:space="preserve">, companies must provide notification of the receipt of the report immediately, but no later than </w:t>
      </w:r>
      <w:r w:rsidRPr="00E3672F" w:rsidR="00377539">
        <w:t>with</w:t>
      </w:r>
      <w:r w:rsidRPr="00E3672F">
        <w:t xml:space="preserve">in </w:t>
      </w:r>
      <w:r w:rsidRPr="00E3672F" w:rsidR="00377539">
        <w:t>seven</w:t>
      </w:r>
      <w:r w:rsidRPr="00E3672F">
        <w:t xml:space="preserve"> days after the receipt of the report. Also, notification of acknowledgement must be provided to the whistleblower </w:t>
      </w:r>
      <w:r w:rsidRPr="00E3672F" w:rsidR="00377539">
        <w:t>with</w:t>
      </w:r>
      <w:r w:rsidRPr="00E3672F">
        <w:t xml:space="preserve">in </w:t>
      </w:r>
      <w:r w:rsidRPr="00E3672F" w:rsidR="00377539">
        <w:t xml:space="preserve">three </w:t>
      </w:r>
      <w:r w:rsidRPr="00E3672F">
        <w:t>days after a decision to acknowledge the report as a whistleblower</w:t>
      </w:r>
      <w:r w:rsidRPr="00E3672F" w:rsidR="00413731">
        <w:t>’</w:t>
      </w:r>
      <w:r w:rsidRPr="00E3672F">
        <w:t>s report is adopted.</w:t>
      </w:r>
    </w:p>
    <w:p w:rsidRPr="00E3672F" w:rsidR="00C76FB7" w:rsidP="001E1287" w:rsidRDefault="00BD5E1F" w14:paraId="71FFE492" w14:textId="5D2EBE44">
      <w:pPr>
        <w:pStyle w:val="NoSpacing"/>
        <w:spacing w:before="120" w:after="120" w:line="360" w:lineRule="auto"/>
        <w:contextualSpacing/>
        <w:jc w:val="both"/>
        <w:rPr>
          <w:rFonts w:cs="Times New Roman"/>
          <w:lang w:val="en-GB"/>
        </w:rPr>
      </w:pPr>
      <w:r w:rsidRPr="00E3672F">
        <w:rPr>
          <w:rFonts w:cs="Times New Roman"/>
          <w:lang w:val="en-GB"/>
        </w:rPr>
        <w:t xml:space="preserve">Article 11(1) of the Whistleblowing </w:t>
      </w:r>
      <w:r w:rsidRPr="00E3672F" w:rsidR="00377539">
        <w:rPr>
          <w:rFonts w:cs="Times New Roman"/>
          <w:lang w:val="en-GB"/>
        </w:rPr>
        <w:t xml:space="preserve">Law </w:t>
      </w:r>
      <w:r w:rsidRPr="00E3672F">
        <w:rPr>
          <w:rFonts w:cs="Times New Roman"/>
          <w:lang w:val="en-GB"/>
        </w:rPr>
        <w:t xml:space="preserve">provides that </w:t>
      </w:r>
      <w:r w:rsidRPr="00E3672F" w:rsidR="001143B8">
        <w:rPr>
          <w:rFonts w:cs="Times New Roman"/>
          <w:lang w:val="en-GB"/>
        </w:rPr>
        <w:t xml:space="preserve">a </w:t>
      </w:r>
      <w:r w:rsidRPr="00E3672F">
        <w:rPr>
          <w:rFonts w:cs="Times New Roman"/>
          <w:lang w:val="en-GB"/>
        </w:rPr>
        <w:t>whistleblower</w:t>
      </w:r>
      <w:r w:rsidRPr="00E3672F" w:rsidR="00413731">
        <w:rPr>
          <w:rFonts w:cs="Times New Roman"/>
          <w:lang w:val="en-GB"/>
        </w:rPr>
        <w:t>’</w:t>
      </w:r>
      <w:r w:rsidRPr="00E3672F">
        <w:rPr>
          <w:rFonts w:cs="Times New Roman"/>
          <w:lang w:val="en-GB"/>
        </w:rPr>
        <w:t>s data must be pseudonymi</w:t>
      </w:r>
      <w:r w:rsidRPr="00E3672F" w:rsidR="00413731">
        <w:rPr>
          <w:rFonts w:cs="Times New Roman"/>
          <w:lang w:val="en-GB"/>
        </w:rPr>
        <w:t>s</w:t>
      </w:r>
      <w:r w:rsidRPr="00E3672F">
        <w:rPr>
          <w:rFonts w:cs="Times New Roman"/>
          <w:lang w:val="en-GB"/>
        </w:rPr>
        <w:t xml:space="preserve">ed immediately after the report is qualified as </w:t>
      </w:r>
      <w:r w:rsidRPr="00E3672F" w:rsidR="001143B8">
        <w:rPr>
          <w:rFonts w:cs="Times New Roman"/>
          <w:lang w:val="en-GB"/>
        </w:rPr>
        <w:t xml:space="preserve">a </w:t>
      </w:r>
      <w:r w:rsidRPr="00E3672F">
        <w:rPr>
          <w:rFonts w:cs="Times New Roman"/>
          <w:lang w:val="en-GB"/>
        </w:rPr>
        <w:t>whistleblower</w:t>
      </w:r>
      <w:r w:rsidRPr="00E3672F" w:rsidR="00413731">
        <w:rPr>
          <w:rFonts w:cs="Times New Roman"/>
          <w:lang w:val="en-GB"/>
        </w:rPr>
        <w:t>’</w:t>
      </w:r>
      <w:r w:rsidRPr="00E3672F">
        <w:rPr>
          <w:rFonts w:cs="Times New Roman"/>
          <w:lang w:val="en-GB"/>
        </w:rPr>
        <w:t xml:space="preserve">s report. </w:t>
      </w:r>
    </w:p>
    <w:p w:rsidRPr="00E3672F" w:rsidR="00C76FB7" w:rsidP="001E1287" w:rsidRDefault="00C76FB7" w14:paraId="2BF02E16" w14:textId="77777777">
      <w:pPr>
        <w:pStyle w:val="NoSpacing"/>
        <w:spacing w:before="120" w:after="120" w:line="360" w:lineRule="auto"/>
        <w:contextualSpacing/>
        <w:jc w:val="both"/>
        <w:rPr>
          <w:rFonts w:cs="Times New Roman"/>
          <w:lang w:val="en-GB"/>
        </w:rPr>
      </w:pPr>
    </w:p>
    <w:p w:rsidRPr="00E3672F" w:rsidR="00C76FB7" w:rsidP="001E1287" w:rsidRDefault="00C76FB7" w14:paraId="7418F0D7" w14:textId="0C51F865">
      <w:pPr>
        <w:pStyle w:val="NoSpacing"/>
        <w:spacing w:before="120" w:after="120" w:line="360" w:lineRule="auto"/>
        <w:contextualSpacing/>
        <w:jc w:val="both"/>
        <w:rPr>
          <w:rFonts w:cs="Times New Roman"/>
          <w:u w:val="single"/>
          <w:lang w:val="en-GB"/>
        </w:rPr>
      </w:pPr>
      <w:r w:rsidRPr="00E3672F">
        <w:rPr>
          <w:rFonts w:cs="Times New Roman"/>
          <w:u w:val="single"/>
          <w:lang w:val="en-GB"/>
        </w:rPr>
        <w:t>Protection measures for whistleblowers</w:t>
      </w:r>
    </w:p>
    <w:p w:rsidRPr="00E3672F" w:rsidR="00BD5E1F" w:rsidP="001E1287" w:rsidRDefault="00BD5E1F" w14:paraId="11419A6E" w14:textId="180B991D">
      <w:pPr>
        <w:pStyle w:val="NoSpacing"/>
        <w:spacing w:before="120" w:after="120" w:line="360" w:lineRule="auto"/>
        <w:contextualSpacing/>
        <w:jc w:val="both"/>
        <w:rPr>
          <w:rFonts w:cs="Times New Roman"/>
          <w:lang w:val="en-GB"/>
        </w:rPr>
      </w:pPr>
      <w:r w:rsidRPr="00E3672F">
        <w:rPr>
          <w:rFonts w:cs="Times New Roman"/>
          <w:lang w:val="en-GB"/>
        </w:rPr>
        <w:t xml:space="preserve">The Latvian Whistleblowing </w:t>
      </w:r>
      <w:r w:rsidRPr="00E3672F" w:rsidR="001143B8">
        <w:rPr>
          <w:rFonts w:cs="Times New Roman"/>
          <w:lang w:val="en-GB"/>
        </w:rPr>
        <w:t xml:space="preserve">Law </w:t>
      </w:r>
      <w:r w:rsidRPr="00E3672F">
        <w:rPr>
          <w:rFonts w:cs="Times New Roman"/>
          <w:lang w:val="en-GB"/>
        </w:rPr>
        <w:t xml:space="preserve">has set up measures </w:t>
      </w:r>
      <w:r w:rsidRPr="00E3672F" w:rsidR="001143B8">
        <w:rPr>
          <w:rFonts w:cs="Times New Roman"/>
          <w:lang w:val="en-GB"/>
        </w:rPr>
        <w:t>so</w:t>
      </w:r>
      <w:r w:rsidRPr="00E3672F">
        <w:rPr>
          <w:rFonts w:cs="Times New Roman"/>
          <w:lang w:val="en-GB"/>
        </w:rPr>
        <w:t xml:space="preserve"> that </w:t>
      </w:r>
      <w:r w:rsidRPr="00E3672F">
        <w:rPr>
          <w:rFonts w:cs="Times New Roman"/>
          <w:b/>
          <w:bCs/>
          <w:lang w:val="en-GB"/>
        </w:rPr>
        <w:t>a whistleblower is afforded protection of identity, protection against adverse consequence</w:t>
      </w:r>
      <w:r w:rsidRPr="00E3672F">
        <w:rPr>
          <w:rFonts w:cs="Times New Roman"/>
          <w:lang w:val="en-GB"/>
        </w:rPr>
        <w:t>s resulting from whistleblowing</w:t>
      </w:r>
      <w:r w:rsidRPr="00E3672F" w:rsidR="001143B8">
        <w:rPr>
          <w:rFonts w:cs="Times New Roman"/>
          <w:lang w:val="en-GB"/>
        </w:rPr>
        <w:t xml:space="preserve"> and</w:t>
      </w:r>
      <w:r w:rsidRPr="00E3672F">
        <w:rPr>
          <w:rFonts w:cs="Times New Roman"/>
          <w:lang w:val="en-GB"/>
        </w:rPr>
        <w:t xml:space="preserve"> </w:t>
      </w:r>
      <w:r w:rsidRPr="00E3672F">
        <w:rPr>
          <w:rFonts w:cs="Times New Roman"/>
          <w:b/>
          <w:bCs/>
          <w:lang w:val="en-GB"/>
        </w:rPr>
        <w:t>exemption from legal liability</w:t>
      </w:r>
      <w:r w:rsidRPr="00E3672F">
        <w:rPr>
          <w:rStyle w:val="FootnoteReference"/>
          <w:rFonts w:cs="Times New Roman"/>
          <w:lang w:val="en-GB"/>
        </w:rPr>
        <w:footnoteReference w:id="52"/>
      </w:r>
      <w:r w:rsidRPr="00E3672F">
        <w:rPr>
          <w:rFonts w:cs="Times New Roman"/>
          <w:lang w:val="en-GB"/>
        </w:rPr>
        <w:t>.</w:t>
      </w:r>
    </w:p>
    <w:p w:rsidRPr="00E3672F" w:rsidR="00BD5E1F" w:rsidP="001E1287" w:rsidRDefault="00BD5E1F" w14:paraId="1CCE361F" w14:textId="77777777">
      <w:pPr>
        <w:spacing w:before="120" w:after="120" w:line="360" w:lineRule="auto"/>
        <w:contextualSpacing/>
      </w:pPr>
      <w:r w:rsidRPr="00E3672F">
        <w:t>Additional protective measures that facilitate the rights of the whistleblower include</w:t>
      </w:r>
      <w:r w:rsidRPr="00E3672F">
        <w:rPr>
          <w:rStyle w:val="FootnoteReference"/>
        </w:rPr>
        <w:footnoteReference w:id="53"/>
      </w:r>
      <w:r w:rsidRPr="00E3672F">
        <w:t>:</w:t>
      </w:r>
    </w:p>
    <w:p w:rsidRPr="00E3672F" w:rsidR="00BD5E1F" w:rsidP="001E1287" w:rsidRDefault="00BD5E1F" w14:paraId="2DFEF3AB" w14:textId="77777777">
      <w:pPr>
        <w:pStyle w:val="ListParagraph"/>
        <w:numPr>
          <w:ilvl w:val="0"/>
          <w:numId w:val="10"/>
        </w:numPr>
        <w:spacing w:before="120" w:after="120" w:line="360" w:lineRule="auto"/>
      </w:pPr>
      <w:r w:rsidRPr="00E3672F">
        <w:rPr>
          <w:b/>
          <w:bCs/>
        </w:rPr>
        <w:t>legal aid provided by the government</w:t>
      </w:r>
      <w:r w:rsidRPr="00E3672F">
        <w:t>;</w:t>
      </w:r>
    </w:p>
    <w:p w:rsidRPr="00E3672F" w:rsidR="00BD5E1F" w:rsidP="001E1287" w:rsidRDefault="00BD5E1F" w14:paraId="28D6A7A3" w14:textId="77777777">
      <w:pPr>
        <w:pStyle w:val="ListParagraph"/>
        <w:numPr>
          <w:ilvl w:val="0"/>
          <w:numId w:val="10"/>
        </w:numPr>
        <w:spacing w:before="120" w:after="120" w:line="360" w:lineRule="auto"/>
      </w:pPr>
      <w:r w:rsidRPr="00E3672F">
        <w:t>exemption from the payment of court costs in civil proceedings and from the payment of a state fee in administrative proceedings before a court;</w:t>
      </w:r>
    </w:p>
    <w:p w:rsidRPr="00E3672F" w:rsidR="00BD5E1F" w:rsidP="001E1287" w:rsidRDefault="00BD5E1F" w14:paraId="4DE9DAC0" w14:textId="77777777">
      <w:pPr>
        <w:pStyle w:val="ListParagraph"/>
        <w:numPr>
          <w:ilvl w:val="0"/>
          <w:numId w:val="10"/>
        </w:numPr>
        <w:spacing w:before="120" w:after="120" w:line="360" w:lineRule="auto"/>
      </w:pPr>
      <w:r w:rsidRPr="00E3672F">
        <w:t>interim relief in civil proceedings and in administrative proceedings before the courts;</w:t>
      </w:r>
    </w:p>
    <w:p w:rsidRPr="00E3672F" w:rsidR="00BD5E1F" w:rsidP="001E1287" w:rsidRDefault="00BD5E1F" w14:paraId="1F79DCFB" w14:textId="77777777">
      <w:pPr>
        <w:pStyle w:val="ListParagraph"/>
        <w:numPr>
          <w:ilvl w:val="0"/>
          <w:numId w:val="10"/>
        </w:numPr>
        <w:spacing w:before="120" w:after="120" w:line="360" w:lineRule="auto"/>
      </w:pPr>
      <w:r w:rsidRPr="00E3672F">
        <w:t>appropriate compensation for damages for loss or personal injury, including moral injury;</w:t>
      </w:r>
    </w:p>
    <w:p w:rsidRPr="00E3672F" w:rsidR="00BD5E1F" w:rsidP="001E1287" w:rsidRDefault="00BD5E1F" w14:paraId="211F4BDF" w14:textId="77777777">
      <w:pPr>
        <w:pStyle w:val="ListParagraph"/>
        <w:numPr>
          <w:ilvl w:val="0"/>
          <w:numId w:val="10"/>
        </w:numPr>
        <w:spacing w:before="120" w:after="120" w:line="360" w:lineRule="auto"/>
      </w:pPr>
      <w:r w:rsidRPr="00E3672F">
        <w:t>advice on the protection of their rights;</w:t>
      </w:r>
    </w:p>
    <w:p w:rsidRPr="00E3672F" w:rsidR="00BD5E1F" w:rsidP="001E1287" w:rsidRDefault="00BD5E1F" w14:paraId="48AE76D0" w14:textId="77777777">
      <w:pPr>
        <w:pStyle w:val="ListParagraph"/>
        <w:numPr>
          <w:ilvl w:val="0"/>
          <w:numId w:val="10"/>
        </w:numPr>
        <w:spacing w:before="120" w:after="120" w:line="360" w:lineRule="auto"/>
      </w:pPr>
      <w:r w:rsidRPr="00E3672F">
        <w:t>exemption from the obligation to comply with the out-of-court procedure in administrative proceedings.</w:t>
      </w:r>
    </w:p>
    <w:p w:rsidRPr="00E3672F" w:rsidR="00BD5E1F" w:rsidP="001E1287" w:rsidRDefault="00BD5E1F" w14:paraId="6810EA5E" w14:textId="27DCEC11">
      <w:pPr>
        <w:pStyle w:val="NoSpacing"/>
        <w:spacing w:before="120" w:after="120" w:line="360" w:lineRule="auto"/>
        <w:contextualSpacing/>
        <w:jc w:val="both"/>
        <w:rPr>
          <w:rFonts w:cs="Times New Roman"/>
          <w:lang w:val="en-GB"/>
        </w:rPr>
      </w:pPr>
      <w:r w:rsidRPr="00E3672F">
        <w:rPr>
          <w:rFonts w:cs="Times New Roman"/>
          <w:lang w:val="en-GB"/>
        </w:rPr>
        <w:t xml:space="preserve">The Whistleblowing Law </w:t>
      </w:r>
      <w:r w:rsidRPr="00E3672F">
        <w:rPr>
          <w:rFonts w:cs="Times New Roman"/>
          <w:b/>
          <w:bCs/>
          <w:lang w:val="en-GB"/>
        </w:rPr>
        <w:t>does not currently allow for anonymous whistleblowing</w:t>
      </w:r>
      <w:r w:rsidRPr="00E3672F">
        <w:rPr>
          <w:rFonts w:cs="Times New Roman"/>
          <w:lang w:val="en-GB"/>
        </w:rPr>
        <w:t>, nor does it require institutions to review anonymous reports</w:t>
      </w:r>
      <w:r w:rsidR="002F3F9D">
        <w:rPr>
          <w:rFonts w:cs="Times New Roman"/>
          <w:lang w:val="en-GB"/>
        </w:rPr>
        <w:t>.</w:t>
      </w:r>
      <w:r w:rsidRPr="00E3672F">
        <w:rPr>
          <w:rFonts w:cs="Times New Roman"/>
          <w:lang w:val="en-GB"/>
        </w:rPr>
        <w:t xml:space="preserve"> </w:t>
      </w:r>
      <w:r w:rsidR="002F3F9D">
        <w:rPr>
          <w:rFonts w:cs="Times New Roman"/>
          <w:lang w:val="en-GB"/>
        </w:rPr>
        <w:t>T</w:t>
      </w:r>
      <w:r w:rsidRPr="00E3672F">
        <w:rPr>
          <w:rFonts w:cs="Times New Roman"/>
          <w:lang w:val="en-GB"/>
        </w:rPr>
        <w:t>he current legal framework requires whistleblowers to disclose their identity</w:t>
      </w:r>
      <w:r w:rsidR="002F3F9D">
        <w:rPr>
          <w:rFonts w:cs="Times New Roman"/>
          <w:lang w:val="en-GB"/>
        </w:rPr>
        <w:t>;</w:t>
      </w:r>
      <w:r w:rsidRPr="00E3672F">
        <w:rPr>
          <w:rFonts w:cs="Times New Roman"/>
          <w:lang w:val="en-GB"/>
        </w:rPr>
        <w:t xml:space="preserve"> </w:t>
      </w:r>
      <w:r w:rsidR="002F3F9D">
        <w:rPr>
          <w:rFonts w:cs="Times New Roman"/>
          <w:lang w:val="en-GB"/>
        </w:rPr>
        <w:t>a</w:t>
      </w:r>
      <w:r w:rsidRPr="00E3672F">
        <w:rPr>
          <w:rFonts w:cs="Times New Roman"/>
          <w:lang w:val="en-GB"/>
        </w:rPr>
        <w:t xml:space="preserve"> whistleblower must include their name, surname, address and other relevant contact details in the report</w:t>
      </w:r>
      <w:r w:rsidRPr="00E3672F">
        <w:rPr>
          <w:rStyle w:val="FootnoteReference"/>
          <w:rFonts w:cs="Times New Roman"/>
          <w:lang w:val="en-GB"/>
        </w:rPr>
        <w:footnoteReference w:id="54"/>
      </w:r>
      <w:r w:rsidRPr="00E3672F">
        <w:rPr>
          <w:rFonts w:cs="Times New Roman"/>
          <w:lang w:val="en-GB"/>
        </w:rPr>
        <w:t>.</w:t>
      </w:r>
      <w:r w:rsidRPr="00E3672F">
        <w:rPr>
          <w:rFonts w:cs="Times New Roman"/>
          <w:color w:val="041E41"/>
          <w:sz w:val="23"/>
          <w:szCs w:val="23"/>
          <w:shd w:val="clear" w:color="auto" w:fill="FFFFFF"/>
          <w:lang w:val="en-GB"/>
        </w:rPr>
        <w:t xml:space="preserve"> </w:t>
      </w:r>
      <w:r w:rsidRPr="00E3672F">
        <w:rPr>
          <w:rFonts w:cs="Times New Roman"/>
          <w:lang w:val="en-GB"/>
        </w:rPr>
        <w:t>In case an anonymous whistleblower is subsequently identified as the whistleblower, he or she is subject to the statutory protection guarantees, including protection against adverse consequences.</w:t>
      </w:r>
    </w:p>
    <w:p w:rsidRPr="00E3672F" w:rsidR="00C76FB7" w:rsidP="001E1287" w:rsidRDefault="00BD5E1F" w14:paraId="000C08D2" w14:textId="61591307">
      <w:pPr>
        <w:pStyle w:val="NoSpacing"/>
        <w:spacing w:before="120" w:after="120" w:line="360" w:lineRule="auto"/>
        <w:contextualSpacing/>
        <w:jc w:val="both"/>
        <w:rPr>
          <w:rFonts w:cs="Times New Roman"/>
          <w:lang w:val="en-GB"/>
        </w:rPr>
      </w:pPr>
      <w:r w:rsidRPr="00E3672F">
        <w:rPr>
          <w:rFonts w:cs="Times New Roman"/>
          <w:lang w:val="en-GB"/>
        </w:rPr>
        <w:t xml:space="preserve">It is </w:t>
      </w:r>
      <w:r w:rsidRPr="00E3672F">
        <w:rPr>
          <w:rFonts w:cs="Times New Roman"/>
          <w:b/>
          <w:bCs/>
          <w:lang w:val="en-GB"/>
        </w:rPr>
        <w:t>prohibited to create adverse consequences for a whistleblower, their relatives or any related persons due to whistleblowing</w:t>
      </w:r>
      <w:r w:rsidRPr="00E3672F">
        <w:rPr>
          <w:rFonts w:cs="Times New Roman"/>
          <w:lang w:val="en-GB"/>
        </w:rPr>
        <w:t>. From the moment a whistleblower reports a concern in accordance with the law, they, their relatives, and related persons are entitled to the protection guarantees outlined in Article 10 of the law. If adverse consequences do occur, the burden of proof lies with the party responsible for causing them to demonstrate that the adverse effects experienced by the whistleblower, their relative, or related person are not connected to the whistleblower</w:t>
      </w:r>
      <w:r w:rsidRPr="00E3672F" w:rsidR="00413731">
        <w:rPr>
          <w:rFonts w:cs="Times New Roman"/>
          <w:lang w:val="en-GB"/>
        </w:rPr>
        <w:t>’</w:t>
      </w:r>
      <w:r w:rsidRPr="00E3672F">
        <w:rPr>
          <w:rFonts w:cs="Times New Roman"/>
          <w:lang w:val="en-GB"/>
        </w:rPr>
        <w:t>s report</w:t>
      </w:r>
      <w:r w:rsidRPr="00E3672F">
        <w:rPr>
          <w:rStyle w:val="FootnoteReference"/>
          <w:rFonts w:cs="Times New Roman"/>
          <w:lang w:val="en-GB"/>
        </w:rPr>
        <w:footnoteReference w:id="55"/>
      </w:r>
      <w:r w:rsidRPr="00E3672F">
        <w:rPr>
          <w:rFonts w:cs="Times New Roman"/>
          <w:lang w:val="en-GB"/>
        </w:rPr>
        <w:t>.</w:t>
      </w:r>
    </w:p>
    <w:p w:rsidRPr="00E3672F" w:rsidR="00C76FB7" w:rsidP="001E1287" w:rsidRDefault="00C76FB7" w14:paraId="68B63D1F" w14:textId="77777777">
      <w:pPr>
        <w:pStyle w:val="NoSpacing"/>
        <w:spacing w:before="120" w:after="120" w:line="360" w:lineRule="auto"/>
        <w:contextualSpacing/>
        <w:jc w:val="both"/>
        <w:rPr>
          <w:rFonts w:cs="Times New Roman"/>
          <w:lang w:val="en-GB"/>
        </w:rPr>
      </w:pPr>
    </w:p>
    <w:p w:rsidRPr="00E3672F" w:rsidR="00C76FB7" w:rsidP="001E1287" w:rsidRDefault="00C76FB7" w14:paraId="5002AC7E" w14:textId="158ABD24">
      <w:pPr>
        <w:pStyle w:val="NoSpacing"/>
        <w:spacing w:before="120" w:after="120" w:line="360" w:lineRule="auto"/>
        <w:contextualSpacing/>
        <w:jc w:val="both"/>
        <w:rPr>
          <w:rFonts w:cs="Times New Roman"/>
          <w:u w:val="single"/>
          <w:lang w:val="en-GB"/>
        </w:rPr>
      </w:pPr>
      <w:r w:rsidRPr="00E3672F">
        <w:rPr>
          <w:rFonts w:cs="Times New Roman"/>
          <w:u w:val="single"/>
          <w:lang w:val="en-GB"/>
        </w:rPr>
        <w:t>Penalties and sanctions</w:t>
      </w:r>
    </w:p>
    <w:p w:rsidRPr="00E3672F" w:rsidR="00BD5E1F" w:rsidP="001E1287" w:rsidRDefault="00BD5E1F" w14:paraId="04C8479F" w14:textId="313BDEFE">
      <w:pPr>
        <w:pStyle w:val="NoSpacing"/>
        <w:spacing w:before="120" w:after="120" w:line="360" w:lineRule="auto"/>
        <w:contextualSpacing/>
        <w:jc w:val="both"/>
        <w:rPr>
          <w:rFonts w:cs="Times New Roman"/>
          <w:lang w:val="en-GB"/>
        </w:rPr>
      </w:pPr>
      <w:r w:rsidRPr="00E3672F">
        <w:rPr>
          <w:rFonts w:cs="Times New Roman"/>
          <w:lang w:val="en-GB"/>
        </w:rPr>
        <w:t xml:space="preserve">The Whistleblowing Law </w:t>
      </w:r>
      <w:r w:rsidRPr="00E3672F">
        <w:rPr>
          <w:rFonts w:cs="Times New Roman"/>
          <w:b/>
          <w:bCs/>
          <w:lang w:val="en-GB"/>
        </w:rPr>
        <w:t>establishes administrative liability</w:t>
      </w:r>
      <w:r w:rsidRPr="00E3672F">
        <w:rPr>
          <w:rFonts w:cs="Times New Roman"/>
          <w:lang w:val="en-GB"/>
        </w:rPr>
        <w:t xml:space="preserve"> for the following </w:t>
      </w:r>
      <w:r w:rsidRPr="00E3672F" w:rsidR="00CD4574">
        <w:rPr>
          <w:rFonts w:cs="Times New Roman"/>
          <w:lang w:val="en-GB"/>
        </w:rPr>
        <w:t>offence</w:t>
      </w:r>
      <w:r w:rsidRPr="00E3672F">
        <w:rPr>
          <w:rFonts w:cs="Times New Roman"/>
          <w:lang w:val="en-GB"/>
        </w:rPr>
        <w:t>s:</w:t>
      </w:r>
    </w:p>
    <w:p w:rsidRPr="00E3672F" w:rsidR="00BD5E1F" w:rsidP="001E1287" w:rsidRDefault="00BD5E1F" w14:paraId="127063D9" w14:textId="60E67BE1">
      <w:pPr>
        <w:pStyle w:val="ListParagraph"/>
        <w:numPr>
          <w:ilvl w:val="0"/>
          <w:numId w:val="12"/>
        </w:numPr>
        <w:spacing w:before="120" w:after="120" w:line="360" w:lineRule="auto"/>
      </w:pPr>
      <w:r w:rsidRPr="00E3672F">
        <w:t>Creating adverse consequences for a whistleblower, their relative or an associated person;</w:t>
      </w:r>
    </w:p>
    <w:p w:rsidRPr="00E3672F" w:rsidR="00BD5E1F" w:rsidP="001E1287" w:rsidRDefault="00BD5E1F" w14:paraId="7CB34170" w14:textId="77777777">
      <w:pPr>
        <w:pStyle w:val="ListParagraph"/>
        <w:numPr>
          <w:ilvl w:val="0"/>
          <w:numId w:val="12"/>
        </w:numPr>
        <w:spacing w:before="120" w:after="120" w:line="360" w:lineRule="auto"/>
      </w:pPr>
      <w:r w:rsidRPr="00E3672F">
        <w:t>Knowingly providing false information through the whistleblowing mechanism or by disclosing such information publicly;</w:t>
      </w:r>
    </w:p>
    <w:p w:rsidRPr="00E3672F" w:rsidR="00BD5E1F" w:rsidP="001E1287" w:rsidRDefault="00BD5E1F" w14:paraId="03E25C14" w14:textId="77777777">
      <w:pPr>
        <w:pStyle w:val="ListParagraph"/>
        <w:numPr>
          <w:ilvl w:val="0"/>
          <w:numId w:val="12"/>
        </w:numPr>
        <w:spacing w:before="120" w:after="120" w:line="360" w:lineRule="auto"/>
      </w:pPr>
      <w:r w:rsidRPr="00E3672F">
        <w:t>Obstructing or attempting to obstruct whistleblowing, including interfering with the submission or review of a whistleblower report</w:t>
      </w:r>
      <w:r w:rsidRPr="00E3672F">
        <w:rPr>
          <w:rStyle w:val="FootnoteReference"/>
        </w:rPr>
        <w:footnoteReference w:id="56"/>
      </w:r>
      <w:r w:rsidRPr="00E3672F">
        <w:t>.</w:t>
      </w:r>
    </w:p>
    <w:p w:rsidRPr="00E3672F" w:rsidR="00BD5E1F" w:rsidP="001E1287" w:rsidRDefault="00BD5E1F" w14:paraId="1DF31E72" w14:textId="6BA06E29">
      <w:pPr>
        <w:spacing w:before="120" w:after="120" w:line="360" w:lineRule="auto"/>
        <w:contextualSpacing/>
      </w:pPr>
      <w:r w:rsidRPr="00E3672F">
        <w:t xml:space="preserve">Articles 200, 329 and 330 of the </w:t>
      </w:r>
      <w:r w:rsidRPr="00E3672F">
        <w:rPr>
          <w:b/>
          <w:bCs/>
        </w:rPr>
        <w:t>Criminal Act provide that a criminal liability may be imposed for breach of the duty of maintaining the confidentiality</w:t>
      </w:r>
      <w:r w:rsidRPr="00E3672F">
        <w:t xml:space="preserve"> of the identity of reporting persons. Pursuant to Article 731 of the Civil Procedure Act, a procedural fine may be applied for bringing vexatious proceedings against whistleblowers, their family members, related parties or colleagues in relation to reporting. Article 298 of the Criminal Act provides that criminal liability may be imposed if retaliation results in filing </w:t>
      </w:r>
      <w:r w:rsidRPr="00E3672F" w:rsidR="00EE687A">
        <w:t xml:space="preserve">a </w:t>
      </w:r>
      <w:r w:rsidRPr="00E3672F">
        <w:t xml:space="preserve">malicious report with the intention to initiate criminal proceedings against </w:t>
      </w:r>
      <w:r w:rsidRPr="00E3672F" w:rsidR="00EE687A">
        <w:t xml:space="preserve">a </w:t>
      </w:r>
      <w:r w:rsidRPr="00E3672F">
        <w:t xml:space="preserve">whistleblower, family members </w:t>
      </w:r>
      <w:r w:rsidRPr="00E3672F" w:rsidR="00EE687A">
        <w:t xml:space="preserve">or </w:t>
      </w:r>
      <w:r w:rsidRPr="00E3672F">
        <w:t>related parties in relation to reporting</w:t>
      </w:r>
      <w:r w:rsidRPr="00E3672F">
        <w:rPr>
          <w:rStyle w:val="FootnoteReference"/>
        </w:rPr>
        <w:footnoteReference w:id="57"/>
      </w:r>
      <w:r w:rsidRPr="00E3672F">
        <w:t>.</w:t>
      </w:r>
    </w:p>
    <w:p w:rsidRPr="00E3672F" w:rsidR="008B593F" w:rsidP="001E1287" w:rsidRDefault="008B593F" w14:paraId="42C666FA" w14:textId="77777777">
      <w:pPr>
        <w:spacing w:before="120" w:after="120" w:line="360" w:lineRule="auto"/>
        <w:contextualSpacing/>
      </w:pPr>
    </w:p>
    <w:p w:rsidRPr="00E3672F" w:rsidR="00BD5E1F" w:rsidP="001E1287" w:rsidRDefault="00BD5E1F" w14:paraId="12E3B137" w14:textId="77777777">
      <w:pPr>
        <w:pStyle w:val="NoSpacing"/>
        <w:spacing w:before="120" w:after="120" w:line="360" w:lineRule="auto"/>
        <w:contextualSpacing/>
        <w:rPr>
          <w:rFonts w:cs="Times New Roman"/>
          <w:u w:val="single"/>
          <w:lang w:val="en-GB"/>
        </w:rPr>
      </w:pPr>
      <w:r w:rsidRPr="00E3672F">
        <w:rPr>
          <w:rFonts w:cs="Times New Roman"/>
          <w:u w:val="single"/>
          <w:lang w:val="en-GB"/>
        </w:rPr>
        <w:t>Publicity campaign activity</w:t>
      </w:r>
    </w:p>
    <w:p w:rsidRPr="00E3672F" w:rsidR="00BD5E1F" w:rsidP="001E1287" w:rsidRDefault="00BD5E1F" w14:paraId="44124E7E" w14:textId="54B8BB5A">
      <w:pPr>
        <w:spacing w:before="120" w:after="120" w:line="360" w:lineRule="auto"/>
        <w:contextualSpacing/>
      </w:pPr>
      <w:r w:rsidRPr="00E3672F">
        <w:t>Latvia</w:t>
      </w:r>
      <w:r w:rsidRPr="00E3672F" w:rsidR="00413731">
        <w:t>’</w:t>
      </w:r>
      <w:r w:rsidRPr="00E3672F">
        <w:t xml:space="preserve">s government </w:t>
      </w:r>
      <w:r w:rsidRPr="00E3672F">
        <w:rPr>
          <w:b/>
          <w:bCs/>
        </w:rPr>
        <w:t>has run several coordinated public awareness efforts to explain and normali</w:t>
      </w:r>
      <w:r w:rsidRPr="00E3672F" w:rsidR="00413731">
        <w:rPr>
          <w:b/>
          <w:bCs/>
        </w:rPr>
        <w:t>s</w:t>
      </w:r>
      <w:r w:rsidRPr="00E3672F">
        <w:rPr>
          <w:b/>
          <w:bCs/>
        </w:rPr>
        <w:t>e the use of its national Whistleblowing Law</w:t>
      </w:r>
      <w:r w:rsidRPr="00E3672F">
        <w:t>, especially around and after the law</w:t>
      </w:r>
      <w:r w:rsidRPr="00E3672F" w:rsidR="00413731">
        <w:t>’</w:t>
      </w:r>
      <w:r w:rsidRPr="00E3672F">
        <w:t xml:space="preserve">s first entry into force in 2019, </w:t>
      </w:r>
      <w:r w:rsidRPr="00E3672F" w:rsidR="00F37C27">
        <w:t xml:space="preserve">and has continued </w:t>
      </w:r>
      <w:r w:rsidRPr="00E3672F">
        <w:t xml:space="preserve">to do so after introducing the new version of the Whistleblower </w:t>
      </w:r>
      <w:r w:rsidRPr="00E3672F" w:rsidR="00F37C27">
        <w:t xml:space="preserve">Law </w:t>
      </w:r>
      <w:r w:rsidRPr="00E3672F">
        <w:t>as a consequence of the EU Directive</w:t>
      </w:r>
      <w:r w:rsidRPr="00E3672F">
        <w:rPr>
          <w:rStyle w:val="FootnoteReference"/>
        </w:rPr>
        <w:footnoteReference w:id="58"/>
      </w:r>
      <w:r w:rsidRPr="00E3672F">
        <w:t xml:space="preserve">. </w:t>
      </w:r>
      <w:r w:rsidRPr="00E3672F" w:rsidR="00F37C27">
        <w:t>The a</w:t>
      </w:r>
      <w:r w:rsidRPr="00E3672F">
        <w:t xml:space="preserve">im of these campaigns was to </w:t>
      </w:r>
      <w:r w:rsidRPr="00E3672F">
        <w:rPr>
          <w:b/>
          <w:bCs/>
        </w:rPr>
        <w:t>inform the public</w:t>
      </w:r>
      <w:r w:rsidRPr="00E3672F" w:rsidR="00F37C27">
        <w:rPr>
          <w:b/>
          <w:bCs/>
        </w:rPr>
        <w:t xml:space="preserve"> as to</w:t>
      </w:r>
      <w:r w:rsidRPr="00E3672F">
        <w:rPr>
          <w:b/>
          <w:bCs/>
        </w:rPr>
        <w:t xml:space="preserve"> what qualifies as whistleblowing, how to report</w:t>
      </w:r>
      <w:r w:rsidR="005A2BBA">
        <w:rPr>
          <w:b/>
          <w:bCs/>
        </w:rPr>
        <w:t xml:space="preserve"> and</w:t>
      </w:r>
      <w:r w:rsidRPr="00E3672F">
        <w:rPr>
          <w:b/>
          <w:bCs/>
        </w:rPr>
        <w:t xml:space="preserve"> what legal protections exist and to change attitudes towards seeing whistleblowing as a public service</w:t>
      </w:r>
      <w:r w:rsidRPr="00E3672F">
        <w:t>, stressing its role in fighting corruption and protecting the public interest</w:t>
      </w:r>
      <w:r w:rsidRPr="00E3672F">
        <w:rPr>
          <w:rStyle w:val="FootnoteReference"/>
        </w:rPr>
        <w:footnoteReference w:id="59"/>
      </w:r>
      <w:r w:rsidRPr="00E3672F">
        <w:t>. These campaigns are part of a broader strategy in Latvia</w:t>
      </w:r>
      <w:r w:rsidRPr="00E3672F" w:rsidR="00413731">
        <w:t>’</w:t>
      </w:r>
      <w:r w:rsidRPr="00E3672F">
        <w:t>s open government and anti</w:t>
      </w:r>
      <w:r w:rsidRPr="00E3672F">
        <w:noBreakHyphen/>
        <w:t xml:space="preserve">corruption agenda, which links legal reforms with social change so that people feel safer and more motivated to report wrongdoing. Notable examples include </w:t>
      </w:r>
      <w:hyperlink w:history="1" r:id="rId56">
        <w:r w:rsidRPr="00E3672F">
          <w:rPr>
            <w:rStyle w:val="Hyperlink"/>
          </w:rPr>
          <w:t>See. Hear. Speak.</w:t>
        </w:r>
      </w:hyperlink>
      <w:r w:rsidRPr="00E3672F">
        <w:t xml:space="preserve"> (2019) and </w:t>
      </w:r>
      <w:hyperlink w:history="1" r:id="rId57">
        <w:r w:rsidRPr="00E3672F" w:rsidR="00F37C27">
          <w:rPr>
            <w:rStyle w:val="Hyperlink"/>
          </w:rPr>
          <w:t>The Employee is not a Trifle</w:t>
        </w:r>
      </w:hyperlink>
      <w:r w:rsidRPr="00E3672F">
        <w:t xml:space="preserve"> (2021), aiming to educate citizens on reporting misconduct, combat corruption and build trust in the system, highlighting that it protects public interest violations like fraud, health risks and abuse of power, despite ongoing challenges in awareness and fear of retaliation, leading to calls for continued efforts, especially targeting specific groups. </w:t>
      </w:r>
    </w:p>
    <w:p w:rsidRPr="00E3672F" w:rsidR="00150F07" w:rsidP="001E1287" w:rsidRDefault="00150F07" w14:paraId="524E347A" w14:textId="2A7F0995">
      <w:pPr>
        <w:spacing w:before="120" w:after="120" w:line="360" w:lineRule="auto"/>
        <w:contextualSpacing/>
      </w:pPr>
    </w:p>
    <w:p w:rsidRPr="00E3672F" w:rsidR="00150F07" w:rsidP="001E1287" w:rsidRDefault="00FF388D" w14:paraId="537F94E8" w14:textId="67F80E8A">
      <w:pPr>
        <w:pStyle w:val="Heading2"/>
        <w:spacing w:before="120" w:after="120" w:line="360" w:lineRule="auto"/>
        <w:ind w:left="720"/>
        <w:contextualSpacing/>
        <w:rPr>
          <w:rFonts w:cs="Times New Roman"/>
          <w:u w:val="single"/>
        </w:rPr>
      </w:pPr>
      <w:bookmarkStart w:name="_Toc228180520" w:id="15"/>
      <w:r w:rsidRPr="00E3672F">
        <w:rPr>
          <w:rFonts w:cs="Times New Roman"/>
          <w:u w:val="single"/>
        </w:rPr>
        <w:t>Romania</w:t>
      </w:r>
      <w:bookmarkEnd w:id="15"/>
    </w:p>
    <w:p w:rsidRPr="00E3672F" w:rsidR="009B69C5" w:rsidP="001E1287" w:rsidRDefault="009B69C5" w14:paraId="45EC5C44" w14:textId="20A567A6">
      <w:pPr>
        <w:spacing w:before="120" w:after="120" w:line="360" w:lineRule="auto"/>
        <w:contextualSpacing/>
        <w:rPr>
          <w:u w:val="single"/>
        </w:rPr>
      </w:pPr>
      <w:r w:rsidRPr="00E3672F">
        <w:rPr>
          <w:u w:val="single"/>
        </w:rPr>
        <w:t>Overview: legal framework</w:t>
      </w:r>
    </w:p>
    <w:p w:rsidRPr="00E3672F" w:rsidR="009B69C5" w:rsidP="001E1287" w:rsidRDefault="009B69C5" w14:paraId="179C744C" w14:textId="5B4AEBBB">
      <w:pPr>
        <w:spacing w:before="120" w:after="120" w:line="360" w:lineRule="auto"/>
        <w:contextualSpacing/>
        <w:rPr>
          <w:b/>
          <w:bCs/>
        </w:rPr>
      </w:pPr>
      <w:r w:rsidRPr="00E3672F">
        <w:rPr>
          <w:b/>
          <w:bCs/>
        </w:rPr>
        <w:t xml:space="preserve">Law </w:t>
      </w:r>
      <w:r w:rsidRPr="00E3672F" w:rsidR="00370F6C">
        <w:rPr>
          <w:b/>
          <w:bCs/>
        </w:rPr>
        <w:t xml:space="preserve">No </w:t>
      </w:r>
      <w:r w:rsidRPr="00E3672F">
        <w:rPr>
          <w:b/>
          <w:bCs/>
        </w:rPr>
        <w:t>361/2022: delayed transposition of the EU Directive</w:t>
      </w:r>
    </w:p>
    <w:p w:rsidRPr="00E3672F" w:rsidR="009B69C5" w:rsidP="001E1287" w:rsidRDefault="009B69C5" w14:paraId="6826480C" w14:textId="1B9998CF">
      <w:pPr>
        <w:spacing w:before="120" w:after="120" w:line="360" w:lineRule="auto"/>
        <w:contextualSpacing/>
      </w:pPr>
      <w:r w:rsidRPr="00E3672F">
        <w:t xml:space="preserve">Romania transposed Directive (EU) 2019/1937 through </w:t>
      </w:r>
      <w:hyperlink w:history="1" r:id="rId58">
        <w:r w:rsidRPr="00E3672F">
          <w:rPr>
            <w:rStyle w:val="Hyperlink"/>
            <w:b/>
            <w:bCs/>
          </w:rPr>
          <w:t xml:space="preserve">Law </w:t>
        </w:r>
        <w:r w:rsidRPr="00E3672F" w:rsidR="004D54D3">
          <w:rPr>
            <w:rStyle w:val="Hyperlink"/>
            <w:b/>
            <w:bCs/>
          </w:rPr>
          <w:t>N</w:t>
        </w:r>
        <w:r w:rsidRPr="00E3672F">
          <w:rPr>
            <w:rStyle w:val="Hyperlink"/>
            <w:b/>
            <w:bCs/>
          </w:rPr>
          <w:t>o 361/2022 on the protection of whistleblowers in the public interest</w:t>
        </w:r>
      </w:hyperlink>
      <w:r w:rsidRPr="00E3672F">
        <w:t xml:space="preserve">, which entered into force in December 2022. </w:t>
      </w:r>
    </w:p>
    <w:p w:rsidRPr="00E3672F" w:rsidR="00453885" w:rsidP="001E1287" w:rsidRDefault="00453885" w14:paraId="7D276FDA" w14:textId="77777777">
      <w:pPr>
        <w:spacing w:before="120" w:after="120" w:line="360" w:lineRule="auto"/>
        <w:contextualSpacing/>
      </w:pPr>
    </w:p>
    <w:p w:rsidRPr="00E3672F" w:rsidR="009B69C5" w:rsidP="001E1287" w:rsidRDefault="009B69C5" w14:paraId="1FA6D64B" w14:textId="3845987C">
      <w:pPr>
        <w:spacing w:before="120" w:after="120" w:line="360" w:lineRule="auto"/>
        <w:contextualSpacing/>
      </w:pPr>
      <w:r w:rsidRPr="00E3672F">
        <w:t>Romania failed to transpose the Directive within the required deadline (</w:t>
      </w:r>
      <w:r w:rsidRPr="00E3672F" w:rsidR="00931F01">
        <w:t>17 </w:t>
      </w:r>
      <w:r w:rsidRPr="00E3672F">
        <w:t xml:space="preserve">December 2021), leading the European Commission to initiate </w:t>
      </w:r>
      <w:hyperlink w:history="1" r:id="rId59">
        <w:r w:rsidRPr="00E3672F">
          <w:rPr>
            <w:rStyle w:val="Hyperlink"/>
            <w:b/>
            <w:bCs/>
          </w:rPr>
          <w:t>infringement proceedings</w:t>
        </w:r>
      </w:hyperlink>
      <w:r w:rsidRPr="00E3672F">
        <w:t xml:space="preserve"> for non-transposition. The first adopted version of the law was widely criticised by civil society</w:t>
      </w:r>
      <w:r w:rsidRPr="00E3672F" w:rsidR="007177FC">
        <w:rPr>
          <w:rStyle w:val="FootnoteReference"/>
        </w:rPr>
        <w:footnoteReference w:id="60"/>
      </w:r>
      <w:r w:rsidRPr="00E3672F">
        <w:t xml:space="preserve"> and international observers for </w:t>
      </w:r>
      <w:r w:rsidRPr="00E3672F">
        <w:rPr>
          <w:b/>
          <w:bCs/>
        </w:rPr>
        <w:t>undermining core Directive safeguards</w:t>
      </w:r>
      <w:r w:rsidRPr="00E3672F">
        <w:t xml:space="preserve">, particularly regarding anonymous reporting and reporting channels. Following sustained pressure, including from EU institutions and </w:t>
      </w:r>
      <w:r w:rsidRPr="00E3672F" w:rsidR="00180F2C">
        <w:t>CSOs</w:t>
      </w:r>
      <w:r w:rsidRPr="00E3672F">
        <w:t xml:space="preserve">, Romania amended the law through </w:t>
      </w:r>
      <w:hyperlink w:history="1" r:id="rId60">
        <w:r w:rsidRPr="00E3672F">
          <w:rPr>
            <w:rStyle w:val="Hyperlink"/>
            <w:b/>
            <w:bCs/>
          </w:rPr>
          <w:t xml:space="preserve">Law </w:t>
        </w:r>
        <w:r w:rsidRPr="00E3672F" w:rsidR="00931F01">
          <w:rPr>
            <w:rStyle w:val="Hyperlink"/>
            <w:b/>
            <w:bCs/>
          </w:rPr>
          <w:t>N</w:t>
        </w:r>
        <w:r w:rsidRPr="00E3672F">
          <w:rPr>
            <w:rStyle w:val="Hyperlink"/>
            <w:b/>
            <w:bCs/>
          </w:rPr>
          <w:t>o 67/2023</w:t>
        </w:r>
      </w:hyperlink>
      <w:r w:rsidRPr="00E3672F">
        <w:t>, notably relaxing restrictive provisions on anonymous reporting.</w:t>
      </w:r>
    </w:p>
    <w:p w:rsidRPr="00E3672F" w:rsidR="009B69C5" w:rsidP="001E1287" w:rsidRDefault="009B69C5" w14:paraId="5E77BE3B" w14:textId="60F7AA7B">
      <w:pPr>
        <w:spacing w:before="120" w:after="120" w:line="360" w:lineRule="auto"/>
        <w:contextualSpacing/>
      </w:pPr>
      <w:r w:rsidRPr="00E3672F">
        <w:t xml:space="preserve">Unlike a few other Member States, Romania </w:t>
      </w:r>
      <w:r w:rsidRPr="00E3672F">
        <w:rPr>
          <w:b/>
          <w:bCs/>
        </w:rPr>
        <w:t>did not have a comprehensive whistleblower protection framework prior to the Directive</w:t>
      </w:r>
      <w:r w:rsidRPr="009B193B" w:rsidR="007177FC">
        <w:t>,</w:t>
      </w:r>
      <w:r w:rsidRPr="00E3672F" w:rsidR="007177FC">
        <w:rPr>
          <w:b/>
          <w:bCs/>
        </w:rPr>
        <w:t xml:space="preserve"> </w:t>
      </w:r>
      <w:r w:rsidRPr="00E3672F" w:rsidR="007177FC">
        <w:t>although it had a law specifically focusing on whistleblowing in the public sector. T</w:t>
      </w:r>
      <w:r w:rsidRPr="00E3672F">
        <w:t xml:space="preserve">he 2022 law </w:t>
      </w:r>
      <w:r w:rsidRPr="00E3672F" w:rsidR="007177FC">
        <w:t xml:space="preserve">therefore </w:t>
      </w:r>
      <w:r w:rsidRPr="00E3672F">
        <w:t>represents Romania</w:t>
      </w:r>
      <w:r w:rsidRPr="00E3672F" w:rsidR="00413731">
        <w:t>’</w:t>
      </w:r>
      <w:r w:rsidRPr="00E3672F">
        <w:t>s first horizontal, cross-sectoral whistleblowing regime.</w:t>
      </w:r>
    </w:p>
    <w:p w:rsidRPr="00E3672F" w:rsidR="009B69C5" w:rsidP="001E1287" w:rsidRDefault="009B69C5" w14:paraId="32C9C61C" w14:textId="77777777">
      <w:pPr>
        <w:spacing w:before="120" w:after="120" w:line="360" w:lineRule="auto"/>
        <w:contextualSpacing/>
        <w:rPr>
          <w:b/>
          <w:bCs/>
          <w:u w:val="single"/>
        </w:rPr>
      </w:pPr>
    </w:p>
    <w:p w:rsidRPr="00E3672F" w:rsidR="009B69C5" w:rsidP="001E1287" w:rsidRDefault="009B69C5" w14:paraId="01C1F080" w14:textId="18541DEF">
      <w:pPr>
        <w:spacing w:before="120" w:after="120" w:line="360" w:lineRule="auto"/>
        <w:contextualSpacing/>
      </w:pPr>
      <w:r w:rsidRPr="00E3672F">
        <w:rPr>
          <w:b/>
          <w:bCs/>
        </w:rPr>
        <w:t xml:space="preserve">Overall assessment </w:t>
      </w:r>
      <w:r w:rsidRPr="00E3672F" w:rsidR="00931F01">
        <w:rPr>
          <w:b/>
          <w:bCs/>
        </w:rPr>
        <w:t>regarding</w:t>
      </w:r>
      <w:r w:rsidRPr="00E3672F">
        <w:rPr>
          <w:b/>
          <w:bCs/>
        </w:rPr>
        <w:t xml:space="preserve"> Directive (EU) 2019/1937</w:t>
      </w:r>
    </w:p>
    <w:p w:rsidRPr="00E3672F" w:rsidR="009B69C5" w:rsidP="001E1287" w:rsidRDefault="009B69C5" w14:paraId="08340731" w14:textId="52F16977">
      <w:pPr>
        <w:spacing w:before="120" w:after="120" w:line="360" w:lineRule="auto"/>
        <w:contextualSpacing/>
      </w:pPr>
      <w:r w:rsidRPr="00E3672F">
        <w:t>Romania</w:t>
      </w:r>
      <w:r w:rsidRPr="00E3672F" w:rsidR="00413731">
        <w:t>’</w:t>
      </w:r>
      <w:r w:rsidRPr="00E3672F">
        <w:t xml:space="preserve">s transposition ultimately resulted in a framework that is </w:t>
      </w:r>
      <w:r w:rsidRPr="00E3672F">
        <w:rPr>
          <w:b/>
          <w:bCs/>
        </w:rPr>
        <w:t>formally aligned with the Directive</w:t>
      </w:r>
      <w:r w:rsidRPr="00E3672F">
        <w:t xml:space="preserve">, but only after corrective amendments and under EU pressure. The Romanian approach can be characterised as </w:t>
      </w:r>
      <w:r w:rsidRPr="00E3672F">
        <w:rPr>
          <w:b/>
          <w:bCs/>
        </w:rPr>
        <w:t>minimal and compliance-driven</w:t>
      </w:r>
      <w:r w:rsidRPr="00E3672F">
        <w:t>, rather than anticipatory or more protective (</w:t>
      </w:r>
      <w:r w:rsidRPr="00E3672F" w:rsidR="00413731">
        <w:t>‘</w:t>
      </w:r>
      <w:r w:rsidRPr="00E3672F">
        <w:t>gold plating</w:t>
      </w:r>
      <w:r w:rsidRPr="00E3672F" w:rsidR="00413731">
        <w:t>’</w:t>
      </w:r>
      <w:r w:rsidRPr="00E3672F">
        <w:t>).</w:t>
      </w:r>
    </w:p>
    <w:p w:rsidRPr="00E3672F" w:rsidR="009B69C5" w:rsidP="001E1287" w:rsidRDefault="009B69C5" w14:paraId="4F04881E" w14:textId="77777777">
      <w:pPr>
        <w:spacing w:before="120" w:after="120" w:line="360" w:lineRule="auto"/>
        <w:contextualSpacing/>
      </w:pPr>
      <w:r w:rsidRPr="00E3672F">
        <w:t>Key features of the Romanian law compared to the EU Directive include:</w:t>
      </w:r>
    </w:p>
    <w:p w:rsidRPr="00E3672F" w:rsidR="009B69C5" w:rsidP="001E1287" w:rsidRDefault="009B69C5" w14:paraId="7BE6C2E6" w14:textId="0FB26E05">
      <w:pPr>
        <w:numPr>
          <w:ilvl w:val="0"/>
          <w:numId w:val="21"/>
        </w:numPr>
        <w:spacing w:before="120" w:after="120" w:line="360" w:lineRule="auto"/>
        <w:contextualSpacing/>
      </w:pPr>
      <w:r w:rsidRPr="00E3672F">
        <w:t>A material scope largely aligned with the Directive</w:t>
      </w:r>
      <w:r w:rsidRPr="00E3672F" w:rsidR="00413731">
        <w:t>’</w:t>
      </w:r>
      <w:r w:rsidRPr="00E3672F">
        <w:t>s minimum requirements</w:t>
      </w:r>
      <w:r w:rsidRPr="00E3672F" w:rsidR="00931F01">
        <w:t>;</w:t>
      </w:r>
    </w:p>
    <w:p w:rsidRPr="00E3672F" w:rsidR="009B69C5" w:rsidP="001E1287" w:rsidRDefault="009B69C5" w14:paraId="5ECFE491" w14:textId="383765C7">
      <w:pPr>
        <w:numPr>
          <w:ilvl w:val="0"/>
          <w:numId w:val="21"/>
        </w:numPr>
        <w:spacing w:before="120" w:after="120" w:line="360" w:lineRule="auto"/>
        <w:contextualSpacing/>
      </w:pPr>
      <w:r w:rsidRPr="00E3672F">
        <w:t>Protection for facilitators and related persons, as required by the Directive</w:t>
      </w:r>
      <w:r w:rsidRPr="00E3672F" w:rsidR="00931F01">
        <w:t>;</w:t>
      </w:r>
    </w:p>
    <w:p w:rsidRPr="00E3672F" w:rsidR="009B69C5" w:rsidP="001E1287" w:rsidRDefault="009B69C5" w14:paraId="688087FC" w14:textId="31A9FD43">
      <w:pPr>
        <w:numPr>
          <w:ilvl w:val="0"/>
          <w:numId w:val="21"/>
        </w:numPr>
        <w:spacing w:before="120" w:after="120" w:line="360" w:lineRule="auto"/>
        <w:contextualSpacing/>
      </w:pPr>
      <w:r w:rsidRPr="00E3672F">
        <w:t>Anti-retaliation safeguards broadly mirroring the Directive</w:t>
      </w:r>
      <w:r w:rsidRPr="00E3672F" w:rsidR="00931F01">
        <w:t>;</w:t>
      </w:r>
    </w:p>
    <w:p w:rsidRPr="00E3672F" w:rsidR="009B69C5" w:rsidP="001E1287" w:rsidRDefault="009B69C5" w14:paraId="25EDAB4F" w14:textId="6E0D06DB">
      <w:pPr>
        <w:numPr>
          <w:ilvl w:val="0"/>
          <w:numId w:val="21"/>
        </w:numPr>
        <w:spacing w:before="120" w:after="120" w:line="360" w:lineRule="auto"/>
        <w:contextualSpacing/>
      </w:pPr>
      <w:r w:rsidRPr="00E3672F">
        <w:t>More limited support measures than in Member States</w:t>
      </w:r>
      <w:r w:rsidRPr="00E3672F" w:rsidR="00931F01">
        <w:t xml:space="preserve"> with higher standards;</w:t>
      </w:r>
    </w:p>
    <w:p w:rsidRPr="00E3672F" w:rsidR="009B69C5" w:rsidP="001E1287" w:rsidRDefault="009B69C5" w14:paraId="29D1CA98" w14:textId="39FB1682">
      <w:pPr>
        <w:numPr>
          <w:ilvl w:val="0"/>
          <w:numId w:val="21"/>
        </w:numPr>
        <w:spacing w:before="120" w:after="120" w:line="360" w:lineRule="auto"/>
        <w:contextualSpacing/>
      </w:pPr>
      <w:r w:rsidRPr="00E3672F">
        <w:t>Initial regression risks (notably on anonymity), partially corrected in 2023</w:t>
      </w:r>
      <w:r w:rsidRPr="00E3672F" w:rsidR="00931F01">
        <w:t>.</w:t>
      </w:r>
    </w:p>
    <w:p w:rsidRPr="00E3672F" w:rsidR="009B69C5" w:rsidP="001E1287" w:rsidRDefault="009B69C5" w14:paraId="7055FB56" w14:textId="77777777">
      <w:pPr>
        <w:spacing w:before="120" w:after="120" w:line="360" w:lineRule="auto"/>
        <w:contextualSpacing/>
        <w:rPr>
          <w:b/>
          <w:bCs/>
        </w:rPr>
      </w:pPr>
    </w:p>
    <w:p w:rsidRPr="00E3672F" w:rsidR="009B69C5" w:rsidP="001E1287" w:rsidRDefault="009B69C5" w14:paraId="2D981571" w14:textId="6AC58F3E">
      <w:pPr>
        <w:spacing w:before="120" w:after="120" w:line="360" w:lineRule="auto"/>
        <w:contextualSpacing/>
      </w:pPr>
    </w:p>
    <w:p w:rsidRPr="00E3672F" w:rsidR="009B69C5" w:rsidP="001E1287" w:rsidRDefault="009B69C5" w14:paraId="3E7B6BFD" w14:textId="77777777">
      <w:pPr>
        <w:spacing w:before="120" w:after="120" w:line="360" w:lineRule="auto"/>
        <w:contextualSpacing/>
      </w:pPr>
    </w:p>
    <w:p w:rsidRPr="00E3672F" w:rsidR="009B69C5" w:rsidP="001E1287" w:rsidRDefault="009B69C5" w14:paraId="1FEA9DE2" w14:textId="25A6B4AB">
      <w:pPr>
        <w:spacing w:before="120" w:after="120" w:line="360" w:lineRule="auto"/>
        <w:contextualSpacing/>
        <w:rPr>
          <w:u w:val="single"/>
        </w:rPr>
      </w:pPr>
      <w:r w:rsidRPr="00E3672F">
        <w:rPr>
          <w:u w:val="single"/>
        </w:rPr>
        <w:t xml:space="preserve">Definition of </w:t>
      </w:r>
      <w:r w:rsidRPr="00E3672F" w:rsidR="00430258">
        <w:rPr>
          <w:u w:val="single"/>
        </w:rPr>
        <w:t>‘</w:t>
      </w:r>
      <w:r w:rsidRPr="00E3672F">
        <w:rPr>
          <w:u w:val="single"/>
        </w:rPr>
        <w:t>whistleblower</w:t>
      </w:r>
      <w:r w:rsidRPr="00E3672F" w:rsidR="00430258">
        <w:rPr>
          <w:u w:val="single"/>
        </w:rPr>
        <w:t>’</w:t>
      </w:r>
      <w:r w:rsidRPr="00E3672F">
        <w:rPr>
          <w:u w:val="single"/>
        </w:rPr>
        <w:t xml:space="preserve"> and material scope</w:t>
      </w:r>
    </w:p>
    <w:p w:rsidRPr="00E3672F" w:rsidR="009B69C5" w:rsidP="001E1287" w:rsidRDefault="009B69C5" w14:paraId="06B799D5" w14:textId="77777777">
      <w:pPr>
        <w:spacing w:before="120" w:after="120" w:line="360" w:lineRule="auto"/>
        <w:contextualSpacing/>
      </w:pPr>
      <w:r w:rsidRPr="00E3672F">
        <w:t xml:space="preserve">Under </w:t>
      </w:r>
      <w:r w:rsidRPr="00E3672F">
        <w:rPr>
          <w:b/>
          <w:bCs/>
        </w:rPr>
        <w:t>Law 361/2022</w:t>
      </w:r>
      <w:r w:rsidRPr="00E3672F">
        <w:t xml:space="preserve">, a whistleblower is defined as a natural person who reports or publicly discloses information on </w:t>
      </w:r>
      <w:r w:rsidRPr="00E3672F">
        <w:rPr>
          <w:b/>
          <w:bCs/>
        </w:rPr>
        <w:t>violations of the law</w:t>
      </w:r>
      <w:r w:rsidRPr="00E3672F">
        <w:t xml:space="preserve"> obtained in a professional context, acting in good faith and having reasonable grounds to believe the information is true.</w:t>
      </w:r>
    </w:p>
    <w:p w:rsidRPr="00E3672F" w:rsidR="009B69C5" w:rsidP="001E1287" w:rsidRDefault="009B69C5" w14:paraId="4C9532BB" w14:textId="47AD24A7">
      <w:pPr>
        <w:spacing w:before="120" w:after="120" w:line="360" w:lineRule="auto"/>
        <w:contextualSpacing/>
      </w:pPr>
      <w:r w:rsidRPr="00E3672F">
        <w:t>The Romanian law</w:t>
      </w:r>
      <w:r w:rsidRPr="00E3672F" w:rsidR="00413731">
        <w:t>’</w:t>
      </w:r>
      <w:r w:rsidRPr="00E3672F">
        <w:t xml:space="preserve">s </w:t>
      </w:r>
      <w:r w:rsidRPr="00E3672F">
        <w:rPr>
          <w:b/>
          <w:bCs/>
        </w:rPr>
        <w:t>material scope</w:t>
      </w:r>
      <w:r w:rsidRPr="00E3672F">
        <w:t xml:space="preserve"> covers:</w:t>
      </w:r>
    </w:p>
    <w:p w:rsidRPr="00E3672F" w:rsidR="009B69C5" w:rsidP="001E1287" w:rsidRDefault="009B69C5" w14:paraId="12C80C2C" w14:textId="1CD8E67F">
      <w:pPr>
        <w:numPr>
          <w:ilvl w:val="0"/>
          <w:numId w:val="21"/>
        </w:numPr>
        <w:spacing w:before="120" w:after="120" w:line="360" w:lineRule="auto"/>
        <w:contextualSpacing/>
      </w:pPr>
      <w:r w:rsidRPr="00E3672F">
        <w:t>Violations of EU law in the areas listed in the Directive (public procurement, financial services, environment, public health, data protection, etc.)</w:t>
      </w:r>
      <w:r w:rsidRPr="00E3672F" w:rsidR="00931F01">
        <w:t>;</w:t>
      </w:r>
    </w:p>
    <w:p w:rsidRPr="00E3672F" w:rsidR="009B69C5" w:rsidP="001E1287" w:rsidRDefault="009B69C5" w14:paraId="1F87BE77" w14:textId="00742271">
      <w:pPr>
        <w:numPr>
          <w:ilvl w:val="0"/>
          <w:numId w:val="21"/>
        </w:numPr>
        <w:spacing w:before="120" w:after="120" w:line="360" w:lineRule="auto"/>
        <w:contextualSpacing/>
      </w:pPr>
      <w:r w:rsidRPr="00E3672F">
        <w:t>Violations affecting the financial interests of the EU</w:t>
      </w:r>
      <w:r w:rsidRPr="00E3672F" w:rsidR="00931F01">
        <w:t>;</w:t>
      </w:r>
    </w:p>
    <w:p w:rsidRPr="00E3672F" w:rsidR="009B69C5" w:rsidP="001E1287" w:rsidRDefault="009B69C5" w14:paraId="35A2A3D6" w14:textId="3D3F48B6">
      <w:pPr>
        <w:numPr>
          <w:ilvl w:val="0"/>
          <w:numId w:val="21"/>
        </w:numPr>
        <w:spacing w:before="120" w:after="120" w:line="360" w:lineRule="auto"/>
        <w:contextualSpacing/>
      </w:pPr>
      <w:r w:rsidRPr="00E3672F">
        <w:t>Violations relating to the internal market</w:t>
      </w:r>
      <w:r w:rsidRPr="00E3672F" w:rsidR="00931F01">
        <w:t>.</w:t>
      </w:r>
    </w:p>
    <w:p w:rsidRPr="00E3672F" w:rsidR="009B69C5" w:rsidP="001E1287" w:rsidRDefault="009B69C5" w14:paraId="3B7422F5" w14:textId="77777777">
      <w:pPr>
        <w:spacing w:before="120" w:after="120" w:line="360" w:lineRule="auto"/>
        <w:contextualSpacing/>
      </w:pPr>
      <w:r w:rsidRPr="00E3672F">
        <w:t>The law also extends protection to:</w:t>
      </w:r>
    </w:p>
    <w:p w:rsidRPr="00E3672F" w:rsidR="009B69C5" w:rsidP="001E1287" w:rsidRDefault="009B69C5" w14:paraId="716DDF27" w14:textId="0A01D4EB">
      <w:pPr>
        <w:numPr>
          <w:ilvl w:val="0"/>
          <w:numId w:val="20"/>
        </w:numPr>
        <w:spacing w:before="120" w:after="120" w:line="360" w:lineRule="auto"/>
        <w:contextualSpacing/>
      </w:pPr>
      <w:r w:rsidRPr="00E3672F">
        <w:t xml:space="preserve">Violations of </w:t>
      </w:r>
      <w:r w:rsidRPr="00E3672F">
        <w:rPr>
          <w:b/>
          <w:bCs/>
        </w:rPr>
        <w:t>national law</w:t>
      </w:r>
      <w:r w:rsidRPr="00E3672F">
        <w:t>, where these fall within the professional context defined by the statute</w:t>
      </w:r>
      <w:r w:rsidRPr="00E3672F" w:rsidR="00931F01">
        <w:t>.</w:t>
      </w:r>
    </w:p>
    <w:p w:rsidRPr="00D0335D" w:rsidR="009B69C5" w:rsidP="001E1287" w:rsidRDefault="009B69C5" w14:paraId="17C46169" w14:textId="7A5A4D70">
      <w:pPr>
        <w:spacing w:before="120" w:after="120" w:line="360" w:lineRule="auto"/>
        <w:contextualSpacing/>
        <w:rPr>
          <w:b/>
        </w:rPr>
      </w:pPr>
      <w:r w:rsidRPr="00E3672F">
        <w:t xml:space="preserve">However, Romanian law </w:t>
      </w:r>
      <w:r w:rsidRPr="00E3672F">
        <w:rPr>
          <w:b/>
          <w:bCs/>
        </w:rPr>
        <w:t xml:space="preserve">does not explicitly protect reports of </w:t>
      </w:r>
      <w:r w:rsidRPr="00E3672F" w:rsidR="00430258">
        <w:rPr>
          <w:b/>
          <w:bCs/>
        </w:rPr>
        <w:t>‘</w:t>
      </w:r>
      <w:r w:rsidRPr="00E3672F">
        <w:rPr>
          <w:b/>
          <w:bCs/>
        </w:rPr>
        <w:t>threats or harm to the public interest</w:t>
      </w:r>
      <w:r w:rsidRPr="00E3672F" w:rsidR="00430258">
        <w:rPr>
          <w:b/>
          <w:bCs/>
        </w:rPr>
        <w:t>’</w:t>
      </w:r>
      <w:r w:rsidRPr="00E3672F">
        <w:rPr>
          <w:b/>
          <w:bCs/>
        </w:rPr>
        <w:t xml:space="preserve"> as a standalone category</w:t>
      </w:r>
      <w:r w:rsidRPr="00E3672F">
        <w:t>, nor does it broadly cover international commitments beyond EU law.</w:t>
      </w:r>
    </w:p>
    <w:p w:rsidRPr="00E3672F" w:rsidR="009B69C5" w:rsidP="001E1287" w:rsidRDefault="009B69C5" w14:paraId="32864D00" w14:textId="77777777">
      <w:pPr>
        <w:spacing w:before="120" w:after="120" w:line="360" w:lineRule="auto"/>
        <w:contextualSpacing/>
        <w:rPr>
          <w:b/>
          <w:bCs/>
        </w:rPr>
      </w:pPr>
    </w:p>
    <w:p w:rsidRPr="00E3672F" w:rsidR="009B69C5" w:rsidP="001E1287" w:rsidRDefault="009B69C5" w14:paraId="6544D370" w14:textId="71AC089F">
      <w:pPr>
        <w:spacing w:before="120" w:after="120" w:line="360" w:lineRule="auto"/>
        <w:contextualSpacing/>
        <w:rPr>
          <w:u w:val="single"/>
        </w:rPr>
      </w:pPr>
      <w:r w:rsidRPr="00E3672F">
        <w:rPr>
          <w:u w:val="single"/>
        </w:rPr>
        <w:t>Protected persons</w:t>
      </w:r>
    </w:p>
    <w:p w:rsidRPr="00E3672F" w:rsidR="009B69C5" w:rsidP="001E1287" w:rsidRDefault="009B69C5" w14:paraId="1C7052BF" w14:textId="77777777">
      <w:pPr>
        <w:spacing w:before="120" w:after="120" w:line="360" w:lineRule="auto"/>
        <w:contextualSpacing/>
      </w:pPr>
      <w:r w:rsidRPr="00E3672F">
        <w:t>Law 361/2022 extends protection beyond the whistleblower to include:</w:t>
      </w:r>
    </w:p>
    <w:p w:rsidRPr="00E3672F" w:rsidR="009B69C5" w:rsidP="001E1287" w:rsidRDefault="009B69C5" w14:paraId="1C2321CF" w14:textId="71F0577B">
      <w:pPr>
        <w:numPr>
          <w:ilvl w:val="0"/>
          <w:numId w:val="21"/>
        </w:numPr>
        <w:spacing w:before="120" w:after="120" w:line="360" w:lineRule="auto"/>
        <w:contextualSpacing/>
      </w:pPr>
      <w:r w:rsidRPr="00E3672F">
        <w:rPr>
          <w:b/>
          <w:bCs/>
        </w:rPr>
        <w:t>Facilitators</w:t>
      </w:r>
      <w:r w:rsidRPr="00E3672F">
        <w:t xml:space="preserve">, such as colleagues, trade unions or </w:t>
      </w:r>
      <w:r w:rsidRPr="00E3672F" w:rsidR="00180F2C">
        <w:t>CSOs</w:t>
      </w:r>
      <w:r w:rsidRPr="00E3672F">
        <w:t xml:space="preserve"> assisting the whistleblower</w:t>
      </w:r>
      <w:r w:rsidRPr="00E3672F" w:rsidR="00931F01">
        <w:t>;</w:t>
      </w:r>
    </w:p>
    <w:p w:rsidRPr="00E3672F" w:rsidR="009B69C5" w:rsidP="001E1287" w:rsidRDefault="009B69C5" w14:paraId="0AD4D36D" w14:textId="7E9241C7">
      <w:pPr>
        <w:numPr>
          <w:ilvl w:val="0"/>
          <w:numId w:val="21"/>
        </w:numPr>
        <w:spacing w:before="120" w:after="120" w:line="360" w:lineRule="auto"/>
        <w:contextualSpacing/>
      </w:pPr>
      <w:r w:rsidRPr="00E3672F">
        <w:rPr>
          <w:b/>
          <w:bCs/>
        </w:rPr>
        <w:t>Persons connected to the whistleblower</w:t>
      </w:r>
      <w:r w:rsidRPr="00E3672F">
        <w:t xml:space="preserve"> who may suffer retaliation (e.g. co-workers, relatives)</w:t>
      </w:r>
      <w:r w:rsidRPr="00E3672F" w:rsidR="00931F01">
        <w:t>;</w:t>
      </w:r>
    </w:p>
    <w:p w:rsidRPr="00E3672F" w:rsidR="009B69C5" w:rsidP="001E1287" w:rsidRDefault="009B69C5" w14:paraId="21BFAC2E" w14:textId="1EC60E2D">
      <w:pPr>
        <w:numPr>
          <w:ilvl w:val="0"/>
          <w:numId w:val="21"/>
        </w:numPr>
        <w:spacing w:before="120" w:after="120" w:line="360" w:lineRule="auto"/>
        <w:contextualSpacing/>
      </w:pPr>
      <w:r w:rsidRPr="00E3672F">
        <w:rPr>
          <w:b/>
          <w:bCs/>
        </w:rPr>
        <w:t>Legal entities</w:t>
      </w:r>
      <w:r w:rsidRPr="00E3672F">
        <w:t xml:space="preserve"> owned</w:t>
      </w:r>
      <w:r w:rsidR="005A2BBA">
        <w:t xml:space="preserve"> by</w:t>
      </w:r>
      <w:r w:rsidRPr="00E3672F">
        <w:t xml:space="preserve"> or linked to the whistleblower that may be targeted indirectly</w:t>
      </w:r>
      <w:r w:rsidRPr="00E3672F" w:rsidR="00931F01">
        <w:t>.</w:t>
      </w:r>
    </w:p>
    <w:p w:rsidRPr="00E3672F" w:rsidR="009B69C5" w:rsidP="001E1287" w:rsidRDefault="009B69C5" w14:paraId="513D214C" w14:textId="1FCF666C">
      <w:pPr>
        <w:spacing w:before="120" w:after="120" w:line="360" w:lineRule="auto"/>
        <w:contextualSpacing/>
      </w:pPr>
      <w:r w:rsidRPr="00E3672F">
        <w:t>These categories closely follow the Directive</w:t>
      </w:r>
      <w:r w:rsidRPr="00E3672F" w:rsidR="00413731">
        <w:t>’</w:t>
      </w:r>
      <w:r w:rsidRPr="00E3672F">
        <w:t>s personal scope provisions.</w:t>
      </w:r>
    </w:p>
    <w:p w:rsidRPr="00E3672F" w:rsidR="009B69C5" w:rsidP="001E1287" w:rsidRDefault="009B69C5" w14:paraId="18A3396E" w14:textId="77777777">
      <w:pPr>
        <w:spacing w:before="120" w:after="120" w:line="360" w:lineRule="auto"/>
        <w:contextualSpacing/>
      </w:pPr>
    </w:p>
    <w:p w:rsidRPr="00E3672F" w:rsidR="009B69C5" w:rsidP="001E1287" w:rsidRDefault="009B69C5" w14:paraId="48DEF406" w14:textId="037BB2E8">
      <w:pPr>
        <w:spacing w:before="120" w:after="120" w:line="360" w:lineRule="auto"/>
        <w:contextualSpacing/>
        <w:rPr>
          <w:u w:val="single"/>
        </w:rPr>
      </w:pPr>
      <w:r w:rsidRPr="00E3672F">
        <w:rPr>
          <w:u w:val="single"/>
        </w:rPr>
        <w:t>Reporting channels and procedures</w:t>
      </w:r>
    </w:p>
    <w:p w:rsidRPr="00E3672F" w:rsidR="009B69C5" w:rsidP="001E1287" w:rsidRDefault="009B69C5" w14:paraId="2C445376" w14:textId="77777777">
      <w:pPr>
        <w:spacing w:before="120" w:after="120" w:line="360" w:lineRule="auto"/>
        <w:contextualSpacing/>
      </w:pPr>
      <w:r w:rsidRPr="00E3672F">
        <w:t xml:space="preserve">Romanian law establishes the </w:t>
      </w:r>
      <w:r w:rsidRPr="00E3672F">
        <w:rPr>
          <w:b/>
          <w:bCs/>
        </w:rPr>
        <w:t>three reporting channels</w:t>
      </w:r>
      <w:r w:rsidRPr="00E3672F">
        <w:t xml:space="preserve"> required by the Directive:</w:t>
      </w:r>
    </w:p>
    <w:p w:rsidRPr="00E3672F" w:rsidR="009B69C5" w:rsidP="001E1287" w:rsidRDefault="009B69C5" w14:paraId="5442A211" w14:textId="77777777">
      <w:pPr>
        <w:pStyle w:val="ListParagraph"/>
        <w:numPr>
          <w:ilvl w:val="0"/>
          <w:numId w:val="26"/>
        </w:numPr>
        <w:spacing w:before="120" w:after="120" w:line="360" w:lineRule="auto"/>
        <w:rPr>
          <w:b/>
          <w:bCs/>
        </w:rPr>
      </w:pPr>
      <w:r w:rsidRPr="00E3672F">
        <w:rPr>
          <w:b/>
          <w:bCs/>
        </w:rPr>
        <w:t>Internal reporting</w:t>
      </w:r>
    </w:p>
    <w:p w:rsidRPr="00E3672F" w:rsidR="009B69C5" w:rsidP="001E1287" w:rsidRDefault="009B69C5" w14:paraId="1B505BF7" w14:textId="77777777">
      <w:pPr>
        <w:pStyle w:val="ListParagraph"/>
        <w:spacing w:before="120" w:after="120" w:line="360" w:lineRule="auto"/>
      </w:pPr>
      <w:r w:rsidRPr="00E3672F">
        <w:t>Mandatory for public authorities and for private entities with at least 50 employees. Procedures must ensure confidentiality and impartial handling.</w:t>
      </w:r>
    </w:p>
    <w:p w:rsidRPr="00E3672F" w:rsidR="009B69C5" w:rsidP="001E1287" w:rsidRDefault="009B69C5" w14:paraId="74E4DAE2" w14:textId="77777777">
      <w:pPr>
        <w:pStyle w:val="ListParagraph"/>
        <w:spacing w:before="120" w:after="120" w:line="360" w:lineRule="auto"/>
      </w:pPr>
    </w:p>
    <w:p w:rsidRPr="00E3672F" w:rsidR="009B69C5" w:rsidP="001E1287" w:rsidRDefault="009B69C5" w14:paraId="0AAE0D3C" w14:textId="77777777">
      <w:pPr>
        <w:pStyle w:val="ListParagraph"/>
        <w:numPr>
          <w:ilvl w:val="0"/>
          <w:numId w:val="26"/>
        </w:numPr>
        <w:spacing w:before="120" w:after="120" w:line="360" w:lineRule="auto"/>
        <w:rPr>
          <w:b/>
          <w:bCs/>
        </w:rPr>
      </w:pPr>
      <w:r w:rsidRPr="00E3672F">
        <w:rPr>
          <w:b/>
          <w:bCs/>
        </w:rPr>
        <w:t>External reporting</w:t>
      </w:r>
    </w:p>
    <w:p w:rsidRPr="00E3672F" w:rsidR="009B69C5" w:rsidP="001E1287" w:rsidRDefault="009B69C5" w14:paraId="523E7776" w14:textId="77777777">
      <w:pPr>
        <w:pStyle w:val="ListParagraph"/>
        <w:spacing w:before="120" w:after="120" w:line="360" w:lineRule="auto"/>
      </w:pPr>
      <w:r w:rsidRPr="00E3672F">
        <w:t>Reports may be submitted to designated competent authorities, depending on the sector concerned.</w:t>
      </w:r>
    </w:p>
    <w:p w:rsidRPr="00E3672F" w:rsidR="009B69C5" w:rsidP="001E1287" w:rsidRDefault="009B69C5" w14:paraId="4179BA57" w14:textId="77777777">
      <w:pPr>
        <w:pStyle w:val="ListParagraph"/>
        <w:spacing w:before="120" w:after="120" w:line="360" w:lineRule="auto"/>
      </w:pPr>
    </w:p>
    <w:p w:rsidRPr="00E3672F" w:rsidR="009B69C5" w:rsidP="001E1287" w:rsidRDefault="009B69C5" w14:paraId="75EE7897" w14:textId="77777777">
      <w:pPr>
        <w:pStyle w:val="ListParagraph"/>
        <w:numPr>
          <w:ilvl w:val="0"/>
          <w:numId w:val="26"/>
        </w:numPr>
        <w:spacing w:before="120" w:after="120" w:line="360" w:lineRule="auto"/>
        <w:rPr>
          <w:b/>
          <w:bCs/>
        </w:rPr>
      </w:pPr>
      <w:r w:rsidRPr="00E3672F">
        <w:rPr>
          <w:b/>
          <w:bCs/>
        </w:rPr>
        <w:t>Public disclosure</w:t>
      </w:r>
    </w:p>
    <w:p w:rsidRPr="00E3672F" w:rsidR="009B69C5" w:rsidP="001E1287" w:rsidRDefault="009B69C5" w14:paraId="589522A7" w14:textId="77777777">
      <w:pPr>
        <w:pStyle w:val="ListParagraph"/>
        <w:spacing w:before="120" w:after="120" w:line="360" w:lineRule="auto"/>
        <w:rPr>
          <w:b/>
          <w:bCs/>
        </w:rPr>
      </w:pPr>
      <w:r w:rsidRPr="00E3672F">
        <w:t>Public disclosure is protected only under the conditions set out in the Directive, notably:</w:t>
      </w:r>
    </w:p>
    <w:p w:rsidRPr="00E3672F" w:rsidR="009B69C5" w:rsidP="001E1287" w:rsidRDefault="009B69C5" w14:paraId="6C5F4CCA" w14:textId="77777777">
      <w:pPr>
        <w:numPr>
          <w:ilvl w:val="0"/>
          <w:numId w:val="27"/>
        </w:numPr>
        <w:spacing w:before="120" w:after="120" w:line="360" w:lineRule="auto"/>
        <w:ind w:left="1077" w:hanging="357"/>
        <w:contextualSpacing/>
      </w:pPr>
      <w:r w:rsidRPr="00E3672F">
        <w:t>lack of appropriate follow-up after reporting;</w:t>
      </w:r>
    </w:p>
    <w:p w:rsidRPr="00E3672F" w:rsidR="009B69C5" w:rsidP="001E1287" w:rsidRDefault="009B69C5" w14:paraId="1F11BF58" w14:textId="77777777">
      <w:pPr>
        <w:numPr>
          <w:ilvl w:val="0"/>
          <w:numId w:val="27"/>
        </w:numPr>
        <w:spacing w:before="120" w:after="120" w:line="360" w:lineRule="auto"/>
        <w:ind w:left="1077" w:hanging="357"/>
        <w:contextualSpacing/>
      </w:pPr>
      <w:r w:rsidRPr="00E3672F">
        <w:t>imminent or manifest danger to the public interest;</w:t>
      </w:r>
    </w:p>
    <w:p w:rsidRPr="00E3672F" w:rsidR="009B69C5" w:rsidP="001E1287" w:rsidRDefault="009B69C5" w14:paraId="06E6646B" w14:textId="77777777">
      <w:pPr>
        <w:numPr>
          <w:ilvl w:val="0"/>
          <w:numId w:val="27"/>
        </w:numPr>
        <w:spacing w:before="120" w:after="120" w:line="360" w:lineRule="auto"/>
        <w:ind w:left="1077" w:hanging="357"/>
        <w:contextualSpacing/>
      </w:pPr>
      <w:r w:rsidRPr="00E3672F">
        <w:t>risk of retaliation or evidence concealment.</w:t>
      </w:r>
    </w:p>
    <w:p w:rsidRPr="00E3672F" w:rsidR="009B69C5" w:rsidP="001E1287" w:rsidRDefault="009B69C5" w14:paraId="4FA7215B" w14:textId="77777777">
      <w:pPr>
        <w:spacing w:before="120" w:after="120" w:line="360" w:lineRule="auto"/>
        <w:ind w:left="1077"/>
        <w:contextualSpacing/>
      </w:pPr>
    </w:p>
    <w:p w:rsidRPr="00E3672F" w:rsidR="009B69C5" w:rsidP="001E1287" w:rsidRDefault="009B69C5" w14:paraId="59B77AA5" w14:textId="77777777">
      <w:pPr>
        <w:spacing w:before="120" w:after="120" w:line="360" w:lineRule="auto"/>
        <w:contextualSpacing/>
        <w:rPr>
          <w:b/>
          <w:bCs/>
        </w:rPr>
      </w:pPr>
      <w:r w:rsidRPr="00E3672F">
        <w:rPr>
          <w:b/>
          <w:bCs/>
        </w:rPr>
        <w:t>Anonymous reporting</w:t>
      </w:r>
    </w:p>
    <w:p w:rsidRPr="00E3672F" w:rsidR="009B69C5" w:rsidP="001E1287" w:rsidRDefault="009B69C5" w14:paraId="6EE8FCEE" w14:textId="4FA19A21">
      <w:pPr>
        <w:spacing w:before="120" w:after="120" w:line="360" w:lineRule="auto"/>
        <w:contextualSpacing/>
      </w:pPr>
      <w:r w:rsidRPr="00E3672F">
        <w:t xml:space="preserve">The original 2022 law imposed </w:t>
      </w:r>
      <w:r w:rsidRPr="00E3672F">
        <w:rPr>
          <w:b/>
          <w:bCs/>
        </w:rPr>
        <w:t>restrictive conditions on anonymous reports</w:t>
      </w:r>
      <w:r w:rsidRPr="00E3672F">
        <w:t xml:space="preserve">, </w:t>
      </w:r>
      <w:r w:rsidR="005A2BBA">
        <w:t>which limit</w:t>
      </w:r>
      <w:r w:rsidRPr="00E3672F">
        <w:t xml:space="preserve"> examination</w:t>
      </w:r>
      <w:r w:rsidR="005A2BBA">
        <w:t xml:space="preserve"> of them</w:t>
      </w:r>
      <w:r w:rsidRPr="00E3672F">
        <w:t xml:space="preserve">. These provisions were widely criticised and amended by </w:t>
      </w:r>
      <w:r w:rsidRPr="00E3672F">
        <w:rPr>
          <w:b/>
          <w:bCs/>
        </w:rPr>
        <w:t xml:space="preserve">Law </w:t>
      </w:r>
      <w:r w:rsidRPr="00E3672F" w:rsidR="00931F01">
        <w:rPr>
          <w:b/>
          <w:bCs/>
        </w:rPr>
        <w:t>No</w:t>
      </w:r>
      <w:r w:rsidRPr="00E3672F">
        <w:rPr>
          <w:b/>
          <w:bCs/>
        </w:rPr>
        <w:t xml:space="preserve"> 67/2023</w:t>
      </w:r>
      <w:r w:rsidRPr="00E3672F">
        <w:t>, which now requires authorities to examine anonymous reports where they contain sufficient information.</w:t>
      </w:r>
    </w:p>
    <w:p w:rsidRPr="00E3672F" w:rsidR="009B69C5" w:rsidP="001E1287" w:rsidRDefault="009B69C5" w14:paraId="4F8B6F32" w14:textId="77777777">
      <w:pPr>
        <w:spacing w:before="120" w:after="120" w:line="360" w:lineRule="auto"/>
        <w:contextualSpacing/>
      </w:pPr>
    </w:p>
    <w:p w:rsidRPr="00E3672F" w:rsidR="009B69C5" w:rsidP="001E1287" w:rsidRDefault="009B69C5" w14:paraId="3335A71C" w14:textId="5C78BD17">
      <w:pPr>
        <w:spacing w:before="120" w:after="120" w:line="360" w:lineRule="auto"/>
        <w:contextualSpacing/>
        <w:rPr>
          <w:u w:val="single"/>
        </w:rPr>
      </w:pPr>
      <w:r w:rsidRPr="00E3672F">
        <w:rPr>
          <w:u w:val="single"/>
        </w:rPr>
        <w:t>Protections against retaliation</w:t>
      </w:r>
    </w:p>
    <w:p w:rsidRPr="00E3672F" w:rsidR="009B69C5" w:rsidP="001E1287" w:rsidRDefault="009B69C5" w14:paraId="2C589DC3" w14:textId="77777777">
      <w:pPr>
        <w:spacing w:before="120" w:after="120" w:line="360" w:lineRule="auto"/>
        <w:contextualSpacing/>
        <w:rPr>
          <w:b/>
          <w:bCs/>
        </w:rPr>
      </w:pPr>
      <w:r w:rsidRPr="00E3672F">
        <w:rPr>
          <w:b/>
          <w:bCs/>
        </w:rPr>
        <w:t>a) Anti-retaliation safeguards</w:t>
      </w:r>
    </w:p>
    <w:p w:rsidRPr="00E3672F" w:rsidR="009B69C5" w:rsidP="001E1287" w:rsidRDefault="009B69C5" w14:paraId="5EA90B58" w14:textId="77777777">
      <w:pPr>
        <w:spacing w:before="120" w:after="120" w:line="360" w:lineRule="auto"/>
        <w:contextualSpacing/>
      </w:pPr>
      <w:r w:rsidRPr="00E3672F">
        <w:t>Romanian law prohibits retaliation in forms consistent with the Directive, including:</w:t>
      </w:r>
    </w:p>
    <w:p w:rsidRPr="00E3672F" w:rsidR="009B69C5" w:rsidP="001E1287" w:rsidRDefault="009B69C5" w14:paraId="16251014" w14:textId="77777777">
      <w:pPr>
        <w:numPr>
          <w:ilvl w:val="0"/>
          <w:numId w:val="22"/>
        </w:numPr>
        <w:spacing w:before="120" w:after="120" w:line="360" w:lineRule="auto"/>
        <w:contextualSpacing/>
      </w:pPr>
      <w:r w:rsidRPr="00E3672F">
        <w:t>dismissal or suspension;</w:t>
      </w:r>
    </w:p>
    <w:p w:rsidRPr="00E3672F" w:rsidR="009B69C5" w:rsidP="001E1287" w:rsidRDefault="009B69C5" w14:paraId="26E69254" w14:textId="77777777">
      <w:pPr>
        <w:numPr>
          <w:ilvl w:val="0"/>
          <w:numId w:val="22"/>
        </w:numPr>
        <w:spacing w:before="120" w:after="120" w:line="360" w:lineRule="auto"/>
        <w:contextualSpacing/>
      </w:pPr>
      <w:r w:rsidRPr="00E3672F">
        <w:t>demotion or discrimination;</w:t>
      </w:r>
    </w:p>
    <w:p w:rsidRPr="00E3672F" w:rsidR="009B69C5" w:rsidP="001E1287" w:rsidRDefault="009B69C5" w14:paraId="768869CB" w14:textId="77777777">
      <w:pPr>
        <w:numPr>
          <w:ilvl w:val="0"/>
          <w:numId w:val="22"/>
        </w:numPr>
        <w:spacing w:before="120" w:after="120" w:line="360" w:lineRule="auto"/>
        <w:contextualSpacing/>
      </w:pPr>
      <w:r w:rsidRPr="00E3672F">
        <w:t>harassment or intimidation;</w:t>
      </w:r>
    </w:p>
    <w:p w:rsidRPr="00E3672F" w:rsidR="009B69C5" w:rsidP="001E1287" w:rsidRDefault="009B69C5" w14:paraId="6A4F834F" w14:textId="77777777">
      <w:pPr>
        <w:numPr>
          <w:ilvl w:val="0"/>
          <w:numId w:val="22"/>
        </w:numPr>
        <w:spacing w:before="120" w:after="120" w:line="360" w:lineRule="auto"/>
        <w:contextualSpacing/>
      </w:pPr>
      <w:r w:rsidRPr="00E3672F">
        <w:t>negative performance assessments.</w:t>
      </w:r>
    </w:p>
    <w:p w:rsidRPr="00E3672F" w:rsidR="009B69C5" w:rsidP="001E1287" w:rsidRDefault="009B69C5" w14:paraId="076D6391" w14:textId="23EE3395">
      <w:pPr>
        <w:spacing w:before="120" w:after="120" w:line="360" w:lineRule="auto"/>
        <w:contextualSpacing/>
      </w:pPr>
      <w:r w:rsidRPr="00E3672F">
        <w:t>Protection applies to employees, civil servants, trainees, contractors and other persons in a work-related context. The burden of proof is reversed once retaliation is alleged.</w:t>
      </w:r>
    </w:p>
    <w:p w:rsidRPr="00E3672F" w:rsidR="0029785A" w:rsidP="001E1287" w:rsidRDefault="0029785A" w14:paraId="644FDD8B" w14:textId="3ACF19DA">
      <w:pPr>
        <w:spacing w:before="120" w:after="120" w:line="360" w:lineRule="auto"/>
        <w:contextualSpacing/>
      </w:pPr>
    </w:p>
    <w:p w:rsidRPr="00E3672F" w:rsidR="009B69C5" w:rsidP="001E1287" w:rsidRDefault="009B69C5" w14:paraId="05474D56" w14:textId="77777777">
      <w:pPr>
        <w:spacing w:before="120" w:after="120" w:line="360" w:lineRule="auto"/>
        <w:contextualSpacing/>
        <w:rPr>
          <w:b/>
          <w:bCs/>
        </w:rPr>
      </w:pPr>
      <w:r w:rsidRPr="00E3672F">
        <w:rPr>
          <w:b/>
          <w:bCs/>
        </w:rPr>
        <w:t>b) Civil and criminal liability exemptions</w:t>
      </w:r>
    </w:p>
    <w:p w:rsidRPr="00E3672F" w:rsidR="009B69C5" w:rsidP="001E1287" w:rsidRDefault="009B69C5" w14:paraId="1B6E9D22" w14:textId="77777777">
      <w:pPr>
        <w:spacing w:before="120" w:after="120" w:line="360" w:lineRule="auto"/>
        <w:contextualSpacing/>
      </w:pPr>
      <w:r w:rsidRPr="00E3672F">
        <w:t>Whistleblowers are exempt from civil and criminal liability where:</w:t>
      </w:r>
    </w:p>
    <w:p w:rsidRPr="00E3672F" w:rsidR="009B69C5" w:rsidP="001E1287" w:rsidRDefault="009B69C5" w14:paraId="7D8EE05D" w14:textId="77777777">
      <w:pPr>
        <w:numPr>
          <w:ilvl w:val="0"/>
          <w:numId w:val="23"/>
        </w:numPr>
        <w:spacing w:before="120" w:after="120" w:line="360" w:lineRule="auto"/>
        <w:contextualSpacing/>
      </w:pPr>
      <w:r w:rsidRPr="00E3672F">
        <w:t>they had reasonable grounds to believe the information was true;</w:t>
      </w:r>
    </w:p>
    <w:p w:rsidRPr="00E3672F" w:rsidR="009B69C5" w:rsidP="001E1287" w:rsidRDefault="009B69C5" w14:paraId="6D4246C5" w14:textId="77777777">
      <w:pPr>
        <w:numPr>
          <w:ilvl w:val="0"/>
          <w:numId w:val="23"/>
        </w:numPr>
        <w:spacing w:before="120" w:after="120" w:line="360" w:lineRule="auto"/>
        <w:contextualSpacing/>
      </w:pPr>
      <w:r w:rsidRPr="00E3672F">
        <w:t>reporting complied with legal conditions;</w:t>
      </w:r>
    </w:p>
    <w:p w:rsidRPr="00E3672F" w:rsidR="009B69C5" w:rsidP="001E1287" w:rsidRDefault="009B69C5" w14:paraId="22A1DE7E" w14:textId="77777777">
      <w:pPr>
        <w:numPr>
          <w:ilvl w:val="0"/>
          <w:numId w:val="23"/>
        </w:numPr>
        <w:spacing w:before="120" w:after="120" w:line="360" w:lineRule="auto"/>
        <w:contextualSpacing/>
      </w:pPr>
      <w:r w:rsidRPr="00E3672F">
        <w:t>disclosure was necessary to reveal the violation.</w:t>
      </w:r>
    </w:p>
    <w:p w:rsidRPr="00E3672F" w:rsidR="009B69C5" w:rsidP="001E1287" w:rsidRDefault="009B69C5" w14:paraId="36E1430B" w14:textId="77777777">
      <w:pPr>
        <w:spacing w:before="120" w:after="120" w:line="360" w:lineRule="auto"/>
        <w:contextualSpacing/>
      </w:pPr>
      <w:r w:rsidRPr="00E3672F">
        <w:t xml:space="preserve">However, Romanian law is </w:t>
      </w:r>
      <w:r w:rsidRPr="00E3672F">
        <w:rPr>
          <w:b/>
          <w:bCs/>
        </w:rPr>
        <w:t>more cautious and less explicit</w:t>
      </w:r>
      <w:r w:rsidRPr="00E3672F">
        <w:t xml:space="preserve"> than some Member States regarding immunity for document acquisition or transmission.</w:t>
      </w:r>
    </w:p>
    <w:p w:rsidRPr="00E3672F" w:rsidR="009B69C5" w:rsidP="001E1287" w:rsidRDefault="009B69C5" w14:paraId="76C556C0" w14:textId="77777777">
      <w:pPr>
        <w:spacing w:before="120" w:after="120" w:line="360" w:lineRule="auto"/>
        <w:contextualSpacing/>
      </w:pPr>
    </w:p>
    <w:p w:rsidRPr="00E3672F" w:rsidR="009B69C5" w:rsidP="001E1287" w:rsidRDefault="009B69C5" w14:paraId="0B9DF904" w14:textId="1C90DCCD">
      <w:pPr>
        <w:spacing w:before="120" w:after="120" w:line="360" w:lineRule="auto"/>
        <w:contextualSpacing/>
        <w:rPr>
          <w:u w:val="single"/>
        </w:rPr>
      </w:pPr>
      <w:r w:rsidRPr="00E3672F">
        <w:rPr>
          <w:u w:val="single"/>
        </w:rPr>
        <w:t>Enforcement and remedies</w:t>
      </w:r>
    </w:p>
    <w:p w:rsidRPr="00E3672F" w:rsidR="009B69C5" w:rsidP="001E1287" w:rsidRDefault="009B69C5" w14:paraId="4666CC45" w14:textId="77777777">
      <w:pPr>
        <w:spacing w:before="120" w:after="120" w:line="360" w:lineRule="auto"/>
        <w:contextualSpacing/>
        <w:rPr>
          <w:b/>
          <w:bCs/>
        </w:rPr>
      </w:pPr>
      <w:r w:rsidRPr="00E3672F">
        <w:rPr>
          <w:b/>
          <w:bCs/>
        </w:rPr>
        <w:t>a) Judicial relief and remedies</w:t>
      </w:r>
    </w:p>
    <w:p w:rsidRPr="00E3672F" w:rsidR="009B69C5" w:rsidP="001E1287" w:rsidRDefault="009B69C5" w14:paraId="70B74748" w14:textId="77777777">
      <w:pPr>
        <w:spacing w:before="120" w:after="120" w:line="360" w:lineRule="auto"/>
        <w:contextualSpacing/>
      </w:pPr>
      <w:r w:rsidRPr="00E3672F">
        <w:t>Whistleblowers may seek:</w:t>
      </w:r>
    </w:p>
    <w:p w:rsidRPr="00E3672F" w:rsidR="009B69C5" w:rsidP="001E1287" w:rsidRDefault="009B69C5" w14:paraId="42369BA7" w14:textId="77777777">
      <w:pPr>
        <w:numPr>
          <w:ilvl w:val="0"/>
          <w:numId w:val="24"/>
        </w:numPr>
        <w:spacing w:before="120" w:after="120" w:line="360" w:lineRule="auto"/>
        <w:contextualSpacing/>
      </w:pPr>
      <w:r w:rsidRPr="00E3672F">
        <w:t>annulment of retaliatory measures;</w:t>
      </w:r>
    </w:p>
    <w:p w:rsidRPr="00E3672F" w:rsidR="009B69C5" w:rsidP="001E1287" w:rsidRDefault="009B69C5" w14:paraId="43FE314E" w14:textId="77777777">
      <w:pPr>
        <w:numPr>
          <w:ilvl w:val="0"/>
          <w:numId w:val="24"/>
        </w:numPr>
        <w:spacing w:before="120" w:after="120" w:line="360" w:lineRule="auto"/>
        <w:contextualSpacing/>
      </w:pPr>
      <w:r w:rsidRPr="00E3672F">
        <w:t>compensation for damages;</w:t>
      </w:r>
    </w:p>
    <w:p w:rsidRPr="00E3672F" w:rsidR="009B69C5" w:rsidP="001E1287" w:rsidRDefault="009B69C5" w14:paraId="09B65CCC" w14:textId="77777777">
      <w:pPr>
        <w:numPr>
          <w:ilvl w:val="0"/>
          <w:numId w:val="24"/>
        </w:numPr>
        <w:spacing w:before="120" w:after="120" w:line="360" w:lineRule="auto"/>
        <w:contextualSpacing/>
      </w:pPr>
      <w:r w:rsidRPr="00E3672F">
        <w:t>reinstatement where applicable.</w:t>
      </w:r>
    </w:p>
    <w:p w:rsidR="009B69C5" w:rsidP="001E1287" w:rsidRDefault="009B69C5" w14:paraId="3412C152" w14:textId="77777777">
      <w:pPr>
        <w:spacing w:before="120" w:after="120" w:line="360" w:lineRule="auto"/>
        <w:contextualSpacing/>
      </w:pPr>
      <w:r w:rsidRPr="00E3672F">
        <w:t>The law does not provide for extensive interim financial assistance or legal aid mechanisms comparable to more protective regimes.</w:t>
      </w:r>
    </w:p>
    <w:p w:rsidRPr="00D0335D" w:rsidR="00F06EF4" w:rsidP="001E1287" w:rsidRDefault="00F06EF4" w14:paraId="43738875" w14:textId="77777777">
      <w:pPr>
        <w:spacing w:before="120" w:after="120" w:line="360" w:lineRule="auto"/>
        <w:contextualSpacing/>
      </w:pPr>
    </w:p>
    <w:p w:rsidRPr="00E3672F" w:rsidR="009B69C5" w:rsidP="001E1287" w:rsidRDefault="009B69C5" w14:paraId="1083AE1D" w14:textId="77777777">
      <w:pPr>
        <w:spacing w:before="120" w:after="120" w:line="360" w:lineRule="auto"/>
        <w:contextualSpacing/>
        <w:rPr>
          <w:b/>
          <w:bCs/>
        </w:rPr>
      </w:pPr>
      <w:r w:rsidRPr="00E3672F">
        <w:rPr>
          <w:b/>
          <w:bCs/>
        </w:rPr>
        <w:t>b) Competent authority</w:t>
      </w:r>
    </w:p>
    <w:p w:rsidRPr="00E3672F" w:rsidR="009B69C5" w:rsidP="001E1287" w:rsidRDefault="009B69C5" w14:paraId="26BB4FA6" w14:textId="7893DE4D">
      <w:pPr>
        <w:spacing w:before="120" w:after="120" w:line="360" w:lineRule="auto"/>
        <w:contextualSpacing/>
      </w:pPr>
      <w:r w:rsidRPr="00E3672F">
        <w:t xml:space="preserve">Under Law </w:t>
      </w:r>
      <w:r w:rsidRPr="00E3672F" w:rsidR="00370F6C">
        <w:t>No</w:t>
      </w:r>
      <w:r w:rsidRPr="00E3672F">
        <w:t xml:space="preserve"> 361/2022, Romania designates the </w:t>
      </w:r>
      <w:r w:rsidRPr="00E3672F">
        <w:rPr>
          <w:b/>
          <w:bCs/>
        </w:rPr>
        <w:t xml:space="preserve">Agenția Națională de Integritate (ANI </w:t>
      </w:r>
      <w:r w:rsidRPr="00E3672F" w:rsidR="00540A22">
        <w:rPr>
          <w:b/>
          <w:bCs/>
        </w:rPr>
        <w:t xml:space="preserve">– </w:t>
      </w:r>
      <w:r w:rsidRPr="00E3672F">
        <w:rPr>
          <w:b/>
          <w:bCs/>
        </w:rPr>
        <w:t>National Integrity Agency)</w:t>
      </w:r>
      <w:r w:rsidRPr="00E3672F">
        <w:t xml:space="preserve"> as a central competent authority responsible for receiving and processing external whistleblower reports and facilitating access to support measures. While the law also contemplates </w:t>
      </w:r>
      <w:r w:rsidRPr="00E3672F" w:rsidR="00430258">
        <w:t>‘</w:t>
      </w:r>
      <w:r w:rsidRPr="00E3672F">
        <w:t>other competent authorities</w:t>
      </w:r>
      <w:r w:rsidRPr="00E3672F" w:rsidR="00430258">
        <w:t>’</w:t>
      </w:r>
      <w:r w:rsidRPr="00E3672F">
        <w:t xml:space="preserve"> within specific subject-matter areas, these bodies (e.g.,</w:t>
      </w:r>
      <w:r w:rsidRPr="00E3672F">
        <w:rPr>
          <w:b/>
          <w:bCs/>
        </w:rPr>
        <w:t xml:space="preserve"> </w:t>
      </w:r>
      <w:r w:rsidRPr="00E3672F">
        <w:t xml:space="preserve">Direcția Națională Anticorupție/DNA, Public Ministry units) do not themselves act as independent whistleblower reception authorities and instead receive referrals from ANI when reports fall within their prosecutorial or enforcement remit. </w:t>
      </w:r>
    </w:p>
    <w:p w:rsidRPr="00E3672F" w:rsidR="009B69C5" w:rsidP="001E1287" w:rsidRDefault="009B69C5" w14:paraId="33E3E055" w14:textId="77777777">
      <w:pPr>
        <w:spacing w:before="120" w:after="120" w:line="360" w:lineRule="auto"/>
        <w:contextualSpacing/>
      </w:pPr>
    </w:p>
    <w:p w:rsidRPr="00E3672F" w:rsidR="00A91BE1" w:rsidP="001E1287" w:rsidRDefault="00A91BE1" w14:paraId="3666CC43" w14:textId="52C4F645">
      <w:pPr>
        <w:spacing w:before="120" w:after="120" w:line="360" w:lineRule="auto"/>
        <w:contextualSpacing/>
      </w:pPr>
      <w:r w:rsidRPr="00E3672F">
        <w:br w:type="page"/>
      </w:r>
    </w:p>
    <w:p w:rsidRPr="00E3672F" w:rsidR="000E2F35" w:rsidP="001E1287" w:rsidRDefault="000E2F35" w14:paraId="5E496F28" w14:textId="08D0FF2C">
      <w:pPr>
        <w:pStyle w:val="Heading1"/>
        <w:spacing w:before="120" w:after="120" w:line="360" w:lineRule="auto"/>
        <w:contextualSpacing/>
        <w:rPr>
          <w:rFonts w:cs="Times New Roman"/>
          <w:color w:val="004F88"/>
        </w:rPr>
      </w:pPr>
      <w:bookmarkStart w:name="_Toc125632262" w:id="16"/>
      <w:bookmarkStart w:name="_Toc228180521" w:id="17"/>
      <w:r w:rsidRPr="00E3672F">
        <w:rPr>
          <w:rFonts w:cs="Times New Roman"/>
          <w:color w:val="004F88"/>
        </w:rPr>
        <w:t xml:space="preserve">3. </w:t>
      </w:r>
      <w:r w:rsidRPr="00E3672F" w:rsidR="00A91BE1">
        <w:rPr>
          <w:rFonts w:cs="Times New Roman"/>
          <w:color w:val="004F88"/>
        </w:rPr>
        <w:t xml:space="preserve">Primary data: </w:t>
      </w:r>
      <w:bookmarkStart w:name="_Toc125732190" w:id="18"/>
      <w:bookmarkEnd w:id="16"/>
      <w:r w:rsidRPr="00E3672F" w:rsidR="00150F07">
        <w:rPr>
          <w:rFonts w:cs="Times New Roman"/>
          <w:color w:val="004F88"/>
        </w:rPr>
        <w:t>Effectiveness</w:t>
      </w:r>
      <w:bookmarkEnd w:id="17"/>
    </w:p>
    <w:p w:rsidR="0029785A" w:rsidP="000B42B1" w:rsidRDefault="0029785A" w14:paraId="0A7661A3" w14:textId="77777777">
      <w:bookmarkStart w:name="_Toc228180522" w:id="19"/>
    </w:p>
    <w:p w:rsidRPr="00E3672F" w:rsidR="00A644D2" w:rsidP="001E1287" w:rsidRDefault="0098180A" w14:paraId="4A6374A8" w14:textId="0500CAF2">
      <w:pPr>
        <w:pStyle w:val="Heading2"/>
        <w:spacing w:before="120" w:after="120" w:line="360" w:lineRule="auto"/>
        <w:contextualSpacing/>
        <w:rPr>
          <w:rFonts w:cs="Times New Roman"/>
          <w:color w:val="004F88"/>
        </w:rPr>
      </w:pPr>
      <w:r w:rsidRPr="00E3672F">
        <w:rPr>
          <w:rFonts w:cs="Times New Roman"/>
          <w:color w:val="004F88"/>
        </w:rPr>
        <w:t>3.1</w:t>
      </w:r>
      <w:r w:rsidRPr="00E3672F">
        <w:rPr>
          <w:rFonts w:cs="Times New Roman"/>
          <w:color w:val="004F88"/>
        </w:rPr>
        <w:tab/>
      </w:r>
      <w:bookmarkEnd w:id="18"/>
      <w:r w:rsidRPr="00E3672F" w:rsidR="00150F07">
        <w:rPr>
          <w:rFonts w:cs="Times New Roman"/>
          <w:color w:val="004F88"/>
          <w:u w:val="single"/>
        </w:rPr>
        <w:t xml:space="preserve">Information gathered in stakeholder meetings </w:t>
      </w:r>
      <w:r w:rsidRPr="00E3672F" w:rsidR="00C21FB0">
        <w:rPr>
          <w:rFonts w:cs="Times New Roman"/>
          <w:color w:val="004F88"/>
          <w:u w:val="single"/>
        </w:rPr>
        <w:t>and written contributions</w:t>
      </w:r>
      <w:bookmarkEnd w:id="19"/>
    </w:p>
    <w:p w:rsidRPr="00E3672F" w:rsidR="00833403" w:rsidP="001E1287" w:rsidRDefault="00833403" w14:paraId="27E2894B" w14:textId="77777777">
      <w:pPr>
        <w:spacing w:before="120" w:after="120" w:line="360" w:lineRule="auto"/>
        <w:contextualSpacing/>
      </w:pPr>
    </w:p>
    <w:p w:rsidRPr="00E3672F" w:rsidR="00495034" w:rsidP="001E1287" w:rsidRDefault="00495034" w14:paraId="2228D149" w14:textId="773DE157">
      <w:pPr>
        <w:pStyle w:val="Heading2"/>
        <w:spacing w:line="360" w:lineRule="auto"/>
        <w:ind w:left="1440"/>
        <w:rPr>
          <w:u w:val="single"/>
        </w:rPr>
      </w:pPr>
      <w:bookmarkStart w:name="_Toc228180523" w:id="20"/>
      <w:r w:rsidRPr="00E3672F">
        <w:rPr>
          <w:u w:val="single"/>
        </w:rPr>
        <w:t>National Implementation Challenges and Scope Extension</w:t>
      </w:r>
      <w:bookmarkEnd w:id="20"/>
    </w:p>
    <w:p w:rsidRPr="00E3672F" w:rsidR="00F67E48" w:rsidP="001E1287" w:rsidRDefault="00F67E48" w14:paraId="1A2A4A5D" w14:textId="77777777">
      <w:pPr>
        <w:spacing w:before="120" w:after="120" w:line="360" w:lineRule="auto"/>
        <w:contextualSpacing/>
      </w:pPr>
    </w:p>
    <w:p w:rsidRPr="00E3672F" w:rsidR="00F67E48" w:rsidP="001E1287" w:rsidRDefault="00F67E48" w14:paraId="2D27C176" w14:textId="78B5DD3C">
      <w:pPr>
        <w:spacing w:before="120" w:after="120" w:line="360" w:lineRule="auto"/>
        <w:ind w:left="720"/>
        <w:contextualSpacing/>
        <w:rPr>
          <w:b/>
          <w:bCs/>
        </w:rPr>
      </w:pPr>
      <w:r w:rsidRPr="00E3672F">
        <w:rPr>
          <w:b/>
          <w:bCs/>
        </w:rPr>
        <w:t xml:space="preserve">Denmark </w:t>
      </w:r>
    </w:p>
    <w:p w:rsidRPr="00E3672F" w:rsidR="00683D5A" w:rsidP="001E1287" w:rsidRDefault="00683D5A" w14:paraId="1B742F46" w14:textId="361F8EB5">
      <w:pPr>
        <w:spacing w:before="120" w:after="120" w:line="360" w:lineRule="auto"/>
      </w:pPr>
      <w:r w:rsidRPr="00E3672F">
        <w:t xml:space="preserve">Danish </w:t>
      </w:r>
      <w:r w:rsidRPr="00E3672F">
        <w:rPr>
          <w:b/>
          <w:bCs/>
        </w:rPr>
        <w:t>public authority representatives</w:t>
      </w:r>
      <w:r w:rsidRPr="00E3672F">
        <w:t xml:space="preserve"> explained that Denmark transposed the EU Whistleblowing Directive through the Act on the Protection of Whistleblowers, which was adopted in June 2021 and implemented word‑for‑word, with deliberate over‑implementation to include any serious breaches of Danish law</w:t>
      </w:r>
      <w:r w:rsidRPr="00E3672F" w:rsidR="000C05C4">
        <w:t xml:space="preserve"> and any other serious matters</w:t>
      </w:r>
      <w:r w:rsidRPr="00E3672F">
        <w:t xml:space="preserve">. They </w:t>
      </w:r>
      <w:r w:rsidR="00E713BD">
        <w:t>explained</w:t>
      </w:r>
      <w:r w:rsidRPr="00E3672F" w:rsidR="00E713BD">
        <w:t xml:space="preserve"> </w:t>
      </w:r>
      <w:r w:rsidRPr="00E3672F">
        <w:t>that this approach was intended to avoid burdening individuals with the task of distinguishing between EU law breaches and national law breaches. Danish authorities noted that the Ministry of Justice manages the overall scheme and retains interpretative authority. They highlighted that the scheme</w:t>
      </w:r>
      <w:r w:rsidRPr="00E3672F" w:rsidR="00413731">
        <w:t>’</w:t>
      </w:r>
      <w:r w:rsidRPr="00E3672F">
        <w:t xml:space="preserve">s mandate covers a broad spectrum of serious misconduct, including data security, environmental regulation, labour law breaches, tax law violations, public‑sector ethics failures and corporate governance issues. However, they acknowledged challenges in determining what constitutes a </w:t>
      </w:r>
      <w:r w:rsidRPr="00E3672F" w:rsidR="00430258">
        <w:t>‘</w:t>
      </w:r>
      <w:r w:rsidRPr="00E3672F">
        <w:t>serious violation</w:t>
      </w:r>
      <w:r w:rsidRPr="00E3672F" w:rsidR="00430258">
        <w:t>’</w:t>
      </w:r>
      <w:r w:rsidRPr="00E3672F">
        <w:t xml:space="preserve">, </w:t>
      </w:r>
      <w:r w:rsidRPr="00E3672F" w:rsidR="000C05C4">
        <w:t>they relied on expertise</w:t>
      </w:r>
      <w:r w:rsidRPr="00E3672F">
        <w:t xml:space="preserve"> beyond the competence of the whistleblower unit, which necessitates consulting specialised authorities. </w:t>
      </w:r>
    </w:p>
    <w:p w:rsidRPr="00E3672F" w:rsidR="00683D5A" w:rsidP="001E1287" w:rsidRDefault="00683D5A" w14:paraId="53464B53" w14:textId="344CE401">
      <w:pPr>
        <w:spacing w:before="120" w:after="120" w:line="360" w:lineRule="auto"/>
      </w:pPr>
      <w:r w:rsidRPr="00E3672F">
        <w:rPr>
          <w:b/>
          <w:bCs/>
        </w:rPr>
        <w:t>Civil society organisations</w:t>
      </w:r>
      <w:r w:rsidRPr="00E3672F">
        <w:t xml:space="preserve"> expressed divergent views on whether the Danish </w:t>
      </w:r>
      <w:r w:rsidR="00E713BD">
        <w:t>APW</w:t>
      </w:r>
      <w:r w:rsidRPr="00E3672F" w:rsidR="00E713BD">
        <w:t xml:space="preserve"> </w:t>
      </w:r>
      <w:r w:rsidRPr="00E3672F">
        <w:t xml:space="preserve">represents progress or regression. Some believed that the Directive and the </w:t>
      </w:r>
      <w:r w:rsidR="00E713BD">
        <w:t>APW</w:t>
      </w:r>
      <w:r w:rsidRPr="00E3672F" w:rsidR="00E713BD">
        <w:t xml:space="preserve"> </w:t>
      </w:r>
      <w:r w:rsidRPr="00E3672F">
        <w:t xml:space="preserve">strengthened whistleblower protection, but others argued the opposite, contending that the Danish implementation created excessive confidentiality obligations that </w:t>
      </w:r>
      <w:r w:rsidRPr="00E3672F" w:rsidR="000C05C4">
        <w:t xml:space="preserve">can </w:t>
      </w:r>
      <w:r w:rsidRPr="00E3672F">
        <w:t>suppress disclosures on matters of significant public interest, such as fraud, tax evasion, environmental impacts and financial misconduct. These organisations maintained that, in practice, whistleblowers face barriers that deter them from raising concerns externally, especially to the media, and highlighted concerns that serious issues risk going unreported under the Danish approach. They also pointed to reduced transparency in oversight bodies</w:t>
      </w:r>
      <w:r w:rsidRPr="00E3672F" w:rsidR="007177FC">
        <w:t xml:space="preserve">, </w:t>
      </w:r>
      <w:r w:rsidRPr="00E3672F">
        <w:t>such as anonymised decisions by regulatory authorities</w:t>
      </w:r>
      <w:r w:rsidRPr="00E3672F" w:rsidR="007177FC">
        <w:t xml:space="preserve">, </w:t>
      </w:r>
      <w:r w:rsidRPr="00E3672F">
        <w:t xml:space="preserve">which they saw as weakening public accountability by preventing identification of repeat offenders. </w:t>
      </w:r>
    </w:p>
    <w:p w:rsidRPr="00E3672F" w:rsidR="00071F71" w:rsidP="001E1287" w:rsidRDefault="00683D5A" w14:paraId="29A759D8" w14:textId="04D3B9AE">
      <w:pPr>
        <w:spacing w:before="120" w:after="120" w:line="360" w:lineRule="auto"/>
      </w:pPr>
      <w:r w:rsidRPr="00E3672F">
        <w:t xml:space="preserve">Danish </w:t>
      </w:r>
      <w:r w:rsidRPr="00E3672F">
        <w:rPr>
          <w:b/>
          <w:bCs/>
        </w:rPr>
        <w:t>social partners</w:t>
      </w:r>
      <w:r w:rsidRPr="00E3672F">
        <w:t xml:space="preserve"> generally supported the Danish model, arguing that over‑implementation provides clarity and protects employees unsure about whether breaches fall under EU or Danish legal frameworks. They further highlighted that many Danish companies and public bodies already operated whistleblowing mechanisms prior to the Directive, which made the transition smoother. However, they observed that the Directive has not significantly changed workers</w:t>
      </w:r>
      <w:r w:rsidRPr="00E3672F" w:rsidR="00413731">
        <w:t>’</w:t>
      </w:r>
      <w:r w:rsidRPr="00E3672F">
        <w:t xml:space="preserve"> behaviour, as pre‑existing labour‑market grievance structures remain widely used. Social partners emphasised that the </w:t>
      </w:r>
      <w:r w:rsidR="00E713BD">
        <w:t>APW</w:t>
      </w:r>
      <w:r w:rsidRPr="00E3672F" w:rsidR="00E713BD">
        <w:t xml:space="preserve"> </w:t>
      </w:r>
      <w:r w:rsidRPr="00E3672F">
        <w:t>appears to have had limited impact on the overall number of reports and that the whistleblowing system is still at a relatively early stage, especially regarding judicial interpretation and the development of compensation standards for retaliation.</w:t>
      </w:r>
    </w:p>
    <w:p w:rsidRPr="00E3672F" w:rsidR="00F67E48" w:rsidP="001E1287" w:rsidRDefault="00F67E48" w14:paraId="339E0569" w14:textId="77777777">
      <w:pPr>
        <w:spacing w:before="120" w:after="120" w:line="360" w:lineRule="auto"/>
        <w:contextualSpacing/>
      </w:pPr>
    </w:p>
    <w:p w:rsidRPr="00E3672F" w:rsidR="00F67E48" w:rsidP="001E1287" w:rsidRDefault="00F67E48" w14:paraId="1A201524" w14:textId="4AC12F1E">
      <w:pPr>
        <w:spacing w:before="120" w:after="120" w:line="360" w:lineRule="auto"/>
        <w:ind w:left="720"/>
        <w:contextualSpacing/>
        <w:rPr>
          <w:b/>
          <w:bCs/>
          <w:u w:val="single"/>
        </w:rPr>
      </w:pPr>
      <w:r w:rsidRPr="00E3672F">
        <w:rPr>
          <w:b/>
          <w:bCs/>
        </w:rPr>
        <w:t>France</w:t>
      </w:r>
    </w:p>
    <w:p w:rsidRPr="00E3672F" w:rsidR="0084154B" w:rsidP="001E1287" w:rsidRDefault="007177FC" w14:paraId="07FB801C" w14:textId="13ED54B3">
      <w:pPr>
        <w:spacing w:before="120" w:after="120" w:line="360" w:lineRule="auto"/>
        <w:contextualSpacing/>
      </w:pPr>
      <w:r w:rsidRPr="00E3672F">
        <w:t xml:space="preserve">French </w:t>
      </w:r>
      <w:r w:rsidRPr="00E3672F">
        <w:rPr>
          <w:b/>
          <w:bCs/>
        </w:rPr>
        <w:t xml:space="preserve">civil society organisations and social partners </w:t>
      </w:r>
      <w:r w:rsidRPr="00E3672F">
        <w:t xml:space="preserve">reported an overall positive assessment of the EU whistleblower protection framework and its transposition into national law, </w:t>
      </w:r>
      <w:r w:rsidR="00E713BD">
        <w:t>underscoring</w:t>
      </w:r>
      <w:r w:rsidRPr="00E3672F" w:rsidR="00E713BD">
        <w:t xml:space="preserve"> </w:t>
      </w:r>
      <w:r w:rsidRPr="00E3672F">
        <w:t>very clearly that and that the</w:t>
      </w:r>
      <w:r w:rsidRPr="00E3672F">
        <w:rPr>
          <w:b/>
        </w:rPr>
        <w:t xml:space="preserve"> </w:t>
      </w:r>
      <w:r w:rsidRPr="00E3672F">
        <w:rPr>
          <w:bCs/>
        </w:rPr>
        <w:t xml:space="preserve">existing </w:t>
      </w:r>
      <w:r w:rsidRPr="009B193B">
        <w:rPr>
          <w:bCs/>
          <w:i/>
          <w:iCs/>
        </w:rPr>
        <w:t>acquis</w:t>
      </w:r>
      <w:r w:rsidRPr="00E3672F">
        <w:rPr>
          <w:bCs/>
        </w:rPr>
        <w:t xml:space="preserve"> should be preserved</w:t>
      </w:r>
      <w:r w:rsidRPr="00E3672F">
        <w:t xml:space="preserve">. In their view, reopening the text at European level would pose a real risk of lowering the level of protection. Social partners noted that it has helped structure the legal environment applicable to whistleblowers and clarify obligations relating to internal reporting mechanisms in companies and administrations. </w:t>
      </w:r>
      <w:r w:rsidRPr="00E3672F" w:rsidR="0084154B">
        <w:t xml:space="preserve">They highlighted that the transposing law refined the definition of a whistleblower by removing an earlier, ambiguous reference to </w:t>
      </w:r>
      <w:r w:rsidRPr="00E3672F" w:rsidR="00430258">
        <w:t>‘</w:t>
      </w:r>
      <w:r w:rsidRPr="00E3672F" w:rsidR="0084154B">
        <w:t>disinterest</w:t>
      </w:r>
      <w:r w:rsidRPr="00E3672F" w:rsidR="00430258">
        <w:t>’</w:t>
      </w:r>
      <w:r w:rsidRPr="00E3672F" w:rsidR="0084154B">
        <w:t xml:space="preserve"> and replacing it with a requirement that the reporting person act without direct financial consideration. Several representatives underlined that the legal obligation to establish internal arrangements, coupled with the possibility of external reporting to competent authorities, has acted as a strong incentive for organisations to put mechanisms in place, even if some medium</w:t>
      </w:r>
      <w:r w:rsidRPr="00E3672F" w:rsidR="0084154B">
        <w:noBreakHyphen/>
        <w:t xml:space="preserve">sized entities appear less controlled in practice. </w:t>
      </w:r>
    </w:p>
    <w:p w:rsidRPr="00E3672F" w:rsidR="003945C0" w:rsidP="003945C0" w:rsidRDefault="0084154B" w14:paraId="1C8DF9A2" w14:textId="5FD19BFD">
      <w:pPr>
        <w:spacing w:before="120" w:after="120" w:line="360" w:lineRule="auto"/>
        <w:contextualSpacing/>
      </w:pPr>
      <w:r w:rsidRPr="00E3672F">
        <w:rPr>
          <w:b/>
          <w:bCs/>
        </w:rPr>
        <w:t>Civil society organisations and the authorities</w:t>
      </w:r>
      <w:r w:rsidRPr="00E3672F">
        <w:t xml:space="preserve"> similarly considered the European Directive itself to be a sound and ambitious framework and described the national transposition as going beyond the Directive on several points. They pointed in particular to the broadening of the personal and material scope, the removal of the </w:t>
      </w:r>
      <w:r w:rsidRPr="00E3672F" w:rsidR="00430258">
        <w:t>‘</w:t>
      </w:r>
      <w:r w:rsidRPr="00E3672F">
        <w:t>disinterest</w:t>
      </w:r>
      <w:r w:rsidRPr="00E3672F" w:rsidR="00430258">
        <w:t>’</w:t>
      </w:r>
      <w:r w:rsidRPr="00E3672F">
        <w:t xml:space="preserve"> condition in favour of a more precise criterion (no direct financial benefit), and the strengthening of safeguards against retaliation. </w:t>
      </w:r>
      <w:r w:rsidRPr="00E3672F" w:rsidR="003945C0">
        <w:t>Civil society actors emphasised that the national definition of a whistleblower is not strictly limited to the employment relationship and can cover, for example, elected officials or persons in other non</w:t>
      </w:r>
      <w:r w:rsidRPr="00E3672F" w:rsidR="003945C0">
        <w:noBreakHyphen/>
        <w:t xml:space="preserve">standard positions who bring facts to light in the public interest. Authorities noted that the creation of a dedicated function within the Defender of Rights to deal with whistleblower cases, and the sharp rise in the number of cases handled each year, illustrate both the increased visibility of the regime and the growing expectations placed on it. </w:t>
      </w:r>
    </w:p>
    <w:p w:rsidRPr="00E3672F" w:rsidR="0084154B" w:rsidP="003945C0" w:rsidRDefault="003945C0" w14:paraId="62B494B1" w14:textId="35D6E13A">
      <w:pPr>
        <w:spacing w:before="120" w:after="120" w:line="360" w:lineRule="auto"/>
        <w:contextualSpacing/>
      </w:pPr>
      <w:r w:rsidRPr="00E3672F">
        <w:t xml:space="preserve">Despite broadly welcoming the legal framework, </w:t>
      </w:r>
      <w:r w:rsidRPr="00E3672F">
        <w:rPr>
          <w:b/>
          <w:bCs/>
        </w:rPr>
        <w:t>stakeholders across all groups</w:t>
      </w:r>
      <w:r w:rsidRPr="00E3672F">
        <w:t xml:space="preserve"> stressed that the main challenges now relate to implementation rather than normative design. Civil society organisations highlighted the lack of resources available to the institutions responsible for supporting and protecting whistleblowers, including the Defender of Rights, sectoral regulators and specialised associations, which face a significant increase in cases without proportionate staff or funding. They also pointed to a lack of training for judges, lawyers, labour inspectors and administrative officials on the specificities of the whistleblower regime, which can lead to inconsistent decisions or a late legal recognition of protected status (including in some cases where otherwise recognised at administrative level). </w:t>
      </w:r>
      <w:r w:rsidRPr="00E3672F" w:rsidR="0084154B">
        <w:t xml:space="preserve">Authorities confirmed that reports received do not always fall clearly within the legal scope, often combining issues of harassment, individual conflict, ethics or administrative malfunction, and that this diversity of content can blur public understanding of what whistleblowing entails. </w:t>
      </w:r>
    </w:p>
    <w:p w:rsidRPr="00E3672F" w:rsidR="0084154B" w:rsidP="001E1287" w:rsidRDefault="0084154B" w14:paraId="44B93F30" w14:textId="77777777">
      <w:pPr>
        <w:spacing w:before="120" w:after="120" w:line="360" w:lineRule="auto"/>
        <w:contextualSpacing/>
      </w:pPr>
      <w:r w:rsidRPr="00E3672F">
        <w:t xml:space="preserve">A further structural difficulty identified by </w:t>
      </w:r>
      <w:r w:rsidRPr="00E3672F">
        <w:rPr>
          <w:b/>
          <w:bCs/>
        </w:rPr>
        <w:t>civil society and the authorities</w:t>
      </w:r>
      <w:r w:rsidRPr="00E3672F">
        <w:t xml:space="preserve"> was the absence of comprehensive, reliable public data on alerts and their follow</w:t>
      </w:r>
      <w:r w:rsidRPr="00E3672F">
        <w:noBreakHyphen/>
        <w:t>up. They explained that while some statistics exist for external channels, there is no official data collection covering all internal and external mechanisms. Attempts to gather information from organisations on the existence and use of internal schemes have produced limited results, and informal centralisation by certain institutions and associations cannot replace an official system. Stakeholders highlighted that this scarcity of data severely restricts the capacity to evaluate the overall functioning of the framework, identify gaps, understand patterns of reporting and retaliation, and develop targeted policy responses.</w:t>
      </w:r>
    </w:p>
    <w:p w:rsidRPr="00E3672F" w:rsidR="00F67E48" w:rsidP="001E1287" w:rsidRDefault="00F67E48" w14:paraId="2A6D277F" w14:textId="77777777">
      <w:pPr>
        <w:spacing w:before="120" w:after="120" w:line="360" w:lineRule="auto"/>
        <w:contextualSpacing/>
      </w:pPr>
    </w:p>
    <w:p w:rsidRPr="00E3672F" w:rsidR="00495034" w:rsidP="001E1287" w:rsidRDefault="00495034" w14:paraId="5CCF44B5" w14:textId="476E47A4">
      <w:pPr>
        <w:spacing w:before="120" w:after="120" w:line="360" w:lineRule="auto"/>
        <w:ind w:left="720"/>
        <w:contextualSpacing/>
        <w:rPr>
          <w:b/>
          <w:bCs/>
          <w:u w:val="single"/>
        </w:rPr>
      </w:pPr>
      <w:r w:rsidRPr="00E3672F">
        <w:rPr>
          <w:b/>
          <w:bCs/>
        </w:rPr>
        <w:t>Italy</w:t>
      </w:r>
      <w:r w:rsidRPr="00E3672F">
        <w:rPr>
          <w:b/>
          <w:bCs/>
          <w:u w:val="single"/>
        </w:rPr>
        <w:t xml:space="preserve"> </w:t>
      </w:r>
    </w:p>
    <w:p w:rsidRPr="00E3672F" w:rsidR="00495034" w:rsidP="001E1287" w:rsidRDefault="00495034" w14:paraId="2C2337F0" w14:textId="075A288F">
      <w:pPr>
        <w:spacing w:before="120" w:after="120" w:line="360" w:lineRule="auto"/>
        <w:contextualSpacing/>
      </w:pPr>
      <w:r w:rsidRPr="00E3672F">
        <w:rPr>
          <w:b/>
          <w:bCs/>
        </w:rPr>
        <w:t>Trade union representatives</w:t>
      </w:r>
      <w:r w:rsidRPr="00E3672F">
        <w:t xml:space="preserve"> highlighted that whistleblowing protection was not a new concept in Italy, given the pre-existing rules in the public sector and in the corporate criminal liability framework, but that the recent legislative decree transposing the EU Whistleblower Protection Directive has significantly broadened and unified the system. Trade union stakeholders from Italy considered that this new, more coherent framework has moved the national system closer to EU minimum standards while consolidating </w:t>
      </w:r>
      <w:r w:rsidRPr="00E3672F" w:rsidR="00AE37B3">
        <w:t xml:space="preserve">disparate </w:t>
      </w:r>
      <w:r w:rsidRPr="00E3672F">
        <w:t>provisions.</w:t>
      </w:r>
    </w:p>
    <w:p w:rsidRPr="00E3672F" w:rsidR="00495034" w:rsidP="001E1287" w:rsidRDefault="00495034" w14:paraId="5E25B0D3" w14:textId="7B953F38">
      <w:pPr>
        <w:spacing w:before="120" w:after="120" w:line="360" w:lineRule="auto"/>
        <w:contextualSpacing/>
      </w:pPr>
      <w:r w:rsidRPr="00E3672F">
        <w:t>According to Italian trade union representatives, the Directive</w:t>
      </w:r>
      <w:r w:rsidRPr="00E3672F" w:rsidR="00413731">
        <w:t>’</w:t>
      </w:r>
      <w:r w:rsidRPr="00E3672F">
        <w:t>s focus on protecting reports made in the public interest is particularly relevant in a national context characterised by corruption risks and complex interactions between public authorities and private entities, especially in sectors such as finance and public administration. These stakeholders stressed that the Italian production system is highly fragmented and dominated by micro</w:t>
      </w:r>
      <w:r w:rsidRPr="00E3672F" w:rsidR="00AB7642">
        <w:t>-</w:t>
      </w:r>
      <w:r w:rsidRPr="00E3672F">
        <w:t xml:space="preserve"> and small enterprises, which makes it difficult to ensure that the extended protections effectively reach workers in small workplaces where the identity of a reporting person can be quickly inferred.</w:t>
      </w:r>
    </w:p>
    <w:p w:rsidRPr="00E3672F" w:rsidR="00495034" w:rsidP="001E1287" w:rsidRDefault="00495034" w14:paraId="66FD8928" w14:textId="28D29BCA">
      <w:pPr>
        <w:spacing w:before="120" w:after="120" w:line="360" w:lineRule="auto"/>
        <w:contextualSpacing/>
      </w:pPr>
      <w:r w:rsidRPr="00E3672F">
        <w:rPr>
          <w:b/>
          <w:bCs/>
        </w:rPr>
        <w:t>Employer representatives</w:t>
      </w:r>
      <w:r w:rsidRPr="00E3672F">
        <w:t xml:space="preserve"> confirmed that, from the business perspective, </w:t>
      </w:r>
      <w:r w:rsidRPr="00E3672F" w:rsidR="00AE37B3">
        <w:t xml:space="preserve">implementation of </w:t>
      </w:r>
      <w:r w:rsidRPr="00E3672F">
        <w:t xml:space="preserve">Legislative Decree 24/2023 has required a substantial effort but </w:t>
      </w:r>
      <w:r w:rsidRPr="00E3672F" w:rsidR="00AE37B3">
        <w:t xml:space="preserve">it </w:t>
      </w:r>
      <w:r w:rsidRPr="00E3672F">
        <w:t>has also contributed to legal clarity. Employer stakeholders noted that most medium and large enterprises falling under the Directive have already established internal reporting channels and adopted written procedures, and they regarded the national decision to link whistleblowing rules to the existing corporate liability regime as a way to clarify the legal base and reduce fragmentation.</w:t>
      </w:r>
    </w:p>
    <w:p w:rsidRPr="00E3672F" w:rsidR="00495034" w:rsidP="001E1287" w:rsidRDefault="00495034" w14:paraId="2783C310" w14:textId="32AF63CF">
      <w:pPr>
        <w:spacing w:before="120" w:after="120" w:line="360" w:lineRule="auto"/>
        <w:contextualSpacing/>
      </w:pPr>
      <w:r w:rsidRPr="00E3672F">
        <w:rPr>
          <w:b/>
          <w:bCs/>
        </w:rPr>
        <w:t>Civil society and professional organisations</w:t>
      </w:r>
      <w:r w:rsidRPr="00E3672F">
        <w:t xml:space="preserve"> also underlined that the national transposition has turned a previously fragmented legal landscape into a more unified system. These civil society stakeholders </w:t>
      </w:r>
      <w:r w:rsidRPr="00E3672F" w:rsidR="006D1F68">
        <w:t xml:space="preserve">pointed out </w:t>
      </w:r>
      <w:r w:rsidRPr="00E3672F">
        <w:t>that Italy had already introduced whistleblowing rules in the public sector and within the corporate liability framework, but considered that the new decree now provides a single reference framework that extends protection to a broader range of persons in work-related contexts and clarifies the obligations of organisations to establish channels, guarantee confidentiality and prevent retaliation.</w:t>
      </w:r>
    </w:p>
    <w:p w:rsidRPr="00E3672F" w:rsidR="00F67E48" w:rsidP="001E1287" w:rsidRDefault="00F67E48" w14:paraId="2D76BF2D" w14:textId="77777777">
      <w:pPr>
        <w:spacing w:before="120" w:after="120" w:line="360" w:lineRule="auto"/>
        <w:contextualSpacing/>
      </w:pPr>
    </w:p>
    <w:p w:rsidRPr="00E3672F" w:rsidR="00F67E48" w:rsidP="001E1287" w:rsidRDefault="00F67E48" w14:paraId="3F90F9EA" w14:textId="77777777">
      <w:pPr>
        <w:spacing w:before="120" w:after="120" w:line="360" w:lineRule="auto"/>
        <w:ind w:left="720"/>
        <w:contextualSpacing/>
        <w:rPr>
          <w:b/>
          <w:bCs/>
          <w:u w:val="single"/>
        </w:rPr>
      </w:pPr>
      <w:r w:rsidRPr="00E3672F">
        <w:rPr>
          <w:b/>
          <w:bCs/>
        </w:rPr>
        <w:t>Latvia</w:t>
      </w:r>
      <w:r w:rsidRPr="00E3672F">
        <w:rPr>
          <w:b/>
          <w:bCs/>
          <w:u w:val="single"/>
        </w:rPr>
        <w:t xml:space="preserve"> </w:t>
      </w:r>
    </w:p>
    <w:p w:rsidRPr="00E3672F" w:rsidR="00D40D7B" w:rsidP="001E1287" w:rsidRDefault="00D40D7B" w14:paraId="5DB265DB" w14:textId="03DBC659">
      <w:pPr>
        <w:spacing w:before="120" w:after="120" w:line="360" w:lineRule="auto"/>
        <w:contextualSpacing/>
      </w:pPr>
      <w:r w:rsidRPr="00E3672F">
        <w:rPr>
          <w:b/>
          <w:bCs/>
        </w:rPr>
        <w:t>Public authority representatives</w:t>
      </w:r>
      <w:r w:rsidRPr="00E3672F">
        <w:t xml:space="preserve"> underlined that a dedicated whistleblowing law was already in place several years before the EU Whistleblower Protection Directive and that this early start has facilitated transposition. They stressed that the Latvian Whistleblowing </w:t>
      </w:r>
      <w:r w:rsidRPr="00E3672F" w:rsidR="006D1F68">
        <w:t xml:space="preserve">Law </w:t>
      </w:r>
      <w:r w:rsidRPr="00E3672F">
        <w:t>has a very broad material scope, allowing the reporting of any violation affecting the public interest, and not only those sectors listed in the Directive. This scope has now been further extended to cover all categories of persons mentioned in the Directive, including workers, self</w:t>
      </w:r>
      <w:r w:rsidRPr="00E3672F" w:rsidR="00413731">
        <w:t>-</w:t>
      </w:r>
      <w:r w:rsidRPr="00E3672F">
        <w:t>employed persons, shareholders, board members, contractors, subcontractors and volunteers, as well as relatives and other related persons and even legal entities associated with the reporting person. Public authority representatives considered that these extensions reflect real patterns of retaliation, which can target both individuals and their close environment. At the same time, they emphasised that the concept of whistleblowing remains anchored in work</w:t>
      </w:r>
      <w:r w:rsidRPr="00E3672F" w:rsidR="006D1F68">
        <w:t>-</w:t>
      </w:r>
      <w:r w:rsidRPr="00E3672F">
        <w:t>related activities and that reports must concern issues of public interest rather than purely individual employment disputes.</w:t>
      </w:r>
    </w:p>
    <w:p w:rsidRPr="00E3672F" w:rsidR="00D40D7B" w:rsidP="001E1287" w:rsidRDefault="00D40D7B" w14:paraId="1FFA7547" w14:textId="2154EAC6">
      <w:pPr>
        <w:spacing w:before="120" w:after="120" w:line="360" w:lineRule="auto"/>
        <w:contextualSpacing/>
      </w:pPr>
      <w:r w:rsidRPr="00E3672F">
        <w:t>Latvian public authority representatives noted that the Directive mainly prompted refinements rather than structural changes to the national system. Amendments adopted shortly before the fact</w:t>
      </w:r>
      <w:r w:rsidRPr="00E3672F" w:rsidR="006D1F68">
        <w:t>-</w:t>
      </w:r>
      <w:r w:rsidRPr="00E3672F">
        <w:t xml:space="preserve">finding visit clarified definitions, formally recognised additional categories of protected persons and confirmed the obligation to establish internal channels in public bodies and private entities above certain thresholds. Public authority representatives and </w:t>
      </w:r>
      <w:r w:rsidRPr="00E3672F">
        <w:rPr>
          <w:b/>
          <w:bCs/>
        </w:rPr>
        <w:t>trade union representatives</w:t>
      </w:r>
      <w:r w:rsidRPr="00E3672F">
        <w:t xml:space="preserve"> agreed that, on paper, the Latvian framework now goes beyond the EU minimum standards. However, all stakeholder groups underlined that practice does not yet fully match this ambitious legislation, notably due to limited awareness, uneven capacity and persistent fears of retaliation. Latvian civil society representatives described Latvia as a frontrunner from a legal point of view, but stressed that culture, trust and implementation still require sustained efforts.</w:t>
      </w:r>
    </w:p>
    <w:p w:rsidRPr="00E3672F" w:rsidR="00D40D7B" w:rsidP="001E1287" w:rsidRDefault="00D40D7B" w14:paraId="41B5E52C" w14:textId="51BF685F">
      <w:pPr>
        <w:spacing w:before="120" w:after="120" w:line="360" w:lineRule="auto"/>
        <w:contextualSpacing/>
      </w:pPr>
      <w:r w:rsidRPr="00E3672F">
        <w:t xml:space="preserve">Latvian </w:t>
      </w:r>
      <w:r w:rsidRPr="00E3672F">
        <w:rPr>
          <w:b/>
          <w:bCs/>
        </w:rPr>
        <w:t>business representatives</w:t>
      </w:r>
      <w:r w:rsidRPr="00E3672F">
        <w:t xml:space="preserve"> generally accepted the current scope of national legislation and did not call for immediate changes, but they cautioned against further extensions that could increase regulatory complexity and administrative burdens, especially for companies already subject to multiple compliance regimes. They stressed that many medium and large companies in Latvia had internal mechanisms for reporting concerns even before the Directive, and that the transposition process was essentially one of formal alignment. From their perspective, the main implementation challenge is to maintain a balance between effective protection of whistleblowers and the competitiveness of enterprises, particularly in a small economy where regulatory changes can have disproportionate effects. Several business representatives therefore favoured allowing the existing model to stabilise before considering additional extensions</w:t>
      </w:r>
      <w:r w:rsidRPr="00E3672F" w:rsidR="006D1F68">
        <w:t xml:space="preserve"> to the scope</w:t>
      </w:r>
      <w:r w:rsidRPr="00E3672F">
        <w:t>.</w:t>
      </w:r>
    </w:p>
    <w:p w:rsidR="00F67E48" w:rsidP="001E1287" w:rsidRDefault="00F67E48" w14:paraId="4AE14F08" w14:textId="77777777">
      <w:pPr>
        <w:spacing w:before="120" w:after="120" w:line="360" w:lineRule="auto"/>
        <w:contextualSpacing/>
      </w:pPr>
    </w:p>
    <w:p w:rsidR="00BA2532" w:rsidP="001E1287" w:rsidRDefault="00BA2532" w14:paraId="720403A6" w14:textId="77777777">
      <w:pPr>
        <w:spacing w:before="120" w:after="120" w:line="360" w:lineRule="auto"/>
        <w:contextualSpacing/>
      </w:pPr>
    </w:p>
    <w:p w:rsidRPr="00E3672F" w:rsidR="00BA2532" w:rsidP="001E1287" w:rsidRDefault="00BA2532" w14:paraId="4EEA8EB3" w14:textId="77777777">
      <w:pPr>
        <w:spacing w:before="120" w:after="120" w:line="360" w:lineRule="auto"/>
        <w:contextualSpacing/>
      </w:pPr>
    </w:p>
    <w:p w:rsidRPr="00E3672F" w:rsidR="00F67E48" w:rsidP="001E1287" w:rsidRDefault="00F67E48" w14:paraId="40A1CD4F" w14:textId="77777777">
      <w:pPr>
        <w:spacing w:before="120" w:after="120" w:line="360" w:lineRule="auto"/>
        <w:ind w:left="720"/>
        <w:contextualSpacing/>
        <w:rPr>
          <w:b/>
          <w:bCs/>
          <w:u w:val="single"/>
        </w:rPr>
      </w:pPr>
      <w:r w:rsidRPr="00E3672F">
        <w:rPr>
          <w:b/>
          <w:bCs/>
        </w:rPr>
        <w:t>Romania</w:t>
      </w:r>
    </w:p>
    <w:p w:rsidRPr="00E3672F" w:rsidR="003945C0" w:rsidP="003945C0" w:rsidRDefault="003945C0" w14:paraId="23843795" w14:textId="77777777">
      <w:pPr>
        <w:pStyle w:val="ListParagraph"/>
        <w:spacing w:before="120" w:after="120" w:line="360" w:lineRule="auto"/>
        <w:ind w:left="0"/>
      </w:pPr>
      <w:r w:rsidRPr="00E3672F">
        <w:t xml:space="preserve">Several </w:t>
      </w:r>
      <w:r w:rsidRPr="00E3672F">
        <w:rPr>
          <w:b/>
          <w:bCs/>
        </w:rPr>
        <w:t>civil society representatives</w:t>
      </w:r>
      <w:r w:rsidRPr="00E3672F">
        <w:t xml:space="preserve"> underlined that, in their view, the transposition of the Whistleblower Protection Directive has resulted in a perceived decrease in protection compared with the previous national framework. Before transposition, a 2004 Romanian law on whistleblowing in the public sector allowed reports through multiple channels without a strict hierarchy between internal, external or public disclosures and covered a broad range of irregularities, including ethical concerns within public institutions. After transposition, the new law went beyond the public sector but was described by Romanian civil society as more formalised and procedural, with clearer rules on reporting channels, more detailed conditions for public disclosure and stricter legal requirements for benefiting from protection. Civil society actors stressed that persons reporting serious issues in sectors such as healthcare or justice – for instance non‑sterilisation of hospital equipment or systemic problems in courts – now face higher legal uncertainty than under the previous public‑sector‑only framework. </w:t>
      </w:r>
    </w:p>
    <w:p w:rsidRPr="00E3672F" w:rsidR="003945C0" w:rsidP="003945C0" w:rsidRDefault="003945C0" w14:paraId="0B5D3F57" w14:textId="28C0445C">
      <w:pPr>
        <w:pStyle w:val="ListParagraph"/>
        <w:spacing w:before="120" w:after="120" w:line="360" w:lineRule="auto"/>
        <w:ind w:left="0"/>
      </w:pPr>
      <w:r w:rsidRPr="00E3672F">
        <w:t xml:space="preserve">Romanian </w:t>
      </w:r>
      <w:r w:rsidRPr="00E3672F">
        <w:rPr>
          <w:b/>
          <w:bCs/>
        </w:rPr>
        <w:t>social partners</w:t>
      </w:r>
      <w:r w:rsidRPr="00E3672F">
        <w:t xml:space="preserve"> reported that they were involved in the transposition of the Directive through the country</w:t>
      </w:r>
      <w:r w:rsidRPr="00E3672F" w:rsidR="00413731">
        <w:t>’</w:t>
      </w:r>
      <w:r w:rsidRPr="00E3672F">
        <w:t xml:space="preserve">s standard tripartite consultation mechanisms, particularly via the national economic and social council. Trade union representatives explained that their input on the whistleblower law was sought in the usual manner for draft legislation and that they submitted written and oral comments, while employer representatives also monitored the process and contributed views. However, social partner participation followed general consultation procedures rather than a dedicated, in‑depth dialogue on whistleblowing policy, and in the final framework the main responsibility for implementation and monitoring was assigned to the National Integrity Agency and to individual public authorities and enterprises, with no specific oversight or co‑management role formally given to social partners. </w:t>
      </w:r>
    </w:p>
    <w:p w:rsidRPr="00E3672F" w:rsidR="003945C0" w:rsidP="003945C0" w:rsidRDefault="003945C0" w14:paraId="5BE0EB21" w14:textId="36739664">
      <w:pPr>
        <w:pStyle w:val="ListParagraph"/>
        <w:spacing w:before="120" w:after="120" w:line="360" w:lineRule="auto"/>
        <w:ind w:left="0"/>
      </w:pPr>
      <w:r w:rsidRPr="00E3672F">
        <w:rPr>
          <w:b/>
          <w:bCs/>
        </w:rPr>
        <w:t>Public authorities</w:t>
      </w:r>
      <w:r w:rsidRPr="00E3672F">
        <w:t xml:space="preserve"> described the national implementation of the Directive as relatively swift and procedurally transparent, emphasising that the country already had a whistleblower framework in place before transposition. They reported that the Ministry of Justice coordinated the process, launched public consultations and collaborated with the National Integrity Agency and other stakeholders in drafting the new law. According to these authorities, the process was tied to milestones in the National Recovery and Resilience Plan (NRRP), which created additional impetus to complete transposition within fixed deadlines. They stated that civil society and social partners submitted comments and that these were considered alongside EU requirements, although not all proposals were ultimately reflected in the legislation. Authorities also noted that the Romanian law goes beyond the minimum requirements of the Directive in several respects, for instance by obliging all public authorities and companies, including those below the employee thresholds set in the Directive, to establish internal reporting channels and by protecting not only current employees but also former employees, volunteers and shareholders who obtain information in a professional context. </w:t>
      </w:r>
    </w:p>
    <w:p w:rsidRPr="00E3672F" w:rsidR="00F67E48" w:rsidP="003945C0" w:rsidRDefault="003945C0" w14:paraId="679FF86B" w14:textId="152BD804">
      <w:pPr>
        <w:pStyle w:val="ListParagraph"/>
        <w:spacing w:before="120" w:after="120" w:line="360" w:lineRule="auto"/>
        <w:ind w:left="0"/>
      </w:pPr>
      <w:r w:rsidRPr="00E3672F">
        <w:t>At the same time, Romanian social partners and civil society highlighted that this broadening of personal and institutional scope has been accompanied by implementation challenges</w:t>
      </w:r>
      <w:r w:rsidRPr="00E3672F" w:rsidR="00C266C7">
        <w:t xml:space="preserve"> and interpretative difficulties. Trade union representatives generally welcomed the fact that the law applies to a wide range of public bodies and private entities, seeing it as potentially increasing trust and uptake, and some referred to national statistics indicating an increase in reports in 2024 compared with previous years as a possible sign of growing awareness. Civil society organisations, however, were concerned that the way in which the law has been drafted and applied may have narrowed protection in practice, particularly through complex definitions and guidance that focus institutions on a limited list of legal acts. This, in their view, risks creating paradoxical situations in which minor administrative irregularities are clearly covered while serious infringements – including conduct close to criminal offences such as corruption in public procurement or misuse of EU funds – generate uncertainty as to whether whistleblower protection applies.</w:t>
      </w:r>
    </w:p>
    <w:p w:rsidRPr="00E3672F" w:rsidR="00495034" w:rsidP="001E1287" w:rsidRDefault="00495034" w14:paraId="04DEF623" w14:textId="77777777">
      <w:pPr>
        <w:spacing w:before="120" w:after="120" w:line="360" w:lineRule="auto"/>
        <w:contextualSpacing/>
      </w:pPr>
    </w:p>
    <w:p w:rsidRPr="00E3672F" w:rsidR="00495034" w:rsidP="001E1287" w:rsidRDefault="00495034" w14:paraId="78954E77" w14:textId="4726F11B">
      <w:pPr>
        <w:pStyle w:val="Heading2"/>
        <w:spacing w:line="360" w:lineRule="auto"/>
        <w:ind w:left="720"/>
        <w:rPr>
          <w:u w:val="single"/>
        </w:rPr>
      </w:pPr>
      <w:bookmarkStart w:name="_Toc228180524" w:id="21"/>
      <w:r w:rsidRPr="00E3672F">
        <w:rPr>
          <w:u w:val="single"/>
        </w:rPr>
        <w:t>Functionality and Accessibility of Reporting Channels</w:t>
      </w:r>
      <w:bookmarkEnd w:id="21"/>
    </w:p>
    <w:p w:rsidRPr="00E3672F" w:rsidR="00F67E48" w:rsidP="001E1287" w:rsidRDefault="00F67E48" w14:paraId="1E65EE4E" w14:textId="77777777">
      <w:pPr>
        <w:spacing w:before="120" w:after="120" w:line="360" w:lineRule="auto"/>
        <w:contextualSpacing/>
      </w:pPr>
    </w:p>
    <w:p w:rsidRPr="00E3672F" w:rsidR="00F67E48" w:rsidP="001E1287" w:rsidRDefault="00F67E48" w14:paraId="4773E6D9" w14:textId="77777777">
      <w:pPr>
        <w:spacing w:before="120" w:after="120" w:line="360" w:lineRule="auto"/>
        <w:ind w:left="720"/>
        <w:contextualSpacing/>
        <w:rPr>
          <w:b/>
          <w:bCs/>
        </w:rPr>
      </w:pPr>
      <w:r w:rsidRPr="00E3672F">
        <w:rPr>
          <w:b/>
          <w:bCs/>
        </w:rPr>
        <w:t xml:space="preserve">Denmark </w:t>
      </w:r>
    </w:p>
    <w:p w:rsidRPr="00E3672F" w:rsidR="00683D5A" w:rsidP="001E1287" w:rsidRDefault="00683D5A" w14:paraId="225D7C03" w14:textId="6731E9EB">
      <w:pPr>
        <w:spacing w:before="120" w:after="120" w:line="360" w:lineRule="auto"/>
      </w:pPr>
      <w:r w:rsidRPr="00E3672F">
        <w:t xml:space="preserve">Danish </w:t>
      </w:r>
      <w:r w:rsidRPr="00E3672F">
        <w:rPr>
          <w:b/>
          <w:bCs/>
        </w:rPr>
        <w:t>public authority representatives</w:t>
      </w:r>
      <w:r w:rsidRPr="00E3672F">
        <w:t xml:space="preserve"> described a multi‑channel reporting system that accepts disclosures by telephone, email, physical letter, secure online portal and in‑person meetings held off‑site for confidentiality. They reported that the Tor‑based portal offers full anonymity, although it prevents re‑contact unless the whistleblower returns to the platform, resulting in a significant proportion of cases being closed </w:t>
      </w:r>
      <w:r w:rsidR="00055465">
        <w:t>due to</w:t>
      </w:r>
      <w:r w:rsidRPr="00E3672F" w:rsidR="00055465">
        <w:t xml:space="preserve"> </w:t>
      </w:r>
      <w:r w:rsidRPr="00E3672F">
        <w:t xml:space="preserve">lack of information. Authorities stated that approximately one third of all reports are referred to other specialised bodies, such as the working environment authority, tax authorities or police, depending on the seriousness and subject matter. They added that a substantial share of cases involve personal grievances rather than systemic misconduct, while roughly one fifth of cases do not meet the seriousness threshold. Public authorities emphasised that internal reporting is not mandatory for individuals, who may report directly to the external scheme if they prefer. </w:t>
      </w:r>
    </w:p>
    <w:p w:rsidRPr="00E3672F" w:rsidR="00683D5A" w:rsidP="001E1287" w:rsidRDefault="00683D5A" w14:paraId="776B4871" w14:textId="12A43399">
      <w:pPr>
        <w:spacing w:before="120" w:after="120" w:line="360" w:lineRule="auto"/>
      </w:pPr>
      <w:r w:rsidRPr="00E3672F">
        <w:rPr>
          <w:b/>
          <w:bCs/>
        </w:rPr>
        <w:t>Civil society organisations</w:t>
      </w:r>
      <w:r w:rsidRPr="00E3672F">
        <w:t xml:space="preserve"> highlighted concerns about confidentiality, particularly in smaller organisations where anonymity is difficult to maintain. </w:t>
      </w:r>
      <w:r w:rsidRPr="00E3672F" w:rsidR="000C05C4">
        <w:t xml:space="preserve">Some </w:t>
      </w:r>
      <w:r w:rsidRPr="00E3672F">
        <w:t>criticised the perceived prioritisation of internal reporting and contended that the system</w:t>
      </w:r>
      <w:r w:rsidRPr="00E3672F" w:rsidR="00413731">
        <w:t>’</w:t>
      </w:r>
      <w:r w:rsidRPr="00E3672F">
        <w:t>s confidentiality provisions discourage whistleblowers from contacting the press or external bodies, limiting broader public awareness of systemic problems. They pointed to examples in which significant issues</w:t>
      </w:r>
      <w:r w:rsidRPr="00E3672F" w:rsidR="003945C0">
        <w:t xml:space="preserve">, </w:t>
      </w:r>
      <w:r w:rsidRPr="00E3672F">
        <w:t>such as healthcare failures or municipal misconduct</w:t>
      </w:r>
      <w:r w:rsidRPr="00E3672F" w:rsidR="003945C0">
        <w:t xml:space="preserve">, </w:t>
      </w:r>
      <w:r w:rsidRPr="00E3672F">
        <w:t xml:space="preserve">only gained traction once exposed by investigative journalism, illustrating what they viewed as weaknesses in internal and external reporting channels. Civil society participants also noted that whistleblowers may hesitate to disclose information publicly for fear of breaching legal secrecy obligations, especially in fields governed by strict confidentiality rules. </w:t>
      </w:r>
    </w:p>
    <w:p w:rsidRPr="00E3672F" w:rsidR="00071F71" w:rsidP="001E1287" w:rsidRDefault="00683D5A" w14:paraId="7D1EF8DB" w14:textId="28ECEAF8">
      <w:pPr>
        <w:spacing w:before="120" w:after="120" w:line="360" w:lineRule="auto"/>
      </w:pPr>
      <w:r w:rsidRPr="00E3672F">
        <w:t xml:space="preserve">Danish </w:t>
      </w:r>
      <w:r w:rsidRPr="00E3672F">
        <w:rPr>
          <w:b/>
          <w:bCs/>
        </w:rPr>
        <w:t>social partners</w:t>
      </w:r>
      <w:r w:rsidRPr="00E3672F">
        <w:t xml:space="preserve"> provided a more optimistic assessment, stating that internal channels generally function well, although they acknowledged that anonymity is not always guaranteed. Some employees therefore prefer the external reporting channel managed by the data protection authority, which they view as independent and </w:t>
      </w:r>
      <w:r w:rsidRPr="00E3672F" w:rsidR="00122727">
        <w:t xml:space="preserve">more </w:t>
      </w:r>
      <w:r w:rsidRPr="00E3672F">
        <w:t xml:space="preserve">trusted. They also noted that workers </w:t>
      </w:r>
      <w:r w:rsidRPr="00E3672F" w:rsidR="00122727">
        <w:t xml:space="preserve">in most cases </w:t>
      </w:r>
      <w:r w:rsidRPr="00E3672F">
        <w:t>consult trade unions before reporting misconduct, particularly to understand how confidentiality applies and what risks they may face. While acknowledging concerns in some cases</w:t>
      </w:r>
      <w:r w:rsidRPr="00E3672F" w:rsidR="003945C0">
        <w:t xml:space="preserve">, </w:t>
      </w:r>
      <w:r w:rsidRPr="00E3672F">
        <w:t>such as a high‑profile municipal retaliation incident</w:t>
      </w:r>
      <w:r w:rsidRPr="00E3672F" w:rsidR="003945C0">
        <w:t xml:space="preserve">, </w:t>
      </w:r>
      <w:r w:rsidRPr="00E3672F">
        <w:t>they considered the external system credible and professional. Social partners indicated that targeted awareness‑raising by unions has increased employees</w:t>
      </w:r>
      <w:r w:rsidRPr="00E3672F" w:rsidR="00413731">
        <w:t>’</w:t>
      </w:r>
      <w:r w:rsidRPr="00E3672F">
        <w:t xml:space="preserve"> familiarity with reporting channels and that many workers now actively seek guidance on the most appropriate path for disclosure.</w:t>
      </w:r>
    </w:p>
    <w:p w:rsidRPr="00E3672F" w:rsidR="00F67E48" w:rsidP="001E1287" w:rsidRDefault="00F67E48" w14:paraId="7DA51A29" w14:textId="77777777">
      <w:pPr>
        <w:spacing w:before="120" w:after="120" w:line="360" w:lineRule="auto"/>
        <w:contextualSpacing/>
      </w:pPr>
    </w:p>
    <w:p w:rsidRPr="00E3672F" w:rsidR="00F67E48" w:rsidP="001E1287" w:rsidRDefault="00F67E48" w14:paraId="41E97FF2" w14:textId="77777777">
      <w:pPr>
        <w:spacing w:before="120" w:after="120" w:line="360" w:lineRule="auto"/>
        <w:ind w:left="720"/>
        <w:contextualSpacing/>
        <w:rPr>
          <w:b/>
          <w:bCs/>
        </w:rPr>
      </w:pPr>
      <w:r w:rsidRPr="00E3672F">
        <w:rPr>
          <w:b/>
          <w:bCs/>
        </w:rPr>
        <w:t>France</w:t>
      </w:r>
    </w:p>
    <w:p w:rsidRPr="00E3672F" w:rsidR="0084154B" w:rsidP="001E1287" w:rsidRDefault="0029785A" w14:paraId="5FD1B4EC" w14:textId="16564A2A">
      <w:pPr>
        <w:spacing w:before="120" w:after="120" w:line="360" w:lineRule="auto"/>
        <w:contextualSpacing/>
      </w:pPr>
      <w:r>
        <w:rPr>
          <w:b/>
          <w:bCs/>
        </w:rPr>
        <w:t xml:space="preserve">Multiple stakeholders </w:t>
      </w:r>
      <w:r w:rsidRPr="000B42B1">
        <w:t>(mostly from</w:t>
      </w:r>
      <w:r w:rsidRPr="00D0335D">
        <w:t xml:space="preserve"> civil society organisations</w:t>
      </w:r>
      <w:r w:rsidRPr="000B42B1">
        <w:t xml:space="preserve"> and trade</w:t>
      </w:r>
      <w:r>
        <w:t xml:space="preserve"> </w:t>
      </w:r>
      <w:r w:rsidRPr="000B42B1">
        <w:t>unions)</w:t>
      </w:r>
      <w:r w:rsidRPr="00E3672F" w:rsidR="0084154B">
        <w:t xml:space="preserve"> agreed that the Directive and its transposition into national law have </w:t>
      </w:r>
      <w:r w:rsidR="00055465">
        <w:t>significantly helped clarify</w:t>
      </w:r>
      <w:r w:rsidRPr="00E3672F" w:rsidR="0084154B">
        <w:t xml:space="preserve"> the organisation of reporting channels by distinguishing between internal, external and public disclosure routes. </w:t>
      </w:r>
      <w:r w:rsidRPr="00E3672F" w:rsidR="0084154B">
        <w:rPr>
          <w:b/>
          <w:bCs/>
        </w:rPr>
        <w:t>Trade union representatives</w:t>
      </w:r>
      <w:r w:rsidRPr="00E3672F" w:rsidR="0084154B">
        <w:t xml:space="preserve"> explained that, in many organisations, internal channels now formally exist and, on paper, cover a broad range of issues relevant to the general interest. However, they highlighted that internal systems </w:t>
      </w:r>
      <w:r w:rsidRPr="00E3672F" w:rsidR="003945C0">
        <w:t xml:space="preserve">often </w:t>
      </w:r>
      <w:r w:rsidRPr="00E3672F" w:rsidR="0084154B">
        <w:t xml:space="preserve">can be perceived as inaccessible or insufficiently independent, particularly when reports concern members of management or other influential figures. Several interlocutors noted that in such circumstances, direct recourse to an external channel may offer more guarantees of confidentiality and impartiality, and that this option should be clearly communicated and effectively available. </w:t>
      </w:r>
    </w:p>
    <w:p w:rsidRPr="00E3672F" w:rsidR="0084154B" w:rsidP="001E1287" w:rsidRDefault="0084154B" w14:paraId="0B16B534" w14:textId="50CCD5C4">
      <w:pPr>
        <w:spacing w:before="120" w:after="120" w:line="360" w:lineRule="auto"/>
        <w:contextualSpacing/>
      </w:pPr>
      <w:r w:rsidRPr="00E3672F">
        <w:t>Civil society organisations pointed out that, although internal reporting is often presented as the preferred route, European and national law also allow certain disclosures to be made directly to external authorities. They observed that this aspect is sometimes under</w:t>
      </w:r>
      <w:r w:rsidRPr="00E3672F">
        <w:noBreakHyphen/>
        <w:t>emphasised in practice, which can lead individuals to believe they must always report internally first, even when this may be inappropriate or unsafe. They further noted that the Directive does not prescribe a general sanction for the absence of internal mechanisms, leaving sanctioning to Member States. In the national context, obligations to set up reporting arrangements attached to sanctions exist in certain specific areas, such as anti</w:t>
      </w:r>
      <w:r w:rsidRPr="00E3672F">
        <w:noBreakHyphen/>
        <w:t xml:space="preserve">corruption requirements for large companies, but not for the broader whistleblowing framework. This creates situations where some entities formally comply with basic requirements while failing to ensure that channels are genuinely functional and trusted. </w:t>
      </w:r>
    </w:p>
    <w:p w:rsidRPr="00E3672F" w:rsidR="0084154B" w:rsidP="001E1287" w:rsidRDefault="0084154B" w14:paraId="01323BD9" w14:textId="286FB8E3">
      <w:pPr>
        <w:spacing w:before="120" w:after="120" w:line="360" w:lineRule="auto"/>
        <w:contextualSpacing/>
      </w:pPr>
      <w:r w:rsidRPr="00E3672F">
        <w:rPr>
          <w:b/>
          <w:bCs/>
        </w:rPr>
        <w:t>Authorities</w:t>
      </w:r>
      <w:r w:rsidRPr="00E3672F">
        <w:t xml:space="preserve"> reported that the Directive and the transposing law have had a strong impact on the deployment of internal mechanisms, with many companies and administrations putting structures in place to receive alerts. They explained that </w:t>
      </w:r>
      <w:r w:rsidR="00055465">
        <w:t>41</w:t>
      </w:r>
      <w:r w:rsidRPr="00E3672F">
        <w:t xml:space="preserve"> external authorities have been designated to receive and process reports within their respective areas of competence, allowing specialisation and sector</w:t>
      </w:r>
      <w:r w:rsidRPr="00E3672F">
        <w:noBreakHyphen/>
        <w:t>specific expertise. At the same time, they acknowledged that this multi</w:t>
      </w:r>
      <w:r w:rsidRPr="00E3672F">
        <w:noBreakHyphen/>
        <w:t xml:space="preserve">authority model makes the system </w:t>
      </w:r>
      <w:r w:rsidRPr="00E3672F" w:rsidR="004A432D">
        <w:t xml:space="preserve">complicated </w:t>
      </w:r>
      <w:r w:rsidRPr="00E3672F">
        <w:t xml:space="preserve">for reporting persons, who may be unsure which body is responsible for their case. In practice, many reports are directed to the </w:t>
      </w:r>
      <w:r w:rsidRPr="00E3672F" w:rsidR="003945C0">
        <w:t>Defender of Rights</w:t>
      </w:r>
      <w:r w:rsidRPr="00E3672F">
        <w:t>, which plays a central coordinating and advisory role, sometimes leading to heavy workloads and the risk of bottlenecks. Authorities also underlined that not all designated bodies have investigative powers and that those which do often have limited capacity, which can slow follow</w:t>
      </w:r>
      <w:r w:rsidRPr="00E3672F">
        <w:noBreakHyphen/>
        <w:t xml:space="preserve">up actions. </w:t>
      </w:r>
    </w:p>
    <w:p w:rsidRPr="00E3672F" w:rsidR="0084154B" w:rsidP="001E1287" w:rsidRDefault="0084154B" w14:paraId="7F2EB0E5" w14:textId="1500E440">
      <w:pPr>
        <w:spacing w:before="120" w:after="120" w:line="360" w:lineRule="auto"/>
        <w:contextualSpacing/>
      </w:pPr>
      <w:r w:rsidRPr="00E3672F">
        <w:rPr>
          <w:b/>
          <w:bCs/>
        </w:rPr>
        <w:t>French stakeholders across all groups</w:t>
      </w:r>
      <w:r w:rsidRPr="00E3672F">
        <w:t xml:space="preserve"> stressed that public disclosure remains subject to strict conditions but acknowledged that case</w:t>
      </w:r>
      <w:r w:rsidRPr="00E3672F">
        <w:noBreakHyphen/>
        <w:t>law has recognised the lawfulness of direct publication in specific circumstances. Journalists and civil society actors noted that, in some cases, publication can contribute to the protection of the whistleblower and to the exposure of serious wrongdoing, particularly when other channels have failed to produce adequate responses. At the same time, they expressed concern that the conditions attached to public disclosure, including prior internal or external steps and time limits, may appear too lengthy or burdensome in urgent situations and may complicate the work of journalists who seek to inform the public on matters of general interest.</w:t>
      </w:r>
    </w:p>
    <w:p w:rsidRPr="00E3672F" w:rsidR="0084154B" w:rsidP="001E1287" w:rsidRDefault="0084154B" w14:paraId="45E50DA7" w14:textId="77777777">
      <w:pPr>
        <w:spacing w:before="120" w:after="120" w:line="360" w:lineRule="auto"/>
        <w:contextualSpacing/>
      </w:pPr>
    </w:p>
    <w:p w:rsidRPr="00E3672F" w:rsidR="00495034" w:rsidP="001E1287" w:rsidRDefault="00495034" w14:paraId="31FEDE46" w14:textId="1BBA5353">
      <w:pPr>
        <w:spacing w:before="120" w:after="120" w:line="360" w:lineRule="auto"/>
        <w:ind w:left="720"/>
        <w:contextualSpacing/>
        <w:rPr>
          <w:b/>
          <w:bCs/>
        </w:rPr>
      </w:pPr>
      <w:r w:rsidRPr="00E3672F">
        <w:rPr>
          <w:b/>
          <w:bCs/>
        </w:rPr>
        <w:t>Italy</w:t>
      </w:r>
    </w:p>
    <w:p w:rsidRPr="00E3672F" w:rsidR="00495034" w:rsidP="001E1287" w:rsidRDefault="00495034" w14:paraId="20802CF0" w14:textId="05847435">
      <w:pPr>
        <w:spacing w:before="120" w:after="120" w:line="360" w:lineRule="auto"/>
      </w:pPr>
      <w:r w:rsidRPr="00E3672F">
        <w:rPr>
          <w:b/>
          <w:bCs/>
        </w:rPr>
        <w:t>Employer representatives</w:t>
      </w:r>
      <w:r w:rsidRPr="00E3672F">
        <w:t xml:space="preserve"> reported that internal whistleblowing channels in medium and large enterprises are generally operational and often technologically advanced. Employer stakeholders described systems based on digital platforms, sometimes combined with telephone lines, which ensure 24-hour access, encryption, secure document exchange and the possibility for the reporting person to maintain contact with the responsible unit even when reporting anonymously. They considered these channels a useful tool to detect irregularities at an early stage and to improve internal control and corporate integrity.</w:t>
      </w:r>
    </w:p>
    <w:p w:rsidRPr="00E3672F" w:rsidR="00495034" w:rsidP="001E1287" w:rsidRDefault="00495034" w14:paraId="7048BFC3" w14:textId="77777777">
      <w:pPr>
        <w:spacing w:before="120" w:after="120" w:line="360" w:lineRule="auto"/>
      </w:pPr>
      <w:r w:rsidRPr="00E3672F">
        <w:t>According to Italian employer organisations, many companies have outsourced the technical management of their whistleblowing channels to specialised external providers. These employer stakeholders explained that external providers typically supply standardised platforms that comply with security and confidentiality requirements, while internal committees or compliance units within the company remain responsible for receiving, assessing and following up on reports. They noted that this combination allows enterprises to ensure both technical robustness and organisational ownership of the process.</w:t>
      </w:r>
    </w:p>
    <w:p w:rsidRPr="00E3672F" w:rsidR="00495034" w:rsidP="001E1287" w:rsidRDefault="00495034" w14:paraId="31F18E1B" w14:textId="657E04F4">
      <w:pPr>
        <w:spacing w:before="120" w:after="120" w:line="360" w:lineRule="auto"/>
      </w:pPr>
      <w:r w:rsidRPr="00E3672F">
        <w:rPr>
          <w:b/>
          <w:bCs/>
        </w:rPr>
        <w:t>Trade union</w:t>
      </w:r>
      <w:r w:rsidRPr="00E3672F">
        <w:t xml:space="preserve"> representatives reported that internal whistleblowing channels in large enterprises are usually managed by dedicated committees or compliance units and may be complemented by external provider platforms. These trade union stakeholders observed that internal systems typically allow both identified and anonymous </w:t>
      </w:r>
      <w:r w:rsidRPr="00E3672F" w:rsidR="0084154B">
        <w:t>reporting but</w:t>
      </w:r>
      <w:r w:rsidRPr="00E3672F">
        <w:t xml:space="preserve"> emphasised that the real level of protection afforded to reporting persons depends heavily on the culture and attitude of management. They mentioned cases where senior managers discouraged further investigation of sensitive reports, illustrating that the mere existence of formal channels does not guarantee effective follow-up or trust in the system.</w:t>
      </w:r>
    </w:p>
    <w:p w:rsidRPr="00E3672F" w:rsidR="00495034" w:rsidP="001E1287" w:rsidRDefault="00495034" w14:paraId="1AE57BCD" w14:textId="087F7FEA">
      <w:pPr>
        <w:spacing w:before="120" w:after="120" w:line="360" w:lineRule="auto"/>
      </w:pPr>
      <w:r w:rsidRPr="00E3672F">
        <w:t>Employer representatives underlined that the use of internal channels is not always optimal, particularly regarding the sequence between internal and external reporting. These employer stakeholders pointed to data from the national anti-corruption authority suggesting that many reports received via the external channel were declared inadmissible because reporting persons had not first attempted to use internal mechanisms or because the cases fell outside the authority</w:t>
      </w:r>
      <w:r w:rsidRPr="00E3672F" w:rsidR="00413731">
        <w:t>’</w:t>
      </w:r>
      <w:r w:rsidRPr="00E3672F">
        <w:t>s remit. Employers therefore considered that clearer communication is needed so that potential reporters understand the appropriate use of each channel.</w:t>
      </w:r>
    </w:p>
    <w:p w:rsidRPr="00E3672F" w:rsidR="00495034" w:rsidP="001E1287" w:rsidRDefault="00495034" w14:paraId="70CB20B7" w14:textId="6DB1D8E9">
      <w:pPr>
        <w:spacing w:before="120" w:after="120" w:line="360" w:lineRule="auto"/>
      </w:pPr>
      <w:r w:rsidRPr="00E3672F">
        <w:rPr>
          <w:b/>
          <w:bCs/>
        </w:rPr>
        <w:t>Civil society organisations</w:t>
      </w:r>
      <w:r w:rsidRPr="00E3672F">
        <w:t xml:space="preserve"> reported that, in practice, whistleblowing platforms</w:t>
      </w:r>
      <w:r w:rsidRPr="00E3672F" w:rsidR="003945C0">
        <w:t xml:space="preserve">, </w:t>
      </w:r>
      <w:r w:rsidRPr="00E3672F">
        <w:t>both in public and private entities</w:t>
      </w:r>
      <w:r w:rsidRPr="00E3672F" w:rsidR="003945C0">
        <w:t xml:space="preserve">, </w:t>
      </w:r>
      <w:r w:rsidRPr="00E3672F">
        <w:t xml:space="preserve">often receive a high proportion of reports that concern interpersonal conflicts, internal political disputes or purely personal grievances rather than breaches of law in the public interest. These civil society stakeholders explained that some humanitarian or volunteer-based organisations see their whistleblowing tools being used to report tensions between volunteers or disputes linked to internal elections, which then need to be redirected to disciplinary or mediation processes. They considered clearer guidance to users </w:t>
      </w:r>
      <w:r w:rsidR="00087D9C">
        <w:t>to be</w:t>
      </w:r>
      <w:r w:rsidRPr="00E3672F" w:rsidR="00087D9C">
        <w:t xml:space="preserve"> </w:t>
      </w:r>
      <w:r w:rsidRPr="00E3672F">
        <w:t>essential so that whistleblowing channels remain focused on their intended scope.</w:t>
      </w:r>
    </w:p>
    <w:p w:rsidRPr="00E3672F" w:rsidR="00495034" w:rsidP="001E1287" w:rsidRDefault="00495034" w14:paraId="3BB303FE" w14:textId="5ADB4639">
      <w:pPr>
        <w:spacing w:before="120" w:after="120" w:line="360" w:lineRule="auto"/>
      </w:pPr>
      <w:r w:rsidRPr="00E3672F">
        <w:t>Civil society representatives in Italy stressed the importance of the accessibility and user-friendliness of reporting channels. According to these stakeholders, many entities comply formally with their obligations by placing a whistleblowing button or link on their website, but provide only limited explanation about who can report, what can be reported, which channels are available and what protections are offered. They advocated clear, plain-language information on websites and intranets, including indicative timelines for feedback, and suggested that standardised guidance materials supported by national or EU institutions could help ensure equal access to information across organisations.</w:t>
      </w:r>
    </w:p>
    <w:p w:rsidRPr="00E3672F" w:rsidR="00F67E48" w:rsidP="001E1287" w:rsidRDefault="00F67E48" w14:paraId="274887CA" w14:textId="77777777">
      <w:pPr>
        <w:spacing w:before="120" w:after="120" w:line="360" w:lineRule="auto"/>
      </w:pPr>
    </w:p>
    <w:p w:rsidRPr="00E3672F" w:rsidR="00F67E48" w:rsidP="001E1287" w:rsidRDefault="00F67E48" w14:paraId="248E0549" w14:textId="77777777">
      <w:pPr>
        <w:spacing w:before="120" w:after="120" w:line="360" w:lineRule="auto"/>
        <w:ind w:left="720"/>
        <w:rPr>
          <w:b/>
          <w:bCs/>
        </w:rPr>
      </w:pPr>
      <w:r w:rsidRPr="00E3672F">
        <w:rPr>
          <w:b/>
          <w:bCs/>
        </w:rPr>
        <w:t xml:space="preserve">Latvia </w:t>
      </w:r>
    </w:p>
    <w:p w:rsidRPr="00E3672F" w:rsidR="00D40D7B" w:rsidP="001E1287" w:rsidRDefault="00D40D7B" w14:paraId="54662EEC" w14:textId="13E73BE5">
      <w:pPr>
        <w:spacing w:before="120" w:after="120" w:line="360" w:lineRule="auto"/>
      </w:pPr>
      <w:r w:rsidRPr="00E3672F">
        <w:t xml:space="preserve">Latvian </w:t>
      </w:r>
      <w:r w:rsidRPr="00E3672F">
        <w:rPr>
          <w:b/>
          <w:bCs/>
        </w:rPr>
        <w:t>public authority representatives</w:t>
      </w:r>
      <w:r w:rsidRPr="00E3672F">
        <w:t xml:space="preserve"> reported that both internal and external reporting channels are now widely established, especially in the public sector and in larger private entities. They described a decentralised model in which any authority that is competent to act on a given issue can serve as an external whistleblowing channel. In practice, around 45</w:t>
      </w:r>
      <w:r w:rsidRPr="00E3672F" w:rsidR="00C16FF2">
        <w:t>-</w:t>
      </w:r>
      <w:r w:rsidRPr="00E3672F">
        <w:t>50 institutions receive whistleblowing reports each year. These institutions have created a variety of access points, including dedicated email addresses, online forms, postal addresses, physical letterboxes and the option to submit information in person or by telephone. A national online platform managed by an anticorruption authority offers an additional secure route for electronic reporting and subsequent communication, and is used both for whistleblowing and for other forms of reporting.</w:t>
      </w:r>
    </w:p>
    <w:p w:rsidRPr="00E3672F" w:rsidR="00D40D7B" w:rsidP="001E1287" w:rsidRDefault="00D40D7B" w14:paraId="6F22F836" w14:textId="233067AB">
      <w:pPr>
        <w:spacing w:before="120" w:after="120" w:line="360" w:lineRule="auto"/>
      </w:pPr>
      <w:r w:rsidRPr="00E3672F">
        <w:t>Local authority representatives explained that municipalities have invested in multiple channels to ensure accessibility, such as dedicated email accounts, physical letterboxes in municipal buildings and the possibility to provide information orally to a contact person who then documents it. They reported that training activities for municipal officials have been organised to share experience on handling whistleblowing reports, including recent sessions where municipalities exchanged good practice</w:t>
      </w:r>
      <w:r w:rsidRPr="00E3672F" w:rsidR="00C16FF2">
        <w:t>s</w:t>
      </w:r>
      <w:r w:rsidRPr="00E3672F">
        <w:t>. However, municipal representatives also underlined practical barriers to perceived anonymity: in small communities where everyone knows each other, simply being seen entering a particular office or approaching a letterbox can prompt speculation about who is reporting. This can discourage potential whistleblowers, even where formal channels exist and are technically functional.</w:t>
      </w:r>
    </w:p>
    <w:p w:rsidRPr="00E3672F" w:rsidR="00D40D7B" w:rsidP="001E1287" w:rsidRDefault="00D40D7B" w14:paraId="2B991FB6" w14:textId="5D94D502">
      <w:pPr>
        <w:spacing w:before="120" w:after="120" w:line="360" w:lineRule="auto"/>
      </w:pPr>
      <w:r w:rsidRPr="00E3672F">
        <w:t xml:space="preserve">Latvian </w:t>
      </w:r>
      <w:r w:rsidRPr="00E3672F">
        <w:rPr>
          <w:b/>
          <w:bCs/>
        </w:rPr>
        <w:t>business representatives</w:t>
      </w:r>
      <w:r w:rsidRPr="00E3672F">
        <w:t xml:space="preserve"> confirmed that internal channels are well developed in large and many medium</w:t>
      </w:r>
      <w:r w:rsidR="00C10652">
        <w:t>-</w:t>
      </w:r>
      <w:r w:rsidRPr="00E3672F">
        <w:t>sized enterprises. These companies tend to rely on written policies, dedicated internal contact points and sometimes external hotlines, often drawing on existing ethics or complaint mechanisms. According to business organisations, their members have not reported significant technical problems with setting up such channels, and internal reporting is generally seen as the preferred first step. By contrast, social partners highlighted that small and micro</w:t>
      </w:r>
      <w:r w:rsidRPr="00E3672F" w:rsidR="00AB7642">
        <w:t>-</w:t>
      </w:r>
      <w:r w:rsidRPr="00E3672F">
        <w:t>enterprises, which make up the bulk of the Latvian economy, rarely have formal internal channels, both because they are not legally required to do so and because anonymity is practically impossible in very small teams. Several business representatives stressed that, in this segment, the focus should be on proportionate risk</w:t>
      </w:r>
      <w:r w:rsidR="00C10652">
        <w:t>-</w:t>
      </w:r>
      <w:r w:rsidRPr="00E3672F">
        <w:t>management practices and awareness of external channels, rather than complex internal infrastructures.</w:t>
      </w:r>
    </w:p>
    <w:p w:rsidRPr="00E3672F" w:rsidR="00D40D7B" w:rsidP="001E1287" w:rsidRDefault="00D40D7B" w14:paraId="446ED3C6" w14:textId="424CCD0D">
      <w:pPr>
        <w:spacing w:before="120" w:after="120" w:line="360" w:lineRule="auto"/>
      </w:pPr>
      <w:r w:rsidRPr="00E3672F">
        <w:rPr>
          <w:b/>
          <w:bCs/>
        </w:rPr>
        <w:t>Trade union and civil society representatives</w:t>
      </w:r>
      <w:r w:rsidRPr="00E3672F">
        <w:t xml:space="preserve"> agreed that, from a strictly formal point of view, Latvia offers a broad range of reporting channels. Nevertheless, they underlined that accessibility in practice is undermined when potential whistleblowers do not clearly understand which channel is appropriate for which type of concern, or when they doubt that the channel will lead to meaningful follow</w:t>
      </w:r>
      <w:r w:rsidR="00ED152C">
        <w:t>-</w:t>
      </w:r>
      <w:r w:rsidRPr="00E3672F">
        <w:t>up. Both groups reported that potential whistleblowers often seek advice from trade unions or non</w:t>
      </w:r>
      <w:r w:rsidRPr="00E3672F" w:rsidR="00B10A29">
        <w:t>-</w:t>
      </w:r>
      <w:r w:rsidRPr="00E3672F">
        <w:t>governmental organisations before using any formal mechanism, which indicates that these intermediaries are de facto part of the reporting architecture. They considered that more user</w:t>
      </w:r>
      <w:r w:rsidRPr="00E3672F" w:rsidR="00B10A29">
        <w:t>-</w:t>
      </w:r>
      <w:r w:rsidRPr="00E3672F">
        <w:t>friendly information and clearer guidance on the national website and institutional portals would improve the effective accessibility of reporting channels.</w:t>
      </w:r>
    </w:p>
    <w:p w:rsidRPr="00E3672F" w:rsidR="00F67E48" w:rsidP="001E1287" w:rsidRDefault="00F67E48" w14:paraId="5ACA0EE6" w14:textId="77777777">
      <w:pPr>
        <w:spacing w:before="120" w:after="120" w:line="360" w:lineRule="auto"/>
      </w:pPr>
    </w:p>
    <w:p w:rsidRPr="00E3672F" w:rsidR="00F67E48" w:rsidP="001E1287" w:rsidRDefault="00F67E48" w14:paraId="14AA6BAB" w14:textId="77777777">
      <w:pPr>
        <w:spacing w:before="120" w:after="120" w:line="360" w:lineRule="auto"/>
        <w:ind w:left="720"/>
        <w:rPr>
          <w:b/>
          <w:bCs/>
        </w:rPr>
      </w:pPr>
      <w:r w:rsidRPr="00E3672F">
        <w:rPr>
          <w:b/>
          <w:bCs/>
        </w:rPr>
        <w:t>Romania</w:t>
      </w:r>
    </w:p>
    <w:p w:rsidRPr="00E3672F" w:rsidR="00C266C7" w:rsidP="001E1287" w:rsidRDefault="00C266C7" w14:paraId="630E2295" w14:textId="78CF2985">
      <w:pPr>
        <w:pStyle w:val="ListParagraph"/>
        <w:spacing w:before="120" w:after="120" w:line="360" w:lineRule="auto"/>
        <w:ind w:left="0"/>
      </w:pPr>
      <w:r w:rsidRPr="00E3672F">
        <w:t xml:space="preserve">Romanian </w:t>
      </w:r>
      <w:r w:rsidRPr="00E3672F">
        <w:rPr>
          <w:b/>
          <w:bCs/>
        </w:rPr>
        <w:t>civil society representatives</w:t>
      </w:r>
      <w:r w:rsidRPr="00E3672F">
        <w:t xml:space="preserve"> </w:t>
      </w:r>
      <w:r w:rsidRPr="00E3672F" w:rsidR="00BD7CE3">
        <w:t xml:space="preserve">agreed </w:t>
      </w:r>
      <w:r w:rsidRPr="00E3672F">
        <w:t xml:space="preserve">on the assessment that internal and external reporting channels are formally in place but widely perceived as untrustworthy and lacking confidentiality. In the public sector, internal channels were often described as reduced to a generic email address which, in practice, is monitored by management or by a person closely aligned with management. Staff frequently know exactly where messages go and fear that reporting will immediately identify them to their direct superiors. Civil society experts who assist organisations in designing channels underlined that, even where third‑party digital platforms are used to ensure technical anonymity, the subsequent internal handling of reports can still expose whistleblowers, as case details circulate through multiple departments without robust confidentiality safeguards. Several participants concluded that, in these conditions, many individuals prefer to approach civil society organisations or journalists rather than use formal channels. </w:t>
      </w:r>
    </w:p>
    <w:p w:rsidRPr="00E3672F" w:rsidR="00C266C7" w:rsidP="001E1287" w:rsidRDefault="00C266C7" w14:paraId="30519083" w14:textId="2229FDCE">
      <w:pPr>
        <w:pStyle w:val="ListParagraph"/>
        <w:spacing w:before="120" w:after="120" w:line="360" w:lineRule="auto"/>
        <w:ind w:left="0"/>
      </w:pPr>
      <w:r w:rsidRPr="00E3672F">
        <w:rPr>
          <w:b/>
          <w:bCs/>
        </w:rPr>
        <w:t>Social partners</w:t>
      </w:r>
      <w:r w:rsidRPr="00E3672F">
        <w:t xml:space="preserve"> offered a nuanced view of the functionality of internal channels. </w:t>
      </w:r>
      <w:r w:rsidRPr="00E3672F">
        <w:rPr>
          <w:b/>
          <w:bCs/>
        </w:rPr>
        <w:t>Trade union</w:t>
      </w:r>
      <w:r w:rsidRPr="00E3672F">
        <w:t xml:space="preserve"> </w:t>
      </w:r>
      <w:r w:rsidRPr="00E3672F">
        <w:rPr>
          <w:b/>
          <w:bCs/>
        </w:rPr>
        <w:t>representatives</w:t>
      </w:r>
      <w:r w:rsidRPr="00E3672F">
        <w:t xml:space="preserve"> explained that in some authorities and enterprises internal reporting procedures have been created largely on paper, without adequate communication to staff and without building trust in the impartiality of the case‑handling structure. Workers often perceive these channels as extensions of management, particularly when the designated person is directly subordinated to the head of the institution or when there is no clear separation between human resources functions and whistleblowing case‑handling. Trade unions reported that, when workers face issues such as non‑payment of overtime, harassment or unsafe conditions, they frequently choose to use traditional labour‑law instruments – such as grievance procedures, complaints to labour inspectorates or collective action – rather than the whistleblowing regime. </w:t>
      </w:r>
      <w:r w:rsidRPr="00E3672F">
        <w:rPr>
          <w:b/>
          <w:bCs/>
        </w:rPr>
        <w:t>Employers</w:t>
      </w:r>
      <w:r w:rsidRPr="00E3672F" w:rsidR="00413731">
        <w:rPr>
          <w:b/>
          <w:bCs/>
        </w:rPr>
        <w:t>’</w:t>
      </w:r>
      <w:r w:rsidRPr="00E3672F">
        <w:rPr>
          <w:b/>
          <w:bCs/>
        </w:rPr>
        <w:t xml:space="preserve"> representatives</w:t>
      </w:r>
      <w:r w:rsidRPr="00E3672F">
        <w:t xml:space="preserve">, for their part, noted that in some large private companies, compliance and integrity systems were already in place before the Directive and may offer established internal mechanisms for addressing misconduct, sometimes influenced by international standards, and that these coexist with the statutory channels. </w:t>
      </w:r>
    </w:p>
    <w:p w:rsidRPr="00E3672F" w:rsidR="00C266C7" w:rsidP="001E1287" w:rsidRDefault="00C266C7" w14:paraId="4421B806" w14:textId="77777777">
      <w:pPr>
        <w:pStyle w:val="ListParagraph"/>
        <w:spacing w:before="120" w:after="120" w:line="360" w:lineRule="auto"/>
        <w:ind w:left="0"/>
      </w:pPr>
      <w:r w:rsidRPr="00E3672F">
        <w:t xml:space="preserve">Romanian </w:t>
      </w:r>
      <w:r w:rsidRPr="00E3672F">
        <w:rPr>
          <w:b/>
          <w:bCs/>
        </w:rPr>
        <w:t>public authorities</w:t>
      </w:r>
      <w:r w:rsidRPr="00E3672F">
        <w:t xml:space="preserve"> provided detailed information on the establishment and operation of external channels. The National Integrity Agency explained that it has created a specialised organisational unit to manage whistleblowing reports and that each public authority is expected to appoint at least one person responsible for operating internal channels and handling reports. The agency has identified 45 entities as external reporting channels at national level, nine of which operate under special sectoral regimes while the others function under general rules. All these entities were invited to training sessions where officials presented the legal framework and discussed practical issues such as registration, assessment and follow‑up of reports. The National Integrity Agency also stated that it systematically reviews internal procedures submitted by institutions and companies, providing feedback and recommendations for adjustment where necessary. Public authorities emphasised that the development of a dedicated IT application, financed through the National Recovery and Resilience Plan, will offer whistleblowers a user‑friendly platform to submit reports securely, enhance traceability of communications and allow the gradual onboarding of many public entities into a single digital ecosystem. </w:t>
      </w:r>
    </w:p>
    <w:p w:rsidRPr="00E3672F" w:rsidR="00F67E48" w:rsidP="001E1287" w:rsidRDefault="00C266C7" w14:paraId="1FFC4F31" w14:textId="09E8E040">
      <w:pPr>
        <w:pStyle w:val="ListParagraph"/>
        <w:spacing w:before="120" w:after="120" w:line="360" w:lineRule="auto"/>
        <w:ind w:left="0"/>
      </w:pPr>
      <w:r w:rsidRPr="00E3672F">
        <w:t xml:space="preserve">Despite these institutional efforts, several </w:t>
      </w:r>
      <w:r w:rsidRPr="00E3672F">
        <w:rPr>
          <w:b/>
          <w:bCs/>
        </w:rPr>
        <w:t>civil society organisations</w:t>
      </w:r>
      <w:r w:rsidRPr="00E3672F">
        <w:t xml:space="preserve"> expressed criticism of the performance of the central external channel. They reported instances where requests to recognise whistleblower status or to obtain advice on protection against disciplinary measures allegedly received no reply or only very late responses, sometimes far beyond the legal deadlines. Civil society actors stated that they had tried repeatedly to engage the </w:t>
      </w:r>
      <w:r w:rsidRPr="00E3672F" w:rsidR="003945C0">
        <w:t xml:space="preserve">National Integrity Agency </w:t>
      </w:r>
      <w:r w:rsidRPr="00E3672F">
        <w:t>on issues such as institutions</w:t>
      </w:r>
      <w:r w:rsidRPr="00E3672F" w:rsidR="00413731">
        <w:t>’</w:t>
      </w:r>
      <w:r w:rsidRPr="00E3672F">
        <w:t xml:space="preserve"> failure to publish or correctly structure internal channels, yet saw no sanctions imposed on non‑compliant entities. The Ministry of Justice and other authorities acknowledged that awareness‑raising remains necessary to increase the use of formal channels and noted that resource constraints mean that officials handling whistleblower reports often have multiple responsibilities. Taken together, these accounts suggest that, while the architecture of channels has been established, their perceived accessibility, responsiveness and credibility remain uneven across the Romanian system.</w:t>
      </w:r>
    </w:p>
    <w:p w:rsidRPr="00E3672F" w:rsidR="00495034" w:rsidP="001E1287" w:rsidRDefault="00495034" w14:paraId="5DACF652" w14:textId="77777777">
      <w:pPr>
        <w:spacing w:before="120" w:after="120" w:line="360" w:lineRule="auto"/>
      </w:pPr>
    </w:p>
    <w:p w:rsidRPr="00E3672F" w:rsidR="00495034" w:rsidP="001E1287" w:rsidRDefault="00495034" w14:paraId="4F7299D4" w14:textId="159E4A9A">
      <w:pPr>
        <w:pStyle w:val="Heading2"/>
        <w:spacing w:line="360" w:lineRule="auto"/>
        <w:ind w:left="720"/>
        <w:rPr>
          <w:u w:val="single"/>
        </w:rPr>
      </w:pPr>
      <w:bookmarkStart w:name="_Toc228180525" w:id="22"/>
      <w:r w:rsidRPr="00E3672F">
        <w:rPr>
          <w:u w:val="single"/>
        </w:rPr>
        <w:t>Consultation Procedures and Social Partner Agreement</w:t>
      </w:r>
      <w:bookmarkEnd w:id="22"/>
    </w:p>
    <w:p w:rsidRPr="00E3672F" w:rsidR="00F67E48" w:rsidP="001E1287" w:rsidRDefault="00F67E48" w14:paraId="34D3BC37" w14:textId="77777777">
      <w:pPr>
        <w:spacing w:before="120" w:after="120" w:line="360" w:lineRule="auto"/>
      </w:pPr>
    </w:p>
    <w:p w:rsidRPr="00E3672F" w:rsidR="00F67E48" w:rsidP="001E1287" w:rsidRDefault="00F67E48" w14:paraId="39E8647F" w14:textId="77777777">
      <w:pPr>
        <w:spacing w:before="120" w:after="120" w:line="360" w:lineRule="auto"/>
        <w:ind w:left="720"/>
        <w:rPr>
          <w:b/>
          <w:bCs/>
        </w:rPr>
      </w:pPr>
      <w:r w:rsidRPr="00E3672F">
        <w:rPr>
          <w:b/>
          <w:bCs/>
        </w:rPr>
        <w:t xml:space="preserve">Denmark </w:t>
      </w:r>
    </w:p>
    <w:p w:rsidRPr="00E3672F" w:rsidR="00683D5A" w:rsidP="001E1287" w:rsidRDefault="00683D5A" w14:paraId="59F7B019" w14:textId="3C8E04AE">
      <w:pPr>
        <w:spacing w:before="120" w:after="120" w:line="360" w:lineRule="auto"/>
      </w:pPr>
      <w:r w:rsidRPr="00E3672F">
        <w:t xml:space="preserve">Danish </w:t>
      </w:r>
      <w:r w:rsidRPr="00E3672F">
        <w:rPr>
          <w:b/>
          <w:bCs/>
        </w:rPr>
        <w:t>public authorities</w:t>
      </w:r>
      <w:r w:rsidRPr="00E3672F">
        <w:t xml:space="preserve"> stated that consultation on the whistleblowing legislation involved broad engagement with relevant actors, including civil society groups, employers, business associations and trade unions. They reported that working groups were convened before adoption of the </w:t>
      </w:r>
      <w:r w:rsidR="00A96E29">
        <w:t>APW</w:t>
      </w:r>
      <w:r w:rsidRPr="00E3672F">
        <w:t>, allowing various actors to comment on the transposition. Some civil society organisations felt their contributions were reflected in the final text, while others</w:t>
      </w:r>
      <w:r w:rsidRPr="00E3672F" w:rsidR="003945C0">
        <w:t xml:space="preserve">, </w:t>
      </w:r>
      <w:r w:rsidRPr="00E3672F">
        <w:t xml:space="preserve">especially </w:t>
      </w:r>
      <w:r w:rsidRPr="00E3672F" w:rsidR="00122727">
        <w:t>employers</w:t>
      </w:r>
      <w:r w:rsidRPr="00E3672F" w:rsidR="003945C0">
        <w:t xml:space="preserve">, </w:t>
      </w:r>
      <w:r w:rsidRPr="00E3672F">
        <w:t xml:space="preserve">felt their recommendations were not sufficiently integrated. Public authorities noted that the Ministry of Justice coordinated the consultation process and final legislative drafting. </w:t>
      </w:r>
    </w:p>
    <w:p w:rsidRPr="00E3672F" w:rsidR="00683D5A" w:rsidP="001E1287" w:rsidRDefault="00683D5A" w14:paraId="0E2B8328" w14:textId="219F0CD5">
      <w:pPr>
        <w:spacing w:before="120" w:after="120" w:line="360" w:lineRule="auto"/>
      </w:pPr>
      <w:r w:rsidRPr="00E3672F">
        <w:rPr>
          <w:b/>
          <w:bCs/>
        </w:rPr>
        <w:t>Civil society organisations</w:t>
      </w:r>
      <w:r w:rsidRPr="00E3672F">
        <w:t xml:space="preserve"> reported that while they had been consulted prior to adoption, practical collaboration during implementation has been limited. </w:t>
      </w:r>
      <w:r w:rsidRPr="00E3672F" w:rsidR="00122727">
        <w:t>B</w:t>
      </w:r>
      <w:r w:rsidRPr="00E3672F">
        <w:t xml:space="preserve">usiness associations </w:t>
      </w:r>
      <w:r w:rsidRPr="00E3672F" w:rsidR="00122727">
        <w:t xml:space="preserve">were </w:t>
      </w:r>
      <w:r w:rsidRPr="00E3672F">
        <w:t xml:space="preserve">expressing dissatisfaction that certain suggestions </w:t>
      </w:r>
      <w:r w:rsidRPr="00E3672F" w:rsidR="00F64939">
        <w:t xml:space="preserve">they had made </w:t>
      </w:r>
      <w:r w:rsidRPr="00E3672F">
        <w:t xml:space="preserve">had not been adopted. Civil society groups noted that they continue to contribute informally to whistleblowing debates through investigative work, publications and interviews. </w:t>
      </w:r>
    </w:p>
    <w:p w:rsidRPr="00E3672F" w:rsidR="00683D5A" w:rsidP="001E1287" w:rsidRDefault="00683D5A" w14:paraId="3653415D" w14:textId="64CC1918">
      <w:pPr>
        <w:spacing w:before="120" w:after="120" w:line="360" w:lineRule="auto"/>
      </w:pPr>
      <w:r w:rsidRPr="00E3672F">
        <w:t xml:space="preserve">Danish </w:t>
      </w:r>
      <w:r w:rsidRPr="00E3672F">
        <w:rPr>
          <w:b/>
          <w:bCs/>
        </w:rPr>
        <w:t>social partners</w:t>
      </w:r>
      <w:r w:rsidRPr="00E3672F">
        <w:t xml:space="preserve"> indicated that they had been involved in the transposition process to ensure that whistleblower protections aligned with existing labour‑market structures, such as workplace dialogue and collective agreements. They explained that concerns raised early on</w:t>
      </w:r>
      <w:r w:rsidRPr="00E3672F" w:rsidR="003945C0">
        <w:t xml:space="preserve">, </w:t>
      </w:r>
      <w:r w:rsidRPr="00E3672F">
        <w:t>particularly fears that whistleblowing channels might replace traditional dispute‑resolution mechanisms</w:t>
      </w:r>
      <w:r w:rsidRPr="00E3672F" w:rsidR="00F64939">
        <w:t>,</w:t>
      </w:r>
      <w:r w:rsidRPr="00E3672F" w:rsidR="00AC4254">
        <w:t xml:space="preserve"> had not materialised</w:t>
      </w:r>
      <w:r w:rsidRPr="00E3672F">
        <w:t xml:space="preserve">. Social partners emphasised that the involvement process ensured continuity with established labour‑market </w:t>
      </w:r>
      <w:r w:rsidRPr="00E3672F" w:rsidR="00AC4254">
        <w:t xml:space="preserve">practices </w:t>
      </w:r>
      <w:r w:rsidRPr="00E3672F">
        <w:t xml:space="preserve">and that whistleblowing channels were incorporated without undermining existing grievance pathways. </w:t>
      </w:r>
      <w:r w:rsidRPr="00E3672F" w:rsidR="00AC4254">
        <w:t>N</w:t>
      </w:r>
      <w:r w:rsidRPr="00E3672F">
        <w:t>o formal ongoing role has been assigned to social partners in monitoring or co‑managing schemes post‑implementation</w:t>
      </w:r>
      <w:r w:rsidRPr="00E3672F" w:rsidR="00AC4254">
        <w:t xml:space="preserve">, nevertheless retaliation </w:t>
      </w:r>
      <w:r w:rsidRPr="00E3672F" w:rsidR="00F64939">
        <w:t>linked to the employment contract</w:t>
      </w:r>
      <w:r w:rsidRPr="00E3672F" w:rsidDel="00B10A29" w:rsidR="00F64939">
        <w:t xml:space="preserve"> </w:t>
      </w:r>
      <w:r w:rsidRPr="00E3672F" w:rsidR="00B10A29">
        <w:t>was</w:t>
      </w:r>
      <w:r w:rsidRPr="00E3672F" w:rsidR="00AC4254">
        <w:t xml:space="preserve"> addressed in regular negotiations between the social partners</w:t>
      </w:r>
      <w:r w:rsidRPr="00E3672F">
        <w:t xml:space="preserve">. </w:t>
      </w:r>
    </w:p>
    <w:p w:rsidRPr="00E3672F" w:rsidR="00F67E48" w:rsidP="001E1287" w:rsidRDefault="00683D5A" w14:paraId="23641FCD" w14:textId="33699695">
      <w:pPr>
        <w:spacing w:before="120" w:after="120" w:line="360" w:lineRule="auto"/>
      </w:pPr>
      <w:r w:rsidRPr="00E3672F">
        <w:rPr>
          <w:b/>
          <w:bCs/>
        </w:rPr>
        <w:t>Several stakeholders from all groups</w:t>
      </w:r>
      <w:r w:rsidRPr="00E3672F">
        <w:t xml:space="preserve"> agreed that consultation at the transposition stage did not translate into a sustained multi‑stakeholder mechanism for implementation. </w:t>
      </w:r>
      <w:r w:rsidRPr="00E3672F" w:rsidR="00016E84">
        <w:t>T</w:t>
      </w:r>
      <w:r w:rsidRPr="00E3672F">
        <w:t xml:space="preserve">here is no systematic structure that includes these actors in assessing the functioning of whistleblowing channels or the impact of the law. </w:t>
      </w:r>
    </w:p>
    <w:p w:rsidRPr="00E3672F" w:rsidR="00F67E48" w:rsidP="001E1287" w:rsidRDefault="00F67E48" w14:paraId="5324AFC6" w14:textId="77777777">
      <w:pPr>
        <w:spacing w:before="120" w:after="120" w:line="360" w:lineRule="auto"/>
      </w:pPr>
    </w:p>
    <w:p w:rsidRPr="00E3672F" w:rsidR="00F67E48" w:rsidP="001E1287" w:rsidRDefault="00F67E48" w14:paraId="41781087" w14:textId="77777777">
      <w:pPr>
        <w:spacing w:before="120" w:after="120" w:line="360" w:lineRule="auto"/>
        <w:ind w:left="720"/>
        <w:rPr>
          <w:b/>
          <w:bCs/>
        </w:rPr>
      </w:pPr>
      <w:r w:rsidRPr="00E3672F">
        <w:rPr>
          <w:b/>
          <w:bCs/>
        </w:rPr>
        <w:t>France</w:t>
      </w:r>
    </w:p>
    <w:p w:rsidRPr="00E3672F" w:rsidR="0084154B" w:rsidP="001E1287" w:rsidRDefault="0029785A" w14:paraId="22D993CF" w14:textId="11B7BA44">
      <w:pPr>
        <w:spacing w:before="120" w:after="120" w:line="360" w:lineRule="auto"/>
      </w:pPr>
      <w:r w:rsidRPr="000B42B1">
        <w:t xml:space="preserve">Some </w:t>
      </w:r>
      <w:r>
        <w:t>s</w:t>
      </w:r>
      <w:r w:rsidRPr="000B42B1">
        <w:t>takeholders</w:t>
      </w:r>
      <w:r w:rsidRPr="00D0335D">
        <w:rPr>
          <w:b/>
        </w:rPr>
        <w:t xml:space="preserve"> </w:t>
      </w:r>
      <w:r w:rsidRPr="00E3672F" w:rsidR="003945C0">
        <w:t xml:space="preserve">reported that they were involved in the development of the national whistleblower legislation, and that this process took place in a relatively open framework compared with other directives </w:t>
      </w:r>
      <w:r w:rsidRPr="00E3672F" w:rsidR="00F76BBD">
        <w:t xml:space="preserve">that affect </w:t>
      </w:r>
      <w:r w:rsidRPr="00E3672F" w:rsidR="003945C0">
        <w:t xml:space="preserve">workers. </w:t>
      </w:r>
      <w:r w:rsidRPr="00D0335D" w:rsidR="003945C0">
        <w:rPr>
          <w:b/>
        </w:rPr>
        <w:t>Trade union</w:t>
      </w:r>
      <w:r w:rsidRPr="00E3672F" w:rsidR="003945C0">
        <w:t xml:space="preserve"> representatives explained that, while they often observe limited involvement in the transposition of legislation within the EU</w:t>
      </w:r>
      <w:r w:rsidRPr="00E3672F" w:rsidR="00F76BBD">
        <w:t>’s</w:t>
      </w:r>
      <w:r w:rsidRPr="00E3672F" w:rsidR="003945C0">
        <w:t xml:space="preserve"> social policy competence</w:t>
      </w:r>
      <w:r w:rsidRPr="00E3672F" w:rsidR="0084154B">
        <w:t>, the particular law on whistleblowers had been the subject of more substantial exchanges, allowing them to contribute views on internal mechanisms and protections. Civil society organisations confirmed that they had participated actively in the preparatory work for both the earlier anti</w:t>
      </w:r>
      <w:r w:rsidRPr="00E3672F" w:rsidR="0084154B">
        <w:noBreakHyphen/>
        <w:t>corruption law and the more recent transposing law, and considered that this sustained engagement with legislators helped ensure a high level of protection and coherence with existing instruments.</w:t>
      </w:r>
    </w:p>
    <w:p w:rsidRPr="00E3672F" w:rsidR="0084154B" w:rsidP="001E1287" w:rsidRDefault="0084154B" w14:paraId="10082FDD" w14:textId="507185EA">
      <w:pPr>
        <w:spacing w:before="120" w:after="120" w:line="360" w:lineRule="auto"/>
      </w:pPr>
      <w:r w:rsidRPr="00E3672F">
        <w:t xml:space="preserve">Despite this generally positive assessment, both </w:t>
      </w:r>
      <w:r w:rsidR="0029785A">
        <w:rPr>
          <w:b/>
          <w:bCs/>
        </w:rPr>
        <w:t>trade unions</w:t>
      </w:r>
      <w:r w:rsidRPr="00E3672F">
        <w:rPr>
          <w:b/>
          <w:bCs/>
        </w:rPr>
        <w:t xml:space="preserve"> and civil society</w:t>
      </w:r>
      <w:r w:rsidRPr="00E3672F">
        <w:t xml:space="preserve"> actors pointed out that consultation remains uneven across reforms that affect whistleblower protection, particularly when changes occur in adjacent fields such as business secrecy, corporate liability or the fight against abusive litigation. They expressed concern that certain sectoral reforms with indirect but significant consequences for whistleblowing</w:t>
      </w:r>
      <w:r w:rsidRPr="00E3672F" w:rsidR="003945C0">
        <w:t xml:space="preserve">, </w:t>
      </w:r>
      <w:r w:rsidRPr="00E3672F">
        <w:t>such as rules on corporate transparency or confidentiality</w:t>
      </w:r>
      <w:r w:rsidRPr="00E3672F" w:rsidR="003945C0">
        <w:t xml:space="preserve">, </w:t>
      </w:r>
      <w:r w:rsidRPr="00E3672F">
        <w:t xml:space="preserve">were not always accompanied by systematic input from organisations specialised in whistleblower protection or in the fight against corruption. Several interlocutors called for more structured and regular involvement of trade unions and civil society whenever new European or national texts could alter the balance of safeguards. </w:t>
      </w:r>
    </w:p>
    <w:p w:rsidRPr="00E3672F" w:rsidR="0084154B" w:rsidP="001E1287" w:rsidRDefault="0029785A" w14:paraId="2520E596" w14:textId="2E2B393A">
      <w:pPr>
        <w:spacing w:before="120" w:after="120" w:line="360" w:lineRule="auto"/>
      </w:pPr>
      <w:r>
        <w:t>Trade unions</w:t>
      </w:r>
      <w:r w:rsidRPr="00E3672F" w:rsidR="0084154B">
        <w:t xml:space="preserve"> emphasised that collective agreements on reporting channels remain rare and that this issue should be more firmly integrated into mandatory social</w:t>
      </w:r>
      <w:r w:rsidRPr="00E3672F" w:rsidR="0084154B">
        <w:noBreakHyphen/>
        <w:t>dialogue agendas. They argued that staff</w:t>
      </w:r>
      <w:r w:rsidRPr="00E3672F" w:rsidR="0084154B">
        <w:noBreakHyphen/>
        <w:t>representation bodies, in particular unions representing middle management, are often the first to identify risk situations and support potential whistleblowers, and that their involvement in defining, revising and monitoring internal procedures can significantly strengthen trust in the system. They added that social dialogue is essential to ensure that whistleblowing mechanisms are perceived as balanced and respectful of workers</w:t>
      </w:r>
      <w:r w:rsidRPr="00E3672F" w:rsidR="00413731">
        <w:t>’</w:t>
      </w:r>
      <w:r w:rsidRPr="00E3672F" w:rsidR="0084154B">
        <w:t xml:space="preserve"> rights. At the same time, they observed that consultation in some organisations remains limited or merely formal, with internal arrangements introduced to satisfy minimum legal requirements rather than following meaningful dialogue on how they should function in practice. </w:t>
      </w:r>
    </w:p>
    <w:p w:rsidRPr="00E3672F" w:rsidR="00495034" w:rsidP="001E1287" w:rsidRDefault="00DE2948" w14:paraId="52C9E352" w14:textId="7D24B284">
      <w:pPr>
        <w:spacing w:before="120" w:after="120" w:line="360" w:lineRule="auto"/>
      </w:pPr>
      <w:r w:rsidRPr="00E3672F">
        <w:rPr>
          <w:b/>
          <w:bCs/>
        </w:rPr>
        <w:t>Authorities</w:t>
      </w:r>
      <w:r w:rsidRPr="00E3672F">
        <w:t xml:space="preserve"> acknowledged that cooperation with civil society organisations and social partners has been valuable in identifying practical issues and informing administrative practice, but they also recognised that such cooperation is often ad hoc rather than structured. They indicated that feedback from the field, particularly from associations that accompany whistleblowers, </w:t>
      </w:r>
      <w:r w:rsidR="00A96E29">
        <w:t>helps refine</w:t>
      </w:r>
      <w:r w:rsidRPr="00E3672F">
        <w:t xml:space="preserve"> administrative practices and improv</w:t>
      </w:r>
      <w:r w:rsidR="00A96E29">
        <w:t>e</w:t>
      </w:r>
      <w:r w:rsidRPr="00E3672F">
        <w:t xml:space="preserve"> the readability of the system. However, they did not refer to any permanent multi</w:t>
      </w:r>
      <w:r w:rsidRPr="00E3672F">
        <w:noBreakHyphen/>
        <w:t>stakeholder body dedicated specifically to monitoring the implementation of the Directive</w:t>
      </w:r>
      <w:r w:rsidRPr="00E3672F" w:rsidR="0084154B">
        <w:t>.</w:t>
      </w:r>
    </w:p>
    <w:p w:rsidRPr="00E3672F" w:rsidR="0084154B" w:rsidP="001E1287" w:rsidRDefault="0084154B" w14:paraId="41870762" w14:textId="77777777">
      <w:pPr>
        <w:spacing w:before="120" w:after="120" w:line="360" w:lineRule="auto"/>
      </w:pPr>
    </w:p>
    <w:p w:rsidRPr="00E3672F" w:rsidR="00495034" w:rsidP="001E1287" w:rsidRDefault="00495034" w14:paraId="17ACEE82" w14:textId="03740996">
      <w:pPr>
        <w:spacing w:before="120" w:after="120" w:line="360" w:lineRule="auto"/>
        <w:ind w:left="720"/>
        <w:rPr>
          <w:b/>
          <w:bCs/>
        </w:rPr>
      </w:pPr>
      <w:r w:rsidRPr="00E3672F">
        <w:rPr>
          <w:b/>
          <w:bCs/>
        </w:rPr>
        <w:t>Italy</w:t>
      </w:r>
    </w:p>
    <w:p w:rsidRPr="00E3672F" w:rsidR="00495034" w:rsidP="001E1287" w:rsidRDefault="00495034" w14:paraId="7A844562" w14:textId="278B7F45">
      <w:pPr>
        <w:spacing w:before="120" w:after="120" w:line="360" w:lineRule="auto"/>
      </w:pPr>
      <w:r w:rsidRPr="00E3672F">
        <w:t xml:space="preserve">Italian </w:t>
      </w:r>
      <w:r w:rsidRPr="00E3672F">
        <w:rPr>
          <w:b/>
          <w:bCs/>
        </w:rPr>
        <w:t>trade union representatives</w:t>
      </w:r>
      <w:r w:rsidRPr="00E3672F">
        <w:t xml:space="preserve"> indicated that their involvement in the design of internal whistleblowing procedures varies across sectors and companies. According to these trade union stakeholders, in some larger enterprises, particularly in highly regulated sectors, social partners have been informed or consulted on how whistleblowing systems are integrated into existing codes of ethics and compliance structures, while in other workplaces the procedures have been introduced with more limited dialogue. They considered that more systematic consultation could improve trust in the channels and ensure that they are aligned with established industrial relations practices.</w:t>
      </w:r>
    </w:p>
    <w:p w:rsidRPr="00E3672F" w:rsidR="00495034" w:rsidP="001E1287" w:rsidRDefault="00495034" w14:paraId="3F66CBF8" w14:textId="7301FABC">
      <w:pPr>
        <w:spacing w:before="120" w:after="120" w:line="360" w:lineRule="auto"/>
      </w:pPr>
      <w:r w:rsidRPr="00E3672F">
        <w:rPr>
          <w:b/>
          <w:bCs/>
        </w:rPr>
        <w:t>Employer organisations</w:t>
      </w:r>
      <w:r w:rsidRPr="00E3672F">
        <w:t xml:space="preserve"> acknowledged that the involvement of social partners in the practical set-up and monitoring of whistleblowing mechanisms has so far been uneven. These employer stakeholders reported that they were consulted at national level in relation to guidelines issued by the competent authority, but that, at enterprise level, unions or worker representatives are not always involved in the detailed design or evaluation of reporting channels. At the same time, employers expressed openness to strengthening this collaboration, including through bilateral bodies, particularly where it can support training and awareness-raising for both employers and workers.</w:t>
      </w:r>
    </w:p>
    <w:p w:rsidRPr="00E3672F" w:rsidR="00F67E48" w:rsidP="001E1287" w:rsidRDefault="00F67E48" w14:paraId="5549911A" w14:textId="77777777">
      <w:pPr>
        <w:spacing w:before="120" w:after="120" w:line="360" w:lineRule="auto"/>
      </w:pPr>
    </w:p>
    <w:p w:rsidRPr="00E3672F" w:rsidR="00F67E48" w:rsidP="001E1287" w:rsidRDefault="00F67E48" w14:paraId="62319FDF" w14:textId="7111D13D">
      <w:pPr>
        <w:spacing w:before="120" w:after="120" w:line="360" w:lineRule="auto"/>
        <w:ind w:left="720"/>
        <w:rPr>
          <w:b/>
          <w:bCs/>
        </w:rPr>
      </w:pPr>
      <w:r w:rsidRPr="00E3672F">
        <w:rPr>
          <w:b/>
          <w:bCs/>
        </w:rPr>
        <w:t xml:space="preserve">Latvia </w:t>
      </w:r>
    </w:p>
    <w:p w:rsidRPr="00E3672F" w:rsidR="00D40D7B" w:rsidP="001E1287" w:rsidRDefault="00D40D7B" w14:paraId="6BB39244" w14:textId="7E73D0E5">
      <w:pPr>
        <w:spacing w:before="120" w:after="120" w:line="360" w:lineRule="auto"/>
      </w:pPr>
      <w:r w:rsidRPr="00E3672F">
        <w:t xml:space="preserve">Latvian </w:t>
      </w:r>
      <w:r w:rsidRPr="00E3672F">
        <w:rPr>
          <w:b/>
          <w:bCs/>
        </w:rPr>
        <w:t>public authority representatives</w:t>
      </w:r>
      <w:r w:rsidRPr="00E3672F">
        <w:t xml:space="preserve"> indicated that social partners and other stakeholders were consistently involved in the drafting of the initial whistleblowing legislation and subsequent amendments. They explained that, in line with national practice, trade unions, employer organisations and certain civil society organisations were invited to participate in working groups, to comment on draft laws and to submit written observations during public consultations. Latvian trade union representatives confirmed that they had actively contributed to legislative discussions, advocating</w:t>
      </w:r>
      <w:r w:rsidRPr="00E3672F" w:rsidR="00B57553">
        <w:t>,</w:t>
      </w:r>
      <w:r w:rsidRPr="00E3672F">
        <w:t xml:space="preserve"> in particular</w:t>
      </w:r>
      <w:r w:rsidRPr="00E3672F" w:rsidR="00B57553">
        <w:t>,</w:t>
      </w:r>
      <w:r w:rsidRPr="00E3672F">
        <w:t xml:space="preserve"> recognition of trade unions as possible intermediaries or support channels and a broad material scope that goes beyond the Directive</w:t>
      </w:r>
      <w:r w:rsidRPr="00E3672F" w:rsidR="00413731">
        <w:t>’</w:t>
      </w:r>
      <w:r w:rsidRPr="00E3672F">
        <w:t>s explicit list of sectors. They highlighted that trade union experts took part in the drafting process and that their feedback was partly reflected in the final text, for example in provisions recognising associations and foundations as possible channels and support actors.</w:t>
      </w:r>
    </w:p>
    <w:p w:rsidRPr="00E3672F" w:rsidR="00D40D7B" w:rsidP="001E1287" w:rsidRDefault="00D40D7B" w14:paraId="62FF3A9B" w14:textId="3C21E5D1">
      <w:pPr>
        <w:spacing w:before="120" w:after="120" w:line="360" w:lineRule="auto"/>
      </w:pPr>
      <w:r w:rsidRPr="00E3672F">
        <w:rPr>
          <w:b/>
          <w:bCs/>
        </w:rPr>
        <w:t>Business representatives</w:t>
      </w:r>
      <w:r w:rsidRPr="00E3672F">
        <w:t xml:space="preserve"> also reported that they were consulted throughout the legislative process and that their comments were heard, particularly on procedural and institutional questions. Employer organisations noted that they had raised concerns about the movement of the national contact point function from a central administrative body to an </w:t>
      </w:r>
      <w:r w:rsidRPr="00E3672F" w:rsidR="00B10A29">
        <w:t>anti-corruption</w:t>
      </w:r>
      <w:r w:rsidRPr="00E3672F">
        <w:t xml:space="preserve"> authority, focusing mainly on the clarity of institutional responsibilities and the treatment of staff, and less on the substantive rules. They stressed that they support the overarching objectives of transparency and integrity, but that they consistently call for measures that keep administrative burdens manageable and avoid unnecessary duplication of reporting obligations. In their view, the legislative process broadly respected these conditions, which explains the relatively high level of acceptance of the framework among larger employers.</w:t>
      </w:r>
    </w:p>
    <w:p w:rsidRPr="00E3672F" w:rsidR="00F67E48" w:rsidP="001E1287" w:rsidRDefault="00D40D7B" w14:paraId="24CF169E" w14:textId="01160241">
      <w:pPr>
        <w:spacing w:before="120" w:after="120" w:line="360" w:lineRule="auto"/>
      </w:pPr>
      <w:r w:rsidRPr="00E3672F">
        <w:t xml:space="preserve">Despite these formal consultation arrangements, </w:t>
      </w:r>
      <w:r w:rsidRPr="00E3672F">
        <w:rPr>
          <w:b/>
          <w:bCs/>
        </w:rPr>
        <w:t>trade union representatives and civil society representatives</w:t>
      </w:r>
      <w:r w:rsidRPr="00E3672F">
        <w:t xml:space="preserve"> pointed to limitations in the practical involvement of social partners in the design of internal channels at company and sector level. Trade union organisations reported that they are not systematically involved when enterprises set up internal whistleblowing procedures, and that workers</w:t>
      </w:r>
      <w:r w:rsidRPr="00E3672F" w:rsidR="00413731">
        <w:t>’</w:t>
      </w:r>
      <w:r w:rsidRPr="00E3672F">
        <w:t xml:space="preserve"> representatives are only occasionally consulted when companies design or revise their internal systems. Civil society organisations observed that, while the law encourages consultation with social partners, the degree of such involvement varies considerably between sectors and enterprises, often depending on existing social dialogue traditions. Several stakeholders suggested that more structured tripartite guidance on model procedures, including a clearer role for unions and works councils, could strengthen trust in internal channels and make them more responsive to workers</w:t>
      </w:r>
      <w:r w:rsidRPr="00E3672F" w:rsidR="00413731">
        <w:t>’</w:t>
      </w:r>
      <w:r w:rsidRPr="00E3672F">
        <w:t xml:space="preserve"> concerns.</w:t>
      </w:r>
    </w:p>
    <w:p w:rsidRPr="00E3672F" w:rsidR="00F67E48" w:rsidP="001E1287" w:rsidRDefault="00F67E48" w14:paraId="4533673D" w14:textId="77777777">
      <w:pPr>
        <w:spacing w:before="120" w:after="120" w:line="360" w:lineRule="auto"/>
      </w:pPr>
    </w:p>
    <w:p w:rsidRPr="00E3672F" w:rsidR="00F67E48" w:rsidP="001E1287" w:rsidRDefault="00F67E48" w14:paraId="600C579D" w14:textId="77777777">
      <w:pPr>
        <w:spacing w:before="120" w:after="120" w:line="360" w:lineRule="auto"/>
        <w:ind w:left="720"/>
        <w:rPr>
          <w:b/>
          <w:bCs/>
        </w:rPr>
      </w:pPr>
      <w:r w:rsidRPr="00E3672F">
        <w:rPr>
          <w:b/>
          <w:bCs/>
        </w:rPr>
        <w:t>Romania</w:t>
      </w:r>
    </w:p>
    <w:p w:rsidRPr="00E3672F" w:rsidR="00C266C7" w:rsidP="001E1287" w:rsidRDefault="00C266C7" w14:paraId="0BE12D27" w14:textId="5F48DCD2">
      <w:pPr>
        <w:pStyle w:val="ListParagraph"/>
        <w:spacing w:before="120" w:after="120" w:line="360" w:lineRule="auto"/>
        <w:ind w:left="0"/>
      </w:pPr>
      <w:r w:rsidRPr="00E3672F">
        <w:t xml:space="preserve">Romanian social partners explained that they were involved in the transposition of the Directive through general tripartite consultation procedures rather than a dedicated whistleblowing‑specific dialogue. </w:t>
      </w:r>
      <w:r w:rsidRPr="00E3672F">
        <w:rPr>
          <w:b/>
          <w:bCs/>
        </w:rPr>
        <w:t>Trade union representatives</w:t>
      </w:r>
      <w:r w:rsidRPr="00E3672F">
        <w:t xml:space="preserve"> indicated that they examined the draft whistleblower law within the national economic and social council and submitted written and oral comments, as they would for other labour‑related legislation. They emphasised, however, that their participation was part of the routine legislative consultation process and did not lead to a specific social partner role in the final design or oversight of whistleblowing mechanisms. </w:t>
      </w:r>
      <w:r w:rsidRPr="00E3672F">
        <w:rPr>
          <w:b/>
          <w:bCs/>
        </w:rPr>
        <w:t>Employers</w:t>
      </w:r>
      <w:r w:rsidRPr="00E3672F" w:rsidR="00413731">
        <w:rPr>
          <w:b/>
          <w:bCs/>
        </w:rPr>
        <w:t>’</w:t>
      </w:r>
      <w:r w:rsidRPr="00E3672F">
        <w:rPr>
          <w:b/>
          <w:bCs/>
        </w:rPr>
        <w:t xml:space="preserve"> representatives</w:t>
      </w:r>
      <w:r w:rsidRPr="00E3672F">
        <w:t xml:space="preserve"> similarly reported that they followed the file and presented their perspective on issues such as scope and administrative burden, but they were not assigned formal responsibilities in implementing or monitoring the law beyond those incumbent on individual employers. </w:t>
      </w:r>
    </w:p>
    <w:p w:rsidRPr="00E3672F" w:rsidR="00C266C7" w:rsidP="001E1287" w:rsidRDefault="00C266C7" w14:paraId="588DF32E" w14:textId="4DB8E0FF">
      <w:pPr>
        <w:pStyle w:val="ListParagraph"/>
        <w:spacing w:before="120" w:after="120" w:line="360" w:lineRule="auto"/>
        <w:ind w:left="0"/>
      </w:pPr>
      <w:r w:rsidRPr="00E3672F">
        <w:t xml:space="preserve">Romanian </w:t>
      </w:r>
      <w:r w:rsidRPr="00E3672F">
        <w:rPr>
          <w:b/>
          <w:bCs/>
        </w:rPr>
        <w:t>civil society organisations</w:t>
      </w:r>
      <w:r w:rsidRPr="00E3672F">
        <w:t xml:space="preserve"> reported that they also contributed actively during the legislative phase, submitting detailed comments on the draft law and meeting with the Ministry of Justice and the </w:t>
      </w:r>
      <w:r w:rsidRPr="00E3672F" w:rsidR="00DE2948">
        <w:t>National Integrity Agency</w:t>
      </w:r>
      <w:r w:rsidRPr="00E3672F">
        <w:t>. They stressed that they had argued strongly that the Directive lays down minimum standards and that the national framework could and should preserve more favourable pre‑existing protections, particularly regarding public disclosures and the breadth of material scope. Civil society actors underlined that not all these recommendations were taken on board, especially proposals aimed at maintaining a more generous framework for contacting the media or for covering a wider set of public‑interest breaches. As a result, several organisations now perceive that the transposition process, though formally open to contributions, did not fully reflect civil society</w:t>
      </w:r>
      <w:r w:rsidRPr="00E3672F" w:rsidR="00413731">
        <w:t>’</w:t>
      </w:r>
      <w:r w:rsidRPr="00E3672F">
        <w:t xml:space="preserve">s concerns about the risk of weakening protection. </w:t>
      </w:r>
    </w:p>
    <w:p w:rsidRPr="00E3672F" w:rsidR="00F67E48" w:rsidP="001E1287" w:rsidRDefault="00C266C7" w14:paraId="5048073D" w14:textId="336037D5">
      <w:pPr>
        <w:pStyle w:val="ListParagraph"/>
        <w:spacing w:before="120" w:after="120" w:line="360" w:lineRule="auto"/>
        <w:ind w:left="0"/>
      </w:pPr>
      <w:r w:rsidRPr="00E3672F">
        <w:t>After the law</w:t>
      </w:r>
      <w:r w:rsidRPr="00E3672F" w:rsidR="00413731">
        <w:t>’</w:t>
      </w:r>
      <w:r w:rsidRPr="00E3672F">
        <w:t>s adoption, both social partners and civil society described limited structural involvement in the subsequent operationalisation of reporting channels. Trade union representatives stated that while they can, in principle, be consulted on internal codes of ethics or governance strategies under general social dialogue rules, they are not systematically involved in drafting whistleblowing procedures or in selecting persons responsible for handling reports. Civil society actors echoed this assessment, explaining that, apart from ad hoc exchanges with the national integrity body or specific institutions, there is no formal mechanism to involve them in the design, monitoring or evaluation of channels. Public authorities noted that the National Integrity Agency provides methodological support and training to institutions and that this occasionally involves civil society and union participation, but they did not refer to any regularised multi‑stakeholder body devoted specifically to implementation of the whistleblowing framework.</w:t>
      </w:r>
    </w:p>
    <w:p w:rsidRPr="00E3672F" w:rsidR="00495034" w:rsidP="001E1287" w:rsidRDefault="00495034" w14:paraId="65ABBD3C" w14:textId="77777777">
      <w:pPr>
        <w:spacing w:before="120" w:after="120" w:line="360" w:lineRule="auto"/>
      </w:pPr>
    </w:p>
    <w:p w:rsidRPr="00E3672F" w:rsidR="00495034" w:rsidP="001E1287" w:rsidRDefault="00495034" w14:paraId="0887A654" w14:textId="7B7A49E1">
      <w:pPr>
        <w:pStyle w:val="Heading2"/>
        <w:spacing w:line="360" w:lineRule="auto"/>
        <w:ind w:left="720"/>
        <w:rPr>
          <w:u w:val="single"/>
        </w:rPr>
      </w:pPr>
      <w:bookmarkStart w:name="_Toc228180526" w:id="23"/>
      <w:r w:rsidRPr="00E3672F">
        <w:rPr>
          <w:u w:val="single"/>
        </w:rPr>
        <w:t>Enforcement, Remedies and Anti-Retaliation Measures</w:t>
      </w:r>
      <w:bookmarkEnd w:id="23"/>
    </w:p>
    <w:p w:rsidRPr="00E3672F" w:rsidR="00F67E48" w:rsidP="001E1287" w:rsidRDefault="00F67E48" w14:paraId="2C742925" w14:textId="77777777">
      <w:pPr>
        <w:spacing w:before="120" w:after="120" w:line="360" w:lineRule="auto"/>
      </w:pPr>
    </w:p>
    <w:p w:rsidRPr="00E3672F" w:rsidR="00F67E48" w:rsidP="001E1287" w:rsidRDefault="00F67E48" w14:paraId="7F5B3FF0" w14:textId="77777777">
      <w:pPr>
        <w:spacing w:before="120" w:after="120" w:line="360" w:lineRule="auto"/>
        <w:ind w:left="720"/>
        <w:rPr>
          <w:b/>
          <w:bCs/>
        </w:rPr>
      </w:pPr>
      <w:r w:rsidRPr="00E3672F">
        <w:rPr>
          <w:b/>
          <w:bCs/>
        </w:rPr>
        <w:t xml:space="preserve">Denmark </w:t>
      </w:r>
    </w:p>
    <w:p w:rsidRPr="00E3672F" w:rsidR="00683D5A" w:rsidP="001E1287" w:rsidRDefault="00683D5A" w14:paraId="189DAB30" w14:textId="3E7CF813">
      <w:pPr>
        <w:spacing w:before="120" w:after="120" w:line="360" w:lineRule="auto"/>
      </w:pPr>
      <w:r w:rsidRPr="00E3672F">
        <w:rPr>
          <w:b/>
          <w:bCs/>
        </w:rPr>
        <w:t>Public authorities</w:t>
      </w:r>
      <w:r w:rsidRPr="00E3672F">
        <w:t xml:space="preserve"> highlighted that the whistleblower scheme emphasises confidentiality, impartiality and procedural fairness. They described rigorous confidentiality protocols, such as secure rooms without electronic devices, and strict separation between whistleblower scheme staff and the broader data protection authority. However, they acknowledged that protections are not absolute, noting that court‑ordered disclosures may require identity release in exceptional circumstances, and that criminal investigations fall under separate legal procedures. Authorities emphasised that their role is primarily initial assessment and referral, with enforcement outcomes depending on specialised bodies such as police, labour authorities or tax agencies. They do not track long‑term outcomes once cases leave their remit. </w:t>
      </w:r>
    </w:p>
    <w:p w:rsidRPr="00E3672F" w:rsidR="00683D5A" w:rsidP="001E1287" w:rsidRDefault="00683D5A" w14:paraId="73BD0D80" w14:textId="5B45B982">
      <w:pPr>
        <w:spacing w:before="120" w:after="120" w:line="360" w:lineRule="auto"/>
      </w:pPr>
      <w:r w:rsidRPr="00E3672F">
        <w:t xml:space="preserve">Danish </w:t>
      </w:r>
      <w:r w:rsidRPr="00E3672F">
        <w:rPr>
          <w:b/>
          <w:bCs/>
        </w:rPr>
        <w:t>civil society organisations</w:t>
      </w:r>
      <w:r w:rsidRPr="00E3672F">
        <w:t xml:space="preserve"> expressed concern about the effectiveness of anti‑retaliation protections</w:t>
      </w:r>
      <w:r w:rsidRPr="00E3672F" w:rsidR="00016E84">
        <w:t xml:space="preserve"> in certain cases</w:t>
      </w:r>
      <w:r w:rsidRPr="00E3672F">
        <w:t xml:space="preserve">. They argued that despite strong formal safeguards, whistleblowers still face real risks, particularly in smaller organisations or specialised sectors where anonymity is </w:t>
      </w:r>
      <w:r w:rsidRPr="00E3672F" w:rsidR="00016E84">
        <w:t>very difficult</w:t>
      </w:r>
      <w:r w:rsidRPr="00E3672F">
        <w:t xml:space="preserve"> to maintain. Civil society stakeholders cited examples where whistleblowers who raised issues internally experienced pressure or job loss. They argued that confidentiality obligations can shield organisational misconduct rather than protect those who disclose it, and they criticised the Danish practice of anonymising regulatory decisions</w:t>
      </w:r>
      <w:r w:rsidRPr="00E3672F" w:rsidR="00016E84">
        <w:t xml:space="preserve"> because of the </w:t>
      </w:r>
      <w:r w:rsidR="00A96E29">
        <w:t xml:space="preserve">Act on Protection of </w:t>
      </w:r>
      <w:r w:rsidRPr="00E3672F" w:rsidR="00016E84">
        <w:t>Whistleblower</w:t>
      </w:r>
      <w:r w:rsidR="00A96E29">
        <w:t>s</w:t>
      </w:r>
      <w:r w:rsidRPr="00E3672F">
        <w:t xml:space="preserve">, which they believed prevents public scrutiny and weakens deterrence. CSOs highlighted that, in practice, systemic improvements often follow media investigations rather than whistleblower‑scheme follow‑up. They also noted the absence of comprehensive data on whether referrals lead to enforcement actions or policy reforms. </w:t>
      </w:r>
    </w:p>
    <w:p w:rsidRPr="00E3672F" w:rsidR="00683D5A" w:rsidP="001E1287" w:rsidRDefault="00683D5A" w14:paraId="36BBE920" w14:textId="1CEA8A71">
      <w:pPr>
        <w:spacing w:before="120" w:after="120" w:line="360" w:lineRule="auto"/>
      </w:pPr>
      <w:r w:rsidRPr="00E3672F">
        <w:t xml:space="preserve">Danish </w:t>
      </w:r>
      <w:r w:rsidRPr="00E3672F">
        <w:rPr>
          <w:b/>
          <w:bCs/>
        </w:rPr>
        <w:t>social partners</w:t>
      </w:r>
      <w:r w:rsidRPr="00E3672F">
        <w:t xml:space="preserve"> noted enforcement shortcomings as well, including concerns that compensation levels awarded by courts remain too low to deter retaliation and to </w:t>
      </w:r>
      <w:r w:rsidRPr="00E3672F" w:rsidR="007A2591">
        <w:t>protect</w:t>
      </w:r>
      <w:r w:rsidRPr="00E3672F">
        <w:t xml:space="preserve"> potential whistleblowers. Trade union representatives explained that employees frequently request guidance on retaliation risks and confidentiality before reporting. They also highlighted sector‑specific tensions between secrecy obligations and reporting duties, particularly in healthcare, defence and policing, where breaching confidentiality can jeopardise professional accreditation or security clearance. Social partners observed that although the law aims to protect whistleblowers from having their identities revealed, the practical impossibility of anonymity in certain workplaces undermines the effectiveness of the framework. </w:t>
      </w:r>
    </w:p>
    <w:p w:rsidRPr="00E3672F" w:rsidR="00F67E48" w:rsidP="001E1287" w:rsidRDefault="00683D5A" w14:paraId="1C1BF27F" w14:textId="30F892AD">
      <w:pPr>
        <w:spacing w:before="120" w:after="120" w:line="360" w:lineRule="auto"/>
      </w:pPr>
      <w:r w:rsidRPr="00E3672F">
        <w:rPr>
          <w:b/>
          <w:bCs/>
        </w:rPr>
        <w:t>Stakeholders across all groups</w:t>
      </w:r>
      <w:r w:rsidRPr="00E3672F">
        <w:t xml:space="preserve"> noted limited follow‑up</w:t>
      </w:r>
      <w:r w:rsidR="00A96E29">
        <w:t>,</w:t>
      </w:r>
      <w:r w:rsidRPr="00E3672F">
        <w:t xml:space="preserve"> </w:t>
      </w:r>
      <w:r w:rsidRPr="00E3672F" w:rsidR="00B26BB0">
        <w:t xml:space="preserve">which limited the </w:t>
      </w:r>
      <w:r w:rsidRPr="00E3672F">
        <w:t>transparency</w:t>
      </w:r>
      <w:r w:rsidRPr="00E3672F" w:rsidR="007A2591">
        <w:t xml:space="preserve"> of the impact</w:t>
      </w:r>
      <w:r w:rsidRPr="00E3672F">
        <w:t xml:space="preserve">, explaining that neither public authorities nor private companies routinely publish outcomes of whistleblower investigations. Civil society representatives raised particular concern about a lack of standardised mechanisms to indicate whether reports resulted in corrective action, police referral or internal reform. Moreover, access‑to‑information requests about national data submitted to the European Commission on implementation were denied, adding to uncertainty about the broader impact of the framework. All stakeholder groups agreed that without clear </w:t>
      </w:r>
      <w:r w:rsidRPr="00E3672F" w:rsidR="007A2591">
        <w:t>transparency and gathering of statistical data</w:t>
      </w:r>
      <w:r w:rsidRPr="00E3672F">
        <w:t xml:space="preserve">, the </w:t>
      </w:r>
      <w:r w:rsidRPr="00E3672F" w:rsidR="007A2591">
        <w:t xml:space="preserve">assessment </w:t>
      </w:r>
      <w:r w:rsidRPr="00E3672F">
        <w:t>of the system is weakened.</w:t>
      </w:r>
    </w:p>
    <w:p w:rsidRPr="00E3672F" w:rsidR="000C0CC1" w:rsidP="001E1287" w:rsidRDefault="000C0CC1" w14:paraId="0557F959" w14:textId="77777777">
      <w:pPr>
        <w:spacing w:before="120" w:after="120" w:line="360" w:lineRule="auto"/>
      </w:pPr>
    </w:p>
    <w:p w:rsidRPr="00E3672F" w:rsidR="00F67E48" w:rsidP="001E1287" w:rsidRDefault="00F67E48" w14:paraId="7732B306" w14:textId="77777777">
      <w:pPr>
        <w:spacing w:before="120" w:after="120" w:line="360" w:lineRule="auto"/>
        <w:ind w:left="720"/>
        <w:rPr>
          <w:b/>
          <w:bCs/>
        </w:rPr>
      </w:pPr>
      <w:r w:rsidRPr="00E3672F">
        <w:rPr>
          <w:b/>
          <w:bCs/>
        </w:rPr>
        <w:t>France</w:t>
      </w:r>
    </w:p>
    <w:p w:rsidRPr="00E3672F" w:rsidR="00DE2948" w:rsidP="00DE2948" w:rsidRDefault="0029785A" w14:paraId="0D20A7A8" w14:textId="68F9319E">
      <w:pPr>
        <w:spacing w:before="120" w:after="120" w:line="360" w:lineRule="auto"/>
      </w:pPr>
      <w:r>
        <w:rPr>
          <w:b/>
          <w:bCs/>
        </w:rPr>
        <w:t>Stakeholders across all groups consulted</w:t>
      </w:r>
      <w:r w:rsidRPr="00E3672F" w:rsidR="00DE2948">
        <w:rPr>
          <w:b/>
          <w:bCs/>
        </w:rPr>
        <w:t xml:space="preserve"> </w:t>
      </w:r>
      <w:r w:rsidRPr="00E3672F" w:rsidR="00DE2948">
        <w:t xml:space="preserve">in France described protection against retaliation as one of the most sensitive and problematic aspects of the whistleblowing framework. Trade union representatives emphasised that the personal cost of reporting remains extremely high, both psychologically and financially, and that whistleblowers often face long‑term consequences for their careers, including dismissal, marginalisation or difficulties finding new employment. Civil society actors highlighted the tensions that often existed in between two aspects of the whistleblowing framework: the protection of the person and the treatment of the substance of the alert, explaining that effective protection frequently arrives only after internal mechanisms have failed and retaliatory measures have already occurred. Authorities noted that litigation procedures in labour and administrative courts are lengthy and complex, and that interim measures to prevent retaliation remain very rare and difficult to obtain. Several examples were mentioned where judicial decisions recognising whistleblower status or ordering reinstatement were not immediately implemented, without swift or effective sanctions against the employer. </w:t>
      </w:r>
    </w:p>
    <w:p w:rsidRPr="00E3672F" w:rsidR="00DE2948" w:rsidP="00DE2948" w:rsidRDefault="00DE2948" w14:paraId="38CC836A" w14:textId="1D25D22A">
      <w:pPr>
        <w:spacing w:before="120" w:after="120" w:line="360" w:lineRule="auto"/>
      </w:pPr>
      <w:r w:rsidRPr="00E3672F">
        <w:rPr>
          <w:b/>
          <w:bCs/>
        </w:rPr>
        <w:t>Civil society organisations</w:t>
      </w:r>
      <w:r w:rsidRPr="00E3672F">
        <w:t xml:space="preserve"> highlighted that recognition of whistleblower status can be sought judicially through court proceedings or administratively through a certification procedure by the Defender of Rights, but that such administrative recognition does not automatically bind the courts. They cited cases in which courts declined to apply the protective regime, even where the Defender of Rights or a speciali</w:t>
      </w:r>
      <w:r w:rsidRPr="00E3672F" w:rsidR="00413731">
        <w:t>s</w:t>
      </w:r>
      <w:r w:rsidRPr="00E3672F">
        <w:t>ed association (</w:t>
      </w:r>
      <w:r w:rsidRPr="00E3672F" w:rsidR="00413731">
        <w:t>‘</w:t>
      </w:r>
      <w:r w:rsidRPr="00E3672F">
        <w:t>House of Whistleblowers</w:t>
      </w:r>
      <w:r w:rsidRPr="00E3672F" w:rsidR="00413731">
        <w:t>’</w:t>
      </w:r>
      <w:r w:rsidRPr="00E3672F">
        <w:t>) had recognised the whistleblower</w:t>
      </w:r>
      <w:r w:rsidRPr="00E3672F" w:rsidR="00413731">
        <w:t>’</w:t>
      </w:r>
      <w:r w:rsidRPr="00E3672F">
        <w:t xml:space="preserve">s status. Some interlocutors suggested creating a temporary presumption of whistleblower status as part of interim measures to be assigned for the duration of proceedings to enhance protection, particularly in dismissal cases, and stressed the need for more accessible and effective preventive tools to halt retaliation before damage becomes irreversible. They also drew attention to the limited use of urgent judicial procedures under labour courts and too restrictive an interpretation of the existing provisions of the whistleblowers regime in courts, which keep the burden of defence largely on the individual concerned. </w:t>
      </w:r>
    </w:p>
    <w:p w:rsidRPr="00E3672F" w:rsidR="00DE2948" w:rsidP="00DE2948" w:rsidRDefault="00DE2948" w14:paraId="18DA59DE" w14:textId="77777777">
      <w:pPr>
        <w:spacing w:before="120" w:after="120" w:line="360" w:lineRule="auto"/>
      </w:pPr>
      <w:r w:rsidRPr="00E3672F">
        <w:rPr>
          <w:b/>
          <w:bCs/>
        </w:rPr>
        <w:t>Authorities</w:t>
      </w:r>
      <w:r w:rsidRPr="00E3672F">
        <w:t xml:space="preserve"> and civil society actors agreed that resource constraints seriously affect the enforcement and support dimensions of the regime. The Defender of Rights, external reporting channels and associations all face a sharp increase in cases, without a corresponding increase in staff or funding. Some external channels/independent authorities possess investigative or sanctioning powers, while others must refer cases to prosecutors or different regulators, which can slow down case handling and dilute responsibility. Civil society organisations indicated that psychological and financial support for whistleblowers relies heavily on associative structures without stable funding, and that these organisations cannot respond adequately to all demands. Stakeholders also pointed out that effective protection sometimes depends on the public visibility of a case: individuals whose stories attract media attention may be better shielded, whereas those exposing local or less publicised abuses remain particularly vulnerable. </w:t>
      </w:r>
    </w:p>
    <w:p w:rsidR="00495034" w:rsidP="00DE2948" w:rsidRDefault="0029785A" w14:paraId="26A6CD6B" w14:textId="5A9AB2E7">
      <w:pPr>
        <w:spacing w:before="120" w:after="120" w:line="360" w:lineRule="auto"/>
      </w:pPr>
      <w:r>
        <w:rPr>
          <w:b/>
          <w:bCs/>
        </w:rPr>
        <w:t>Trade unions</w:t>
      </w:r>
      <w:r w:rsidRPr="00E3672F" w:rsidR="00DE2948">
        <w:t xml:space="preserve"> underlined that recent changes to labour law and staff‑representation structures have weakened collective safeguards in the workplace, affecting the overall environment in which whistleblowing operates. They referred to the merger of representative bodies into single social and economic committees and to reforms, such as the introduction of a scale for compensation in cases of unfair dismissal, which they believe have reduced the deterrent effect of labour‑law sanctions. In their view, effective whistleblower protection requires strengthening the collective rights and capacities of workers</w:t>
      </w:r>
      <w:r w:rsidRPr="00E3672F" w:rsidR="00413731">
        <w:t>’</w:t>
      </w:r>
      <w:r w:rsidRPr="00E3672F" w:rsidR="00DE2948">
        <w:t xml:space="preserve"> representatives, as well as ensuring that compensation levels for whistleblower‑related retaliation are sufficiently high to dissuade employers from reprisal. Civil society organisations further flagged the spread of abusive legal actions, often labelled as strategic lawsuits against public participation (SLAPPs), which can be brought against whistleblowers or their supporters and impose considerable financial and psychological strain, even when the individuals are eventually recognised as acting in the public interest.</w:t>
      </w:r>
    </w:p>
    <w:p w:rsidRPr="00E3672F" w:rsidR="004523CC" w:rsidP="00DE2948" w:rsidRDefault="004523CC" w14:paraId="690463DF" w14:textId="77777777">
      <w:pPr>
        <w:spacing w:before="120" w:after="120" w:line="360" w:lineRule="auto"/>
      </w:pPr>
    </w:p>
    <w:p w:rsidRPr="00E3672F" w:rsidR="00495034" w:rsidP="001E1287" w:rsidRDefault="00495034" w14:paraId="2C7FC973" w14:textId="659FB39F">
      <w:pPr>
        <w:spacing w:before="120" w:after="120" w:line="360" w:lineRule="auto"/>
        <w:ind w:left="720"/>
        <w:rPr>
          <w:b/>
          <w:bCs/>
        </w:rPr>
      </w:pPr>
      <w:r w:rsidRPr="00E3672F">
        <w:rPr>
          <w:b/>
          <w:bCs/>
        </w:rPr>
        <w:t>Italy</w:t>
      </w:r>
    </w:p>
    <w:p w:rsidRPr="00E3672F" w:rsidR="00495034" w:rsidP="001E1287" w:rsidRDefault="00495034" w14:paraId="57049DD6" w14:textId="304BD8EA">
      <w:pPr>
        <w:spacing w:before="120" w:after="120" w:line="360" w:lineRule="auto"/>
      </w:pPr>
      <w:r w:rsidRPr="00E3672F">
        <w:rPr>
          <w:b/>
          <w:bCs/>
        </w:rPr>
        <w:t>Trade union representatives</w:t>
      </w:r>
      <w:r w:rsidRPr="00E3672F">
        <w:t xml:space="preserve"> in Italy underlined that, despite the formal introduction of anti-retaliation measures and the reverse burden of proof, the perceived level of protection of reporting persons remains limited. These trade union stakeholders explained that many workers still fear being labelled as informers and being exposed to retaliation, social isolation or career obstacles, especially in small workplaces and sectors with strong local relations. They stressed that legal safeguards alone have not yet been sufficient to overcome deep-rooted cultural resistance and mistrust, which they see as a major reason for the low number of reports.</w:t>
      </w:r>
    </w:p>
    <w:p w:rsidRPr="00E3672F" w:rsidR="00495034" w:rsidP="001E1287" w:rsidRDefault="00495034" w14:paraId="6727F2DB" w14:textId="2ADE7266">
      <w:pPr>
        <w:spacing w:before="120" w:after="120" w:line="360" w:lineRule="auto"/>
      </w:pPr>
      <w:r w:rsidRPr="00E3672F">
        <w:rPr>
          <w:b/>
          <w:bCs/>
        </w:rPr>
        <w:t>Employer representatives</w:t>
      </w:r>
      <w:r w:rsidRPr="00E3672F">
        <w:t xml:space="preserve"> confirmed that fear of retaliation and misunderstanding about the purpose of whistleblowing tools are persistent obstacles. According to these employer stakeholders, many employees tend to perceive whistleblowing systems as denunciation mechanisms and therefore hesitate to use official channels, preferring informal communication or anonymous messages outside the framework. Employers noted that, when early cases are not handled transparently and fairly, this reinforces scepticism and deters future reports, making it more difficult to build a culture of trust.</w:t>
      </w:r>
    </w:p>
    <w:p w:rsidRPr="00E3672F" w:rsidR="00495034" w:rsidP="001E1287" w:rsidRDefault="00495034" w14:paraId="029CACC8" w14:textId="5FD8CF27">
      <w:pPr>
        <w:spacing w:before="120" w:after="120" w:line="360" w:lineRule="auto"/>
      </w:pPr>
      <w:r w:rsidRPr="00E3672F">
        <w:rPr>
          <w:b/>
          <w:bCs/>
        </w:rPr>
        <w:t>Civil society organisations</w:t>
      </w:r>
      <w:r w:rsidRPr="00E3672F">
        <w:t xml:space="preserve"> considered practical protection against retaliation </w:t>
      </w:r>
      <w:r w:rsidR="004365A7">
        <w:t>to</w:t>
      </w:r>
      <w:r w:rsidRPr="00E3672F">
        <w:t xml:space="preserve"> currently </w:t>
      </w:r>
      <w:r w:rsidR="004365A7">
        <w:t xml:space="preserve">be </w:t>
      </w:r>
      <w:r w:rsidRPr="00E3672F">
        <w:t>the weakest element of the system. These civil society stakeholders reported that, in many cases, individuals who report serious breaches face long and complex proceedings before labour courts, with uncertain outcomes and limited access to timely remedies. They noted that only a small number of judgments have so far explicitly recognised whistleblower status and awarded compensation, and that administrative sanctions imposed on retaliators tend to be modest and anonymised. In their view, this imbalance between the personal risks borne by reporting persons and the limited consequences for employers who retaliate undermines the credibility of the framework and encourages reporters to remain anonymous or silent.</w:t>
      </w:r>
    </w:p>
    <w:p w:rsidRPr="00E3672F" w:rsidR="00495034" w:rsidP="001E1287" w:rsidRDefault="00495034" w14:paraId="4F9D1360" w14:textId="0DE1116F">
      <w:pPr>
        <w:spacing w:before="120" w:after="120" w:line="360" w:lineRule="auto"/>
      </w:pPr>
      <w:r w:rsidRPr="00E3672F">
        <w:t>Civil society representatives also highlighted enforcement challenges linked to the limited capacity of the external authority responsible for handling whistleblowing reports. These stakeholders referred to data showing a substantial number of reports submitted via the external channel but only a small proportion leading to investigations or sanctions, which they attributed partly to design issues in national law and partly to resource constraints. They argued that, without sufficient staffing and clear procedures for coordination with labour courts, the system cannot provide the level of protection and deterrence envisaged by the Directive.</w:t>
      </w:r>
    </w:p>
    <w:p w:rsidRPr="00E3672F" w:rsidR="00F67E48" w:rsidP="001E1287" w:rsidRDefault="00F67E48" w14:paraId="39A67EC3" w14:textId="77777777">
      <w:pPr>
        <w:spacing w:before="120" w:after="120" w:line="360" w:lineRule="auto"/>
      </w:pPr>
    </w:p>
    <w:p w:rsidRPr="00E3672F" w:rsidR="00F67E48" w:rsidP="001E1287" w:rsidRDefault="00F67E48" w14:paraId="4359DF33" w14:textId="77777777">
      <w:pPr>
        <w:spacing w:before="120" w:after="120" w:line="360" w:lineRule="auto"/>
        <w:ind w:left="720"/>
        <w:rPr>
          <w:b/>
          <w:bCs/>
        </w:rPr>
      </w:pPr>
      <w:r w:rsidRPr="00E3672F">
        <w:rPr>
          <w:b/>
          <w:bCs/>
        </w:rPr>
        <w:t xml:space="preserve">Latvia </w:t>
      </w:r>
    </w:p>
    <w:p w:rsidRPr="00E3672F" w:rsidR="00BE7DBC" w:rsidP="001E1287" w:rsidRDefault="00BE7DBC" w14:paraId="446FB358" w14:textId="33DE9CFE">
      <w:pPr>
        <w:spacing w:before="120" w:after="120" w:line="360" w:lineRule="auto"/>
      </w:pPr>
      <w:r w:rsidRPr="00E3672F">
        <w:rPr>
          <w:b/>
          <w:bCs/>
        </w:rPr>
        <w:t>Public authority representatives</w:t>
      </w:r>
      <w:r w:rsidRPr="00E3672F">
        <w:t xml:space="preserve"> reported that a significant proportion of reports qualifying as whistleblowing lead to tangible follow</w:t>
      </w:r>
      <w:r w:rsidRPr="00E3672F" w:rsidR="007A6D02">
        <w:t>-</w:t>
      </w:r>
      <w:r w:rsidRPr="00E3672F">
        <w:t>up, including criminal investigations, administrative sanctions, disciplinary measures and other corrective actions. They referred to national statistics compiled annually, which show that whistleblowing reports have triggered audits and enforcement actions in areas such as tax compliance, public procurement, misuse of public funds</w:t>
      </w:r>
      <w:r w:rsidRPr="00E3672F" w:rsidR="007A6D02">
        <w:t>,</w:t>
      </w:r>
      <w:r w:rsidRPr="00E3672F">
        <w:t xml:space="preserve"> and labour protection. Authorities emphasised that courts have begun to articulate the role of whistleblowing in case law, recognising it as a starting point for the activation of various enforcement mechanisms. They considered that this evolving jurisprudence confirms the importance of whistleblowing reports and gradually strengthens the legal position of reporting persons.</w:t>
      </w:r>
    </w:p>
    <w:p w:rsidRPr="00E3672F" w:rsidR="00F67E48" w:rsidP="001E1287" w:rsidRDefault="00BE7DBC" w14:paraId="404567DB" w14:textId="061D6442">
      <w:pPr>
        <w:spacing w:before="120" w:after="120" w:line="360" w:lineRule="auto"/>
      </w:pPr>
      <w:r w:rsidRPr="00E3672F">
        <w:t xml:space="preserve">At the same time, public authority and </w:t>
      </w:r>
      <w:r w:rsidRPr="00E3672F">
        <w:rPr>
          <w:b/>
          <w:bCs/>
        </w:rPr>
        <w:t>civil society representatives</w:t>
      </w:r>
      <w:r w:rsidRPr="00E3672F">
        <w:t xml:space="preserve"> acknowledged that retaliation remains a real risk and that protection on the ground is not always fully effective. Latvian trade union representatives described cases where individuals who reported irregularities subsequently faced dismissal attempts, reorganisation of their posts or subtler forms of pressure, such as hostile work environments and reputational attacks in small communities. Latvian municipal representatives noted that, even when formal anti</w:t>
      </w:r>
      <w:r w:rsidRPr="00E3672F" w:rsidR="007A6D02">
        <w:t>-</w:t>
      </w:r>
      <w:r w:rsidRPr="00E3672F">
        <w:t>retaliation norms are respected, the mere suspicion that someone has reported can lead to social isolation in small teams and communities, with long</w:t>
      </w:r>
      <w:r w:rsidRPr="00E3672F" w:rsidR="007A6D02">
        <w:t>-</w:t>
      </w:r>
      <w:r w:rsidRPr="00E3672F">
        <w:t>term consequences for the person</w:t>
      </w:r>
      <w:r w:rsidRPr="00E3672F" w:rsidR="00413731">
        <w:t>’</w:t>
      </w:r>
      <w:r w:rsidRPr="00E3672F">
        <w:t>s career and personal life. Stakeholders agreed that, in such contexts, legal protection must be complemented by strong confidentiality practices and by visible enforcement against those who attempt to punish whistleblowers.</w:t>
      </w:r>
    </w:p>
    <w:p w:rsidRPr="00E3672F" w:rsidR="00F67E48" w:rsidP="001E1287" w:rsidRDefault="00F67E48" w14:paraId="41AE12F3" w14:textId="77777777">
      <w:pPr>
        <w:spacing w:before="120" w:after="120" w:line="360" w:lineRule="auto"/>
      </w:pPr>
    </w:p>
    <w:p w:rsidRPr="00E3672F" w:rsidR="00F67E48" w:rsidP="001E1287" w:rsidRDefault="00F67E48" w14:paraId="4E19DEAD" w14:textId="77777777">
      <w:pPr>
        <w:spacing w:before="120" w:after="120" w:line="360" w:lineRule="auto"/>
        <w:ind w:left="720"/>
        <w:rPr>
          <w:b/>
          <w:bCs/>
        </w:rPr>
      </w:pPr>
      <w:r w:rsidRPr="00E3672F">
        <w:rPr>
          <w:b/>
          <w:bCs/>
        </w:rPr>
        <w:t>Romania</w:t>
      </w:r>
    </w:p>
    <w:p w:rsidRPr="00E3672F" w:rsidR="00DE2948" w:rsidP="00DE2948" w:rsidRDefault="00C266C7" w14:paraId="3E234D54" w14:textId="66F56636">
      <w:pPr>
        <w:spacing w:before="120" w:after="120" w:line="360" w:lineRule="auto"/>
      </w:pPr>
      <w:r w:rsidRPr="00E3672F">
        <w:rPr>
          <w:b/>
          <w:bCs/>
        </w:rPr>
        <w:t>Civil society representatives</w:t>
      </w:r>
      <w:r w:rsidRPr="00E3672F">
        <w:t xml:space="preserve"> reported systemic shortcomings in judicial and administrative protection for whistleblowers. They stated that, to their knowledge, no whistleblower has yet succeeded in obtaining effective relief against retaliation in domestic courts, either at disciplinary committee level or in subsequent judicial proceedings. In many cases involving public servants, </w:t>
      </w:r>
      <w:r w:rsidRPr="00E3672F" w:rsidR="00DE2948">
        <w:t xml:space="preserve">disputes are </w:t>
      </w:r>
      <w:r w:rsidRPr="00E3672F" w:rsidR="00B10A29">
        <w:t>channelled</w:t>
      </w:r>
      <w:r w:rsidRPr="00E3672F" w:rsidR="00DE2948">
        <w:t xml:space="preserve"> into administrative‑contentious procedures based on internal administrative acts, where the whistleblowing dimension is generally disregarded and the national whistleblower law and the Directive are not invoked. Civil society organisations cited examples in which whistleblowers had clearly reported breaches in the public interest, yet courts treated their dismissal, revocation or downgrading as ordinary human resources decisions, analysing only the formal legality of the administrative act rather than the broader context of retaliation. They also pointed to a decision of the High Court of Cassation and Justice that declared inadmissible a legal question concerning the suspension of retaliatory measures, which they interpreted as evidence of judicial reluctance to </w:t>
      </w:r>
      <w:r w:rsidRPr="00E3672F" w:rsidR="007A6D02">
        <w:t xml:space="preserve">put </w:t>
      </w:r>
      <w:r w:rsidRPr="00E3672F" w:rsidR="00DE2948">
        <w:t>the protective intent of the law</w:t>
      </w:r>
      <w:r w:rsidRPr="00E3672F" w:rsidR="007A6D02">
        <w:t xml:space="preserve"> into practice</w:t>
      </w:r>
      <w:r w:rsidRPr="00E3672F" w:rsidR="00DE2948">
        <w:t xml:space="preserve">. </w:t>
      </w:r>
    </w:p>
    <w:p w:rsidRPr="00E3672F" w:rsidR="00C266C7" w:rsidP="00DE2948" w:rsidRDefault="00DE2948" w14:paraId="5416A873" w14:textId="6B5A7198">
      <w:pPr>
        <w:spacing w:before="120" w:after="120" w:line="360" w:lineRule="auto"/>
      </w:pPr>
      <w:r w:rsidRPr="00E3672F">
        <w:t xml:space="preserve">First‑hand and reported accounts provided by Romanian </w:t>
      </w:r>
      <w:r w:rsidRPr="00E3672F">
        <w:rPr>
          <w:b/>
          <w:bCs/>
        </w:rPr>
        <w:t>whistleblowers</w:t>
      </w:r>
      <w:r w:rsidRPr="00E3672F">
        <w:t xml:space="preserve"> illustrated the personal impact </w:t>
      </w:r>
      <w:r w:rsidRPr="00E3672F" w:rsidR="00C266C7">
        <w:t xml:space="preserve">of insufficient protection and lack of effective remedies. One whistleblower from the environmental sector described how, after opposing activities of a major polluter and raising possible incompatibilities involving a locally influential figure, she was removed from her director position in a local public company, saw her post abolished through changes in the organisational chart, and was subjected to disciplinary proceedings during her notice period. She reported that, despite several audits which she understood had not identified wrongdoing on her part, her employment was terminated, she faced negative coverage in local media and her spouse also experienced professional repercussions. Living in a small community, she recounted being avoided in public spaces and struggling to find new employment, while other potential whistleblowers explicitly told her that her experience had discouraged them from reporting similar problems. Civil society actors highlighted that such experiences are not isolated and that the cumulative effect of retaliation, social stigma and financial insecurity has a strong chilling effect on whistleblowing. </w:t>
      </w:r>
    </w:p>
    <w:p w:rsidRPr="00E3672F" w:rsidR="00C266C7" w:rsidP="001E1287" w:rsidRDefault="00C266C7" w14:paraId="04491E25" w14:textId="26872193">
      <w:pPr>
        <w:spacing w:before="120" w:after="120" w:line="360" w:lineRule="auto"/>
      </w:pPr>
      <w:r w:rsidRPr="00E3672F">
        <w:rPr>
          <w:b/>
          <w:bCs/>
        </w:rPr>
        <w:t xml:space="preserve">Social partners </w:t>
      </w:r>
      <w:r w:rsidRPr="00E3672F">
        <w:t xml:space="preserve">expressed complementary concerns about enforcement and anti‑retaliation measures. </w:t>
      </w:r>
      <w:r w:rsidRPr="00E3672F">
        <w:rPr>
          <w:b/>
          <w:bCs/>
        </w:rPr>
        <w:t>Trade unions</w:t>
      </w:r>
      <w:r w:rsidRPr="00E3672F">
        <w:t xml:space="preserve"> acknowledged that the national law formally prohibits retaliation, reverses the burden of proof and provides for remedies such as compensation and reinstatement, and they welcomed these provisions on paper. However, they noted that courts currently lack specialised sections or judges focusing on whistleblower‑related disputes and that litigation tends to be long and complex. Trade union representatives stated that, in practice, whistleblowers rarely secure swift or satisfactory redress and that there is a lack of specific interim relief mechanisms tailored to whistleblowing cases, meaning that dismissals, transfers or disciplinary sanctions are not routinely suspended pending the outcome of investigations or court proceedings. </w:t>
      </w:r>
      <w:r w:rsidRPr="00E3672F">
        <w:rPr>
          <w:b/>
          <w:bCs/>
        </w:rPr>
        <w:t>Employers</w:t>
      </w:r>
      <w:r w:rsidRPr="00E3672F" w:rsidR="00413731">
        <w:rPr>
          <w:b/>
          <w:bCs/>
        </w:rPr>
        <w:t>’</w:t>
      </w:r>
      <w:r w:rsidRPr="00E3672F">
        <w:rPr>
          <w:b/>
          <w:bCs/>
        </w:rPr>
        <w:t xml:space="preserve"> organisations</w:t>
      </w:r>
      <w:r w:rsidRPr="00E3672F">
        <w:t xml:space="preserve"> stressed that the credibility of internal and external channels depends on the existence of clear, predictable follow‑up that is perceived as fair by both employees and managers; in their view, the absence of visible and timely outcomes risks eroding trust in the system among all parties. </w:t>
      </w:r>
    </w:p>
    <w:p w:rsidRPr="00E3672F" w:rsidR="00C266C7" w:rsidP="001E1287" w:rsidRDefault="00C266C7" w14:paraId="0416272B" w14:textId="42005759">
      <w:pPr>
        <w:spacing w:before="120" w:after="120" w:line="360" w:lineRule="auto"/>
      </w:pPr>
      <w:r w:rsidRPr="00E3672F">
        <w:t xml:space="preserve">Romanian </w:t>
      </w:r>
      <w:r w:rsidRPr="00E3672F">
        <w:rPr>
          <w:b/>
          <w:bCs/>
        </w:rPr>
        <w:t>public authorities</w:t>
      </w:r>
      <w:r w:rsidRPr="00E3672F">
        <w:t xml:space="preserve"> presented a more positive overall assessment but nevertheless recognised that enforcement is still in a consolidation phase. The National Integrity Agency gave examples of external reports leading to concrete actions, such as the imposition of sanctions in cases of non‑compliance with data protection rules, and explained that external channels are expected to inform it of the outcomes of cases referred to them, feeding into periodic statistical reports. The National Anticorruption Directorate reported that cooperation with whistleblower associations has contributed to investigations in areas such as local‑level corruption and that some of these cases have been sent to trial. At the same time, authorities acknowledged gaps in judicial specialisation and training; they accepted that courts do not yet have specialised judges dealing with whistleblowing and agreed that targeted training for judges and prosecutors on the whistleblower law and on the interpretation of retaliation provisions would be beneficial. They were aware of concerns raised by civil society about the limited application of provisions enabling the suspension of retaliation and indicated that clearer guidance and jurisprudence would help in this area, even though they did not share the more pessimistic evaluation of the system</w:t>
      </w:r>
      <w:r w:rsidRPr="00E3672F" w:rsidR="00413731">
        <w:t>’</w:t>
      </w:r>
      <w:r w:rsidRPr="00E3672F">
        <w:t>s overall functioning.</w:t>
      </w:r>
    </w:p>
    <w:p w:rsidRPr="00E3672F" w:rsidR="00495034" w:rsidP="001E1287" w:rsidRDefault="00495034" w14:paraId="57FD35D9" w14:textId="77777777">
      <w:pPr>
        <w:spacing w:before="120" w:after="120" w:line="360" w:lineRule="auto"/>
      </w:pPr>
    </w:p>
    <w:p w:rsidRPr="00BA2532" w:rsidR="00F67E48" w:rsidP="00BA2532" w:rsidRDefault="00495034" w14:paraId="665313E8" w14:textId="3D603ED9">
      <w:pPr>
        <w:pStyle w:val="Heading2"/>
        <w:spacing w:line="360" w:lineRule="auto"/>
        <w:ind w:left="720"/>
        <w:rPr>
          <w:u w:val="single"/>
        </w:rPr>
      </w:pPr>
      <w:bookmarkStart w:name="_Toc228180527" w:id="24"/>
      <w:r w:rsidRPr="00E3672F">
        <w:rPr>
          <w:u w:val="single"/>
        </w:rPr>
        <w:t>Integration with Professional Secrecy and Confidentiality</w:t>
      </w:r>
      <w:bookmarkEnd w:id="24"/>
    </w:p>
    <w:p w:rsidRPr="00E3672F" w:rsidR="00F67E48" w:rsidP="001E1287" w:rsidRDefault="00F67E48" w14:paraId="1C2F8FB0" w14:textId="77777777">
      <w:pPr>
        <w:spacing w:before="120" w:after="120" w:line="360" w:lineRule="auto"/>
        <w:ind w:left="720"/>
        <w:rPr>
          <w:b/>
          <w:bCs/>
        </w:rPr>
      </w:pPr>
      <w:r w:rsidRPr="00E3672F">
        <w:rPr>
          <w:b/>
          <w:bCs/>
        </w:rPr>
        <w:t xml:space="preserve">Denmark </w:t>
      </w:r>
    </w:p>
    <w:p w:rsidRPr="00E3672F" w:rsidR="00683D5A" w:rsidP="001E1287" w:rsidRDefault="00683D5A" w14:paraId="6B8BFF6D" w14:textId="6F90AB2B">
      <w:pPr>
        <w:spacing w:before="120" w:after="120" w:line="360" w:lineRule="auto"/>
      </w:pPr>
      <w:r w:rsidRPr="00E3672F">
        <w:t xml:space="preserve">Danish </w:t>
      </w:r>
      <w:r w:rsidRPr="00E3672F">
        <w:rPr>
          <w:b/>
          <w:bCs/>
        </w:rPr>
        <w:t>public authorities</w:t>
      </w:r>
      <w:r w:rsidRPr="00E3672F">
        <w:t xml:space="preserve"> emphasised that the whistleblower scheme imposes rigorous confidentiality safeguards, reflecting the Danish legal framework</w:t>
      </w:r>
      <w:r w:rsidRPr="00E3672F" w:rsidR="00413731">
        <w:t>’</w:t>
      </w:r>
      <w:r w:rsidRPr="00E3672F">
        <w:t>s strong emphasis on data protection. They highlighted secure processes, anonymised digital reporting options, and strict internal compartmentalisation. However, they acknowledged that professional</w:t>
      </w:r>
      <w:r w:rsidR="00F20B9B">
        <w:t xml:space="preserve"> </w:t>
      </w:r>
      <w:r w:rsidRPr="00E3672F">
        <w:t xml:space="preserve">secrecy obligations in fields such as medicine, law or financial services can create uncertainty for whistleblowers who fear breaching legal duties if they disclose sensitive information externally. Authorities reported that no test case has yet clarified the boundaries between whistleblowing rights and secrecy laws. They recognised that situations involving classified information, patient data or privileged communication may require careful interpretation. </w:t>
      </w:r>
    </w:p>
    <w:p w:rsidRPr="00E3672F" w:rsidR="00683D5A" w:rsidP="001E1287" w:rsidRDefault="00683D5A" w14:paraId="74D2E517" w14:textId="772E40D5">
      <w:pPr>
        <w:spacing w:before="120" w:after="120" w:line="360" w:lineRule="auto"/>
      </w:pPr>
      <w:r w:rsidRPr="00E3672F">
        <w:rPr>
          <w:b/>
          <w:bCs/>
        </w:rPr>
        <w:t>Civil society organisations</w:t>
      </w:r>
      <w:r w:rsidRPr="00E3672F" w:rsidR="00DC130A">
        <w:t xml:space="preserve"> had divided views, with some criticising</w:t>
      </w:r>
      <w:r w:rsidRPr="00E3672F">
        <w:t xml:space="preserve"> what they viewed as excessive confidentiality rules that prioritise secrecy</w:t>
      </w:r>
      <w:r w:rsidRPr="00E3672F" w:rsidR="00DC130A">
        <w:t xml:space="preserve"> for the protection of the whistleblower</w:t>
      </w:r>
      <w:r w:rsidRPr="00E3672F">
        <w:t xml:space="preserve"> over transparency in matters of public interest. They argued that the current framework discourages whistleblowers from sharing information with journalists, even when the disclosure reveals systemic wrongdoing. CSOs highlighted that some authorities anonymise decisions on professional misconduct, preventing identification of problematic actors such as auditors or corporate entities, and that this undermines accountability. They warned that strict confidentiality obligations, while designed to protect whistleblowers, can instead obscure patterns of unethical behaviour and limit opportunities for public scrutiny. </w:t>
      </w:r>
    </w:p>
    <w:p w:rsidRPr="00E3672F" w:rsidR="00683D5A" w:rsidP="001E1287" w:rsidRDefault="00683D5A" w14:paraId="59ABA428" w14:textId="1C038330">
      <w:pPr>
        <w:spacing w:before="120" w:after="120" w:line="360" w:lineRule="auto"/>
      </w:pPr>
      <w:r w:rsidRPr="00E3672F">
        <w:t xml:space="preserve">Danish </w:t>
      </w:r>
      <w:r w:rsidRPr="00E3672F">
        <w:rPr>
          <w:b/>
          <w:bCs/>
        </w:rPr>
        <w:t>social partners</w:t>
      </w:r>
      <w:r w:rsidRPr="00E3672F">
        <w:t xml:space="preserve"> noted that professional</w:t>
      </w:r>
      <w:r w:rsidR="00F20B9B">
        <w:t xml:space="preserve"> </w:t>
      </w:r>
      <w:r w:rsidRPr="00E3672F">
        <w:t xml:space="preserve">secrecy rules </w:t>
      </w:r>
      <w:r w:rsidRPr="00E3672F" w:rsidR="00AC44F8">
        <w:t xml:space="preserve">can </w:t>
      </w:r>
      <w:r w:rsidRPr="00E3672F">
        <w:t xml:space="preserve">create complex dilemmas for employees who must balance legal obligations of confidentiality with the public interest in exposing wrongdoing. This challenge is particularly acute in sectors such as defence and intelligence, where employees risk losing security clearance </w:t>
      </w:r>
      <w:r w:rsidRPr="00E3672F" w:rsidR="00DC130A">
        <w:t xml:space="preserve">and thus </w:t>
      </w:r>
      <w:r w:rsidRPr="00E3672F">
        <w:t xml:space="preserve">employment if they report misconduct involving classified matters. Trade union representatives explained that they often advise individuals to consider carefully whether to report internally, use anonymous channels or seek alternative employment, because consequences can be severe. Social partners emphasised that </w:t>
      </w:r>
      <w:r w:rsidRPr="00E3672F" w:rsidR="00DC130A">
        <w:t xml:space="preserve">despite </w:t>
      </w:r>
      <w:r w:rsidRPr="00E3672F">
        <w:t xml:space="preserve">the </w:t>
      </w:r>
      <w:r w:rsidRPr="00E3672F" w:rsidR="00DC130A">
        <w:t xml:space="preserve">existence of the </w:t>
      </w:r>
      <w:r w:rsidRPr="00E3672F" w:rsidR="009363D5">
        <w:t>Directive</w:t>
      </w:r>
      <w:r w:rsidR="00F20B9B">
        <w:t>,</w:t>
      </w:r>
      <w:r w:rsidRPr="00E3672F" w:rsidR="009363D5">
        <w:t xml:space="preserve"> whistleblowers</w:t>
      </w:r>
      <w:r w:rsidRPr="00E3672F">
        <w:t xml:space="preserve"> must navigate a challenging landscape where mistakes may carry significant repercussions. </w:t>
      </w:r>
    </w:p>
    <w:p w:rsidRPr="00E3672F" w:rsidR="000C0CC1" w:rsidP="001E1287" w:rsidRDefault="00683D5A" w14:paraId="6E5ED89C" w14:textId="7412FDD6">
      <w:pPr>
        <w:spacing w:before="120" w:after="120" w:line="360" w:lineRule="auto"/>
      </w:pPr>
      <w:r w:rsidRPr="00E3672F">
        <w:t>All groups recognised that the</w:t>
      </w:r>
      <w:r w:rsidRPr="00E3672F" w:rsidR="00AC44F8">
        <w:t>re could be</w:t>
      </w:r>
      <w:r w:rsidRPr="00E3672F">
        <w:t xml:space="preserve"> tension between secrecy obligations and whistleblowing rights</w:t>
      </w:r>
      <w:r w:rsidRPr="00E3672F" w:rsidR="00AC44F8">
        <w:t>.</w:t>
      </w:r>
      <w:r w:rsidRPr="00E3672F">
        <w:t xml:space="preserve"> Taken together, stakeholders saw the </w:t>
      </w:r>
      <w:r w:rsidRPr="00E3672F" w:rsidR="00C27752">
        <w:t>tension between</w:t>
      </w:r>
      <w:r w:rsidRPr="00E3672F">
        <w:t xml:space="preserve"> secrecy rules </w:t>
      </w:r>
      <w:r w:rsidRPr="00E3672F" w:rsidR="00C27752">
        <w:t xml:space="preserve">and </w:t>
      </w:r>
      <w:r w:rsidRPr="00E3672F">
        <w:t xml:space="preserve">whistleblowing protections as one of the most </w:t>
      </w:r>
      <w:r w:rsidRPr="00E3672F" w:rsidR="00C27752">
        <w:t xml:space="preserve">difficult </w:t>
      </w:r>
      <w:r w:rsidRPr="00E3672F">
        <w:t xml:space="preserve">aspects of </w:t>
      </w:r>
      <w:r w:rsidRPr="00E3672F" w:rsidR="00C27752">
        <w:t xml:space="preserve">the implementation of the </w:t>
      </w:r>
      <w:r w:rsidRPr="00E3672F" w:rsidR="002B4F73">
        <w:t>D</w:t>
      </w:r>
      <w:r w:rsidRPr="00E3672F" w:rsidR="00C27752">
        <w:t>irective</w:t>
      </w:r>
      <w:r w:rsidRPr="00E3672F">
        <w:t>.</w:t>
      </w:r>
    </w:p>
    <w:p w:rsidRPr="00E3672F" w:rsidR="000C0CC1" w:rsidP="001E1287" w:rsidRDefault="000C0CC1" w14:paraId="317E332D" w14:textId="77777777">
      <w:pPr>
        <w:spacing w:before="120" w:after="120" w:line="360" w:lineRule="auto"/>
      </w:pPr>
    </w:p>
    <w:p w:rsidRPr="00E3672F" w:rsidR="00F67E48" w:rsidP="001E1287" w:rsidRDefault="00F67E48" w14:paraId="00B039CD" w14:textId="77777777">
      <w:pPr>
        <w:spacing w:before="120" w:after="120" w:line="360" w:lineRule="auto"/>
        <w:ind w:left="720"/>
        <w:rPr>
          <w:b/>
          <w:bCs/>
        </w:rPr>
      </w:pPr>
      <w:r w:rsidRPr="00E3672F">
        <w:rPr>
          <w:b/>
          <w:bCs/>
        </w:rPr>
        <w:t>France</w:t>
      </w:r>
    </w:p>
    <w:p w:rsidRPr="00E3672F" w:rsidR="00DA67FB" w:rsidP="001E1287" w:rsidRDefault="00DA67FB" w14:paraId="264B5B7E" w14:textId="77777777">
      <w:pPr>
        <w:spacing w:before="120" w:after="120" w:line="360" w:lineRule="auto"/>
      </w:pPr>
      <w:r w:rsidRPr="00E3672F">
        <w:rPr>
          <w:b/>
          <w:bCs/>
        </w:rPr>
        <w:t>Civil society organisations and the authorities</w:t>
      </w:r>
      <w:r w:rsidRPr="00E3672F">
        <w:t xml:space="preserve"> agreed that </w:t>
      </w:r>
      <w:r w:rsidRPr="00E3672F">
        <w:rPr>
          <w:rFonts w:eastAsiaTheme="majorEastAsia"/>
        </w:rPr>
        <w:t>confidentiality and the protection of identity are indispensable components</w:t>
      </w:r>
      <w:r w:rsidRPr="00E3672F">
        <w:t xml:space="preserve"> of an effective whistleblower framework, but they also emphasised persistent shortcomings in practical application. In some internal mechanisms, particularly within smaller structures, the identity of the reporting person can be indirectly inferred from contextual details, exposing them to pressure or retaliation. </w:t>
      </w:r>
      <w:r w:rsidRPr="00E3672F">
        <w:rPr>
          <w:b/>
          <w:bCs/>
        </w:rPr>
        <w:t>Trade unions</w:t>
      </w:r>
      <w:r w:rsidRPr="00E3672F">
        <w:t xml:space="preserve"> and associations often play a crucial role in relaying information while protecting the identity of the whistleblower, but they explained that many individuals initially report alone and only seek support later, by which time sensitive information may already be widely known. Stakeholders considered that earlier involvement of support organisations could make procedures more secure and reduce the risk of inadvertent disclosure. </w:t>
      </w:r>
    </w:p>
    <w:p w:rsidRPr="00E3672F" w:rsidR="00DA67FB" w:rsidP="001E1287" w:rsidRDefault="00DA67FB" w14:paraId="3401A500" w14:textId="771C5AA3">
      <w:pPr>
        <w:spacing w:before="120" w:after="120" w:line="360" w:lineRule="auto"/>
      </w:pPr>
      <w:r w:rsidRPr="00E3672F">
        <w:rPr>
          <w:b/>
          <w:bCs/>
        </w:rPr>
        <w:t>Authorities</w:t>
      </w:r>
      <w:r w:rsidRPr="00E3672F">
        <w:t xml:space="preserve"> stressed that the legal framework explicitly addresses the interaction between whistleblowing and business secrecy, stating that confidentiality of business information cannot be invoked to oppose a report made to protect the public interest under the conditions laid down by law. They considered this an important safeguard against contractual or statutory attempts to silence reports by invoking corporate confidentiality. Nevertheless, </w:t>
      </w:r>
      <w:r w:rsidRPr="00E3672F">
        <w:rPr>
          <w:b/>
          <w:bCs/>
        </w:rPr>
        <w:t>civil society organisations</w:t>
      </w:r>
      <w:r w:rsidRPr="00E3672F">
        <w:t xml:space="preserve"> observed that in practice other grounds may be used in disciplinary or contractual proceedings, making it difficult to demonstrate the link between the alert and subsequent retaliation. They also highlighted that abusive judicial proceedings targeting whistleblowers, </w:t>
      </w:r>
      <w:r w:rsidRPr="00E3672F" w:rsidR="00DE2948">
        <w:t>activists or the media represent an important challenge</w:t>
      </w:r>
      <w:r w:rsidRPr="00E3672F">
        <w:t xml:space="preserve">, and argued that protections against such lawsuits should be developed in </w:t>
      </w:r>
      <w:r w:rsidR="00DB14B0">
        <w:t>line</w:t>
      </w:r>
      <w:r w:rsidRPr="00E3672F" w:rsidR="00DB14B0">
        <w:t xml:space="preserve"> </w:t>
      </w:r>
      <w:r w:rsidRPr="00E3672F">
        <w:t xml:space="preserve">with the whistleblower regime so that litigation cannot be used to bypass the safeguards provided by European and national law. </w:t>
      </w:r>
    </w:p>
    <w:p w:rsidRPr="00E3672F" w:rsidR="00DA67FB" w:rsidP="001E1287" w:rsidRDefault="00DA67FB" w14:paraId="3E23BBA1" w14:textId="2FB25AA0">
      <w:pPr>
        <w:spacing w:before="120" w:after="120" w:line="360" w:lineRule="auto"/>
      </w:pPr>
      <w:r w:rsidRPr="00E3672F">
        <w:t xml:space="preserve">Stakeholders also discussed the interplay between whistleblowing rules, professional secrecy and journalistic freedoms. </w:t>
      </w:r>
      <w:r w:rsidRPr="00E3672F">
        <w:rPr>
          <w:b/>
          <w:bCs/>
        </w:rPr>
        <w:t>Journalists and civil society representatives</w:t>
      </w:r>
      <w:r w:rsidRPr="00E3672F">
        <w:t xml:space="preserve"> noted that conditions for public disclosure</w:t>
      </w:r>
      <w:r w:rsidRPr="00E3672F" w:rsidR="003945C0">
        <w:t xml:space="preserve">, </w:t>
      </w:r>
      <w:r w:rsidRPr="00E3672F">
        <w:t>except in cases of serious and imminent danger</w:t>
      </w:r>
      <w:r w:rsidRPr="00E3672F" w:rsidR="003945C0">
        <w:t xml:space="preserve">, </w:t>
      </w:r>
      <w:r w:rsidRPr="00E3672F">
        <w:t>may be experienced as too restrictive in certain situations, not only for whistleblowers but also for media actors. They argued that publication can sometimes serve as protection for the reporting person and can be essential for revealing serious facts to the public. They underlined the importance of protecting journalistic sources, which they considered still insufficiently secure in the light of press</w:t>
      </w:r>
      <w:r w:rsidRPr="00E3672F">
        <w:noBreakHyphen/>
        <w:t>freedom standards. Authorities confirmed that courts and administrations have varying degrees of familiarity with confidentiality requirements and noted that some judicial bodies are less accustomed to handling cases where heightened protection of identity is needed.</w:t>
      </w:r>
    </w:p>
    <w:p w:rsidR="00495034" w:rsidP="001E1287" w:rsidRDefault="00DA67FB" w14:paraId="56606F8E" w14:textId="55D083BA">
      <w:pPr>
        <w:spacing w:before="120" w:after="120" w:line="360" w:lineRule="auto"/>
      </w:pPr>
      <w:r w:rsidRPr="00E3672F">
        <w:t>All groups in France stressed that the effectiveness of legal protection ultimately depends on the existence of a genuine culture that distinguishes whistleblowing from denunciation and recognises its contribution to the public interest. Civil society organisations argued that training for magistrates, lawyers, administrative managers and business actors is essential to ensure correct application of the legal framework, especially in areas where secrecy obligations, such as national defence secrecy or data</w:t>
      </w:r>
      <w:r w:rsidRPr="00E3672F">
        <w:noBreakHyphen/>
        <w:t xml:space="preserve">protection rules, intersect with the right to </w:t>
      </w:r>
      <w:r w:rsidRPr="00E3672F" w:rsidR="007A1771">
        <w:t xml:space="preserve">raise an </w:t>
      </w:r>
      <w:r w:rsidRPr="00E3672F">
        <w:t>alert. Authorities and social partners concurred that promoting a more nuanced understanding of confidentiality and the public interest would help avoid both under</w:t>
      </w:r>
      <w:r w:rsidRPr="00E3672F">
        <w:noBreakHyphen/>
        <w:t>reporting and over</w:t>
      </w:r>
      <w:r w:rsidRPr="00E3672F">
        <w:noBreakHyphen/>
        <w:t>cautious restrictions on information flows, thus strengthening the overall coherence of the whistleblower protection system.</w:t>
      </w:r>
    </w:p>
    <w:p w:rsidRPr="00E3672F" w:rsidR="00BA2532" w:rsidP="001E1287" w:rsidRDefault="00BA2532" w14:paraId="11644DFC" w14:textId="77777777">
      <w:pPr>
        <w:spacing w:before="120" w:after="120" w:line="360" w:lineRule="auto"/>
      </w:pPr>
    </w:p>
    <w:p w:rsidRPr="00E3672F" w:rsidR="00495034" w:rsidP="001E1287" w:rsidRDefault="00495034" w14:paraId="4639A7E1" w14:textId="0A6CD70B">
      <w:pPr>
        <w:spacing w:before="120" w:after="120" w:line="360" w:lineRule="auto"/>
        <w:ind w:left="720"/>
        <w:rPr>
          <w:b/>
          <w:bCs/>
        </w:rPr>
      </w:pPr>
      <w:r w:rsidRPr="00E3672F">
        <w:rPr>
          <w:b/>
          <w:bCs/>
        </w:rPr>
        <w:t>Italy</w:t>
      </w:r>
    </w:p>
    <w:p w:rsidRPr="00E3672F" w:rsidR="00495034" w:rsidP="001E1287" w:rsidRDefault="00495034" w14:paraId="497F4465" w14:textId="4F4D6140">
      <w:pPr>
        <w:spacing w:before="120" w:after="120" w:line="360" w:lineRule="auto"/>
      </w:pPr>
      <w:r w:rsidRPr="00E3672F">
        <w:t xml:space="preserve">According to </w:t>
      </w:r>
      <w:r w:rsidRPr="00E3672F">
        <w:rPr>
          <w:b/>
          <w:bCs/>
        </w:rPr>
        <w:t>trade union</w:t>
      </w:r>
      <w:r w:rsidRPr="00E3672F">
        <w:t xml:space="preserve"> representatives from the finance and insurance sectors, whistleblowing mechanisms are being integrated into already dense compliance frameworks that include anti-money-laundering obligations, corporate governance rules and prudential supervision. These trade union stakeholders noted that, in larger financial institutions, sophisticated internal control systems existed before the Directive and whistleblowing channels have been layered on top of them. They stressed that, in these contexts, it is essential to reconcile whistleblower protections with sectoral confidentiality rules and data</w:t>
      </w:r>
      <w:r w:rsidR="00CE73C9">
        <w:t xml:space="preserve"> </w:t>
      </w:r>
      <w:r w:rsidRPr="00E3672F">
        <w:t>protection requirements so that reporting persons can safely disclose information that might otherwise be covered by professional secrecy.</w:t>
      </w:r>
    </w:p>
    <w:p w:rsidRPr="00E3672F" w:rsidR="00495034" w:rsidP="001E1287" w:rsidRDefault="004E6D23" w14:paraId="326FB3AE" w14:textId="0EE7C68A">
      <w:pPr>
        <w:spacing w:before="120" w:after="120" w:line="360" w:lineRule="auto"/>
      </w:pPr>
      <w:r w:rsidRPr="00E3672F">
        <w:rPr>
          <w:b/>
          <w:bCs/>
        </w:rPr>
        <w:t>E</w:t>
      </w:r>
      <w:r w:rsidRPr="00E3672F" w:rsidR="00495034">
        <w:rPr>
          <w:b/>
          <w:bCs/>
        </w:rPr>
        <w:t>mployer organisations</w:t>
      </w:r>
      <w:r w:rsidRPr="00E3672F" w:rsidR="00495034">
        <w:t xml:space="preserve"> from highly regulated sectors reported that they seek to ensure that whistleblowing channels are designed in a way that respects existing obligations on data protection and professional secrecy. These employer stakeholders explained that internal procedures typically limit access to reports to a small number of authorised staff and that systems are configured to protect the identity of the reporting person, while still enabling adequate investigation. They considered that technological tools, when properly configured, can help reconcile the need for confidentiality with the need to document and follow up on allegations.</w:t>
      </w:r>
    </w:p>
    <w:p w:rsidRPr="00E3672F" w:rsidR="00495034" w:rsidP="001E1287" w:rsidRDefault="00495034" w14:paraId="024CDDA7" w14:textId="52435F6A">
      <w:pPr>
        <w:spacing w:before="120" w:after="120" w:line="360" w:lineRule="auto"/>
      </w:pPr>
      <w:r w:rsidRPr="00E3672F">
        <w:rPr>
          <w:b/>
          <w:bCs/>
        </w:rPr>
        <w:t>Civil society and professional organisations</w:t>
      </w:r>
      <w:r w:rsidRPr="00E3672F">
        <w:t xml:space="preserve"> described </w:t>
      </w:r>
      <w:r w:rsidRPr="00E3672F" w:rsidR="00B10A29">
        <w:t>multi-layered</w:t>
      </w:r>
      <w:r w:rsidRPr="00E3672F">
        <w:t xml:space="preserve"> institutional arrangements in which whistleblowing platforms coexist with codes of ethics, disciplinary procedures, compliance </w:t>
      </w:r>
      <w:r w:rsidRPr="00E3672F" w:rsidR="00340846">
        <w:t>with Model 231</w:t>
      </w:r>
      <w:r w:rsidRPr="00E3672F">
        <w:t xml:space="preserve"> and sector-specific confidentiality regimes. These civil society stakeholders explained that, in such settings, the same factual situation can have implications under several frameworks: for example, a breach of a code of ethics may also constitute a corruption risk, a reputational risk and a potential whistleblowing case. They considered that, although this complexity can be challenging, it also allows whistleblowing tools to act as an entry point into broader integrity systems.</w:t>
      </w:r>
    </w:p>
    <w:p w:rsidRPr="00E3672F" w:rsidR="00F67E48" w:rsidP="001E1287" w:rsidRDefault="00F67E48" w14:paraId="7102E97D" w14:textId="77777777">
      <w:pPr>
        <w:spacing w:before="120" w:after="120" w:line="360" w:lineRule="auto"/>
      </w:pPr>
    </w:p>
    <w:p w:rsidRPr="00E3672F" w:rsidR="00F67E48" w:rsidP="001E1287" w:rsidRDefault="00F67E48" w14:paraId="17C444BE" w14:textId="77777777">
      <w:pPr>
        <w:spacing w:before="120" w:after="120" w:line="360" w:lineRule="auto"/>
        <w:ind w:left="720"/>
        <w:rPr>
          <w:b/>
          <w:bCs/>
        </w:rPr>
      </w:pPr>
      <w:r w:rsidRPr="00E3672F">
        <w:rPr>
          <w:b/>
          <w:bCs/>
        </w:rPr>
        <w:t xml:space="preserve">Latvia </w:t>
      </w:r>
    </w:p>
    <w:p w:rsidR="00F67E48" w:rsidP="001E1287" w:rsidRDefault="00BE7DBC" w14:paraId="6EDA5086" w14:textId="197E4F9C">
      <w:pPr>
        <w:spacing w:before="120" w:after="120" w:line="360" w:lineRule="auto"/>
      </w:pPr>
      <w:r w:rsidRPr="00E3672F">
        <w:t xml:space="preserve">Latvian </w:t>
      </w:r>
      <w:r w:rsidRPr="00E3672F">
        <w:rPr>
          <w:b/>
          <w:bCs/>
        </w:rPr>
        <w:t>civil society representatives</w:t>
      </w:r>
      <w:r w:rsidRPr="00E3672F">
        <w:t xml:space="preserve"> drew attention to the limitations of protection in the area of state secrets and national security, where the disclosure of classified information is expressly excluded from whistleblowing protection and can result in criminal liability. They argued that this creates a blind spot for enforcement, as individuals who become aware of serious wrongdoing in security</w:t>
      </w:r>
      <w:r w:rsidRPr="00E3672F" w:rsidR="00475EF4">
        <w:t>-</w:t>
      </w:r>
      <w:r w:rsidRPr="00E3672F">
        <w:t xml:space="preserve">sensitive fields have no safe, legally recognised way to report it. While security and law enforcement authorities are listed as competent bodies that can receive such information, civil society stakeholders considered that clearer rules and tailored channels are needed to reconcile national security concerns with the protection of those acting in </w:t>
      </w:r>
      <w:r w:rsidRPr="00E3672F" w:rsidR="00475EF4">
        <w:t xml:space="preserve">the </w:t>
      </w:r>
      <w:r w:rsidRPr="00E3672F">
        <w:t>public interest. Several stakeholders suggested that addressing this gap would be essential to fully align enforcement and anti-retaliation measures with the objectives of the Directive.</w:t>
      </w:r>
    </w:p>
    <w:p w:rsidRPr="00E3672F" w:rsidR="00BA2532" w:rsidP="001E1287" w:rsidRDefault="00BA2532" w14:paraId="06B35958" w14:textId="77777777">
      <w:pPr>
        <w:spacing w:before="120" w:after="120" w:line="360" w:lineRule="auto"/>
      </w:pPr>
    </w:p>
    <w:p w:rsidRPr="00D0335D" w:rsidR="00F67E48" w:rsidP="000B42B1" w:rsidRDefault="00F67E48" w14:paraId="0FBC7F0A" w14:textId="2667806F">
      <w:pPr>
        <w:spacing w:before="120" w:after="120" w:line="360" w:lineRule="auto"/>
        <w:ind w:left="720"/>
      </w:pPr>
      <w:r w:rsidRPr="00E3672F">
        <w:rPr>
          <w:b/>
          <w:bCs/>
        </w:rPr>
        <w:t>Romania</w:t>
      </w:r>
    </w:p>
    <w:p w:rsidRPr="00E3672F" w:rsidR="00C266C7" w:rsidP="001E1287" w:rsidRDefault="0057330C" w14:paraId="0D713996" w14:textId="5702EA82">
      <w:pPr>
        <w:pStyle w:val="ListParagraph"/>
        <w:spacing w:before="120" w:after="120" w:line="360" w:lineRule="auto"/>
        <w:ind w:left="0"/>
      </w:pPr>
      <w:r w:rsidRPr="00E3672F">
        <w:rPr>
          <w:b/>
          <w:bCs/>
        </w:rPr>
        <w:t>C</w:t>
      </w:r>
      <w:r w:rsidRPr="00E3672F" w:rsidR="00C266C7">
        <w:rPr>
          <w:b/>
          <w:bCs/>
        </w:rPr>
        <w:t>ivil society organisations</w:t>
      </w:r>
      <w:r w:rsidRPr="00E3672F" w:rsidR="00C266C7">
        <w:t xml:space="preserve"> identified significant tensions between whistleblower protection and existing secrecy rules in certain sectors, notably justice, security and healthcare. They drew attention to what they viewed as a structural weakness in the Directive</w:t>
      </w:r>
      <w:r w:rsidRPr="00E3672F" w:rsidR="00413731">
        <w:t>’</w:t>
      </w:r>
      <w:r w:rsidRPr="00E3672F" w:rsidR="00C266C7">
        <w:t>s coverage regarding magistrates: the EU framework does not apply to judges and prosecutors in respect of their judicial function, leaving their protection to national mechanisms. Civil society actors maintained that, in practice, this carve‑out has generated a protection vacuum in Romania, citing examples where magistrates who had spoken to investigative journalists about systemic problems in the justice system faced retaliation while not being clearly covered by the whistleblowing regime. They argued that the exclusion from the Directive</w:t>
      </w:r>
      <w:r w:rsidRPr="00E3672F" w:rsidR="00413731">
        <w:t>’</w:t>
      </w:r>
      <w:r w:rsidRPr="00E3672F" w:rsidR="00C266C7">
        <w:t xml:space="preserve">s scope should not extend to all conduct by magistrates and that reports on administrative misconduct, corruption, undue external interference in proceedings or mismanagement of court resources should fall under clear and enforceable protection, rather than being blocked by references to judicial secrecy or independence. </w:t>
      </w:r>
    </w:p>
    <w:p w:rsidRPr="00E3672F" w:rsidR="0057330C" w:rsidP="001E1287" w:rsidRDefault="00C266C7" w14:paraId="732979E6" w14:textId="520A66BE">
      <w:pPr>
        <w:pStyle w:val="ListParagraph"/>
        <w:spacing w:before="120" w:after="120" w:line="360" w:lineRule="auto"/>
        <w:ind w:left="0"/>
      </w:pPr>
      <w:r w:rsidRPr="00E3672F">
        <w:t xml:space="preserve">Romanian </w:t>
      </w:r>
      <w:r w:rsidRPr="00E3672F">
        <w:rPr>
          <w:b/>
          <w:bCs/>
        </w:rPr>
        <w:t>public authorities and social partners</w:t>
      </w:r>
      <w:r w:rsidRPr="00E3672F">
        <w:t xml:space="preserve"> acknowledged that professional secrecy and confidentiality obligations need careful integration with the whistleblowing framework, particularly in sensitive areas such as national security or certain public procurement procedures. Authorities stated that the national law respects the Directive</w:t>
      </w:r>
      <w:r w:rsidRPr="00E3672F" w:rsidR="00413731">
        <w:t>’</w:t>
      </w:r>
      <w:r w:rsidRPr="00E3672F">
        <w:t xml:space="preserve">s provisions on exceptions related to classified information, judicial secrecy and professional privilege, and they did not identify specific sectoral confidentiality rules that explicitly contradict the whistleblower law, although they noted that procurement rules in sensitive security areas are governed by separate regimes and may therefore fall partly outside its scope. At the same time, they confirmed that data protection considerations had initially given rise to questions, with the national data protection authority querying the necessity of a separate whistleblowing system given existing complaint mechanisms. Subsequent dialogue led to a mutual understanding that whistleblowing and data protection frameworks can coexist, with institutions required to ensure confidentiality and lawful processing under both. </w:t>
      </w:r>
    </w:p>
    <w:p w:rsidRPr="00E3672F" w:rsidR="00A644D2" w:rsidP="001E1287" w:rsidRDefault="00C266C7" w14:paraId="47D1146E" w14:textId="4C8A1352">
      <w:pPr>
        <w:pStyle w:val="ListParagraph"/>
        <w:spacing w:before="120" w:after="120" w:line="360" w:lineRule="auto"/>
        <w:ind w:left="0"/>
      </w:pPr>
      <w:r w:rsidRPr="00E3672F">
        <w:rPr>
          <w:b/>
          <w:bCs/>
        </w:rPr>
        <w:t>Social partners and civil society</w:t>
      </w:r>
      <w:r w:rsidRPr="00E3672F">
        <w:t xml:space="preserve"> nonetheless cautioned that, on the ground, secrecy arguments are still sometimes used in a way that discourages disclosures, and they called for guidance and training for professionals in these sectors to ensure that secrecy obligations are not interpreted so broadly as to undermine the Directive</w:t>
      </w:r>
      <w:r w:rsidRPr="00E3672F" w:rsidR="00413731">
        <w:t>’</w:t>
      </w:r>
      <w:r w:rsidRPr="00E3672F">
        <w:t>s protective purpose.</w:t>
      </w:r>
    </w:p>
    <w:p w:rsidRPr="00E3672F" w:rsidR="00096B73" w:rsidP="00D0335D" w:rsidRDefault="00096B73" w14:paraId="5A219AB3" w14:textId="143C24C7">
      <w:pPr>
        <w:spacing w:after="160" w:line="278" w:lineRule="auto"/>
        <w:jc w:val="left"/>
      </w:pPr>
    </w:p>
    <w:p w:rsidRPr="00E3672F" w:rsidR="00C21CC2" w:rsidP="001E1287" w:rsidRDefault="00C21CC2" w14:paraId="3081A00D" w14:textId="3498FF7D">
      <w:pPr>
        <w:pStyle w:val="Heading2"/>
        <w:spacing w:before="120" w:after="120" w:line="360" w:lineRule="auto"/>
        <w:contextualSpacing/>
        <w:rPr>
          <w:rFonts w:cs="Times New Roman"/>
          <w:color w:val="004F88"/>
        </w:rPr>
      </w:pPr>
      <w:bookmarkStart w:name="_Toc228180528" w:id="25"/>
      <w:bookmarkStart w:name="_Toc125632267" w:id="26"/>
      <w:r w:rsidRPr="00E3672F">
        <w:rPr>
          <w:rFonts w:cs="Times New Roman"/>
          <w:color w:val="004F88"/>
        </w:rPr>
        <w:t>3.2</w:t>
      </w:r>
      <w:r w:rsidRPr="00E3672F">
        <w:rPr>
          <w:rFonts w:cs="Times New Roman"/>
          <w:color w:val="004F88"/>
        </w:rPr>
        <w:tab/>
      </w:r>
      <w:r w:rsidRPr="00E3672F">
        <w:rPr>
          <w:rFonts w:cs="Times New Roman"/>
          <w:color w:val="004F88"/>
          <w:u w:val="single"/>
        </w:rPr>
        <w:t xml:space="preserve">Information from </w:t>
      </w:r>
      <w:r w:rsidRPr="00E3672F" w:rsidR="00E66675">
        <w:rPr>
          <w:rFonts w:cs="Times New Roman"/>
          <w:color w:val="004F88"/>
          <w:u w:val="single"/>
        </w:rPr>
        <w:t xml:space="preserve">the </w:t>
      </w:r>
      <w:r w:rsidRPr="00E3672F">
        <w:rPr>
          <w:rFonts w:cs="Times New Roman"/>
          <w:color w:val="004F88"/>
          <w:u w:val="single"/>
        </w:rPr>
        <w:t>questionnaire</w:t>
      </w:r>
      <w:bookmarkEnd w:id="25"/>
      <w:r w:rsidRPr="00E3672F">
        <w:rPr>
          <w:rFonts w:cs="Times New Roman"/>
          <w:color w:val="004F88"/>
          <w:u w:val="single"/>
        </w:rPr>
        <w:t xml:space="preserve"> </w:t>
      </w:r>
    </w:p>
    <w:p w:rsidRPr="00E3672F" w:rsidR="000408B1" w:rsidP="001E1287" w:rsidRDefault="000408B1" w14:paraId="001D4231" w14:textId="77777777">
      <w:pPr>
        <w:pStyle w:val="NoSpacing"/>
        <w:spacing w:line="360" w:lineRule="auto"/>
        <w:jc w:val="both"/>
        <w:rPr>
          <w:rFonts w:cs="Times New Roman"/>
          <w:b/>
          <w:bCs/>
          <w:lang w:val="en-GB"/>
        </w:rPr>
      </w:pPr>
    </w:p>
    <w:p w:rsidRPr="00BA2532" w:rsidR="001B01C5" w:rsidP="00BA2532" w:rsidRDefault="001B01C5" w14:paraId="5E14C517" w14:textId="48810A4C">
      <w:pPr>
        <w:pStyle w:val="Heading2"/>
        <w:ind w:left="720"/>
        <w:rPr>
          <w:u w:val="single"/>
        </w:rPr>
      </w:pPr>
      <w:bookmarkStart w:name="_Toc228180529" w:id="27"/>
      <w:r w:rsidRPr="00E3672F">
        <w:rPr>
          <w:u w:val="single"/>
        </w:rPr>
        <w:t>In general</w:t>
      </w:r>
      <w:r w:rsidRPr="00E3672F" w:rsidR="000408B1">
        <w:rPr>
          <w:u w:val="single"/>
        </w:rPr>
        <w:t>: main opportunities and challenges</w:t>
      </w:r>
      <w:bookmarkEnd w:id="27"/>
    </w:p>
    <w:p w:rsidRPr="00E3672F" w:rsidR="001B01C5" w:rsidP="001E1287" w:rsidRDefault="001B01C5" w14:paraId="0E2F28FD" w14:textId="0834A18A">
      <w:pPr>
        <w:pStyle w:val="NoSpacing"/>
        <w:spacing w:line="360" w:lineRule="auto"/>
        <w:jc w:val="both"/>
        <w:rPr>
          <w:rFonts w:cs="Times New Roman"/>
          <w:lang w:val="en-GB"/>
        </w:rPr>
      </w:pPr>
      <w:r w:rsidRPr="00E3672F">
        <w:rPr>
          <w:rFonts w:cs="Times New Roman"/>
          <w:lang w:val="en-GB"/>
        </w:rPr>
        <w:t>When asked about the main opportunities and challenges encountered in implementing the Directive (Question 1), stakeholders generally welcomed its transposition as an important step forward. They highlighted the creation or clarification of legal frameworks, the establishment of reporting channels and strengthened protection mechanisms. Improvements noted included greater flexibility in reporting, including the ability to choose between internal and external channels, digitalised reporting systems, and in some cases the reversal of the burden of proof. Some respondents also observed increased awareness of whistleblowing, a growing number of reports and stronger roles for external authorities and institutional cooperation.</w:t>
      </w:r>
    </w:p>
    <w:p w:rsidR="001B01C5" w:rsidP="001E1287" w:rsidRDefault="001B01C5" w14:paraId="4CBF889A" w14:textId="397F8151">
      <w:pPr>
        <w:pStyle w:val="NoSpacing"/>
        <w:spacing w:line="360" w:lineRule="auto"/>
        <w:jc w:val="both"/>
        <w:rPr>
          <w:rFonts w:cs="Times New Roman"/>
          <w:lang w:val="en-GB"/>
        </w:rPr>
      </w:pPr>
      <w:r w:rsidRPr="00E3672F">
        <w:rPr>
          <w:rFonts w:cs="Times New Roman"/>
          <w:lang w:val="en-GB"/>
        </w:rPr>
        <w:t>At the same time, stakeholders consistently reported significant challenges. They highlighted a lack of preparedness, coordination and resources among competent authorities and organisations, as well as complex and unclear procedures. Legal uncertainty and inconsistent or restrictive interpretations were frequently mentioned, particularly regarding the scope of application and practical protection. A central concern was the limited effectiveness of whistleblower protection in practice: stakeholders reported ongoing retaliation, including dismissals, professional isolation and legal pressure, alongside substantial financial and psychological burdens. Protections were often described as reactive rather than preventive, with insufficient access to financial, legal and psychological support, and lengthy judicial proceedings that tended to disadvantage whistleblowers. Cultural and informational barriers were also emphasised, including low awareness among employees and employers, limited training, mistrust and negative perceptions of whistleblowing. Internal reporting mechanisms were frequently described as weak, opaque, poorly integrated into organisational governance and sometimes unable to guarantee confidentiality. Additional challenges included disproportionate administrative and financial burdens for SMEs, uncertainties in managing reporting channels within corporate groups and gaps or limitations in certain sectors, such as defence or the judiciary. Some stakeholders also highlighted regressions in national transposition choices, insufficient public communication and the lack of evaluation of systems in place.</w:t>
      </w:r>
    </w:p>
    <w:p w:rsidRPr="00E3672F" w:rsidR="00BA2532" w:rsidP="001E1287" w:rsidRDefault="00BA2532" w14:paraId="58D955D0" w14:textId="77777777">
      <w:pPr>
        <w:pStyle w:val="NoSpacing"/>
        <w:spacing w:line="360" w:lineRule="auto"/>
        <w:jc w:val="both"/>
        <w:rPr>
          <w:rFonts w:cs="Times New Roman"/>
          <w:lang w:val="en-GB"/>
        </w:rPr>
      </w:pPr>
    </w:p>
    <w:p w:rsidRPr="00E3672F" w:rsidR="001B01C5" w:rsidP="001E1287" w:rsidRDefault="001B01C5" w14:paraId="6C4727AD" w14:textId="184D3AE1">
      <w:pPr>
        <w:pStyle w:val="NoSpacing"/>
        <w:spacing w:line="360" w:lineRule="auto"/>
        <w:jc w:val="both"/>
        <w:rPr>
          <w:rFonts w:cs="Times New Roman"/>
          <w:lang w:val="en-GB"/>
        </w:rPr>
      </w:pPr>
      <w:r w:rsidRPr="00E3672F">
        <w:rPr>
          <w:rFonts w:cs="Times New Roman"/>
          <w:lang w:val="en-GB"/>
        </w:rPr>
        <w:t xml:space="preserve">In </w:t>
      </w:r>
      <w:r w:rsidRPr="00E3672F">
        <w:rPr>
          <w:rFonts w:cs="Times New Roman"/>
          <w:b/>
          <w:bCs/>
          <w:lang w:val="en-GB"/>
        </w:rPr>
        <w:t>France</w:t>
      </w:r>
      <w:r w:rsidRPr="00E3672F">
        <w:rPr>
          <w:rFonts w:cs="Times New Roman"/>
          <w:lang w:val="en-GB"/>
        </w:rPr>
        <w:t>, stakeholders welcomed a strengthened legal framework, including broader scope, flexible reporting channels and recognition of facilitators. However, they reported that protections remained largely ineffective in practice, citing limited resources, complex procedures, weak internal systems and insufficient awareness. Persistent retaliation, including dismissals and SLAPP-type procedures, was noted, alongside high personal costs and lengthy judicial processes. Some respondents also highlighted regressions in the scope of protection and gaps in sensitive sectors.</w:t>
      </w:r>
    </w:p>
    <w:p w:rsidRPr="00E3672F" w:rsidR="001B01C5" w:rsidP="001E1287" w:rsidRDefault="001B01C5" w14:paraId="5FB9AE21" w14:textId="7601BDA1">
      <w:pPr>
        <w:pStyle w:val="NoSpacing"/>
        <w:spacing w:line="360" w:lineRule="auto"/>
        <w:jc w:val="both"/>
        <w:rPr>
          <w:rFonts w:cs="Times New Roman"/>
          <w:lang w:val="en-GB"/>
        </w:rPr>
      </w:pPr>
      <w:r w:rsidRPr="00E3672F">
        <w:rPr>
          <w:rFonts w:cs="Times New Roman"/>
          <w:lang w:val="en-GB"/>
        </w:rPr>
        <w:t xml:space="preserve">In </w:t>
      </w:r>
      <w:r w:rsidRPr="00E3672F">
        <w:rPr>
          <w:rFonts w:cs="Times New Roman"/>
          <w:b/>
          <w:bCs/>
          <w:lang w:val="en-GB"/>
        </w:rPr>
        <w:t>Denmark</w:t>
      </w:r>
      <w:r w:rsidRPr="00E3672F">
        <w:rPr>
          <w:rFonts w:cs="Times New Roman"/>
          <w:lang w:val="en-GB"/>
        </w:rPr>
        <w:t>, stakeholders acknowledged improved employee protections and reporting possibilities but emphasised</w:t>
      </w:r>
      <w:r w:rsidRPr="00E3672F" w:rsidR="00C27752">
        <w:rPr>
          <w:rFonts w:cs="Times New Roman"/>
          <w:lang w:val="en-GB"/>
        </w:rPr>
        <w:t xml:space="preserve"> the lack of cost-effectiveness </w:t>
      </w:r>
      <w:r w:rsidRPr="00E3672F" w:rsidR="006F42B0">
        <w:rPr>
          <w:rFonts w:cs="Times New Roman"/>
          <w:lang w:val="en-GB"/>
        </w:rPr>
        <w:t>due to the creation of</w:t>
      </w:r>
      <w:r w:rsidRPr="00E3672F" w:rsidR="00C27752">
        <w:rPr>
          <w:rFonts w:cs="Times New Roman"/>
          <w:lang w:val="en-GB"/>
        </w:rPr>
        <w:t xml:space="preserve"> unnecessary structures</w:t>
      </w:r>
      <w:r w:rsidRPr="00E3672F">
        <w:rPr>
          <w:rFonts w:cs="Times New Roman"/>
          <w:lang w:val="en-GB"/>
        </w:rPr>
        <w:t xml:space="preserve"> </w:t>
      </w:r>
      <w:r w:rsidRPr="00E3672F" w:rsidR="006F42B0">
        <w:rPr>
          <w:rFonts w:cs="Times New Roman"/>
          <w:lang w:val="en-GB"/>
        </w:rPr>
        <w:t xml:space="preserve">and </w:t>
      </w:r>
      <w:r w:rsidRPr="00E3672F">
        <w:rPr>
          <w:rFonts w:cs="Times New Roman"/>
          <w:lang w:val="en-GB"/>
        </w:rPr>
        <w:t>significant administrative burdens, particularly for SMEs. They pointed to uncertainty regarding the scope of protection and corporate group schemes, low awareness and limited trust in internal reporting systems. Concerns were also raised about confidentiality, fear of consequences and unclear protection for public disclosures.</w:t>
      </w:r>
    </w:p>
    <w:p w:rsidRPr="00E3672F" w:rsidR="001B01C5" w:rsidP="001E1287" w:rsidRDefault="001B01C5" w14:paraId="276F0359" w14:textId="6D106F94">
      <w:pPr>
        <w:pStyle w:val="NoSpacing"/>
        <w:spacing w:line="360" w:lineRule="auto"/>
        <w:jc w:val="both"/>
        <w:rPr>
          <w:rFonts w:cs="Times New Roman"/>
          <w:lang w:val="en-GB"/>
        </w:rPr>
      </w:pPr>
      <w:r w:rsidRPr="00E3672F">
        <w:rPr>
          <w:rFonts w:cs="Times New Roman"/>
          <w:lang w:val="en-GB"/>
        </w:rPr>
        <w:t xml:space="preserve">In </w:t>
      </w:r>
      <w:r w:rsidRPr="00E3672F">
        <w:rPr>
          <w:rFonts w:cs="Times New Roman"/>
          <w:b/>
          <w:bCs/>
          <w:lang w:val="en-GB"/>
        </w:rPr>
        <w:t>Italy</w:t>
      </w:r>
      <w:r w:rsidRPr="00E3672F">
        <w:rPr>
          <w:rFonts w:cs="Times New Roman"/>
          <w:lang w:val="en-GB"/>
        </w:rPr>
        <w:t>, stakeholders highlighted complex implementation and organisational challenges, especially for corporate groups and SMEs. Costs and restrictive interpretations of reporting structures were emphasised, alongside cultural resistance and widespread distrust of whistleblowing, despite expanded protections and guidance from authorities. The handling of anonymous reports was reported as particularly problematic.</w:t>
      </w:r>
    </w:p>
    <w:p w:rsidRPr="00E3672F" w:rsidR="001B01C5" w:rsidP="001E1287" w:rsidRDefault="001B01C5" w14:paraId="7D4B4958" w14:textId="7E19CE8A">
      <w:pPr>
        <w:pStyle w:val="NoSpacing"/>
        <w:spacing w:line="360" w:lineRule="auto"/>
        <w:jc w:val="both"/>
        <w:rPr>
          <w:rFonts w:cs="Times New Roman"/>
          <w:lang w:val="en-GB"/>
        </w:rPr>
      </w:pPr>
      <w:r w:rsidRPr="00E3672F">
        <w:rPr>
          <w:rFonts w:cs="Times New Roman"/>
          <w:lang w:val="en-GB"/>
        </w:rPr>
        <w:t xml:space="preserve">In </w:t>
      </w:r>
      <w:r w:rsidRPr="00E3672F">
        <w:rPr>
          <w:rFonts w:cs="Times New Roman"/>
          <w:b/>
          <w:bCs/>
          <w:lang w:val="en-GB"/>
        </w:rPr>
        <w:t>Romania</w:t>
      </w:r>
      <w:r w:rsidRPr="00E3672F">
        <w:rPr>
          <w:rFonts w:cs="Times New Roman"/>
          <w:lang w:val="en-GB"/>
        </w:rPr>
        <w:t>, stakeholders welcomed the creation of a legal framework and modern reporting systems but stressed serious implementation gaps. Reports indicated inconsistent application of the rules, restrictive interpretations and institutional resistance. Retaliation and weak protection in practice remained major concerns, accompanied by legal uncertainty, lack of trust and cultural barriers.</w:t>
      </w:r>
    </w:p>
    <w:p w:rsidRPr="00E3672F" w:rsidR="001B01C5" w:rsidP="001E1287" w:rsidRDefault="001B01C5" w14:paraId="4C49BBEA" w14:textId="0B757BD5">
      <w:pPr>
        <w:pStyle w:val="NoSpacing"/>
        <w:spacing w:line="360" w:lineRule="auto"/>
        <w:jc w:val="both"/>
        <w:rPr>
          <w:rFonts w:cs="Times New Roman"/>
          <w:lang w:val="en-GB"/>
        </w:rPr>
      </w:pPr>
      <w:r w:rsidRPr="00E3672F">
        <w:rPr>
          <w:rFonts w:cs="Times New Roman"/>
          <w:lang w:val="en-GB"/>
        </w:rPr>
        <w:t xml:space="preserve">In </w:t>
      </w:r>
      <w:r w:rsidRPr="00E3672F">
        <w:rPr>
          <w:rFonts w:cs="Times New Roman"/>
          <w:b/>
          <w:bCs/>
          <w:lang w:val="en-GB"/>
        </w:rPr>
        <w:t>Latvia</w:t>
      </w:r>
      <w:r w:rsidRPr="00E3672F">
        <w:rPr>
          <w:rFonts w:cs="Times New Roman"/>
          <w:lang w:val="en-GB"/>
        </w:rPr>
        <w:t>, stakeholders reported improvements in regulation, infrastructure and coordination, including centralised systems and better data collection. Nevertheless, concerns persisted regarding fear of retaliation, unclear reporting scope and some interpret</w:t>
      </w:r>
      <w:r w:rsidR="00EF622E">
        <w:rPr>
          <w:rFonts w:cs="Times New Roman"/>
          <w:lang w:val="en-GB"/>
        </w:rPr>
        <w:t>at</w:t>
      </w:r>
      <w:r w:rsidRPr="00E3672F">
        <w:rPr>
          <w:rFonts w:cs="Times New Roman"/>
          <w:lang w:val="en-GB"/>
        </w:rPr>
        <w:t>ive issues, alongside broader challenges related to public trust and awareness.</w:t>
      </w:r>
    </w:p>
    <w:p w:rsidRPr="00E3672F" w:rsidR="001B01C5" w:rsidP="001E1287" w:rsidRDefault="001B01C5" w14:paraId="43BADF18" w14:textId="77777777">
      <w:pPr>
        <w:pStyle w:val="NoSpacing"/>
        <w:spacing w:line="360" w:lineRule="auto"/>
        <w:jc w:val="both"/>
        <w:rPr>
          <w:rFonts w:cs="Times New Roman"/>
          <w:lang w:val="en-GB"/>
        </w:rPr>
      </w:pPr>
    </w:p>
    <w:p w:rsidRPr="00E3672F" w:rsidR="001B01C5" w:rsidP="001E1287" w:rsidRDefault="001B01C5" w14:paraId="730D6273" w14:textId="41FA79DE">
      <w:pPr>
        <w:pStyle w:val="NoSpacing"/>
        <w:spacing w:line="360" w:lineRule="auto"/>
        <w:jc w:val="both"/>
        <w:rPr>
          <w:rFonts w:cs="Times New Roman"/>
          <w:lang w:val="en-GB"/>
        </w:rPr>
      </w:pPr>
      <w:r w:rsidRPr="00E3672F">
        <w:rPr>
          <w:rFonts w:cs="Times New Roman"/>
          <w:lang w:val="en-GB"/>
        </w:rPr>
        <w:t>Overall, stakeholders emphasised a persistent gap between formal legal protections and their practical effectiveness. While the Directive</w:t>
      </w:r>
      <w:r w:rsidRPr="00E3672F" w:rsidR="00413731">
        <w:rPr>
          <w:rFonts w:cs="Times New Roman"/>
          <w:lang w:val="en-GB"/>
        </w:rPr>
        <w:t>’</w:t>
      </w:r>
      <w:r w:rsidRPr="00E3672F">
        <w:rPr>
          <w:rFonts w:cs="Times New Roman"/>
          <w:lang w:val="en-GB"/>
        </w:rPr>
        <w:t xml:space="preserve">s transposition had strengthened the legal framework and reporting infrastructure, whistleblowers continued to face substantial risks, obstacles and burdens. The findings highlighted that national frameworks had advanced </w:t>
      </w:r>
      <w:r w:rsidRPr="00E3672F" w:rsidR="00430258">
        <w:rPr>
          <w:rFonts w:cs="Times New Roman"/>
          <w:lang w:val="en-GB"/>
        </w:rPr>
        <w:t>‘</w:t>
      </w:r>
      <w:r w:rsidRPr="00E3672F">
        <w:rPr>
          <w:rFonts w:cs="Times New Roman"/>
          <w:lang w:val="en-GB"/>
        </w:rPr>
        <w:t>on paper</w:t>
      </w:r>
      <w:r w:rsidRPr="00E3672F" w:rsidR="00430258">
        <w:rPr>
          <w:rFonts w:cs="Times New Roman"/>
          <w:lang w:val="en-GB"/>
        </w:rPr>
        <w:t>’</w:t>
      </w:r>
      <w:r w:rsidRPr="00E3672F">
        <w:rPr>
          <w:rFonts w:cs="Times New Roman"/>
          <w:lang w:val="en-GB"/>
        </w:rPr>
        <w:t xml:space="preserve"> but practical enforcement, cultural acceptance and organisational integration of whistleblowing protections remained uneven across countries.</w:t>
      </w:r>
    </w:p>
    <w:p w:rsidRPr="00E3672F" w:rsidR="001B01C5" w:rsidP="001E1287" w:rsidRDefault="001B01C5" w14:paraId="6386C199" w14:textId="77777777">
      <w:pPr>
        <w:pStyle w:val="NoSpacing"/>
        <w:spacing w:line="360" w:lineRule="auto"/>
        <w:jc w:val="both"/>
        <w:rPr>
          <w:rFonts w:cs="Times New Roman"/>
          <w:lang w:val="en-GB"/>
        </w:rPr>
      </w:pPr>
    </w:p>
    <w:p w:rsidRPr="00E3672F" w:rsidR="001B01C5" w:rsidP="000408B1" w:rsidRDefault="001B01C5" w14:paraId="43BDF31B" w14:textId="77777777">
      <w:pPr>
        <w:pStyle w:val="Heading2"/>
        <w:ind w:left="720"/>
        <w:rPr>
          <w:u w:val="single"/>
        </w:rPr>
      </w:pPr>
      <w:bookmarkStart w:name="_Toc228180530" w:id="28"/>
      <w:r w:rsidRPr="00E3672F">
        <w:rPr>
          <w:u w:val="single"/>
        </w:rPr>
        <w:t>Material scope</w:t>
      </w:r>
      <w:bookmarkEnd w:id="28"/>
    </w:p>
    <w:p w:rsidRPr="00E3672F" w:rsidR="001B01C5" w:rsidP="001E1287" w:rsidRDefault="001B01C5" w14:paraId="69243B8E" w14:textId="77777777">
      <w:pPr>
        <w:pStyle w:val="NoSpacing"/>
        <w:spacing w:line="360" w:lineRule="auto"/>
        <w:jc w:val="both"/>
        <w:rPr>
          <w:rFonts w:cs="Times New Roman"/>
          <w:lang w:val="en-GB"/>
        </w:rPr>
      </w:pPr>
    </w:p>
    <w:p w:rsidRPr="00E3672F" w:rsidR="001B01C5" w:rsidP="001E1287" w:rsidRDefault="003A6D18" w14:paraId="2E0DB43E" w14:textId="0A446494">
      <w:pPr>
        <w:pStyle w:val="NoSpacing"/>
        <w:spacing w:line="360" w:lineRule="auto"/>
        <w:jc w:val="center"/>
        <w:rPr>
          <w:rFonts w:cs="Times New Roman"/>
          <w:lang w:val="en-GB"/>
        </w:rPr>
      </w:pPr>
      <w:r w:rsidRPr="00E3672F">
        <w:rPr>
          <w:noProof/>
          <w:lang w:val="en-US"/>
          <w14:ligatures w14:val="standardContextual"/>
        </w:rPr>
        <w:drawing>
          <wp:inline distT="0" distB="0" distL="0" distR="0" wp14:anchorId="7CD34845" wp14:editId="1021B365">
            <wp:extent cx="4572000" cy="2743200"/>
            <wp:effectExtent l="0" t="0" r="0" b="0"/>
            <wp:docPr id="706095824" name="Chart 1">
              <a:extLst xmlns:a="http://schemas.openxmlformats.org/drawingml/2006/main">
                <a:ext uri="{FF2B5EF4-FFF2-40B4-BE49-F238E27FC236}">
                  <a16:creationId xmlns:a16="http://schemas.microsoft.com/office/drawing/2014/main" id="{9187737C-0361-D7A1-2CA1-5B2886E1A4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Pr="00E3672F" w:rsidR="001B01C5" w:rsidP="001E1287" w:rsidRDefault="001B01C5" w14:paraId="5EC87973" w14:textId="77777777">
      <w:pPr>
        <w:pStyle w:val="NoSpacing"/>
        <w:spacing w:line="360" w:lineRule="auto"/>
        <w:jc w:val="both"/>
        <w:rPr>
          <w:rFonts w:cs="Times New Roman"/>
          <w:lang w:val="en-GB"/>
        </w:rPr>
      </w:pPr>
    </w:p>
    <w:p w:rsidRPr="00E3672F" w:rsidR="001B01C5" w:rsidP="001E1287" w:rsidRDefault="001B01C5" w14:paraId="4BE82331" w14:textId="41220B05">
      <w:pPr>
        <w:pStyle w:val="NoSpacing"/>
        <w:spacing w:line="360" w:lineRule="auto"/>
        <w:jc w:val="both"/>
        <w:rPr>
          <w:rFonts w:cs="Times New Roman"/>
          <w:lang w:val="en-GB"/>
        </w:rPr>
      </w:pPr>
      <w:r w:rsidRPr="00E3672F">
        <w:rPr>
          <w:rFonts w:cs="Times New Roman"/>
          <w:lang w:val="en-GB"/>
        </w:rPr>
        <w:t>The majority of respondents (65</w:t>
      </w:r>
      <w:r w:rsidRPr="00E3672F" w:rsidR="00BF14F0">
        <w:rPr>
          <w:rFonts w:cs="Times New Roman"/>
          <w:lang w:val="en-GB"/>
        </w:rPr>
        <w:t xml:space="preserve">% – </w:t>
      </w:r>
      <w:r w:rsidRPr="00E3672F">
        <w:rPr>
          <w:rFonts w:cs="Times New Roman"/>
          <w:lang w:val="en-GB"/>
        </w:rPr>
        <w:t>26 out of 40 respondents) indicated that their national legislation implementing the Directive has extended the material scope beyond the areas explicitly listed in the Directive (Question 2). Only 18% (7 respondents) reported that the scope was limited strictly to the Directive</w:t>
      </w:r>
      <w:r w:rsidRPr="00E3672F" w:rsidR="00413731">
        <w:rPr>
          <w:rFonts w:cs="Times New Roman"/>
          <w:lang w:val="en-GB"/>
        </w:rPr>
        <w:t>’</w:t>
      </w:r>
      <w:r w:rsidRPr="00E3672F">
        <w:rPr>
          <w:rFonts w:cs="Times New Roman"/>
          <w:lang w:val="en-GB"/>
        </w:rPr>
        <w:t>s listed areas, while another 18% (7) were unsure.</w:t>
      </w:r>
    </w:p>
    <w:p w:rsidRPr="00E3672F" w:rsidR="001B01C5" w:rsidP="001E1287" w:rsidRDefault="001B01C5" w14:paraId="239AF6A7" w14:textId="77777777">
      <w:pPr>
        <w:pStyle w:val="NoSpacing"/>
        <w:spacing w:line="360" w:lineRule="auto"/>
        <w:jc w:val="both"/>
        <w:rPr>
          <w:rFonts w:cs="Times New Roman"/>
          <w:lang w:val="en-GB"/>
        </w:rPr>
      </w:pPr>
    </w:p>
    <w:p w:rsidRPr="00E3672F" w:rsidR="001B01C5" w:rsidP="001E1287" w:rsidRDefault="001B01C5" w14:paraId="0AF53512" w14:textId="77777777">
      <w:pPr>
        <w:pStyle w:val="NoSpacing"/>
        <w:spacing w:line="360" w:lineRule="auto"/>
        <w:jc w:val="center"/>
        <w:rPr>
          <w:rFonts w:cs="Times New Roman"/>
          <w:lang w:val="en-GB"/>
        </w:rPr>
      </w:pPr>
      <w:r w:rsidRPr="00E3672F">
        <w:rPr>
          <w:noProof/>
          <w:lang w:val="en-US"/>
        </w:rPr>
        <w:drawing>
          <wp:inline distT="0" distB="0" distL="0" distR="0" wp14:anchorId="478C809E" wp14:editId="742F19BE">
            <wp:extent cx="4508056" cy="2628101"/>
            <wp:effectExtent l="0" t="0" r="6985" b="1270"/>
            <wp:docPr id="1447617762" name="Chart 1">
              <a:extLst xmlns:a="http://schemas.openxmlformats.org/drawingml/2006/main">
                <a:ext uri="{FF2B5EF4-FFF2-40B4-BE49-F238E27FC236}">
                  <a16:creationId xmlns:a16="http://schemas.microsoft.com/office/drawing/2014/main" id="{4EF0AE06-82B6-6F6A-594A-901B436459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Pr="00E3672F" w:rsidR="001B01C5" w:rsidP="001E1287" w:rsidRDefault="001B01C5" w14:paraId="7C01A331" w14:textId="77777777">
      <w:pPr>
        <w:pStyle w:val="NoSpacing"/>
        <w:spacing w:line="360" w:lineRule="auto"/>
        <w:jc w:val="both"/>
        <w:rPr>
          <w:rFonts w:cs="Times New Roman"/>
          <w:lang w:val="en-GB"/>
        </w:rPr>
      </w:pPr>
    </w:p>
    <w:p w:rsidRPr="00E3672F" w:rsidR="001B01C5" w:rsidP="001E1287" w:rsidRDefault="001B01C5" w14:paraId="65DE7CB8" w14:textId="1DDFB69D">
      <w:pPr>
        <w:pStyle w:val="NoSpacing"/>
        <w:spacing w:line="360" w:lineRule="auto"/>
        <w:jc w:val="both"/>
        <w:rPr>
          <w:rFonts w:cs="Times New Roman"/>
          <w:lang w:val="en-GB"/>
        </w:rPr>
      </w:pPr>
      <w:r w:rsidRPr="00E3672F">
        <w:rPr>
          <w:rFonts w:cs="Times New Roman"/>
          <w:lang w:val="en-GB"/>
        </w:rPr>
        <w:t>When comparing across the countries, the responses reveal notable variation among countries regarding whether national legislation extends the Directive</w:t>
      </w:r>
      <w:r w:rsidRPr="00E3672F" w:rsidR="00413731">
        <w:rPr>
          <w:rFonts w:cs="Times New Roman"/>
          <w:lang w:val="en-GB"/>
        </w:rPr>
        <w:t>’</w:t>
      </w:r>
      <w:r w:rsidRPr="00E3672F">
        <w:rPr>
          <w:rFonts w:cs="Times New Roman"/>
          <w:lang w:val="en-GB"/>
        </w:rPr>
        <w:t xml:space="preserve">s material scope. Respondents in </w:t>
      </w:r>
      <w:r w:rsidRPr="00E3672F">
        <w:rPr>
          <w:rFonts w:cs="Times New Roman"/>
          <w:b/>
          <w:bCs/>
          <w:lang w:val="en-GB"/>
        </w:rPr>
        <w:t>France</w:t>
      </w:r>
      <w:r w:rsidRPr="00E3672F">
        <w:rPr>
          <w:rFonts w:cs="Times New Roman"/>
          <w:lang w:val="en-GB"/>
        </w:rPr>
        <w:t xml:space="preserve"> perceived the highest rate of extension, with 78% of respondents (7 out of 9) confirming broader coverage, while only 1 respondent reported no extension and another 1</w:t>
      </w:r>
      <w:r w:rsidRPr="00E3672F">
        <w:rPr>
          <w:rFonts w:cs="Times New Roman"/>
          <w:b/>
          <w:bCs/>
          <w:lang w:val="en-GB"/>
        </w:rPr>
        <w:t xml:space="preserve"> </w:t>
      </w:r>
      <w:r w:rsidRPr="00E3672F">
        <w:rPr>
          <w:rFonts w:cs="Times New Roman"/>
          <w:lang w:val="en-GB"/>
        </w:rPr>
        <w:t xml:space="preserve">was unsure. </w:t>
      </w:r>
      <w:r w:rsidRPr="00E3672F">
        <w:rPr>
          <w:rFonts w:cs="Times New Roman"/>
          <w:b/>
          <w:bCs/>
          <w:lang w:val="en-GB"/>
        </w:rPr>
        <w:t>Denmark</w:t>
      </w:r>
      <w:r w:rsidRPr="00E3672F">
        <w:rPr>
          <w:rFonts w:cs="Times New Roman"/>
          <w:lang w:val="en-GB"/>
        </w:rPr>
        <w:t xml:space="preserve"> also showed a strong trend toward</w:t>
      </w:r>
      <w:r w:rsidR="00DB14B0">
        <w:rPr>
          <w:rFonts w:cs="Times New Roman"/>
          <w:lang w:val="en-GB"/>
        </w:rPr>
        <w:t>s</w:t>
      </w:r>
      <w:r w:rsidRPr="00E3672F">
        <w:rPr>
          <w:rFonts w:cs="Times New Roman"/>
          <w:lang w:val="en-GB"/>
        </w:rPr>
        <w:t xml:space="preserve"> extension (67%</w:t>
      </w:r>
      <w:r w:rsidRPr="00E3672F" w:rsidR="00BF14F0">
        <w:rPr>
          <w:rFonts w:cs="Times New Roman"/>
          <w:lang w:val="en-GB"/>
        </w:rPr>
        <w:t xml:space="preserve"> –</w:t>
      </w:r>
      <w:r w:rsidRPr="00E3672F">
        <w:rPr>
          <w:rFonts w:cs="Times New Roman"/>
          <w:lang w:val="en-GB"/>
        </w:rPr>
        <w:t xml:space="preserve"> 8 out of 12 answered </w:t>
      </w:r>
      <w:r w:rsidRPr="00E3672F" w:rsidR="00430258">
        <w:rPr>
          <w:rFonts w:cs="Times New Roman"/>
          <w:lang w:val="en-GB"/>
        </w:rPr>
        <w:t>‘</w:t>
      </w:r>
      <w:r w:rsidRPr="00E3672F">
        <w:rPr>
          <w:rFonts w:cs="Times New Roman"/>
          <w:lang w:val="en-GB"/>
        </w:rPr>
        <w:t>Yes</w:t>
      </w:r>
      <w:r w:rsidRPr="00E3672F" w:rsidR="00430258">
        <w:rPr>
          <w:rFonts w:cs="Times New Roman"/>
          <w:lang w:val="en-GB"/>
        </w:rPr>
        <w:t>’</w:t>
      </w:r>
      <w:r w:rsidRPr="00E3672F">
        <w:rPr>
          <w:rFonts w:cs="Times New Roman"/>
          <w:lang w:val="en-GB"/>
        </w:rPr>
        <w:t>), though a relatively high share (33%</w:t>
      </w:r>
      <w:r w:rsidRPr="00E3672F" w:rsidR="00BF14F0">
        <w:rPr>
          <w:rFonts w:cs="Times New Roman"/>
          <w:lang w:val="en-GB"/>
        </w:rPr>
        <w:t xml:space="preserve"> –</w:t>
      </w:r>
      <w:r w:rsidRPr="00E3672F">
        <w:rPr>
          <w:rFonts w:cs="Times New Roman"/>
          <w:lang w:val="en-GB"/>
        </w:rPr>
        <w:t xml:space="preserve"> 4</w:t>
      </w:r>
      <w:r w:rsidRPr="00E3672F" w:rsidR="00CE0406">
        <w:rPr>
          <w:rFonts w:cs="Times New Roman"/>
          <w:lang w:val="en-GB"/>
        </w:rPr>
        <w:t xml:space="preserve"> respondents</w:t>
      </w:r>
      <w:r w:rsidRPr="00E3672F">
        <w:rPr>
          <w:rFonts w:cs="Times New Roman"/>
          <w:lang w:val="en-GB"/>
        </w:rPr>
        <w:t xml:space="preserve">) reported uncertainty. </w:t>
      </w:r>
      <w:r w:rsidRPr="00E3672F">
        <w:rPr>
          <w:rFonts w:cs="Times New Roman"/>
          <w:b/>
          <w:bCs/>
          <w:lang w:val="en-GB"/>
        </w:rPr>
        <w:t>Italian</w:t>
      </w:r>
      <w:r w:rsidRPr="00E3672F">
        <w:rPr>
          <w:rFonts w:cs="Times New Roman"/>
          <w:lang w:val="en-GB"/>
        </w:rPr>
        <w:t xml:space="preserve"> respondents presented a more mixed picture: 63% yes (5 out of 8 respondents), 25% no (2 out of 8) and 1 respondent was unsure. </w:t>
      </w:r>
      <w:r w:rsidRPr="00E3672F">
        <w:rPr>
          <w:rFonts w:cs="Times New Roman"/>
          <w:b/>
          <w:bCs/>
          <w:lang w:val="en-GB"/>
        </w:rPr>
        <w:t>Latvia</w:t>
      </w:r>
      <w:r w:rsidRPr="00E3672F">
        <w:rPr>
          <w:rFonts w:cs="Times New Roman"/>
          <w:lang w:val="en-GB"/>
        </w:rPr>
        <w:t xml:space="preserve"> had a similar pattern but slightly lower extension (57%</w:t>
      </w:r>
      <w:r w:rsidRPr="00E3672F" w:rsidR="00BF14F0">
        <w:rPr>
          <w:rFonts w:cs="Times New Roman"/>
          <w:lang w:val="en-GB"/>
        </w:rPr>
        <w:t xml:space="preserve"> –</w:t>
      </w:r>
      <w:r w:rsidRPr="00E3672F">
        <w:rPr>
          <w:rFonts w:cs="Times New Roman"/>
          <w:lang w:val="en-GB"/>
        </w:rPr>
        <w:t xml:space="preserve"> 4 out of 7 </w:t>
      </w:r>
      <w:r w:rsidRPr="00E3672F" w:rsidR="00BF14F0">
        <w:rPr>
          <w:rFonts w:cs="Times New Roman"/>
          <w:lang w:val="en-GB"/>
        </w:rPr>
        <w:t xml:space="preserve">answered </w:t>
      </w:r>
      <w:r w:rsidRPr="00E3672F" w:rsidR="00430258">
        <w:rPr>
          <w:rFonts w:cs="Times New Roman"/>
          <w:lang w:val="en-GB"/>
        </w:rPr>
        <w:t>‘</w:t>
      </w:r>
      <w:r w:rsidRPr="00E3672F">
        <w:rPr>
          <w:rFonts w:cs="Times New Roman"/>
          <w:lang w:val="en-GB"/>
        </w:rPr>
        <w:t>Yes</w:t>
      </w:r>
      <w:r w:rsidRPr="00E3672F" w:rsidR="00430258">
        <w:rPr>
          <w:rFonts w:cs="Times New Roman"/>
          <w:lang w:val="en-GB"/>
        </w:rPr>
        <w:t>’</w:t>
      </w:r>
      <w:r w:rsidRPr="00E3672F">
        <w:rPr>
          <w:rFonts w:cs="Times New Roman"/>
          <w:lang w:val="en-GB"/>
        </w:rPr>
        <w:t>) and higher proportion reporting no extension (29%</w:t>
      </w:r>
      <w:r w:rsidRPr="00E3672F" w:rsidR="00BF14F0">
        <w:rPr>
          <w:rFonts w:cs="Times New Roman"/>
          <w:lang w:val="en-GB"/>
        </w:rPr>
        <w:t xml:space="preserve"> –</w:t>
      </w:r>
      <w:r w:rsidRPr="00E3672F">
        <w:rPr>
          <w:rFonts w:cs="Times New Roman"/>
          <w:lang w:val="en-GB"/>
        </w:rPr>
        <w:t xml:space="preserve"> 2 out of 7). </w:t>
      </w:r>
      <w:r w:rsidRPr="00E3672F">
        <w:rPr>
          <w:rFonts w:cs="Times New Roman"/>
          <w:b/>
          <w:bCs/>
          <w:lang w:val="en-GB"/>
        </w:rPr>
        <w:t>Romania</w:t>
      </w:r>
      <w:r w:rsidRPr="00E3672F">
        <w:rPr>
          <w:rFonts w:cs="Times New Roman"/>
          <w:lang w:val="en-GB"/>
        </w:rPr>
        <w:t xml:space="preserve"> stands out as evenly split, with 50% </w:t>
      </w:r>
      <w:r w:rsidRPr="00E3672F" w:rsidR="00430258">
        <w:rPr>
          <w:rFonts w:cs="Times New Roman"/>
          <w:lang w:val="en-GB"/>
        </w:rPr>
        <w:t>‘</w:t>
      </w:r>
      <w:r w:rsidRPr="00E3672F">
        <w:rPr>
          <w:rFonts w:cs="Times New Roman"/>
          <w:lang w:val="en-GB"/>
        </w:rPr>
        <w:t>Yes</w:t>
      </w:r>
      <w:r w:rsidRPr="00E3672F" w:rsidR="00430258">
        <w:rPr>
          <w:rFonts w:cs="Times New Roman"/>
          <w:lang w:val="en-GB"/>
        </w:rPr>
        <w:t>’</w:t>
      </w:r>
      <w:r w:rsidRPr="00E3672F">
        <w:rPr>
          <w:rFonts w:cs="Times New Roman"/>
          <w:lang w:val="en-GB"/>
        </w:rPr>
        <w:t xml:space="preserve"> (2 out of 4 respondents) and 50% </w:t>
      </w:r>
      <w:r w:rsidRPr="00E3672F" w:rsidR="00430258">
        <w:rPr>
          <w:rFonts w:cs="Times New Roman"/>
          <w:lang w:val="en-GB"/>
        </w:rPr>
        <w:t>‘</w:t>
      </w:r>
      <w:r w:rsidRPr="00E3672F">
        <w:rPr>
          <w:rFonts w:cs="Times New Roman"/>
          <w:lang w:val="en-GB"/>
        </w:rPr>
        <w:t>No</w:t>
      </w:r>
      <w:r w:rsidRPr="00E3672F" w:rsidR="00430258">
        <w:rPr>
          <w:rFonts w:cs="Times New Roman"/>
          <w:lang w:val="en-GB"/>
        </w:rPr>
        <w:t>’</w:t>
      </w:r>
      <w:r w:rsidRPr="00E3672F">
        <w:rPr>
          <w:rFonts w:cs="Times New Roman"/>
          <w:lang w:val="en-GB"/>
        </w:rPr>
        <w:t>.</w:t>
      </w:r>
    </w:p>
    <w:p w:rsidRPr="00E3672F" w:rsidR="001B01C5" w:rsidP="001E1287" w:rsidRDefault="001B01C5" w14:paraId="23638AAB" w14:textId="77777777">
      <w:pPr>
        <w:pStyle w:val="NoSpacing"/>
        <w:spacing w:line="360" w:lineRule="auto"/>
        <w:jc w:val="both"/>
        <w:rPr>
          <w:rFonts w:cs="Times New Roman"/>
          <w:lang w:val="en-GB"/>
        </w:rPr>
      </w:pPr>
    </w:p>
    <w:p w:rsidRPr="00E3672F" w:rsidR="001B01C5" w:rsidP="001E1287" w:rsidRDefault="00DB14B0" w14:paraId="3CCB8435" w14:textId="58636EEF">
      <w:pPr>
        <w:pStyle w:val="NoSpacing"/>
        <w:spacing w:line="360" w:lineRule="auto"/>
        <w:jc w:val="both"/>
        <w:rPr>
          <w:rFonts w:cs="Times New Roman"/>
          <w:lang w:val="en-GB"/>
        </w:rPr>
      </w:pPr>
      <w:r>
        <w:rPr>
          <w:rFonts w:cs="Times New Roman"/>
          <w:lang w:val="en-GB"/>
        </w:rPr>
        <w:t>R</w:t>
      </w:r>
      <w:r w:rsidRPr="00E3672F" w:rsidR="001B01C5">
        <w:rPr>
          <w:rFonts w:cs="Times New Roman"/>
          <w:lang w:val="en-GB"/>
        </w:rPr>
        <w:t>espondents who indicated that the national law implementing the Directive extended its scope beyond the Directive</w:t>
      </w:r>
      <w:r w:rsidRPr="00E3672F" w:rsidR="00413731">
        <w:rPr>
          <w:rFonts w:cs="Times New Roman"/>
          <w:lang w:val="en-GB"/>
        </w:rPr>
        <w:t>’</w:t>
      </w:r>
      <w:r w:rsidRPr="00E3672F" w:rsidR="001B01C5">
        <w:rPr>
          <w:rFonts w:cs="Times New Roman"/>
          <w:lang w:val="en-GB"/>
        </w:rPr>
        <w:t>s material scope (Question 2a) generally reported that protection now covers all serious breaches of law, including criminal, civil, administrative, accounting</w:t>
      </w:r>
      <w:r>
        <w:rPr>
          <w:rFonts w:cs="Times New Roman"/>
          <w:lang w:val="en-GB"/>
        </w:rPr>
        <w:t xml:space="preserve"> and</w:t>
      </w:r>
      <w:r w:rsidRPr="00E3672F" w:rsidR="001B01C5">
        <w:rPr>
          <w:rFonts w:cs="Times New Roman"/>
          <w:lang w:val="en-GB"/>
        </w:rPr>
        <w:t xml:space="preserve"> compliance-related violations, as well as acts harming public interest or organi</w:t>
      </w:r>
      <w:r w:rsidRPr="00E3672F" w:rsidR="00413731">
        <w:rPr>
          <w:rFonts w:cs="Times New Roman"/>
          <w:lang w:val="en-GB"/>
        </w:rPr>
        <w:t>s</w:t>
      </w:r>
      <w:r w:rsidRPr="00E3672F" w:rsidR="001B01C5">
        <w:rPr>
          <w:rFonts w:cs="Times New Roman"/>
          <w:lang w:val="en-GB"/>
        </w:rPr>
        <w:t xml:space="preserve">ational integrity. This often includes violations of national law, internal compliance rules and broader categories of </w:t>
      </w:r>
      <w:r w:rsidRPr="00E3672F" w:rsidR="00CD4574">
        <w:rPr>
          <w:rFonts w:cs="Times New Roman"/>
          <w:lang w:val="en-GB"/>
        </w:rPr>
        <w:t>offence</w:t>
      </w:r>
      <w:r w:rsidRPr="00E3672F" w:rsidR="001B01C5">
        <w:rPr>
          <w:rFonts w:cs="Times New Roman"/>
          <w:lang w:val="en-GB"/>
        </w:rPr>
        <w:t>s that go beyond EU law obligations. Protection is applied to a wide range of beneficiaries</w:t>
      </w:r>
      <w:r w:rsidRPr="00E3672F" w:rsidR="003945C0">
        <w:rPr>
          <w:rFonts w:cs="Times New Roman"/>
          <w:lang w:val="en-GB"/>
        </w:rPr>
        <w:t xml:space="preserve">, </w:t>
      </w:r>
      <w:r w:rsidRPr="00E3672F" w:rsidR="001B01C5">
        <w:rPr>
          <w:rFonts w:cs="Times New Roman"/>
          <w:lang w:val="en-GB"/>
        </w:rPr>
        <w:t>not only current employees but also former employees, candidates, contractors, volunteers and shareholders</w:t>
      </w:r>
      <w:r w:rsidRPr="00E3672F" w:rsidR="003945C0">
        <w:rPr>
          <w:rFonts w:cs="Times New Roman"/>
          <w:lang w:val="en-GB"/>
        </w:rPr>
        <w:t xml:space="preserve">, </w:t>
      </w:r>
      <w:r w:rsidRPr="00E3672F" w:rsidR="001B01C5">
        <w:rPr>
          <w:rFonts w:cs="Times New Roman"/>
          <w:lang w:val="en-GB"/>
        </w:rPr>
        <w:t>and spans both public and private sectors. Certain exclusions remain, notably matters covered by national defence, medical confidentiality, judicial investigations</w:t>
      </w:r>
      <w:r>
        <w:rPr>
          <w:rFonts w:cs="Times New Roman"/>
          <w:lang w:val="en-GB"/>
        </w:rPr>
        <w:t xml:space="preserve"> and</w:t>
      </w:r>
      <w:r w:rsidRPr="00E3672F" w:rsidR="001B01C5">
        <w:rPr>
          <w:rFonts w:cs="Times New Roman"/>
          <w:lang w:val="en-GB"/>
        </w:rPr>
        <w:t xml:space="preserve"> attorney-client privilege. Stakeholders emphasised that this broadening of scope </w:t>
      </w:r>
      <w:r w:rsidRPr="00E3672F" w:rsidR="00CB1138">
        <w:rPr>
          <w:rFonts w:cs="Times New Roman"/>
          <w:lang w:val="en-GB"/>
        </w:rPr>
        <w:t xml:space="preserve">increases </w:t>
      </w:r>
      <w:r w:rsidRPr="00E3672F" w:rsidR="001B01C5">
        <w:rPr>
          <w:rFonts w:cs="Times New Roman"/>
          <w:lang w:val="en-GB"/>
        </w:rPr>
        <w:t>legal certainty, accessibility and practical protection for whistleblowers, ensuring that typical workplace or organi</w:t>
      </w:r>
      <w:r w:rsidRPr="00E3672F" w:rsidR="00413731">
        <w:rPr>
          <w:rFonts w:cs="Times New Roman"/>
          <w:lang w:val="en-GB"/>
        </w:rPr>
        <w:t>s</w:t>
      </w:r>
      <w:r w:rsidRPr="00E3672F" w:rsidR="001B01C5">
        <w:rPr>
          <w:rFonts w:cs="Times New Roman"/>
          <w:lang w:val="en-GB"/>
        </w:rPr>
        <w:t>ational issues are included even if they fall outside the Directive</w:t>
      </w:r>
      <w:r w:rsidRPr="00E3672F" w:rsidR="00413731">
        <w:rPr>
          <w:rFonts w:cs="Times New Roman"/>
          <w:lang w:val="en-GB"/>
        </w:rPr>
        <w:t>’</w:t>
      </w:r>
      <w:r w:rsidRPr="00E3672F" w:rsidR="001B01C5">
        <w:rPr>
          <w:rFonts w:cs="Times New Roman"/>
          <w:lang w:val="en-GB"/>
        </w:rPr>
        <w:t>s original material categories. They also highlighted that, while legal texts establish these protections, effective implementation, awareness and enforcement remain critical to ensure whistleblowers fully benefit from the expanded scope.</w:t>
      </w:r>
    </w:p>
    <w:p w:rsidRPr="00E3672F" w:rsidR="001B01C5" w:rsidP="001E1287" w:rsidRDefault="001B01C5" w14:paraId="669BC709" w14:textId="77777777">
      <w:pPr>
        <w:pStyle w:val="NoSpacing"/>
        <w:spacing w:line="360" w:lineRule="auto"/>
        <w:jc w:val="both"/>
        <w:rPr>
          <w:rFonts w:cs="Times New Roman"/>
          <w:lang w:val="en-GB"/>
        </w:rPr>
      </w:pPr>
    </w:p>
    <w:p w:rsidRPr="00E3672F" w:rsidR="001B01C5" w:rsidP="001E1287" w:rsidRDefault="001B01C5" w14:paraId="16422721" w14:textId="15600B0B">
      <w:pPr>
        <w:pStyle w:val="NoSpacing"/>
        <w:spacing w:line="360" w:lineRule="auto"/>
        <w:jc w:val="both"/>
        <w:rPr>
          <w:rFonts w:cs="Times New Roman"/>
          <w:lang w:val="en-GB"/>
        </w:rPr>
      </w:pPr>
      <w:r w:rsidRPr="00E3672F">
        <w:rPr>
          <w:rFonts w:cs="Times New Roman"/>
          <w:lang w:val="en-GB"/>
        </w:rPr>
        <w:t xml:space="preserve">Country-specific feedback illustrates these differences. In </w:t>
      </w:r>
      <w:r w:rsidRPr="00E3672F">
        <w:rPr>
          <w:rFonts w:cs="Times New Roman"/>
          <w:b/>
          <w:bCs/>
          <w:lang w:val="en-GB"/>
        </w:rPr>
        <w:t>France</w:t>
      </w:r>
      <w:r w:rsidRPr="00E3672F">
        <w:rPr>
          <w:rFonts w:cs="Times New Roman"/>
          <w:lang w:val="en-GB"/>
        </w:rPr>
        <w:t xml:space="preserve">, stakeholders noted that protection covers all legal violations and threats to public interest, although practical effectiveness is sometimes limited by complex procedures and the risk of reprisals. In </w:t>
      </w:r>
      <w:r w:rsidRPr="00E3672F">
        <w:rPr>
          <w:rFonts w:cs="Times New Roman"/>
          <w:b/>
          <w:bCs/>
          <w:lang w:val="en-GB"/>
        </w:rPr>
        <w:t>Denmark</w:t>
      </w:r>
      <w:r w:rsidRPr="00E3672F">
        <w:rPr>
          <w:rFonts w:cs="Times New Roman"/>
          <w:lang w:val="en-GB"/>
        </w:rPr>
        <w:t xml:space="preserve">, protection was reported to extend to serious breaches of national law as well as other </w:t>
      </w:r>
      <w:r w:rsidRPr="00E3672F" w:rsidR="00C27752">
        <w:rPr>
          <w:rFonts w:cs="Times New Roman"/>
          <w:lang w:val="en-GB"/>
        </w:rPr>
        <w:t>serious</w:t>
      </w:r>
      <w:r w:rsidRPr="00E3672F">
        <w:rPr>
          <w:rFonts w:cs="Times New Roman"/>
          <w:lang w:val="en-GB"/>
        </w:rPr>
        <w:t xml:space="preserve"> issues. </w:t>
      </w:r>
      <w:r w:rsidRPr="00E3672F">
        <w:rPr>
          <w:rFonts w:cs="Times New Roman"/>
          <w:b/>
          <w:bCs/>
          <w:lang w:val="en-GB"/>
        </w:rPr>
        <w:t>Italian</w:t>
      </w:r>
      <w:r w:rsidRPr="00E3672F">
        <w:rPr>
          <w:rFonts w:cs="Times New Roman"/>
          <w:lang w:val="en-GB"/>
        </w:rPr>
        <w:t xml:space="preserve"> respondents emphasi</w:t>
      </w:r>
      <w:r w:rsidRPr="00E3672F" w:rsidR="00413731">
        <w:rPr>
          <w:rFonts w:cs="Times New Roman"/>
          <w:lang w:val="en-GB"/>
        </w:rPr>
        <w:t>s</w:t>
      </w:r>
      <w:r w:rsidRPr="00E3672F">
        <w:rPr>
          <w:rFonts w:cs="Times New Roman"/>
          <w:lang w:val="en-GB"/>
        </w:rPr>
        <w:t xml:space="preserve">ed protection for breaches of both EU and national law and acts affecting </w:t>
      </w:r>
      <w:r w:rsidRPr="00E3672F" w:rsidR="00082729">
        <w:rPr>
          <w:rFonts w:cs="Times New Roman"/>
          <w:lang w:val="en-GB"/>
        </w:rPr>
        <w:t xml:space="preserve">the </w:t>
      </w:r>
      <w:r w:rsidRPr="00E3672F">
        <w:rPr>
          <w:rFonts w:cs="Times New Roman"/>
          <w:lang w:val="en-GB"/>
        </w:rPr>
        <w:t xml:space="preserve">public interest, with clearly defined perimeters for beneficiaries. In </w:t>
      </w:r>
      <w:r w:rsidRPr="00E3672F">
        <w:rPr>
          <w:rFonts w:cs="Times New Roman"/>
          <w:b/>
          <w:bCs/>
          <w:lang w:val="en-GB"/>
        </w:rPr>
        <w:t>Latvia</w:t>
      </w:r>
      <w:r w:rsidRPr="00E3672F">
        <w:rPr>
          <w:rFonts w:cs="Times New Roman"/>
          <w:lang w:val="en-GB"/>
        </w:rPr>
        <w:t>, stakeholders highlighted that the law covers breaches harming public interest, with particular attention to public</w:t>
      </w:r>
      <w:r w:rsidR="00C10652">
        <w:rPr>
          <w:rFonts w:cs="Times New Roman"/>
          <w:lang w:val="en-GB"/>
        </w:rPr>
        <w:t xml:space="preserve"> </w:t>
      </w:r>
      <w:r w:rsidRPr="00E3672F">
        <w:rPr>
          <w:rFonts w:cs="Times New Roman"/>
          <w:lang w:val="en-GB"/>
        </w:rPr>
        <w:t xml:space="preserve">sector reporting and the establishment of clear reporting channels. In </w:t>
      </w:r>
      <w:r w:rsidRPr="00E3672F">
        <w:rPr>
          <w:rFonts w:cs="Times New Roman"/>
          <w:b/>
          <w:bCs/>
          <w:lang w:val="en-GB"/>
        </w:rPr>
        <w:t>Romania</w:t>
      </w:r>
      <w:r w:rsidRPr="00E3672F">
        <w:rPr>
          <w:rFonts w:cs="Times New Roman"/>
          <w:lang w:val="en-GB"/>
        </w:rPr>
        <w:t>, respondents reported that the law applies broadly across public and private sectors and to a wide range of beneficiaries but noted ongoing challenges in enforcement and clarity of implementation.</w:t>
      </w:r>
    </w:p>
    <w:p w:rsidRPr="00E3672F" w:rsidR="00141080" w:rsidP="001E1287" w:rsidRDefault="00141080" w14:paraId="20F45850" w14:textId="77777777">
      <w:pPr>
        <w:pStyle w:val="NoSpacing"/>
        <w:spacing w:line="360" w:lineRule="auto"/>
        <w:jc w:val="both"/>
        <w:rPr>
          <w:rFonts w:cs="Times New Roman"/>
          <w:lang w:val="en-GB"/>
        </w:rPr>
      </w:pPr>
    </w:p>
    <w:p w:rsidRPr="00E3672F" w:rsidR="00141080" w:rsidP="001E1287" w:rsidRDefault="003A6D18" w14:paraId="57EE9EC9" w14:textId="7EC17257">
      <w:pPr>
        <w:pStyle w:val="NoSpacing"/>
        <w:spacing w:line="360" w:lineRule="auto"/>
        <w:jc w:val="center"/>
        <w:rPr>
          <w:rFonts w:cs="Times New Roman"/>
          <w:lang w:val="en-GB"/>
        </w:rPr>
      </w:pPr>
      <w:r w:rsidRPr="00E3672F">
        <w:rPr>
          <w:noProof/>
          <w:lang w:val="en-US"/>
          <w14:ligatures w14:val="standardContextual"/>
        </w:rPr>
        <w:drawing>
          <wp:inline distT="0" distB="0" distL="0" distR="0" wp14:anchorId="5E4C60ED" wp14:editId="71135049">
            <wp:extent cx="4568825" cy="2743200"/>
            <wp:effectExtent l="0" t="0" r="3175" b="0"/>
            <wp:docPr id="914765784" name="Chart 1">
              <a:extLst xmlns:a="http://schemas.openxmlformats.org/drawingml/2006/main">
                <a:ext uri="{FF2B5EF4-FFF2-40B4-BE49-F238E27FC236}">
                  <a16:creationId xmlns:a16="http://schemas.microsoft.com/office/drawing/2014/main" id="{75D099BF-DCAE-5FC0-AE77-5FF41D6CE6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Pr="00E3672F" w:rsidR="00141080" w:rsidP="001E1287" w:rsidRDefault="00141080" w14:paraId="7296E436" w14:textId="77777777">
      <w:pPr>
        <w:pStyle w:val="NoSpacing"/>
        <w:spacing w:line="360" w:lineRule="auto"/>
        <w:jc w:val="both"/>
        <w:rPr>
          <w:rFonts w:cs="Times New Roman"/>
          <w:lang w:val="en-GB"/>
        </w:rPr>
      </w:pPr>
    </w:p>
    <w:p w:rsidRPr="00E3672F" w:rsidR="001B01C5" w:rsidP="001E1287" w:rsidRDefault="001B01C5" w14:paraId="7CF731E7" w14:textId="20947219">
      <w:pPr>
        <w:pStyle w:val="NoSpacing"/>
        <w:spacing w:line="360" w:lineRule="auto"/>
        <w:jc w:val="both"/>
        <w:rPr>
          <w:rFonts w:cs="Times New Roman"/>
          <w:lang w:val="en-GB"/>
        </w:rPr>
      </w:pPr>
      <w:r w:rsidRPr="00E3672F">
        <w:rPr>
          <w:rFonts w:cs="Times New Roman"/>
          <w:lang w:val="en-GB"/>
        </w:rPr>
        <w:t>Regarding the question of whether the current material scope limitation in the Directive hampers its effectiveness (Question 3), responses were fairly divided. 40% of respondents (16 out of 40) considered that the limitation does hinder effectiveness. However, almost</w:t>
      </w:r>
      <w:r w:rsidRPr="00E3672F" w:rsidR="00BF14F0">
        <w:rPr>
          <w:rFonts w:cs="Times New Roman"/>
          <w:lang w:val="en-GB"/>
        </w:rPr>
        <w:t xml:space="preserve"> </w:t>
      </w:r>
      <w:r w:rsidRPr="00E3672F" w:rsidR="00FC3F54">
        <w:rPr>
          <w:rFonts w:cs="Times New Roman"/>
          <w:lang w:val="en-GB"/>
        </w:rPr>
        <w:t>a</w:t>
      </w:r>
      <w:r w:rsidRPr="00E3672F">
        <w:rPr>
          <w:rFonts w:cs="Times New Roman"/>
          <w:lang w:val="en-GB"/>
        </w:rPr>
        <w:t xml:space="preserve"> third of the respondents (30%</w:t>
      </w:r>
      <w:r w:rsidRPr="00E3672F" w:rsidR="00BF14F0">
        <w:rPr>
          <w:rFonts w:cs="Times New Roman"/>
          <w:lang w:val="en-GB"/>
        </w:rPr>
        <w:t xml:space="preserve"> –</w:t>
      </w:r>
      <w:r w:rsidRPr="00E3672F">
        <w:rPr>
          <w:rFonts w:cs="Times New Roman"/>
          <w:lang w:val="en-GB"/>
        </w:rPr>
        <w:t xml:space="preserve"> 12 out of 40) indicated that the limitation does not hamper effectiveness. Another 30% (12 out of 40) were unsure. </w:t>
      </w:r>
    </w:p>
    <w:p w:rsidRPr="00E3672F" w:rsidR="001B01C5" w:rsidP="001E1287" w:rsidRDefault="001B01C5" w14:paraId="32426E75" w14:textId="77777777">
      <w:pPr>
        <w:pStyle w:val="NoSpacing"/>
        <w:spacing w:line="360" w:lineRule="auto"/>
        <w:jc w:val="both"/>
        <w:rPr>
          <w:rFonts w:cs="Times New Roman"/>
          <w:lang w:val="en-GB"/>
        </w:rPr>
      </w:pPr>
    </w:p>
    <w:p w:rsidRPr="00E3672F" w:rsidR="001B01C5" w:rsidP="001E1287" w:rsidRDefault="00C13E8D" w14:paraId="3994574B" w14:textId="4C60DC35">
      <w:pPr>
        <w:pStyle w:val="NoSpacing"/>
        <w:spacing w:line="360" w:lineRule="auto"/>
        <w:jc w:val="center"/>
        <w:rPr>
          <w:rFonts w:cs="Times New Roman"/>
          <w:lang w:val="en-GB"/>
        </w:rPr>
      </w:pPr>
      <w:r w:rsidRPr="00E3672F">
        <w:rPr>
          <w:noProof/>
          <w:lang w:val="en-US"/>
          <w14:ligatures w14:val="standardContextual"/>
        </w:rPr>
        <w:drawing>
          <wp:inline distT="0" distB="0" distL="0" distR="0" wp14:anchorId="3AECB585" wp14:editId="09BFAD22">
            <wp:extent cx="4549878" cy="2830410"/>
            <wp:effectExtent l="0" t="0" r="3175" b="8255"/>
            <wp:docPr id="630443644" name="Chart 1">
              <a:extLst xmlns:a="http://schemas.openxmlformats.org/drawingml/2006/main">
                <a:ext uri="{FF2B5EF4-FFF2-40B4-BE49-F238E27FC236}">
                  <a16:creationId xmlns:a16="http://schemas.microsoft.com/office/drawing/2014/main" id="{01732AEE-178C-7F67-5C73-B30E1DBB6F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Pr="00E3672F" w:rsidR="001B01C5" w:rsidP="001E1287" w:rsidRDefault="001B01C5" w14:paraId="0AE5BB74" w14:textId="77777777">
      <w:pPr>
        <w:pStyle w:val="NoSpacing"/>
        <w:spacing w:line="360" w:lineRule="auto"/>
        <w:jc w:val="center"/>
        <w:rPr>
          <w:rFonts w:cs="Times New Roman"/>
          <w:lang w:val="en-GB"/>
        </w:rPr>
      </w:pPr>
    </w:p>
    <w:p w:rsidRPr="00D0335D" w:rsidR="001B01C5" w:rsidP="000B42B1" w:rsidRDefault="001B01C5" w14:paraId="622A0D85" w14:textId="60600934">
      <w:pPr>
        <w:pStyle w:val="NoSpacing"/>
        <w:spacing w:line="360" w:lineRule="auto"/>
        <w:jc w:val="both"/>
        <w:rPr>
          <w:lang w:val="en-US"/>
        </w:rPr>
      </w:pPr>
      <w:r w:rsidRPr="00E3672F">
        <w:rPr>
          <w:rFonts w:cs="Times New Roman"/>
          <w:lang w:val="en-GB"/>
        </w:rPr>
        <w:t xml:space="preserve">Responses varied across countries regarding whether the current material scope limitation in the Directive hampers its effectiveness. In </w:t>
      </w:r>
      <w:r w:rsidRPr="00E3672F">
        <w:rPr>
          <w:rFonts w:cs="Times New Roman"/>
          <w:b/>
          <w:bCs/>
          <w:lang w:val="en-GB"/>
        </w:rPr>
        <w:t>France</w:t>
      </w:r>
      <w:r w:rsidRPr="00E3672F">
        <w:rPr>
          <w:rFonts w:cs="Times New Roman"/>
          <w:lang w:val="en-GB"/>
        </w:rPr>
        <w:t>, two</w:t>
      </w:r>
      <w:r w:rsidRPr="00E3672F" w:rsidR="00FC3F54">
        <w:rPr>
          <w:rFonts w:cs="Times New Roman"/>
          <w:lang w:val="en-GB"/>
        </w:rPr>
        <w:t xml:space="preserve"> </w:t>
      </w:r>
      <w:r w:rsidRPr="00E3672F">
        <w:rPr>
          <w:rFonts w:cs="Times New Roman"/>
          <w:lang w:val="en-GB"/>
        </w:rPr>
        <w:t>thirds of respondents (6 out of 9) felt that the limitation reduces effectiveness, while one</w:t>
      </w:r>
      <w:r w:rsidRPr="00E3672F" w:rsidR="00FC3F54">
        <w:rPr>
          <w:rFonts w:cs="Times New Roman"/>
          <w:lang w:val="en-GB"/>
        </w:rPr>
        <w:t xml:space="preserve"> </w:t>
      </w:r>
      <w:r w:rsidRPr="00E3672F">
        <w:rPr>
          <w:rFonts w:cs="Times New Roman"/>
          <w:lang w:val="en-GB"/>
        </w:rPr>
        <w:t xml:space="preserve">third (3 out of 9) disagreed. </w:t>
      </w:r>
      <w:r w:rsidRPr="00E3672F">
        <w:rPr>
          <w:rFonts w:cs="Times New Roman"/>
          <w:b/>
          <w:bCs/>
          <w:lang w:val="en-GB"/>
        </w:rPr>
        <w:t>Denmark</w:t>
      </w:r>
      <w:r w:rsidRPr="00E3672F">
        <w:rPr>
          <w:rFonts w:cs="Times New Roman"/>
          <w:lang w:val="en-GB"/>
        </w:rPr>
        <w:t xml:space="preserve"> showed a different pattern: none of the respondents considered the limitation problematic, a third (4 out of 12) disagreed, and the majority (8 out of 12) were unsure. In </w:t>
      </w:r>
      <w:r w:rsidRPr="00E3672F">
        <w:rPr>
          <w:rFonts w:cs="Times New Roman"/>
          <w:b/>
          <w:bCs/>
          <w:lang w:val="en-GB"/>
        </w:rPr>
        <w:t>Italy</w:t>
      </w:r>
      <w:r w:rsidRPr="00E3672F">
        <w:rPr>
          <w:rFonts w:cs="Times New Roman"/>
          <w:lang w:val="en-GB"/>
        </w:rPr>
        <w:t xml:space="preserve">, opinions were evenly split, with roughly a third saying </w:t>
      </w:r>
      <w:r w:rsidRPr="00E3672F" w:rsidR="00430258">
        <w:rPr>
          <w:rFonts w:cs="Times New Roman"/>
          <w:lang w:val="en-GB"/>
        </w:rPr>
        <w:t>‘</w:t>
      </w:r>
      <w:r w:rsidRPr="00E3672F">
        <w:rPr>
          <w:rFonts w:cs="Times New Roman"/>
          <w:lang w:val="en-GB"/>
        </w:rPr>
        <w:t>Yes</w:t>
      </w:r>
      <w:r w:rsidRPr="00E3672F" w:rsidR="00430258">
        <w:rPr>
          <w:rFonts w:cs="Times New Roman"/>
          <w:lang w:val="en-GB"/>
        </w:rPr>
        <w:t>’</w:t>
      </w:r>
      <w:r w:rsidRPr="00E3672F">
        <w:rPr>
          <w:rFonts w:cs="Times New Roman"/>
          <w:lang w:val="en-GB"/>
        </w:rPr>
        <w:t xml:space="preserve"> (3 out of 8), a quarter saying </w:t>
      </w:r>
      <w:r w:rsidRPr="00E3672F" w:rsidR="00430258">
        <w:rPr>
          <w:rFonts w:cs="Times New Roman"/>
          <w:lang w:val="en-GB"/>
        </w:rPr>
        <w:t>‘</w:t>
      </w:r>
      <w:r w:rsidRPr="00E3672F">
        <w:rPr>
          <w:rFonts w:cs="Times New Roman"/>
          <w:lang w:val="en-GB"/>
        </w:rPr>
        <w:t>No</w:t>
      </w:r>
      <w:r w:rsidRPr="00E3672F" w:rsidR="00430258">
        <w:rPr>
          <w:rFonts w:cs="Times New Roman"/>
          <w:lang w:val="en-GB"/>
        </w:rPr>
        <w:t>’</w:t>
      </w:r>
      <w:r w:rsidRPr="00E3672F">
        <w:rPr>
          <w:rFonts w:cs="Times New Roman"/>
          <w:lang w:val="en-GB"/>
        </w:rPr>
        <w:t xml:space="preserve"> (2 out of 8), and another third expressing uncertainty (3 out of 8). In </w:t>
      </w:r>
      <w:r w:rsidRPr="00E3672F">
        <w:rPr>
          <w:rFonts w:cs="Times New Roman"/>
          <w:b/>
          <w:bCs/>
          <w:lang w:val="en-GB"/>
        </w:rPr>
        <w:t>Latvia</w:t>
      </w:r>
      <w:r w:rsidRPr="00E3672F">
        <w:rPr>
          <w:rFonts w:cs="Times New Roman"/>
          <w:lang w:val="en-GB"/>
        </w:rPr>
        <w:t xml:space="preserve">, over half of respondents viewed the limitation as hampering effectiveness (4 out of 7), around a quarter disagreed (2 out of 7) and a small minority were unsure (1 out of 7). In </w:t>
      </w:r>
      <w:r w:rsidRPr="00E3672F">
        <w:rPr>
          <w:rFonts w:cs="Times New Roman"/>
          <w:b/>
          <w:bCs/>
          <w:lang w:val="en-GB"/>
        </w:rPr>
        <w:t>Romania</w:t>
      </w:r>
      <w:r w:rsidRPr="00E3672F">
        <w:rPr>
          <w:rFonts w:cs="Times New Roman"/>
          <w:lang w:val="en-GB"/>
        </w:rPr>
        <w:t>, three</w:t>
      </w:r>
      <w:r w:rsidRPr="00E3672F" w:rsidR="00FC3F54">
        <w:rPr>
          <w:rFonts w:cs="Times New Roman"/>
          <w:lang w:val="en-GB"/>
        </w:rPr>
        <w:t xml:space="preserve"> </w:t>
      </w:r>
      <w:r w:rsidRPr="00E3672F">
        <w:rPr>
          <w:rFonts w:cs="Times New Roman"/>
          <w:lang w:val="en-GB"/>
        </w:rPr>
        <w:t>quarters of respondents perceived the limitation as problematic (3 out of 4), with the remaining quarter (1 out of 4) disagreeing. Overall, France, Latvia and Romania reported stronger perceptions that the Directive</w:t>
      </w:r>
      <w:r w:rsidRPr="00E3672F" w:rsidR="00413731">
        <w:rPr>
          <w:rFonts w:cs="Times New Roman"/>
          <w:lang w:val="en-GB"/>
        </w:rPr>
        <w:t>’</w:t>
      </w:r>
      <w:r w:rsidRPr="00E3672F">
        <w:rPr>
          <w:rFonts w:cs="Times New Roman"/>
          <w:lang w:val="en-GB"/>
        </w:rPr>
        <w:t>s material scope limits its effectiveness, whereas Denmark exhibited widespread uncertainty and Italy showed a more balanced mix of views.</w:t>
      </w:r>
    </w:p>
    <w:p w:rsidRPr="0080624D" w:rsidR="001B01C5" w:rsidP="0080624D" w:rsidRDefault="001B01C5" w14:paraId="03831FB5" w14:textId="41E5F3AD">
      <w:pPr>
        <w:pStyle w:val="Heading2"/>
        <w:ind w:left="720"/>
        <w:rPr>
          <w:u w:val="single"/>
        </w:rPr>
      </w:pPr>
      <w:bookmarkStart w:name="_Toc228180531" w:id="29"/>
      <w:r w:rsidRPr="00E3672F">
        <w:rPr>
          <w:u w:val="single"/>
        </w:rPr>
        <w:t>Scope of persons protected</w:t>
      </w:r>
      <w:bookmarkEnd w:id="29"/>
    </w:p>
    <w:p w:rsidRPr="00E3672F" w:rsidR="001B01C5" w:rsidP="001E1287" w:rsidRDefault="00793B51" w14:paraId="58640299" w14:textId="7368342F">
      <w:pPr>
        <w:pStyle w:val="NoSpacing"/>
        <w:spacing w:line="360" w:lineRule="auto"/>
        <w:jc w:val="center"/>
        <w:rPr>
          <w:rFonts w:cs="Times New Roman"/>
          <w:lang w:val="en-GB"/>
        </w:rPr>
      </w:pPr>
      <w:r w:rsidRPr="00E3672F">
        <w:rPr>
          <w:rFonts w:cs="Times New Roman"/>
          <w:noProof/>
          <w:lang w:val="en-US"/>
          <w14:ligatures w14:val="standardContextual"/>
        </w:rPr>
        <w:drawing>
          <wp:inline distT="0" distB="0" distL="0" distR="0" wp14:anchorId="7FA6D5DF" wp14:editId="4C8733E5">
            <wp:extent cx="5353050" cy="2381250"/>
            <wp:effectExtent l="0" t="0" r="0" b="0"/>
            <wp:docPr id="1750945591" name="Chart 1">
              <a:extLst xmlns:a="http://schemas.openxmlformats.org/drawingml/2006/main">
                <a:ext uri="{FF2B5EF4-FFF2-40B4-BE49-F238E27FC236}">
                  <a16:creationId xmlns:a16="http://schemas.microsoft.com/office/drawing/2014/main" id="{DD35F43B-04DD-6092-3D25-64B226C06F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Pr="00E3672F" w:rsidR="00141080" w:rsidP="001E1287" w:rsidRDefault="00141080" w14:paraId="2ED03FB4" w14:textId="77777777">
      <w:pPr>
        <w:pStyle w:val="NoSpacing"/>
        <w:spacing w:line="360" w:lineRule="auto"/>
        <w:jc w:val="both"/>
        <w:rPr>
          <w:rFonts w:cs="Times New Roman"/>
          <w:lang w:val="en-GB"/>
        </w:rPr>
      </w:pPr>
    </w:p>
    <w:p w:rsidRPr="00E3672F" w:rsidR="001B01C5" w:rsidP="001E1287" w:rsidRDefault="001B01C5" w14:paraId="0FC488FE" w14:textId="51D390B9">
      <w:pPr>
        <w:pStyle w:val="NoSpacing"/>
        <w:spacing w:line="360" w:lineRule="auto"/>
        <w:jc w:val="both"/>
        <w:rPr>
          <w:rFonts w:cs="Times New Roman"/>
          <w:lang w:val="en-GB"/>
        </w:rPr>
      </w:pPr>
      <w:r w:rsidRPr="00E3672F">
        <w:rPr>
          <w:rFonts w:cs="Times New Roman"/>
          <w:lang w:val="en-GB"/>
        </w:rPr>
        <w:t xml:space="preserve">Over half of the respondents </w:t>
      </w:r>
      <w:r w:rsidRPr="00E3672F" w:rsidR="00810A18">
        <w:rPr>
          <w:rFonts w:cs="Times New Roman"/>
          <w:lang w:val="en-GB"/>
        </w:rPr>
        <w:t>(</w:t>
      </w:r>
      <w:r w:rsidRPr="00E3672F">
        <w:rPr>
          <w:rFonts w:cs="Times New Roman"/>
          <w:lang w:val="en-GB"/>
        </w:rPr>
        <w:t xml:space="preserve">65% </w:t>
      </w:r>
      <w:r w:rsidRPr="00E3672F" w:rsidR="00810A18">
        <w:rPr>
          <w:rFonts w:cs="Times New Roman"/>
          <w:lang w:val="en-GB"/>
        </w:rPr>
        <w:t xml:space="preserve">– </w:t>
      </w:r>
      <w:r w:rsidRPr="00E3672F">
        <w:rPr>
          <w:rFonts w:cs="Times New Roman"/>
          <w:lang w:val="en-GB"/>
        </w:rPr>
        <w:t>26 out of 40) believe that the national legislation transposing the Directive provides effective protection to the persons listed in Article 4 (Question 4). However, 18% (7 out of 40) feel that the legislation does not offer sufficient protection, while another 18% (7 out of 40) are uncertain, suggesting either a lack of information or complexity in interpreting the legal framework. Although most participants express confidence in the legislative measures, the fact that over one</w:t>
      </w:r>
      <w:r w:rsidRPr="00E3672F" w:rsidR="00810A18">
        <w:rPr>
          <w:rFonts w:cs="Times New Roman"/>
          <w:lang w:val="en-GB"/>
        </w:rPr>
        <w:t xml:space="preserve"> </w:t>
      </w:r>
      <w:r w:rsidRPr="00E3672F">
        <w:rPr>
          <w:rFonts w:cs="Times New Roman"/>
          <w:lang w:val="en-GB"/>
        </w:rPr>
        <w:t xml:space="preserve">third of </w:t>
      </w:r>
      <w:r w:rsidRPr="00E3672F" w:rsidR="00810A18">
        <w:rPr>
          <w:rFonts w:cs="Times New Roman"/>
          <w:lang w:val="en-GB"/>
        </w:rPr>
        <w:t xml:space="preserve">responses </w:t>
      </w:r>
      <w:r w:rsidRPr="00E3672F">
        <w:rPr>
          <w:rFonts w:cs="Times New Roman"/>
          <w:lang w:val="en-GB"/>
        </w:rPr>
        <w:t>are negative or unsure highlights potential gaps in awareness, implementation or enforcement.</w:t>
      </w:r>
    </w:p>
    <w:p w:rsidRPr="00E3672F" w:rsidR="001B01C5" w:rsidP="001E1287" w:rsidRDefault="001B01C5" w14:paraId="01C830D9" w14:textId="77777777">
      <w:pPr>
        <w:pStyle w:val="NoSpacing"/>
        <w:spacing w:line="360" w:lineRule="auto"/>
        <w:jc w:val="center"/>
        <w:rPr>
          <w:rFonts w:cs="Times New Roman"/>
          <w:lang w:val="en-GB"/>
        </w:rPr>
      </w:pPr>
    </w:p>
    <w:p w:rsidRPr="00E3672F" w:rsidR="001B01C5" w:rsidP="00932D59" w:rsidRDefault="00932D59" w14:paraId="333FC731" w14:textId="616C2F08">
      <w:pPr>
        <w:pStyle w:val="NoSpacing"/>
        <w:spacing w:line="360" w:lineRule="auto"/>
        <w:jc w:val="center"/>
        <w:rPr>
          <w:rFonts w:cs="Times New Roman"/>
          <w:lang w:val="en-GB"/>
        </w:rPr>
      </w:pPr>
      <w:r w:rsidRPr="00E3672F">
        <w:rPr>
          <w:rFonts w:cs="Times New Roman"/>
          <w:noProof/>
          <w:lang w:val="en-US"/>
          <w14:ligatures w14:val="standardContextual"/>
        </w:rPr>
        <w:drawing>
          <wp:inline distT="0" distB="0" distL="0" distR="0" wp14:anchorId="0E551F13" wp14:editId="1A14E610">
            <wp:extent cx="5541010" cy="3079750"/>
            <wp:effectExtent l="0" t="0" r="2540" b="6350"/>
            <wp:docPr id="828065978" name="Chart 1">
              <a:extLst xmlns:a="http://schemas.openxmlformats.org/drawingml/2006/main">
                <a:ext uri="{FF2B5EF4-FFF2-40B4-BE49-F238E27FC236}">
                  <a16:creationId xmlns:a16="http://schemas.microsoft.com/office/drawing/2014/main" id="{32DDB5A3-0DE8-F178-9B04-F328216241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Pr="00E3672F" w:rsidR="00932D59" w:rsidP="00932D59" w:rsidRDefault="00932D59" w14:paraId="32D50E78" w14:textId="77777777">
      <w:pPr>
        <w:pStyle w:val="NoSpacing"/>
        <w:spacing w:line="360" w:lineRule="auto"/>
        <w:jc w:val="center"/>
        <w:rPr>
          <w:rFonts w:cs="Times New Roman"/>
          <w:lang w:val="en-GB"/>
        </w:rPr>
      </w:pPr>
    </w:p>
    <w:p w:rsidRPr="00E3672F" w:rsidR="001B01C5" w:rsidP="001E1287" w:rsidRDefault="001B01C5" w14:paraId="30C97B24" w14:textId="5E3B1E57">
      <w:pPr>
        <w:pStyle w:val="NoSpacing"/>
        <w:spacing w:line="360" w:lineRule="auto"/>
        <w:jc w:val="both"/>
        <w:rPr>
          <w:rFonts w:cs="Times New Roman"/>
          <w:lang w:val="en-GB"/>
        </w:rPr>
      </w:pPr>
      <w:r w:rsidRPr="00E3672F">
        <w:rPr>
          <w:rFonts w:cs="Times New Roman"/>
          <w:lang w:val="en-GB"/>
        </w:rPr>
        <w:t>The perception of national legislation</w:t>
      </w:r>
      <w:r w:rsidRPr="00E3672F" w:rsidR="00413731">
        <w:rPr>
          <w:rFonts w:cs="Times New Roman"/>
          <w:lang w:val="en-GB"/>
        </w:rPr>
        <w:t>’</w:t>
      </w:r>
      <w:r w:rsidRPr="00E3672F">
        <w:rPr>
          <w:rFonts w:cs="Times New Roman"/>
          <w:lang w:val="en-GB"/>
        </w:rPr>
        <w:t xml:space="preserve">s effectiveness under the Directive varies across countries. </w:t>
      </w:r>
      <w:r w:rsidRPr="00E3672F">
        <w:rPr>
          <w:rFonts w:cs="Times New Roman"/>
          <w:b/>
          <w:bCs/>
          <w:lang w:val="en-GB"/>
        </w:rPr>
        <w:t>Italian</w:t>
      </w:r>
      <w:r w:rsidRPr="00E3672F">
        <w:rPr>
          <w:rFonts w:cs="Times New Roman"/>
          <w:lang w:val="en-GB"/>
        </w:rPr>
        <w:t xml:space="preserve"> respondents showed the highest confidence, with 8</w:t>
      </w:r>
      <w:r w:rsidRPr="00E3672F" w:rsidR="00320C05">
        <w:rPr>
          <w:rFonts w:cs="Times New Roman"/>
          <w:lang w:val="en-GB"/>
        </w:rPr>
        <w:t>8</w:t>
      </w:r>
      <w:r w:rsidRPr="00E3672F">
        <w:rPr>
          <w:rFonts w:cs="Times New Roman"/>
          <w:lang w:val="en-GB"/>
        </w:rPr>
        <w:t xml:space="preserve">% (7 out of 8) of respondents affirming its effectiveness and only 1 respondent expressing uncertainty. </w:t>
      </w:r>
      <w:r w:rsidRPr="00E3672F">
        <w:rPr>
          <w:rFonts w:cs="Times New Roman"/>
          <w:b/>
          <w:bCs/>
          <w:lang w:val="en-GB"/>
        </w:rPr>
        <w:t>Latvia</w:t>
      </w:r>
      <w:r w:rsidRPr="00E3672F">
        <w:rPr>
          <w:rFonts w:cs="Times New Roman"/>
          <w:lang w:val="en-GB"/>
        </w:rPr>
        <w:t xml:space="preserve"> and </w:t>
      </w:r>
      <w:r w:rsidRPr="00E3672F">
        <w:rPr>
          <w:rFonts w:cs="Times New Roman"/>
          <w:b/>
          <w:bCs/>
          <w:lang w:val="en-GB"/>
        </w:rPr>
        <w:t>Romania</w:t>
      </w:r>
      <w:r w:rsidRPr="00E3672F">
        <w:rPr>
          <w:rFonts w:cs="Times New Roman"/>
          <w:lang w:val="en-GB"/>
        </w:rPr>
        <w:t xml:space="preserve"> also report strong confidence at 71% (5 out of 7) and 75% (3 out of 4) respectively. </w:t>
      </w:r>
      <w:r w:rsidRPr="00E3672F">
        <w:rPr>
          <w:rFonts w:cs="Times New Roman"/>
          <w:b/>
          <w:bCs/>
          <w:lang w:val="en-GB"/>
        </w:rPr>
        <w:t>France</w:t>
      </w:r>
      <w:r w:rsidRPr="00E3672F">
        <w:rPr>
          <w:rFonts w:cs="Times New Roman"/>
          <w:lang w:val="en-GB"/>
        </w:rPr>
        <w:t xml:space="preserve"> shows moderate confidence, with 56% (5 out of 9) positive</w:t>
      </w:r>
      <w:r w:rsidRPr="00E3672F" w:rsidR="009F40F4">
        <w:rPr>
          <w:rFonts w:cs="Times New Roman"/>
          <w:lang w:val="en-GB"/>
        </w:rPr>
        <w:t xml:space="preserve"> and </w:t>
      </w:r>
      <w:r w:rsidRPr="00E3672F">
        <w:rPr>
          <w:rFonts w:cs="Times New Roman"/>
          <w:lang w:val="en-GB"/>
        </w:rPr>
        <w:t xml:space="preserve">33% (3 out of 9) negative. Respondents in </w:t>
      </w:r>
      <w:r w:rsidRPr="00E3672F">
        <w:rPr>
          <w:rFonts w:cs="Times New Roman"/>
          <w:b/>
          <w:bCs/>
          <w:lang w:val="en-GB"/>
        </w:rPr>
        <w:t>Denmark</w:t>
      </w:r>
      <w:r w:rsidRPr="00E3672F">
        <w:rPr>
          <w:rFonts w:cs="Times New Roman"/>
          <w:lang w:val="en-GB"/>
        </w:rPr>
        <w:t xml:space="preserve"> exhibited the greatest uncertainty, with only 50% (6 out of 12) positive and 33% (4 out of 12) unsure. Overall, while most countries reflect a majority view that the legislation provides effective protection, levels of certainty and perceived gaps differ notably across national contexts.</w:t>
      </w:r>
    </w:p>
    <w:p w:rsidRPr="00E3672F" w:rsidR="001B01C5" w:rsidP="001E1287" w:rsidRDefault="001B01C5" w14:paraId="3C85F3D6" w14:textId="77777777">
      <w:pPr>
        <w:pStyle w:val="NoSpacing"/>
        <w:spacing w:line="360" w:lineRule="auto"/>
        <w:jc w:val="both"/>
        <w:rPr>
          <w:rFonts w:cs="Times New Roman"/>
          <w:lang w:val="en-GB"/>
        </w:rPr>
      </w:pPr>
    </w:p>
    <w:p w:rsidR="001B01C5" w:rsidP="000B42B1" w:rsidRDefault="001B01C5" w14:paraId="5CB286BF" w14:textId="5F4DF844">
      <w:pPr>
        <w:pStyle w:val="Heading2"/>
        <w:ind w:left="720"/>
        <w:rPr>
          <w:u w:val="single"/>
        </w:rPr>
      </w:pPr>
      <w:bookmarkStart w:name="_Toc228180532" w:id="30"/>
      <w:r w:rsidRPr="00E3672F">
        <w:rPr>
          <w:u w:val="single"/>
        </w:rPr>
        <w:t>Reporting channels</w:t>
      </w:r>
      <w:bookmarkEnd w:id="30"/>
    </w:p>
    <w:p w:rsidRPr="00E3672F" w:rsidR="00607EC1" w:rsidP="00607EC1" w:rsidRDefault="00607EC1" w14:paraId="5722F237" w14:textId="77777777">
      <w:pPr>
        <w:pStyle w:val="NoSpacing"/>
        <w:spacing w:line="360" w:lineRule="auto"/>
        <w:jc w:val="both"/>
        <w:rPr>
          <w:rFonts w:cs="Times New Roman"/>
          <w:lang w:val="en-GB"/>
        </w:rPr>
      </w:pPr>
      <w:r w:rsidRPr="00E3672F">
        <w:rPr>
          <w:rFonts w:cs="Times New Roman"/>
          <w:lang w:val="en-GB"/>
        </w:rPr>
        <w:t xml:space="preserve">When asked whether internal reporting channels have been established in their country since the transposition of the Directive (Question 5), the vast majority of respondents (87% – 35 out of 40) confirmed that such mechanisms are in place. A small minority (3% – 1 respondent from France) indicated that no channels have been established, while 10% (4 out of 40) were unsure, suggesting that awareness of these channels is not fully uniform. </w:t>
      </w:r>
    </w:p>
    <w:p w:rsidRPr="003C7A8D" w:rsidR="00607EC1" w:rsidP="00D0335D" w:rsidRDefault="00607EC1" w14:paraId="3DF0BA2C" w14:textId="77777777"/>
    <w:p w:rsidRPr="00E3672F" w:rsidR="00141080" w:rsidP="000E7F76" w:rsidRDefault="000E7F76" w14:paraId="6CDA87E0" w14:textId="2A69A8CE">
      <w:pPr>
        <w:pStyle w:val="NoSpacing"/>
        <w:spacing w:line="360" w:lineRule="auto"/>
        <w:jc w:val="center"/>
        <w:rPr>
          <w:rFonts w:cs="Times New Roman"/>
          <w:lang w:val="en-GB"/>
        </w:rPr>
      </w:pPr>
      <w:r w:rsidRPr="00E3672F">
        <w:rPr>
          <w:rFonts w:cs="Times New Roman"/>
          <w:noProof/>
          <w:lang w:val="en-US"/>
          <w14:ligatures w14:val="standardContextual"/>
        </w:rPr>
        <w:drawing>
          <wp:inline distT="0" distB="0" distL="0" distR="0" wp14:anchorId="327DAD32" wp14:editId="2C9ACAC8">
            <wp:extent cx="5111750" cy="2711450"/>
            <wp:effectExtent l="0" t="0" r="12700" b="12700"/>
            <wp:docPr id="1117839473" name="Chart 1">
              <a:extLst xmlns:a="http://schemas.openxmlformats.org/drawingml/2006/main">
                <a:ext uri="{FF2B5EF4-FFF2-40B4-BE49-F238E27FC236}">
                  <a16:creationId xmlns:a16="http://schemas.microsoft.com/office/drawing/2014/main" id="{A6E77A77-AC21-1EE0-8622-3AC8C60C5C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Pr="00E3672F" w:rsidR="000E7F76" w:rsidP="000E7F76" w:rsidRDefault="000E7F76" w14:paraId="6FE508BE" w14:textId="77777777">
      <w:pPr>
        <w:pStyle w:val="NoSpacing"/>
        <w:spacing w:line="360" w:lineRule="auto"/>
        <w:jc w:val="center"/>
        <w:rPr>
          <w:rFonts w:cs="Times New Roman"/>
          <w:lang w:val="en-GB"/>
        </w:rPr>
      </w:pPr>
    </w:p>
    <w:p w:rsidRPr="00E3672F" w:rsidR="001B01C5" w:rsidP="001E1287" w:rsidRDefault="001B01C5" w14:paraId="785A712B" w14:textId="77777777">
      <w:pPr>
        <w:pStyle w:val="NoSpacing"/>
        <w:spacing w:line="360" w:lineRule="auto"/>
        <w:jc w:val="both"/>
        <w:rPr>
          <w:rFonts w:cs="Times New Roman"/>
          <w:lang w:val="en-GB"/>
        </w:rPr>
      </w:pPr>
    </w:p>
    <w:p w:rsidRPr="00E3672F" w:rsidR="001B01C5" w:rsidP="005838F5" w:rsidRDefault="00BB050E" w14:paraId="40B48066" w14:textId="18A9EB04">
      <w:pPr>
        <w:pStyle w:val="NoSpacing"/>
        <w:spacing w:line="360" w:lineRule="auto"/>
        <w:jc w:val="center"/>
        <w:rPr>
          <w:rFonts w:cs="Times New Roman"/>
          <w:lang w:val="en-GB"/>
        </w:rPr>
      </w:pPr>
      <w:r w:rsidRPr="00E3672F">
        <w:rPr>
          <w:rFonts w:cs="Times New Roman"/>
          <w:noProof/>
          <w:lang w:val="en-US"/>
          <w14:ligatures w14:val="standardContextual"/>
        </w:rPr>
        <w:drawing>
          <wp:inline distT="0" distB="0" distL="0" distR="0" wp14:anchorId="49A9B140" wp14:editId="341B1BC3">
            <wp:extent cx="5107305" cy="3149600"/>
            <wp:effectExtent l="0" t="0" r="17145" b="12700"/>
            <wp:docPr id="310401232" name="Chart 1">
              <a:extLst xmlns:a="http://schemas.openxmlformats.org/drawingml/2006/main">
                <a:ext uri="{FF2B5EF4-FFF2-40B4-BE49-F238E27FC236}">
                  <a16:creationId xmlns:a16="http://schemas.microsoft.com/office/drawing/2014/main" id="{5A8C947A-DEB4-4FE0-B0E1-8701E23813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Pr="00E3672F" w:rsidR="001B01C5" w:rsidP="001E1287" w:rsidRDefault="001B01C5" w14:paraId="67AE939B" w14:textId="77777777">
      <w:pPr>
        <w:pStyle w:val="NoSpacing"/>
        <w:spacing w:line="360" w:lineRule="auto"/>
        <w:jc w:val="both"/>
        <w:rPr>
          <w:rFonts w:cs="Times New Roman"/>
          <w:lang w:val="en-GB"/>
        </w:rPr>
      </w:pPr>
    </w:p>
    <w:p w:rsidRPr="00E3672F" w:rsidR="001B01C5" w:rsidP="001E1287" w:rsidRDefault="001B01C5" w14:paraId="2F61973F" w14:textId="4ED1A630">
      <w:pPr>
        <w:pStyle w:val="NoSpacing"/>
        <w:spacing w:line="360" w:lineRule="auto"/>
        <w:jc w:val="both"/>
        <w:rPr>
          <w:rFonts w:cs="Times New Roman"/>
          <w:lang w:val="en-GB"/>
        </w:rPr>
      </w:pPr>
      <w:r w:rsidRPr="00E3672F">
        <w:rPr>
          <w:rFonts w:cs="Times New Roman"/>
          <w:lang w:val="en-GB"/>
        </w:rPr>
        <w:t xml:space="preserve">When asked whether internal reporting channels are </w:t>
      </w:r>
      <w:r w:rsidRPr="00E3672F">
        <w:rPr>
          <w:rFonts w:cs="Times New Roman"/>
          <w:b/>
          <w:bCs/>
          <w:lang w:val="en-GB"/>
        </w:rPr>
        <w:t>functional</w:t>
      </w:r>
      <w:r w:rsidRPr="00E3672F">
        <w:rPr>
          <w:rFonts w:cs="Times New Roman"/>
          <w:lang w:val="en-GB"/>
        </w:rPr>
        <w:t>, including aspects such as accessibility, training for users and administrative burden, and whether they are perceived as trustworthy and accessible by potential whistleblowers (Question 5a), 30% (12 out of 40) of respondents indicated they are functional to a large extent, and 25% (10 out of 40) to a moderate extent. A smaller portion (</w:t>
      </w:r>
      <w:r w:rsidRPr="00E3672F" w:rsidR="00ED1511">
        <w:rPr>
          <w:rFonts w:cs="Times New Roman"/>
          <w:lang w:val="en-GB"/>
        </w:rPr>
        <w:t xml:space="preserve">10% – </w:t>
      </w:r>
      <w:r w:rsidRPr="00E3672F">
        <w:rPr>
          <w:rFonts w:cs="Times New Roman"/>
          <w:lang w:val="en-GB"/>
        </w:rPr>
        <w:t>4 out of 40) felt they are functional only to a limited extent, while 5% (2 out of 40) considered them not functional at all. Additionally, 18% (7 out of 40) were unsure, and 13% (5 out of 40) did not provide an answer. Overall, while a majority perceive the channels as at least moderately functional, a significant proportion of respondents are uncertain or critical, highlighting the need for improvements in accessibility, training and trustworthiness to ensure effectiveness for potential whistleblowers.</w:t>
      </w:r>
    </w:p>
    <w:p w:rsidRPr="00E3672F" w:rsidR="001B01C5" w:rsidP="001E1287" w:rsidRDefault="001B01C5" w14:paraId="4DF421FB" w14:textId="77777777">
      <w:pPr>
        <w:pStyle w:val="NoSpacing"/>
        <w:spacing w:line="360" w:lineRule="auto"/>
        <w:jc w:val="both"/>
        <w:rPr>
          <w:rFonts w:cs="Times New Roman"/>
          <w:lang w:val="en-GB"/>
        </w:rPr>
      </w:pPr>
    </w:p>
    <w:p w:rsidRPr="00E3672F" w:rsidR="001B01C5" w:rsidP="00F32E75" w:rsidRDefault="00F32E75" w14:paraId="0865CF62" w14:textId="0D063D7F">
      <w:pPr>
        <w:pStyle w:val="NoSpacing"/>
        <w:spacing w:line="360" w:lineRule="auto"/>
        <w:jc w:val="center"/>
        <w:rPr>
          <w:rFonts w:cs="Times New Roman"/>
          <w:lang w:val="en-GB"/>
        </w:rPr>
      </w:pPr>
      <w:r w:rsidRPr="00E3672F">
        <w:rPr>
          <w:rFonts w:cs="Times New Roman"/>
          <w:noProof/>
          <w:lang w:val="en-US"/>
          <w14:ligatures w14:val="standardContextual"/>
        </w:rPr>
        <w:drawing>
          <wp:inline distT="0" distB="0" distL="0" distR="0" wp14:anchorId="4371E0CB" wp14:editId="6DB0BFB5">
            <wp:extent cx="5244675" cy="3473147"/>
            <wp:effectExtent l="0" t="0" r="13335" b="13335"/>
            <wp:docPr id="1004806501" name="Chart 1">
              <a:extLst xmlns:a="http://schemas.openxmlformats.org/drawingml/2006/main">
                <a:ext uri="{FF2B5EF4-FFF2-40B4-BE49-F238E27FC236}">
                  <a16:creationId xmlns:a16="http://schemas.microsoft.com/office/drawing/2014/main" id="{08507790-9D1B-5F0E-E595-B0F0036BD9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Pr="00E3672F" w:rsidR="00F32E75" w:rsidP="00F32E75" w:rsidRDefault="00F32E75" w14:paraId="0E3A1CB1" w14:textId="77777777">
      <w:pPr>
        <w:pStyle w:val="NoSpacing"/>
        <w:spacing w:line="360" w:lineRule="auto"/>
        <w:jc w:val="center"/>
        <w:rPr>
          <w:rFonts w:cs="Times New Roman"/>
          <w:lang w:val="en-GB"/>
        </w:rPr>
      </w:pPr>
    </w:p>
    <w:p w:rsidRPr="00E3672F" w:rsidR="001B01C5" w:rsidP="001E1287" w:rsidRDefault="001B01C5" w14:paraId="44D19E18" w14:textId="5BE15322">
      <w:pPr>
        <w:pStyle w:val="NoSpacing"/>
        <w:spacing w:line="360" w:lineRule="auto"/>
        <w:jc w:val="both"/>
        <w:rPr>
          <w:rFonts w:cs="Times New Roman"/>
          <w:lang w:val="en-GB"/>
        </w:rPr>
      </w:pPr>
      <w:r w:rsidRPr="00E3672F">
        <w:rPr>
          <w:rFonts w:cs="Times New Roman"/>
          <w:lang w:val="en-GB"/>
        </w:rPr>
        <w:t>When asked whether internal reporting channels are functional</w:t>
      </w:r>
      <w:r w:rsidRPr="00E3672F" w:rsidR="00F32E75">
        <w:rPr>
          <w:rFonts w:cs="Times New Roman"/>
          <w:lang w:val="en-GB"/>
        </w:rPr>
        <w:t>,</w:t>
      </w:r>
      <w:r w:rsidRPr="00E3672F">
        <w:rPr>
          <w:rFonts w:cs="Times New Roman"/>
          <w:lang w:val="en-GB"/>
        </w:rPr>
        <w:t xml:space="preserve"> perceptions varied across countries. </w:t>
      </w:r>
      <w:r w:rsidRPr="00E3672F">
        <w:rPr>
          <w:rFonts w:cs="Times New Roman"/>
          <w:b/>
          <w:bCs/>
          <w:lang w:val="en-GB"/>
        </w:rPr>
        <w:t>Latvia</w:t>
      </w:r>
      <w:r w:rsidRPr="00E3672F">
        <w:rPr>
          <w:rFonts w:cs="Times New Roman"/>
          <w:lang w:val="en-GB"/>
        </w:rPr>
        <w:t xml:space="preserve"> reported the highest confidence, with 57% (4 out of 7) indicating they are functional to a large extent, followed by </w:t>
      </w:r>
      <w:r w:rsidRPr="00E3672F">
        <w:rPr>
          <w:rFonts w:cs="Times New Roman"/>
          <w:b/>
          <w:bCs/>
          <w:lang w:val="en-GB"/>
        </w:rPr>
        <w:t>Italy</w:t>
      </w:r>
      <w:r w:rsidRPr="00E3672F">
        <w:rPr>
          <w:rFonts w:cs="Times New Roman"/>
          <w:lang w:val="en-GB"/>
        </w:rPr>
        <w:t xml:space="preserve"> with 3</w:t>
      </w:r>
      <w:r w:rsidRPr="00E3672F" w:rsidR="005838F5">
        <w:rPr>
          <w:rFonts w:cs="Times New Roman"/>
          <w:lang w:val="en-GB"/>
        </w:rPr>
        <w:t>8</w:t>
      </w:r>
      <w:r w:rsidRPr="00E3672F">
        <w:rPr>
          <w:rFonts w:cs="Times New Roman"/>
          <w:lang w:val="en-GB"/>
        </w:rPr>
        <w:t xml:space="preserve">% (3 out of 8) rating them highly functional. </w:t>
      </w:r>
      <w:r w:rsidRPr="00E3672F">
        <w:rPr>
          <w:rFonts w:cs="Times New Roman"/>
          <w:b/>
          <w:bCs/>
          <w:lang w:val="en-GB"/>
        </w:rPr>
        <w:t>Denmark</w:t>
      </w:r>
      <w:r w:rsidRPr="00E3672F">
        <w:rPr>
          <w:rFonts w:cs="Times New Roman"/>
          <w:lang w:val="en-GB"/>
        </w:rPr>
        <w:t xml:space="preserve"> showed moderate confidence, with equal shares of 33% (4 out of 12) indicating large or moderate functionality. In contrast, </w:t>
      </w:r>
      <w:r w:rsidRPr="00E3672F">
        <w:rPr>
          <w:rFonts w:cs="Times New Roman"/>
          <w:b/>
          <w:bCs/>
          <w:lang w:val="en-GB"/>
        </w:rPr>
        <w:t>France</w:t>
      </w:r>
      <w:r w:rsidRPr="00E3672F">
        <w:rPr>
          <w:rFonts w:cs="Times New Roman"/>
          <w:lang w:val="en-GB"/>
        </w:rPr>
        <w:t xml:space="preserve"> and </w:t>
      </w:r>
      <w:r w:rsidRPr="00E3672F">
        <w:rPr>
          <w:rFonts w:cs="Times New Roman"/>
          <w:b/>
          <w:bCs/>
          <w:lang w:val="en-GB"/>
        </w:rPr>
        <w:t>Romania</w:t>
      </w:r>
      <w:r w:rsidRPr="00E3672F">
        <w:rPr>
          <w:rFonts w:cs="Times New Roman"/>
          <w:lang w:val="en-GB"/>
        </w:rPr>
        <w:t xml:space="preserve"> displayed the lowest confidence, with high uncertainty and several respondents reporting limited or no functionality. Overall, while some countries perceive the channels as largely effective, significant variation and uncertainty highlight the need for improved accessibility, training and trustworthiness across the region.</w:t>
      </w:r>
    </w:p>
    <w:p w:rsidRPr="00E3672F" w:rsidR="001B01C5" w:rsidP="001E1287" w:rsidRDefault="001B01C5" w14:paraId="6EE64FAF" w14:textId="77777777">
      <w:pPr>
        <w:pStyle w:val="NoSpacing"/>
        <w:spacing w:line="360" w:lineRule="auto"/>
        <w:jc w:val="both"/>
        <w:rPr>
          <w:rFonts w:cs="Times New Roman"/>
          <w:lang w:val="en-GB"/>
        </w:rPr>
      </w:pPr>
    </w:p>
    <w:p w:rsidRPr="00E3672F" w:rsidR="001B01C5" w:rsidP="001E1287" w:rsidRDefault="001B01C5" w14:paraId="148BE583" w14:textId="2317A647">
      <w:pPr>
        <w:pStyle w:val="NoSpacing"/>
        <w:spacing w:line="360" w:lineRule="auto"/>
        <w:jc w:val="both"/>
        <w:rPr>
          <w:rFonts w:cs="Times New Roman"/>
          <w:lang w:val="en-GB"/>
        </w:rPr>
      </w:pPr>
      <w:r w:rsidRPr="00E3672F">
        <w:rPr>
          <w:rFonts w:cs="Times New Roman"/>
          <w:lang w:val="en-GB"/>
        </w:rPr>
        <w:t xml:space="preserve">When asked whether internal reporting channels are perceived as </w:t>
      </w:r>
      <w:r w:rsidRPr="00E3672F">
        <w:rPr>
          <w:rFonts w:cs="Times New Roman"/>
          <w:b/>
          <w:bCs/>
          <w:lang w:val="en-GB"/>
        </w:rPr>
        <w:t>trustworthy</w:t>
      </w:r>
      <w:r w:rsidRPr="00E3672F">
        <w:rPr>
          <w:rFonts w:cs="Times New Roman"/>
          <w:lang w:val="en-GB"/>
        </w:rPr>
        <w:t xml:space="preserve"> and accessible by potential whistleblowers, 18% (7 out of 40) of respondents felt they are trustworthy to a large extent, and 28% (11 out of 40) to a moderate extent. A smaller portion (</w:t>
      </w:r>
      <w:r w:rsidRPr="00E3672F" w:rsidR="00DC3CCF">
        <w:rPr>
          <w:rFonts w:cs="Times New Roman"/>
          <w:lang w:val="en-GB"/>
        </w:rPr>
        <w:t xml:space="preserve">10% – </w:t>
      </w:r>
      <w:r w:rsidRPr="00E3672F">
        <w:rPr>
          <w:rFonts w:cs="Times New Roman"/>
          <w:lang w:val="en-GB"/>
        </w:rPr>
        <w:t>4 out of 40) considered them trustworthy to a limited extent, while 5% (2 out of 40) felt they are not trustworthy at all. Notably, 28% (11 out of 40) were unsure, and 13% (5 out of 40) did not provide an answer. Overall, while over half of respondents perceive the channels as at least moderately trustworthy, the high levels of uncertainty indicate that efforts to enhance transparency, credibility and awareness may be needed to reinforce confidence among potential whistleblowers.</w:t>
      </w:r>
    </w:p>
    <w:p w:rsidRPr="00E3672F" w:rsidR="001B01C5" w:rsidP="001E1287" w:rsidRDefault="001B01C5" w14:paraId="268BC39A" w14:textId="77777777">
      <w:pPr>
        <w:pStyle w:val="NoSpacing"/>
        <w:spacing w:line="360" w:lineRule="auto"/>
        <w:jc w:val="both"/>
        <w:rPr>
          <w:rFonts w:cs="Times New Roman"/>
          <w:lang w:val="en-GB"/>
        </w:rPr>
      </w:pPr>
    </w:p>
    <w:p w:rsidRPr="00E3672F" w:rsidR="00753E2D" w:rsidP="00753E2D" w:rsidRDefault="00753E2D" w14:paraId="4AE9DF68" w14:textId="092C8655">
      <w:pPr>
        <w:pStyle w:val="NoSpacing"/>
        <w:spacing w:line="360" w:lineRule="auto"/>
        <w:jc w:val="center"/>
        <w:rPr>
          <w:rFonts w:cs="Times New Roman"/>
          <w:lang w:val="en-GB"/>
        </w:rPr>
      </w:pPr>
      <w:r w:rsidRPr="00E3672F">
        <w:rPr>
          <w:rFonts w:cs="Times New Roman"/>
          <w:noProof/>
          <w:lang w:val="en-US"/>
          <w14:ligatures w14:val="standardContextual"/>
        </w:rPr>
        <w:drawing>
          <wp:inline distT="0" distB="0" distL="0" distR="0" wp14:anchorId="0C2A0D6D" wp14:editId="1E3A75FE">
            <wp:extent cx="4450827" cy="3436536"/>
            <wp:effectExtent l="0" t="0" r="6985" b="12065"/>
            <wp:docPr id="815447387" name="Chart 1">
              <a:extLst xmlns:a="http://schemas.openxmlformats.org/drawingml/2006/main">
                <a:ext uri="{FF2B5EF4-FFF2-40B4-BE49-F238E27FC236}">
                  <a16:creationId xmlns:a16="http://schemas.microsoft.com/office/drawing/2014/main" id="{08507790-9D1B-5F0E-E595-B0F0036BD9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Pr="00E3672F" w:rsidR="00753E2D" w:rsidP="001E1287" w:rsidRDefault="00753E2D" w14:paraId="7FD5DB55" w14:textId="77777777">
      <w:pPr>
        <w:pStyle w:val="NoSpacing"/>
        <w:spacing w:line="360" w:lineRule="auto"/>
        <w:jc w:val="both"/>
        <w:rPr>
          <w:rFonts w:cs="Times New Roman"/>
          <w:lang w:val="en-GB"/>
        </w:rPr>
      </w:pPr>
    </w:p>
    <w:p w:rsidRPr="00E3672F" w:rsidR="001B01C5" w:rsidP="001E1287" w:rsidRDefault="001B01C5" w14:paraId="5ADBB3C6" w14:textId="6C14DCE7">
      <w:pPr>
        <w:pStyle w:val="NoSpacing"/>
        <w:spacing w:line="360" w:lineRule="auto"/>
        <w:jc w:val="both"/>
        <w:rPr>
          <w:rFonts w:cs="Times New Roman"/>
          <w:lang w:val="en-GB"/>
        </w:rPr>
      </w:pPr>
      <w:r w:rsidRPr="00E3672F">
        <w:rPr>
          <w:rFonts w:cs="Times New Roman"/>
          <w:lang w:val="en-GB"/>
        </w:rPr>
        <w:t xml:space="preserve">When comparing results across countries, responses varied notably. </w:t>
      </w:r>
      <w:r w:rsidRPr="00E3672F">
        <w:rPr>
          <w:rFonts w:cs="Times New Roman"/>
          <w:b/>
          <w:bCs/>
          <w:lang w:val="en-GB"/>
        </w:rPr>
        <w:t>Italy</w:t>
      </w:r>
      <w:r w:rsidRPr="00E3672F">
        <w:rPr>
          <w:rFonts w:cs="Times New Roman"/>
          <w:lang w:val="en-GB"/>
        </w:rPr>
        <w:t xml:space="preserve"> reported the highest confidence, with 50% (4 out of 8) of respondents indicating the channels are trustworthy to a large extent and 3</w:t>
      </w:r>
      <w:r w:rsidRPr="00E3672F" w:rsidR="003F31DE">
        <w:rPr>
          <w:rFonts w:cs="Times New Roman"/>
          <w:lang w:val="en-GB"/>
        </w:rPr>
        <w:t>8</w:t>
      </w:r>
      <w:r w:rsidRPr="00E3672F">
        <w:rPr>
          <w:rFonts w:cs="Times New Roman"/>
          <w:lang w:val="en-GB"/>
        </w:rPr>
        <w:t xml:space="preserve">% (3 out of 8) to a moderate extent. </w:t>
      </w:r>
      <w:r w:rsidRPr="00E3672F">
        <w:rPr>
          <w:rFonts w:cs="Times New Roman"/>
          <w:b/>
          <w:bCs/>
          <w:lang w:val="en-GB"/>
        </w:rPr>
        <w:t>Latvia</w:t>
      </w:r>
      <w:r w:rsidRPr="00E3672F">
        <w:rPr>
          <w:rFonts w:cs="Times New Roman"/>
          <w:lang w:val="en-GB"/>
        </w:rPr>
        <w:t xml:space="preserve"> also showed strong moderate-level confidence, with 57% (4 out of 7) rating the channels as moderately trustworthy, though only 1 respondent considered them highly trustworthy. </w:t>
      </w:r>
      <w:r w:rsidRPr="00E3672F">
        <w:rPr>
          <w:rFonts w:cs="Times New Roman"/>
          <w:b/>
          <w:bCs/>
          <w:lang w:val="en-GB"/>
        </w:rPr>
        <w:t>Denmark</w:t>
      </w:r>
      <w:r w:rsidRPr="00E3672F">
        <w:rPr>
          <w:rFonts w:cs="Times New Roman"/>
          <w:lang w:val="en-GB"/>
        </w:rPr>
        <w:t xml:space="preserve"> and </w:t>
      </w:r>
      <w:r w:rsidRPr="00E3672F">
        <w:rPr>
          <w:rFonts w:cs="Times New Roman"/>
          <w:b/>
          <w:bCs/>
          <w:lang w:val="en-GB"/>
        </w:rPr>
        <w:t>France</w:t>
      </w:r>
      <w:r w:rsidRPr="00E3672F">
        <w:rPr>
          <w:rFonts w:cs="Times New Roman"/>
          <w:lang w:val="en-GB"/>
        </w:rPr>
        <w:t xml:space="preserve"> displayed more mixed perceptions, with only around 16</w:t>
      </w:r>
      <w:r w:rsidRPr="00E3672F" w:rsidR="00DC3CCF">
        <w:rPr>
          <w:rFonts w:cs="Times New Roman"/>
          <w:lang w:val="en-GB"/>
        </w:rPr>
        <w:t>-</w:t>
      </w:r>
      <w:r w:rsidRPr="00E3672F">
        <w:rPr>
          <w:rFonts w:cs="Times New Roman"/>
          <w:lang w:val="en-GB"/>
        </w:rPr>
        <w:t xml:space="preserve">22% of respondents indicating trustworthiness, and substantial shares expressing uncertainty or providing no answer (33% unsure in both cases). </w:t>
      </w:r>
      <w:r w:rsidRPr="00E3672F">
        <w:rPr>
          <w:rFonts w:cs="Times New Roman"/>
          <w:b/>
          <w:bCs/>
          <w:lang w:val="en-GB"/>
        </w:rPr>
        <w:t>Romania</w:t>
      </w:r>
      <w:r w:rsidRPr="00E3672F">
        <w:rPr>
          <w:rFonts w:cs="Times New Roman"/>
          <w:lang w:val="en-GB"/>
        </w:rPr>
        <w:t xml:space="preserve"> exhibited the lowest perceived trustworthiness, with 50% (2 out of 4) rating the channels as only limitedly trustworthy and no respondents indicating high or moderate trust.</w:t>
      </w:r>
    </w:p>
    <w:p w:rsidRPr="00E3672F" w:rsidR="001B01C5" w:rsidP="001E1287" w:rsidRDefault="001B01C5" w14:paraId="398CA20D" w14:textId="77777777">
      <w:pPr>
        <w:pStyle w:val="NoSpacing"/>
        <w:spacing w:line="360" w:lineRule="auto"/>
        <w:jc w:val="both"/>
        <w:rPr>
          <w:rFonts w:cs="Times New Roman"/>
          <w:lang w:val="en-GB"/>
        </w:rPr>
      </w:pPr>
    </w:p>
    <w:p w:rsidRPr="00E3672F" w:rsidR="00B00350" w:rsidP="00B00350" w:rsidRDefault="00B00350" w14:paraId="5874B185" w14:textId="39547D4F">
      <w:pPr>
        <w:pStyle w:val="NoSpacing"/>
        <w:spacing w:line="360" w:lineRule="auto"/>
        <w:jc w:val="center"/>
        <w:rPr>
          <w:rFonts w:cs="Times New Roman"/>
          <w:lang w:val="en-GB"/>
        </w:rPr>
      </w:pPr>
      <w:r w:rsidRPr="00E3672F">
        <w:rPr>
          <w:rFonts w:cs="Times New Roman"/>
          <w:noProof/>
          <w:lang w:val="en-US"/>
          <w14:ligatures w14:val="standardContextual"/>
        </w:rPr>
        <w:drawing>
          <wp:inline distT="0" distB="0" distL="0" distR="0" wp14:anchorId="117F6F1B" wp14:editId="420000D0">
            <wp:extent cx="4083050" cy="2444750"/>
            <wp:effectExtent l="0" t="0" r="12700" b="12700"/>
            <wp:docPr id="1856425946" name="Chart 1">
              <a:extLst xmlns:a="http://schemas.openxmlformats.org/drawingml/2006/main">
                <a:ext uri="{FF2B5EF4-FFF2-40B4-BE49-F238E27FC236}">
                  <a16:creationId xmlns:a16="http://schemas.microsoft.com/office/drawing/2014/main" id="{647324AA-052D-35DB-FF30-D8A5BD5C73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Pr="00E3672F" w:rsidR="001B01C5" w:rsidP="001E1287" w:rsidRDefault="001B01C5" w14:paraId="2EEDDD09" w14:textId="739A3831">
      <w:pPr>
        <w:pStyle w:val="NoSpacing"/>
        <w:spacing w:line="360" w:lineRule="auto"/>
        <w:jc w:val="both"/>
        <w:rPr>
          <w:rFonts w:cs="Times New Roman"/>
          <w:lang w:val="en-GB"/>
        </w:rPr>
      </w:pPr>
      <w:r w:rsidRPr="00E3672F">
        <w:rPr>
          <w:rFonts w:cs="Times New Roman"/>
          <w:lang w:val="en-GB"/>
        </w:rPr>
        <w:t>When asked whether internal reporting channels have been introduced following consultation and in agreement with social partners (Question 6), only 25% (10 out of 40) of respondents confirmed that this was the case, while 1</w:t>
      </w:r>
      <w:r w:rsidRPr="00E3672F" w:rsidR="00B00350">
        <w:rPr>
          <w:rFonts w:cs="Times New Roman"/>
          <w:lang w:val="en-GB"/>
        </w:rPr>
        <w:t>7</w:t>
      </w:r>
      <w:r w:rsidRPr="00E3672F">
        <w:rPr>
          <w:rFonts w:cs="Times New Roman"/>
          <w:lang w:val="en-GB"/>
        </w:rPr>
        <w:t>% (7 out of 40) indicated that channels were introduced without such consultation. A significant majority (</w:t>
      </w:r>
      <w:r w:rsidRPr="00E3672F" w:rsidR="00715E6F">
        <w:rPr>
          <w:rFonts w:cs="Times New Roman"/>
          <w:lang w:val="en-GB"/>
        </w:rPr>
        <w:t xml:space="preserve">58% – </w:t>
      </w:r>
      <w:r w:rsidRPr="00E3672F">
        <w:rPr>
          <w:rFonts w:cs="Times New Roman"/>
          <w:lang w:val="en-GB"/>
        </w:rPr>
        <w:t>23 out of 40) were unsure, suggesting that knowledge or transparency regarding the involvement of social partners in the establishment of these channels is limited.</w:t>
      </w:r>
    </w:p>
    <w:p w:rsidRPr="00E3672F" w:rsidR="001B01C5" w:rsidP="003F31DE" w:rsidRDefault="001B01C5" w14:paraId="60332CD0" w14:textId="77777777">
      <w:pPr>
        <w:pStyle w:val="NoSpacing"/>
        <w:spacing w:line="360" w:lineRule="auto"/>
        <w:jc w:val="center"/>
        <w:rPr>
          <w:rFonts w:cs="Times New Roman"/>
          <w:lang w:val="en-GB"/>
        </w:rPr>
      </w:pPr>
    </w:p>
    <w:p w:rsidRPr="00E3672F" w:rsidR="001B01C5" w:rsidP="00D8315E" w:rsidRDefault="00D8315E" w14:paraId="26D21A78" w14:textId="12D93A48">
      <w:pPr>
        <w:pStyle w:val="NoSpacing"/>
        <w:spacing w:line="360" w:lineRule="auto"/>
        <w:jc w:val="center"/>
        <w:rPr>
          <w:rFonts w:cs="Times New Roman"/>
          <w:lang w:val="en-GB"/>
        </w:rPr>
      </w:pPr>
      <w:r w:rsidRPr="00E3672F">
        <w:rPr>
          <w:rFonts w:cs="Times New Roman"/>
          <w:noProof/>
          <w:lang w:val="en-US"/>
          <w14:ligatures w14:val="standardContextual"/>
        </w:rPr>
        <w:drawing>
          <wp:inline distT="0" distB="0" distL="0" distR="0" wp14:anchorId="329D85D1" wp14:editId="1E79749D">
            <wp:extent cx="4572000" cy="2743200"/>
            <wp:effectExtent l="0" t="0" r="0" b="0"/>
            <wp:docPr id="1987360910" name="Chart 1">
              <a:extLst xmlns:a="http://schemas.openxmlformats.org/drawingml/2006/main">
                <a:ext uri="{FF2B5EF4-FFF2-40B4-BE49-F238E27FC236}">
                  <a16:creationId xmlns:a16="http://schemas.microsoft.com/office/drawing/2014/main" id="{A3E6795D-1B06-16A8-17D2-8EC954B3A1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Pr="00E3672F" w:rsidR="00D8315E" w:rsidP="00D8315E" w:rsidRDefault="00D8315E" w14:paraId="4F9ED36D" w14:textId="77777777">
      <w:pPr>
        <w:pStyle w:val="NoSpacing"/>
        <w:spacing w:line="360" w:lineRule="auto"/>
        <w:jc w:val="center"/>
        <w:rPr>
          <w:rFonts w:cs="Times New Roman"/>
          <w:lang w:val="en-GB"/>
        </w:rPr>
      </w:pPr>
    </w:p>
    <w:p w:rsidRPr="00E3672F" w:rsidR="001B01C5" w:rsidP="001E1287" w:rsidRDefault="001B01C5" w14:paraId="654E46AE" w14:textId="23FB1E29">
      <w:pPr>
        <w:pStyle w:val="NoSpacing"/>
        <w:spacing w:line="360" w:lineRule="auto"/>
        <w:jc w:val="both"/>
        <w:rPr>
          <w:rFonts w:cs="Times New Roman"/>
          <w:lang w:val="en-GB"/>
        </w:rPr>
      </w:pPr>
      <w:r w:rsidRPr="00E3672F">
        <w:rPr>
          <w:rFonts w:cs="Times New Roman"/>
          <w:lang w:val="en-GB"/>
        </w:rPr>
        <w:t>When asked about the State</w:t>
      </w:r>
      <w:r w:rsidRPr="00E3672F" w:rsidR="00413731">
        <w:rPr>
          <w:rFonts w:cs="Times New Roman"/>
          <w:lang w:val="en-GB"/>
        </w:rPr>
        <w:t>’</w:t>
      </w:r>
      <w:r w:rsidRPr="00E3672F">
        <w:rPr>
          <w:rFonts w:cs="Times New Roman"/>
          <w:lang w:val="en-GB"/>
        </w:rPr>
        <w:t>s encouragement to use internal reporting channels first (Question 7), 20% (8 out of 40) of respondents indicated that, in practice, it is an obligation to use the internal channel before other means. A majority (</w:t>
      </w:r>
      <w:r w:rsidRPr="00E3672F" w:rsidR="00F727C4">
        <w:rPr>
          <w:rFonts w:cs="Times New Roman"/>
          <w:lang w:val="en-GB"/>
        </w:rPr>
        <w:t xml:space="preserve">53% – </w:t>
      </w:r>
      <w:r w:rsidRPr="00E3672F">
        <w:rPr>
          <w:rFonts w:cs="Times New Roman"/>
          <w:lang w:val="en-GB"/>
        </w:rPr>
        <w:t>21 out of 40) reported that there is moderate encouragement, while 13% (5 out of 40) stated that no encouragement exists. Additionally, 15% (6 out of 40) were unsure. Overall, the data suggest that most countries promote the use of internal channels to some degree, but formal obligations are relatively rare, and uncertainty remains regarding the consistency and visibility of such encouragement.</w:t>
      </w:r>
    </w:p>
    <w:p w:rsidRPr="00E3672F" w:rsidR="004523CC" w:rsidP="004523CC" w:rsidRDefault="004523CC" w14:paraId="7EACD7DF" w14:textId="77777777">
      <w:pPr>
        <w:pStyle w:val="NoSpacing"/>
        <w:spacing w:line="360" w:lineRule="auto"/>
        <w:jc w:val="both"/>
        <w:rPr>
          <w:rFonts w:cs="Times New Roman"/>
          <w:lang w:val="en-GB"/>
        </w:rPr>
      </w:pPr>
      <w:r w:rsidRPr="00E3672F">
        <w:rPr>
          <w:rFonts w:cs="Times New Roman"/>
          <w:lang w:val="en-GB"/>
        </w:rPr>
        <w:t xml:space="preserve">Comparing the responses across countries, the results varied greatly. </w:t>
      </w:r>
      <w:r w:rsidRPr="00E3672F">
        <w:rPr>
          <w:rFonts w:cs="Times New Roman"/>
          <w:b/>
          <w:bCs/>
          <w:lang w:val="en-GB"/>
        </w:rPr>
        <w:t>Italy</w:t>
      </w:r>
      <w:r w:rsidRPr="00E3672F">
        <w:rPr>
          <w:rFonts w:cs="Times New Roman"/>
          <w:lang w:val="en-GB"/>
        </w:rPr>
        <w:t xml:space="preserve"> reported the highest level of formal obligation, with 50% (4 out of 8) indicating that using the internal channel first is effectively required, while 38% (3 out of 8) reported moderate encouragement. </w:t>
      </w:r>
      <w:r w:rsidRPr="00E3672F">
        <w:rPr>
          <w:rFonts w:cs="Times New Roman"/>
          <w:b/>
          <w:bCs/>
          <w:lang w:val="en-GB"/>
        </w:rPr>
        <w:t>Latvia</w:t>
      </w:r>
      <w:r w:rsidRPr="00E3672F">
        <w:rPr>
          <w:rFonts w:cs="Times New Roman"/>
          <w:lang w:val="en-GB"/>
        </w:rPr>
        <w:t xml:space="preserve"> also showed relatively strong promotion, with 29% (2 out of 7) noting an obligation and 57% (4 out of 7) moderate encouragement. </w:t>
      </w:r>
      <w:r w:rsidRPr="00E3672F">
        <w:rPr>
          <w:rFonts w:cs="Times New Roman"/>
          <w:b/>
          <w:bCs/>
          <w:lang w:val="en-GB"/>
        </w:rPr>
        <w:t>France</w:t>
      </w:r>
      <w:r w:rsidRPr="00E3672F">
        <w:rPr>
          <w:rFonts w:cs="Times New Roman"/>
          <w:lang w:val="en-GB"/>
        </w:rPr>
        <w:t xml:space="preserve"> and </w:t>
      </w:r>
      <w:r w:rsidRPr="00E3672F">
        <w:rPr>
          <w:rFonts w:cs="Times New Roman"/>
          <w:b/>
          <w:bCs/>
          <w:lang w:val="en-GB"/>
        </w:rPr>
        <w:t>Denmark</w:t>
      </w:r>
      <w:r w:rsidRPr="00E3672F">
        <w:rPr>
          <w:rFonts w:cs="Times New Roman"/>
          <w:lang w:val="en-GB"/>
        </w:rPr>
        <w:t xml:space="preserve"> primarily offer moderate encouragement, with 56% (5 out of 9) in France and 58% (7 out of 12) in Denmark indicating this, though some respondents in both countries reported uncertainty or lack of encouragement. </w:t>
      </w:r>
      <w:r w:rsidRPr="00E3672F">
        <w:rPr>
          <w:rFonts w:cs="Times New Roman"/>
          <w:b/>
          <w:bCs/>
          <w:lang w:val="en-GB"/>
        </w:rPr>
        <w:t>Romania</w:t>
      </w:r>
      <w:r w:rsidRPr="00E3672F">
        <w:rPr>
          <w:rFonts w:cs="Times New Roman"/>
          <w:lang w:val="en-GB"/>
        </w:rPr>
        <w:t xml:space="preserve"> displayed the lowest formal support, with no respondents indicating an obligation, half (2 out of 4) reporting moderate encouragement, and the other half (2 out of 4) reporting no encouragement at all.</w:t>
      </w:r>
    </w:p>
    <w:p w:rsidRPr="00E3672F" w:rsidR="001B01C5" w:rsidP="001E1287" w:rsidRDefault="001B01C5" w14:paraId="06FA804B" w14:textId="77777777">
      <w:pPr>
        <w:pStyle w:val="NoSpacing"/>
        <w:spacing w:line="360" w:lineRule="auto"/>
        <w:jc w:val="both"/>
        <w:rPr>
          <w:rFonts w:cs="Times New Roman"/>
          <w:lang w:val="en-GB"/>
        </w:rPr>
      </w:pPr>
    </w:p>
    <w:p w:rsidRPr="00E3672F" w:rsidR="001B01C5" w:rsidP="001E1287" w:rsidRDefault="00A63EF5" w14:paraId="5318731E" w14:textId="76336069">
      <w:pPr>
        <w:pStyle w:val="NoSpacing"/>
        <w:spacing w:line="360" w:lineRule="auto"/>
        <w:jc w:val="center"/>
        <w:rPr>
          <w:rFonts w:cs="Times New Roman"/>
          <w:lang w:val="en-GB"/>
        </w:rPr>
      </w:pPr>
      <w:r w:rsidRPr="00E3672F">
        <w:rPr>
          <w:rFonts w:cs="Times New Roman"/>
          <w:noProof/>
          <w:lang w:val="en-US"/>
          <w14:ligatures w14:val="standardContextual"/>
        </w:rPr>
        <w:drawing>
          <wp:inline distT="0" distB="0" distL="0" distR="0" wp14:anchorId="6731A432" wp14:editId="05D8F7A2">
            <wp:extent cx="4965700" cy="3028950"/>
            <wp:effectExtent l="0" t="0" r="6350" b="0"/>
            <wp:docPr id="421269795" name="Chart 1">
              <a:extLst xmlns:a="http://schemas.openxmlformats.org/drawingml/2006/main">
                <a:ext uri="{FF2B5EF4-FFF2-40B4-BE49-F238E27FC236}">
                  <a16:creationId xmlns:a16="http://schemas.microsoft.com/office/drawing/2014/main" id="{AC79CAB1-19C3-4544-97AA-8A8743012E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Pr="00E3672F" w:rsidR="004523CC" w:rsidP="004523CC" w:rsidRDefault="004523CC" w14:paraId="40352619" w14:textId="77777777">
      <w:pPr>
        <w:pStyle w:val="NoSpacing"/>
        <w:spacing w:line="360" w:lineRule="auto"/>
        <w:jc w:val="center"/>
        <w:rPr>
          <w:rFonts w:cs="Times New Roman"/>
          <w:lang w:val="en-GB"/>
        </w:rPr>
      </w:pPr>
    </w:p>
    <w:p w:rsidRPr="00E3672F" w:rsidR="004523CC" w:rsidP="001E1287" w:rsidRDefault="004523CC" w14:paraId="441DDC11" w14:textId="4D3A2384">
      <w:pPr>
        <w:pStyle w:val="NoSpacing"/>
        <w:spacing w:line="360" w:lineRule="auto"/>
        <w:jc w:val="both"/>
        <w:rPr>
          <w:rFonts w:cs="Times New Roman"/>
          <w:lang w:val="en-GB"/>
        </w:rPr>
      </w:pPr>
      <w:r w:rsidRPr="00E3672F">
        <w:rPr>
          <w:rFonts w:cs="Times New Roman"/>
          <w:lang w:val="en-GB"/>
        </w:rPr>
        <w:t>When asked whether external reporting channels have been established in their country since the transposition of the Directive (Question 8), the vast majority of respondents (93% – 37 out of 40) confirmed that such channels are in place. Only 1 respondent from France reported that no external channels exist, while 5% (2 out of 40) were unsure.</w:t>
      </w:r>
    </w:p>
    <w:p w:rsidRPr="00E3672F" w:rsidR="001B01C5" w:rsidP="00D8315E" w:rsidRDefault="001B01C5" w14:paraId="6C609069" w14:textId="78977E5F">
      <w:pPr>
        <w:pStyle w:val="NoSpacing"/>
        <w:spacing w:line="360" w:lineRule="auto"/>
        <w:jc w:val="center"/>
        <w:rPr>
          <w:rFonts w:cs="Times New Roman"/>
          <w:lang w:val="en-GB"/>
        </w:rPr>
      </w:pPr>
      <w:r w:rsidRPr="00E3672F">
        <w:rPr>
          <w:rFonts w:cs="Times New Roman"/>
          <w:lang w:val="en-GB"/>
        </w:rPr>
        <w:br/>
      </w:r>
      <w:r w:rsidRPr="00E3672F" w:rsidR="00D8315E">
        <w:rPr>
          <w:rFonts w:cs="Times New Roman"/>
          <w:noProof/>
          <w:lang w:val="en-US"/>
          <w14:ligatures w14:val="standardContextual"/>
        </w:rPr>
        <w:drawing>
          <wp:inline distT="0" distB="0" distL="0" distR="0" wp14:anchorId="66D7FC1E" wp14:editId="09A91F37">
            <wp:extent cx="4419600" cy="2867891"/>
            <wp:effectExtent l="0" t="0" r="0" b="8890"/>
            <wp:docPr id="255812238" name="Chart 1">
              <a:extLst xmlns:a="http://schemas.openxmlformats.org/drawingml/2006/main">
                <a:ext uri="{FF2B5EF4-FFF2-40B4-BE49-F238E27FC236}">
                  <a16:creationId xmlns:a16="http://schemas.microsoft.com/office/drawing/2014/main" id="{60522225-FED0-5ED9-0FA0-DCA3341493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D8315E" w:rsidP="00D0335D" w:rsidRDefault="00D8315E" w14:paraId="1C1BD900" w14:textId="28114F2F">
      <w:pPr>
        <w:pStyle w:val="NoSpacing"/>
        <w:spacing w:line="360" w:lineRule="auto"/>
        <w:jc w:val="both"/>
        <w:rPr>
          <w:rFonts w:cs="Times New Roman"/>
          <w:lang w:val="en-GB"/>
        </w:rPr>
      </w:pPr>
    </w:p>
    <w:p w:rsidRPr="00E3672F" w:rsidR="004523CC" w:rsidP="004523CC" w:rsidRDefault="004523CC" w14:paraId="7F36B919" w14:textId="77777777">
      <w:pPr>
        <w:pStyle w:val="NoSpacing"/>
        <w:spacing w:line="360" w:lineRule="auto"/>
        <w:jc w:val="both"/>
        <w:rPr>
          <w:rFonts w:cs="Times New Roman"/>
          <w:lang w:val="en-GB"/>
        </w:rPr>
      </w:pPr>
      <w:r w:rsidRPr="00E3672F">
        <w:rPr>
          <w:rFonts w:cs="Times New Roman"/>
          <w:lang w:val="en-GB"/>
        </w:rPr>
        <w:t xml:space="preserve">When asked whether external reporting channels are functional, including accessibility, training and administrative burden, and whether they are perceived as trustworthy and accessible by potential whistleblowers (Question 8a), responses show a generally positive but mixed picture. </w:t>
      </w:r>
    </w:p>
    <w:p w:rsidRPr="00E3672F" w:rsidR="001B01C5" w:rsidP="001E1287" w:rsidRDefault="001B01C5" w14:paraId="06CDAF89" w14:textId="77777777">
      <w:pPr>
        <w:pStyle w:val="NoSpacing"/>
        <w:spacing w:line="360" w:lineRule="auto"/>
        <w:jc w:val="both"/>
        <w:rPr>
          <w:rFonts w:cs="Times New Roman"/>
          <w:lang w:val="en-GB"/>
        </w:rPr>
      </w:pPr>
    </w:p>
    <w:p w:rsidRPr="00E3672F" w:rsidR="00D429EF" w:rsidP="005E0532" w:rsidRDefault="005E0532" w14:paraId="21218027" w14:textId="42308655">
      <w:pPr>
        <w:pStyle w:val="NoSpacing"/>
        <w:spacing w:line="360" w:lineRule="auto"/>
        <w:jc w:val="center"/>
        <w:rPr>
          <w:rFonts w:cs="Times New Roman"/>
          <w:lang w:val="en-GB"/>
        </w:rPr>
      </w:pPr>
      <w:r w:rsidRPr="00E3672F">
        <w:rPr>
          <w:rFonts w:cs="Times New Roman"/>
          <w:noProof/>
          <w:lang w:val="en-US"/>
          <w14:ligatures w14:val="standardContextual"/>
        </w:rPr>
        <w:drawing>
          <wp:inline distT="0" distB="0" distL="0" distR="0" wp14:anchorId="5A9E3E46" wp14:editId="064892C6">
            <wp:extent cx="4155845" cy="2893925"/>
            <wp:effectExtent l="0" t="0" r="16510" b="1905"/>
            <wp:docPr id="1439570400" name="Chart 1">
              <a:extLst xmlns:a="http://schemas.openxmlformats.org/drawingml/2006/main">
                <a:ext uri="{FF2B5EF4-FFF2-40B4-BE49-F238E27FC236}">
                  <a16:creationId xmlns:a16="http://schemas.microsoft.com/office/drawing/2014/main" id="{CAD82E78-5B01-ACEF-FC5F-414EA2934A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Pr="00E3672F" w:rsidR="005E0532" w:rsidP="005E0532" w:rsidRDefault="005E0532" w14:paraId="75AECB18" w14:textId="77777777">
      <w:pPr>
        <w:pStyle w:val="NoSpacing"/>
        <w:spacing w:line="360" w:lineRule="auto"/>
        <w:jc w:val="center"/>
        <w:rPr>
          <w:rFonts w:cs="Times New Roman"/>
          <w:lang w:val="en-GB"/>
        </w:rPr>
      </w:pPr>
    </w:p>
    <w:p w:rsidRPr="00E3672F" w:rsidR="001B01C5" w:rsidP="001E1287" w:rsidRDefault="001B01C5" w14:paraId="5188D694" w14:textId="77777777">
      <w:pPr>
        <w:pStyle w:val="NoSpacing"/>
        <w:spacing w:line="360" w:lineRule="auto"/>
        <w:jc w:val="both"/>
        <w:rPr>
          <w:rFonts w:cs="Times New Roman"/>
          <w:lang w:val="en-GB"/>
        </w:rPr>
      </w:pPr>
    </w:p>
    <w:p w:rsidRPr="00E3672F" w:rsidR="001B01C5" w:rsidP="001E1287" w:rsidRDefault="001B01C5" w14:paraId="099CC635" w14:textId="10FBD549">
      <w:pPr>
        <w:pStyle w:val="NoSpacing"/>
        <w:spacing w:line="360" w:lineRule="auto"/>
        <w:jc w:val="both"/>
        <w:rPr>
          <w:rFonts w:cs="Times New Roman"/>
          <w:lang w:val="en-GB"/>
        </w:rPr>
      </w:pPr>
      <w:r w:rsidRPr="00E3672F">
        <w:rPr>
          <w:rFonts w:cs="Times New Roman"/>
          <w:lang w:val="en-GB"/>
        </w:rPr>
        <w:t xml:space="preserve">Regarding </w:t>
      </w:r>
      <w:r w:rsidRPr="00E3672F">
        <w:rPr>
          <w:rFonts w:cs="Times New Roman"/>
          <w:b/>
          <w:bCs/>
          <w:lang w:val="en-GB"/>
        </w:rPr>
        <w:t>functionality</w:t>
      </w:r>
      <w:r w:rsidRPr="00E3672F">
        <w:rPr>
          <w:rFonts w:cs="Times New Roman"/>
          <w:lang w:val="en-GB"/>
        </w:rPr>
        <w:t xml:space="preserve">, 33% (13 out of 40) of respondents indicated that external channels are functional to a large extent, another 33% (13 out of 40) to a moderate extent and 15% (6 out of 40) to a limited extent. No respondents considered them non-functional, while 13% (5 out of 40) were unsure and 8% (3 out of 40) provided no answer. </w:t>
      </w:r>
    </w:p>
    <w:p w:rsidRPr="00E3672F" w:rsidR="001B01C5" w:rsidP="001E1287" w:rsidRDefault="001B01C5" w14:paraId="5E6C9BF2" w14:textId="77777777">
      <w:pPr>
        <w:pStyle w:val="NoSpacing"/>
        <w:spacing w:line="360" w:lineRule="auto"/>
        <w:jc w:val="both"/>
        <w:rPr>
          <w:rFonts w:cs="Times New Roman"/>
          <w:lang w:val="en-GB"/>
        </w:rPr>
      </w:pPr>
    </w:p>
    <w:p w:rsidRPr="00E3672F" w:rsidR="004523CC" w:rsidP="001E1287" w:rsidRDefault="001B01C5" w14:paraId="572C3583" w14:textId="4A715E7D">
      <w:pPr>
        <w:pStyle w:val="NoSpacing"/>
        <w:spacing w:line="360" w:lineRule="auto"/>
        <w:jc w:val="both"/>
        <w:rPr>
          <w:rFonts w:cs="Times New Roman"/>
          <w:lang w:val="en-GB"/>
        </w:rPr>
      </w:pPr>
      <w:r w:rsidRPr="00E3672F">
        <w:rPr>
          <w:rFonts w:cs="Times New Roman"/>
          <w:lang w:val="en-GB"/>
        </w:rPr>
        <w:t xml:space="preserve">In terms of </w:t>
      </w:r>
      <w:r w:rsidRPr="00E3672F">
        <w:rPr>
          <w:rFonts w:cs="Times New Roman"/>
          <w:b/>
          <w:bCs/>
          <w:lang w:val="en-GB"/>
        </w:rPr>
        <w:t>trustworthiness</w:t>
      </w:r>
      <w:r w:rsidRPr="00E3672F">
        <w:rPr>
          <w:rFonts w:cs="Times New Roman"/>
          <w:lang w:val="en-GB"/>
        </w:rPr>
        <w:t xml:space="preserve">, 33% (13 out of 40) rated the channels as highly trustworthy, 28% (11 out of 40) as moderately trustworthy and 20% (8 out of 40) as limitedly trustworthy, with none considering them entirely untrustworthy. Similar to functionality, 13% (5 out of 40) were unsure and 8% (3 out of 40) did not answer. </w:t>
      </w:r>
    </w:p>
    <w:p w:rsidRPr="00D0335D" w:rsidR="001B01C5" w:rsidP="00D0335D" w:rsidRDefault="001B01C5" w14:paraId="11AA027B" w14:textId="38F544CB">
      <w:pPr>
        <w:pStyle w:val="NoSpacing"/>
        <w:spacing w:line="360" w:lineRule="auto"/>
        <w:jc w:val="both"/>
        <w:rPr>
          <w:lang w:val="en-US"/>
        </w:rPr>
      </w:pPr>
    </w:p>
    <w:p w:rsidRPr="00D0335D" w:rsidR="001B01C5" w:rsidP="000B42B1" w:rsidRDefault="001B01C5" w14:paraId="5228D0C0" w14:textId="6ABD92F3">
      <w:pPr>
        <w:pStyle w:val="Heading2"/>
        <w:ind w:left="720"/>
      </w:pPr>
      <w:bookmarkStart w:name="_Toc228180533" w:id="31"/>
      <w:r w:rsidRPr="00E3672F">
        <w:rPr>
          <w:u w:val="single"/>
        </w:rPr>
        <w:t xml:space="preserve">Uses and outcomes of </w:t>
      </w:r>
      <w:r w:rsidRPr="00E3672F" w:rsidR="00634648">
        <w:rPr>
          <w:u w:val="single"/>
        </w:rPr>
        <w:t>reporting</w:t>
      </w:r>
      <w:bookmarkEnd w:id="31"/>
      <w:r w:rsidRPr="00E3672F">
        <w:rPr>
          <w:u w:val="single"/>
        </w:rPr>
        <w:t> </w:t>
      </w:r>
    </w:p>
    <w:p w:rsidRPr="00E3672F" w:rsidR="001B01C5" w:rsidP="005937F8" w:rsidRDefault="005937F8" w14:paraId="7DC49F81" w14:textId="083E37F7">
      <w:pPr>
        <w:pStyle w:val="NoSpacing"/>
        <w:spacing w:line="360" w:lineRule="auto"/>
        <w:jc w:val="center"/>
        <w:rPr>
          <w:rFonts w:cs="Times New Roman"/>
          <w:lang w:val="en-GB"/>
        </w:rPr>
      </w:pPr>
      <w:r w:rsidRPr="00E3672F">
        <w:rPr>
          <w:rFonts w:cs="Times New Roman"/>
          <w:noProof/>
          <w:lang w:val="en-US"/>
          <w14:ligatures w14:val="standardContextual"/>
        </w:rPr>
        <w:drawing>
          <wp:inline distT="0" distB="0" distL="0" distR="0" wp14:anchorId="55F5B4AE" wp14:editId="2BFD6208">
            <wp:extent cx="4947439" cy="2532184"/>
            <wp:effectExtent l="0" t="0" r="5715" b="1905"/>
            <wp:docPr id="1599054174" name="Chart 1">
              <a:extLst xmlns:a="http://schemas.openxmlformats.org/drawingml/2006/main">
                <a:ext uri="{FF2B5EF4-FFF2-40B4-BE49-F238E27FC236}">
                  <a16:creationId xmlns:a16="http://schemas.microsoft.com/office/drawing/2014/main" id="{3846DE83-42B9-42E3-B52E-39C1AFD728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Pr="00E3672F" w:rsidR="005937F8" w:rsidP="005937F8" w:rsidRDefault="005937F8" w14:paraId="30A77057" w14:textId="77777777">
      <w:pPr>
        <w:pStyle w:val="NoSpacing"/>
        <w:spacing w:line="360" w:lineRule="auto"/>
        <w:jc w:val="center"/>
        <w:rPr>
          <w:rFonts w:cs="Times New Roman"/>
          <w:lang w:val="en-GB"/>
        </w:rPr>
      </w:pPr>
    </w:p>
    <w:p w:rsidRPr="00E3672F" w:rsidR="001B01C5" w:rsidP="001E1287" w:rsidRDefault="001B01C5" w14:paraId="7B280149" w14:textId="2E0EBA94">
      <w:pPr>
        <w:pStyle w:val="NoSpacing"/>
        <w:spacing w:line="360" w:lineRule="auto"/>
        <w:jc w:val="both"/>
        <w:rPr>
          <w:rFonts w:cs="Times New Roman"/>
          <w:lang w:val="en-GB"/>
        </w:rPr>
      </w:pPr>
      <w:r w:rsidRPr="00E3672F">
        <w:rPr>
          <w:rFonts w:cs="Times New Roman"/>
          <w:lang w:val="en-GB"/>
        </w:rPr>
        <w:t xml:space="preserve">When asked whether </w:t>
      </w:r>
      <w:r w:rsidRPr="00E3672F">
        <w:rPr>
          <w:rFonts w:cs="Times New Roman"/>
          <w:b/>
          <w:bCs/>
          <w:lang w:val="en-GB"/>
        </w:rPr>
        <w:t>awareness of reporting possibilities</w:t>
      </w:r>
      <w:r w:rsidRPr="00E3672F">
        <w:rPr>
          <w:rFonts w:cs="Times New Roman"/>
          <w:lang w:val="en-GB"/>
        </w:rPr>
        <w:t xml:space="preserve"> has increased in their country since national transposition of the Directive (Question 9), 63% (25 out of 40) of respondents confirmed that awareness has grown. A smaller proportion </w:t>
      </w:r>
      <w:r w:rsidR="00DB14B0">
        <w:rPr>
          <w:rFonts w:cs="Times New Roman"/>
          <w:lang w:val="en-GB"/>
        </w:rPr>
        <w:t>(</w:t>
      </w:r>
      <w:r w:rsidRPr="00E3672F">
        <w:rPr>
          <w:rFonts w:cs="Times New Roman"/>
          <w:lang w:val="en-GB"/>
        </w:rPr>
        <w:t xml:space="preserve">10% </w:t>
      </w:r>
      <w:r w:rsidR="00DB14B0">
        <w:rPr>
          <w:rFonts w:cs="Times New Roman"/>
          <w:lang w:val="en-GB"/>
        </w:rPr>
        <w:t xml:space="preserve">– </w:t>
      </w:r>
      <w:r w:rsidRPr="00E3672F">
        <w:rPr>
          <w:rFonts w:cs="Times New Roman"/>
          <w:lang w:val="en-GB"/>
        </w:rPr>
        <w:t xml:space="preserve">4 out of 40) indicated that no increase has occurred, while 28% (11 out of 40) were unsure. </w:t>
      </w:r>
    </w:p>
    <w:p w:rsidRPr="00E3672F" w:rsidR="001B01C5" w:rsidP="001E1287" w:rsidRDefault="001B01C5" w14:paraId="48C6542A" w14:textId="77777777">
      <w:pPr>
        <w:pStyle w:val="NoSpacing"/>
        <w:spacing w:line="360" w:lineRule="auto"/>
        <w:jc w:val="both"/>
        <w:rPr>
          <w:rFonts w:cs="Times New Roman"/>
          <w:lang w:val="en-GB"/>
        </w:rPr>
      </w:pPr>
    </w:p>
    <w:p w:rsidRPr="00E3672F" w:rsidR="001B01C5" w:rsidP="001E1287" w:rsidRDefault="001B01C5" w14:paraId="7B97B8D4" w14:textId="77777777">
      <w:pPr>
        <w:pStyle w:val="NoSpacing"/>
        <w:spacing w:line="360" w:lineRule="auto"/>
        <w:jc w:val="both"/>
        <w:rPr>
          <w:rFonts w:cs="Times New Roman"/>
          <w:lang w:val="en-GB"/>
        </w:rPr>
      </w:pPr>
      <w:r w:rsidRPr="00E3672F">
        <w:rPr>
          <w:rFonts w:cs="Times New Roman"/>
          <w:lang w:val="en-GB"/>
        </w:rPr>
        <w:t xml:space="preserve">When comparing answers across countries, </w:t>
      </w:r>
      <w:r w:rsidRPr="00E3672F">
        <w:rPr>
          <w:rFonts w:cs="Times New Roman"/>
          <w:b/>
          <w:bCs/>
          <w:lang w:val="en-GB"/>
        </w:rPr>
        <w:t>Italy</w:t>
      </w:r>
      <w:r w:rsidRPr="00E3672F">
        <w:rPr>
          <w:rFonts w:cs="Times New Roman"/>
          <w:lang w:val="en-GB"/>
        </w:rPr>
        <w:t xml:space="preserve"> and </w:t>
      </w:r>
      <w:r w:rsidRPr="00E3672F">
        <w:rPr>
          <w:rFonts w:cs="Times New Roman"/>
          <w:b/>
          <w:bCs/>
          <w:lang w:val="en-GB"/>
        </w:rPr>
        <w:t>Romania</w:t>
      </w:r>
      <w:r w:rsidRPr="00E3672F">
        <w:rPr>
          <w:rFonts w:cs="Times New Roman"/>
          <w:lang w:val="en-GB"/>
        </w:rPr>
        <w:t xml:space="preserve"> reported the highest perceived increase, with 75% (6 out of 8) and 75% (3 out of 4) of respondents respectively confirming greater awareness. </w:t>
      </w:r>
      <w:r w:rsidRPr="00E3672F">
        <w:rPr>
          <w:rFonts w:cs="Times New Roman"/>
          <w:b/>
          <w:bCs/>
          <w:lang w:val="en-GB"/>
        </w:rPr>
        <w:t>Latvia</w:t>
      </w:r>
      <w:r w:rsidRPr="00E3672F">
        <w:rPr>
          <w:rFonts w:cs="Times New Roman"/>
          <w:lang w:val="en-GB"/>
        </w:rPr>
        <w:t xml:space="preserve"> also showed strong results, with 71% (5 out of 7) noting an increase. </w:t>
      </w:r>
      <w:r w:rsidRPr="00E3672F">
        <w:rPr>
          <w:rFonts w:cs="Times New Roman"/>
          <w:b/>
          <w:bCs/>
          <w:lang w:val="en-GB"/>
        </w:rPr>
        <w:t>France</w:t>
      </w:r>
      <w:r w:rsidRPr="00E3672F">
        <w:rPr>
          <w:rFonts w:cs="Times New Roman"/>
          <w:lang w:val="en-GB"/>
        </w:rPr>
        <w:t xml:space="preserve"> and </w:t>
      </w:r>
      <w:r w:rsidRPr="00E3672F">
        <w:rPr>
          <w:rFonts w:cs="Times New Roman"/>
          <w:b/>
          <w:bCs/>
          <w:lang w:val="en-GB"/>
        </w:rPr>
        <w:t>Denmark</w:t>
      </w:r>
      <w:r w:rsidRPr="00E3672F">
        <w:rPr>
          <w:rFonts w:cs="Times New Roman"/>
          <w:lang w:val="en-GB"/>
        </w:rPr>
        <w:t xml:space="preserve"> reported more moderate increases, with 56% (5 out of 9) in France and 50% (6 out of 12) in Denmark indicating higher awareness, while both countries also had notable shares of respondents unsure about the trend (22% in France and 42% in Denmark).</w:t>
      </w:r>
    </w:p>
    <w:p w:rsidRPr="00E3672F" w:rsidR="001B01C5" w:rsidP="001E1287" w:rsidRDefault="001B01C5" w14:paraId="03BF16C0" w14:textId="77777777">
      <w:pPr>
        <w:pStyle w:val="NoSpacing"/>
        <w:spacing w:line="360" w:lineRule="auto"/>
        <w:jc w:val="both"/>
        <w:rPr>
          <w:rFonts w:cs="Times New Roman"/>
          <w:lang w:val="en-GB"/>
        </w:rPr>
      </w:pPr>
    </w:p>
    <w:p w:rsidRPr="00E3672F" w:rsidR="001B01C5" w:rsidP="001E1287" w:rsidRDefault="001B01C5" w14:paraId="7C8CB5A1" w14:textId="398D4B04">
      <w:pPr>
        <w:pStyle w:val="NoSpacing"/>
        <w:spacing w:line="360" w:lineRule="auto"/>
        <w:jc w:val="both"/>
        <w:rPr>
          <w:rFonts w:cs="Times New Roman"/>
          <w:lang w:val="en-GB"/>
        </w:rPr>
      </w:pPr>
      <w:r w:rsidRPr="00E3672F">
        <w:rPr>
          <w:rFonts w:cs="Times New Roman"/>
          <w:lang w:val="en-GB"/>
        </w:rPr>
        <w:t xml:space="preserve">When asked whether </w:t>
      </w:r>
      <w:r w:rsidRPr="00E3672F">
        <w:rPr>
          <w:rFonts w:cs="Times New Roman"/>
          <w:b/>
          <w:bCs/>
          <w:lang w:val="en-GB"/>
        </w:rPr>
        <w:t>reporting</w:t>
      </w:r>
      <w:r w:rsidRPr="00E3672F">
        <w:rPr>
          <w:rFonts w:cs="Times New Roman"/>
          <w:lang w:val="en-GB"/>
        </w:rPr>
        <w:t xml:space="preserve"> in their country has increased overall since national transposition of the Directive, 48% (19 out of 40) of respondents indicated that reporting has grown, while only 1 stakeholder from France felt that it has not. Notably, half of respondents (20 out of 40) were unsure, reflecting substantial uncertainty about the actual impact of the Directive on reporting levels.</w:t>
      </w:r>
    </w:p>
    <w:p w:rsidRPr="00E3672F" w:rsidR="00F13E95" w:rsidP="001E1287" w:rsidRDefault="00F13E95" w14:paraId="36D7EBB1" w14:textId="77777777">
      <w:pPr>
        <w:pStyle w:val="NoSpacing"/>
        <w:spacing w:line="360" w:lineRule="auto"/>
        <w:jc w:val="both"/>
        <w:rPr>
          <w:rFonts w:cs="Times New Roman"/>
          <w:lang w:val="en-GB"/>
        </w:rPr>
      </w:pPr>
    </w:p>
    <w:p w:rsidRPr="00E3672F" w:rsidR="001B01C5" w:rsidP="001E1287" w:rsidRDefault="00DB14B0" w14:paraId="3D20D6E7" w14:textId="4E178ACE">
      <w:pPr>
        <w:pStyle w:val="NoSpacing"/>
        <w:spacing w:line="360" w:lineRule="auto"/>
        <w:jc w:val="both"/>
        <w:rPr>
          <w:rFonts w:cs="Times New Roman"/>
          <w:lang w:val="en-GB"/>
        </w:rPr>
      </w:pPr>
      <w:r>
        <w:rPr>
          <w:rFonts w:cs="Times New Roman"/>
          <w:lang w:val="en-GB"/>
        </w:rPr>
        <w:t>R</w:t>
      </w:r>
      <w:r w:rsidRPr="00E3672F" w:rsidR="001B01C5">
        <w:rPr>
          <w:rFonts w:cs="Times New Roman"/>
          <w:lang w:val="en-GB"/>
        </w:rPr>
        <w:t xml:space="preserve">espondents who perceived an increase in reporting in their countries were asked to specify in which sectors (Question 9a). </w:t>
      </w:r>
      <w:r w:rsidRPr="00E3672F" w:rsidR="001B01C5">
        <w:rPr>
          <w:rFonts w:cs="Times New Roman"/>
          <w:b/>
          <w:bCs/>
          <w:lang w:val="en-GB"/>
        </w:rPr>
        <w:t>French</w:t>
      </w:r>
      <w:r w:rsidRPr="00E3672F" w:rsidR="001B01C5">
        <w:rPr>
          <w:rFonts w:cs="Times New Roman"/>
          <w:lang w:val="en-GB"/>
        </w:rPr>
        <w:t xml:space="preserve"> respondents noted a significant increase in 2024, with the AFA recording a 180% rise in whistleblowing, particularly in probity-related sectors such as labour law, public administration, health, environmental protection, data protection and ethics. </w:t>
      </w:r>
      <w:r w:rsidRPr="00E3672F" w:rsidR="001B01C5">
        <w:rPr>
          <w:rFonts w:cs="Times New Roman"/>
          <w:b/>
          <w:bCs/>
          <w:lang w:val="en-GB"/>
        </w:rPr>
        <w:t>Italian</w:t>
      </w:r>
      <w:r w:rsidRPr="00E3672F" w:rsidR="001B01C5">
        <w:rPr>
          <w:rFonts w:cs="Times New Roman"/>
          <w:lang w:val="en-GB"/>
        </w:rPr>
        <w:t xml:space="preserve"> respondents observed a moderate increase in awareness, especially in organisations like the Red Cross, with reports mainly covering breaches under D.Lgs. 231/2001. </w:t>
      </w:r>
      <w:r w:rsidRPr="00E3672F" w:rsidR="001B01C5">
        <w:rPr>
          <w:rFonts w:cs="Times New Roman"/>
          <w:b/>
          <w:bCs/>
          <w:lang w:val="en-GB"/>
        </w:rPr>
        <w:t>Danish</w:t>
      </w:r>
      <w:r w:rsidRPr="00E3672F" w:rsidR="001B01C5">
        <w:rPr>
          <w:rFonts w:cs="Times New Roman"/>
          <w:lang w:val="en-GB"/>
        </w:rPr>
        <w:t xml:space="preserve"> respondents reported increased reporting primarily in the healthcare and public sectors through the national whistleblower scheme. </w:t>
      </w:r>
      <w:r w:rsidRPr="00E3672F" w:rsidR="001B01C5">
        <w:rPr>
          <w:rFonts w:cs="Times New Roman"/>
          <w:b/>
          <w:bCs/>
          <w:lang w:val="en-GB"/>
        </w:rPr>
        <w:t>Romanian</w:t>
      </w:r>
      <w:r w:rsidRPr="00E3672F" w:rsidR="001B01C5">
        <w:rPr>
          <w:rFonts w:cs="Times New Roman"/>
          <w:lang w:val="en-GB"/>
        </w:rPr>
        <w:t xml:space="preserve"> stakeholders indicated a near doubling of external channel reports in 2024 across all entities with over 50 employees, though internal channel trust remains uneven. </w:t>
      </w:r>
      <w:r w:rsidRPr="00E3672F" w:rsidR="001B01C5">
        <w:rPr>
          <w:rFonts w:cs="Times New Roman"/>
          <w:b/>
          <w:bCs/>
          <w:lang w:val="en-GB"/>
        </w:rPr>
        <w:t>Latvian</w:t>
      </w:r>
      <w:r w:rsidRPr="00E3672F" w:rsidR="001B01C5">
        <w:rPr>
          <w:rFonts w:cs="Times New Roman"/>
          <w:lang w:val="en-GB"/>
        </w:rPr>
        <w:t xml:space="preserve"> respondents observed a gradual increase in reports across multiple sectors, including competition law, public administration, labour law and the environment, with 409 submissions in 2024 (+4% from 2023) and continued growth in 2025. Overall, stakeholders underlined that while awareness and reporting have risen, confidence in channels and communication of legal protections still require improvement.</w:t>
      </w:r>
    </w:p>
    <w:p w:rsidR="001B01C5" w:rsidP="001E1287" w:rsidRDefault="001B01C5" w14:paraId="2FE127AC" w14:textId="77777777">
      <w:pPr>
        <w:pStyle w:val="NoSpacing"/>
        <w:spacing w:line="360" w:lineRule="auto"/>
        <w:jc w:val="both"/>
        <w:rPr>
          <w:rFonts w:cs="Times New Roman"/>
          <w:lang w:val="en-GB"/>
        </w:rPr>
      </w:pPr>
    </w:p>
    <w:p w:rsidRPr="00E3672F" w:rsidR="00607EC1" w:rsidP="001E1287" w:rsidRDefault="00607EC1" w14:paraId="0999E5DC" w14:textId="1DD6D982">
      <w:pPr>
        <w:pStyle w:val="NoSpacing"/>
        <w:spacing w:line="360" w:lineRule="auto"/>
        <w:jc w:val="both"/>
        <w:rPr>
          <w:rFonts w:cs="Times New Roman"/>
          <w:lang w:val="en-GB"/>
        </w:rPr>
      </w:pPr>
      <w:r w:rsidRPr="00E3672F">
        <w:rPr>
          <w:rFonts w:cs="Times New Roman"/>
          <w:lang w:val="en-GB"/>
        </w:rPr>
        <w:t xml:space="preserve">When asked whether whistleblower reports in their country regularly lead to investigations, disciplinary measures or corrective actions (Question 10), 47% (19 out of 40) of respondents confirmed that such outcomes occur, while 10% (4 out of 40) indicated that reports do not lead to action. A substantial proportion (43% </w:t>
      </w:r>
      <w:r>
        <w:rPr>
          <w:rFonts w:cs="Times New Roman"/>
          <w:lang w:val="en-GB"/>
        </w:rPr>
        <w:t xml:space="preserve">– </w:t>
      </w:r>
      <w:r w:rsidRPr="00E3672F">
        <w:rPr>
          <w:rFonts w:cs="Times New Roman"/>
          <w:lang w:val="en-GB"/>
        </w:rPr>
        <w:t>17 out of 40) were unsure, reflecting considerable uncertainty about the effectiveness of follow-up measures.</w:t>
      </w:r>
    </w:p>
    <w:p w:rsidRPr="00E3672F" w:rsidR="001B01C5" w:rsidP="001E1287" w:rsidRDefault="0013763F" w14:paraId="6BBBBD76" w14:textId="34D9FE3C">
      <w:pPr>
        <w:pStyle w:val="NoSpacing"/>
        <w:spacing w:line="360" w:lineRule="auto"/>
        <w:jc w:val="center"/>
        <w:rPr>
          <w:rFonts w:cs="Times New Roman"/>
          <w:b/>
          <w:bCs/>
          <w:lang w:val="en-GB"/>
        </w:rPr>
      </w:pPr>
      <w:r w:rsidRPr="00E3672F">
        <w:rPr>
          <w:rFonts w:cs="Times New Roman"/>
          <w:noProof/>
          <w:lang w:val="en-US"/>
          <w14:ligatures w14:val="standardContextual"/>
        </w:rPr>
        <w:drawing>
          <wp:inline distT="0" distB="0" distL="0" distR="0" wp14:anchorId="29FB0583" wp14:editId="7093DB33">
            <wp:extent cx="4777740" cy="2520950"/>
            <wp:effectExtent l="0" t="0" r="3810" b="12700"/>
            <wp:docPr id="1244192603" name="Chart 1">
              <a:extLst xmlns:a="http://schemas.openxmlformats.org/drawingml/2006/main">
                <a:ext uri="{FF2B5EF4-FFF2-40B4-BE49-F238E27FC236}">
                  <a16:creationId xmlns:a16="http://schemas.microsoft.com/office/drawing/2014/main" id="{88D7F473-0F26-B4B5-2D9F-D8A51A08A7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Pr="00E3672F" w:rsidR="001B01C5" w:rsidP="001E1287" w:rsidRDefault="001B01C5" w14:paraId="1C6038C1" w14:textId="77777777">
      <w:pPr>
        <w:pStyle w:val="NoSpacing"/>
        <w:spacing w:line="360" w:lineRule="auto"/>
        <w:jc w:val="both"/>
        <w:rPr>
          <w:rFonts w:cs="Times New Roman"/>
          <w:b/>
          <w:bCs/>
          <w:lang w:val="en-GB"/>
        </w:rPr>
      </w:pPr>
    </w:p>
    <w:p w:rsidRPr="00E3672F" w:rsidR="001B01C5" w:rsidP="001E1287" w:rsidRDefault="001B01C5" w14:paraId="3EF6F695" w14:textId="77777777">
      <w:pPr>
        <w:pStyle w:val="NoSpacing"/>
        <w:spacing w:line="360" w:lineRule="auto"/>
        <w:jc w:val="both"/>
        <w:rPr>
          <w:rFonts w:cs="Times New Roman"/>
          <w:lang w:val="en-GB"/>
        </w:rPr>
      </w:pPr>
    </w:p>
    <w:p w:rsidRPr="00E3672F" w:rsidR="001B01C5" w:rsidP="00D55568" w:rsidRDefault="00D55568" w14:paraId="7A581B5A" w14:textId="12D29121">
      <w:pPr>
        <w:pStyle w:val="NoSpacing"/>
        <w:spacing w:line="360" w:lineRule="auto"/>
        <w:jc w:val="center"/>
        <w:rPr>
          <w:rFonts w:cs="Times New Roman"/>
          <w:lang w:val="en-GB"/>
        </w:rPr>
      </w:pPr>
      <w:r w:rsidRPr="00E3672F">
        <w:rPr>
          <w:rFonts w:cs="Times New Roman"/>
          <w:noProof/>
          <w:lang w:val="en-US"/>
          <w14:ligatures w14:val="standardContextual"/>
        </w:rPr>
        <w:drawing>
          <wp:inline distT="0" distB="0" distL="0" distR="0" wp14:anchorId="33165F34" wp14:editId="0F0364C0">
            <wp:extent cx="4860764" cy="2672861"/>
            <wp:effectExtent l="0" t="0" r="16510" b="13335"/>
            <wp:docPr id="1880387754" name="Chart 1">
              <a:extLst xmlns:a="http://schemas.openxmlformats.org/drawingml/2006/main">
                <a:ext uri="{FF2B5EF4-FFF2-40B4-BE49-F238E27FC236}">
                  <a16:creationId xmlns:a16="http://schemas.microsoft.com/office/drawing/2014/main" id="{32DDB5A3-0DE8-F178-9B04-F328216241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Pr="00E3672F" w:rsidR="00D55568" w:rsidP="00D55568" w:rsidRDefault="00D55568" w14:paraId="095A71F2" w14:textId="77777777">
      <w:pPr>
        <w:pStyle w:val="NoSpacing"/>
        <w:spacing w:line="360" w:lineRule="auto"/>
        <w:jc w:val="center"/>
        <w:rPr>
          <w:rFonts w:cs="Times New Roman"/>
          <w:lang w:val="en-GB"/>
        </w:rPr>
      </w:pPr>
    </w:p>
    <w:p w:rsidRPr="00E3672F" w:rsidR="001B01C5" w:rsidP="001E1287" w:rsidRDefault="001B01C5" w14:paraId="211E4E26" w14:textId="0BE3B5B6">
      <w:pPr>
        <w:pStyle w:val="NoSpacing"/>
        <w:spacing w:line="360" w:lineRule="auto"/>
        <w:jc w:val="both"/>
        <w:rPr>
          <w:rFonts w:cs="Times New Roman"/>
          <w:lang w:val="en-GB"/>
        </w:rPr>
      </w:pPr>
      <w:r w:rsidRPr="00E3672F">
        <w:rPr>
          <w:rFonts w:cs="Times New Roman"/>
          <w:lang w:val="en-GB"/>
        </w:rPr>
        <w:t xml:space="preserve">Responses varied significantly across countries. </w:t>
      </w:r>
      <w:r w:rsidRPr="00E3672F">
        <w:rPr>
          <w:rFonts w:cs="Times New Roman"/>
          <w:b/>
          <w:bCs/>
          <w:lang w:val="en-GB"/>
        </w:rPr>
        <w:t>Italy</w:t>
      </w:r>
      <w:r w:rsidRPr="00E3672F">
        <w:rPr>
          <w:rFonts w:cs="Times New Roman"/>
          <w:lang w:val="en-GB"/>
        </w:rPr>
        <w:t xml:space="preserve"> reported the highest perceived effectiveness, with 63% (5 out of 8) of respondents confirming that reports lead to action, followed closely by </w:t>
      </w:r>
      <w:r w:rsidRPr="00E3672F">
        <w:rPr>
          <w:rFonts w:cs="Times New Roman"/>
          <w:b/>
          <w:bCs/>
          <w:lang w:val="en-GB"/>
        </w:rPr>
        <w:t>Latvia</w:t>
      </w:r>
      <w:r w:rsidRPr="00E3672F">
        <w:rPr>
          <w:rFonts w:cs="Times New Roman"/>
          <w:lang w:val="en-GB"/>
        </w:rPr>
        <w:t xml:space="preserve"> at 57% (4 out of 7) and </w:t>
      </w:r>
      <w:r w:rsidRPr="00E3672F">
        <w:rPr>
          <w:rFonts w:cs="Times New Roman"/>
          <w:b/>
          <w:bCs/>
          <w:lang w:val="en-GB"/>
        </w:rPr>
        <w:t>France</w:t>
      </w:r>
      <w:r w:rsidRPr="00E3672F">
        <w:rPr>
          <w:rFonts w:cs="Times New Roman"/>
          <w:lang w:val="en-GB"/>
        </w:rPr>
        <w:t xml:space="preserve"> at 56% (5 out of 9). </w:t>
      </w:r>
      <w:r w:rsidRPr="00E3672F">
        <w:rPr>
          <w:rFonts w:cs="Times New Roman"/>
          <w:b/>
          <w:bCs/>
          <w:lang w:val="en-GB"/>
        </w:rPr>
        <w:t>Denmark</w:t>
      </w:r>
      <w:r w:rsidRPr="00E3672F">
        <w:rPr>
          <w:rFonts w:cs="Times New Roman"/>
          <w:lang w:val="en-GB"/>
        </w:rPr>
        <w:t xml:space="preserve"> showed more mixed results, with 42% (5 out of 12) indicating </w:t>
      </w:r>
      <w:r w:rsidR="00DB14B0">
        <w:rPr>
          <w:rFonts w:cs="Times New Roman"/>
          <w:lang w:val="en-GB"/>
        </w:rPr>
        <w:t xml:space="preserve">that </w:t>
      </w:r>
      <w:r w:rsidRPr="00E3672F">
        <w:rPr>
          <w:rFonts w:cs="Times New Roman"/>
          <w:lang w:val="en-GB"/>
        </w:rPr>
        <w:t xml:space="preserve">reports lead to action, 17% (2 out of 12) reporting no action and 42% (5 out of 12) unsure. </w:t>
      </w:r>
      <w:r w:rsidRPr="00E3672F">
        <w:rPr>
          <w:rFonts w:cs="Times New Roman"/>
          <w:b/>
          <w:bCs/>
          <w:lang w:val="en-GB"/>
        </w:rPr>
        <w:t>Romania</w:t>
      </w:r>
      <w:r w:rsidRPr="00E3672F">
        <w:rPr>
          <w:rFonts w:cs="Times New Roman"/>
          <w:lang w:val="en-GB"/>
        </w:rPr>
        <w:t xml:space="preserve"> displayed the lowest perceived follow-through, with no respondents confirming that reports result in action, 25% (1 out of 4) indicating they do not and 75% (3 out of 4) uncertain.</w:t>
      </w:r>
    </w:p>
    <w:p w:rsidRPr="00E3672F" w:rsidR="001B01C5" w:rsidP="001E1287" w:rsidRDefault="001B01C5" w14:paraId="22A8C46C" w14:textId="77777777">
      <w:pPr>
        <w:pStyle w:val="NoSpacing"/>
        <w:spacing w:line="360" w:lineRule="auto"/>
        <w:jc w:val="both"/>
        <w:rPr>
          <w:rFonts w:cs="Times New Roman"/>
          <w:lang w:val="en-GB"/>
        </w:rPr>
      </w:pPr>
    </w:p>
    <w:p w:rsidRPr="00E3672F" w:rsidR="001B01C5" w:rsidP="001E1287" w:rsidRDefault="00494F01" w14:paraId="4EDA3711" w14:textId="5B46745E">
      <w:pPr>
        <w:pStyle w:val="NoSpacing"/>
        <w:spacing w:line="360" w:lineRule="auto"/>
        <w:jc w:val="center"/>
        <w:rPr>
          <w:rFonts w:cs="Times New Roman"/>
          <w:lang w:val="en-GB"/>
        </w:rPr>
      </w:pPr>
      <w:r w:rsidRPr="00E3672F">
        <w:rPr>
          <w:rFonts w:cs="Times New Roman"/>
          <w:noProof/>
          <w:lang w:val="en-US"/>
          <w14:ligatures w14:val="standardContextual"/>
        </w:rPr>
        <w:drawing>
          <wp:inline distT="0" distB="0" distL="0" distR="0" wp14:anchorId="38EB290B" wp14:editId="30925E3E">
            <wp:extent cx="4572000" cy="2743200"/>
            <wp:effectExtent l="0" t="0" r="0" b="0"/>
            <wp:docPr id="1554250069" name="Chart 1">
              <a:extLst xmlns:a="http://schemas.openxmlformats.org/drawingml/2006/main">
                <a:ext uri="{FF2B5EF4-FFF2-40B4-BE49-F238E27FC236}">
                  <a16:creationId xmlns:a16="http://schemas.microsoft.com/office/drawing/2014/main" id="{2E04AE0F-0D03-845B-881B-48A3C67FCB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Pr="00E3672F" w:rsidR="001B01C5" w:rsidP="001E1287" w:rsidRDefault="001B01C5" w14:paraId="247F5CBF" w14:textId="77777777">
      <w:pPr>
        <w:pStyle w:val="NoSpacing"/>
        <w:spacing w:line="360" w:lineRule="auto"/>
        <w:jc w:val="both"/>
        <w:rPr>
          <w:rFonts w:cs="Times New Roman"/>
          <w:lang w:val="en-GB"/>
        </w:rPr>
      </w:pPr>
    </w:p>
    <w:p w:rsidRPr="00E3672F" w:rsidR="001B01C5" w:rsidP="001E1287" w:rsidRDefault="001B01C5" w14:paraId="4515CF7F" w14:textId="0684530C">
      <w:pPr>
        <w:pStyle w:val="NoSpacing"/>
        <w:spacing w:line="360" w:lineRule="auto"/>
        <w:jc w:val="both"/>
        <w:rPr>
          <w:rFonts w:cs="Times New Roman"/>
          <w:lang w:val="en-GB"/>
        </w:rPr>
      </w:pPr>
      <w:r w:rsidRPr="00E3672F">
        <w:rPr>
          <w:rFonts w:cs="Times New Roman"/>
          <w:lang w:val="en-GB"/>
        </w:rPr>
        <w:t>When asked whether they are aware of the reporting tools set up by EU institutions under the Directive (Question 11), responses were relatively evenly split. A total of 3</w:t>
      </w:r>
      <w:r w:rsidRPr="00E3672F" w:rsidR="00494F01">
        <w:rPr>
          <w:rFonts w:cs="Times New Roman"/>
          <w:lang w:val="en-GB"/>
        </w:rPr>
        <w:t>7</w:t>
      </w:r>
      <w:r w:rsidRPr="00E3672F">
        <w:rPr>
          <w:rFonts w:cs="Times New Roman"/>
          <w:lang w:val="en-GB"/>
        </w:rPr>
        <w:t>% (15 out of 40) of respondents indicated that they are aware of these tools, while a slightly higher proportion (</w:t>
      </w:r>
      <w:r w:rsidRPr="00E3672F" w:rsidR="00814C67">
        <w:rPr>
          <w:rFonts w:cs="Times New Roman"/>
          <w:lang w:val="en-GB"/>
        </w:rPr>
        <w:t xml:space="preserve">40% – </w:t>
      </w:r>
      <w:r w:rsidRPr="00E3672F">
        <w:rPr>
          <w:rFonts w:cs="Times New Roman"/>
          <w:lang w:val="en-GB"/>
        </w:rPr>
        <w:t>16 out of 40) reported that they are not aware. Additionally, 23% (9 out of 40) were unsure. Overall, the findings suggest that awareness of EU-level reporting tools remains limited and fragmented, with a majority of respondents either unaware or uncertain, highlighting the need for increased communication and outreach to improve visibility and understanding of these mechanisms.</w:t>
      </w:r>
    </w:p>
    <w:p w:rsidRPr="00E3672F" w:rsidR="001B01C5" w:rsidP="001E1287" w:rsidRDefault="001B01C5" w14:paraId="70C6193E" w14:textId="77777777">
      <w:pPr>
        <w:pStyle w:val="NoSpacing"/>
        <w:spacing w:line="360" w:lineRule="auto"/>
        <w:jc w:val="both"/>
        <w:rPr>
          <w:rFonts w:cs="Times New Roman"/>
          <w:lang w:val="en-GB"/>
        </w:rPr>
      </w:pPr>
    </w:p>
    <w:p w:rsidRPr="00E3672F" w:rsidR="001B01C5" w:rsidP="001E1287" w:rsidRDefault="001B01C5" w14:paraId="7AC3651E" w14:textId="50EA8343">
      <w:pPr>
        <w:pStyle w:val="NoSpacing"/>
        <w:spacing w:line="360" w:lineRule="auto"/>
        <w:jc w:val="both"/>
        <w:rPr>
          <w:rFonts w:cs="Times New Roman"/>
          <w:lang w:val="en-GB"/>
        </w:rPr>
      </w:pPr>
      <w:r w:rsidRPr="00E3672F">
        <w:rPr>
          <w:rFonts w:cs="Times New Roman"/>
          <w:lang w:val="en-GB"/>
        </w:rPr>
        <w:t xml:space="preserve">Furthermore, </w:t>
      </w:r>
      <w:r w:rsidRPr="00E3672F" w:rsidR="00814C67">
        <w:rPr>
          <w:rFonts w:cs="Times New Roman"/>
          <w:lang w:val="en-GB"/>
        </w:rPr>
        <w:t xml:space="preserve">the </w:t>
      </w:r>
      <w:r w:rsidRPr="00E3672F">
        <w:rPr>
          <w:rFonts w:cs="Times New Roman"/>
          <w:lang w:val="en-GB"/>
        </w:rPr>
        <w:t xml:space="preserve">stakeholders who stated </w:t>
      </w:r>
      <w:r w:rsidRPr="00E3672F" w:rsidR="00814C67">
        <w:rPr>
          <w:rFonts w:cs="Times New Roman"/>
          <w:lang w:val="en-GB"/>
        </w:rPr>
        <w:t xml:space="preserve">that they were </w:t>
      </w:r>
      <w:r w:rsidRPr="00E3672F">
        <w:rPr>
          <w:rFonts w:cs="Times New Roman"/>
          <w:lang w:val="en-GB"/>
        </w:rPr>
        <w:t>aware of the reporting tools were asked whether they have used them at least once (Question 11a). It was reported that none had used any of them.</w:t>
      </w:r>
    </w:p>
    <w:p w:rsidRPr="00E3672F" w:rsidR="001B01C5" w:rsidP="001E1287" w:rsidRDefault="001B01C5" w14:paraId="350B2B02" w14:textId="77777777">
      <w:pPr>
        <w:pStyle w:val="NoSpacing"/>
        <w:spacing w:line="360" w:lineRule="auto"/>
        <w:jc w:val="both"/>
        <w:rPr>
          <w:rFonts w:cs="Times New Roman"/>
          <w:lang w:val="en-GB"/>
        </w:rPr>
      </w:pPr>
    </w:p>
    <w:p w:rsidRPr="00E3672F" w:rsidR="001B01C5" w:rsidP="000408B1" w:rsidRDefault="001B01C5" w14:paraId="087DAFFD" w14:textId="2D7DE270">
      <w:pPr>
        <w:pStyle w:val="Heading2"/>
        <w:ind w:left="720"/>
        <w:rPr>
          <w:u w:val="single"/>
        </w:rPr>
      </w:pPr>
      <w:bookmarkStart w:name="_Toc228180534" w:id="32"/>
      <w:r w:rsidRPr="00E3672F">
        <w:rPr>
          <w:u w:val="single"/>
        </w:rPr>
        <w:t xml:space="preserve">Protection and </w:t>
      </w:r>
      <w:r w:rsidRPr="00E3672F" w:rsidR="001F3B5F">
        <w:rPr>
          <w:u w:val="single"/>
        </w:rPr>
        <w:t>e</w:t>
      </w:r>
      <w:r w:rsidRPr="00E3672F">
        <w:rPr>
          <w:u w:val="single"/>
        </w:rPr>
        <w:t>nforcement</w:t>
      </w:r>
      <w:bookmarkEnd w:id="32"/>
      <w:r w:rsidRPr="00E3672F">
        <w:rPr>
          <w:u w:val="single"/>
        </w:rPr>
        <w:t> </w:t>
      </w:r>
    </w:p>
    <w:p w:rsidRPr="00E3672F" w:rsidR="001B01C5" w:rsidP="001E1287" w:rsidRDefault="001B01C5" w14:paraId="58D54298" w14:textId="77777777">
      <w:pPr>
        <w:pStyle w:val="NoSpacing"/>
        <w:spacing w:line="360" w:lineRule="auto"/>
        <w:jc w:val="both"/>
        <w:rPr>
          <w:rFonts w:cs="Times New Roman"/>
          <w:lang w:val="en-GB"/>
        </w:rPr>
      </w:pPr>
    </w:p>
    <w:p w:rsidRPr="00AD01AD" w:rsidR="001B01C5" w:rsidP="001E1287" w:rsidRDefault="00AD01AD" w14:paraId="08689837" w14:textId="59F45DF0">
      <w:pPr>
        <w:pStyle w:val="NoSpacing"/>
        <w:spacing w:line="360" w:lineRule="auto"/>
        <w:jc w:val="center"/>
        <w:rPr>
          <w:b/>
          <w:bCs/>
        </w:rPr>
      </w:pPr>
      <w:r w:rsidRPr="00AD01AD">
        <w:rPr>
          <w:b/>
          <w:bCs/>
          <w:noProof/>
          <w:lang w:val="en-US"/>
        </w:rPr>
        <w:drawing>
          <wp:inline distT="0" distB="0" distL="0" distR="0" wp14:anchorId="46307847" wp14:editId="5FD4184A">
            <wp:extent cx="5047922" cy="2357329"/>
            <wp:effectExtent l="0" t="0" r="635" b="5080"/>
            <wp:docPr id="9161296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058154" cy="2362107"/>
                    </a:xfrm>
                    <a:prstGeom prst="rect">
                      <a:avLst/>
                    </a:prstGeom>
                    <a:noFill/>
                    <a:ln>
                      <a:noFill/>
                    </a:ln>
                  </pic:spPr>
                </pic:pic>
              </a:graphicData>
            </a:graphic>
          </wp:inline>
        </w:drawing>
      </w:r>
    </w:p>
    <w:p w:rsidRPr="00E3672F" w:rsidR="001B01C5" w:rsidP="001E1287" w:rsidRDefault="001B01C5" w14:paraId="2FA42509" w14:textId="77777777">
      <w:pPr>
        <w:pStyle w:val="NoSpacing"/>
        <w:spacing w:line="360" w:lineRule="auto"/>
        <w:jc w:val="both"/>
        <w:rPr>
          <w:rFonts w:cs="Times New Roman"/>
          <w:lang w:val="en-GB"/>
        </w:rPr>
      </w:pPr>
    </w:p>
    <w:p w:rsidRPr="00E3672F" w:rsidR="001B01C5" w:rsidP="001E1287" w:rsidRDefault="001B01C5" w14:paraId="472DA6CE" w14:textId="0F919DD5">
      <w:pPr>
        <w:pStyle w:val="NoSpacing"/>
        <w:spacing w:line="360" w:lineRule="auto"/>
        <w:jc w:val="both"/>
        <w:rPr>
          <w:rFonts w:cs="Times New Roman"/>
          <w:lang w:val="en-GB"/>
        </w:rPr>
      </w:pPr>
      <w:r w:rsidRPr="00E3672F">
        <w:rPr>
          <w:rFonts w:cs="Times New Roman"/>
          <w:lang w:val="en-GB"/>
        </w:rPr>
        <w:t>When asked to what extent anti-retaliation measures, such as reinstatement, interim relief and compensation, are effectively enforced by authorities and courts (Question 12), responses indicate a generally moderate but uncertain assessment. Only 10% (4 out of 40) of respondents believed these measures are enforced to a large extent, while 18% (7 out of 40) consider enforcement to be moderate. The largest group (</w:t>
      </w:r>
      <w:r w:rsidRPr="00E3672F" w:rsidR="0065315C">
        <w:rPr>
          <w:rFonts w:cs="Times New Roman"/>
          <w:lang w:val="en-GB"/>
        </w:rPr>
        <w:t xml:space="preserve">35% – </w:t>
      </w:r>
      <w:r w:rsidRPr="00E3672F">
        <w:rPr>
          <w:rFonts w:cs="Times New Roman"/>
          <w:lang w:val="en-GB"/>
        </w:rPr>
        <w:t xml:space="preserve">14 out of 40) perceive enforcement as occurring only to some extent and 5% (2 out of 40) believe it is not enforced at all. Notably, 33% (13 out of 40) of respondents were unsure. </w:t>
      </w:r>
    </w:p>
    <w:p w:rsidRPr="00E3672F" w:rsidR="001B01C5" w:rsidP="001E1287" w:rsidRDefault="001B01C5" w14:paraId="3D651330" w14:textId="77777777">
      <w:pPr>
        <w:pStyle w:val="NoSpacing"/>
        <w:spacing w:line="360" w:lineRule="auto"/>
        <w:jc w:val="both"/>
        <w:rPr>
          <w:rFonts w:cs="Times New Roman"/>
          <w:lang w:val="en-GB"/>
        </w:rPr>
      </w:pPr>
    </w:p>
    <w:p w:rsidRPr="00E3672F" w:rsidR="001B01C5" w:rsidP="00921852" w:rsidRDefault="00921852" w14:paraId="6C169772" w14:textId="4E221F24">
      <w:pPr>
        <w:pStyle w:val="NoSpacing"/>
        <w:spacing w:line="360" w:lineRule="auto"/>
        <w:jc w:val="center"/>
        <w:rPr>
          <w:rFonts w:cs="Times New Roman"/>
          <w:lang w:val="en-GB"/>
        </w:rPr>
      </w:pPr>
      <w:r w:rsidRPr="00E3672F">
        <w:rPr>
          <w:rFonts w:cs="Times New Roman"/>
          <w:noProof/>
          <w:lang w:val="en-US"/>
          <w14:ligatures w14:val="standardContextual"/>
        </w:rPr>
        <w:drawing>
          <wp:inline distT="0" distB="0" distL="0" distR="0" wp14:anchorId="0E118B49" wp14:editId="2C0CC1F2">
            <wp:extent cx="5060950" cy="3020786"/>
            <wp:effectExtent l="0" t="0" r="6350" b="8255"/>
            <wp:docPr id="1403811449" name="Chart 1">
              <a:extLst xmlns:a="http://schemas.openxmlformats.org/drawingml/2006/main">
                <a:ext uri="{FF2B5EF4-FFF2-40B4-BE49-F238E27FC236}">
                  <a16:creationId xmlns:a16="http://schemas.microsoft.com/office/drawing/2014/main" id="{AC79CAB1-19C3-4544-97AA-8A8743012E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Pr="00E3672F" w:rsidR="00921852" w:rsidP="00921852" w:rsidRDefault="00921852" w14:paraId="2D19BA30" w14:textId="77777777">
      <w:pPr>
        <w:pStyle w:val="NoSpacing"/>
        <w:spacing w:line="360" w:lineRule="auto"/>
        <w:jc w:val="center"/>
        <w:rPr>
          <w:rFonts w:cs="Times New Roman"/>
          <w:lang w:val="en-GB"/>
        </w:rPr>
      </w:pPr>
    </w:p>
    <w:p w:rsidRPr="00E3672F" w:rsidR="001B01C5" w:rsidP="001E1287" w:rsidRDefault="001B01C5" w14:paraId="39BCD6D7" w14:textId="783C60E8">
      <w:pPr>
        <w:pStyle w:val="NoSpacing"/>
        <w:spacing w:line="360" w:lineRule="auto"/>
        <w:jc w:val="both"/>
        <w:rPr>
          <w:rFonts w:cs="Times New Roman"/>
          <w:lang w:val="en-GB"/>
        </w:rPr>
      </w:pPr>
      <w:r w:rsidRPr="00E3672F">
        <w:rPr>
          <w:rFonts w:cs="Times New Roman"/>
          <w:b/>
          <w:bCs/>
          <w:lang w:val="en-GB"/>
        </w:rPr>
        <w:t>Italy</w:t>
      </w:r>
      <w:r w:rsidRPr="00E3672F">
        <w:rPr>
          <w:rFonts w:cs="Times New Roman"/>
          <w:lang w:val="en-GB"/>
        </w:rPr>
        <w:t xml:space="preserve"> reported the highest confidence, with 38% (3 out of 8) of respondents indicating enforcement to a large extent, alongside additional shares reporting moderate or partial enforcement. </w:t>
      </w:r>
      <w:r w:rsidRPr="00E3672F">
        <w:rPr>
          <w:rFonts w:cs="Times New Roman"/>
          <w:b/>
          <w:bCs/>
          <w:lang w:val="en-GB"/>
        </w:rPr>
        <w:t>France</w:t>
      </w:r>
      <w:r w:rsidRPr="00E3672F">
        <w:rPr>
          <w:rFonts w:cs="Times New Roman"/>
          <w:lang w:val="en-GB"/>
        </w:rPr>
        <w:t xml:space="preserve">, by contrast, showed a strong perception of limited effectiveness, with 78% (7 out of 9) indicating enforcement only to some extent and 1 out of 9 answering </w:t>
      </w:r>
      <w:r w:rsidRPr="00E3672F" w:rsidR="00430258">
        <w:rPr>
          <w:rFonts w:cs="Times New Roman"/>
          <w:lang w:val="en-GB"/>
        </w:rPr>
        <w:t>‘</w:t>
      </w:r>
      <w:r w:rsidRPr="00E3672F">
        <w:rPr>
          <w:rFonts w:cs="Times New Roman"/>
          <w:lang w:val="en-GB"/>
        </w:rPr>
        <w:t>Not at all</w:t>
      </w:r>
      <w:r w:rsidRPr="00E3672F" w:rsidR="00430258">
        <w:rPr>
          <w:rFonts w:cs="Times New Roman"/>
          <w:lang w:val="en-GB"/>
        </w:rPr>
        <w:t>’</w:t>
      </w:r>
      <w:r w:rsidRPr="00E3672F">
        <w:rPr>
          <w:rFonts w:cs="Times New Roman"/>
          <w:lang w:val="en-GB"/>
        </w:rPr>
        <w:t xml:space="preserve">. </w:t>
      </w:r>
      <w:r w:rsidRPr="00E3672F">
        <w:rPr>
          <w:rFonts w:cs="Times New Roman"/>
          <w:b/>
          <w:bCs/>
          <w:lang w:val="en-GB"/>
        </w:rPr>
        <w:t>Latvia</w:t>
      </w:r>
      <w:r w:rsidRPr="00E3672F">
        <w:rPr>
          <w:rFonts w:cs="Times New Roman"/>
          <w:lang w:val="en-GB"/>
        </w:rPr>
        <w:t xml:space="preserve"> and </w:t>
      </w:r>
      <w:r w:rsidRPr="00E3672F">
        <w:rPr>
          <w:rFonts w:cs="Times New Roman"/>
          <w:b/>
          <w:bCs/>
          <w:lang w:val="en-GB"/>
        </w:rPr>
        <w:t>Romania</w:t>
      </w:r>
      <w:r w:rsidRPr="00E3672F">
        <w:rPr>
          <w:rFonts w:cs="Times New Roman"/>
          <w:lang w:val="en-GB"/>
        </w:rPr>
        <w:t xml:space="preserve"> reflected moderate but mixed assessments, with respondents mainly indicating enforcement to a moderate or some extent, though uncertainty remained relatively high, particularly in Latvia at 43% (3 out of 7). Denmark displayed the highest level of uncertainty overall, with 58% (7 out of 12) of respondents unsure about enforcement, and only small shares perceiving strong or consistent application.</w:t>
      </w:r>
    </w:p>
    <w:p w:rsidR="001B01C5" w:rsidP="001E1287" w:rsidRDefault="001B01C5" w14:paraId="1C8ADBA3" w14:textId="77777777">
      <w:pPr>
        <w:pStyle w:val="NoSpacing"/>
        <w:spacing w:line="360" w:lineRule="auto"/>
        <w:jc w:val="both"/>
        <w:rPr>
          <w:rFonts w:cs="Times New Roman"/>
          <w:lang w:val="en-GB"/>
        </w:rPr>
      </w:pPr>
    </w:p>
    <w:p w:rsidR="00607EC1" w:rsidP="001E1287" w:rsidRDefault="00607EC1" w14:paraId="0B04503A" w14:textId="77777777">
      <w:pPr>
        <w:pStyle w:val="NoSpacing"/>
        <w:spacing w:line="360" w:lineRule="auto"/>
        <w:jc w:val="both"/>
        <w:rPr>
          <w:rFonts w:cs="Times New Roman"/>
          <w:lang w:val="en-GB"/>
        </w:rPr>
      </w:pPr>
    </w:p>
    <w:p w:rsidRPr="00E3672F" w:rsidR="00607EC1" w:rsidP="00607EC1" w:rsidRDefault="00607EC1" w14:paraId="46DC23DE" w14:textId="77777777">
      <w:pPr>
        <w:pStyle w:val="NoSpacing"/>
        <w:spacing w:line="360" w:lineRule="auto"/>
        <w:jc w:val="both"/>
        <w:rPr>
          <w:rFonts w:cs="Times New Roman"/>
          <w:lang w:val="en-GB"/>
        </w:rPr>
      </w:pPr>
      <w:r w:rsidRPr="00E3672F">
        <w:rPr>
          <w:rFonts w:cs="Times New Roman"/>
          <w:lang w:val="en-GB"/>
        </w:rPr>
        <w:t xml:space="preserve">When asked whether competent authorities and courts are adequately resourced to enforce protections (Question 13), responses were evenly divided. A total of 33% (13 out of 40) of respondents believed that resources are sufficient, while a slightly higher share (35% – 14 out of 40) considered them insufficient. An equal proportion </w:t>
      </w:r>
      <w:r>
        <w:rPr>
          <w:rFonts w:cs="Times New Roman"/>
          <w:lang w:val="en-GB"/>
        </w:rPr>
        <w:t>(</w:t>
      </w:r>
      <w:r w:rsidRPr="00E3672F">
        <w:rPr>
          <w:rFonts w:cs="Times New Roman"/>
          <w:lang w:val="en-GB"/>
        </w:rPr>
        <w:t>13 out of 40</w:t>
      </w:r>
      <w:r>
        <w:rPr>
          <w:rFonts w:cs="Times New Roman"/>
          <w:lang w:val="en-GB"/>
        </w:rPr>
        <w:t>)</w:t>
      </w:r>
      <w:r w:rsidRPr="00E3672F">
        <w:rPr>
          <w:rFonts w:cs="Times New Roman"/>
          <w:lang w:val="en-GB"/>
        </w:rPr>
        <w:t xml:space="preserve"> were unsure.  </w:t>
      </w:r>
    </w:p>
    <w:p w:rsidRPr="00E3672F" w:rsidR="00607EC1" w:rsidP="001E1287" w:rsidRDefault="00607EC1" w14:paraId="21D36BD2" w14:textId="77777777">
      <w:pPr>
        <w:pStyle w:val="NoSpacing"/>
        <w:spacing w:line="360" w:lineRule="auto"/>
        <w:jc w:val="both"/>
        <w:rPr>
          <w:rFonts w:cs="Times New Roman"/>
          <w:lang w:val="en-GB"/>
        </w:rPr>
      </w:pPr>
    </w:p>
    <w:p w:rsidRPr="00E3672F" w:rsidR="001B01C5" w:rsidP="00607EC1" w:rsidRDefault="00494F01" w14:paraId="4CCE02D3" w14:textId="62036A1D">
      <w:pPr>
        <w:pStyle w:val="NoSpacing"/>
        <w:spacing w:line="360" w:lineRule="auto"/>
        <w:jc w:val="center"/>
        <w:rPr>
          <w:rFonts w:cs="Times New Roman"/>
          <w:lang w:val="en-GB"/>
        </w:rPr>
      </w:pPr>
      <w:r w:rsidRPr="00E3672F">
        <w:rPr>
          <w:rFonts w:cs="Times New Roman"/>
          <w:noProof/>
          <w:lang w:val="en-US"/>
          <w14:ligatures w14:val="standardContextual"/>
        </w:rPr>
        <w:drawing>
          <wp:inline distT="0" distB="0" distL="0" distR="0" wp14:anchorId="629D6CC7" wp14:editId="5061FEBF">
            <wp:extent cx="4888865" cy="2578100"/>
            <wp:effectExtent l="0" t="0" r="6985" b="12700"/>
            <wp:docPr id="929218484" name="Chart 1">
              <a:extLst xmlns:a="http://schemas.openxmlformats.org/drawingml/2006/main">
                <a:ext uri="{FF2B5EF4-FFF2-40B4-BE49-F238E27FC236}">
                  <a16:creationId xmlns:a16="http://schemas.microsoft.com/office/drawing/2014/main" id="{E45B389C-7147-7406-305B-5FBC0368AC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Pr="00E3672F" w:rsidR="00BA5393" w:rsidP="001E1287" w:rsidRDefault="00BA5393" w14:paraId="5FBF1F08" w14:textId="77777777">
      <w:pPr>
        <w:pStyle w:val="NoSpacing"/>
        <w:spacing w:line="360" w:lineRule="auto"/>
        <w:jc w:val="both"/>
        <w:rPr>
          <w:rFonts w:cs="Times New Roman"/>
          <w:lang w:val="en-GB"/>
        </w:rPr>
      </w:pPr>
    </w:p>
    <w:p w:rsidRPr="00E3672F" w:rsidR="00FD5A5E" w:rsidP="00BA5393" w:rsidRDefault="00BA5393" w14:paraId="655108CD" w14:textId="5FCAED3D">
      <w:pPr>
        <w:pStyle w:val="NoSpacing"/>
        <w:spacing w:line="360" w:lineRule="auto"/>
        <w:jc w:val="center"/>
        <w:rPr>
          <w:rFonts w:cs="Times New Roman"/>
          <w:lang w:val="en-GB"/>
        </w:rPr>
      </w:pPr>
      <w:r w:rsidRPr="00E3672F">
        <w:rPr>
          <w:rFonts w:cs="Times New Roman"/>
          <w:noProof/>
          <w:lang w:val="en-US"/>
          <w14:ligatures w14:val="standardContextual"/>
        </w:rPr>
        <w:drawing>
          <wp:inline distT="0" distB="0" distL="0" distR="0" wp14:anchorId="06FC37AC" wp14:editId="38156609">
            <wp:extent cx="5060950" cy="2873829"/>
            <wp:effectExtent l="0" t="0" r="6350" b="3175"/>
            <wp:docPr id="982106785" name="Chart 1">
              <a:extLst xmlns:a="http://schemas.openxmlformats.org/drawingml/2006/main">
                <a:ext uri="{FF2B5EF4-FFF2-40B4-BE49-F238E27FC236}">
                  <a16:creationId xmlns:a16="http://schemas.microsoft.com/office/drawing/2014/main" id="{AC79CAB1-19C3-4544-97AA-8A8743012E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Pr="00E3672F" w:rsidR="00BA5393" w:rsidP="00BA5393" w:rsidRDefault="00BA5393" w14:paraId="42D3EEF8" w14:textId="77777777">
      <w:pPr>
        <w:pStyle w:val="NoSpacing"/>
        <w:spacing w:line="360" w:lineRule="auto"/>
        <w:jc w:val="center"/>
        <w:rPr>
          <w:rFonts w:cs="Times New Roman"/>
          <w:lang w:val="en-GB"/>
        </w:rPr>
      </w:pPr>
    </w:p>
    <w:p w:rsidRPr="00E3672F" w:rsidR="001B01C5" w:rsidP="001E1287" w:rsidRDefault="001B01C5" w14:paraId="1FB50F20" w14:textId="0563E676">
      <w:pPr>
        <w:pStyle w:val="NoSpacing"/>
        <w:spacing w:line="360" w:lineRule="auto"/>
        <w:jc w:val="both"/>
        <w:rPr>
          <w:rFonts w:cs="Times New Roman"/>
          <w:lang w:val="en-GB"/>
        </w:rPr>
      </w:pPr>
      <w:r w:rsidRPr="00E3672F">
        <w:rPr>
          <w:rFonts w:cs="Times New Roman"/>
          <w:lang w:val="en-GB"/>
        </w:rPr>
        <w:t xml:space="preserve">When comparing results across countries, the responses reveal significant disparities. </w:t>
      </w:r>
      <w:r w:rsidRPr="00E3672F">
        <w:rPr>
          <w:rFonts w:cs="Times New Roman"/>
          <w:b/>
          <w:bCs/>
          <w:lang w:val="en-GB"/>
        </w:rPr>
        <w:t>France</w:t>
      </w:r>
      <w:r w:rsidRPr="00E3672F">
        <w:rPr>
          <w:rFonts w:cs="Times New Roman"/>
          <w:lang w:val="en-GB"/>
        </w:rPr>
        <w:t xml:space="preserve"> stands out with unanimous concern, as 100% (9 out of 9) of respondents indicated that resources are insufficient. </w:t>
      </w:r>
      <w:r w:rsidRPr="00E3672F">
        <w:rPr>
          <w:rFonts w:cs="Times New Roman"/>
          <w:b/>
          <w:bCs/>
          <w:lang w:val="en-GB"/>
        </w:rPr>
        <w:t>Romania</w:t>
      </w:r>
      <w:r w:rsidRPr="00E3672F">
        <w:rPr>
          <w:rFonts w:cs="Times New Roman"/>
          <w:lang w:val="en-GB"/>
        </w:rPr>
        <w:t xml:space="preserve"> also shows a predominantly negative perception, with 75% (3 out of 4) reporting insufficient resources. In contrast, </w:t>
      </w:r>
      <w:r w:rsidRPr="00E3672F">
        <w:rPr>
          <w:rFonts w:cs="Times New Roman"/>
          <w:b/>
          <w:bCs/>
          <w:lang w:val="en-GB"/>
        </w:rPr>
        <w:t>Denmark</w:t>
      </w:r>
      <w:r w:rsidRPr="00E3672F">
        <w:rPr>
          <w:rFonts w:cs="Times New Roman"/>
          <w:lang w:val="en-GB"/>
        </w:rPr>
        <w:t xml:space="preserve"> and </w:t>
      </w:r>
      <w:r w:rsidRPr="00E3672F">
        <w:rPr>
          <w:rFonts w:cs="Times New Roman"/>
          <w:b/>
          <w:bCs/>
          <w:lang w:val="en-GB"/>
        </w:rPr>
        <w:t>Italy</w:t>
      </w:r>
      <w:r w:rsidRPr="00E3672F">
        <w:rPr>
          <w:rFonts w:cs="Times New Roman"/>
          <w:lang w:val="en-GB"/>
        </w:rPr>
        <w:t xml:space="preserve"> reflect more positive or mixed views: in Denmark, 50% (6 out of 12) consider resources adequate, though 4</w:t>
      </w:r>
      <w:r w:rsidR="00DD5632">
        <w:rPr>
          <w:rFonts w:cs="Times New Roman"/>
          <w:lang w:val="en-GB"/>
        </w:rPr>
        <w:t>2</w:t>
      </w:r>
      <w:r w:rsidRPr="00E3672F">
        <w:rPr>
          <w:rFonts w:cs="Times New Roman"/>
          <w:lang w:val="en-GB"/>
        </w:rPr>
        <w:t xml:space="preserve">% (5 out of 12) are unsure, while in Italy, 50% (4 out of 8) view resources as sufficient and the remaining 50% (4 out of 8) are uncertain. Latvia exhibits the highest uncertainty, with 57% (4 out of 7) unsure, alongside smaller shares indicating adequate or inadequate resources. </w:t>
      </w:r>
    </w:p>
    <w:p w:rsidRPr="00E3672F" w:rsidR="001B01C5" w:rsidP="001E1287" w:rsidRDefault="001B01C5" w14:paraId="00120A02" w14:textId="77777777">
      <w:pPr>
        <w:pStyle w:val="NoSpacing"/>
        <w:spacing w:line="360" w:lineRule="auto"/>
        <w:jc w:val="both"/>
        <w:rPr>
          <w:rFonts w:cs="Times New Roman"/>
          <w:lang w:val="en-GB"/>
        </w:rPr>
      </w:pPr>
    </w:p>
    <w:p w:rsidRPr="00E3672F" w:rsidR="001B01C5" w:rsidP="001E1287" w:rsidRDefault="00C3143D" w14:paraId="4F1697DD" w14:textId="53EEA75F">
      <w:pPr>
        <w:pStyle w:val="NoSpacing"/>
        <w:spacing w:line="360" w:lineRule="auto"/>
        <w:jc w:val="both"/>
        <w:rPr>
          <w:rFonts w:cs="Times New Roman"/>
          <w:lang w:val="en-GB"/>
        </w:rPr>
      </w:pPr>
      <w:r w:rsidRPr="00E3672F">
        <w:rPr>
          <w:rFonts w:cs="Times New Roman"/>
          <w:lang w:val="en-GB"/>
        </w:rPr>
        <w:t xml:space="preserve">The </w:t>
      </w:r>
      <w:r w:rsidRPr="00E3672F" w:rsidR="001B01C5">
        <w:rPr>
          <w:rFonts w:cs="Times New Roman"/>
          <w:lang w:val="en-GB"/>
        </w:rPr>
        <w:t>stakeholders who believed that the competent authorities and courts were inadequately resourced to enforce protections were asked to elaborate (Question 13a). They noted chronic budgetary and human resource shortages, insufficient specialised training for judges and legal practitioners and slow judicial procedures, which together weaken the practical effectiveness of protection. Delays in case handling, limited awareness of legal mechanisms and the absence of proactive government communication were highlighted as factors that leave whistleblowers vulnerable to professional and personal repercussions, despite the existence of a formal legal framework.</w:t>
      </w:r>
    </w:p>
    <w:p w:rsidRPr="00E3672F" w:rsidR="001B01C5" w:rsidP="001E1287" w:rsidRDefault="001B01C5" w14:paraId="30CCC869" w14:textId="77777777">
      <w:pPr>
        <w:pStyle w:val="NoSpacing"/>
        <w:spacing w:line="360" w:lineRule="auto"/>
        <w:jc w:val="both"/>
        <w:rPr>
          <w:rFonts w:cs="Times New Roman"/>
          <w:lang w:val="en-GB"/>
        </w:rPr>
      </w:pPr>
    </w:p>
    <w:p w:rsidRPr="00E3672F" w:rsidR="001B01C5" w:rsidP="00494F01" w:rsidRDefault="00494F01" w14:paraId="6C1AF318" w14:textId="4D561718">
      <w:pPr>
        <w:pStyle w:val="NoSpacing"/>
        <w:spacing w:line="360" w:lineRule="auto"/>
        <w:jc w:val="center"/>
        <w:rPr>
          <w:rFonts w:cs="Times New Roman"/>
          <w:lang w:val="en-GB"/>
        </w:rPr>
      </w:pPr>
      <w:r w:rsidRPr="00E3672F">
        <w:rPr>
          <w:rFonts w:cs="Times New Roman"/>
          <w:noProof/>
          <w:lang w:val="en-US"/>
          <w14:ligatures w14:val="standardContextual"/>
        </w:rPr>
        <w:drawing>
          <wp:inline distT="0" distB="0" distL="0" distR="0" wp14:anchorId="7AC0D69F" wp14:editId="2D5889EF">
            <wp:extent cx="4485735" cy="2760453"/>
            <wp:effectExtent l="0" t="0" r="10160" b="1905"/>
            <wp:docPr id="2008759117" name="Chart 1">
              <a:extLst xmlns:a="http://schemas.openxmlformats.org/drawingml/2006/main">
                <a:ext uri="{FF2B5EF4-FFF2-40B4-BE49-F238E27FC236}">
                  <a16:creationId xmlns:a16="http://schemas.microsoft.com/office/drawing/2014/main" id="{16D8A84B-8342-29FE-D2FD-B7ECDFAC19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Pr="00E3672F" w:rsidR="00494F01" w:rsidP="00494F01" w:rsidRDefault="00494F01" w14:paraId="63BE1382" w14:textId="77777777">
      <w:pPr>
        <w:pStyle w:val="NoSpacing"/>
        <w:spacing w:line="360" w:lineRule="auto"/>
        <w:jc w:val="center"/>
        <w:rPr>
          <w:rFonts w:cs="Times New Roman"/>
          <w:lang w:val="en-GB"/>
        </w:rPr>
      </w:pPr>
    </w:p>
    <w:p w:rsidR="001B01C5" w:rsidP="001E1287" w:rsidRDefault="001B01C5" w14:paraId="78E74308" w14:textId="14AD0513">
      <w:pPr>
        <w:pStyle w:val="NoSpacing"/>
        <w:spacing w:line="360" w:lineRule="auto"/>
        <w:jc w:val="both"/>
        <w:rPr>
          <w:rFonts w:cs="Times New Roman"/>
          <w:lang w:val="en-GB"/>
        </w:rPr>
      </w:pPr>
      <w:r w:rsidRPr="00E3672F">
        <w:rPr>
          <w:rFonts w:cs="Times New Roman"/>
          <w:lang w:val="en-GB"/>
        </w:rPr>
        <w:t xml:space="preserve">When asked whether support measures, such as information and advice, assistance from authorities, legal aid, financial assistance and psychological support, are available to all reporting persons and facilitators (Question 14), responses were </w:t>
      </w:r>
      <w:r w:rsidRPr="00E3672F" w:rsidR="00C3143D">
        <w:rPr>
          <w:rFonts w:cs="Times New Roman"/>
          <w:lang w:val="en-GB"/>
        </w:rPr>
        <w:t xml:space="preserve">almost equally </w:t>
      </w:r>
      <w:r w:rsidRPr="00E3672F">
        <w:rPr>
          <w:rFonts w:cs="Times New Roman"/>
          <w:lang w:val="en-GB"/>
        </w:rPr>
        <w:t xml:space="preserve">divided. A total of 35% (14 out of 40) of respondents indicated that such support measures are available, while 13 out of 40 reported that they are not. An equal share </w:t>
      </w:r>
      <w:r w:rsidR="00DD5632">
        <w:rPr>
          <w:rFonts w:cs="Times New Roman"/>
          <w:lang w:val="en-GB"/>
        </w:rPr>
        <w:t>(</w:t>
      </w:r>
      <w:r w:rsidRPr="00E3672F">
        <w:rPr>
          <w:rFonts w:cs="Times New Roman"/>
          <w:lang w:val="en-GB"/>
        </w:rPr>
        <w:t xml:space="preserve">33% </w:t>
      </w:r>
      <w:r w:rsidR="00DD5632">
        <w:rPr>
          <w:rFonts w:cs="Times New Roman"/>
          <w:lang w:val="en-GB"/>
        </w:rPr>
        <w:t xml:space="preserve">– </w:t>
      </w:r>
      <w:r w:rsidRPr="00E3672F">
        <w:rPr>
          <w:rFonts w:cs="Times New Roman"/>
          <w:lang w:val="en-GB"/>
        </w:rPr>
        <w:t>13 out of 40) were unsure.</w:t>
      </w:r>
    </w:p>
    <w:p w:rsidRPr="00E3672F" w:rsidR="0089471F" w:rsidP="0089471F" w:rsidRDefault="0089471F" w14:paraId="46DEEDC9" w14:textId="05BB5F0E">
      <w:pPr>
        <w:pStyle w:val="NoSpacing"/>
        <w:spacing w:line="360" w:lineRule="auto"/>
        <w:jc w:val="center"/>
        <w:rPr>
          <w:rFonts w:cs="Times New Roman"/>
          <w:lang w:val="en-GB"/>
        </w:rPr>
      </w:pPr>
      <w:r w:rsidRPr="00E3672F">
        <w:rPr>
          <w:rFonts w:cs="Times New Roman"/>
          <w:noProof/>
          <w:lang w:val="en-US"/>
          <w14:ligatures w14:val="standardContextual"/>
        </w:rPr>
        <w:drawing>
          <wp:inline distT="0" distB="0" distL="0" distR="0" wp14:anchorId="6D9F62CE" wp14:editId="0CAA379B">
            <wp:extent cx="5060950" cy="2947308"/>
            <wp:effectExtent l="0" t="0" r="6350" b="5715"/>
            <wp:docPr id="524677875" name="Chart 1">
              <a:extLst xmlns:a="http://schemas.openxmlformats.org/drawingml/2006/main">
                <a:ext uri="{FF2B5EF4-FFF2-40B4-BE49-F238E27FC236}">
                  <a16:creationId xmlns:a16="http://schemas.microsoft.com/office/drawing/2014/main" id="{AC79CAB1-19C3-4544-97AA-8A8743012E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1B01C5" w:rsidP="001E1287" w:rsidRDefault="00404171" w14:paraId="5B8CC99D" w14:textId="6BD990A9">
      <w:pPr>
        <w:pStyle w:val="NoSpacing"/>
        <w:spacing w:line="360" w:lineRule="auto"/>
        <w:jc w:val="both"/>
        <w:rPr>
          <w:rFonts w:cs="Times New Roman"/>
          <w:lang w:val="en-GB"/>
        </w:rPr>
      </w:pPr>
      <w:r w:rsidRPr="00E3672F">
        <w:rPr>
          <w:rFonts w:cs="Times New Roman"/>
          <w:lang w:val="en-GB"/>
        </w:rPr>
        <w:t xml:space="preserve">Responses show marked differences across countries. </w:t>
      </w:r>
      <w:r w:rsidRPr="00E3672F">
        <w:rPr>
          <w:rFonts w:cs="Times New Roman"/>
          <w:b/>
          <w:bCs/>
          <w:lang w:val="en-GB"/>
        </w:rPr>
        <w:t>Latvia</w:t>
      </w:r>
      <w:r w:rsidRPr="00E3672F">
        <w:rPr>
          <w:rFonts w:cs="Times New Roman"/>
          <w:lang w:val="en-GB"/>
        </w:rPr>
        <w:t xml:space="preserve"> and </w:t>
      </w:r>
      <w:r w:rsidRPr="00E3672F">
        <w:rPr>
          <w:rFonts w:cs="Times New Roman"/>
          <w:b/>
          <w:bCs/>
          <w:lang w:val="en-GB"/>
        </w:rPr>
        <w:t>Italy</w:t>
      </w:r>
      <w:r w:rsidRPr="00E3672F">
        <w:rPr>
          <w:rFonts w:cs="Times New Roman"/>
          <w:lang w:val="en-GB"/>
        </w:rPr>
        <w:t xml:space="preserve"> reported the highest perceived availability, with 71% (5 out of 7) and 63% (5 out of 8) of respondents respectively confirming that such measures exist. In contrast, </w:t>
      </w:r>
      <w:r w:rsidRPr="00E3672F">
        <w:rPr>
          <w:rFonts w:cs="Times New Roman"/>
          <w:b/>
          <w:bCs/>
          <w:lang w:val="en-GB"/>
        </w:rPr>
        <w:t>France</w:t>
      </w:r>
      <w:r w:rsidRPr="00E3672F">
        <w:rPr>
          <w:rFonts w:cs="Times New Roman"/>
          <w:lang w:val="en-GB"/>
        </w:rPr>
        <w:t xml:space="preserve"> showed a predominantly negative perception, with 89% (8 out of 9) indicating that support measures are not available. </w:t>
      </w:r>
      <w:r w:rsidRPr="00E3672F">
        <w:rPr>
          <w:rFonts w:cs="Times New Roman"/>
          <w:b/>
          <w:bCs/>
          <w:lang w:val="en-GB"/>
        </w:rPr>
        <w:t>Romania</w:t>
      </w:r>
      <w:r w:rsidRPr="00E3672F">
        <w:rPr>
          <w:rFonts w:cs="Times New Roman"/>
          <w:lang w:val="en-GB"/>
        </w:rPr>
        <w:t xml:space="preserve"> also reflected more limited availability, with 50% (2 out of 4) reporting no access and only 1 respondent confirming availability. </w:t>
      </w:r>
      <w:r w:rsidRPr="00E3672F">
        <w:rPr>
          <w:rFonts w:cs="Times New Roman"/>
          <w:b/>
          <w:bCs/>
          <w:lang w:val="en-GB"/>
        </w:rPr>
        <w:t xml:space="preserve">Danish </w:t>
      </w:r>
      <w:r w:rsidRPr="00E3672F">
        <w:rPr>
          <w:rFonts w:cs="Times New Roman"/>
          <w:lang w:val="en-GB"/>
        </w:rPr>
        <w:t>stakeholders presented a more uncertain view, with 58% (7 out of 12) of respondents unsure, alongside smaller shares indicating either availability or lack thereof.</w:t>
      </w:r>
    </w:p>
    <w:p w:rsidRPr="00E3672F" w:rsidR="00404171" w:rsidP="001E1287" w:rsidRDefault="00404171" w14:paraId="715E0C0E" w14:textId="77777777">
      <w:pPr>
        <w:pStyle w:val="NoSpacing"/>
        <w:spacing w:line="360" w:lineRule="auto"/>
        <w:jc w:val="both"/>
        <w:rPr>
          <w:rFonts w:cs="Times New Roman"/>
          <w:lang w:val="en-GB"/>
        </w:rPr>
      </w:pPr>
    </w:p>
    <w:p w:rsidR="001B01C5" w:rsidP="001E1287" w:rsidRDefault="00C243C5" w14:paraId="431F75D6" w14:textId="296BC6C9">
      <w:pPr>
        <w:pStyle w:val="NoSpacing"/>
        <w:spacing w:line="360" w:lineRule="auto"/>
        <w:jc w:val="both"/>
        <w:rPr>
          <w:rFonts w:cs="Times New Roman"/>
          <w:lang w:val="en-GB"/>
        </w:rPr>
      </w:pPr>
      <w:r>
        <w:rPr>
          <w:rFonts w:cs="Times New Roman"/>
          <w:lang w:val="en-GB"/>
        </w:rPr>
        <w:t>R</w:t>
      </w:r>
      <w:r w:rsidRPr="00E3672F" w:rsidR="001B01C5">
        <w:rPr>
          <w:rFonts w:cs="Times New Roman"/>
          <w:lang w:val="en-GB"/>
        </w:rPr>
        <w:t>espondents who perceived availability of such support measures were asked which one they think is most useful and why (Question 14a). Stakeholders noted that support measures for reporting persons and facilitators exist in law but are unevenly used in practice. Available measures include information and advice, legal assistance (often free for low-income reporters), and guidance from specialised bodies or third-sector organisations, while financial and psychological support are generally absent or limited. Information and advice were consistently seen as the most useful, as they help reporters understand procedures and available protections, although the practical availability and quality of these services vary across institutions.</w:t>
      </w:r>
    </w:p>
    <w:p w:rsidR="004523CC" w:rsidP="001E1287" w:rsidRDefault="004523CC" w14:paraId="25AA3025" w14:textId="77777777">
      <w:pPr>
        <w:pStyle w:val="NoSpacing"/>
        <w:spacing w:line="360" w:lineRule="auto"/>
        <w:jc w:val="both"/>
        <w:rPr>
          <w:rFonts w:cs="Times New Roman"/>
          <w:lang w:val="en-GB"/>
        </w:rPr>
      </w:pPr>
    </w:p>
    <w:p w:rsidRPr="00E3672F" w:rsidR="004523CC" w:rsidP="004523CC" w:rsidRDefault="004523CC" w14:paraId="6EF558FB" w14:textId="77777777">
      <w:pPr>
        <w:pStyle w:val="NoSpacing"/>
        <w:spacing w:line="360" w:lineRule="auto"/>
        <w:jc w:val="both"/>
        <w:rPr>
          <w:rFonts w:cs="Times New Roman"/>
          <w:lang w:val="en-GB"/>
        </w:rPr>
      </w:pPr>
      <w:r w:rsidRPr="00E3672F">
        <w:rPr>
          <w:rFonts w:cs="Times New Roman"/>
          <w:lang w:val="en-GB"/>
        </w:rPr>
        <w:t>When asked whether sectoral or professional confidentiality rules, such as those in banking, defence or healthcare, complement or conflict with whistleblower protections in practice (Question 15), responses indicate a mixed and nuanced picture. A total of 32% (13 out of 40) of respondents believed these rules complement whistleblower protections, while 18% (7 out of 40) perceive them as conflicting. Additionally, 20% (8 out of 40) consider that they both complement and conflict depending on the context, and 5% (2 out of 40) see neither effect. Notably, 25% (10 out of 40) were unsure.</w:t>
      </w:r>
    </w:p>
    <w:p w:rsidRPr="00E3672F" w:rsidR="001B01C5" w:rsidP="001E1287" w:rsidRDefault="001B01C5" w14:paraId="5A680475" w14:textId="2C7A0990">
      <w:pPr>
        <w:pStyle w:val="NoSpacing"/>
        <w:spacing w:line="360" w:lineRule="auto"/>
        <w:jc w:val="center"/>
        <w:rPr>
          <w:rFonts w:cs="Times New Roman"/>
          <w:lang w:val="en-GB"/>
        </w:rPr>
      </w:pPr>
      <w:r w:rsidRPr="00E3672F">
        <w:rPr>
          <w:rFonts w:cs="Times New Roman"/>
          <w:lang w:val="en-GB"/>
        </w:rPr>
        <w:br/>
      </w:r>
      <w:r w:rsidRPr="00E3672F" w:rsidR="00F72BE0">
        <w:rPr>
          <w:rFonts w:cs="Times New Roman"/>
          <w:noProof/>
          <w:lang w:val="en-US"/>
          <w14:ligatures w14:val="standardContextual"/>
        </w:rPr>
        <w:drawing>
          <wp:inline distT="0" distB="0" distL="0" distR="0" wp14:anchorId="60CD9148" wp14:editId="16F3AF23">
            <wp:extent cx="4630476" cy="2793442"/>
            <wp:effectExtent l="0" t="0" r="17780" b="6985"/>
            <wp:docPr id="2030205004" name="Chart 1">
              <a:extLst xmlns:a="http://schemas.openxmlformats.org/drawingml/2006/main">
                <a:ext uri="{FF2B5EF4-FFF2-40B4-BE49-F238E27FC236}">
                  <a16:creationId xmlns:a16="http://schemas.microsoft.com/office/drawing/2014/main" id="{F1BE8C24-49A7-6207-9B23-A288D3458A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Pr="00E3672F" w:rsidR="001B01C5" w:rsidP="001E1287" w:rsidRDefault="001B01C5" w14:paraId="637FF42A" w14:textId="77777777">
      <w:pPr>
        <w:pStyle w:val="NoSpacing"/>
        <w:spacing w:line="360" w:lineRule="auto"/>
        <w:jc w:val="both"/>
        <w:rPr>
          <w:rFonts w:cs="Times New Roman"/>
          <w:lang w:val="en-GB"/>
        </w:rPr>
      </w:pPr>
    </w:p>
    <w:p w:rsidRPr="00E3672F" w:rsidR="001B01C5" w:rsidP="001E1287" w:rsidRDefault="001B01C5" w14:paraId="6B937073" w14:textId="77777777">
      <w:pPr>
        <w:pStyle w:val="NoSpacing"/>
        <w:spacing w:line="360" w:lineRule="auto"/>
        <w:jc w:val="both"/>
        <w:rPr>
          <w:rFonts w:cs="Times New Roman"/>
          <w:lang w:val="en-GB"/>
        </w:rPr>
      </w:pPr>
    </w:p>
    <w:p w:rsidRPr="00E3672F" w:rsidR="001B01C5" w:rsidP="0012592E" w:rsidRDefault="0012592E" w14:paraId="124DDC06" w14:textId="7A989B20">
      <w:pPr>
        <w:pStyle w:val="NoSpacing"/>
        <w:spacing w:line="360" w:lineRule="auto"/>
        <w:jc w:val="center"/>
        <w:rPr>
          <w:rFonts w:cs="Times New Roman"/>
          <w:lang w:val="en-GB"/>
        </w:rPr>
      </w:pPr>
      <w:r w:rsidRPr="00E3672F">
        <w:rPr>
          <w:rFonts w:cs="Times New Roman"/>
          <w:noProof/>
          <w:lang w:val="en-US"/>
          <w14:ligatures w14:val="standardContextual"/>
        </w:rPr>
        <w:drawing>
          <wp:inline distT="0" distB="0" distL="0" distR="0" wp14:anchorId="4B840D6A" wp14:editId="446DA47F">
            <wp:extent cx="4648968" cy="2793441"/>
            <wp:effectExtent l="0" t="0" r="18415" b="6985"/>
            <wp:docPr id="1883195872" name="Chart 1">
              <a:extLst xmlns:a="http://schemas.openxmlformats.org/drawingml/2006/main">
                <a:ext uri="{FF2B5EF4-FFF2-40B4-BE49-F238E27FC236}">
                  <a16:creationId xmlns:a16="http://schemas.microsoft.com/office/drawing/2014/main" id="{AC79CAB1-19C3-4544-97AA-8A8743012E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Pr="00E3672F" w:rsidR="0012592E" w:rsidP="0012592E" w:rsidRDefault="0012592E" w14:paraId="74300A3C" w14:textId="77777777">
      <w:pPr>
        <w:pStyle w:val="NoSpacing"/>
        <w:spacing w:line="360" w:lineRule="auto"/>
        <w:jc w:val="center"/>
        <w:rPr>
          <w:rFonts w:cs="Times New Roman"/>
          <w:lang w:val="en-GB"/>
        </w:rPr>
      </w:pPr>
    </w:p>
    <w:p w:rsidRPr="00E3672F" w:rsidR="001B01C5" w:rsidP="001E1287" w:rsidRDefault="001B01C5" w14:paraId="72EFC8FA" w14:textId="5FFDD77A">
      <w:pPr>
        <w:pStyle w:val="NoSpacing"/>
        <w:spacing w:line="360" w:lineRule="auto"/>
        <w:jc w:val="both"/>
        <w:rPr>
          <w:rFonts w:cs="Times New Roman"/>
          <w:lang w:val="en-GB"/>
        </w:rPr>
      </w:pPr>
      <w:r w:rsidRPr="00E3672F">
        <w:rPr>
          <w:rFonts w:cs="Times New Roman"/>
          <w:lang w:val="en-GB"/>
        </w:rPr>
        <w:t xml:space="preserve">When comparing across countries, </w:t>
      </w:r>
      <w:r w:rsidRPr="00E3672F">
        <w:rPr>
          <w:rFonts w:cs="Times New Roman"/>
          <w:b/>
          <w:bCs/>
          <w:lang w:val="en-GB"/>
        </w:rPr>
        <w:t>Italy</w:t>
      </w:r>
      <w:r w:rsidRPr="00E3672F">
        <w:rPr>
          <w:rFonts w:cs="Times New Roman"/>
          <w:lang w:val="en-GB"/>
        </w:rPr>
        <w:t xml:space="preserve"> showed the most positive alignment, with 63% (5 out of 8) of respondents indicating that such rules complement whistleblower protections, while only 1 respondent perceived a conflict. </w:t>
      </w:r>
      <w:r w:rsidRPr="00E3672F">
        <w:rPr>
          <w:rFonts w:cs="Times New Roman"/>
          <w:b/>
          <w:bCs/>
          <w:lang w:val="en-GB"/>
        </w:rPr>
        <w:t>France</w:t>
      </w:r>
      <w:r w:rsidRPr="00E3672F">
        <w:rPr>
          <w:rFonts w:cs="Times New Roman"/>
          <w:lang w:val="en-GB"/>
        </w:rPr>
        <w:t xml:space="preserve"> presents a more mixed picture, with 33% (3 out of 9) identifying conflict and an equal share (3 out of 9) indicating both complementarity and conflict, suggesting tensions in practice. </w:t>
      </w:r>
      <w:r w:rsidRPr="00E3672F">
        <w:rPr>
          <w:rFonts w:cs="Times New Roman"/>
          <w:b/>
          <w:bCs/>
          <w:lang w:val="en-GB"/>
        </w:rPr>
        <w:t>Romania</w:t>
      </w:r>
      <w:r w:rsidRPr="00E3672F">
        <w:rPr>
          <w:rFonts w:cs="Times New Roman"/>
          <w:lang w:val="en-GB"/>
        </w:rPr>
        <w:t xml:space="preserve"> stands out for its strong perception of dual effects, with 75% (3 out of 4) reporting both complementarity and conflict. </w:t>
      </w:r>
      <w:r w:rsidRPr="00E3672F">
        <w:rPr>
          <w:rFonts w:cs="Times New Roman"/>
          <w:b/>
          <w:bCs/>
          <w:lang w:val="en-GB"/>
        </w:rPr>
        <w:t>Latvia</w:t>
      </w:r>
      <w:r w:rsidRPr="00E3672F">
        <w:rPr>
          <w:rFonts w:cs="Times New Roman"/>
          <w:lang w:val="en-GB"/>
        </w:rPr>
        <w:t xml:space="preserve"> reflects a balanced and uncertain view, with equal shares of 29% (2 out of 7) indicating complementarity, both effects, and uncertainty. </w:t>
      </w:r>
      <w:r w:rsidRPr="00E3672F">
        <w:rPr>
          <w:rFonts w:cs="Times New Roman"/>
          <w:b/>
          <w:bCs/>
          <w:lang w:val="en-GB"/>
        </w:rPr>
        <w:t>Denmark</w:t>
      </w:r>
      <w:r w:rsidRPr="00E3672F">
        <w:rPr>
          <w:rFonts w:cs="Times New Roman"/>
          <w:lang w:val="en-GB"/>
        </w:rPr>
        <w:t xml:space="preserve"> shows the highest uncertainty overall, with 50% (6 out of 12) of respondents unsure, alongside equal shares of 25% (3 out of 12) perceiving complementarity and conflict.</w:t>
      </w:r>
    </w:p>
    <w:p w:rsidRPr="00E3672F" w:rsidR="001B01C5" w:rsidP="001E1287" w:rsidRDefault="001B01C5" w14:paraId="73FE0817" w14:textId="77777777">
      <w:pPr>
        <w:pStyle w:val="NoSpacing"/>
        <w:spacing w:line="360" w:lineRule="auto"/>
        <w:jc w:val="both"/>
        <w:rPr>
          <w:rFonts w:cs="Times New Roman"/>
          <w:lang w:val="en-GB"/>
        </w:rPr>
      </w:pPr>
    </w:p>
    <w:p w:rsidRPr="00707EBF" w:rsidR="001B01C5" w:rsidP="00707EBF" w:rsidRDefault="001B01C5" w14:paraId="7894A3FC" w14:textId="3959B8FB">
      <w:pPr>
        <w:pStyle w:val="Heading2"/>
        <w:ind w:left="720"/>
        <w:rPr>
          <w:u w:val="single"/>
        </w:rPr>
      </w:pPr>
      <w:bookmarkStart w:name="_Toc228180535" w:id="33"/>
      <w:r w:rsidRPr="00E3672F">
        <w:rPr>
          <w:u w:val="single"/>
        </w:rPr>
        <w:t>Cross-</w:t>
      </w:r>
      <w:r w:rsidRPr="00E3672F" w:rsidR="007669C1">
        <w:rPr>
          <w:u w:val="single"/>
        </w:rPr>
        <w:t>b</w:t>
      </w:r>
      <w:r w:rsidRPr="00E3672F">
        <w:rPr>
          <w:u w:val="single"/>
        </w:rPr>
        <w:t xml:space="preserve">order </w:t>
      </w:r>
      <w:r w:rsidRPr="00E3672F" w:rsidR="007669C1">
        <w:rPr>
          <w:u w:val="single"/>
        </w:rPr>
        <w:t>c</w:t>
      </w:r>
      <w:r w:rsidRPr="00E3672F">
        <w:rPr>
          <w:u w:val="single"/>
        </w:rPr>
        <w:t>ooperation</w:t>
      </w:r>
      <w:bookmarkEnd w:id="33"/>
      <w:r w:rsidRPr="00E3672F">
        <w:rPr>
          <w:u w:val="single"/>
        </w:rPr>
        <w:t> </w:t>
      </w:r>
    </w:p>
    <w:p w:rsidRPr="00707EBF" w:rsidR="00707EBF" w:rsidP="00707EBF" w:rsidRDefault="00707EBF" w14:paraId="3BE2AC82" w14:textId="657FD19C">
      <w:pPr>
        <w:pStyle w:val="NoSpacing"/>
        <w:spacing w:line="360" w:lineRule="auto"/>
        <w:jc w:val="center"/>
      </w:pPr>
      <w:r w:rsidRPr="00D0335D">
        <w:rPr>
          <w:noProof/>
          <w:lang w:val="en-US"/>
        </w:rPr>
        <w:drawing>
          <wp:inline distT="0" distB="0" distL="0" distR="0" wp14:anchorId="56775AC9" wp14:editId="3E861829">
            <wp:extent cx="3985260" cy="2433226"/>
            <wp:effectExtent l="0" t="0" r="0" b="5715"/>
            <wp:docPr id="3930226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993766" cy="2438419"/>
                    </a:xfrm>
                    <a:prstGeom prst="rect">
                      <a:avLst/>
                    </a:prstGeom>
                    <a:noFill/>
                    <a:ln>
                      <a:noFill/>
                    </a:ln>
                  </pic:spPr>
                </pic:pic>
              </a:graphicData>
            </a:graphic>
          </wp:inline>
        </w:drawing>
      </w:r>
    </w:p>
    <w:p w:rsidRPr="00E3672F" w:rsidR="001B01C5" w:rsidP="001E1287" w:rsidRDefault="001B01C5" w14:paraId="7963F281" w14:textId="743CAAF4">
      <w:pPr>
        <w:pStyle w:val="NoSpacing"/>
        <w:spacing w:line="360" w:lineRule="auto"/>
        <w:jc w:val="center"/>
        <w:rPr>
          <w:rFonts w:cs="Times New Roman"/>
          <w:lang w:val="en-GB"/>
        </w:rPr>
      </w:pPr>
    </w:p>
    <w:p w:rsidRPr="00E3672F" w:rsidR="001B01C5" w:rsidP="001E1287" w:rsidRDefault="001B01C5" w14:paraId="0A5B37BA" w14:textId="77777777">
      <w:pPr>
        <w:pStyle w:val="NoSpacing"/>
        <w:spacing w:line="360" w:lineRule="auto"/>
        <w:jc w:val="both"/>
        <w:rPr>
          <w:rFonts w:cs="Times New Roman"/>
          <w:lang w:val="en-GB"/>
        </w:rPr>
      </w:pPr>
    </w:p>
    <w:p w:rsidRPr="00E3672F" w:rsidR="001B01C5" w:rsidP="001E1287" w:rsidRDefault="001B01C5" w14:paraId="68758D98" w14:textId="6DD16867">
      <w:pPr>
        <w:pStyle w:val="NoSpacing"/>
        <w:spacing w:line="360" w:lineRule="auto"/>
        <w:jc w:val="both"/>
        <w:rPr>
          <w:rFonts w:cs="Times New Roman"/>
          <w:lang w:val="en-GB"/>
        </w:rPr>
      </w:pPr>
      <w:r w:rsidRPr="00E3672F">
        <w:rPr>
          <w:rFonts w:cs="Times New Roman"/>
          <w:lang w:val="en-GB"/>
        </w:rPr>
        <w:t xml:space="preserve">When asked to what extent cross-border whistleblowing cases are handled more effectively since the Directive (Question 16), responses reveal overwhelming uncertainty. Only 5% (2 out of 40) of respondents indicated moderate improvement, another 5% (2 out of 40) reported some improvement, and 5% (2 out of 40) felt that no improvement has occurred. A vast majority </w:t>
      </w:r>
      <w:r w:rsidR="00C243C5">
        <w:rPr>
          <w:rFonts w:cs="Times New Roman"/>
          <w:lang w:val="en-GB"/>
        </w:rPr>
        <w:t>(</w:t>
      </w:r>
      <w:r w:rsidRPr="00E3672F">
        <w:rPr>
          <w:rFonts w:cs="Times New Roman"/>
          <w:lang w:val="en-GB"/>
        </w:rPr>
        <w:t xml:space="preserve">85% </w:t>
      </w:r>
      <w:r w:rsidR="00C243C5">
        <w:rPr>
          <w:rFonts w:cs="Times New Roman"/>
          <w:lang w:val="en-GB"/>
        </w:rPr>
        <w:t xml:space="preserve">– </w:t>
      </w:r>
      <w:r w:rsidRPr="00E3672F">
        <w:rPr>
          <w:rFonts w:cs="Times New Roman"/>
          <w:lang w:val="en-GB"/>
        </w:rPr>
        <w:t>34 out of 40) were unsure.</w:t>
      </w:r>
    </w:p>
    <w:p w:rsidRPr="00E3672F" w:rsidR="001B01C5" w:rsidP="001E1287" w:rsidRDefault="001B01C5" w14:paraId="00C5F4D0" w14:textId="77777777">
      <w:pPr>
        <w:pStyle w:val="NoSpacing"/>
        <w:spacing w:line="360" w:lineRule="auto"/>
        <w:jc w:val="both"/>
        <w:rPr>
          <w:rFonts w:cs="Times New Roman"/>
          <w:lang w:val="en-GB"/>
        </w:rPr>
      </w:pPr>
    </w:p>
    <w:p w:rsidRPr="00E3672F" w:rsidR="001B01C5" w:rsidP="001E1287" w:rsidRDefault="001B01C5" w14:paraId="454D74F4" w14:textId="159F1F32">
      <w:pPr>
        <w:pStyle w:val="NoSpacing"/>
        <w:spacing w:line="360" w:lineRule="auto"/>
        <w:jc w:val="both"/>
        <w:rPr>
          <w:rFonts w:cs="Times New Roman"/>
          <w:lang w:val="en-GB"/>
        </w:rPr>
      </w:pPr>
      <w:r w:rsidRPr="00E3672F">
        <w:rPr>
          <w:rFonts w:cs="Times New Roman"/>
          <w:lang w:val="en-GB"/>
        </w:rPr>
        <w:t>Only two respondents could provide examples regarding cross-border whistleblowing cases (Question 16a). One stakeholder from Italy noted that national transposition of the Directive has created a largely harmonised procedural framework across Member States, with standardised rules on acknowledging reports within seven days, providing feedback within three months and ensuring confidentiality and protection against retaliation, which has helped manage cases with transnational elements more consistently. The other respondent from Denmark observed that cases involving whistleblowing in one country where corporate HR or internal reporting channels are located in another are often handled seriously and professionally, sometimes due to pre-existing national whistleblowing traditions or employer commitment rather than the Directive itself.</w:t>
      </w:r>
    </w:p>
    <w:p w:rsidRPr="00E3672F" w:rsidR="00C21CC2" w:rsidP="001E1287" w:rsidRDefault="00A644D2" w14:paraId="54BB77D0" w14:textId="5DEB1478">
      <w:pPr>
        <w:pStyle w:val="Heading1"/>
        <w:spacing w:before="120" w:after="120" w:line="360" w:lineRule="auto"/>
        <w:contextualSpacing/>
        <w:rPr>
          <w:rFonts w:cs="Times New Roman"/>
          <w:color w:val="004F88"/>
        </w:rPr>
      </w:pPr>
      <w:r w:rsidRPr="00E3672F">
        <w:rPr>
          <w:rFonts w:cs="Times New Roman"/>
          <w:color w:val="004F88"/>
        </w:rPr>
        <w:br w:type="page"/>
      </w:r>
      <w:bookmarkStart w:name="_Toc228180536" w:id="34"/>
      <w:r w:rsidRPr="00E3672F" w:rsidR="00C21CC2">
        <w:rPr>
          <w:rFonts w:cs="Times New Roman"/>
          <w:color w:val="004F88"/>
        </w:rPr>
        <w:t>4. Primary data: Relevance</w:t>
      </w:r>
      <w:bookmarkEnd w:id="34"/>
    </w:p>
    <w:p w:rsidRPr="00E3672F" w:rsidR="005C4F41" w:rsidP="001E1287" w:rsidRDefault="005C4F41" w14:paraId="40EAB030" w14:textId="77777777">
      <w:pPr>
        <w:spacing w:before="120" w:after="120" w:line="360" w:lineRule="auto"/>
        <w:contextualSpacing/>
      </w:pPr>
    </w:p>
    <w:p w:rsidRPr="00E3672F" w:rsidR="00C21CC2" w:rsidP="001E1287" w:rsidRDefault="00C21CC2" w14:paraId="36F0547C" w14:textId="239E8513">
      <w:pPr>
        <w:pStyle w:val="Heading2"/>
        <w:spacing w:before="120" w:after="120" w:line="360" w:lineRule="auto"/>
        <w:contextualSpacing/>
        <w:rPr>
          <w:rFonts w:cs="Times New Roman"/>
          <w:color w:val="004F88"/>
        </w:rPr>
      </w:pPr>
      <w:bookmarkStart w:name="_Toc228180537" w:id="35"/>
      <w:r w:rsidRPr="00E3672F">
        <w:rPr>
          <w:rFonts w:cs="Times New Roman"/>
          <w:color w:val="004F88"/>
        </w:rPr>
        <w:t>4.1</w:t>
      </w:r>
      <w:r w:rsidRPr="00E3672F">
        <w:rPr>
          <w:rFonts w:cs="Times New Roman"/>
          <w:color w:val="004F88"/>
        </w:rPr>
        <w:tab/>
      </w:r>
      <w:r w:rsidRPr="00E3672F">
        <w:rPr>
          <w:rFonts w:cs="Times New Roman"/>
          <w:color w:val="004F88"/>
          <w:u w:val="single"/>
        </w:rPr>
        <w:t xml:space="preserve">Information gathered in stakeholder meetings </w:t>
      </w:r>
      <w:r w:rsidRPr="00E3672F" w:rsidR="00C21FB0">
        <w:rPr>
          <w:rFonts w:cs="Times New Roman"/>
          <w:color w:val="004F88"/>
          <w:u w:val="single"/>
        </w:rPr>
        <w:t>and written contributions</w:t>
      </w:r>
      <w:bookmarkEnd w:id="35"/>
    </w:p>
    <w:p w:rsidRPr="00E3672F" w:rsidR="00C21CC2" w:rsidP="001E1287" w:rsidRDefault="00C21CC2" w14:paraId="7D23CAAD" w14:textId="77777777">
      <w:pPr>
        <w:spacing w:before="120" w:after="120" w:line="360" w:lineRule="auto"/>
        <w:contextualSpacing/>
        <w:rPr>
          <w:b/>
          <w:bCs/>
        </w:rPr>
      </w:pPr>
    </w:p>
    <w:p w:rsidRPr="00E3672F" w:rsidR="004E6D23" w:rsidP="001E1287" w:rsidRDefault="004E6D23" w14:paraId="06F6768F" w14:textId="77777777">
      <w:pPr>
        <w:pStyle w:val="Heading2"/>
        <w:spacing w:line="360" w:lineRule="auto"/>
        <w:ind w:left="1440"/>
        <w:rPr>
          <w:u w:val="single"/>
        </w:rPr>
      </w:pPr>
      <w:bookmarkStart w:name="_Toc228180538" w:id="36"/>
      <w:r w:rsidRPr="00E3672F">
        <w:rPr>
          <w:u w:val="single"/>
        </w:rPr>
        <w:t>Adequacy of the Material Scope</w:t>
      </w:r>
      <w:bookmarkEnd w:id="36"/>
    </w:p>
    <w:p w:rsidRPr="00E3672F" w:rsidR="00F67E48" w:rsidP="001E1287" w:rsidRDefault="00F67E48" w14:paraId="3029198D" w14:textId="77777777">
      <w:pPr>
        <w:spacing w:before="120" w:after="120" w:line="360" w:lineRule="auto"/>
      </w:pPr>
    </w:p>
    <w:p w:rsidRPr="00E3672F" w:rsidR="00F67E48" w:rsidP="001E1287" w:rsidRDefault="00F67E48" w14:paraId="33C5F645" w14:textId="77777777">
      <w:pPr>
        <w:spacing w:before="120" w:after="120" w:line="360" w:lineRule="auto"/>
        <w:ind w:left="720"/>
        <w:rPr>
          <w:b/>
          <w:bCs/>
        </w:rPr>
      </w:pPr>
      <w:r w:rsidRPr="00E3672F">
        <w:rPr>
          <w:b/>
          <w:bCs/>
        </w:rPr>
        <w:t xml:space="preserve">Denmark </w:t>
      </w:r>
    </w:p>
    <w:p w:rsidRPr="00E3672F" w:rsidR="000D6A49" w:rsidP="001E1287" w:rsidRDefault="000D6A49" w14:paraId="2C9D64FF" w14:textId="08E0A33B">
      <w:pPr>
        <w:spacing w:before="120" w:after="120" w:line="360" w:lineRule="auto"/>
      </w:pPr>
      <w:r w:rsidRPr="00E3672F">
        <w:t xml:space="preserve">Danish </w:t>
      </w:r>
      <w:r w:rsidRPr="00E3672F">
        <w:rPr>
          <w:b/>
          <w:bCs/>
        </w:rPr>
        <w:t>public authority representatives</w:t>
      </w:r>
      <w:r w:rsidRPr="00E3672F">
        <w:t xml:space="preserve"> explained that Denmark transposed the EU Whistleblowing Directive </w:t>
      </w:r>
      <w:r w:rsidRPr="00E3672F" w:rsidR="00430258">
        <w:t>‘</w:t>
      </w:r>
      <w:r w:rsidRPr="00E3672F">
        <w:t>word‑for‑word</w:t>
      </w:r>
      <w:r w:rsidRPr="00E3672F" w:rsidR="00430258">
        <w:t>’</w:t>
      </w:r>
      <w:r w:rsidRPr="00E3672F">
        <w:t xml:space="preserve"> while deliberately expanding the material scope to include any serious breaches of Danish law, recognising that whistleblowers cannot always distinguish whether a matter relates to EU or national legislation. They emphasised that this over‑implementation was designed to reduce confusion and ensure that individuals could report serious violations regardless of legal category. Authorities described the scope as covering serious misconduct across areas such as data protection, labour law, tax offences, environmental breaches, corporate violations and public‑sector ethics. They stressed that the definition of seriousness remains essential to determining eligibility and conceded that determining seriousness sometimes requires consultation with sector‑specific oversight bodies because the whistleblower unit cannot possess technical expertise in every domain covered by the law. </w:t>
      </w:r>
    </w:p>
    <w:p w:rsidRPr="00E3672F" w:rsidR="000D6A49" w:rsidP="001E1287" w:rsidRDefault="000D6A49" w14:paraId="2D3867D9" w14:textId="4B253753">
      <w:pPr>
        <w:spacing w:before="120" w:after="120" w:line="360" w:lineRule="auto"/>
      </w:pPr>
      <w:r w:rsidRPr="00E3672F">
        <w:t xml:space="preserve">Several </w:t>
      </w:r>
      <w:r w:rsidRPr="00E3672F">
        <w:rPr>
          <w:b/>
          <w:bCs/>
        </w:rPr>
        <w:t>civil society organisations</w:t>
      </w:r>
      <w:r w:rsidRPr="00E3672F">
        <w:t xml:space="preserve"> expressed markedly different views on the adequacy of material scope. Some believed that the Directive had helped improve protection, but others argued that the Danish implementation represented a significant step backwards because it introduced broad confidentiality obligations that undermine the possibility of reporting wrongdoing of high public‑interest significance. These actors argued that although the scope technically includes serious breaches of Danish law, the practical effect is that many individuals are prevented from sharing information externally</w:t>
      </w:r>
      <w:r w:rsidRPr="00E3672F" w:rsidR="003945C0">
        <w:t xml:space="preserve">, </w:t>
      </w:r>
      <w:r w:rsidRPr="00E3672F">
        <w:t>particularly with the media</w:t>
      </w:r>
      <w:r w:rsidRPr="00E3672F" w:rsidR="003945C0">
        <w:t xml:space="preserve">, </w:t>
      </w:r>
      <w:r w:rsidRPr="00E3672F">
        <w:t>about fraud, tax evasion, environmental harm, public‑sector malpractice and other serious forms of misconduct. They noted that certain Danish authorities anonymise decisions relating to misconduct, preventing the public from identifying repeat offenders, and argued that this lack of transparency restricts the protective value of the expanded material scope.</w:t>
      </w:r>
    </w:p>
    <w:p w:rsidRPr="00E3672F" w:rsidR="00F67E48" w:rsidP="001E1287" w:rsidRDefault="000D6A49" w14:paraId="37F3CC8B" w14:textId="44A33C44">
      <w:pPr>
        <w:spacing w:before="120" w:after="120" w:line="360" w:lineRule="auto"/>
      </w:pPr>
      <w:r w:rsidRPr="00E3672F">
        <w:t xml:space="preserve">Danish </w:t>
      </w:r>
      <w:r w:rsidRPr="00E3672F">
        <w:rPr>
          <w:b/>
          <w:bCs/>
        </w:rPr>
        <w:t>social partners</w:t>
      </w:r>
      <w:r w:rsidRPr="00E3672F">
        <w:t xml:space="preserve"> generally considered the scope to be clear, broad and operationally workable, explaining that many Danish organisations already operated internal whistleblowing systems before the Directive. They believed that including serious </w:t>
      </w:r>
      <w:r w:rsidRPr="00E3672F" w:rsidR="00F873BC">
        <w:t xml:space="preserve">breaches of </w:t>
      </w:r>
      <w:r w:rsidRPr="00E3672F">
        <w:t>Danish</w:t>
      </w:r>
      <w:r w:rsidRPr="00E3672F" w:rsidR="00F873BC">
        <w:t xml:space="preserve"> </w:t>
      </w:r>
      <w:r w:rsidRPr="00E3672F">
        <w:t xml:space="preserve">law alongside </w:t>
      </w:r>
      <w:r w:rsidRPr="00E3672F" w:rsidR="00F873BC">
        <w:t xml:space="preserve">breaches of </w:t>
      </w:r>
      <w:r w:rsidRPr="00E3672F">
        <w:t>EU</w:t>
      </w:r>
      <w:r w:rsidRPr="00E3672F" w:rsidR="00F873BC">
        <w:t xml:space="preserve"> </w:t>
      </w:r>
      <w:r w:rsidRPr="00E3672F">
        <w:t>law created a more intelligible framework for employees, especially in sectors where the legal basis of an offence is not obvious. Social partners stressed that workers seeking advice often ask whether a given case falls under the whistleblower framework and that the extended Danish scope helps avoid uncertainty. Nevertheless, they acknowledged that the scope is not always well understood by the general workforce and that additional awareness would be beneficial to ensure appropriate use of the system.</w:t>
      </w:r>
    </w:p>
    <w:p w:rsidRPr="00E3672F" w:rsidR="000C0CC1" w:rsidP="001E1287" w:rsidRDefault="000C0CC1" w14:paraId="15221C59" w14:textId="77777777">
      <w:pPr>
        <w:spacing w:before="120" w:after="120" w:line="360" w:lineRule="auto"/>
      </w:pPr>
    </w:p>
    <w:p w:rsidRPr="00D0335D" w:rsidR="00F67E48" w:rsidP="000B42B1" w:rsidRDefault="00F67E48" w14:paraId="16875309" w14:textId="088D2546">
      <w:pPr>
        <w:spacing w:before="120" w:after="120" w:line="360" w:lineRule="auto"/>
        <w:ind w:left="720"/>
      </w:pPr>
      <w:r w:rsidRPr="00E3672F">
        <w:rPr>
          <w:b/>
          <w:bCs/>
        </w:rPr>
        <w:t>France</w:t>
      </w:r>
    </w:p>
    <w:p w:rsidRPr="00E3672F" w:rsidR="00A513CA" w:rsidP="001E1287" w:rsidRDefault="00A513CA" w14:paraId="025399C8" w14:textId="454BD9B0">
      <w:pPr>
        <w:spacing w:before="120" w:after="120" w:line="360" w:lineRule="auto"/>
      </w:pPr>
      <w:r w:rsidRPr="00E3672F">
        <w:t xml:space="preserve">Several French </w:t>
      </w:r>
      <w:r w:rsidRPr="00E3672F">
        <w:rPr>
          <w:b/>
          <w:bCs/>
        </w:rPr>
        <w:t>civil society representatives</w:t>
      </w:r>
      <w:r w:rsidRPr="00E3672F">
        <w:t xml:space="preserve"> stated that the material scope of the Directive, as transposed into national law, is generally broad and coherent, allowing for reports concerning a wide range of situations affecting the general interest. They particularly </w:t>
      </w:r>
      <w:r w:rsidRPr="00E3672F" w:rsidR="00F873BC">
        <w:t xml:space="preserve">appreciated </w:t>
      </w:r>
      <w:r w:rsidRPr="00E3672F">
        <w:t xml:space="preserve">that the national definition of a whistleblower is not strictly confined to employment‑based relationships, meaning that volunteers, external contractors and individuals with indirect ties to an organisation may also be protected. These actors emphasised that extending protection to people outside formal employment arrangements is consistent with the objective of safeguarding the public interest, especially in contexts where key information is held by individuals who do not fit traditional employment categories. </w:t>
      </w:r>
    </w:p>
    <w:p w:rsidRPr="00E3672F" w:rsidR="00A513CA" w:rsidP="001E1287" w:rsidRDefault="0029785A" w14:paraId="5C3F5177" w14:textId="3981B514">
      <w:pPr>
        <w:spacing w:before="120" w:after="120" w:line="360" w:lineRule="auto"/>
      </w:pPr>
      <w:r>
        <w:rPr>
          <w:b/>
          <w:bCs/>
        </w:rPr>
        <w:t>Trade unions and one employer organisation</w:t>
      </w:r>
      <w:r w:rsidRPr="00E3672F" w:rsidR="00A513CA">
        <w:t xml:space="preserve"> similarly considered the material scope to be satisfactory overall and capable of addressing a variety of situations in both the public and private sectors. However, </w:t>
      </w:r>
      <w:r>
        <w:t>some</w:t>
      </w:r>
      <w:r w:rsidRPr="00E3672F">
        <w:t xml:space="preserve"> </w:t>
      </w:r>
      <w:r w:rsidRPr="00E3672F" w:rsidR="00A513CA">
        <w:t xml:space="preserve">noted that working environments in the public sector are often characterised by complex administrative hierarchies and broader chains of command, which can complicate the practical application of the reporting framework. They therefore suggested that simplifying certain procedures, particularly within public administrations, could improve accessibility and encourage more individuals to make use of the system. Social partners also remarked that many smaller enterprises struggle to </w:t>
      </w:r>
      <w:r w:rsidRPr="00E3672F" w:rsidR="0023750A">
        <w:t xml:space="preserve">put </w:t>
      </w:r>
      <w:r w:rsidRPr="00E3672F" w:rsidR="00A513CA">
        <w:t xml:space="preserve">the legal requirements </w:t>
      </w:r>
      <w:r w:rsidRPr="00E3672F" w:rsidR="0023750A">
        <w:t xml:space="preserve">into practice </w:t>
      </w:r>
      <w:r w:rsidRPr="00E3672F" w:rsidR="00A513CA">
        <w:t xml:space="preserve">because of limited resources, and they indicated that sectoral or branch‑level pooled reporting mechanisms could be an efficient solution for these entities. </w:t>
      </w:r>
    </w:p>
    <w:p w:rsidRPr="00E3672F" w:rsidR="00A513CA" w:rsidP="001E1287" w:rsidRDefault="00A513CA" w14:paraId="369EBCA2" w14:textId="7A2A724E">
      <w:pPr>
        <w:spacing w:before="120" w:after="120" w:line="360" w:lineRule="auto"/>
      </w:pPr>
      <w:r w:rsidRPr="00E3672F">
        <w:rPr>
          <w:b/>
          <w:bCs/>
        </w:rPr>
        <w:t>Authorities</w:t>
      </w:r>
      <w:r w:rsidRPr="00E3672F">
        <w:t xml:space="preserve"> confirmed that the material scope of the law is sufficiently broad to cover most situations that may be of public interest, and that many reports received by competent bodies concern facts outside the narrow professional sphere. They welcomed this flexibility, noting that diverse incidents</w:t>
      </w:r>
      <w:r w:rsidRPr="00E3672F" w:rsidR="003945C0">
        <w:t xml:space="preserve">, </w:t>
      </w:r>
      <w:r w:rsidRPr="00E3672F">
        <w:t>ranging from administrative malfunctions to ethical concerns</w:t>
      </w:r>
      <w:r w:rsidRPr="00E3672F" w:rsidR="003945C0">
        <w:t xml:space="preserve">, </w:t>
      </w:r>
      <w:r w:rsidRPr="00E3672F">
        <w:t xml:space="preserve">can be captured. </w:t>
      </w:r>
      <w:r w:rsidRPr="00E3672F" w:rsidR="00DE2948">
        <w:t xml:space="preserve">Nevertheless, they pointed out that expanding the scope of protection would not resolve enforcement challenges or resource constraints. They also observed that the concept of whistleblowing is sometimes used loosely to refer to disparate types of reporting, which may reduce the clarity of the framework for the general public. In that regard, some interlocutors mentioned that the use of an expression such as </w:t>
      </w:r>
      <w:r w:rsidRPr="00E3672F" w:rsidR="00430258">
        <w:t>‘</w:t>
      </w:r>
      <w:r w:rsidRPr="00E3672F" w:rsidR="00DE2948">
        <w:t>ethical alert</w:t>
      </w:r>
      <w:r w:rsidRPr="00E3672F" w:rsidR="00430258">
        <w:t>’</w:t>
      </w:r>
      <w:r w:rsidRPr="00E3672F" w:rsidR="00DE2948">
        <w:t xml:space="preserve"> to describe whistleblowing for public interest could help differentiate this concept from more individual types </w:t>
      </w:r>
      <w:r w:rsidRPr="00E3672F" w:rsidR="004733E4">
        <w:t xml:space="preserve">of </w:t>
      </w:r>
      <w:r w:rsidRPr="00E3672F" w:rsidR="00DE2948">
        <w:t xml:space="preserve">reporting (such as harassment) which are not necessarily of </w:t>
      </w:r>
      <w:r w:rsidRPr="00E3672F" w:rsidR="004733E4">
        <w:t xml:space="preserve">a </w:t>
      </w:r>
      <w:r w:rsidRPr="00E3672F" w:rsidR="00DE2948">
        <w:t xml:space="preserve">systemic or </w:t>
      </w:r>
      <w:r w:rsidRPr="00E3672F" w:rsidR="004733E4">
        <w:t>general-</w:t>
      </w:r>
      <w:r w:rsidRPr="00E3672F" w:rsidR="00DE2948">
        <w:t>interest nature.</w:t>
      </w:r>
    </w:p>
    <w:p w:rsidR="00DE2948" w:rsidP="001E1287" w:rsidRDefault="00DE2948" w14:paraId="62048CEC" w14:textId="77777777">
      <w:pPr>
        <w:spacing w:before="120" w:after="120" w:line="360" w:lineRule="auto"/>
      </w:pPr>
    </w:p>
    <w:p w:rsidRPr="00E3672F" w:rsidR="004523CC" w:rsidP="001E1287" w:rsidRDefault="004523CC" w14:paraId="3211C027" w14:textId="77777777">
      <w:pPr>
        <w:spacing w:before="120" w:after="120" w:line="360" w:lineRule="auto"/>
      </w:pPr>
    </w:p>
    <w:p w:rsidRPr="00E3672F" w:rsidR="004E6D23" w:rsidP="001E1287" w:rsidRDefault="004E6D23" w14:paraId="0CC05BC8" w14:textId="237790BD">
      <w:pPr>
        <w:spacing w:before="120" w:after="120" w:line="360" w:lineRule="auto"/>
        <w:ind w:left="720"/>
        <w:rPr>
          <w:b/>
          <w:bCs/>
        </w:rPr>
      </w:pPr>
      <w:r w:rsidRPr="00E3672F">
        <w:rPr>
          <w:b/>
          <w:bCs/>
        </w:rPr>
        <w:t xml:space="preserve">Italy </w:t>
      </w:r>
    </w:p>
    <w:p w:rsidRPr="00E3672F" w:rsidR="004E6D23" w:rsidP="001E1287" w:rsidRDefault="004E6D23" w14:paraId="382F00ED" w14:textId="6A52AD80">
      <w:pPr>
        <w:spacing w:before="120" w:after="120" w:line="360" w:lineRule="auto"/>
      </w:pPr>
      <w:r w:rsidRPr="00E3672F">
        <w:t xml:space="preserve">Italian </w:t>
      </w:r>
      <w:r w:rsidRPr="00E3672F">
        <w:rPr>
          <w:b/>
          <w:bCs/>
        </w:rPr>
        <w:t>trade union representatives</w:t>
      </w:r>
      <w:r w:rsidRPr="00E3672F">
        <w:t xml:space="preserve"> considered that the Directive</w:t>
      </w:r>
      <w:r w:rsidRPr="00E3672F" w:rsidR="00413731">
        <w:t>’</w:t>
      </w:r>
      <w:r w:rsidRPr="00E3672F">
        <w:t xml:space="preserve">s material scope, as transposed into national law, is broadly adequate to achieve its objectives, particularly because it covers both </w:t>
      </w:r>
      <w:r w:rsidRPr="00E3672F" w:rsidR="004733E4">
        <w:t xml:space="preserve">EU </w:t>
      </w:r>
      <w:r w:rsidRPr="00E3672F">
        <w:t>and national law. These trade union stakeholders welcomed the fact that national legislation did not limit protection to the minimum EU sectors, but instead created a comprehensive framework that can capture serious breaches of law and public-interest harms in a wide range of areas, including the private sector. They cautioned, however, that this breadth increases the need for clear guidance so that organisations and workers understand which matters fall under whistleblowing rules and which should be handled through other mechanisms.</w:t>
      </w:r>
    </w:p>
    <w:p w:rsidRPr="00E3672F" w:rsidR="004E6D23" w:rsidP="001E1287" w:rsidRDefault="004E6D23" w14:paraId="7E4347AE" w14:textId="2FE8C472">
      <w:pPr>
        <w:spacing w:before="120" w:after="120" w:line="360" w:lineRule="auto"/>
      </w:pPr>
      <w:r w:rsidRPr="00E3672F">
        <w:rPr>
          <w:b/>
          <w:bCs/>
        </w:rPr>
        <w:t>Employer representatives</w:t>
      </w:r>
      <w:r w:rsidRPr="00E3672F">
        <w:t xml:space="preserve"> underlined that the national legislature deliberately extended the material scope of whistleblowing obligations beyond what is strictly required by the Directive. These employer stakeholders noted that, by explicitly linking whistleblowing to the existing list of offences in the corporate liability framework and to wider national law, the Italian system provides enterprises with a more precise understanding of which breaches must be covered by their internal procedures. They generally viewed this extensive scope as legitimate and useful, provided that it remains focused on serious violations that affect the public interest.</w:t>
      </w:r>
    </w:p>
    <w:p w:rsidRPr="00E3672F" w:rsidR="004E6D23" w:rsidP="001E1287" w:rsidRDefault="004E6D23" w14:paraId="7621D844" w14:textId="7CADF218">
      <w:pPr>
        <w:spacing w:before="120" w:after="120" w:line="360" w:lineRule="auto"/>
      </w:pPr>
      <w:r w:rsidRPr="00E3672F">
        <w:rPr>
          <w:b/>
          <w:bCs/>
        </w:rPr>
        <w:t>Civil society organisations</w:t>
      </w:r>
      <w:r w:rsidRPr="00E3672F">
        <w:t xml:space="preserve"> agreed that the Directive and its transposition have established a material scope that is sufficiently broad to address the main risks relevant in the Italian context, including corruption in public procurement, financial misconduct and serious abuses in subcontracting chains. These civil society stakeholders warned against any attempt at EU level to narrow the material scope or reduce the categories of protected persons, as this could undermine hard-won protections and leave certain types of public-interest harm outside the Directive</w:t>
      </w:r>
      <w:r w:rsidRPr="00E3672F" w:rsidR="00413731">
        <w:t>’</w:t>
      </w:r>
      <w:r w:rsidRPr="00E3672F">
        <w:t>s reach.</w:t>
      </w:r>
    </w:p>
    <w:p w:rsidRPr="00E3672F" w:rsidR="00F67E48" w:rsidP="001E1287" w:rsidRDefault="00F67E48" w14:paraId="3EB49ACE" w14:textId="77777777">
      <w:pPr>
        <w:spacing w:before="120" w:after="120" w:line="360" w:lineRule="auto"/>
      </w:pPr>
    </w:p>
    <w:p w:rsidRPr="00E3672F" w:rsidR="00F67E48" w:rsidP="001E1287" w:rsidRDefault="00F67E48" w14:paraId="31A397A5" w14:textId="77777777">
      <w:pPr>
        <w:spacing w:before="120" w:after="120" w:line="360" w:lineRule="auto"/>
        <w:ind w:left="720"/>
        <w:rPr>
          <w:b/>
          <w:bCs/>
        </w:rPr>
      </w:pPr>
      <w:r w:rsidRPr="00E3672F">
        <w:rPr>
          <w:b/>
          <w:bCs/>
        </w:rPr>
        <w:t xml:space="preserve">Latvia </w:t>
      </w:r>
    </w:p>
    <w:p w:rsidRPr="00E3672F" w:rsidR="00BE7DBC" w:rsidP="001E1287" w:rsidRDefault="00BE7DBC" w14:paraId="4CE3FCF5" w14:textId="4186D9B0">
      <w:pPr>
        <w:spacing w:before="120" w:after="120" w:line="360" w:lineRule="auto"/>
      </w:pPr>
      <w:r w:rsidRPr="00E3672F">
        <w:t xml:space="preserve">Latvian </w:t>
      </w:r>
      <w:r w:rsidRPr="00E3672F">
        <w:rPr>
          <w:b/>
          <w:bCs/>
        </w:rPr>
        <w:t>public authority representatives</w:t>
      </w:r>
      <w:r w:rsidRPr="00E3672F">
        <w:t xml:space="preserve"> assessed the material scope of the national whistleblowing legislation as adequate and even generous compared to the Directive. They highlighted that the law permits reporting of any violation related to the public interest, explicitly mentioning – but not limiting itself to – sectors such as corruption, misuse of public resources, tax evasion, public procurement, construction and occupational safety, public health, environmental protection and competition law. In their view, this </w:t>
      </w:r>
      <w:r w:rsidRPr="00E3672F" w:rsidR="00B10A29">
        <w:t>open-ended</w:t>
      </w:r>
      <w:r w:rsidRPr="00E3672F">
        <w:t xml:space="preserve"> approach has allowed the system to capture a wide variety of relevant cases without the need for constant legislative updates whenever EU law changes. These representatives also indicated that the transposition process was used to ensure that all EU sectors listed in the Directive are clearly referenced in Latvian law, thereby confirming full alignment with </w:t>
      </w:r>
      <w:r w:rsidRPr="00E3672F" w:rsidR="00DD4C0F">
        <w:t xml:space="preserve">EU </w:t>
      </w:r>
      <w:r w:rsidRPr="00E3672F">
        <w:t>requirements.</w:t>
      </w:r>
    </w:p>
    <w:p w:rsidRPr="00E3672F" w:rsidR="00BE7DBC" w:rsidP="001E1287" w:rsidRDefault="00BE7DBC" w14:paraId="616C199F" w14:textId="3BDBB2C4">
      <w:pPr>
        <w:spacing w:before="120" w:after="120" w:line="360" w:lineRule="auto"/>
      </w:pPr>
      <w:r w:rsidRPr="00E3672F">
        <w:rPr>
          <w:b/>
          <w:bCs/>
        </w:rPr>
        <w:t>Trade union representatives</w:t>
      </w:r>
      <w:r w:rsidRPr="00E3672F">
        <w:t xml:space="preserve"> also considered the material scope to be appropriate, particularly from the perspective of workers in education, health and public administration. They stressed that the broad notion of </w:t>
      </w:r>
      <w:r w:rsidRPr="00E3672F" w:rsidR="00430258">
        <w:t>‘</w:t>
      </w:r>
      <w:r w:rsidRPr="00E3672F">
        <w:t>public interest</w:t>
      </w:r>
      <w:r w:rsidRPr="00E3672F" w:rsidR="00430258">
        <w:t>’</w:t>
      </w:r>
      <w:r w:rsidRPr="00E3672F">
        <w:t xml:space="preserve"> allows them to support members who wish to report serious issues such as misuse of public funds, unethical management practices or threats to service quality in schools and hospitals, which might not fall neatly into the EU sectors </w:t>
      </w:r>
      <w:r w:rsidRPr="00E3672F" w:rsidR="00F83814">
        <w:t xml:space="preserve">listed </w:t>
      </w:r>
      <w:r w:rsidRPr="00E3672F">
        <w:t>in the Directive but clearly affect the community. At the same time, several trade union representatives underlined that frequent changes to lists of EU legal acts can create confusion in practice and called for stability and clarity rather than further expansion. They argued that, given the wide scope of the Latvian law, the priority should now be to make the existing system work better rather than to extend its reach.</w:t>
      </w:r>
    </w:p>
    <w:p w:rsidRPr="00E3672F" w:rsidR="00F67E48" w:rsidP="001E1287" w:rsidRDefault="00BE7DBC" w14:paraId="512B7128" w14:textId="7665E85C">
      <w:pPr>
        <w:spacing w:before="120" w:after="120" w:line="360" w:lineRule="auto"/>
      </w:pPr>
      <w:r w:rsidRPr="00E3672F">
        <w:t xml:space="preserve">Latvian </w:t>
      </w:r>
      <w:r w:rsidRPr="00E3672F">
        <w:rPr>
          <w:b/>
          <w:bCs/>
        </w:rPr>
        <w:t>business representatives</w:t>
      </w:r>
      <w:r w:rsidRPr="00E3672F">
        <w:t xml:space="preserve"> agreed in principle that the material scope is sufficient to achieve the Directive</w:t>
      </w:r>
      <w:r w:rsidRPr="00E3672F" w:rsidR="00413731">
        <w:t>’</w:t>
      </w:r>
      <w:r w:rsidRPr="00E3672F">
        <w:t>s objectives and that Latvia does not suffer from gaps in coverage. However, they expressed concern about the complexity and rigidity of the Directive</w:t>
      </w:r>
      <w:r w:rsidRPr="00E3672F" w:rsidR="00413731">
        <w:t>’</w:t>
      </w:r>
      <w:r w:rsidRPr="00E3672F">
        <w:t xml:space="preserve">s annex listing specific EU instruments, noting that some acts referenced there have already been amended or replaced, and that tracing their transposition through national legislation requires significant legal expertise. From their point of view, a more principle-based approach at EU level, referring to breaches of </w:t>
      </w:r>
      <w:r w:rsidRPr="00E3672F" w:rsidR="009B74DC">
        <w:t xml:space="preserve">EU </w:t>
      </w:r>
      <w:r w:rsidRPr="00E3672F">
        <w:t>law that harm the public interest without exhaustive lists of secondary acts, would better serve the objectives of relevance and legal certainty. They also warned that any substantial extension of the material scope into new domains should be preceded by impact assessment on administrative burdens and business competitiveness.</w:t>
      </w:r>
    </w:p>
    <w:p w:rsidRPr="00E3672F" w:rsidR="00F67E48" w:rsidP="001E1287" w:rsidRDefault="00F67E48" w14:paraId="0AA0EAB2" w14:textId="77777777">
      <w:pPr>
        <w:spacing w:before="120" w:after="120" w:line="360" w:lineRule="auto"/>
      </w:pPr>
    </w:p>
    <w:p w:rsidRPr="00D0335D" w:rsidR="00F67E48" w:rsidP="000B42B1" w:rsidRDefault="00F67E48" w14:paraId="23F48575" w14:textId="20ADB7ED">
      <w:pPr>
        <w:spacing w:before="120" w:after="120" w:line="360" w:lineRule="auto"/>
        <w:ind w:left="720"/>
      </w:pPr>
      <w:r w:rsidRPr="00E3672F">
        <w:rPr>
          <w:b/>
          <w:bCs/>
        </w:rPr>
        <w:t>Romania</w:t>
      </w:r>
    </w:p>
    <w:p w:rsidRPr="00E3672F" w:rsidR="0057330C" w:rsidP="001E1287" w:rsidRDefault="0057330C" w14:paraId="65A71B74" w14:textId="5023C70C">
      <w:pPr>
        <w:pStyle w:val="ListParagraph"/>
        <w:spacing w:before="120" w:after="120" w:line="360" w:lineRule="auto"/>
        <w:ind w:left="0"/>
      </w:pPr>
      <w:r w:rsidRPr="00E3672F">
        <w:t xml:space="preserve">Several Romanian </w:t>
      </w:r>
      <w:r w:rsidRPr="00E3672F">
        <w:rPr>
          <w:b/>
          <w:bCs/>
        </w:rPr>
        <w:t>civil society representatives</w:t>
      </w:r>
      <w:r w:rsidRPr="00E3672F">
        <w:t xml:space="preserve"> expressed concerns that the national transposition has created uncertainty around the material scope of protected disclosures, even though the Directive establishes minimum standards that Member States may </w:t>
      </w:r>
      <w:r w:rsidRPr="00E3672F" w:rsidR="00FC4EE8">
        <w:t>go beyond</w:t>
      </w:r>
      <w:r w:rsidRPr="00E3672F">
        <w:t>. They argued that the Romanian law</w:t>
      </w:r>
      <w:r w:rsidRPr="00E3672F" w:rsidR="00413731">
        <w:t>’</w:t>
      </w:r>
      <w:r w:rsidRPr="00E3672F">
        <w:t xml:space="preserve">s highly complex definition of </w:t>
      </w:r>
      <w:r w:rsidRPr="00E3672F" w:rsidR="00430258">
        <w:t>‘</w:t>
      </w:r>
      <w:r w:rsidRPr="00E3672F">
        <w:t>breach</w:t>
      </w:r>
      <w:r w:rsidRPr="00E3672F" w:rsidR="00430258">
        <w:t>’</w:t>
      </w:r>
      <w:r w:rsidRPr="00E3672F">
        <w:t>, combined with a lengthy annex that lists particular EU and national acts, has resulted in narrow interpretations by institutions. Romanian civil society actors explained that certain authorities</w:t>
      </w:r>
      <w:r w:rsidRPr="00E3672F" w:rsidR="003945C0">
        <w:t>,</w:t>
      </w:r>
      <w:r w:rsidRPr="00E3672F">
        <w:t xml:space="preserve"> including the central integrity body</w:t>
      </w:r>
      <w:r w:rsidRPr="00E3672F" w:rsidR="003945C0">
        <w:t>,</w:t>
      </w:r>
      <w:r w:rsidRPr="00E3672F">
        <w:t xml:space="preserve"> issued guidance encouraging entities to focus primarily on breaches linked to the annex, which has generated paradoxical outcomes. They noted that minor administrative irregularities are sometimes treated as falling clearly within scope, whereas disclosures concerning more serious wrongdoing, such as potential corruption, misuse of public resources or other criminal offences, may be treated as legally ambiguous because the criminal code is not explicitly listed in the annex. This was seen as a drafting and interpretative flaw that has </w:t>
      </w:r>
      <w:r w:rsidR="00D436F3">
        <w:t>made</w:t>
      </w:r>
      <w:r w:rsidRPr="00E3672F" w:rsidR="00D436F3">
        <w:t xml:space="preserve"> </w:t>
      </w:r>
      <w:r w:rsidRPr="00E3672F">
        <w:t xml:space="preserve">the material scope </w:t>
      </w:r>
      <w:r w:rsidR="00D436F3">
        <w:t xml:space="preserve">less adequate </w:t>
      </w:r>
      <w:r w:rsidRPr="00E3672F">
        <w:t xml:space="preserve">in practice. </w:t>
      </w:r>
    </w:p>
    <w:p w:rsidRPr="00E3672F" w:rsidR="0057330C" w:rsidP="001E1287" w:rsidRDefault="0057330C" w14:paraId="56D50FB3" w14:textId="5A0D41D6">
      <w:pPr>
        <w:pStyle w:val="ListParagraph"/>
        <w:spacing w:before="120" w:after="120" w:line="360" w:lineRule="auto"/>
        <w:ind w:left="0"/>
      </w:pPr>
      <w:r w:rsidRPr="00E3672F">
        <w:t xml:space="preserve">Social partners offered a more mixed assessment of the adequacy of material scope. </w:t>
      </w:r>
      <w:r w:rsidRPr="00E3672F">
        <w:rPr>
          <w:b/>
          <w:bCs/>
        </w:rPr>
        <w:t>Trade union representatives</w:t>
      </w:r>
      <w:r w:rsidRPr="00E3672F">
        <w:t xml:space="preserve"> welcomed the fact that the national law extends protection to any breach of law occurring in a professional context, not only to the EU‑defined areas listed in the Directive. They viewed this formal expansion as useful for workers, who might otherwise be required to conduct complex legal assessments before reporting wrongdoing. Some trade union representatives referenced emerging national statistics that indicated a higher volume of reports in 2024, suggesting that workers may feel somewhat encouraged by broader coverage. </w:t>
      </w:r>
      <w:r w:rsidRPr="00E3672F">
        <w:rPr>
          <w:b/>
          <w:bCs/>
        </w:rPr>
        <w:t>Employer representatives</w:t>
      </w:r>
      <w:r w:rsidRPr="00E3672F">
        <w:t>, however, cautioned that very extensive material scope can complicate practical enforcement, generate uncertainty for case‑handlers and risk diluting the focus of whistleblowing systems. They stressed that the Directive</w:t>
      </w:r>
      <w:r w:rsidRPr="00E3672F" w:rsidR="00413731">
        <w:t>’</w:t>
      </w:r>
      <w:r w:rsidRPr="00E3672F">
        <w:t xml:space="preserve">s targeted scope serves an organisational purpose and warned that overly broad national rules may burden both employers and enforcement bodies without necessarily increasing protection. </w:t>
      </w:r>
    </w:p>
    <w:p w:rsidRPr="00E3672F" w:rsidR="00F67E48" w:rsidP="001E1287" w:rsidRDefault="0057330C" w14:paraId="76B0A04F" w14:textId="6DDBA2DE">
      <w:pPr>
        <w:pStyle w:val="ListParagraph"/>
        <w:spacing w:before="120" w:after="120" w:line="360" w:lineRule="auto"/>
        <w:ind w:left="0"/>
      </w:pPr>
      <w:r w:rsidRPr="00E3672F">
        <w:t xml:space="preserve">Romanian </w:t>
      </w:r>
      <w:r w:rsidRPr="00E3672F">
        <w:rPr>
          <w:b/>
          <w:bCs/>
        </w:rPr>
        <w:t>public authorities</w:t>
      </w:r>
      <w:r w:rsidRPr="00E3672F">
        <w:t xml:space="preserve"> maintained that the national material scope is appropriate and consistent with the Directive, stressing that the national law covers both the EU‑defined areas and breaches of national law. They argued that such a dual approach ensures that whistleblowing mechanisms remain relevant to the Romanian legal and institutional context, where systemic problems may arise across a range of sectors not explicitly mentioned in the Directive. Authorities did not identify significant structural problems linked to design</w:t>
      </w:r>
      <w:r w:rsidR="00D436F3">
        <w:t xml:space="preserve"> of the scope</w:t>
      </w:r>
      <w:r w:rsidRPr="00E3672F">
        <w:t xml:space="preserve"> and considered the framework suitable for supporting enforcement. They nevertheless acknowledged that practice is still developing, and that further clarification may be required as case</w:t>
      </w:r>
      <w:r w:rsidRPr="00E3672F" w:rsidR="0076454C">
        <w:t xml:space="preserve"> </w:t>
      </w:r>
      <w:r w:rsidRPr="00E3672F">
        <w:t>law emerges and as institutions gain experience in handling disclosures.</w:t>
      </w:r>
    </w:p>
    <w:p w:rsidRPr="00E3672F" w:rsidR="004E6D23" w:rsidP="001E1287" w:rsidRDefault="004E6D23" w14:paraId="0B72A4DD" w14:textId="77777777">
      <w:pPr>
        <w:spacing w:before="120" w:after="120" w:line="360" w:lineRule="auto"/>
      </w:pPr>
    </w:p>
    <w:p w:rsidRPr="00E3672F" w:rsidR="004E6D23" w:rsidP="001E1287" w:rsidRDefault="004E6D23" w14:paraId="482B6503" w14:textId="0BC5D81E">
      <w:pPr>
        <w:pStyle w:val="Heading2"/>
        <w:spacing w:line="360" w:lineRule="auto"/>
        <w:ind w:left="720"/>
        <w:rPr>
          <w:u w:val="single"/>
        </w:rPr>
      </w:pPr>
      <w:bookmarkStart w:name="_Toc228180539" w:id="37"/>
      <w:r w:rsidRPr="00E3672F">
        <w:rPr>
          <w:u w:val="single"/>
        </w:rPr>
        <w:t>Potential Extension to Social and Workplace Issues</w:t>
      </w:r>
      <w:bookmarkEnd w:id="37"/>
    </w:p>
    <w:p w:rsidRPr="00E3672F" w:rsidR="00F67E48" w:rsidP="001E1287" w:rsidRDefault="00F67E48" w14:paraId="0EF9C55E" w14:textId="77777777">
      <w:pPr>
        <w:spacing w:before="120" w:after="120" w:line="360" w:lineRule="auto"/>
      </w:pPr>
    </w:p>
    <w:p w:rsidRPr="00E3672F" w:rsidR="00F67E48" w:rsidP="001E1287" w:rsidRDefault="00F67E48" w14:paraId="1F1555FB" w14:textId="77777777">
      <w:pPr>
        <w:spacing w:before="120" w:after="120" w:line="360" w:lineRule="auto"/>
        <w:ind w:left="720"/>
        <w:rPr>
          <w:b/>
          <w:bCs/>
        </w:rPr>
      </w:pPr>
      <w:r w:rsidRPr="00E3672F">
        <w:rPr>
          <w:b/>
          <w:bCs/>
        </w:rPr>
        <w:t xml:space="preserve">Denmark </w:t>
      </w:r>
    </w:p>
    <w:p w:rsidRPr="00E3672F" w:rsidR="000D6A49" w:rsidP="001E1287" w:rsidRDefault="000D6A49" w14:paraId="5F98E6C3" w14:textId="7FF575B7">
      <w:pPr>
        <w:spacing w:before="120" w:after="120" w:line="360" w:lineRule="auto"/>
      </w:pPr>
      <w:r w:rsidRPr="00E3672F">
        <w:t xml:space="preserve">Danish </w:t>
      </w:r>
      <w:r w:rsidRPr="00E3672F">
        <w:rPr>
          <w:b/>
          <w:bCs/>
        </w:rPr>
        <w:t>civil society organisations</w:t>
      </w:r>
      <w:r w:rsidRPr="00E3672F">
        <w:t xml:space="preserve"> highlighted that many serious social and workplace issues contain clear public‑interest elements yet remain inadequately protected under existing whistleblowing arrangements. They argued that structural workplace misconduct</w:t>
      </w:r>
      <w:r w:rsidRPr="00E3672F" w:rsidR="003945C0">
        <w:t>,</w:t>
      </w:r>
      <w:r w:rsidRPr="00E3672F">
        <w:t xml:space="preserve"> such as harassment, unsafe working conditions, discriminatory practices or systemic management failures</w:t>
      </w:r>
      <w:r w:rsidRPr="00E3672F" w:rsidR="003945C0">
        <w:t>,</w:t>
      </w:r>
      <w:r w:rsidRPr="00E3672F">
        <w:t xml:space="preserve"> can harm not only individual workers but also citizens, service users and wider governance. Civil society actors provided examples from healthcare, local government and corporate settings where internal whistleblowing channels had failed to address systemic problems, and where media exposure ultimately led to corrective action. They contended that the whistleblower framework should explicitly cover these categories of harm, given their direct societal impact. </w:t>
      </w:r>
    </w:p>
    <w:p w:rsidRPr="00E3672F" w:rsidR="000D6A49" w:rsidP="001E1287" w:rsidRDefault="000D6A49" w14:paraId="07D9A1F5" w14:textId="586A895F">
      <w:pPr>
        <w:spacing w:before="120" w:after="120" w:line="360" w:lineRule="auto"/>
      </w:pPr>
      <w:r w:rsidRPr="00E3672F">
        <w:rPr>
          <w:b/>
          <w:bCs/>
        </w:rPr>
        <w:t>Social partners</w:t>
      </w:r>
      <w:r w:rsidRPr="00E3672F">
        <w:t xml:space="preserve"> similarly acknowledged that social and workplace issues have public‑interest dimensions and noted that workers increasingly contact trade unions for advice on reporting misconduct linked to employment conditions. They stated that they receive frequent questions about whether occupational safety concerns, bullying, discrimination or abusive managerial practices can be reported under whistleblower rules. Social partners explained that in practice these matters intersect with both labour law and whistleblower law, and that the line between an individual grievance and a systemic risk can be difficult to establish. They argued that clearer guidance should be provided, both to workers and employers, on when workplace issues fall within the public‑interest remit of whistleblower protection. </w:t>
      </w:r>
    </w:p>
    <w:p w:rsidRPr="00E3672F" w:rsidR="00F67E48" w:rsidP="001E1287" w:rsidRDefault="000D6A49" w14:paraId="09D32F48" w14:textId="06B1FD1F">
      <w:pPr>
        <w:spacing w:before="120" w:after="120" w:line="360" w:lineRule="auto"/>
      </w:pPr>
      <w:r w:rsidRPr="00E3672F">
        <w:t xml:space="preserve">Danish </w:t>
      </w:r>
      <w:r w:rsidRPr="00E3672F">
        <w:rPr>
          <w:b/>
          <w:bCs/>
        </w:rPr>
        <w:t>public authorities</w:t>
      </w:r>
      <w:r w:rsidRPr="00E3672F">
        <w:t>, however, emphasised that workplace‑related issues are primarily governed by sector‑specific legislation such as labour law, health and safety rules and anti‑discrimination provisions, and that integrating them fully into the whistleblowing system may overburden existing oversight channels. They stated that many Danish employers, especially in the public sector, have allocated substantial resources to internal compliance teams, but noted that these teams often receive very few reports. Authorities suggested that merging workplace grievances with whistleblower mechanisms risks creating administrative inefficiencies and diverting resources from areas the Directive was explicitly designed to protect. They expressed caution about expanding the Directive</w:t>
      </w:r>
      <w:r w:rsidRPr="00E3672F" w:rsidR="00413731">
        <w:t>’</w:t>
      </w:r>
      <w:r w:rsidRPr="00E3672F">
        <w:t>s scope but remained open to ongoing evaluation as case</w:t>
      </w:r>
      <w:r w:rsidRPr="00E3672F" w:rsidR="008A6C21">
        <w:t xml:space="preserve"> </w:t>
      </w:r>
      <w:r w:rsidRPr="00E3672F">
        <w:t>law and institutional practice evolve.</w:t>
      </w:r>
    </w:p>
    <w:p w:rsidRPr="00E3672F" w:rsidR="000D6A49" w:rsidP="001E1287" w:rsidRDefault="000D6A49" w14:paraId="75FFBF1B" w14:textId="77777777">
      <w:pPr>
        <w:spacing w:before="120" w:after="120" w:line="360" w:lineRule="auto"/>
      </w:pPr>
    </w:p>
    <w:p w:rsidRPr="00E3672F" w:rsidR="00F67E48" w:rsidP="001E1287" w:rsidRDefault="00F67E48" w14:paraId="05C99428" w14:textId="77777777">
      <w:pPr>
        <w:spacing w:before="120" w:after="120" w:line="360" w:lineRule="auto"/>
        <w:ind w:left="720"/>
        <w:rPr>
          <w:b/>
          <w:bCs/>
        </w:rPr>
      </w:pPr>
      <w:r w:rsidRPr="00E3672F">
        <w:rPr>
          <w:b/>
          <w:bCs/>
        </w:rPr>
        <w:t>France</w:t>
      </w:r>
    </w:p>
    <w:p w:rsidRPr="00E3672F" w:rsidR="00A513CA" w:rsidP="001E1287" w:rsidRDefault="00A513CA" w14:paraId="65FC3595" w14:textId="2A438BAE">
      <w:pPr>
        <w:spacing w:before="120" w:after="120" w:line="360" w:lineRule="auto"/>
      </w:pPr>
      <w:r w:rsidRPr="00E3672F">
        <w:rPr>
          <w:b/>
          <w:bCs/>
        </w:rPr>
        <w:t>Civil society organisations</w:t>
      </w:r>
      <w:r w:rsidRPr="00E3672F">
        <w:t xml:space="preserve"> </w:t>
      </w:r>
      <w:r w:rsidRPr="00E3672F" w:rsidR="00DE2948">
        <w:t xml:space="preserve">highlighted that numerous alerts concerning social and workplace issues, including harassment, discrimination, occupational health problems and problematic management practices, do not necessarily fall under the whistleblower regime. However, they stressed that such incidents can reveal underlying systemic risks or collective harms that extend </w:t>
      </w:r>
      <w:r w:rsidRPr="00E3672F">
        <w:t xml:space="preserve">beyond the individual </w:t>
      </w:r>
      <w:r w:rsidRPr="00E3672F" w:rsidR="00DE2948">
        <w:t>case and</w:t>
      </w:r>
      <w:r w:rsidRPr="00E3672F">
        <w:t xml:space="preserve"> argued that the whistleblower framework should accommodate situations traditionally treated as standard labour</w:t>
      </w:r>
      <w:r w:rsidRPr="00E3672F">
        <w:noBreakHyphen/>
        <w:t xml:space="preserve">law disputes. Civil society representatives also emphasised the psychological and financial consequences of whistleblowing, noting that support structures remain limited and that associations often bear the burden of providing assistance without sufficient resources. </w:t>
      </w:r>
    </w:p>
    <w:p w:rsidRPr="00E3672F" w:rsidR="00A513CA" w:rsidP="001E1287" w:rsidRDefault="0029785A" w14:paraId="17A0709E" w14:textId="179F3CD5">
      <w:pPr>
        <w:spacing w:before="120" w:after="120" w:line="360" w:lineRule="auto"/>
      </w:pPr>
      <w:r>
        <w:rPr>
          <w:b/>
          <w:bCs/>
        </w:rPr>
        <w:t>Trade unions</w:t>
      </w:r>
      <w:r w:rsidRPr="00E3672F" w:rsidR="00A513CA">
        <w:t xml:space="preserve"> in France likewise acknowledged that many workplace</w:t>
      </w:r>
      <w:r w:rsidRPr="00E3672F" w:rsidR="00A513CA">
        <w:noBreakHyphen/>
        <w:t>related issues have a strong public</w:t>
      </w:r>
      <w:r w:rsidRPr="00E3672F" w:rsidR="00A513CA">
        <w:noBreakHyphen/>
        <w:t>interest dimension and could justify protection under the whistleblower regime. They pointed out that better coordination between labour</w:t>
      </w:r>
      <w:r w:rsidRPr="00E3672F" w:rsidR="00A513CA">
        <w:noBreakHyphen/>
        <w:t>law mechanisms, staff</w:t>
      </w:r>
      <w:r w:rsidRPr="00E3672F" w:rsidR="00A513CA">
        <w:noBreakHyphen/>
        <w:t>representation bodies and whistleblowing procedures would help ensure that relevant risks are identified and addressed early. Trade union interlocutors further noted that reforms in staff</w:t>
      </w:r>
      <w:r w:rsidRPr="00E3672F" w:rsidR="00A513CA">
        <w:noBreakHyphen/>
        <w:t xml:space="preserve">representation structures have reduced the presence of worker representatives in many organisations, making it harder to support workers confronted with situations that might benefit from whistleblower protections. They indicated that training for employees and managers could enhance understanding of which workplace issues fall within the remit of whistleblowing. </w:t>
      </w:r>
    </w:p>
    <w:p w:rsidRPr="00E3672F" w:rsidR="004E6D23" w:rsidP="001E1287" w:rsidRDefault="00A513CA" w14:paraId="76A5EA40" w14:textId="7C5261DB">
      <w:pPr>
        <w:spacing w:before="120" w:after="120" w:line="360" w:lineRule="auto"/>
      </w:pPr>
      <w:r w:rsidRPr="00E3672F">
        <w:t>French</w:t>
      </w:r>
      <w:r w:rsidRPr="00E3672F">
        <w:rPr>
          <w:b/>
          <w:bCs/>
        </w:rPr>
        <w:t xml:space="preserve"> </w:t>
      </w:r>
      <w:r w:rsidRPr="00E3672F" w:rsidR="00613597">
        <w:rPr>
          <w:b/>
          <w:bCs/>
        </w:rPr>
        <w:t>a</w:t>
      </w:r>
      <w:r w:rsidRPr="00E3672F">
        <w:rPr>
          <w:b/>
          <w:bCs/>
        </w:rPr>
        <w:t>uthorities</w:t>
      </w:r>
      <w:r w:rsidRPr="00E3672F">
        <w:t xml:space="preserve"> confirmed that many whistleblower reports relate to employment conditions or the internal functioning of organisations, though not all such situations are covered by the protective regime. Some matters are addressed through labour</w:t>
      </w:r>
      <w:r w:rsidRPr="00E3672F">
        <w:noBreakHyphen/>
        <w:t>law or disciplinary processes without the need for whistleblower status. Authorities also explained that certain organisations have adopted unified reporting systems that combine ethical alerts, harassment claims and internal</w:t>
      </w:r>
      <w:r w:rsidRPr="00E3672F">
        <w:noBreakHyphen/>
        <w:t>rule violations, which can streamline procedures but also lead to confusion between distinct legal regimes. In the public sector, they noted that uncertainty persists regarding the relationship between civil servants</w:t>
      </w:r>
      <w:r w:rsidRPr="00E3672F" w:rsidR="00413731">
        <w:t>’</w:t>
      </w:r>
      <w:r w:rsidRPr="00E3672F">
        <w:t xml:space="preserve"> duty of discretion, their obligation to report certain offences and their rights under the whistleblower framework; in their view, systematic training of public officials would be essential to avoid misunderstandings.</w:t>
      </w:r>
    </w:p>
    <w:p w:rsidRPr="00E3672F" w:rsidR="004E6D23" w:rsidP="001E1287" w:rsidRDefault="004E6D23" w14:paraId="067C4312" w14:textId="77777777">
      <w:pPr>
        <w:spacing w:before="120" w:after="120" w:line="360" w:lineRule="auto"/>
      </w:pPr>
    </w:p>
    <w:p w:rsidRPr="00E3672F" w:rsidR="004E6D23" w:rsidP="001E1287" w:rsidRDefault="0098642D" w14:paraId="09A341B5" w14:textId="0256C0C8">
      <w:pPr>
        <w:spacing w:before="120" w:after="120" w:line="360" w:lineRule="auto"/>
        <w:ind w:left="720"/>
        <w:rPr>
          <w:b/>
          <w:bCs/>
        </w:rPr>
      </w:pPr>
      <w:r w:rsidRPr="00E3672F">
        <w:rPr>
          <w:b/>
          <w:bCs/>
        </w:rPr>
        <w:t xml:space="preserve">Italy </w:t>
      </w:r>
    </w:p>
    <w:p w:rsidRPr="00E3672F" w:rsidR="004E6D23" w:rsidP="001E1287" w:rsidRDefault="0098642D" w14:paraId="43CEFCCE" w14:textId="605509C7">
      <w:pPr>
        <w:spacing w:before="120" w:after="120" w:line="360" w:lineRule="auto"/>
      </w:pPr>
      <w:r w:rsidRPr="00E3672F">
        <w:rPr>
          <w:b/>
          <w:bCs/>
        </w:rPr>
        <w:t>Trade</w:t>
      </w:r>
      <w:r w:rsidRPr="00E3672F" w:rsidR="004E6D23">
        <w:rPr>
          <w:b/>
          <w:bCs/>
        </w:rPr>
        <w:t xml:space="preserve"> union</w:t>
      </w:r>
      <w:r w:rsidRPr="00E3672F" w:rsidR="004E6D23">
        <w:t xml:space="preserve"> representatives pointed out that many social and workplace issues, such as harassment, discrimination and health and safety, are already covered by specialised national frameworks and by dedicated worker-representation structures. These trade union stakeholders stressed that, while major systemic abuses in these areas can amount to public-interest breaches </w:t>
      </w:r>
      <w:r w:rsidR="00D436F3">
        <w:t>that warrant</w:t>
      </w:r>
      <w:r w:rsidRPr="00E3672F" w:rsidR="00D436F3">
        <w:t xml:space="preserve"> </w:t>
      </w:r>
      <w:r w:rsidRPr="00E3672F" w:rsidR="004E6D23">
        <w:t>whistleblower protection, the everyday handling of such issues is better served by existing tools such as collective bargaining, company equality bodies and health</w:t>
      </w:r>
      <w:r w:rsidR="00ED152C">
        <w:t xml:space="preserve"> </w:t>
      </w:r>
      <w:r w:rsidRPr="00E3672F" w:rsidR="004E6D23">
        <w:t>and</w:t>
      </w:r>
      <w:r w:rsidR="00ED152C">
        <w:t xml:space="preserve"> </w:t>
      </w:r>
      <w:r w:rsidRPr="00E3672F" w:rsidR="004E6D23">
        <w:t>safety representatives. They warned that relying solely on whistleblowing channels for these matters might weaken social dialogue and isolate workers instead of offering collective support.</w:t>
      </w:r>
    </w:p>
    <w:p w:rsidRPr="00E3672F" w:rsidR="004E6D23" w:rsidP="001E1287" w:rsidRDefault="004E6D23" w14:paraId="76C54712" w14:textId="73F30F72">
      <w:pPr>
        <w:spacing w:before="120" w:after="120" w:line="360" w:lineRule="auto"/>
      </w:pPr>
      <w:r w:rsidRPr="00E3672F">
        <w:rPr>
          <w:b/>
          <w:bCs/>
        </w:rPr>
        <w:t>Employer organisations</w:t>
      </w:r>
      <w:r w:rsidRPr="00E3672F">
        <w:t xml:space="preserve"> in Italy expressed differing views on whether whistleblowing mechanisms should cover a wider range of social and workplace issues. Several employer stakeholders considered that </w:t>
      </w:r>
      <w:r w:rsidRPr="00E3672F" w:rsidR="00636E91">
        <w:t xml:space="preserve">it would be appropriate to report </w:t>
      </w:r>
      <w:r w:rsidRPr="00E3672F">
        <w:t>serious and systemic violations relating to harassment, discrimination or occupational safety through whistleblowing channels, but they cautioned against turning these channels into general complaint boxes for all individual labour disputes. In their opinion, routine disagreements over working conditions, pay or performance evaluations should continue to be dealt with under labour</w:t>
      </w:r>
      <w:r w:rsidR="00D50ED5">
        <w:t xml:space="preserve"> </w:t>
      </w:r>
      <w:r w:rsidRPr="00E3672F">
        <w:t>law procedures and internal HR processes.</w:t>
      </w:r>
    </w:p>
    <w:p w:rsidRPr="00E3672F" w:rsidR="004E6D23" w:rsidP="001E1287" w:rsidRDefault="004E6D23" w14:paraId="09446E62" w14:textId="723D3A5B">
      <w:pPr>
        <w:spacing w:before="120" w:after="120" w:line="360" w:lineRule="auto"/>
      </w:pPr>
      <w:r w:rsidRPr="00E3672F">
        <w:rPr>
          <w:b/>
          <w:bCs/>
        </w:rPr>
        <w:t>Civil society organisations</w:t>
      </w:r>
      <w:r w:rsidRPr="00E3672F">
        <w:t xml:space="preserve"> also recognised the potential value of extending protection to certain social-domain cases, particularly those involving significant public-interest harm. These civil society stakeholders nevertheless emphasised that any expansion should be carefully designed to avoid conflating whistleblowing with ordinary grievance mechanisms and to prevent overburdening channels with cases that can be more effectively managed through existing labour-relations structures. They suggested that guidance at EU and national levels could make clear which types of social and workplace issues are appropriate for whistleblowing and which should follow alternative routes.</w:t>
      </w:r>
    </w:p>
    <w:p w:rsidRPr="00E3672F" w:rsidR="00F67E48" w:rsidP="001E1287" w:rsidRDefault="00F67E48" w14:paraId="7067B8AD" w14:textId="77777777">
      <w:pPr>
        <w:spacing w:before="120" w:after="120" w:line="360" w:lineRule="auto"/>
      </w:pPr>
    </w:p>
    <w:p w:rsidRPr="00E3672F" w:rsidR="00F67E48" w:rsidP="001E1287" w:rsidRDefault="00F67E48" w14:paraId="5624BED4" w14:textId="77777777">
      <w:pPr>
        <w:spacing w:before="120" w:after="120" w:line="360" w:lineRule="auto"/>
        <w:ind w:left="720"/>
        <w:rPr>
          <w:b/>
          <w:bCs/>
        </w:rPr>
      </w:pPr>
      <w:r w:rsidRPr="00E3672F">
        <w:rPr>
          <w:b/>
          <w:bCs/>
        </w:rPr>
        <w:t xml:space="preserve">Latvia </w:t>
      </w:r>
    </w:p>
    <w:p w:rsidRPr="00E3672F" w:rsidR="00BE7DBC" w:rsidP="001E1287" w:rsidRDefault="00BE7DBC" w14:paraId="3FFDE912" w14:textId="05ACD6D0">
      <w:pPr>
        <w:spacing w:before="120" w:after="120" w:line="360" w:lineRule="auto"/>
      </w:pPr>
      <w:r w:rsidRPr="00E3672F">
        <w:rPr>
          <w:b/>
          <w:bCs/>
        </w:rPr>
        <w:t>Trade union representatives</w:t>
      </w:r>
      <w:r w:rsidRPr="00E3672F">
        <w:t xml:space="preserve"> observed that many issues of concern to workers lie at the intersection of social and workplace matters and public interest. They mentioned, for example, systemic violations of health and safety standards, wage fraud, unethical management practices in public institutions or harassment in certain workplaces, which can have broader societal implications. In practice, trade union organisations already support members in bringing such cases forward under the whistleblowing framework where the public interest threshold is met. They argued that, in the Latvian context, the existing broad definition of reportable matters is flexible enough to encompass serious social and workplace issues that go beyond individual employment disputes, and that the main challenge is not the legal possibility but the willingness of individuals to report in an environment where fear of retaliation remains high.</w:t>
      </w:r>
    </w:p>
    <w:p w:rsidRPr="00E3672F" w:rsidR="00BE7DBC" w:rsidP="001E1287" w:rsidRDefault="00BE7DBC" w14:paraId="0AE32432" w14:textId="6A46283D">
      <w:pPr>
        <w:spacing w:before="120" w:after="120" w:line="360" w:lineRule="auto"/>
      </w:pPr>
      <w:r w:rsidRPr="00E3672F">
        <w:t>Public authority representatives confirmed that the national law does not systematically exclude social and workplace</w:t>
      </w:r>
      <w:r w:rsidRPr="00E3672F" w:rsidR="00D96B2B">
        <w:t>-</w:t>
      </w:r>
      <w:r w:rsidRPr="00E3672F">
        <w:t>related matters, as long as they involve harm to the public interest. They noted that whistleblowing reports concerning occupational safety, discrimination or widespread violations of labour standards can and do reach the competent authorities, notably labour inspection and municipal structures. These representatives emphasised that routine individual labour disputes continue to be handled under labour law and collective bargaining mechanisms, whereas whistleblowing is reserved for situations of wider significance. In their view, this division of labour between legal regimes remains appropriate, and any extension of the whistleblowing framework into purely individual employment matters could dilute its focus and overload the system.</w:t>
      </w:r>
    </w:p>
    <w:p w:rsidRPr="00E3672F" w:rsidR="00F67E48" w:rsidP="001E1287" w:rsidRDefault="00BE7DBC" w14:paraId="230C8828" w14:textId="4435872C">
      <w:pPr>
        <w:spacing w:before="120" w:after="120" w:line="360" w:lineRule="auto"/>
      </w:pPr>
      <w:r w:rsidRPr="00E3672F">
        <w:t>Latvian business representatives expressed reservations about any explicit extension of whistleblowing protection to a broader set of social and workplace issues, particularly if this were to blur the boundary between whistleblowing and ordinary human resources processes. They emphasised that companies already operate within a dense web of labour law</w:t>
      </w:r>
      <w:r w:rsidRPr="00E3672F" w:rsidR="004B0FAE">
        <w:t>s</w:t>
      </w:r>
      <w:r w:rsidRPr="00E3672F">
        <w:t>, health and safety regulations and internal procedures for handling grievances, and that adding an additional whistleblowing layer to every workplace conflict could have unintended consequences, including increased legal uncertainty and potential misuse. From their perspective, the current Latvian practice – where only issues that genuinely affect the public interest are treated as whistleblowing – strikes a reasonable balance, provided that labour law remedies remain fully available for individual cases.</w:t>
      </w:r>
    </w:p>
    <w:p w:rsidRPr="00E3672F" w:rsidR="00F67E48" w:rsidP="001E1287" w:rsidRDefault="00F67E48" w14:paraId="60CA3CCE" w14:textId="77777777">
      <w:pPr>
        <w:spacing w:before="120" w:after="120" w:line="360" w:lineRule="auto"/>
      </w:pPr>
    </w:p>
    <w:p w:rsidRPr="00D0335D" w:rsidR="0057330C" w:rsidP="000B42B1" w:rsidRDefault="00F67E48" w14:paraId="18994562" w14:textId="5608E72E">
      <w:pPr>
        <w:spacing w:before="120" w:after="120" w:line="360" w:lineRule="auto"/>
        <w:ind w:left="720"/>
      </w:pPr>
      <w:r w:rsidRPr="00E3672F">
        <w:rPr>
          <w:b/>
          <w:bCs/>
        </w:rPr>
        <w:t>Romania</w:t>
      </w:r>
    </w:p>
    <w:p w:rsidRPr="00E3672F" w:rsidR="0057330C" w:rsidP="001E1287" w:rsidRDefault="0057330C" w14:paraId="4B7CEB29" w14:textId="0C3E0BDA">
      <w:pPr>
        <w:pStyle w:val="ListParagraph"/>
        <w:spacing w:before="120" w:after="120" w:line="360" w:lineRule="auto"/>
        <w:ind w:left="0"/>
      </w:pPr>
      <w:r w:rsidRPr="00E3672F">
        <w:t xml:space="preserve">Romanian </w:t>
      </w:r>
      <w:r w:rsidRPr="00E3672F">
        <w:rPr>
          <w:b/>
          <w:bCs/>
        </w:rPr>
        <w:t>civil society stakeholders</w:t>
      </w:r>
      <w:r w:rsidRPr="00E3672F">
        <w:t xml:space="preserve"> emphasised the need for explicit coverage of certain social and workplace issues, arguing that the public interest is directly implicated in areas such as harassment, discrimination, occupational health and safety, and systemic governance failures within institutions. They pointed out that many structural problems</w:t>
      </w:r>
      <w:r w:rsidRPr="00E3672F" w:rsidR="003945C0">
        <w:t>,</w:t>
      </w:r>
      <w:r w:rsidRPr="00E3672F">
        <w:t xml:space="preserve"> including recurring harassment, persistent managerial abuses and chronic safety violations</w:t>
      </w:r>
      <w:r w:rsidRPr="00E3672F" w:rsidR="003945C0">
        <w:t>,</w:t>
      </w:r>
      <w:r w:rsidRPr="00E3672F">
        <w:t xml:space="preserve"> are not only employment disputes but also issues with broader societal implications. Civil society organisations argued that the whistleblowing framework, as currently interpreted, does not consistently protect individuals who disclose such matters, despite clear public‑interest dimensions. They also underscored that the absence of strong protections in these domains discourages individuals from reporting, especially in hierarchical or sensitive sectors, such as healthcare or justice. </w:t>
      </w:r>
    </w:p>
    <w:p w:rsidRPr="00E3672F" w:rsidR="0057330C" w:rsidP="001E1287" w:rsidRDefault="0057330C" w14:paraId="12566B73" w14:textId="770B7FCC">
      <w:pPr>
        <w:pStyle w:val="ListParagraph"/>
        <w:spacing w:before="120" w:after="120" w:line="360" w:lineRule="auto"/>
        <w:ind w:left="0"/>
      </w:pPr>
      <w:r w:rsidRPr="00E3672F">
        <w:t xml:space="preserve">Social partners similarly acknowledged that workplace issues may have a public‑interest character when they affect service quality, user safety or systemic fairness. </w:t>
      </w:r>
      <w:r w:rsidRPr="00E3672F">
        <w:rPr>
          <w:b/>
          <w:bCs/>
        </w:rPr>
        <w:t>Trade union representatives</w:t>
      </w:r>
      <w:r w:rsidRPr="00E3672F">
        <w:t xml:space="preserve"> asserted that workers frequently encounter problems that fall between traditional labour‑law mechanisms and broader integrity concerns, such as repeated breaches of health and safety rules, systemic overwork or discriminatory managerial practices. They observed that, although labour law provides remedies, many structural issues remain unaddressed due to institutional limitations or cultural reluctance to challenge managerial conduct. Social partners therefore argued that whistleblowing protections could reinforce existing labour standards by offering an additional layer of security to workers willing to expose such problems. </w:t>
      </w:r>
    </w:p>
    <w:p w:rsidRPr="00E3672F" w:rsidR="00F67E48" w:rsidP="001E1287" w:rsidRDefault="0057330C" w14:paraId="1C6A48C5" w14:textId="43596C0F">
      <w:pPr>
        <w:pStyle w:val="ListParagraph"/>
        <w:spacing w:before="120" w:after="120" w:line="360" w:lineRule="auto"/>
        <w:ind w:left="0"/>
      </w:pPr>
      <w:r w:rsidRPr="00E3672F">
        <w:t xml:space="preserve">Romanian </w:t>
      </w:r>
      <w:r w:rsidRPr="00E3672F">
        <w:rPr>
          <w:b/>
          <w:bCs/>
        </w:rPr>
        <w:t>public authorities</w:t>
      </w:r>
      <w:r w:rsidRPr="00E3672F">
        <w:t xml:space="preserve"> took a more cautious view, stating that social and workplace issues are already governed by specialised legislative instruments and oversight bodies, including labour inspectorates and anti‑discrimination agencies. They expressed concern that bringing these domains fully into the whistleblowing framework could blur institutional mandates and overburden existing channels. Authorities argued that the Directive</w:t>
      </w:r>
      <w:r w:rsidRPr="00E3672F" w:rsidR="00413731">
        <w:t>’</w:t>
      </w:r>
      <w:r w:rsidRPr="00E3672F">
        <w:t xml:space="preserve">s objective is to enhance enforcement of </w:t>
      </w:r>
      <w:r w:rsidRPr="00E3672F" w:rsidR="00F70DC5">
        <w:t xml:space="preserve">EU </w:t>
      </w:r>
      <w:r w:rsidRPr="00E3672F">
        <w:t>law, particularly in areas with cross‑border or systemic relevance, rather than to incorporate the entirety of workplace governance. While open to further debate based on future evaluations, they maintained that any extension of scope should be carefully balanced against the need for a clear and manageable legal framework.</w:t>
      </w:r>
    </w:p>
    <w:p w:rsidRPr="00E3672F" w:rsidR="004E6D23" w:rsidP="001E1287" w:rsidRDefault="004E6D23" w14:paraId="214B6E5C" w14:textId="77777777">
      <w:pPr>
        <w:spacing w:before="120" w:after="120" w:line="360" w:lineRule="auto"/>
      </w:pPr>
    </w:p>
    <w:p w:rsidRPr="00E3672F" w:rsidR="004E6D23" w:rsidP="001E1287" w:rsidRDefault="004E6D23" w14:paraId="65D58135" w14:textId="740B4449">
      <w:pPr>
        <w:pStyle w:val="Heading2"/>
        <w:spacing w:line="360" w:lineRule="auto"/>
        <w:ind w:left="720"/>
        <w:rPr>
          <w:u w:val="single"/>
        </w:rPr>
      </w:pPr>
      <w:bookmarkStart w:name="_Toc228180540" w:id="38"/>
      <w:r w:rsidRPr="00E3672F">
        <w:rPr>
          <w:u w:val="single"/>
        </w:rPr>
        <w:t>National Gaps and Inconsistencies</w:t>
      </w:r>
      <w:bookmarkEnd w:id="38"/>
    </w:p>
    <w:p w:rsidRPr="00E3672F" w:rsidR="00F67E48" w:rsidP="001E1287" w:rsidRDefault="00F67E48" w14:paraId="54A4584B" w14:textId="77777777">
      <w:pPr>
        <w:spacing w:before="120" w:after="120" w:line="360" w:lineRule="auto"/>
      </w:pPr>
    </w:p>
    <w:p w:rsidRPr="00E3672F" w:rsidR="00F67E48" w:rsidP="001E1287" w:rsidRDefault="00F67E48" w14:paraId="3FDC1B4D" w14:textId="77777777">
      <w:pPr>
        <w:spacing w:before="120" w:after="120" w:line="360" w:lineRule="auto"/>
        <w:ind w:left="720"/>
        <w:rPr>
          <w:b/>
          <w:bCs/>
        </w:rPr>
      </w:pPr>
      <w:r w:rsidRPr="00E3672F">
        <w:rPr>
          <w:b/>
          <w:bCs/>
        </w:rPr>
        <w:t xml:space="preserve">Denmark </w:t>
      </w:r>
    </w:p>
    <w:p w:rsidRPr="00E3672F" w:rsidR="000D6A49" w:rsidP="001E1287" w:rsidRDefault="000D6A49" w14:paraId="1143443E" w14:textId="361A96E4">
      <w:pPr>
        <w:spacing w:before="120" w:after="120" w:line="360" w:lineRule="auto"/>
      </w:pPr>
      <w:r w:rsidRPr="00E3672F">
        <w:t xml:space="preserve">Danish </w:t>
      </w:r>
      <w:r w:rsidRPr="00E3672F">
        <w:rPr>
          <w:b/>
          <w:bCs/>
        </w:rPr>
        <w:t>civil society organisations</w:t>
      </w:r>
      <w:r w:rsidRPr="00E3672F">
        <w:t xml:space="preserve"> identified significant gaps between the formal scope of the </w:t>
      </w:r>
      <w:r w:rsidR="00D436F3">
        <w:t>APW</w:t>
      </w:r>
      <w:r w:rsidRPr="00E3672F" w:rsidR="00D436F3">
        <w:t xml:space="preserve"> </w:t>
      </w:r>
      <w:r w:rsidRPr="00E3672F">
        <w:t xml:space="preserve">and its practical effect, emphasising that confidentiality constraints have reduced the public visibility of systemic wrongdoing. They explained that the introduction of strict confidentiality rules has made it harder for journalists to access information about cases, </w:t>
      </w:r>
      <w:r w:rsidR="00D436F3">
        <w:t xml:space="preserve">thereby </w:t>
      </w:r>
      <w:r w:rsidRPr="00E3672F">
        <w:t xml:space="preserve">reducing media coverage of wrongdoing and limiting public debate about systemic failures. Civil society actors argued that the identity of the whistleblower should remain confidential, but not the entire substance of the case, and noted that the current approach can inhibit broader scrutiny of sector‑wide patterns of misconduct. They highlighted concerns that some authorities anonymise decisions to such an extent that the public cannot determine which firms or individuals were responsible for wrongdoing, thereby weakening accountability mechanisms. </w:t>
      </w:r>
    </w:p>
    <w:p w:rsidRPr="00E3672F" w:rsidR="000D6A49" w:rsidP="001E1287" w:rsidRDefault="000D6A49" w14:paraId="5C9DC6FA" w14:textId="351B82F8">
      <w:pPr>
        <w:spacing w:before="120" w:after="120" w:line="360" w:lineRule="auto"/>
      </w:pPr>
      <w:r w:rsidRPr="00E3672F">
        <w:rPr>
          <w:b/>
          <w:bCs/>
        </w:rPr>
        <w:t>Social partners</w:t>
      </w:r>
      <w:r w:rsidRPr="00E3672F">
        <w:t xml:space="preserve"> agreed that the lack of centralised data and limited transparency creates challenges for assessing the effectiveness of the legislative framework. They observed that internal schemes operated by many Danish employers receive few reports, whereas external systems may receive a larger volume, but the outcomes are not systematically tracked. They explained that no central database exists to record whether whistleblower‑driven investigations lead to sanctions, organisational reforms or policy changes. They considered this absence of comprehensive data a major obstacle to evaluating whether the </w:t>
      </w:r>
      <w:r w:rsidR="00EA4566">
        <w:t>D</w:t>
      </w:r>
      <w:r w:rsidRPr="00E3672F">
        <w:t xml:space="preserve">irective and the Act have improved enforcement, particularly in sectors such as healthcare, policing and municipal administration. </w:t>
      </w:r>
    </w:p>
    <w:p w:rsidRPr="00E3672F" w:rsidR="000D6A49" w:rsidP="001E1287" w:rsidRDefault="000D6A49" w14:paraId="2BE75776" w14:textId="06E2F6D5">
      <w:pPr>
        <w:spacing w:before="120" w:after="120" w:line="360" w:lineRule="auto"/>
      </w:pPr>
      <w:r w:rsidRPr="00E3672F">
        <w:t xml:space="preserve">Danish </w:t>
      </w:r>
      <w:r w:rsidRPr="00E3672F">
        <w:rPr>
          <w:b/>
          <w:bCs/>
        </w:rPr>
        <w:t>public authorities</w:t>
      </w:r>
      <w:r w:rsidRPr="00E3672F">
        <w:t xml:space="preserve"> acknowledged these gaps and explained that while statistical reporting exists at scheme level </w:t>
      </w:r>
      <w:r w:rsidRPr="00E3672F" w:rsidR="00B02047">
        <w:t>(</w:t>
      </w:r>
      <w:r w:rsidRPr="00E3672F">
        <w:t>for example, the external scheme</w:t>
      </w:r>
      <w:r w:rsidRPr="00E3672F" w:rsidR="00413731">
        <w:t>’</w:t>
      </w:r>
      <w:r w:rsidRPr="00E3672F">
        <w:t>s annual caseload</w:t>
      </w:r>
      <w:r w:rsidRPr="00E3672F" w:rsidR="00B02047">
        <w:t>)</w:t>
      </w:r>
      <w:r w:rsidRPr="00E3672F" w:rsidR="003945C0">
        <w:t>,</w:t>
      </w:r>
      <w:r w:rsidRPr="00E3672F">
        <w:t xml:space="preserve"> there is no national system that aggregates reporting outcomes or follow‑up actions across all sectors. Authorities confirmed that they do not track long‑term consequences of disclosures that fall outside their remit or are referred to other bodies. They suggested that improving data coordination would require cross‑agency cooperation and potentially new legislative mandates, given that many whistleblower cases are shared with regulators, ombudsman institutions or the police. They also pointed out that Denmark is obliged to submit data to the European Union, but that current submissions do not distinguish between cases covered by EU law and those covered by Denmark</w:t>
      </w:r>
      <w:r w:rsidRPr="00E3672F" w:rsidR="00413731">
        <w:t>’</w:t>
      </w:r>
      <w:r w:rsidRPr="00E3672F">
        <w:t xml:space="preserve">s broader national scope. </w:t>
      </w:r>
    </w:p>
    <w:p w:rsidRPr="00E3672F" w:rsidR="00F67E48" w:rsidP="001E1287" w:rsidRDefault="000D6A49" w14:paraId="5A71879F" w14:textId="4C240BC4">
      <w:pPr>
        <w:spacing w:before="120" w:after="120" w:line="360" w:lineRule="auto"/>
      </w:pPr>
      <w:r w:rsidRPr="00E3672F">
        <w:rPr>
          <w:b/>
          <w:bCs/>
        </w:rPr>
        <w:t>Civil society groups</w:t>
      </w:r>
      <w:r w:rsidRPr="00E3672F">
        <w:t xml:space="preserve"> additionally highlighted inconsistencies related to access‑to‑information rights. They reported that a request for access to Danish data submitted to the European Commission regarding the </w:t>
      </w:r>
      <w:r w:rsidRPr="00E3672F" w:rsidR="005F56F8">
        <w:t>D</w:t>
      </w:r>
      <w:r w:rsidRPr="00E3672F">
        <w:t>irective</w:t>
      </w:r>
      <w:r w:rsidRPr="00E3672F" w:rsidR="00413731">
        <w:t>’</w:t>
      </w:r>
      <w:r w:rsidRPr="00E3672F">
        <w:t>s implementation had been refused by authorities, and they argued that this lack of openness obstructs informed public debate and undermines trust in oversight bodies. Civil society organisations stressed that withholding such information contradicts Denmark</w:t>
      </w:r>
      <w:r w:rsidRPr="00E3672F" w:rsidR="00413731">
        <w:t>’</w:t>
      </w:r>
      <w:r w:rsidRPr="00E3672F">
        <w:t xml:space="preserve">s tradition of openness and weakens the capacity of journalists and </w:t>
      </w:r>
      <w:r w:rsidRPr="00E3672F" w:rsidR="00180F2C">
        <w:t>CSOs</w:t>
      </w:r>
      <w:r w:rsidRPr="00E3672F">
        <w:t xml:space="preserve"> to monitor whether the whistleblower regime is functioning effectively.</w:t>
      </w:r>
    </w:p>
    <w:p w:rsidRPr="00E3672F" w:rsidR="000D6A49" w:rsidP="001E1287" w:rsidRDefault="000D6A49" w14:paraId="2F9C3005" w14:textId="77777777">
      <w:pPr>
        <w:spacing w:before="120" w:after="120" w:line="360" w:lineRule="auto"/>
      </w:pPr>
    </w:p>
    <w:p w:rsidRPr="00E3672F" w:rsidR="00F67E48" w:rsidP="001E1287" w:rsidRDefault="00F67E48" w14:paraId="506CC497" w14:textId="77777777">
      <w:pPr>
        <w:spacing w:before="120" w:after="120" w:line="360" w:lineRule="auto"/>
        <w:ind w:left="720"/>
        <w:rPr>
          <w:b/>
          <w:bCs/>
        </w:rPr>
      </w:pPr>
      <w:r w:rsidRPr="00E3672F">
        <w:rPr>
          <w:b/>
          <w:bCs/>
        </w:rPr>
        <w:t>France</w:t>
      </w:r>
    </w:p>
    <w:p w:rsidRPr="00E3672F" w:rsidR="00A513CA" w:rsidP="001E1287" w:rsidRDefault="00A513CA" w14:paraId="4CBEB406" w14:textId="4AA8DA40">
      <w:pPr>
        <w:spacing w:before="120" w:after="120" w:line="360" w:lineRule="auto"/>
      </w:pPr>
      <w:r w:rsidRPr="00E3672F">
        <w:rPr>
          <w:b/>
          <w:bCs/>
        </w:rPr>
        <w:t>Civil society representatives</w:t>
      </w:r>
      <w:r w:rsidRPr="00E3672F">
        <w:t xml:space="preserve"> identified several inconsistencies in the practical implementation of the national whistleblower regime. A recurring issue concerns the lack of resources dedicated to institutions responsible for supporting individuals who report wrongdoing. They noted that many people must initiate multiple procedures</w:t>
      </w:r>
      <w:r w:rsidRPr="00E3672F" w:rsidR="003945C0">
        <w:t xml:space="preserve">, </w:t>
      </w:r>
      <w:r w:rsidRPr="00E3672F">
        <w:t>such as seeking recognition of status, contesting retaliatory measures or pursuing remedies</w:t>
      </w:r>
      <w:r w:rsidRPr="00E3672F" w:rsidR="003945C0">
        <w:t xml:space="preserve">, </w:t>
      </w:r>
      <w:r w:rsidRPr="00E3672F">
        <w:t xml:space="preserve">making the system difficult to navigate without specialist support. They further explained that external authorities tasked with receiving and processing alerts do not always have sufficient staff or mandates to follow cases comprehensively, which can result in delays or fragmented follow‑up. Civil society organisations also warned that, in practice, the effectiveness of protection often depends on the capacity of associations to provide assistance, which is not sustainable given their limited resources. </w:t>
      </w:r>
    </w:p>
    <w:p w:rsidRPr="00E3672F" w:rsidR="00A513CA" w:rsidP="001E1287" w:rsidRDefault="00A513CA" w14:paraId="4B0D1735" w14:textId="77777777">
      <w:pPr>
        <w:spacing w:before="120" w:after="120" w:line="360" w:lineRule="auto"/>
      </w:pPr>
      <w:r w:rsidRPr="00E3672F">
        <w:t xml:space="preserve">French </w:t>
      </w:r>
      <w:r w:rsidRPr="00E3672F">
        <w:rPr>
          <w:b/>
          <w:bCs/>
        </w:rPr>
        <w:t>social partners</w:t>
      </w:r>
      <w:r w:rsidRPr="00E3672F">
        <w:t xml:space="preserve"> highlighted gaps linked to inconsistent application of rules across organisations. They pointed out that, despite stronger obligations introduced by the Directive and national law, the absence of general sanctions for failing to establish internal arrangements limits compliance incentives. Some organisations may fulfil formal requirements without implementing meaningful mechanisms, which undermines trust in internal channels and encourages individuals to bypass them in favour of external reporting or public disclosure. They also underlined that individuals in small and medium‑sized enterprises face additional barriers because these entities may lack the tools or expertise to handle alerts properly. </w:t>
      </w:r>
    </w:p>
    <w:p w:rsidRPr="00E3672F" w:rsidR="0098642D" w:rsidP="001E1287" w:rsidRDefault="00A513CA" w14:paraId="07C8E308" w14:textId="56E51410">
      <w:pPr>
        <w:spacing w:before="120" w:after="120" w:line="360" w:lineRule="auto"/>
      </w:pPr>
      <w:r w:rsidRPr="00E3672F">
        <w:rPr>
          <w:b/>
          <w:bCs/>
        </w:rPr>
        <w:t>Authorities</w:t>
      </w:r>
      <w:r w:rsidRPr="00E3672F">
        <w:t xml:space="preserve"> acknowledged that the absence of a reliable system for monitoring the existence and functionality of internal mechanisms across companies and administrations</w:t>
      </w:r>
      <w:r w:rsidR="00D436F3">
        <w:t xml:space="preserve"> is </w:t>
      </w:r>
      <w:r w:rsidRPr="00E3672F" w:rsidR="00D436F3">
        <w:t>a key deficiency</w:t>
      </w:r>
      <w:r w:rsidRPr="00E3672F">
        <w:t>. They explained that, although some external authorities collect statistics on the reports they receive, there is no comparable dataset covering internal channels. Attempts to gather such information from organisations have produced limited responses, leaving authorities without a complete picture of compliance. They stressed that this lack of data undermines the ability to assess the system</w:t>
      </w:r>
      <w:r w:rsidRPr="00E3672F" w:rsidR="00413731">
        <w:t>’</w:t>
      </w:r>
      <w:r w:rsidRPr="00E3672F">
        <w:t xml:space="preserve">s coherence and to identify structural shortcomings. Authorities further noted that the </w:t>
      </w:r>
      <w:r w:rsidR="00D436F3">
        <w:t>fact that there are multiple</w:t>
      </w:r>
      <w:r w:rsidRPr="00E3672F">
        <w:t xml:space="preserve"> competent authorities can create confusion for reporting persons, who may not know which body is responsible for handling their report; this situation often results in a default reliance on the national human rights institution, creating workload imbalances.</w:t>
      </w:r>
    </w:p>
    <w:p w:rsidRPr="00E3672F" w:rsidR="00A513CA" w:rsidP="001E1287" w:rsidRDefault="00A513CA" w14:paraId="4BF554A7" w14:textId="77777777">
      <w:pPr>
        <w:spacing w:before="120" w:after="120" w:line="360" w:lineRule="auto"/>
      </w:pPr>
    </w:p>
    <w:p w:rsidRPr="00E3672F" w:rsidR="0098642D" w:rsidP="001E1287" w:rsidRDefault="0098642D" w14:paraId="4697E18D" w14:textId="364BE82E">
      <w:pPr>
        <w:spacing w:before="120" w:after="120" w:line="360" w:lineRule="auto"/>
        <w:ind w:left="720"/>
        <w:rPr>
          <w:b/>
          <w:bCs/>
        </w:rPr>
      </w:pPr>
      <w:r w:rsidRPr="00E3672F">
        <w:rPr>
          <w:b/>
          <w:bCs/>
        </w:rPr>
        <w:t xml:space="preserve">Italy </w:t>
      </w:r>
    </w:p>
    <w:p w:rsidRPr="00E3672F" w:rsidR="004E6D23" w:rsidP="001E1287" w:rsidRDefault="004E6D23" w14:paraId="4ACABA86" w14:textId="518AE79A">
      <w:pPr>
        <w:spacing w:before="120" w:after="120" w:line="360" w:lineRule="auto"/>
      </w:pPr>
      <w:r w:rsidRPr="00E3672F">
        <w:t xml:space="preserve">Italian </w:t>
      </w:r>
      <w:r w:rsidRPr="00E3672F">
        <w:rPr>
          <w:b/>
          <w:bCs/>
        </w:rPr>
        <w:t>trade union representatives</w:t>
      </w:r>
      <w:r w:rsidRPr="00E3672F">
        <w:t xml:space="preserve"> underlined that the prevalence of micro</w:t>
      </w:r>
      <w:r w:rsidRPr="00E3672F" w:rsidR="00AB7642">
        <w:t>-</w:t>
      </w:r>
      <w:r w:rsidRPr="00E3672F">
        <w:t xml:space="preserve"> and small enterprises and extensive subcontracting creates potential gaps in protection under the current legal thresholds. These trade union stakeholders explained that many workers in Italy are employed in small units that fall below the mandatory threshold for internal channels, or in subcontracted segments of complex supply chains. They warned that, if whistleblowing frameworks focus solely on the legal employer and on undertakings above 50 employees, some of the most serious abuses</w:t>
      </w:r>
      <w:r w:rsidRPr="00E3672F" w:rsidR="003945C0">
        <w:t xml:space="preserve">, </w:t>
      </w:r>
      <w:r w:rsidRPr="00E3672F">
        <w:t>such as exploitation in subcontracting chains</w:t>
      </w:r>
      <w:r w:rsidRPr="00E3672F" w:rsidR="003945C0">
        <w:t xml:space="preserve">, </w:t>
      </w:r>
      <w:r w:rsidRPr="00E3672F">
        <w:t>may remain under-reported, particularly in sectors like construction, logistics, agriculture, fashion and services.</w:t>
      </w:r>
    </w:p>
    <w:p w:rsidRPr="00E3672F" w:rsidR="004E6D23" w:rsidP="001E1287" w:rsidRDefault="004E6D23" w14:paraId="5E629293" w14:textId="07B5E223">
      <w:pPr>
        <w:spacing w:before="120" w:after="120" w:line="360" w:lineRule="auto"/>
      </w:pPr>
      <w:r w:rsidRPr="00E3672F">
        <w:rPr>
          <w:b/>
          <w:bCs/>
        </w:rPr>
        <w:t xml:space="preserve">Employer representatives </w:t>
      </w:r>
      <w:r w:rsidRPr="00E3672F">
        <w:t>acknowledged that the country</w:t>
      </w:r>
      <w:r w:rsidRPr="00E3672F" w:rsidR="00413731">
        <w:t>’</w:t>
      </w:r>
      <w:r w:rsidRPr="00E3672F">
        <w:t xml:space="preserve">s economic structure, with numerous </w:t>
      </w:r>
      <w:r w:rsidRPr="00E3672F" w:rsidR="00AB7642">
        <w:t>micro-</w:t>
      </w:r>
      <w:r w:rsidRPr="00E3672F">
        <w:t xml:space="preserve">enterprises and extensive use of subcontracting and seasonal work, can limit the reach of whistleblowing obligations. These employer stakeholders expressed reservations about lowering the 50-employee threshold, given the administrative burdens it would impose on small businesses, but recognised that this threshold may leave workers in small entities without dedicated channels. They suggested exploring solutions such as shared or sector-level reporting </w:t>
      </w:r>
      <w:r w:rsidRPr="00E3672F" w:rsidR="002B5CA9">
        <w:t>mechanisms and</w:t>
      </w:r>
      <w:r w:rsidRPr="00E3672F">
        <w:t xml:space="preserve"> clarifying when workers in subcontracting chains can use the channels of the main contractor in order to reduce gaps in practice without overburdening micro-enterprises.</w:t>
      </w:r>
    </w:p>
    <w:p w:rsidRPr="00E3672F" w:rsidR="004E6D23" w:rsidP="001E1287" w:rsidRDefault="004E6D23" w14:paraId="069E00D3" w14:textId="0D9DCBF1">
      <w:pPr>
        <w:spacing w:before="120" w:after="120" w:line="360" w:lineRule="auto"/>
      </w:pPr>
      <w:r w:rsidRPr="00E3672F">
        <w:rPr>
          <w:b/>
          <w:bCs/>
        </w:rPr>
        <w:t xml:space="preserve">Civil society organisations </w:t>
      </w:r>
      <w:r w:rsidRPr="00E3672F">
        <w:t xml:space="preserve">in Italy pointed to inconsistencies arising from the requirement, in national law, for reporting persons to use internal channels before accessing external ones, except under specific conditions. These civil society stakeholders </w:t>
      </w:r>
      <w:r w:rsidR="00D436F3">
        <w:t>did not consider</w:t>
      </w:r>
      <w:r w:rsidRPr="00E3672F">
        <w:t xml:space="preserve"> this design choice </w:t>
      </w:r>
      <w:r w:rsidR="00D436F3">
        <w:t>to be</w:t>
      </w:r>
      <w:r w:rsidRPr="00E3672F">
        <w:t xml:space="preserve"> fully aligned with the Directive</w:t>
      </w:r>
      <w:r w:rsidRPr="00E3672F" w:rsidR="00413731">
        <w:t>’</w:t>
      </w:r>
      <w:r w:rsidRPr="00E3672F">
        <w:t xml:space="preserve">s intention to allow whistleblowers to choose between internal and external reporting, and </w:t>
      </w:r>
      <w:r w:rsidR="00D436F3">
        <w:t xml:space="preserve">believed </w:t>
      </w:r>
      <w:r w:rsidRPr="00E3672F">
        <w:t>that it may be particularly problematic in small or sensitive environments where internal channels are not trusted. They argued that this sequencing requirement contributes to the relatively low number of cases pursued through the external authority and, combined with resource constraints, creates a gap between the Directive</w:t>
      </w:r>
      <w:r w:rsidRPr="00E3672F" w:rsidR="00413731">
        <w:t>’</w:t>
      </w:r>
      <w:r w:rsidRPr="00E3672F">
        <w:t>s objectives and actual enforcement on the ground.</w:t>
      </w:r>
    </w:p>
    <w:p w:rsidRPr="00E3672F" w:rsidR="00F67E48" w:rsidP="001E1287" w:rsidRDefault="00F67E48" w14:paraId="53DB039F" w14:textId="77777777">
      <w:pPr>
        <w:spacing w:before="120" w:after="120" w:line="360" w:lineRule="auto"/>
      </w:pPr>
    </w:p>
    <w:p w:rsidRPr="00E3672F" w:rsidR="00F67E48" w:rsidP="001E1287" w:rsidRDefault="00F67E48" w14:paraId="1426CA39" w14:textId="77777777">
      <w:pPr>
        <w:spacing w:before="120" w:after="120" w:line="360" w:lineRule="auto"/>
        <w:ind w:left="720"/>
        <w:rPr>
          <w:b/>
          <w:bCs/>
        </w:rPr>
      </w:pPr>
      <w:r w:rsidRPr="00E3672F">
        <w:rPr>
          <w:b/>
          <w:bCs/>
        </w:rPr>
        <w:t xml:space="preserve">Latvia </w:t>
      </w:r>
    </w:p>
    <w:p w:rsidRPr="00E3672F" w:rsidR="00841E00" w:rsidP="001E1287" w:rsidRDefault="00841E00" w14:paraId="58A75EC0" w14:textId="7ECEE802">
      <w:pPr>
        <w:spacing w:before="120" w:after="120" w:line="360" w:lineRule="auto"/>
      </w:pPr>
      <w:r w:rsidRPr="00E3672F">
        <w:rPr>
          <w:b/>
          <w:bCs/>
        </w:rPr>
        <w:t>Civil society representatives</w:t>
      </w:r>
      <w:r w:rsidRPr="00E3672F">
        <w:t xml:space="preserve"> identified several gaps and inconsistencies between the legal design of the whistleblowing framework and its implementation. They highlighted in particular the absence of robust solutions for reporting wrongdoing in areas covered by state secrets and national security, where the law excludes whistleblowing protection and individuals who disclose classified information risk criminal liability. In their assessment, this creates a vacuum for addressing serious irregularities in sensitive sectors, especially in the current context of heightened defence and security activity. Civil society representatives suggested that this gap undermines the coherence of the national system and limits its ability to address some of the most critical risks to the public interest.</w:t>
      </w:r>
    </w:p>
    <w:p w:rsidRPr="00E3672F" w:rsidR="00841E00" w:rsidP="001E1287" w:rsidRDefault="00841E00" w14:paraId="27EAC8AA" w14:textId="77777777">
      <w:pPr>
        <w:spacing w:before="120" w:after="120" w:line="360" w:lineRule="auto"/>
      </w:pPr>
      <w:r w:rsidRPr="00E3672F">
        <w:t>All stakeholder groups acknowledged that there is a disparity between the strong formal framework and the relatively low use of whistleblowing channels. Latvian trade union representatives and Latvian civil society representatives reported that the number of cases treated as whistleblowing remains modest and that many potential whistleblowers prefer other avenues, including informal complaint mechanisms, internal HR procedures, or direct recourse to the media. They cited a general climate of low civic participation and limited trust in institutions as factors that undermine the willingness of individuals to use official channels. In addition, they observed that first instance authorities and courts sometimes apply whistleblowing provisions in a formalistic way, focusing narrowly on procedural criteria and not always recognising the broader public interest dimension.</w:t>
      </w:r>
    </w:p>
    <w:p w:rsidRPr="00E3672F" w:rsidR="00F67E48" w:rsidP="001E1287" w:rsidRDefault="00841E00" w14:paraId="46F1A196" w14:textId="309D0680">
      <w:pPr>
        <w:spacing w:before="120" w:after="120" w:line="360" w:lineRule="auto"/>
      </w:pPr>
      <w:r w:rsidRPr="00E3672F">
        <w:t xml:space="preserve">Latvian </w:t>
      </w:r>
      <w:r w:rsidRPr="00E3672F">
        <w:rPr>
          <w:b/>
          <w:bCs/>
        </w:rPr>
        <w:t>local and national authorities</w:t>
      </w:r>
      <w:r w:rsidRPr="00E3672F">
        <w:t xml:space="preserve"> pointed to capacity constraints as a source of inconsistency in enforcement. In some institutions, whistleblowing is one task among many for a single official, who may lack investigative experience and time to follow cases through. This is especially acute in smaller municipalities, where the same person may serve as contact point, auditor and member of internal commissions. Stakeholders indicated that such arrangements can lead to uneven handling of similar cases across institutions, potentially affecting the perceived fairness and reliability of the system. They called for sustained investment in training, clearer guidance and, where possible, additional human resources to minimise these disparities.</w:t>
      </w:r>
    </w:p>
    <w:p w:rsidRPr="00E3672F" w:rsidR="00F67E48" w:rsidP="001E1287" w:rsidRDefault="00F67E48" w14:paraId="6E42A98E" w14:textId="77777777">
      <w:pPr>
        <w:spacing w:before="120" w:after="120" w:line="360" w:lineRule="auto"/>
      </w:pPr>
    </w:p>
    <w:p w:rsidRPr="00D0335D" w:rsidR="00F67E48" w:rsidP="000B42B1" w:rsidRDefault="00F67E48" w14:paraId="6158F5DF" w14:textId="32F6153A">
      <w:pPr>
        <w:spacing w:before="120" w:after="120" w:line="360" w:lineRule="auto"/>
        <w:ind w:left="720"/>
      </w:pPr>
      <w:r w:rsidRPr="00E3672F">
        <w:rPr>
          <w:b/>
          <w:bCs/>
        </w:rPr>
        <w:t>Romania</w:t>
      </w:r>
    </w:p>
    <w:p w:rsidRPr="00E3672F" w:rsidR="0057330C" w:rsidP="001E1287" w:rsidRDefault="0057330C" w14:paraId="3CEB1FD6" w14:textId="5A6247BD">
      <w:pPr>
        <w:pStyle w:val="ListParagraph"/>
        <w:spacing w:before="120" w:after="120" w:line="360" w:lineRule="auto"/>
        <w:ind w:left="0"/>
      </w:pPr>
      <w:r w:rsidRPr="00E3672F">
        <w:rPr>
          <w:b/>
          <w:bCs/>
        </w:rPr>
        <w:t>Civil society organisations</w:t>
      </w:r>
      <w:r w:rsidRPr="00E3672F">
        <w:t xml:space="preserve"> identified several gaps and inconsistencies in the national protection framework stemming from narrow interpretations of the law. They explained that, in practice, certain disclosures are re‑categorised as ordinary employment grievances, even when they highlight structural risks or public‑interest harms. Civil society reports indicated that cases involving administrative misconduct, corruption, undue external interference in judicial proceedings or mismanagement of public resources are sometimes excluded from the whistleblowing framework because they are not </w:t>
      </w:r>
      <w:r w:rsidRPr="00E3672F" w:rsidR="00F83814">
        <w:t xml:space="preserve">listed </w:t>
      </w:r>
      <w:r w:rsidRPr="00E3672F">
        <w:t xml:space="preserve">in the annexed list of acts or fall outside a restrictive institutional reading of scope. Stakeholders stressed that this approach leaves significant risks unaddressed and undermines legal certainty for potential reporting persons. </w:t>
      </w:r>
    </w:p>
    <w:p w:rsidRPr="00E3672F" w:rsidR="0057330C" w:rsidP="001E1287" w:rsidRDefault="0057330C" w14:paraId="23313879" w14:textId="30C604B8">
      <w:pPr>
        <w:pStyle w:val="ListParagraph"/>
        <w:spacing w:before="120" w:after="120" w:line="360" w:lineRule="auto"/>
        <w:ind w:left="0"/>
      </w:pPr>
      <w:r w:rsidRPr="00E3672F">
        <w:t xml:space="preserve">Romanian social partners affirmed that gaps also arise from institutional reluctance and uneven awareness, particularly within management structures. </w:t>
      </w:r>
      <w:r w:rsidRPr="00E3672F">
        <w:rPr>
          <w:b/>
          <w:bCs/>
        </w:rPr>
        <w:t>Trade union representatives</w:t>
      </w:r>
      <w:r w:rsidRPr="00E3672F">
        <w:t xml:space="preserve"> pointed to numerous situations where workers raised concerns that clearly affected broader organisational integrity</w:t>
      </w:r>
      <w:r w:rsidRPr="00E3672F" w:rsidR="003945C0">
        <w:t>,</w:t>
      </w:r>
      <w:r w:rsidRPr="00E3672F">
        <w:t xml:space="preserve"> such as patterns of retaliation, persistent health and safety issues, or unethical behaviour</w:t>
      </w:r>
      <w:r w:rsidRPr="00E3672F" w:rsidR="003945C0">
        <w:t xml:space="preserve">, </w:t>
      </w:r>
      <w:r w:rsidRPr="00E3672F" w:rsidR="00C65D00">
        <w:t xml:space="preserve">but </w:t>
      </w:r>
      <w:r w:rsidRPr="00E3672F">
        <w:t xml:space="preserve">were directed </w:t>
      </w:r>
      <w:r w:rsidR="00F179F3">
        <w:t>towards</w:t>
      </w:r>
      <w:r w:rsidRPr="00E3672F" w:rsidR="00F179F3">
        <w:t xml:space="preserve"> </w:t>
      </w:r>
      <w:r w:rsidRPr="00E3672F">
        <w:t>internal grievance frameworks rather than whistleblowing channels. They attributed this partly to limited training among case‑handlers and partly to organisational cultures that are not well</w:t>
      </w:r>
      <w:r w:rsidR="00F179F3">
        <w:t xml:space="preserve"> </w:t>
      </w:r>
      <w:r w:rsidRPr="00E3672F">
        <w:t xml:space="preserve">adapted to the openness and impartiality required by whistleblowing systems. Social partners warned that without consistent application across institutions, the legal framework risks becoming under‑used or selectively applied. </w:t>
      </w:r>
    </w:p>
    <w:p w:rsidRPr="00E3672F" w:rsidR="0057330C" w:rsidP="001E1287" w:rsidRDefault="0057330C" w14:paraId="2773CF09" w14:textId="78A75CD0">
      <w:pPr>
        <w:pStyle w:val="ListParagraph"/>
        <w:spacing w:before="120" w:after="120" w:line="360" w:lineRule="auto"/>
        <w:ind w:left="0"/>
      </w:pPr>
      <w:r w:rsidRPr="00E3672F">
        <w:rPr>
          <w:b/>
          <w:bCs/>
        </w:rPr>
        <w:t>Public authorities</w:t>
      </w:r>
      <w:r w:rsidRPr="00E3672F">
        <w:t xml:space="preserve"> recognised that certain inconsistencies may emerge during early implementation, since institutions are still becoming familiar with procedural requirements and the distribution of responsibilities among internal and external channels. They acknowledged that courts do not yet have specialised judges or chambers dedicated to whistleblowing disputes, which can result in divergent interpretations and long delays. Some authorities accepted that clearer jurisprudence and guidance are required, particularly on distinguishing whistleblowing from routine HR disputes and on assessing when professional secrecy or classified information rules limit protection. While maintaining that the overall framework is functioning adequately, they nevertheless agreed that implementation challenges can generate gaps that must be addressed through improved practice.</w:t>
      </w:r>
    </w:p>
    <w:p w:rsidR="004E6D23" w:rsidP="001E1287" w:rsidRDefault="004E6D23" w14:paraId="769255F2" w14:textId="77777777">
      <w:pPr>
        <w:spacing w:before="120" w:after="120" w:line="360" w:lineRule="auto"/>
      </w:pPr>
    </w:p>
    <w:p w:rsidRPr="00E3672F" w:rsidR="004523CC" w:rsidP="001E1287" w:rsidRDefault="004523CC" w14:paraId="747A27DF" w14:textId="77777777">
      <w:pPr>
        <w:spacing w:before="120" w:after="120" w:line="360" w:lineRule="auto"/>
      </w:pPr>
    </w:p>
    <w:p w:rsidRPr="00E3672F" w:rsidR="004E6D23" w:rsidP="001E1287" w:rsidRDefault="004E6D23" w14:paraId="66F82710" w14:textId="0766F642">
      <w:pPr>
        <w:pStyle w:val="Heading2"/>
        <w:spacing w:line="360" w:lineRule="auto"/>
        <w:ind w:left="720"/>
        <w:rPr>
          <w:u w:val="single"/>
        </w:rPr>
      </w:pPr>
      <w:bookmarkStart w:name="_Toc228180541" w:id="39"/>
      <w:r w:rsidRPr="00E3672F">
        <w:rPr>
          <w:u w:val="single"/>
        </w:rPr>
        <w:t>Legal Overlap and System Integration</w:t>
      </w:r>
      <w:bookmarkEnd w:id="39"/>
    </w:p>
    <w:p w:rsidRPr="00E3672F" w:rsidR="00F67E48" w:rsidP="001E1287" w:rsidRDefault="00F67E48" w14:paraId="47254720" w14:textId="77777777">
      <w:pPr>
        <w:spacing w:before="120" w:after="120" w:line="360" w:lineRule="auto"/>
      </w:pPr>
    </w:p>
    <w:p w:rsidRPr="00E3672F" w:rsidR="00F67E48" w:rsidP="001E1287" w:rsidRDefault="00F67E48" w14:paraId="7C267555" w14:textId="77777777">
      <w:pPr>
        <w:spacing w:before="120" w:after="120" w:line="360" w:lineRule="auto"/>
        <w:ind w:left="720"/>
        <w:rPr>
          <w:b/>
          <w:bCs/>
        </w:rPr>
      </w:pPr>
      <w:r w:rsidRPr="00E3672F">
        <w:rPr>
          <w:b/>
          <w:bCs/>
        </w:rPr>
        <w:t xml:space="preserve">Denmark </w:t>
      </w:r>
    </w:p>
    <w:p w:rsidRPr="00E3672F" w:rsidR="000D6A49" w:rsidP="001E1287" w:rsidRDefault="000D6A49" w14:paraId="58E87420" w14:textId="5707D227">
      <w:pPr>
        <w:spacing w:before="120" w:after="120" w:line="360" w:lineRule="auto"/>
      </w:pPr>
      <w:r w:rsidRPr="00E3672F">
        <w:t xml:space="preserve">Danish </w:t>
      </w:r>
      <w:r w:rsidRPr="00E3672F">
        <w:rPr>
          <w:b/>
          <w:bCs/>
        </w:rPr>
        <w:t>public authorities</w:t>
      </w:r>
      <w:r w:rsidRPr="00E3672F">
        <w:t xml:space="preserve"> explained that, although Denmark</w:t>
      </w:r>
      <w:r w:rsidRPr="00E3672F" w:rsidR="00413731">
        <w:t>’</w:t>
      </w:r>
      <w:r w:rsidRPr="00E3672F">
        <w:t>s whistleblower scheme sits alongside existing legal regimes, these parallel frameworks can coexist effectively. They highlighted confidential reporting structures administered by the data protection authority and emphasised that while whistleblowing occurs within a broader regulatory context, each system retains its core function. They described close cooperation with sectoral bodies when reports concerned tax offences, workplace safety, environmental breaches, healthcare misconduct or financial wrongdoing. Authorities emphasised that the whistleblower scheme does not replace internal compliance systems nor act as an appeals body for corporate whistleblower channels; instead, both internal and external mechanisms can operate simultaneously when appropriate. They noted that specialised secrecy regimes</w:t>
      </w:r>
      <w:r w:rsidRPr="00E3672F" w:rsidR="003945C0">
        <w:t>,</w:t>
      </w:r>
      <w:r w:rsidRPr="00E3672F">
        <w:t xml:space="preserve"> such as those covering classified information or patient confidentiality</w:t>
      </w:r>
      <w:r w:rsidRPr="00E3672F" w:rsidR="003945C0">
        <w:t>,</w:t>
      </w:r>
      <w:r w:rsidRPr="00E3672F">
        <w:t xml:space="preserve"> take precedence but stressed that responsible reporting pathways remain available. </w:t>
      </w:r>
    </w:p>
    <w:p w:rsidRPr="00E3672F" w:rsidR="000D6A49" w:rsidP="001E1287" w:rsidRDefault="000D6A49" w14:paraId="68BBCEC8" w14:textId="2C3F136E">
      <w:pPr>
        <w:spacing w:before="120" w:after="120" w:line="360" w:lineRule="auto"/>
      </w:pPr>
      <w:r w:rsidRPr="00E3672F">
        <w:rPr>
          <w:b/>
          <w:bCs/>
        </w:rPr>
        <w:t>Civil society organisations</w:t>
      </w:r>
      <w:r w:rsidRPr="00E3672F">
        <w:t>, however, emphasised that legal overlaps sometimes inhibit transparency and public accountability. They argued that although whistleblowing rules are intended to protect identity, the Danish system has resulted in a broader withholding of case details, which in turn dries up investigative journalism sources. They explained that when oversight bodies anonymise their decisions, the public cannot determine where systemic risks exist or which organisations repeatedly fail in ethical or legal compliance. Civil society organisations noted that conflicts may arise between whistleblowing confidentiality rules and the public</w:t>
      </w:r>
      <w:r w:rsidRPr="00E3672F" w:rsidR="00413731">
        <w:t>’</w:t>
      </w:r>
      <w:r w:rsidRPr="00E3672F">
        <w:t xml:space="preserve">s right to be informed about serious wrongdoing. They also highlighted unresolved tensions between secrecy obligations in certain professions and the public interest in exposing risks, adding that Danish law does not provide explicit exemptions for whistleblower‑motivated disclosures when professional secrecy is implicated. </w:t>
      </w:r>
    </w:p>
    <w:p w:rsidRPr="00E3672F" w:rsidR="000D6A49" w:rsidP="001E1287" w:rsidRDefault="000D6A49" w14:paraId="07F8C2B9" w14:textId="7C20B4C1">
      <w:pPr>
        <w:spacing w:before="120" w:after="120" w:line="360" w:lineRule="auto"/>
      </w:pPr>
      <w:r w:rsidRPr="00E3672F">
        <w:t xml:space="preserve">Danish </w:t>
      </w:r>
      <w:r w:rsidRPr="00E3672F">
        <w:rPr>
          <w:b/>
          <w:bCs/>
        </w:rPr>
        <w:t>social partners</w:t>
      </w:r>
      <w:r w:rsidRPr="00E3672F">
        <w:t xml:space="preserve"> described tensions between the whistleblower law and existing labour‑market structures, particularly concerning grievance procedures, confidentiality rules and security‑clearance systems. They reported that workers in highly regulated sectors</w:t>
      </w:r>
      <w:r w:rsidRPr="00E3672F" w:rsidR="003945C0">
        <w:t>,</w:t>
      </w:r>
      <w:r w:rsidRPr="00E3672F">
        <w:t xml:space="preserve"> such as defence, policing and healthcare</w:t>
      </w:r>
      <w:r w:rsidRPr="00E3672F" w:rsidR="003945C0">
        <w:t>,</w:t>
      </w:r>
      <w:r w:rsidRPr="00E3672F">
        <w:t xml:space="preserve"> </w:t>
      </w:r>
      <w:r w:rsidR="00F179F3">
        <w:t>face</w:t>
      </w:r>
      <w:r w:rsidRPr="00E3672F" w:rsidR="00F179F3">
        <w:t xml:space="preserve"> </w:t>
      </w:r>
      <w:r w:rsidRPr="00E3672F">
        <w:t xml:space="preserve">conflicting legal obligations when deciding whether to report misconduct. Breaching confidentiality can have severe professional repercussions, including the loss of security clearance without the possibility of appeal. At the same time, these workers may be unable to access whistleblower protections if disclosures fall outside the </w:t>
      </w:r>
      <w:r w:rsidRPr="00E3672F" w:rsidR="00430258">
        <w:t>‘</w:t>
      </w:r>
      <w:r w:rsidRPr="00E3672F">
        <w:t>serious breach</w:t>
      </w:r>
      <w:r w:rsidRPr="00E3672F" w:rsidR="00430258">
        <w:t>’</w:t>
      </w:r>
      <w:r w:rsidRPr="00E3672F">
        <w:t xml:space="preserve"> threshold or if an organisation</w:t>
      </w:r>
      <w:r w:rsidRPr="00E3672F" w:rsidR="00413731">
        <w:t>’</w:t>
      </w:r>
      <w:r w:rsidRPr="00E3672F">
        <w:t xml:space="preserve">s internal scheme lacks credibility. Social partners stated that these overlapping dynamics can create confusion and discourage reporting. </w:t>
      </w:r>
    </w:p>
    <w:p w:rsidRPr="00E3672F" w:rsidR="00F67E48" w:rsidP="001E1287" w:rsidRDefault="000D6A49" w14:paraId="6CB49846" w14:textId="6D52F48B">
      <w:pPr>
        <w:spacing w:before="120" w:after="120" w:line="360" w:lineRule="auto"/>
      </w:pPr>
      <w:r w:rsidRPr="00E3672F">
        <w:rPr>
          <w:b/>
          <w:bCs/>
        </w:rPr>
        <w:t>Stakeholders across all groups</w:t>
      </w:r>
      <w:r w:rsidRPr="00E3672F">
        <w:t xml:space="preserve"> agreed that improving system integration requires clearer guidance for both employers and workers regarding the relationship between whistleblowing rules, data‑protection law, labour law, professional secrecy regimes and sector‑specific reporting duties. Authorities stressed that they already consult relevant regulators when assessing complex cases, but civil society insisted that more comprehensive coordination is needed to prevent legal frameworks from undermining one another. Social partners highlighted the need for stronger training programmes that equip employees and union representatives to navigate this dense legal landscape. Across all perspectives, the integration challenge was recognised as one of the most important areas for future refinement.</w:t>
      </w:r>
    </w:p>
    <w:p w:rsidRPr="00E3672F" w:rsidR="000C0CC1" w:rsidP="001E1287" w:rsidRDefault="000C0CC1" w14:paraId="6D400DEF" w14:textId="77777777">
      <w:pPr>
        <w:spacing w:before="120" w:after="120" w:line="360" w:lineRule="auto"/>
      </w:pPr>
    </w:p>
    <w:p w:rsidRPr="00E3672F" w:rsidR="00F67E48" w:rsidP="001E1287" w:rsidRDefault="00F67E48" w14:paraId="6742A2F9" w14:textId="77777777">
      <w:pPr>
        <w:spacing w:before="120" w:after="120" w:line="360" w:lineRule="auto"/>
        <w:ind w:left="720"/>
        <w:rPr>
          <w:b/>
          <w:bCs/>
        </w:rPr>
      </w:pPr>
      <w:r w:rsidRPr="00E3672F">
        <w:rPr>
          <w:b/>
          <w:bCs/>
        </w:rPr>
        <w:t>France</w:t>
      </w:r>
    </w:p>
    <w:p w:rsidRPr="00E3672F" w:rsidR="00A513CA" w:rsidP="001E1287" w:rsidRDefault="00A513CA" w14:paraId="575C2AEB" w14:textId="21F359B5">
      <w:pPr>
        <w:spacing w:before="120" w:after="120" w:line="360" w:lineRule="auto"/>
      </w:pPr>
      <w:r w:rsidRPr="00E3672F">
        <w:t>French</w:t>
      </w:r>
      <w:r w:rsidRPr="00E3672F">
        <w:rPr>
          <w:b/>
          <w:bCs/>
        </w:rPr>
        <w:t xml:space="preserve"> civil society organisations</w:t>
      </w:r>
      <w:r w:rsidRPr="00E3672F">
        <w:t xml:space="preserve"> stressed the importance of improving coordination between the whistleblower regime and other legal frameworks, such as anti</w:t>
      </w:r>
      <w:r w:rsidRPr="00E3672F">
        <w:noBreakHyphen/>
        <w:t>corruption rules, data protection, confidentiality obligations and business</w:t>
      </w:r>
      <w:r w:rsidRPr="00E3672F">
        <w:noBreakHyphen/>
        <w:t>secrecy legislation. They reported that individuals may hesitate to report breaches for fear of contravening overlapping legal regimes, especially when organisations invoke confidentiality provisions to discourage disclosures. Civil society actors emphasised that, while the law provides that business secrecy cannot be used against a whistleblower acting in the public interest, such arguments may still be employed to intimidate reporting persons or delay proceedings. They further noted that legal actions</w:t>
      </w:r>
      <w:r w:rsidRPr="00E3672F" w:rsidR="003945C0">
        <w:t xml:space="preserve">, </w:t>
      </w:r>
      <w:r w:rsidRPr="00E3672F">
        <w:t>such as strategic lawsuits against public participation</w:t>
      </w:r>
      <w:r w:rsidRPr="00E3672F" w:rsidR="003945C0">
        <w:t xml:space="preserve">, </w:t>
      </w:r>
      <w:r w:rsidRPr="00E3672F">
        <w:t xml:space="preserve">can be used to circumvent whistleblower protections and impose financial or psychological pressure on individuals or journalists. </w:t>
      </w:r>
    </w:p>
    <w:p w:rsidRPr="00E3672F" w:rsidR="00A513CA" w:rsidP="001E1287" w:rsidRDefault="0029785A" w14:paraId="05E75CBB" w14:textId="2A23ED30">
      <w:pPr>
        <w:spacing w:before="120" w:after="120" w:line="360" w:lineRule="auto"/>
      </w:pPr>
      <w:r w:rsidRPr="000B42B1">
        <w:t>Some stakeholders</w:t>
      </w:r>
      <w:r>
        <w:t xml:space="preserve"> (mostly trade union representatives) </w:t>
      </w:r>
      <w:r w:rsidRPr="000B42B1">
        <w:t xml:space="preserve"> </w:t>
      </w:r>
      <w:r w:rsidRPr="00E3672F" w:rsidR="00A513CA">
        <w:t xml:space="preserve">highlighted tensions between different branches of law, including labour law, civil service rules and disciplinary procedures, explaining that individuals may need to initiate multiple processes to obtain comprehensive protection. They indicated that, even when whistleblower status is recognised, this does not always ensure effective protection if other legal regimes impose separate obligations or processes. </w:t>
      </w:r>
      <w:r w:rsidRPr="00E3672F" w:rsidR="00A513CA">
        <w:rPr>
          <w:b/>
          <w:bCs/>
        </w:rPr>
        <w:t>Trade union representatives</w:t>
      </w:r>
      <w:r w:rsidRPr="00E3672F" w:rsidR="00A513CA">
        <w:t xml:space="preserve"> warned that employees and staff representatives often find it difficult to navigate this legal complexity, and that clearer guidance</w:t>
      </w:r>
      <w:r w:rsidRPr="00E3672F" w:rsidR="003945C0">
        <w:t xml:space="preserve">, </w:t>
      </w:r>
      <w:r w:rsidRPr="00E3672F" w:rsidR="00A513CA">
        <w:t>particularly for workplace representatives</w:t>
      </w:r>
      <w:r w:rsidRPr="00E3672F" w:rsidR="003945C0">
        <w:t xml:space="preserve">, </w:t>
      </w:r>
      <w:r w:rsidRPr="00E3672F" w:rsidR="00A513CA">
        <w:t xml:space="preserve">would help prevent procedural errors that could jeopardise protection. They also noted that confidentiality requirements, particularly in sensitive sectors, can create further uncertainty for workers who wish to report wrongdoing. </w:t>
      </w:r>
    </w:p>
    <w:p w:rsidRPr="00E3672F" w:rsidR="004E6D23" w:rsidP="001E1287" w:rsidRDefault="00A513CA" w14:paraId="7F154339" w14:textId="4ABE09DF">
      <w:pPr>
        <w:spacing w:before="120" w:after="120" w:line="360" w:lineRule="auto"/>
      </w:pPr>
      <w:r w:rsidRPr="00E3672F">
        <w:rPr>
          <w:b/>
          <w:bCs/>
        </w:rPr>
        <w:t>Authorities</w:t>
      </w:r>
      <w:r w:rsidRPr="00E3672F">
        <w:t xml:space="preserve"> agreed that ensuring coherence between the whistleblower regime and other applicable frameworks is essential for the system</w:t>
      </w:r>
      <w:r w:rsidRPr="00E3672F" w:rsidR="00413731">
        <w:t>’</w:t>
      </w:r>
      <w:r w:rsidRPr="00E3672F">
        <w:t xml:space="preserve">s relevance. They observed that many reports received by administrative bodies must be referred to prosecutorial authorities, which introduces new procedural constraints and may complicate confidentiality protections. Authorities emphasised that secure transmission mechanisms exist but require close cooperation across institutions. They also noted that differences in the investigative or sanctioning powers of various competent bodies can contribute to delays and uneven outcomes. Stakeholders across all groups recognised the need for clearer </w:t>
      </w:r>
      <w:r w:rsidRPr="00E3672F" w:rsidR="008A78ED">
        <w:t xml:space="preserve">connection </w:t>
      </w:r>
      <w:r w:rsidRPr="00E3672F">
        <w:t>between legal regimes and better coordination to prevent contradictions or gaps, ensuring that individuals can exercise their rights without undue legal uncertainty.</w:t>
      </w:r>
    </w:p>
    <w:p w:rsidRPr="00E3672F" w:rsidR="00A513CA" w:rsidP="001E1287" w:rsidRDefault="00A513CA" w14:paraId="5005BC51" w14:textId="77777777">
      <w:pPr>
        <w:spacing w:before="120" w:after="120" w:line="360" w:lineRule="auto"/>
      </w:pPr>
    </w:p>
    <w:p w:rsidRPr="00E3672F" w:rsidR="004E6D23" w:rsidP="001E1287" w:rsidRDefault="0098642D" w14:paraId="1A4E88EA" w14:textId="380DBD75">
      <w:pPr>
        <w:spacing w:before="120" w:after="120" w:line="360" w:lineRule="auto"/>
        <w:ind w:left="714"/>
        <w:rPr>
          <w:b/>
          <w:bCs/>
        </w:rPr>
      </w:pPr>
      <w:r w:rsidRPr="00E3672F">
        <w:rPr>
          <w:b/>
          <w:bCs/>
        </w:rPr>
        <w:t xml:space="preserve">Italy </w:t>
      </w:r>
    </w:p>
    <w:p w:rsidRPr="00E3672F" w:rsidR="004E6D23" w:rsidP="001E1287" w:rsidRDefault="004E6D23" w14:paraId="58FF7E48" w14:textId="23574502">
      <w:pPr>
        <w:spacing w:before="120" w:after="120" w:line="360" w:lineRule="auto"/>
      </w:pPr>
      <w:r w:rsidRPr="00E3672F">
        <w:t>Trade union representatives in Italy observed that the whistleblowing framework interacts with a wide array of other legal regimes, including data protection, labour law, health and safety, anti-corruption rules and the corporate liability system. These trade union stakeholders stressed that, particularly in sectors such as finance and public administration, whistleblowing procedures have been built on top of existing compliance and risk-management structures. They consider that this integration can be positive when clearly coordinated, but cautioned that overlapping responsibilities and rules can create confusion for workers as to which channel they should use for specific issues.</w:t>
      </w:r>
    </w:p>
    <w:p w:rsidRPr="00E3672F" w:rsidR="004E6D23" w:rsidP="001E1287" w:rsidRDefault="004E6D23" w14:paraId="5C9C7874" w14:textId="3502227F">
      <w:pPr>
        <w:spacing w:before="120" w:after="120" w:line="360" w:lineRule="auto"/>
      </w:pPr>
      <w:r w:rsidRPr="00E3672F">
        <w:t xml:space="preserve">Employer organisations in Italy emphasised that, in their view, whistleblowing legislation should be complementary to existing regimes rather than duplicative. These employer stakeholders explained that companies already operate under a complex web of obligations relating to privacy, corporate governance, </w:t>
      </w:r>
      <w:r w:rsidR="006069EE">
        <w:t xml:space="preserve">combating </w:t>
      </w:r>
      <w:r w:rsidRPr="00E3672F">
        <w:t>money</w:t>
      </w:r>
      <w:r w:rsidR="00871BF8">
        <w:t xml:space="preserve"> </w:t>
      </w:r>
      <w:r w:rsidRPr="00E3672F">
        <w:t xml:space="preserve">laundering, </w:t>
      </w:r>
      <w:r w:rsidR="006069EE">
        <w:t xml:space="preserve">combating </w:t>
      </w:r>
      <w:r w:rsidRPr="00E3672F">
        <w:t>corruption</w:t>
      </w:r>
      <w:r w:rsidR="006069EE">
        <w:t>,</w:t>
      </w:r>
      <w:r w:rsidRPr="00E3672F">
        <w:t xml:space="preserve"> and occupational safety, and that whistleblowing channels are most valuable when they serve as an additional route for detecting potential breaches that might otherwise go unnoticed. They described efforts to align whistleblowing procedures with existing codes of ethics, internal controls and data</w:t>
      </w:r>
      <w:r w:rsidR="00CE73C9">
        <w:t xml:space="preserve"> </w:t>
      </w:r>
      <w:r w:rsidRPr="00E3672F">
        <w:t xml:space="preserve">protection policies so that the overall compliance system remains </w:t>
      </w:r>
      <w:r w:rsidR="006069EE">
        <w:t>consistent</w:t>
      </w:r>
      <w:r w:rsidRPr="00E3672F">
        <w:t>.</w:t>
      </w:r>
    </w:p>
    <w:p w:rsidRPr="00E3672F" w:rsidR="004E6D23" w:rsidP="001E1287" w:rsidRDefault="004E6D23" w14:paraId="79C5F458" w14:textId="77777777">
      <w:pPr>
        <w:spacing w:before="120" w:after="120" w:line="360" w:lineRule="auto"/>
      </w:pPr>
      <w:r w:rsidRPr="00E3672F">
        <w:t>Civil society and professional organisations in Italy provided concrete examples of how whistleblowing platforms can be integrated into broader integrity systems. These civil society stakeholders described cases where the same incident simultaneously triggered questions under codes of ethics, corporate liability rules and whistleblowing procedures, and where the report submitted through a whistleblowing channel resulted in internal audits or corrective actions even when the case did not strictly meet the legal definition of whistleblowing. They viewed this as evidence that, when properly designed, whistleblowing channels can act as an effective gateway to existing governance and compliance mechanisms, rather than a parallel or competing system.</w:t>
      </w:r>
    </w:p>
    <w:p w:rsidRPr="00E3672F" w:rsidR="00F67E48" w:rsidP="001E1287" w:rsidRDefault="00F67E48" w14:paraId="1FF442ED" w14:textId="77777777">
      <w:pPr>
        <w:spacing w:before="120" w:after="120" w:line="360" w:lineRule="auto"/>
      </w:pPr>
    </w:p>
    <w:p w:rsidRPr="00E3672F" w:rsidR="00F67E48" w:rsidP="001E1287" w:rsidRDefault="00F67E48" w14:paraId="78B8382A" w14:textId="77777777">
      <w:pPr>
        <w:spacing w:before="120" w:after="120" w:line="360" w:lineRule="auto"/>
        <w:ind w:left="720"/>
        <w:rPr>
          <w:b/>
          <w:bCs/>
        </w:rPr>
      </w:pPr>
      <w:r w:rsidRPr="00E3672F">
        <w:rPr>
          <w:b/>
          <w:bCs/>
        </w:rPr>
        <w:t xml:space="preserve">Latvia </w:t>
      </w:r>
    </w:p>
    <w:p w:rsidRPr="00E3672F" w:rsidR="00841E00" w:rsidP="001E1287" w:rsidRDefault="00841E00" w14:paraId="2B2EDF69" w14:textId="787FB2AD">
      <w:pPr>
        <w:spacing w:before="120" w:after="120" w:line="360" w:lineRule="auto"/>
      </w:pPr>
      <w:r w:rsidRPr="00E3672F">
        <w:t xml:space="preserve">Latvian </w:t>
      </w:r>
      <w:r w:rsidRPr="00E3672F">
        <w:rPr>
          <w:b/>
          <w:bCs/>
        </w:rPr>
        <w:t>public authority representatives</w:t>
      </w:r>
      <w:r w:rsidRPr="00E3672F">
        <w:t xml:space="preserve"> generally consider that the whistleblowing law is well integrated with other national legal regimes and complements, rather than duplicates, existing frameworks such as labour law, data protection rules and corporate governance standards. They explained that labour law continues to regulate individual employment relationships, including protection against unjustified dismissal, while whistleblowing offers additional guarantees where reports concern breaches of public interest. They also noted that corporate governance guidance and ethical codes in the public administration now explicitly refer to the duty to report wrongdoing and point towards whistleblowing mechanisms as practical tools to uphold those values.</w:t>
      </w:r>
    </w:p>
    <w:p w:rsidRPr="00E3672F" w:rsidR="00841E00" w:rsidP="001E1287" w:rsidRDefault="00841E00" w14:paraId="403D91A4" w14:textId="0767F07A">
      <w:pPr>
        <w:spacing w:before="120" w:after="120" w:line="360" w:lineRule="auto"/>
      </w:pPr>
      <w:r w:rsidRPr="00E3672F">
        <w:rPr>
          <w:b/>
          <w:bCs/>
        </w:rPr>
        <w:t>Trade union representatives</w:t>
      </w:r>
      <w:r w:rsidRPr="00E3672F">
        <w:t xml:space="preserve"> acknowledged this complementarity but emphasised that, in practice, it can be difficult for workers and even for some institutions to navigate the different procedures, thresholds and remedies attached to each regime. They cited examples where cases with both labour and public interest dimensions were not consistently treated as whistleblowing, resulting in under</w:t>
      </w:r>
      <w:r w:rsidR="006069EE">
        <w:t>-</w:t>
      </w:r>
      <w:r w:rsidRPr="00E3672F">
        <w:t>use of the available protective instruments. In their view, more integrated guidance and coordinated interpretation by labour inspectors, courts and other authorities could help ensure that workers receive the full benefit of both labour law protections and whistleblowing safeguards, particularly in cases where the reporting of a public interest issue triggers employment</w:t>
      </w:r>
      <w:r w:rsidRPr="00E3672F" w:rsidR="00293363">
        <w:t>-</w:t>
      </w:r>
      <w:r w:rsidRPr="00E3672F">
        <w:t>related retaliation.</w:t>
      </w:r>
    </w:p>
    <w:p w:rsidRPr="00E3672F" w:rsidR="00F67E48" w:rsidP="001E1287" w:rsidRDefault="00841E00" w14:paraId="5EEE66D2" w14:textId="39E6F1B8">
      <w:pPr>
        <w:spacing w:before="120" w:after="120" w:line="360" w:lineRule="auto"/>
      </w:pPr>
      <w:r w:rsidRPr="00E3672F">
        <w:t xml:space="preserve">Latvian </w:t>
      </w:r>
      <w:r w:rsidRPr="00E3672F">
        <w:rPr>
          <w:b/>
          <w:bCs/>
        </w:rPr>
        <w:t>business representatives</w:t>
      </w:r>
      <w:r w:rsidRPr="00E3672F">
        <w:t xml:space="preserve"> highlighted that companies must simultaneously comply with multiple EU</w:t>
      </w:r>
      <w:r w:rsidRPr="00E3672F" w:rsidR="00392725">
        <w:t>-</w:t>
      </w:r>
      <w:r w:rsidRPr="00E3672F">
        <w:t>driven frameworks, including whistleblowing rules, data protection under the G</w:t>
      </w:r>
      <w:r w:rsidR="006069EE">
        <w:t>DPR</w:t>
      </w:r>
      <w:r w:rsidRPr="00E3672F">
        <w:t>, sector</w:t>
      </w:r>
      <w:r w:rsidRPr="00E3672F" w:rsidR="00392725">
        <w:t>-</w:t>
      </w:r>
      <w:r w:rsidRPr="00E3672F">
        <w:t>specific regulations and various corporate governance codes. While they did not report systematic conflicts between these regimes, they stressed that the combined effect can be complex and resource</w:t>
      </w:r>
      <w:r w:rsidRPr="00E3672F" w:rsidR="00392725">
        <w:t>-</w:t>
      </w:r>
      <w:r w:rsidRPr="00E3672F">
        <w:t>intensive to manage, especially for smaller enterprises. Business organisations therefore called for efforts at both national and EU level to streamline references to legal instruments, avoid unnecessary overlaps in reporting requirements and provide clear, practical guidance on how different compliance obligations interact. They suggested that simplifying the way in which EU legal acts are referenced in the whistleblowing framework – for example by reducing reliance on lengthy annexes that quickly become outdated – would significantly improve system integration from the perspective of enterprises.</w:t>
      </w:r>
    </w:p>
    <w:p w:rsidRPr="00E3672F" w:rsidR="00F67E48" w:rsidP="001E1287" w:rsidRDefault="00F67E48" w14:paraId="52F36E57" w14:textId="77777777">
      <w:pPr>
        <w:spacing w:before="120" w:after="120" w:line="360" w:lineRule="auto"/>
      </w:pPr>
    </w:p>
    <w:p w:rsidRPr="00E3672F" w:rsidR="00F67E48" w:rsidP="001E1287" w:rsidRDefault="00F67E48" w14:paraId="5FDCEBCD" w14:textId="77777777">
      <w:pPr>
        <w:spacing w:before="120" w:after="120" w:line="360" w:lineRule="auto"/>
        <w:ind w:left="720"/>
        <w:rPr>
          <w:b/>
          <w:bCs/>
        </w:rPr>
      </w:pPr>
      <w:r w:rsidRPr="00E3672F">
        <w:rPr>
          <w:b/>
          <w:bCs/>
        </w:rPr>
        <w:t>Romania</w:t>
      </w:r>
    </w:p>
    <w:p w:rsidRPr="00E3672F" w:rsidR="0057330C" w:rsidP="001E1287" w:rsidRDefault="0057330C" w14:paraId="31FF9E15" w14:textId="16FEB85C">
      <w:pPr>
        <w:spacing w:before="120" w:after="120" w:line="360" w:lineRule="auto"/>
      </w:pPr>
      <w:r w:rsidRPr="00E3672F">
        <w:t xml:space="preserve">Romanian </w:t>
      </w:r>
      <w:r w:rsidRPr="00E3672F">
        <w:rPr>
          <w:b/>
          <w:bCs/>
        </w:rPr>
        <w:t>civil society representatives</w:t>
      </w:r>
      <w:r w:rsidRPr="00E3672F">
        <w:t xml:space="preserve"> emphasised that overlaps between whistleblowing rules and other legal regimes</w:t>
      </w:r>
      <w:r w:rsidRPr="00E3672F" w:rsidR="003945C0">
        <w:t>,</w:t>
      </w:r>
      <w:r w:rsidRPr="00E3672F">
        <w:t xml:space="preserve"> including data protection, labour law, anti‑discrimination law and corporate governance frameworks</w:t>
      </w:r>
      <w:r w:rsidRPr="00E3672F" w:rsidR="003945C0">
        <w:t>,</w:t>
      </w:r>
      <w:r w:rsidRPr="00E3672F">
        <w:t xml:space="preserve"> sometimes lead institutions to process disclosures without engaging whistleblower protections. They explained that some case‑handlers focus exclusively on the admissibility of evidence (such as audio recordings), data‑protection implications or HR classifications, rather than the public‑interest dimension of the disclosure. This results in situations where matters involving corruption, mismanagement or systemic organisational risk are treated as internal disputes, leaving whistleblowers unprotected. Civil society actors argued that clearer guidance is urgently needed to ensure that whistleblowing rules complement, rather than become overshadowed by, parallel legal regimes.</w:t>
      </w:r>
    </w:p>
    <w:p w:rsidRPr="00E3672F" w:rsidR="0057330C" w:rsidP="001E1287" w:rsidRDefault="0057330C" w14:paraId="366067A4" w14:textId="7E09EC4A">
      <w:pPr>
        <w:spacing w:before="120" w:after="120" w:line="360" w:lineRule="auto"/>
      </w:pPr>
      <w:r w:rsidRPr="00E3672F">
        <w:t xml:space="preserve">Social partners also referred to practical overlaps with labour‑law and employment‑governance systems, especially in workplaces where grievance mechanisms and collective agreements already provide structured procedures for raising concerns. </w:t>
      </w:r>
      <w:r w:rsidRPr="00E3672F">
        <w:rPr>
          <w:b/>
          <w:bCs/>
        </w:rPr>
        <w:t>Trade union</w:t>
      </w:r>
      <w:r w:rsidRPr="00E3672F">
        <w:t xml:space="preserve"> representatives indicated that workers often favour familiar labour‑law routes when confronting misconduct, sometimes because they are unaware of whistleblowing channels and sometimes because they believe these channels lack impartiality. </w:t>
      </w:r>
      <w:r w:rsidRPr="00E3672F">
        <w:rPr>
          <w:b/>
          <w:bCs/>
        </w:rPr>
        <w:t>Employers</w:t>
      </w:r>
      <w:r w:rsidRPr="00E3672F">
        <w:t xml:space="preserve"> noted that misconduct which touches on disciplinary matters or workplace conflict is frequently addressed first through internal HR processes, leaving ambiguity over when whistleblowing rules should apply. Social partners therefore called for clearer articulation of how whistleblowing interacts with these established systems. </w:t>
      </w:r>
    </w:p>
    <w:p w:rsidRPr="00E3672F" w:rsidR="0057330C" w:rsidP="001E1287" w:rsidRDefault="0057330C" w14:paraId="12D9362A" w14:textId="48ED1D33">
      <w:pPr>
        <w:pStyle w:val="ListParagraph"/>
        <w:spacing w:before="120" w:after="120" w:line="360" w:lineRule="auto"/>
        <w:ind w:left="0"/>
      </w:pPr>
      <w:r w:rsidRPr="00E3672F">
        <w:t xml:space="preserve">Romanian </w:t>
      </w:r>
      <w:r w:rsidRPr="00E3672F">
        <w:rPr>
          <w:b/>
          <w:bCs/>
        </w:rPr>
        <w:t>public authorities</w:t>
      </w:r>
      <w:r w:rsidRPr="00E3672F">
        <w:t xml:space="preserve"> acknowledged that interactions with data protection law initially created uncertainties, with the national data‑protection body questioning the necessity of a separate whistleblowing framework. Authorities explained that subsequent dialogue established a working arrangement whereby institutions must ensure confidentiality and lawful data processing under both </w:t>
      </w:r>
      <w:r w:rsidRPr="00E3672F" w:rsidR="00392725">
        <w:t xml:space="preserve">the </w:t>
      </w:r>
      <w:r w:rsidRPr="00E3672F">
        <w:t>GDPR and the whistleblowing law. Public authorities also recognised that, in areas involving classified information or national‑security procurement, separate legal regimes legitimately govern disclosure. Nevertheless, they emphasised that whistleblowing rules can operate alongside these frameworks and that, with appropriate training, institutions can avoid undue conflict between legal regimes. Authorities expressed the view that integrated guidance and specialised training would help align interpretations across the public sector.</w:t>
      </w:r>
    </w:p>
    <w:p w:rsidRPr="00E3672F" w:rsidR="00C21CC2" w:rsidP="001E1287" w:rsidRDefault="00C21CC2" w14:paraId="6123435C" w14:textId="77777777">
      <w:pPr>
        <w:pStyle w:val="ListParagraph"/>
        <w:spacing w:before="120" w:after="120" w:line="360" w:lineRule="auto"/>
      </w:pPr>
    </w:p>
    <w:p w:rsidRPr="00E3672F" w:rsidR="00C21CC2" w:rsidP="001E1287" w:rsidRDefault="00C21CC2" w14:paraId="20DC0BA6" w14:textId="1363FC40">
      <w:pPr>
        <w:pStyle w:val="Heading2"/>
        <w:spacing w:before="120" w:after="120" w:line="360" w:lineRule="auto"/>
        <w:contextualSpacing/>
        <w:rPr>
          <w:rFonts w:cs="Times New Roman"/>
          <w:u w:val="single"/>
        </w:rPr>
      </w:pPr>
      <w:bookmarkStart w:name="_Toc228180542" w:id="40"/>
      <w:r w:rsidRPr="00E3672F">
        <w:rPr>
          <w:rFonts w:cs="Times New Roman"/>
        </w:rPr>
        <w:t>4.2</w:t>
      </w:r>
      <w:r w:rsidRPr="00E3672F">
        <w:rPr>
          <w:rFonts w:cs="Times New Roman"/>
        </w:rPr>
        <w:tab/>
      </w:r>
      <w:r w:rsidRPr="00E3672F">
        <w:rPr>
          <w:rFonts w:cs="Times New Roman"/>
          <w:u w:val="single"/>
        </w:rPr>
        <w:t>Information from the questionnaire</w:t>
      </w:r>
      <w:bookmarkEnd w:id="40"/>
      <w:r w:rsidRPr="00E3672F">
        <w:rPr>
          <w:rFonts w:cs="Times New Roman"/>
          <w:u w:val="single"/>
        </w:rPr>
        <w:t xml:space="preserve"> </w:t>
      </w:r>
    </w:p>
    <w:p w:rsidRPr="00E3672F" w:rsidR="0057330C" w:rsidP="001E1287" w:rsidRDefault="0057330C" w14:paraId="623290E5" w14:textId="77777777">
      <w:pPr>
        <w:spacing w:line="360" w:lineRule="auto"/>
      </w:pPr>
    </w:p>
    <w:p w:rsidRPr="001056D2" w:rsidR="00111A54" w:rsidP="001056D2" w:rsidRDefault="00DF7220" w14:paraId="1C7F3F40" w14:textId="1F22829D">
      <w:pPr>
        <w:pStyle w:val="Heading2"/>
        <w:ind w:left="720"/>
        <w:rPr>
          <w:u w:val="single"/>
        </w:rPr>
      </w:pPr>
      <w:bookmarkStart w:name="_Toc228180543" w:id="41"/>
      <w:r w:rsidRPr="00E3672F">
        <w:rPr>
          <w:u w:val="single"/>
        </w:rPr>
        <w:t>Material scope</w:t>
      </w:r>
      <w:bookmarkEnd w:id="41"/>
      <w:r w:rsidRPr="00E3672F">
        <w:rPr>
          <w:u w:val="single"/>
        </w:rPr>
        <w:t> </w:t>
      </w:r>
    </w:p>
    <w:p w:rsidRPr="00E3672F" w:rsidR="00DF7220" w:rsidP="001E1287" w:rsidRDefault="00111A54" w14:paraId="4F4CCFD7" w14:textId="07A33D9C">
      <w:pPr>
        <w:pStyle w:val="NoSpacing"/>
        <w:spacing w:line="360" w:lineRule="auto"/>
        <w:jc w:val="both"/>
        <w:rPr>
          <w:rFonts w:cs="Times New Roman"/>
          <w:lang w:val="en-GB"/>
        </w:rPr>
      </w:pPr>
      <w:r w:rsidRPr="00E3672F">
        <w:rPr>
          <w:rFonts w:cs="Times New Roman"/>
          <w:lang w:val="en-GB"/>
        </w:rPr>
        <w:t>When asked whether the current material scope of the Directive is correctly designed to achieve its objectives (Question 17), 45% (18 out of 40) of respondents believe it should be kept as is, while 35% (14 out of 40) consider that it should be expanded.</w:t>
      </w:r>
    </w:p>
    <w:p w:rsidRPr="001056D2" w:rsidR="00DF7220" w:rsidP="001056D2" w:rsidRDefault="00E14371" w14:paraId="50CE4E4F" w14:textId="194FB990">
      <w:pPr>
        <w:pStyle w:val="NoSpacing"/>
        <w:spacing w:line="360" w:lineRule="auto"/>
        <w:jc w:val="center"/>
      </w:pPr>
      <w:r w:rsidRPr="00E14371">
        <w:rPr>
          <w:noProof/>
          <w:lang w:val="en-US"/>
        </w:rPr>
        <w:drawing>
          <wp:inline distT="0" distB="0" distL="0" distR="0" wp14:anchorId="1D30F949" wp14:editId="335934CD">
            <wp:extent cx="4232275" cy="2556999"/>
            <wp:effectExtent l="0" t="0" r="0" b="0"/>
            <wp:docPr id="4917192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263724" cy="2576000"/>
                    </a:xfrm>
                    <a:prstGeom prst="rect">
                      <a:avLst/>
                    </a:prstGeom>
                    <a:noFill/>
                    <a:ln>
                      <a:noFill/>
                    </a:ln>
                  </pic:spPr>
                </pic:pic>
              </a:graphicData>
            </a:graphic>
          </wp:inline>
        </w:drawing>
      </w:r>
    </w:p>
    <w:p w:rsidRPr="00E3672F" w:rsidR="00DF7220" w:rsidP="001E1287" w:rsidRDefault="00DF7220" w14:paraId="139F0D38" w14:textId="77777777">
      <w:pPr>
        <w:pStyle w:val="NoSpacing"/>
        <w:spacing w:line="360" w:lineRule="auto"/>
        <w:jc w:val="both"/>
        <w:rPr>
          <w:rFonts w:cs="Times New Roman"/>
          <w:lang w:val="en-GB"/>
        </w:rPr>
      </w:pPr>
    </w:p>
    <w:p w:rsidRPr="00E3672F" w:rsidR="00DF7220" w:rsidP="00600136" w:rsidRDefault="00600136" w14:paraId="1A411F65" w14:textId="669184F2">
      <w:pPr>
        <w:pStyle w:val="NoSpacing"/>
        <w:spacing w:line="360" w:lineRule="auto"/>
        <w:jc w:val="center"/>
        <w:rPr>
          <w:rFonts w:cs="Times New Roman"/>
          <w:lang w:val="en-GB"/>
        </w:rPr>
      </w:pPr>
      <w:r w:rsidRPr="00E3672F">
        <w:rPr>
          <w:noProof/>
          <w:lang w:val="en-US"/>
          <w14:ligatures w14:val="standardContextual"/>
        </w:rPr>
        <w:drawing>
          <wp:inline distT="0" distB="0" distL="0" distR="0" wp14:anchorId="77A62010" wp14:editId="4E61DA3B">
            <wp:extent cx="4554855" cy="3081600"/>
            <wp:effectExtent l="0" t="0" r="17145" b="5080"/>
            <wp:docPr id="2118020660" name="Chart 1">
              <a:extLst xmlns:a="http://schemas.openxmlformats.org/drawingml/2006/main">
                <a:ext uri="{FF2B5EF4-FFF2-40B4-BE49-F238E27FC236}">
                  <a16:creationId xmlns:a16="http://schemas.microsoft.com/office/drawing/2014/main" id="{229DAC56-374B-8F52-77AF-2700C5DC15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Pr="00E3672F" w:rsidR="00DF7220" w:rsidP="001E1287" w:rsidRDefault="00DF7220" w14:paraId="4F5E2C59" w14:textId="77777777">
      <w:pPr>
        <w:pStyle w:val="NoSpacing"/>
        <w:spacing w:line="360" w:lineRule="auto"/>
        <w:jc w:val="both"/>
        <w:rPr>
          <w:rFonts w:cs="Times New Roman"/>
          <w:lang w:val="en-GB"/>
        </w:rPr>
      </w:pPr>
    </w:p>
    <w:p w:rsidRPr="00E3672F" w:rsidR="00DF7220" w:rsidP="001E1287" w:rsidRDefault="00DF7220" w14:paraId="6AD8372F" w14:textId="44C51BF8">
      <w:pPr>
        <w:pStyle w:val="NoSpacing"/>
        <w:spacing w:line="360" w:lineRule="auto"/>
        <w:jc w:val="both"/>
        <w:rPr>
          <w:rFonts w:cs="Times New Roman"/>
          <w:lang w:val="en-GB"/>
        </w:rPr>
      </w:pPr>
      <w:r w:rsidRPr="00E3672F">
        <w:rPr>
          <w:rFonts w:cs="Times New Roman"/>
          <w:lang w:val="en-GB"/>
        </w:rPr>
        <w:t xml:space="preserve">Responses varied </w:t>
      </w:r>
      <w:r w:rsidR="006069EE">
        <w:rPr>
          <w:rFonts w:cs="Times New Roman"/>
          <w:lang w:val="en-GB"/>
        </w:rPr>
        <w:t>noticeably</w:t>
      </w:r>
      <w:r w:rsidRPr="00E3672F" w:rsidR="006069EE">
        <w:rPr>
          <w:rFonts w:cs="Times New Roman"/>
          <w:lang w:val="en-GB"/>
        </w:rPr>
        <w:t xml:space="preserve"> </w:t>
      </w:r>
      <w:r w:rsidRPr="00E3672F">
        <w:rPr>
          <w:rFonts w:cs="Times New Roman"/>
          <w:lang w:val="en-GB"/>
        </w:rPr>
        <w:t xml:space="preserve">across countries. </w:t>
      </w:r>
      <w:r w:rsidRPr="00E3672F">
        <w:rPr>
          <w:rFonts w:cs="Times New Roman"/>
          <w:b/>
          <w:bCs/>
          <w:lang w:val="en-GB"/>
        </w:rPr>
        <w:t>Latvia</w:t>
      </w:r>
      <w:r w:rsidRPr="00E3672F">
        <w:rPr>
          <w:rFonts w:cs="Times New Roman"/>
          <w:lang w:val="en-GB"/>
        </w:rPr>
        <w:t xml:space="preserve"> and </w:t>
      </w:r>
      <w:r w:rsidRPr="00E3672F">
        <w:rPr>
          <w:rFonts w:cs="Times New Roman"/>
          <w:b/>
          <w:bCs/>
          <w:lang w:val="en-GB"/>
        </w:rPr>
        <w:t>Italy</w:t>
      </w:r>
      <w:r w:rsidRPr="00E3672F">
        <w:rPr>
          <w:rFonts w:cs="Times New Roman"/>
          <w:lang w:val="en-GB"/>
        </w:rPr>
        <w:t xml:space="preserve"> showed strong support for maintaining the current scope, with 71% (5 out of 7) and 63% (5 out of 8) of respondents, respectively, indicating it should be kept as is. </w:t>
      </w:r>
      <w:r w:rsidRPr="00E3672F">
        <w:rPr>
          <w:rFonts w:cs="Times New Roman"/>
          <w:b/>
          <w:bCs/>
          <w:lang w:val="en-GB"/>
        </w:rPr>
        <w:t>Denmark</w:t>
      </w:r>
      <w:r w:rsidRPr="00E3672F">
        <w:rPr>
          <w:rFonts w:cs="Times New Roman"/>
          <w:lang w:val="en-GB"/>
        </w:rPr>
        <w:t xml:space="preserve"> also leaned toward</w:t>
      </w:r>
      <w:r w:rsidR="00DB14B0">
        <w:rPr>
          <w:rFonts w:cs="Times New Roman"/>
          <w:lang w:val="en-GB"/>
        </w:rPr>
        <w:t>s</w:t>
      </w:r>
      <w:r w:rsidRPr="00E3672F">
        <w:rPr>
          <w:rFonts w:cs="Times New Roman"/>
          <w:lang w:val="en-GB"/>
        </w:rPr>
        <w:t xml:space="preserve"> maintaining the scope, with 50% (6 out of 12) supporting this view. In contrast, </w:t>
      </w:r>
      <w:r w:rsidRPr="00E3672F">
        <w:rPr>
          <w:rFonts w:cs="Times New Roman"/>
          <w:b/>
          <w:bCs/>
          <w:lang w:val="en-GB"/>
        </w:rPr>
        <w:t>France</w:t>
      </w:r>
      <w:r w:rsidRPr="00E3672F">
        <w:rPr>
          <w:rFonts w:cs="Times New Roman"/>
          <w:lang w:val="en-GB"/>
        </w:rPr>
        <w:t xml:space="preserve"> and </w:t>
      </w:r>
      <w:r w:rsidRPr="00E3672F">
        <w:rPr>
          <w:rFonts w:cs="Times New Roman"/>
          <w:b/>
          <w:bCs/>
          <w:lang w:val="en-GB"/>
        </w:rPr>
        <w:t>Romania</w:t>
      </w:r>
      <w:r w:rsidRPr="00E3672F">
        <w:rPr>
          <w:rFonts w:cs="Times New Roman"/>
          <w:lang w:val="en-GB"/>
        </w:rPr>
        <w:t xml:space="preserve"> favoured expansion, with 56% (5 out of 9) in France and 75% (3 out of 4) in Romania suggesting the scope should be broadened to better achieve the Directive</w:t>
      </w:r>
      <w:r w:rsidRPr="00E3672F" w:rsidR="00413731">
        <w:rPr>
          <w:rFonts w:cs="Times New Roman"/>
          <w:lang w:val="en-GB"/>
        </w:rPr>
        <w:t>’</w:t>
      </w:r>
      <w:r w:rsidRPr="00E3672F">
        <w:rPr>
          <w:rFonts w:cs="Times New Roman"/>
          <w:lang w:val="en-GB"/>
        </w:rPr>
        <w:t>s objectives. Uncertainty was notable in France and Denmark, where 33% (3 out of 9) and 25% (3 out of 12) of respondents, respectively, were unsure.</w:t>
      </w:r>
    </w:p>
    <w:p w:rsidRPr="00E3672F" w:rsidR="00DF7220" w:rsidP="001E1287" w:rsidRDefault="00DF7220" w14:paraId="03C9F2A6" w14:textId="77777777">
      <w:pPr>
        <w:pStyle w:val="NoSpacing"/>
        <w:spacing w:line="360" w:lineRule="auto"/>
        <w:jc w:val="both"/>
        <w:rPr>
          <w:rFonts w:cs="Times New Roman"/>
          <w:lang w:val="en-GB"/>
        </w:rPr>
      </w:pPr>
    </w:p>
    <w:p w:rsidRPr="00E3672F" w:rsidR="00DF7220" w:rsidP="001E1287" w:rsidRDefault="006069EE" w14:paraId="756E856C" w14:textId="63D84ADB">
      <w:pPr>
        <w:pStyle w:val="NoSpacing"/>
        <w:spacing w:line="360" w:lineRule="auto"/>
        <w:jc w:val="both"/>
        <w:rPr>
          <w:rFonts w:cs="Times New Roman"/>
          <w:lang w:val="en-GB"/>
        </w:rPr>
      </w:pPr>
      <w:r>
        <w:rPr>
          <w:rFonts w:cs="Times New Roman"/>
          <w:lang w:val="en-GB"/>
        </w:rPr>
        <w:t>R</w:t>
      </w:r>
      <w:r w:rsidRPr="00E3672F" w:rsidR="00DF7220">
        <w:rPr>
          <w:rFonts w:cs="Times New Roman"/>
          <w:lang w:val="en-GB"/>
        </w:rPr>
        <w:t>espondents who indicated that the Directive</w:t>
      </w:r>
      <w:r w:rsidRPr="00E3672F" w:rsidR="00413731">
        <w:rPr>
          <w:rFonts w:cs="Times New Roman"/>
          <w:lang w:val="en-GB"/>
        </w:rPr>
        <w:t>’</w:t>
      </w:r>
      <w:r w:rsidRPr="00E3672F" w:rsidR="00DF7220">
        <w:rPr>
          <w:rFonts w:cs="Times New Roman"/>
          <w:lang w:val="en-GB"/>
        </w:rPr>
        <w:t>s material scope should be expanded were asked to provide examples (Question 17a). Those who could provide examples highlighted that limiting coverage to specific areas</w:t>
      </w:r>
      <w:r w:rsidR="00ED152C">
        <w:rPr>
          <w:rFonts w:cs="Times New Roman"/>
          <w:lang w:val="en-GB"/>
        </w:rPr>
        <w:t xml:space="preserve"> of EU law</w:t>
      </w:r>
      <w:r w:rsidRPr="00E3672F" w:rsidR="00DF7220">
        <w:rPr>
          <w:rFonts w:cs="Times New Roman"/>
          <w:lang w:val="en-GB"/>
        </w:rPr>
        <w:t xml:space="preserve"> creates legal uncertainty for potential reporters and may discourage reporting. Examples included the need to cover serious breaches of national law, public integrity, occupational health and safety, anticorruption and ethical violations. Some stakeholders also suggested explicitly including sectors currently outside the scope, such as the judiciary, national security, military, intelligence and crimes against humanity or war crimes. They further emphasised that effective expansion would require adequate training, resources and support for facilitators to ensure the Directive</w:t>
      </w:r>
      <w:r w:rsidRPr="00E3672F" w:rsidR="00413731">
        <w:rPr>
          <w:rFonts w:cs="Times New Roman"/>
          <w:lang w:val="en-GB"/>
        </w:rPr>
        <w:t>’</w:t>
      </w:r>
      <w:r w:rsidRPr="00E3672F" w:rsidR="00DF7220">
        <w:rPr>
          <w:rFonts w:cs="Times New Roman"/>
          <w:lang w:val="en-GB"/>
        </w:rPr>
        <w:t>s objectives are fully met.</w:t>
      </w:r>
    </w:p>
    <w:p w:rsidRPr="00E3672F" w:rsidR="004523CC" w:rsidP="001E1287" w:rsidRDefault="004523CC" w14:paraId="6745113B" w14:textId="77777777">
      <w:pPr>
        <w:pStyle w:val="NoSpacing"/>
        <w:spacing w:line="360" w:lineRule="auto"/>
        <w:jc w:val="both"/>
        <w:rPr>
          <w:rFonts w:cs="Times New Roman"/>
          <w:lang w:val="en-GB"/>
        </w:rPr>
      </w:pPr>
    </w:p>
    <w:p w:rsidRPr="00E3672F" w:rsidR="00DF7220" w:rsidP="000408B1" w:rsidRDefault="00DF7220" w14:paraId="4CB827C1" w14:textId="77777777">
      <w:pPr>
        <w:pStyle w:val="Heading2"/>
        <w:ind w:left="720"/>
        <w:rPr>
          <w:u w:val="single"/>
        </w:rPr>
      </w:pPr>
      <w:bookmarkStart w:name="_Toc228180544" w:id="42"/>
      <w:r w:rsidRPr="00E3672F">
        <w:rPr>
          <w:u w:val="single"/>
        </w:rPr>
        <w:t>Coverage of social and labour issues</w:t>
      </w:r>
      <w:bookmarkEnd w:id="42"/>
    </w:p>
    <w:p w:rsidRPr="00E3672F" w:rsidR="001056D2" w:rsidP="001056D2" w:rsidRDefault="001056D2" w14:paraId="0DB53955" w14:textId="77777777">
      <w:pPr>
        <w:pStyle w:val="NoSpacing"/>
        <w:spacing w:line="360" w:lineRule="auto"/>
        <w:jc w:val="both"/>
        <w:rPr>
          <w:rFonts w:cs="Times New Roman"/>
          <w:lang w:val="en-GB"/>
        </w:rPr>
      </w:pPr>
      <w:r w:rsidRPr="00E3672F">
        <w:rPr>
          <w:rFonts w:cs="Times New Roman"/>
          <w:lang w:val="en-GB"/>
        </w:rPr>
        <w:t>When asked whether protection should extend beyond the current scope to include social</w:t>
      </w:r>
      <w:r>
        <w:rPr>
          <w:rFonts w:cs="Times New Roman"/>
          <w:lang w:val="en-GB"/>
        </w:rPr>
        <w:t>-</w:t>
      </w:r>
      <w:r w:rsidRPr="00E3672F">
        <w:rPr>
          <w:rFonts w:cs="Times New Roman"/>
          <w:lang w:val="en-GB"/>
        </w:rPr>
        <w:t>domain issues, such as workplace harassment, discrimination or health and safety that cause harm to the public interest (Question 18), responses were closely divided. A total of 42% (17 out of 40) of respondents indicated that protection should be extended, while 40% (16 out of 40) opposed expansion. An additional 18% (7 out of 40) were unsure.</w:t>
      </w:r>
    </w:p>
    <w:p w:rsidRPr="00E3672F" w:rsidR="00DF7220" w:rsidP="001E1287" w:rsidRDefault="00DF7220" w14:paraId="4FD9E530" w14:textId="77777777">
      <w:pPr>
        <w:pStyle w:val="NoSpacing"/>
        <w:spacing w:line="360" w:lineRule="auto"/>
        <w:jc w:val="both"/>
        <w:rPr>
          <w:rFonts w:cs="Times New Roman"/>
          <w:lang w:val="en-GB"/>
        </w:rPr>
      </w:pPr>
    </w:p>
    <w:p w:rsidRPr="00E3672F" w:rsidR="00DF7220" w:rsidP="00F72BE0" w:rsidRDefault="00F72BE0" w14:paraId="753A469D" w14:textId="2887908D">
      <w:pPr>
        <w:pStyle w:val="NoSpacing"/>
        <w:spacing w:line="360" w:lineRule="auto"/>
        <w:jc w:val="center"/>
        <w:rPr>
          <w:rFonts w:cs="Times New Roman"/>
          <w:lang w:val="en-GB"/>
        </w:rPr>
      </w:pPr>
      <w:r w:rsidRPr="00E3672F">
        <w:rPr>
          <w:rFonts w:cs="Times New Roman"/>
          <w:noProof/>
          <w:lang w:val="en-US"/>
          <w14:ligatures w14:val="standardContextual"/>
        </w:rPr>
        <w:drawing>
          <wp:inline distT="0" distB="0" distL="0" distR="0" wp14:anchorId="73C149DC" wp14:editId="4304438F">
            <wp:extent cx="5122545" cy="2717800"/>
            <wp:effectExtent l="0" t="0" r="1905" b="6350"/>
            <wp:docPr id="305486058" name="Chart 1">
              <a:extLst xmlns:a="http://schemas.openxmlformats.org/drawingml/2006/main">
                <a:ext uri="{FF2B5EF4-FFF2-40B4-BE49-F238E27FC236}">
                  <a16:creationId xmlns:a16="http://schemas.microsoft.com/office/drawing/2014/main" id="{B25E0463-B7FF-5132-538D-2FD69E23FA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Pr="00E3672F" w:rsidR="00DF7220" w:rsidP="001E1287" w:rsidRDefault="00DF7220" w14:paraId="2CFC6088" w14:textId="77777777">
      <w:pPr>
        <w:pStyle w:val="NoSpacing"/>
        <w:spacing w:line="360" w:lineRule="auto"/>
        <w:jc w:val="both"/>
        <w:rPr>
          <w:rFonts w:cs="Times New Roman"/>
          <w:lang w:val="en-GB"/>
        </w:rPr>
      </w:pPr>
    </w:p>
    <w:p w:rsidRPr="00E3672F" w:rsidR="00DF7220" w:rsidP="008C02D0" w:rsidRDefault="008C02D0" w14:paraId="2A342E96" w14:textId="2E80ACF4">
      <w:pPr>
        <w:pStyle w:val="NoSpacing"/>
        <w:spacing w:line="360" w:lineRule="auto"/>
        <w:jc w:val="center"/>
        <w:rPr>
          <w:rFonts w:cs="Times New Roman"/>
          <w:lang w:val="en-GB"/>
        </w:rPr>
      </w:pPr>
      <w:r w:rsidRPr="00E3672F">
        <w:rPr>
          <w:noProof/>
          <w:lang w:val="en-US"/>
          <w14:ligatures w14:val="standardContextual"/>
        </w:rPr>
        <w:drawing>
          <wp:inline distT="0" distB="0" distL="0" distR="0" wp14:anchorId="1977C969" wp14:editId="0D315FF4">
            <wp:extent cx="4982210" cy="3335655"/>
            <wp:effectExtent l="0" t="0" r="8890" b="17145"/>
            <wp:docPr id="1265416522" name="Chart 1">
              <a:extLst xmlns:a="http://schemas.openxmlformats.org/drawingml/2006/main">
                <a:ext uri="{FF2B5EF4-FFF2-40B4-BE49-F238E27FC236}">
                  <a16:creationId xmlns:a16="http://schemas.microsoft.com/office/drawing/2014/main" id="{19AA790F-40A2-6FAE-CE02-8F84A5B7D8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DF7220" w:rsidP="001E1287" w:rsidRDefault="00DF7220" w14:paraId="2D8F307F" w14:textId="77777777">
      <w:pPr>
        <w:pStyle w:val="NoSpacing"/>
        <w:spacing w:line="360" w:lineRule="auto"/>
        <w:jc w:val="both"/>
        <w:rPr>
          <w:rFonts w:cs="Times New Roman"/>
          <w:lang w:val="en-GB"/>
        </w:rPr>
      </w:pPr>
    </w:p>
    <w:p w:rsidRPr="00E3672F" w:rsidR="004523CC" w:rsidP="004523CC" w:rsidRDefault="004523CC" w14:paraId="54B8037A" w14:textId="77777777">
      <w:pPr>
        <w:pStyle w:val="NoSpacing"/>
        <w:spacing w:line="360" w:lineRule="auto"/>
        <w:jc w:val="both"/>
        <w:rPr>
          <w:rFonts w:cs="Times New Roman"/>
          <w:lang w:val="en-GB"/>
        </w:rPr>
      </w:pPr>
      <w:r w:rsidRPr="00E3672F">
        <w:rPr>
          <w:rFonts w:cs="Times New Roman"/>
          <w:b/>
          <w:bCs/>
          <w:lang w:val="en-GB"/>
        </w:rPr>
        <w:t>Romania</w:t>
      </w:r>
      <w:r w:rsidRPr="00E3672F">
        <w:rPr>
          <w:rFonts w:cs="Times New Roman"/>
          <w:lang w:val="en-GB"/>
        </w:rPr>
        <w:t xml:space="preserve"> showed unanimous support, with 100% (4 out of 4) of respondents indicating that protection should be extended. </w:t>
      </w:r>
      <w:r w:rsidRPr="00E3672F">
        <w:rPr>
          <w:rFonts w:cs="Times New Roman"/>
          <w:b/>
          <w:bCs/>
          <w:lang w:val="en-GB"/>
        </w:rPr>
        <w:t>France</w:t>
      </w:r>
      <w:r w:rsidRPr="00E3672F">
        <w:rPr>
          <w:rFonts w:cs="Times New Roman"/>
          <w:lang w:val="en-GB"/>
        </w:rPr>
        <w:t xml:space="preserve"> also displayed strong support, with 67% (6 out of 9) in favour. In contrast, </w:t>
      </w:r>
      <w:r w:rsidRPr="00E3672F">
        <w:rPr>
          <w:rFonts w:cs="Times New Roman"/>
          <w:b/>
          <w:bCs/>
          <w:lang w:val="en-GB"/>
        </w:rPr>
        <w:t>Latvia</w:t>
      </w:r>
      <w:r w:rsidRPr="00E3672F">
        <w:rPr>
          <w:rFonts w:cs="Times New Roman"/>
          <w:lang w:val="en-GB"/>
        </w:rPr>
        <w:t xml:space="preserve"> and </w:t>
      </w:r>
      <w:r w:rsidRPr="00E3672F">
        <w:rPr>
          <w:rFonts w:cs="Times New Roman"/>
          <w:b/>
          <w:bCs/>
          <w:lang w:val="en-GB"/>
        </w:rPr>
        <w:t>Italy</w:t>
      </w:r>
      <w:r w:rsidRPr="00E3672F">
        <w:rPr>
          <w:rFonts w:cs="Times New Roman"/>
          <w:lang w:val="en-GB"/>
        </w:rPr>
        <w:t xml:space="preserve"> predominantly opposed expansion, with 57% (4 out of 7) and 50% (4 out of 8), respectively indicating that protection should not be extended. </w:t>
      </w:r>
      <w:r w:rsidRPr="00E3672F">
        <w:rPr>
          <w:rFonts w:cs="Times New Roman"/>
          <w:b/>
          <w:bCs/>
          <w:lang w:val="en-GB"/>
        </w:rPr>
        <w:t>Denmark</w:t>
      </w:r>
      <w:r w:rsidRPr="00E3672F">
        <w:rPr>
          <w:rFonts w:cs="Times New Roman"/>
          <w:lang w:val="en-GB"/>
        </w:rPr>
        <w:t xml:space="preserve"> showed the highest level of uncertainty, with 42% (5 out of 12) of respondents unsure, alongside 17% (2 out of 12) supporting and 42% (5 out of 12) opposing expansion.</w:t>
      </w:r>
    </w:p>
    <w:p w:rsidRPr="00E3672F" w:rsidR="004523CC" w:rsidP="001E1287" w:rsidRDefault="004523CC" w14:paraId="5638E37B" w14:textId="77777777">
      <w:pPr>
        <w:pStyle w:val="NoSpacing"/>
        <w:spacing w:line="360" w:lineRule="auto"/>
        <w:jc w:val="both"/>
        <w:rPr>
          <w:rFonts w:cs="Times New Roman"/>
          <w:lang w:val="en-GB"/>
        </w:rPr>
      </w:pPr>
    </w:p>
    <w:p w:rsidRPr="00E3672F" w:rsidR="00DF7220" w:rsidP="001E1287" w:rsidRDefault="00DF7220" w14:paraId="7A49752C" w14:textId="3485F235">
      <w:pPr>
        <w:pStyle w:val="NoSpacing"/>
        <w:spacing w:line="360" w:lineRule="auto"/>
        <w:jc w:val="both"/>
        <w:rPr>
          <w:rFonts w:cs="Times New Roman"/>
          <w:lang w:val="en-GB"/>
        </w:rPr>
      </w:pPr>
      <w:r w:rsidRPr="00E3672F">
        <w:rPr>
          <w:rFonts w:cs="Times New Roman"/>
          <w:lang w:val="en-GB"/>
        </w:rPr>
        <w:t xml:space="preserve">Respondents who indicated that protection should extend beyond the current scope to cover </w:t>
      </w:r>
      <w:r w:rsidRPr="00E3672F" w:rsidR="00C10652">
        <w:rPr>
          <w:rFonts w:cs="Times New Roman"/>
          <w:lang w:val="en-GB"/>
        </w:rPr>
        <w:t>social</w:t>
      </w:r>
      <w:r w:rsidR="00C10652">
        <w:rPr>
          <w:rFonts w:cs="Times New Roman"/>
          <w:lang w:val="en-GB"/>
        </w:rPr>
        <w:t>-</w:t>
      </w:r>
      <w:r w:rsidRPr="00E3672F">
        <w:rPr>
          <w:rFonts w:cs="Times New Roman"/>
          <w:lang w:val="en-GB"/>
        </w:rPr>
        <w:t>domain issues that affect the public interest were asked to specify which issues should be included (Question 18a). Those who could provide examples highlighted systemic workplace harassment, sexual or gender-based violence, discrimination, violations of health and safety rules, and broader social rights breaches as key areas. Several noted that such issues, while not always covered by EU law, can have serious consequences for both individuals and the public, and national practices in some Member States already include these categories, illustrating that the Directive</w:t>
      </w:r>
      <w:r w:rsidRPr="00E3672F" w:rsidR="00413731">
        <w:rPr>
          <w:rFonts w:cs="Times New Roman"/>
          <w:lang w:val="en-GB"/>
        </w:rPr>
        <w:t>’</w:t>
      </w:r>
      <w:r w:rsidRPr="00E3672F">
        <w:rPr>
          <w:rFonts w:cs="Times New Roman"/>
          <w:lang w:val="en-GB"/>
        </w:rPr>
        <w:t>s current scope is too narrow to ensure effective whistleblower protection.</w:t>
      </w:r>
    </w:p>
    <w:p w:rsidRPr="00E3672F" w:rsidR="00DF7220" w:rsidP="00C617E2" w:rsidRDefault="00DF7220" w14:paraId="659363CE" w14:textId="0B8F9964">
      <w:pPr>
        <w:pStyle w:val="NoSpacing"/>
        <w:spacing w:line="360" w:lineRule="auto"/>
        <w:jc w:val="center"/>
        <w:rPr>
          <w:rFonts w:cs="Times New Roman"/>
          <w:b/>
          <w:bCs/>
          <w:lang w:val="en-GB"/>
        </w:rPr>
      </w:pPr>
      <w:r w:rsidRPr="00E3672F">
        <w:rPr>
          <w:rFonts w:cs="Times New Roman"/>
          <w:lang w:val="en-GB"/>
        </w:rPr>
        <w:br/>
      </w:r>
      <w:r w:rsidRPr="00E3672F" w:rsidR="00C617E2">
        <w:rPr>
          <w:rFonts w:cs="Times New Roman"/>
          <w:noProof/>
          <w:lang w:val="en-US"/>
          <w14:ligatures w14:val="standardContextual"/>
        </w:rPr>
        <w:drawing>
          <wp:inline distT="0" distB="0" distL="0" distR="0" wp14:anchorId="23E98B82" wp14:editId="0B7923CF">
            <wp:extent cx="5443220" cy="2863850"/>
            <wp:effectExtent l="0" t="0" r="5080" b="12700"/>
            <wp:docPr id="2129372916" name="Chart 1">
              <a:extLst xmlns:a="http://schemas.openxmlformats.org/drawingml/2006/main">
                <a:ext uri="{FF2B5EF4-FFF2-40B4-BE49-F238E27FC236}">
                  <a16:creationId xmlns:a16="http://schemas.microsoft.com/office/drawing/2014/main" id="{002CB250-9E0A-4308-A17C-CC0F316F20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Pr="00E3672F" w:rsidR="00F91A4A" w:rsidP="001E1287" w:rsidRDefault="00DF7220" w14:paraId="364B603B" w14:textId="49388E5E">
      <w:pPr>
        <w:pStyle w:val="NoSpacing"/>
        <w:spacing w:line="360" w:lineRule="auto"/>
        <w:jc w:val="both"/>
        <w:rPr>
          <w:rFonts w:cs="Times New Roman"/>
          <w:lang w:val="en-GB"/>
        </w:rPr>
      </w:pPr>
      <w:r w:rsidRPr="00E3672F">
        <w:rPr>
          <w:rFonts w:cs="Times New Roman"/>
          <w:lang w:val="en-GB"/>
        </w:rPr>
        <w:t>When asked whether the fact that the Directive does not cover harm to the public interest linked to work-related issues created gaps or inconsistencies in national protection frameworks (Question 19), responses indicated significant uncertainty. Only 15% (6 out of 40) of respondents felt that gaps or inconsistencies had arisen, while 2</w:t>
      </w:r>
      <w:r w:rsidRPr="00E3672F" w:rsidR="00E410E4">
        <w:rPr>
          <w:rFonts w:cs="Times New Roman"/>
          <w:lang w:val="en-GB"/>
        </w:rPr>
        <w:t>7</w:t>
      </w:r>
      <w:r w:rsidRPr="00E3672F">
        <w:rPr>
          <w:rFonts w:cs="Times New Roman"/>
          <w:lang w:val="en-GB"/>
        </w:rPr>
        <w:t>% (11 out of 40) believed no such gaps existed. The majority (</w:t>
      </w:r>
      <w:r w:rsidRPr="00E3672F" w:rsidR="0086015F">
        <w:rPr>
          <w:rFonts w:cs="Times New Roman"/>
          <w:lang w:val="en-GB"/>
        </w:rPr>
        <w:t xml:space="preserve">58% – </w:t>
      </w:r>
      <w:r w:rsidRPr="00E3672F">
        <w:rPr>
          <w:rFonts w:cs="Times New Roman"/>
          <w:lang w:val="en-GB"/>
        </w:rPr>
        <w:t>23 out of 40</w:t>
      </w:r>
      <w:r w:rsidR="00EA4566">
        <w:rPr>
          <w:rFonts w:cs="Times New Roman"/>
          <w:lang w:val="en-GB"/>
        </w:rPr>
        <w:t>)</w:t>
      </w:r>
      <w:r w:rsidRPr="00E3672F" w:rsidR="0086015F">
        <w:rPr>
          <w:rFonts w:cs="Times New Roman"/>
          <w:lang w:val="en-GB"/>
        </w:rPr>
        <w:t xml:space="preserve"> </w:t>
      </w:r>
      <w:r w:rsidRPr="00E3672F">
        <w:rPr>
          <w:rFonts w:cs="Times New Roman"/>
          <w:lang w:val="en-GB"/>
        </w:rPr>
        <w:t xml:space="preserve">were unsure. </w:t>
      </w:r>
    </w:p>
    <w:p w:rsidRPr="00E3672F" w:rsidR="00DF7220" w:rsidP="001E1287" w:rsidRDefault="00DF7220" w14:paraId="65E0493E" w14:textId="77777777">
      <w:pPr>
        <w:pStyle w:val="NoSpacing"/>
        <w:spacing w:line="360" w:lineRule="auto"/>
        <w:jc w:val="both"/>
        <w:rPr>
          <w:rFonts w:cs="Times New Roman"/>
          <w:b/>
          <w:bCs/>
          <w:lang w:val="en-GB"/>
        </w:rPr>
      </w:pPr>
    </w:p>
    <w:p w:rsidRPr="00E3672F" w:rsidR="00DF7220" w:rsidP="000408B1" w:rsidRDefault="00DF7220" w14:paraId="20FEF435" w14:textId="2E674BD0">
      <w:pPr>
        <w:pStyle w:val="Heading2"/>
        <w:ind w:left="720"/>
        <w:rPr>
          <w:u w:val="single"/>
        </w:rPr>
      </w:pPr>
      <w:bookmarkStart w:name="_Toc228180545" w:id="43"/>
      <w:r w:rsidRPr="00E3672F">
        <w:rPr>
          <w:u w:val="single"/>
        </w:rPr>
        <w:t>Overlap with national frameworks</w:t>
      </w:r>
      <w:bookmarkEnd w:id="43"/>
      <w:r w:rsidRPr="00E3672F">
        <w:rPr>
          <w:u w:val="single"/>
        </w:rPr>
        <w:t> </w:t>
      </w:r>
    </w:p>
    <w:p w:rsidRPr="00E3672F" w:rsidR="00F91A4A" w:rsidP="001E1287" w:rsidRDefault="00F91A4A" w14:paraId="262379B1" w14:textId="77777777">
      <w:pPr>
        <w:pStyle w:val="NoSpacing"/>
        <w:spacing w:line="360" w:lineRule="auto"/>
        <w:jc w:val="both"/>
        <w:rPr>
          <w:rFonts w:cs="Times New Roman"/>
          <w:lang w:val="en-GB"/>
        </w:rPr>
      </w:pPr>
    </w:p>
    <w:p w:rsidRPr="00111A54" w:rsidR="0057330C" w:rsidP="00111A54" w:rsidRDefault="00DF7220" w14:paraId="15C64788" w14:textId="034DC5E3">
      <w:pPr>
        <w:pStyle w:val="NoSpacing"/>
        <w:spacing w:line="360" w:lineRule="auto"/>
        <w:jc w:val="both"/>
        <w:rPr>
          <w:rFonts w:cs="Times New Roman"/>
          <w:lang w:val="en-GB"/>
        </w:rPr>
      </w:pPr>
      <w:r w:rsidRPr="00E3672F">
        <w:rPr>
          <w:rFonts w:cs="Times New Roman"/>
          <w:lang w:val="en-GB"/>
        </w:rPr>
        <w:t>In Question 20, the respondents were asked to what extent whistleblower legislation complement</w:t>
      </w:r>
      <w:r w:rsidRPr="00E3672F" w:rsidR="0086015F">
        <w:rPr>
          <w:rFonts w:cs="Times New Roman"/>
          <w:lang w:val="en-GB"/>
        </w:rPr>
        <w:t>s</w:t>
      </w:r>
      <w:r w:rsidRPr="00E3672F">
        <w:rPr>
          <w:rFonts w:cs="Times New Roman"/>
          <w:lang w:val="en-GB"/>
        </w:rPr>
        <w:t xml:space="preserve"> or duplicate</w:t>
      </w:r>
      <w:r w:rsidRPr="00E3672F" w:rsidR="0086015F">
        <w:rPr>
          <w:rFonts w:cs="Times New Roman"/>
          <w:lang w:val="en-GB"/>
        </w:rPr>
        <w:t>s</w:t>
      </w:r>
      <w:r w:rsidRPr="00E3672F">
        <w:rPr>
          <w:rFonts w:cs="Times New Roman"/>
          <w:lang w:val="en-GB"/>
        </w:rPr>
        <w:t xml:space="preserve"> other legal regimes (e.g., data protection (GDPR), labour law, corporate governance). The stakeholders generally indicated that whistleblower legislation tends to complement rather than duplicate existing legal regimes, though overlaps with labour law, data protection (GDPR), corporate governance, and sectoral compliance rules are common. Examples include protections for witnesses of harassment or discrimination, coordination with national corporate governance rules (such as Italy</w:t>
      </w:r>
      <w:r w:rsidRPr="00E3672F" w:rsidR="00413731">
        <w:rPr>
          <w:rFonts w:cs="Times New Roman"/>
          <w:lang w:val="en-GB"/>
        </w:rPr>
        <w:t>’</w:t>
      </w:r>
      <w:r w:rsidRPr="00E3672F">
        <w:rPr>
          <w:rFonts w:cs="Times New Roman"/>
          <w:lang w:val="en-GB"/>
        </w:rPr>
        <w:t xml:space="preserve">s D.Lgs. 231/2001 </w:t>
      </w:r>
      <w:r w:rsidR="006069EE">
        <w:rPr>
          <w:rFonts w:cs="Times New Roman"/>
          <w:lang w:val="en-GB"/>
        </w:rPr>
        <w:t>and</w:t>
      </w:r>
      <w:r w:rsidRPr="00E3672F" w:rsidR="006069EE">
        <w:rPr>
          <w:rFonts w:cs="Times New Roman"/>
          <w:lang w:val="en-GB"/>
        </w:rPr>
        <w:t xml:space="preserve"> </w:t>
      </w:r>
      <w:r w:rsidRPr="00E3672F">
        <w:rPr>
          <w:rFonts w:cs="Times New Roman"/>
          <w:lang w:val="en-GB"/>
        </w:rPr>
        <w:t>D.Lgs. 24/2023), and specific procedural adjustments allowing the processing of sensitive personal data under whistleblowing frameworks. It was noted that, in practice, whistleblower laws often provide stronger safeguards than general labour law</w:t>
      </w:r>
      <w:r w:rsidRPr="00E3672F" w:rsidR="003945C0">
        <w:rPr>
          <w:rFonts w:cs="Times New Roman"/>
          <w:lang w:val="en-GB"/>
        </w:rPr>
        <w:t xml:space="preserve">, </w:t>
      </w:r>
      <w:r w:rsidRPr="00E3672F">
        <w:rPr>
          <w:rFonts w:cs="Times New Roman"/>
          <w:lang w:val="en-GB"/>
        </w:rPr>
        <w:t>for instance, reversing the burden of proof in retaliation cases or extending protection beyond standard employment rights</w:t>
      </w:r>
      <w:r w:rsidRPr="00E3672F" w:rsidR="003945C0">
        <w:rPr>
          <w:rFonts w:cs="Times New Roman"/>
          <w:lang w:val="en-GB"/>
        </w:rPr>
        <w:t xml:space="preserve">, </w:t>
      </w:r>
      <w:r w:rsidRPr="00E3672F">
        <w:rPr>
          <w:rFonts w:cs="Times New Roman"/>
          <w:lang w:val="en-GB"/>
        </w:rPr>
        <w:t>and they integrate with internal reporting channels, ethics committees and regulatory obligations, though the degree of systematic coordination varies across jurisdictions. Some respondents noted that gaps remain in effective implementation, particularly where reporting channels are insecure or national enforcement is inconsistent.</w:t>
      </w:r>
    </w:p>
    <w:p w:rsidRPr="00E3672F" w:rsidR="0057330C" w:rsidP="001E1287" w:rsidRDefault="0057330C" w14:paraId="531894B6" w14:textId="77777777">
      <w:pPr>
        <w:spacing w:line="360" w:lineRule="auto"/>
      </w:pPr>
    </w:p>
    <w:p w:rsidRPr="00E3672F" w:rsidR="00C21CC2" w:rsidP="001E1287" w:rsidRDefault="00C21CC2" w14:paraId="7423BAD3" w14:textId="40102C8C">
      <w:pPr>
        <w:pStyle w:val="Heading1"/>
        <w:spacing w:before="120" w:after="120" w:line="360" w:lineRule="auto"/>
        <w:contextualSpacing/>
        <w:rPr>
          <w:rFonts w:cs="Times New Roman"/>
        </w:rPr>
      </w:pPr>
      <w:r w:rsidRPr="00E3672F">
        <w:rPr>
          <w:rFonts w:cs="Times New Roman"/>
        </w:rPr>
        <w:br w:type="page"/>
      </w:r>
      <w:bookmarkStart w:name="_Toc228180546" w:id="44"/>
      <w:r w:rsidRPr="00E3672F">
        <w:rPr>
          <w:rFonts w:cs="Times New Roman"/>
        </w:rPr>
        <w:t xml:space="preserve">5. Primary data: Inclusion of </w:t>
      </w:r>
      <w:r w:rsidR="006069EE">
        <w:rPr>
          <w:rFonts w:cs="Times New Roman"/>
        </w:rPr>
        <w:t>c</w:t>
      </w:r>
      <w:r w:rsidRPr="00E3672F">
        <w:rPr>
          <w:rFonts w:cs="Times New Roman"/>
        </w:rPr>
        <w:t xml:space="preserve">ivil </w:t>
      </w:r>
      <w:r w:rsidR="006069EE">
        <w:rPr>
          <w:rFonts w:cs="Times New Roman"/>
        </w:rPr>
        <w:t>s</w:t>
      </w:r>
      <w:r w:rsidRPr="00E3672F">
        <w:rPr>
          <w:rFonts w:cs="Times New Roman"/>
        </w:rPr>
        <w:t>ociety</w:t>
      </w:r>
      <w:bookmarkEnd w:id="44"/>
    </w:p>
    <w:p w:rsidRPr="00E3672F" w:rsidR="005C0D55" w:rsidP="001E1287" w:rsidRDefault="005C0D55" w14:paraId="2F8F794A" w14:textId="77777777">
      <w:pPr>
        <w:spacing w:before="120" w:after="120" w:line="360" w:lineRule="auto"/>
      </w:pPr>
    </w:p>
    <w:p w:rsidRPr="00E3672F" w:rsidR="00C21CC2" w:rsidP="001E1287" w:rsidRDefault="00C21CC2" w14:paraId="4EFB632C" w14:textId="2E2CE9C5">
      <w:pPr>
        <w:pStyle w:val="Heading2"/>
        <w:spacing w:before="120" w:after="120" w:line="360" w:lineRule="auto"/>
        <w:contextualSpacing/>
        <w:rPr>
          <w:rFonts w:cs="Times New Roman"/>
          <w:u w:val="single"/>
        </w:rPr>
      </w:pPr>
      <w:bookmarkStart w:name="_Toc228180547" w:id="45"/>
      <w:r w:rsidRPr="00E3672F">
        <w:rPr>
          <w:rFonts w:cs="Times New Roman"/>
        </w:rPr>
        <w:t>5.1</w:t>
      </w:r>
      <w:r w:rsidRPr="00E3672F">
        <w:rPr>
          <w:rFonts w:cs="Times New Roman"/>
        </w:rPr>
        <w:tab/>
      </w:r>
      <w:r w:rsidRPr="00E3672F">
        <w:rPr>
          <w:rFonts w:cs="Times New Roman"/>
          <w:u w:val="single"/>
        </w:rPr>
        <w:t xml:space="preserve">Information gathered in stakeholder meetings </w:t>
      </w:r>
      <w:r w:rsidRPr="00E3672F" w:rsidR="00C21FB0">
        <w:rPr>
          <w:rFonts w:cs="Times New Roman"/>
          <w:u w:val="single"/>
        </w:rPr>
        <w:t>and written contributions</w:t>
      </w:r>
      <w:bookmarkEnd w:id="45"/>
    </w:p>
    <w:p w:rsidRPr="00E3672F" w:rsidR="005C0D55" w:rsidP="001E1287" w:rsidRDefault="005C0D55" w14:paraId="34F6B7A9" w14:textId="77777777">
      <w:pPr>
        <w:spacing w:before="120" w:after="120" w:line="360" w:lineRule="auto"/>
      </w:pPr>
    </w:p>
    <w:p w:rsidRPr="00E3672F" w:rsidR="005C0D55" w:rsidP="001E1287" w:rsidRDefault="005C0D55" w14:paraId="5C7F1FD1" w14:textId="25F0885B">
      <w:pPr>
        <w:pStyle w:val="Heading2"/>
        <w:spacing w:line="360" w:lineRule="auto"/>
        <w:ind w:left="1440"/>
        <w:rPr>
          <w:u w:val="single"/>
        </w:rPr>
      </w:pPr>
      <w:bookmarkStart w:name="_Toc228180548" w:id="46"/>
      <w:r w:rsidRPr="00E3672F">
        <w:rPr>
          <w:u w:val="single"/>
        </w:rPr>
        <w:t>Involvement of Social Partners in Implementation</w:t>
      </w:r>
      <w:bookmarkEnd w:id="46"/>
    </w:p>
    <w:p w:rsidRPr="00E3672F" w:rsidR="005C0D55" w:rsidP="001E1287" w:rsidRDefault="005C0D55" w14:paraId="66125DCB" w14:textId="77777777">
      <w:pPr>
        <w:spacing w:before="120" w:after="120" w:line="360" w:lineRule="auto"/>
      </w:pPr>
    </w:p>
    <w:p w:rsidRPr="00E3672F" w:rsidR="005C0D55" w:rsidP="001E1287" w:rsidRDefault="005C0D55" w14:paraId="1DE2CB60" w14:textId="01025E37">
      <w:pPr>
        <w:spacing w:before="120" w:after="120" w:line="360" w:lineRule="auto"/>
        <w:ind w:left="720"/>
        <w:rPr>
          <w:b/>
          <w:bCs/>
        </w:rPr>
      </w:pPr>
      <w:r w:rsidRPr="00E3672F">
        <w:rPr>
          <w:b/>
          <w:bCs/>
        </w:rPr>
        <w:t>Denmark</w:t>
      </w:r>
    </w:p>
    <w:p w:rsidRPr="00E3672F" w:rsidR="003175D0" w:rsidP="001E1287" w:rsidRDefault="003175D0" w14:paraId="4008D11C" w14:textId="07909CF6">
      <w:pPr>
        <w:spacing w:before="120" w:after="120" w:line="360" w:lineRule="auto"/>
      </w:pPr>
      <w:r w:rsidRPr="00E3672F">
        <w:rPr>
          <w:b/>
          <w:bCs/>
        </w:rPr>
        <w:t>Public authorities</w:t>
      </w:r>
      <w:r w:rsidRPr="00E3672F">
        <w:t xml:space="preserve"> explained that social partners and civil society organisations were consulted during the drafting of the Danish </w:t>
      </w:r>
      <w:r w:rsidR="003B4574">
        <w:t>Act on Protection of Whistleblowers</w:t>
      </w:r>
      <w:r w:rsidRPr="00E3672F">
        <w:t xml:space="preserve"> and participated in working groups convened before its adoption. They noted that these consultations allowed unions, employer organisations, business associations and civil society actors to contribute their perspectives on the legislative framework and its alignment with existing Danish policies. Authorities emphasised that this process was coordinated by the Ministry of Justice and that several suggestions from stakeholders were incorporated, especially those concerning the inclusion of serious breaches of Danish law in the wider material scope. Nevertheless, they acknowledged that some stakeholder groups expressed dissatisfaction that not all proposals</w:t>
      </w:r>
      <w:r w:rsidRPr="00E3672F" w:rsidR="003945C0">
        <w:t xml:space="preserve">, </w:t>
      </w:r>
      <w:r w:rsidRPr="00E3672F">
        <w:t>particularly those advocating broader public transparency</w:t>
      </w:r>
      <w:r w:rsidRPr="00E3672F" w:rsidR="003945C0">
        <w:t xml:space="preserve">, </w:t>
      </w:r>
      <w:r w:rsidR="003B4574">
        <w:t>had been</w:t>
      </w:r>
      <w:r w:rsidRPr="00E3672F" w:rsidR="003B4574">
        <w:t xml:space="preserve"> </w:t>
      </w:r>
      <w:r w:rsidRPr="00E3672F">
        <w:t xml:space="preserve">adopted. </w:t>
      </w:r>
    </w:p>
    <w:p w:rsidRPr="00E3672F" w:rsidR="003175D0" w:rsidP="001E1287" w:rsidRDefault="003175D0" w14:paraId="2D4B0646" w14:textId="70532FFB">
      <w:pPr>
        <w:spacing w:before="120" w:after="120" w:line="360" w:lineRule="auto"/>
      </w:pPr>
      <w:r w:rsidRPr="00E3672F">
        <w:rPr>
          <w:b/>
          <w:bCs/>
        </w:rPr>
        <w:t>Civil society organisations</w:t>
      </w:r>
      <w:r w:rsidRPr="00E3672F">
        <w:t xml:space="preserve"> confirmed that they had been consulted prior to adoption of the law, although they judged the extent to which their concerns were reflected in the final </w:t>
      </w:r>
      <w:r w:rsidR="003B4574">
        <w:t>APW</w:t>
      </w:r>
      <w:r w:rsidRPr="00E3672F" w:rsidR="003B4574">
        <w:t xml:space="preserve"> </w:t>
      </w:r>
      <w:r w:rsidRPr="00E3672F">
        <w:t xml:space="preserve">differently. Some organisations expressed satisfaction that their recommendations had partly shaped the legislative approach, whereas others argued that the final </w:t>
      </w:r>
      <w:r w:rsidR="003B4574">
        <w:t>APW</w:t>
      </w:r>
      <w:r w:rsidRPr="00E3672F" w:rsidR="003B4574">
        <w:t xml:space="preserve"> </w:t>
      </w:r>
      <w:r w:rsidRPr="00E3672F">
        <w:t>did not sufficiently address concerns related to confidentiality constraints and public accountability. Civil society participants noted that they had argued for stronger transparency and more flexible routes for reporting externally to the media, but these views were only partially integrated. They added that although authorities remained receptive to dialogue, the consultation process was largely confined to the pre‑legislative phase, with little formal involvement afterwards.</w:t>
      </w:r>
    </w:p>
    <w:p w:rsidRPr="00E3672F" w:rsidR="003175D0" w:rsidP="001E1287" w:rsidRDefault="003175D0" w14:paraId="323C82DF" w14:textId="77777777">
      <w:pPr>
        <w:spacing w:before="120" w:after="120" w:line="360" w:lineRule="auto"/>
      </w:pPr>
      <w:r w:rsidRPr="00E3672F">
        <w:t xml:space="preserve">Danish </w:t>
      </w:r>
      <w:r w:rsidRPr="00E3672F">
        <w:rPr>
          <w:b/>
          <w:bCs/>
        </w:rPr>
        <w:t>social partners</w:t>
      </w:r>
      <w:r w:rsidRPr="00E3672F">
        <w:t xml:space="preserve"> described their involvement in the transposition process as constructive and consistent with broader Danish labour‑market governance traditions. They said that consultation ensured that whistleblower protections would not inadvertently undermine collective bargaining structures or workplace cooperation agreements. Social partners explained that various labour‑market actors contributed views on how whistleblower reporting should interact with existing grievance mechanisms, and they described this process as helping preserve continuity with well‑established labour institutions. However, they also confirmed that no ongoing monitoring or co‑management role was formally assigned to social partners once the law entered into force. </w:t>
      </w:r>
    </w:p>
    <w:p w:rsidRPr="00E3672F" w:rsidR="000C0CC1" w:rsidP="001E1287" w:rsidRDefault="003175D0" w14:paraId="7A7A30EA" w14:textId="3A3E52F1">
      <w:pPr>
        <w:spacing w:before="120" w:after="120" w:line="360" w:lineRule="auto"/>
      </w:pPr>
      <w:r w:rsidRPr="00E3672F">
        <w:rPr>
          <w:b/>
          <w:bCs/>
        </w:rPr>
        <w:t>Across all groups</w:t>
      </w:r>
      <w:r w:rsidRPr="00E3672F">
        <w:t>, there was agreement that involvement during the legislative stage had not resulted in a permanent multi‑stakeholder structure for implementation. Several actors indicated that although bilateral exchanges occur</w:t>
      </w:r>
      <w:r w:rsidRPr="00E3672F" w:rsidR="00A513CA">
        <w:t>, s</w:t>
      </w:r>
      <w:r w:rsidRPr="00E3672F">
        <w:t xml:space="preserve">uch as civil society interviews with public authorities or unions referring workers to external reporting </w:t>
      </w:r>
      <w:r w:rsidRPr="00E3672F" w:rsidR="00A513CA">
        <w:t xml:space="preserve">channels, </w:t>
      </w:r>
      <w:r w:rsidRPr="00E3672F">
        <w:t>there is no systematic forum for social partners, civil society organisations and authorities to jointly review how the law operates in practice. Stakeholders suggested that creating such structures could improve confidence and ensure that lessons from whistleblower cases are shared across sectors.</w:t>
      </w:r>
    </w:p>
    <w:p w:rsidRPr="00E3672F" w:rsidR="005C0D55" w:rsidP="001E1287" w:rsidRDefault="005C0D55" w14:paraId="4D7D2787" w14:textId="77777777">
      <w:pPr>
        <w:spacing w:before="120" w:after="120" w:line="360" w:lineRule="auto"/>
      </w:pPr>
    </w:p>
    <w:p w:rsidRPr="00E3672F" w:rsidR="005C0D55" w:rsidP="001E1287" w:rsidRDefault="005C0D55" w14:paraId="7F693CEA" w14:textId="440EE4A0">
      <w:pPr>
        <w:spacing w:before="120" w:after="120" w:line="360" w:lineRule="auto"/>
        <w:ind w:left="720"/>
        <w:rPr>
          <w:b/>
          <w:bCs/>
        </w:rPr>
      </w:pPr>
      <w:r w:rsidRPr="00E3672F">
        <w:rPr>
          <w:b/>
          <w:bCs/>
        </w:rPr>
        <w:t xml:space="preserve">France </w:t>
      </w:r>
    </w:p>
    <w:p w:rsidRPr="00E3672F" w:rsidR="006B353E" w:rsidP="001E1287" w:rsidRDefault="006B353E" w14:paraId="22B08E68" w14:textId="3E166A15">
      <w:pPr>
        <w:spacing w:before="120" w:after="120" w:line="360" w:lineRule="auto"/>
      </w:pPr>
      <w:r w:rsidRPr="00E3672F">
        <w:t xml:space="preserve">Two French stakeholders noted that the implementation of the whistleblower protection framework benefited from relatively open consultation processes compared with other areas of social legislation. </w:t>
      </w:r>
      <w:r w:rsidRPr="00E3672F">
        <w:rPr>
          <w:b/>
          <w:bCs/>
        </w:rPr>
        <w:t>Trade union</w:t>
      </w:r>
      <w:r w:rsidR="0029785A">
        <w:rPr>
          <w:b/>
          <w:bCs/>
        </w:rPr>
        <w:t>s</w:t>
      </w:r>
      <w:r w:rsidRPr="00E3672F">
        <w:t xml:space="preserve"> explained that discussions on internal reporting procedures took place in the context of broader social</w:t>
      </w:r>
      <w:r w:rsidRPr="00E3672F">
        <w:noBreakHyphen/>
        <w:t>dialogue structures, allowing them to highlight the importance of independent and trusted mechanisms. Civil society organisations confirmed that their earlier engagement during the development of national legislation, including previous anti</w:t>
      </w:r>
      <w:r w:rsidRPr="00E3672F">
        <w:noBreakHyphen/>
        <w:t xml:space="preserve">corruption reforms, helped strengthen the protective provisions of the current law. They added that their participation made it possible to anticipate practical challenges, ensure better coherence with existing frameworks and improve the design of reporting arrangements by bringing field experience into legislative discussions. </w:t>
      </w:r>
    </w:p>
    <w:p w:rsidRPr="00E3672F" w:rsidR="006B353E" w:rsidP="001E1287" w:rsidRDefault="006B353E" w14:paraId="6A53EFAA" w14:textId="7CF07E8B">
      <w:pPr>
        <w:spacing w:before="120" w:after="120" w:line="360" w:lineRule="auto"/>
      </w:pPr>
      <w:r w:rsidRPr="00E3672F">
        <w:t xml:space="preserve">Various </w:t>
      </w:r>
      <w:r w:rsidRPr="000B42B1" w:rsidR="0029785A">
        <w:t>representatives from trade unions</w:t>
      </w:r>
      <w:r w:rsidRPr="00E3672F">
        <w:t xml:space="preserve"> stressed that their involvement remained uneven across organisations and reforms. They indicated that, while some entities consulted staff representatives when establishing internal channels, others applied only a minimal level of dialogue, restricting participation to formal notification. Several interlocutors observed that collective agreements addressing whistleblowing remain rare and argued that the matter should be integrated into mandatory negotiations. They considered that meaningful involvement of workers</w:t>
      </w:r>
      <w:r w:rsidRPr="00E3672F" w:rsidR="00413731">
        <w:t>’</w:t>
      </w:r>
      <w:r w:rsidRPr="00E3672F">
        <w:t xml:space="preserve"> representatives could strengthen trust in internal mechanisms, especially where employees might fear that channels are not sufficiently independent or do not provide effective guarantees against retaliation. </w:t>
      </w:r>
    </w:p>
    <w:p w:rsidRPr="00E3672F" w:rsidR="006B353E" w:rsidP="001E1287" w:rsidRDefault="006B353E" w14:paraId="311E3C54" w14:textId="57ED4DD6">
      <w:pPr>
        <w:spacing w:before="120" w:after="120" w:line="360" w:lineRule="auto"/>
      </w:pPr>
      <w:r w:rsidRPr="00E3672F">
        <w:rPr>
          <w:b/>
          <w:bCs/>
        </w:rPr>
        <w:t>Authorities</w:t>
      </w:r>
      <w:r w:rsidRPr="00E3672F">
        <w:t xml:space="preserve"> also acknowledged the value of cooperation with civil society and social partners during implementation, noting that regular exchanges with specialised organisations help identify practical difficulties more quickly and refine administrative practices. They explained that such cooperation is particularly useful in a system involving several designated authorities with different mandates, investigative capacities and procedural rules. However, they recognised that this collaboration is largely informal and takes place on a case</w:t>
      </w:r>
      <w:r w:rsidRPr="00E3672F">
        <w:noBreakHyphen/>
        <w:t>by</w:t>
      </w:r>
      <w:r w:rsidRPr="00E3672F">
        <w:noBreakHyphen/>
        <w:t xml:space="preserve">case basis rather than through a structured, permanent mechanism. </w:t>
      </w:r>
      <w:r w:rsidRPr="00E3672F">
        <w:rPr>
          <w:b/>
          <w:bCs/>
        </w:rPr>
        <w:t>Civil society organisations</w:t>
      </w:r>
      <w:r w:rsidRPr="00E3672F">
        <w:t xml:space="preserve"> stressed that inconsistent consultation in adjacent policy areas</w:t>
      </w:r>
      <w:r w:rsidRPr="00E3672F" w:rsidR="003945C0">
        <w:t xml:space="preserve">, </w:t>
      </w:r>
      <w:r w:rsidRPr="00E3672F">
        <w:t>such as business secrecy, corporate liability or anti</w:t>
      </w:r>
      <w:r w:rsidRPr="00E3672F">
        <w:noBreakHyphen/>
        <w:t>SLAPP legislation</w:t>
      </w:r>
      <w:r w:rsidRPr="00E3672F" w:rsidR="003945C0">
        <w:t xml:space="preserve">, </w:t>
      </w:r>
      <w:r w:rsidRPr="00E3672F">
        <w:t xml:space="preserve">can indirectly affect whistleblower protection, making systematic involvement essential to preserve coherence across legal regimes. </w:t>
      </w:r>
    </w:p>
    <w:p w:rsidRPr="00E3672F" w:rsidR="005C0D55" w:rsidP="001E1287" w:rsidRDefault="006B353E" w14:paraId="4B0358A6" w14:textId="1168DAE4">
      <w:pPr>
        <w:spacing w:before="120" w:after="120" w:line="360" w:lineRule="auto"/>
      </w:pPr>
      <w:r w:rsidRPr="00E3672F">
        <w:rPr>
          <w:b/>
          <w:bCs/>
        </w:rPr>
        <w:t>Across all groups</w:t>
      </w:r>
      <w:r w:rsidRPr="00E3672F">
        <w:t>, there was agreement that structured, multi</w:t>
      </w:r>
      <w:r w:rsidRPr="00E3672F">
        <w:noBreakHyphen/>
        <w:t>stakeholder engagement could enhance the implementation and credibility of the whistleblower system. Social partners highlighted that middle</w:t>
      </w:r>
      <w:r w:rsidRPr="00E3672F">
        <w:noBreakHyphen/>
        <w:t>management unions are often the first to detect serious risks and support individuals wishing to report wrongdoing, making their sustained involvement key to the system</w:t>
      </w:r>
      <w:r w:rsidRPr="00E3672F" w:rsidR="00413731">
        <w:t>’</w:t>
      </w:r>
      <w:r w:rsidRPr="00E3672F">
        <w:t xml:space="preserve">s legitimacy. Civil society organisations added that more formalised cooperation would help link legislative design, institutional practice and support associations, ensuring that reporting mechanisms remain aligned with worker realities. Authorities signalled openness to such dialogue, noting that the diversity of competent bodies and reporting pathways would benefit from more coordinated oversight. </w:t>
      </w:r>
    </w:p>
    <w:p w:rsidRPr="00E3672F" w:rsidR="005C0D55" w:rsidP="001E1287" w:rsidRDefault="005C0D55" w14:paraId="5EE437DC" w14:textId="77777777">
      <w:pPr>
        <w:spacing w:before="120" w:after="120" w:line="360" w:lineRule="auto"/>
      </w:pPr>
    </w:p>
    <w:p w:rsidRPr="00E3672F" w:rsidR="005C0D55" w:rsidP="001E1287" w:rsidRDefault="005C0D55" w14:paraId="5710494B" w14:textId="4DCDB6D1">
      <w:pPr>
        <w:spacing w:before="120" w:after="120" w:line="360" w:lineRule="auto"/>
        <w:ind w:left="720"/>
        <w:rPr>
          <w:b/>
          <w:bCs/>
        </w:rPr>
      </w:pPr>
      <w:r w:rsidRPr="00E3672F">
        <w:rPr>
          <w:b/>
          <w:bCs/>
        </w:rPr>
        <w:t>Italy</w:t>
      </w:r>
    </w:p>
    <w:p w:rsidRPr="00E3672F" w:rsidR="005C0D55" w:rsidP="001E1287" w:rsidRDefault="005C0D55" w14:paraId="5ACA0120" w14:textId="28E86290">
      <w:pPr>
        <w:spacing w:before="120" w:after="120" w:line="360" w:lineRule="auto"/>
      </w:pPr>
      <w:r w:rsidRPr="00E3672F">
        <w:t xml:space="preserve">Italian </w:t>
      </w:r>
      <w:r w:rsidRPr="00E3672F">
        <w:rPr>
          <w:b/>
          <w:bCs/>
        </w:rPr>
        <w:t>trade union representatives</w:t>
      </w:r>
      <w:r w:rsidRPr="00E3672F">
        <w:t xml:space="preserve"> reported that their involvement in the national transposition process and in the implementation of whistleblowing mechanisms has been partial and uneven. These trade union stakeholders indicated that, while they have been engaged in broader debates on corruption, workers</w:t>
      </w:r>
      <w:r w:rsidRPr="00E3672F" w:rsidR="00413731">
        <w:t>’</w:t>
      </w:r>
      <w:r w:rsidRPr="00E3672F">
        <w:t xml:space="preserve"> rights and fundamental rights, they have not always been systematically consulted on the specific design of whistleblowing rules or channels at workplace level. They suggested that a more structured involvement of social partners could help tailor the system to the realities of Italian labour markets and improve acceptance among workers.</w:t>
      </w:r>
    </w:p>
    <w:p w:rsidRPr="00E3672F" w:rsidR="005C0D55" w:rsidP="001E1287" w:rsidRDefault="005C0D55" w14:paraId="7BB4C71B" w14:textId="7CA82943">
      <w:pPr>
        <w:spacing w:before="120" w:after="120" w:line="360" w:lineRule="auto"/>
      </w:pPr>
      <w:r w:rsidRPr="00E3672F">
        <w:rPr>
          <w:b/>
          <w:bCs/>
        </w:rPr>
        <w:t>Employer organisations</w:t>
      </w:r>
      <w:r w:rsidRPr="00E3672F">
        <w:t xml:space="preserve"> confirmed that social partners were consulted to some extent during the development of national guidelines and sectoral interpretations of the whistleblowing framework. These employer stakeholders noted, however, that beyond these formal consultations, the degree of social</w:t>
      </w:r>
      <w:r w:rsidR="00C10652">
        <w:t xml:space="preserve"> </w:t>
      </w:r>
      <w:r w:rsidRPr="00E3672F">
        <w:t>partner engagement in the practical roll-out of internal channels has varied across sectors and companies. They expressed willingness to explore deeper cooperation with trade unions and worker representatives where this can help to promote understanding of whistleblowing and to embed it within existing industrial</w:t>
      </w:r>
      <w:r w:rsidR="00ED152C">
        <w:t xml:space="preserve"> </w:t>
      </w:r>
      <w:r w:rsidRPr="00E3672F">
        <w:t>relations structures.</w:t>
      </w:r>
    </w:p>
    <w:p w:rsidRPr="00E3672F" w:rsidR="00B81229" w:rsidP="001E1287" w:rsidRDefault="00B81229" w14:paraId="74148352" w14:textId="77777777">
      <w:pPr>
        <w:spacing w:before="120" w:after="120" w:line="360" w:lineRule="auto"/>
      </w:pPr>
    </w:p>
    <w:p w:rsidRPr="00E3672F" w:rsidR="005C0D55" w:rsidP="001E1287" w:rsidRDefault="005C0D55" w14:paraId="072733C2" w14:textId="45CA69B0">
      <w:pPr>
        <w:spacing w:before="120" w:after="120" w:line="360" w:lineRule="auto"/>
        <w:ind w:left="720"/>
        <w:rPr>
          <w:b/>
          <w:bCs/>
        </w:rPr>
      </w:pPr>
      <w:r w:rsidRPr="00E3672F">
        <w:rPr>
          <w:b/>
          <w:bCs/>
        </w:rPr>
        <w:t xml:space="preserve">Latvia </w:t>
      </w:r>
    </w:p>
    <w:p w:rsidRPr="00E3672F" w:rsidR="00841E00" w:rsidP="001E1287" w:rsidRDefault="00841E00" w14:paraId="42E396E9" w14:textId="48A83AD5">
      <w:pPr>
        <w:spacing w:before="120" w:after="120" w:line="360" w:lineRule="auto"/>
      </w:pPr>
      <w:r w:rsidRPr="00E3672F">
        <w:rPr>
          <w:b/>
          <w:bCs/>
        </w:rPr>
        <w:t>Public authority representatives</w:t>
      </w:r>
      <w:r w:rsidRPr="00E3672F">
        <w:t xml:space="preserve"> confirmed that social partners have been consistently involved in the implementation and monitoring of the whistleblowing framework. They noted that employer organisations and trade unions participate in formal consultations on legislative amendments, and that their feedback is regularly sought on draft guidance and institutional arrangements. Latvian trade union representatives reported that they monitor how the law is applied in practice, especially in sectors with strong union presence, and that they raise issues with the government when they observe patterns of misapplication or potential loopholes. Latvian business representatives similarly indicated that they provide feedback on implementation challenges encountered by their members, including administrative burdens and unclear institutional responsibilities.</w:t>
      </w:r>
    </w:p>
    <w:p w:rsidRPr="00E3672F" w:rsidR="005C0D55" w:rsidP="001E1287" w:rsidRDefault="00841E00" w14:paraId="30744E8F" w14:textId="74D245DD">
      <w:pPr>
        <w:spacing w:before="120" w:after="120" w:line="360" w:lineRule="auto"/>
      </w:pPr>
      <w:r w:rsidRPr="00E3672F">
        <w:t xml:space="preserve">Despite this involvement, </w:t>
      </w:r>
      <w:r w:rsidRPr="00E3672F">
        <w:rPr>
          <w:b/>
          <w:bCs/>
        </w:rPr>
        <w:t>social partners</w:t>
      </w:r>
      <w:r w:rsidRPr="00E3672F">
        <w:t xml:space="preserve"> underlined that their participation in the day-to-day implementation of internal whistleblowing systems is more limited. Latvian trade union representatives stated that they are rarely formally involved in the design or monitoring of internal channels within companies, particularly in the private sector, and that workers</w:t>
      </w:r>
      <w:r w:rsidRPr="00E3672F" w:rsidR="00413731">
        <w:t>’</w:t>
      </w:r>
      <w:r w:rsidRPr="00E3672F">
        <w:t xml:space="preserve"> representatives are often informed rather than genuinely consulted about procedures that can have significant implications for staff. </w:t>
      </w:r>
      <w:r w:rsidRPr="00E3672F">
        <w:rPr>
          <w:b/>
          <w:bCs/>
        </w:rPr>
        <w:t>Employer</w:t>
      </w:r>
      <w:r w:rsidRPr="00E3672F">
        <w:t xml:space="preserve"> organisations indicated that they encourage dialogue within companies but did not report systematic participation of unions or workers</w:t>
      </w:r>
      <w:r w:rsidRPr="00E3672F" w:rsidR="00413731">
        <w:t>’</w:t>
      </w:r>
      <w:r w:rsidRPr="00E3672F">
        <w:t xml:space="preserve"> councils in channel design. Several stakeholders considered that deeper involvement of social partners at workplace level, including through joint committees or co-developed guidelines, could enhance the legitimacy and effectiveness of internal reporting mechanisms.</w:t>
      </w:r>
    </w:p>
    <w:p w:rsidRPr="00E3672F" w:rsidR="005C0D55" w:rsidP="001E1287" w:rsidRDefault="005C0D55" w14:paraId="28CDD785" w14:textId="77777777">
      <w:pPr>
        <w:spacing w:before="120" w:after="120" w:line="360" w:lineRule="auto"/>
      </w:pPr>
    </w:p>
    <w:p w:rsidRPr="00E3672F" w:rsidR="005C0D55" w:rsidP="001E1287" w:rsidRDefault="005C0D55" w14:paraId="3D6ECDEE" w14:textId="6D61A732">
      <w:pPr>
        <w:spacing w:before="120" w:after="120" w:line="360" w:lineRule="auto"/>
        <w:ind w:left="720"/>
        <w:rPr>
          <w:b/>
          <w:bCs/>
        </w:rPr>
      </w:pPr>
      <w:r w:rsidRPr="00E3672F">
        <w:rPr>
          <w:b/>
          <w:bCs/>
        </w:rPr>
        <w:t>Romania</w:t>
      </w:r>
    </w:p>
    <w:p w:rsidRPr="00E3672F" w:rsidR="00386B81" w:rsidP="001E1287" w:rsidRDefault="00386B81" w14:paraId="0E99C616" w14:textId="41CE3DA5">
      <w:pPr>
        <w:spacing w:before="120" w:after="120" w:line="360" w:lineRule="auto"/>
      </w:pPr>
      <w:r w:rsidRPr="00E3672F">
        <w:t xml:space="preserve">Several Romanian </w:t>
      </w:r>
      <w:r w:rsidRPr="00E3672F">
        <w:rPr>
          <w:b/>
          <w:bCs/>
        </w:rPr>
        <w:t>civil society and social partner representatives</w:t>
      </w:r>
      <w:r w:rsidRPr="00E3672F">
        <w:t xml:space="preserve"> explained that their involvement in the transposition of the Whistleblower Protection Directive occurred primarily through general, formal consultation mechanisms, rather than through a dedicated whistleblowing‑specific dialogue. Romanian trade union representatives indicated that they contributed written and oral comments during the country</w:t>
      </w:r>
      <w:r w:rsidRPr="00E3672F" w:rsidR="00413731">
        <w:t>’</w:t>
      </w:r>
      <w:r w:rsidRPr="00E3672F">
        <w:t>s routine tripartite consultation process but underlined that these procedures followed the standard approach used for draft legislation. They noted that this process did not generate a specific role for social partners in designing or overseeing whistleblowing mechanisms once the law entered into force. Romanian employer representatives similarly observed that they monitored the legislative process and provided their views on administrative burden and scope, yet were not assigned formal responsibilities in the practical implementation of reporting channels.</w:t>
      </w:r>
    </w:p>
    <w:p w:rsidRPr="00E3672F" w:rsidR="00386B81" w:rsidP="001E1287" w:rsidRDefault="00386B81" w14:paraId="3C50EC0B" w14:textId="7ACAFEEE">
      <w:pPr>
        <w:pStyle w:val="ListParagraph"/>
        <w:spacing w:before="120" w:after="120" w:line="360" w:lineRule="auto"/>
        <w:ind w:left="0"/>
      </w:pPr>
      <w:r w:rsidRPr="00E3672F">
        <w:t>Civil society organisations highlighted that, although they submitted detailed comments during legislative drafting</w:t>
      </w:r>
      <w:r w:rsidRPr="00E3672F" w:rsidR="003945C0">
        <w:t xml:space="preserve">, </w:t>
      </w:r>
      <w:r w:rsidRPr="00E3672F">
        <w:t>particularly advocating the preservation of previous more favourable public‑disclosure standards</w:t>
      </w:r>
      <w:r w:rsidRPr="00E3672F" w:rsidR="003945C0">
        <w:t xml:space="preserve">, </w:t>
      </w:r>
      <w:r w:rsidRPr="00E3672F">
        <w:t>their recommendations were not fully integrated into the final text. They stressed that they had argued that the Directive sets minimum standards and that the national framework could retain or expand the earlier public‑sector protections dating from 2004. According to these organisations, the consultation process, although procedurally open, did not sufficiently reflect their concerns about potential reductions in protection, especially regarding the conditions under which public disclosures may be made.</w:t>
      </w:r>
    </w:p>
    <w:p w:rsidRPr="00E3672F" w:rsidR="00386B81" w:rsidP="001E1287" w:rsidRDefault="00386B81" w14:paraId="077C48BA" w14:textId="77777777">
      <w:pPr>
        <w:pStyle w:val="ListParagraph"/>
        <w:spacing w:before="120" w:after="120" w:line="360" w:lineRule="auto"/>
        <w:ind w:left="0"/>
      </w:pPr>
      <w:r w:rsidRPr="00E3672F">
        <w:t>Following the adoption of the law, both civil society and social partners reported very limited structural involvement in operationalisation. Romanian trade unions stated that, while they may be consulted on broader issues of internal governance under general social‑dialogue rules, they have not been systematically included in the design or monitoring of whistleblowing procedures. Civil society actors likewise emphasised that, aside from sporadic exchanges with certain authorities, there is no dedicated multi‑stakeholder mechanism ensuring their participation in implementation. They expressed concern that, without such structured cooperation, lessons from real cases and insights from civil society will not feed effectively into system improvements.</w:t>
      </w:r>
    </w:p>
    <w:p w:rsidRPr="00E3672F" w:rsidR="005C0D55" w:rsidP="001E1287" w:rsidRDefault="00386B81" w14:paraId="0B50F0A5" w14:textId="45FEBC2C">
      <w:pPr>
        <w:pStyle w:val="ListParagraph"/>
        <w:spacing w:before="120" w:after="120" w:line="360" w:lineRule="auto"/>
        <w:ind w:left="0"/>
      </w:pPr>
      <w:r w:rsidRPr="00E3672F">
        <w:t xml:space="preserve">Romanian </w:t>
      </w:r>
      <w:r w:rsidRPr="00E3672F">
        <w:rPr>
          <w:b/>
          <w:bCs/>
        </w:rPr>
        <w:t>public authorities</w:t>
      </w:r>
      <w:r w:rsidRPr="00E3672F">
        <w:t xml:space="preserve"> acknowledged that civil society and social partners contributed during the legislative phase but accepted that ongoing engagement remains limited. They indicated that cooperation with these actors tends to arise on a case‑by‑case basis, such as when civil society raises concerns about the functioning of internal channels or when whistleblower associations assist individuals in presenting cases. Authorities recognised the value of more regularised cooperation, even if they maintained that responsibilities for implementation are primarily assigned to designated public bodies under the law.</w:t>
      </w:r>
    </w:p>
    <w:p w:rsidRPr="00E3672F" w:rsidR="005C0D55" w:rsidP="001E1287" w:rsidRDefault="005C0D55" w14:paraId="1A92766B" w14:textId="77777777">
      <w:pPr>
        <w:pStyle w:val="ListParagraph"/>
        <w:spacing w:before="120" w:after="120" w:line="360" w:lineRule="auto"/>
        <w:ind w:left="0"/>
      </w:pPr>
    </w:p>
    <w:p w:rsidRPr="00E3672F" w:rsidR="005C0D55" w:rsidP="001E1287" w:rsidRDefault="005C0D55" w14:paraId="378A66E1" w14:textId="77777777">
      <w:pPr>
        <w:pStyle w:val="Heading2"/>
        <w:spacing w:line="360" w:lineRule="auto"/>
        <w:ind w:left="720"/>
        <w:rPr>
          <w:u w:val="single"/>
        </w:rPr>
      </w:pPr>
      <w:bookmarkStart w:name="_Toc228180549" w:id="47"/>
      <w:r w:rsidRPr="00E3672F">
        <w:rPr>
          <w:u w:val="single"/>
        </w:rPr>
        <w:t>Support Roles of Unions and Civil Society Organisations</w:t>
      </w:r>
      <w:bookmarkEnd w:id="47"/>
    </w:p>
    <w:p w:rsidRPr="00E3672F" w:rsidR="005C0D55" w:rsidP="001E1287" w:rsidRDefault="005C0D55" w14:paraId="57E690B0" w14:textId="77777777">
      <w:pPr>
        <w:spacing w:before="120" w:after="120" w:line="360" w:lineRule="auto"/>
        <w:ind w:left="720"/>
        <w:rPr>
          <w:b/>
          <w:bCs/>
          <w:u w:val="single"/>
        </w:rPr>
      </w:pPr>
    </w:p>
    <w:p w:rsidRPr="00E3672F" w:rsidR="005C0D55" w:rsidP="001E1287" w:rsidRDefault="005C0D55" w14:paraId="52394864" w14:textId="603121B2">
      <w:pPr>
        <w:spacing w:before="120" w:after="120" w:line="360" w:lineRule="auto"/>
        <w:ind w:left="720"/>
        <w:rPr>
          <w:b/>
          <w:bCs/>
        </w:rPr>
      </w:pPr>
      <w:r w:rsidRPr="00E3672F">
        <w:rPr>
          <w:b/>
          <w:bCs/>
        </w:rPr>
        <w:t>Denmark</w:t>
      </w:r>
    </w:p>
    <w:p w:rsidRPr="00E3672F" w:rsidR="003175D0" w:rsidP="001E1287" w:rsidRDefault="003175D0" w14:paraId="2FFD508C" w14:textId="65548815">
      <w:pPr>
        <w:spacing w:before="120" w:after="120" w:line="360" w:lineRule="auto"/>
      </w:pPr>
      <w:r w:rsidRPr="00E3672F">
        <w:t xml:space="preserve">Danish </w:t>
      </w:r>
      <w:r w:rsidRPr="00E3672F">
        <w:rPr>
          <w:b/>
          <w:bCs/>
        </w:rPr>
        <w:t>civil society organisations</w:t>
      </w:r>
      <w:r w:rsidRPr="00E3672F">
        <w:t xml:space="preserve"> described playing a significant support role for whistleblowers, particularly in helping individuals navigate legal obligations, select appropriate reporting channels and understand confidentiality rules. They explained that they provide assistance in documenting evidence and identifying whether reported matters concern serious violations of law, corporate malpractice, environmental harm or public‑sector failures. Civil society representatives highlighted that individuals often approach </w:t>
      </w:r>
      <w:r w:rsidRPr="00E3672F" w:rsidR="00180F2C">
        <w:t>CSOs</w:t>
      </w:r>
      <w:r w:rsidRPr="00E3672F">
        <w:t xml:space="preserve"> when they distrust internal reporting channels or fear identification within small organisations. They cited examples from municipal administration, healthcare and financial oversight to illustrate how civil society networks help whistleblowers pursue disclosures that might otherwise remain unreported. </w:t>
      </w:r>
    </w:p>
    <w:p w:rsidRPr="00E3672F" w:rsidR="003175D0" w:rsidP="001E1287" w:rsidRDefault="003175D0" w14:paraId="2407DC15" w14:textId="6358147A">
      <w:pPr>
        <w:spacing w:before="120" w:after="120" w:line="360" w:lineRule="auto"/>
      </w:pPr>
      <w:r w:rsidRPr="00E3672F">
        <w:rPr>
          <w:b/>
          <w:bCs/>
        </w:rPr>
        <w:t>Trade union representatives</w:t>
      </w:r>
      <w:r w:rsidRPr="00E3672F">
        <w:t xml:space="preserve"> reported that unions frequently serve as the first point of contact for workers considering reporting misconduct. They stated that workers routinely seek advice on how to raise concerns anonymously, whether to use internal or external systems, and how to protect themselves from retaliation. Unions explained that they assess each case individually and may recommend using official whistleblower channels, reporting anonymously to a regulator or, in sensitive circumstances, changing employment if internal reporting appears too risky. They emphasised that while unions do not typically represent whistleblowers during external investigations, union representatives may provide support throughout the process if the worker requests it. </w:t>
      </w:r>
    </w:p>
    <w:p w:rsidRPr="00E3672F" w:rsidR="003175D0" w:rsidP="001E1287" w:rsidRDefault="008A4F05" w14:paraId="5C92E792" w14:textId="67B237B0">
      <w:pPr>
        <w:spacing w:before="120" w:after="120" w:line="360" w:lineRule="auto"/>
      </w:pPr>
      <w:r w:rsidRPr="00E3672F">
        <w:rPr>
          <w:b/>
          <w:bCs/>
        </w:rPr>
        <w:t>P</w:t>
      </w:r>
      <w:r w:rsidRPr="00E3672F" w:rsidR="003175D0">
        <w:rPr>
          <w:b/>
          <w:bCs/>
        </w:rPr>
        <w:t>ublic authorities</w:t>
      </w:r>
      <w:r w:rsidRPr="00E3672F" w:rsidR="003175D0">
        <w:t xml:space="preserve"> acknowledged the practical importance of civil society and unions in helping whistleblowers understand their rights. They explained that in some cases individuals are referred to the external whistleblower scheme via trade unions or independent organisations who help recognise whether concerns meet the legal threshold of seriousness. Authorities stated that cooperation with external actors is not formalised but occurs organically, particularly when civil society has conducted investigative work or when unions have already advised potential whistleblowers about confidentiality and procedural risks. They added that civil society interviews conducted with Danish authorities help promote knowledge‑sharing and increase public awareness of the scheme. </w:t>
      </w:r>
    </w:p>
    <w:p w:rsidRPr="00E3672F" w:rsidR="005C0D55" w:rsidP="001E1287" w:rsidRDefault="003175D0" w14:paraId="28BEF628" w14:textId="7D5F226E">
      <w:pPr>
        <w:spacing w:before="120" w:after="120" w:line="360" w:lineRule="auto"/>
      </w:pPr>
      <w:r w:rsidRPr="00E3672F">
        <w:t>Across all stakeholder groups, there was consensus that civil society organisations and unions fill critical gaps where formal institutions cannot provide ongoing personal support. They highlighted that whistleblowers often experience significant stress, uncertainty and fear of retaliation, and that civil society and union advis</w:t>
      </w:r>
      <w:r w:rsidR="00C10652">
        <w:t>o</w:t>
      </w:r>
      <w:r w:rsidRPr="00E3672F">
        <w:t>rs offer guidance that complements statutory mechanisms. Stakeholders agreed that without these organisations, many individuals would struggle to understand both the procedural requirements and the personal risks associated with whistleblowing.</w:t>
      </w:r>
    </w:p>
    <w:p w:rsidRPr="00E3672F" w:rsidR="000C0CC1" w:rsidP="001E1287" w:rsidRDefault="000C0CC1" w14:paraId="1E62696A" w14:textId="77777777">
      <w:pPr>
        <w:spacing w:before="120" w:after="120" w:line="360" w:lineRule="auto"/>
      </w:pPr>
    </w:p>
    <w:p w:rsidRPr="00E3672F" w:rsidR="005C0D55" w:rsidP="001E1287" w:rsidRDefault="005C0D55" w14:paraId="3B5AE831" w14:textId="77777777">
      <w:pPr>
        <w:spacing w:before="120" w:after="120" w:line="360" w:lineRule="auto"/>
        <w:ind w:left="720"/>
        <w:rPr>
          <w:b/>
          <w:bCs/>
        </w:rPr>
      </w:pPr>
      <w:r w:rsidRPr="00E3672F">
        <w:rPr>
          <w:b/>
          <w:bCs/>
        </w:rPr>
        <w:t xml:space="preserve">France </w:t>
      </w:r>
    </w:p>
    <w:p w:rsidRPr="00E3672F" w:rsidR="006B353E" w:rsidP="001E1287" w:rsidRDefault="006B353E" w14:paraId="0196CDF3" w14:textId="71177D0B">
      <w:pPr>
        <w:spacing w:before="120" w:after="120" w:line="360" w:lineRule="auto"/>
      </w:pPr>
      <w:r w:rsidRPr="00E3672F">
        <w:t xml:space="preserve">Some French stakeholders described the support ecosystem as essential for ensuring that individuals can safely use reporting mechanisms. </w:t>
      </w:r>
      <w:r w:rsidRPr="00E3672F">
        <w:rPr>
          <w:b/>
          <w:bCs/>
        </w:rPr>
        <w:t>Civil society organisations</w:t>
      </w:r>
      <w:r w:rsidRPr="00E3672F">
        <w:t xml:space="preserve"> reported that many people contact them before submitting a report, seeking advice on legal requirements, procedural steps and the risks involved. These organisations explained that they assist in identifying the appropriate authority, compiling evidence, understanding retaliation safeguards and preparing any necessary legal action. They noted that support also includes psychological assistance, as individuals often face emotional strain and uncertainty. Associations specialising in whistleblower protection, including structures dedicated to coordinating advice, were highlighted as providing indispensable guidance at early stages. </w:t>
      </w:r>
    </w:p>
    <w:p w:rsidRPr="00E3672F" w:rsidR="006B353E" w:rsidP="001E1287" w:rsidRDefault="0029785A" w14:paraId="11678E24" w14:textId="60B6F5A0">
      <w:pPr>
        <w:spacing w:before="120" w:after="120" w:line="360" w:lineRule="auto"/>
      </w:pPr>
      <w:r w:rsidRPr="000B42B1">
        <w:rPr>
          <w:b/>
          <w:bCs/>
        </w:rPr>
        <w:t>T</w:t>
      </w:r>
      <w:r w:rsidRPr="00E3672F" w:rsidR="006B353E">
        <w:rPr>
          <w:b/>
          <w:bCs/>
        </w:rPr>
        <w:t>rade unions</w:t>
      </w:r>
      <w:r w:rsidRPr="00E3672F" w:rsidR="006B353E">
        <w:t xml:space="preserve"> </w:t>
      </w:r>
      <w:r>
        <w:t xml:space="preserve">noted that they </w:t>
      </w:r>
      <w:r w:rsidRPr="00E3672F" w:rsidR="006B353E">
        <w:t xml:space="preserve">frequently act as facilitators for workers considering whistleblowing. They explained that unions help employees assess the most appropriate reporting pathway, clarify their rights and understand confidentiality obligations. They also assist with the preparation of reports, accompany individuals during internal or external procedures and support them in case of retaliation. </w:t>
      </w:r>
      <w:r w:rsidRPr="00E3672F" w:rsidR="00DE2948">
        <w:t>However, they emphasised that trade unions are not formally recognised as whistleblowers and that their support role remains primarily advisory. Several interlocutors suggested exploring expanding the personal scope of the whistleblower regime to moral persons such as trade unions and other organisations pursuing objectives of general interest, thus allowing them to bring alerts on behalf of individuals under specific conditions, although others cautioned that this possibility must be carefully framed to prevent confusion or abuse.</w:t>
      </w:r>
    </w:p>
    <w:p w:rsidRPr="00E3672F" w:rsidR="006B353E" w:rsidP="001E1287" w:rsidRDefault="006B353E" w14:paraId="4CC4AAA9" w14:textId="0DC0F915">
      <w:pPr>
        <w:spacing w:before="120" w:after="120" w:line="360" w:lineRule="auto"/>
      </w:pPr>
      <w:r w:rsidRPr="00E3672F">
        <w:rPr>
          <w:b/>
          <w:bCs/>
        </w:rPr>
        <w:t>Authorities</w:t>
      </w:r>
      <w:r w:rsidRPr="00E3672F">
        <w:t xml:space="preserve"> recognised that civil society organisations play a central role in supporting whistleblowers, emphasising that the interface function provided by associations helps improve the quality of reports addressed to competent institutions. They noted that associations can </w:t>
      </w:r>
      <w:r w:rsidRPr="00E3672F" w:rsidR="00537E22">
        <w:t xml:space="preserve">direct </w:t>
      </w:r>
      <w:r w:rsidRPr="00E3672F">
        <w:t>individuals to the right authority in a complex multi</w:t>
      </w:r>
      <w:r w:rsidRPr="00E3672F">
        <w:noBreakHyphen/>
        <w:t xml:space="preserve">channel system and help them avoid procedural mistakes that might compromise protection. Authorities also considered that these organisations contribute to promoting a culture of whistleblowing by raising public awareness of rights and obligations, although they acknowledged that this work depends on limited resources and is often voluntary. </w:t>
      </w:r>
    </w:p>
    <w:p w:rsidRPr="00E3672F" w:rsidR="006B353E" w:rsidP="001E1287" w:rsidRDefault="006B353E" w14:paraId="2FD3E17C" w14:textId="008DF86F">
      <w:pPr>
        <w:spacing w:before="120" w:after="120" w:line="360" w:lineRule="auto"/>
      </w:pPr>
      <w:r w:rsidRPr="00E3672F">
        <w:rPr>
          <w:b/>
          <w:bCs/>
        </w:rPr>
        <w:t>Stakeholders across social partners, civil society and authorities</w:t>
      </w:r>
      <w:r w:rsidRPr="00E3672F">
        <w:t xml:space="preserve"> noted that psychological and financial support mechanisms remain insufficient. They explained that many individuals face significant personal and professional difficulties after reporting wrongdoing and depend heavily on civil society for sustained assistance. Civil society organisations described structural resource shortages that limit their capacity to provide long</w:t>
      </w:r>
      <w:r w:rsidRPr="00E3672F">
        <w:noBreakHyphen/>
        <w:t>term case support and emphasised that without greater institutional backing, the system</w:t>
      </w:r>
      <w:r w:rsidRPr="00E3672F" w:rsidR="00413731">
        <w:t>’</w:t>
      </w:r>
      <w:r w:rsidRPr="00E3672F">
        <w:t>s effectiveness remains constrained. Social partners similarly highlighted the need for broader support infrastructures, including legal aid and measures facilitating professional mobility or reintegration for individuals impacted by retaliation.</w:t>
      </w:r>
    </w:p>
    <w:p w:rsidRPr="00E3672F" w:rsidR="005C0D55" w:rsidP="001E1287" w:rsidRDefault="005C0D55" w14:paraId="2B72CA5E" w14:textId="77777777">
      <w:pPr>
        <w:spacing w:before="120" w:after="120" w:line="360" w:lineRule="auto"/>
      </w:pPr>
    </w:p>
    <w:p w:rsidRPr="00E3672F" w:rsidR="005C0D55" w:rsidP="001E1287" w:rsidRDefault="005C0D55" w14:paraId="030087E2" w14:textId="54A43863">
      <w:pPr>
        <w:spacing w:before="120" w:after="120" w:line="360" w:lineRule="auto"/>
        <w:ind w:left="720"/>
        <w:rPr>
          <w:b/>
          <w:bCs/>
        </w:rPr>
      </w:pPr>
      <w:r w:rsidRPr="00E3672F">
        <w:rPr>
          <w:b/>
          <w:bCs/>
        </w:rPr>
        <w:t>Italy</w:t>
      </w:r>
    </w:p>
    <w:p w:rsidRPr="00E3672F" w:rsidR="00853DFE" w:rsidP="001E1287" w:rsidRDefault="00853DFE" w14:paraId="6B25BCE9" w14:textId="6FBEC379">
      <w:pPr>
        <w:spacing w:before="120" w:after="120" w:line="360" w:lineRule="auto"/>
      </w:pPr>
      <w:r w:rsidRPr="00E3672F">
        <w:rPr>
          <w:b/>
          <w:bCs/>
        </w:rPr>
        <w:t>Trade union representatives</w:t>
      </w:r>
      <w:r w:rsidRPr="00E3672F">
        <w:t xml:space="preserve"> underlined that they can play an important role in supporting whistleblower protection by informing workers about their rights, helping them assess whether a situation falls within the whistleblowing framework and accompanying them through reporting procedures. These trade union stakeholders noted that unions already provide training on topics such as </w:t>
      </w:r>
      <w:r w:rsidRPr="00E3672F" w:rsidR="00BE404F">
        <w:t xml:space="preserve">combating </w:t>
      </w:r>
      <w:r w:rsidRPr="00E3672F">
        <w:t>money</w:t>
      </w:r>
      <w:r w:rsidRPr="00E3672F" w:rsidR="00BE404F">
        <w:t xml:space="preserve"> </w:t>
      </w:r>
      <w:r w:rsidRPr="00E3672F">
        <w:t>laundering, compliance</w:t>
      </w:r>
      <w:r w:rsidRPr="00E3672F" w:rsidR="00BE404F">
        <w:t>,</w:t>
      </w:r>
      <w:r w:rsidRPr="00E3672F">
        <w:t xml:space="preserve"> and health and safety and they argued that whistleblowing could be more systematically integrated into such training, particularly in sectors with strong union presence and in public administration. They suggested that targeted resources at EU and national level could strengthen the capacity of social partners to fulfil this educational and supportive role.</w:t>
      </w:r>
    </w:p>
    <w:p w:rsidRPr="00E3672F" w:rsidR="00853DFE" w:rsidP="001E1287" w:rsidRDefault="00853DFE" w14:paraId="21CD15BB" w14:textId="045DDBB7">
      <w:pPr>
        <w:spacing w:before="120" w:after="120" w:line="360" w:lineRule="auto"/>
      </w:pPr>
      <w:r w:rsidRPr="00E3672F">
        <w:rPr>
          <w:b/>
          <w:bCs/>
        </w:rPr>
        <w:t>Civil society organisations</w:t>
      </w:r>
      <w:r w:rsidRPr="00E3672F">
        <w:t xml:space="preserve"> described how they directly assist potential whistleblowers through confidential advisory services. These civil society stakeholders explained that they help individuals to understand the legal framework, evaluate the risks and benefits of different channels, and draft reports that meet the necessary criteria. They stressed that such support, explicitly envisaged in the Directive as part of broader support measures, is resource-intensive and requires stable funding if it is to be maintained and expanded. They also pointed out that their advisory role can be constrained by data</w:t>
      </w:r>
      <w:r w:rsidR="00CE73C9">
        <w:t xml:space="preserve"> </w:t>
      </w:r>
      <w:r w:rsidRPr="00E3672F">
        <w:t>protection practices that do not always recognise the specific function of independent civil society intermediaries.</w:t>
      </w:r>
    </w:p>
    <w:p w:rsidRPr="00E3672F" w:rsidR="00853DFE" w:rsidP="001E1287" w:rsidRDefault="00853DFE" w14:paraId="7FD36063" w14:textId="6115F8F1">
      <w:pPr>
        <w:spacing w:before="120" w:after="120" w:line="360" w:lineRule="auto"/>
      </w:pPr>
      <w:r w:rsidRPr="00E3672F">
        <w:t xml:space="preserve">Several </w:t>
      </w:r>
      <w:r w:rsidRPr="00E3672F">
        <w:rPr>
          <w:b/>
          <w:bCs/>
        </w:rPr>
        <w:t>employer organisations</w:t>
      </w:r>
      <w:r w:rsidRPr="00E3672F">
        <w:t xml:space="preserve"> in Italy acknowledged that civil society organisations and trade unions could contribute more to training and awareness-raising on whistleblowing, especially for small and medium-sized enterprises. These employer stakeholders expressed openness to using bilateral training funds and joint bodies to support initiatives led by social partners and </w:t>
      </w:r>
      <w:r w:rsidRPr="00E3672F" w:rsidR="00180F2C">
        <w:t>CSOs</w:t>
      </w:r>
      <w:r w:rsidRPr="00E3672F">
        <w:t>, including dissemination of evaluation questionnaires and guidance on best practices. They emphasised that such initiatives could help address cultural resistance and improve understanding of the system among both employers and workers.</w:t>
      </w:r>
    </w:p>
    <w:p w:rsidR="005C0D55" w:rsidP="001E1287" w:rsidRDefault="005C0D55" w14:paraId="5C91AC79" w14:textId="77777777">
      <w:pPr>
        <w:spacing w:before="120" w:after="120" w:line="360" w:lineRule="auto"/>
      </w:pPr>
    </w:p>
    <w:p w:rsidRPr="00E3672F" w:rsidR="004523CC" w:rsidP="001E1287" w:rsidRDefault="004523CC" w14:paraId="3995F8B0" w14:textId="77777777">
      <w:pPr>
        <w:spacing w:before="120" w:after="120" w:line="360" w:lineRule="auto"/>
      </w:pPr>
    </w:p>
    <w:p w:rsidRPr="00E3672F" w:rsidR="005C0D55" w:rsidP="001E1287" w:rsidRDefault="005C0D55" w14:paraId="5B9288F4" w14:textId="77777777">
      <w:pPr>
        <w:spacing w:before="120" w:after="120" w:line="360" w:lineRule="auto"/>
        <w:ind w:left="720"/>
        <w:rPr>
          <w:b/>
          <w:bCs/>
        </w:rPr>
      </w:pPr>
      <w:r w:rsidRPr="00E3672F">
        <w:rPr>
          <w:b/>
          <w:bCs/>
        </w:rPr>
        <w:t xml:space="preserve">Latvia </w:t>
      </w:r>
    </w:p>
    <w:p w:rsidRPr="00E3672F" w:rsidR="00841E00" w:rsidP="001E1287" w:rsidRDefault="00841E00" w14:paraId="7EF9F1C1" w14:textId="1FC2BE8B">
      <w:pPr>
        <w:spacing w:before="120" w:after="120" w:line="360" w:lineRule="auto"/>
      </w:pPr>
      <w:r w:rsidRPr="00E3672F">
        <w:rPr>
          <w:b/>
          <w:bCs/>
        </w:rPr>
        <w:t>Trade union and civil society representatives</w:t>
      </w:r>
      <w:r w:rsidRPr="00E3672F">
        <w:t xml:space="preserve"> both stressed that they play crucial support roles in the whistleblowing ecosystem. Trade unions explained that workers frequently turn to them as a first point of contact when they observe wrongdoing or experience retaliation. In these situations, unions provide legal advice, help draft reports or complaints, and offer continuous psychological support during often lengthy procedures. They also assist members in choosing the most appropriate route, whether under the whistleblowing law, labour law or other legal frameworks. Trade union organisations emphasised that this support is resource</w:t>
      </w:r>
      <w:r w:rsidR="00C10652">
        <w:t>-</w:t>
      </w:r>
      <w:r w:rsidRPr="00E3672F">
        <w:t>intensive, particularly when cases involve complex intersections of public interest issues and employment law disputes.</w:t>
      </w:r>
    </w:p>
    <w:p w:rsidRPr="00E3672F" w:rsidR="00841E00" w:rsidP="001E1287" w:rsidRDefault="00841E00" w14:paraId="55BC8155" w14:textId="0D14A3C8">
      <w:pPr>
        <w:spacing w:before="120" w:after="120" w:line="360" w:lineRule="auto"/>
      </w:pPr>
      <w:r w:rsidRPr="00E3672F">
        <w:t>Latvian civil society representatives described the specific functions of certain non-governmental organisations that act as intermediary contact points. These organisations provide secure online tools through which individuals can submit reports, which are then assessed and, where appropriate, forwarded to competent authorities. Civil society actors also accompany whistleblowers through the process, explaining possible consequences and connecting them to pro bono or specialised legal assistance where needed. They participate in national and EU</w:t>
      </w:r>
      <w:r w:rsidRPr="00E3672F" w:rsidR="00BE404F">
        <w:t>-</w:t>
      </w:r>
      <w:r w:rsidRPr="00E3672F">
        <w:t>funded projects that analyse the functioning of whistleblowing mechanisms, identify systemic weaknesses and formulate policy recommendations. According to these organisations, their position outside state structures allows them to build trust among potential whistleblowers who may be reluctant to contact public authorities directly.</w:t>
      </w:r>
    </w:p>
    <w:p w:rsidRPr="00E3672F" w:rsidR="005C0D55" w:rsidP="001E1287" w:rsidRDefault="00841E00" w14:paraId="6076F102" w14:textId="6B9A388F">
      <w:pPr>
        <w:spacing w:before="120" w:after="120" w:line="360" w:lineRule="auto"/>
      </w:pPr>
      <w:r w:rsidRPr="00E3672F">
        <w:rPr>
          <w:b/>
          <w:bCs/>
        </w:rPr>
        <w:t>Several stakeholders</w:t>
      </w:r>
      <w:r w:rsidRPr="00E3672F">
        <w:t xml:space="preserve"> underlined that, despite these important roles, trade unions and civil society organisations face capacity and funding constraints that limit their ability to systematically support whistleblowers. Both types of organisations indicated that they would benefit from clearer recognition of their intermediary functions in legislation and policy documents, as well as from targeted resources for advisory services and awareness</w:t>
      </w:r>
      <w:r w:rsidRPr="00E3672F" w:rsidR="00BE404F">
        <w:t>-</w:t>
      </w:r>
      <w:r w:rsidRPr="00E3672F">
        <w:t xml:space="preserve">raising activities. They considered that strengthening these support roles would significantly contribute to the practical </w:t>
      </w:r>
      <w:r w:rsidRPr="00E3672F" w:rsidR="00BE404F">
        <w:t xml:space="preserve">achievement </w:t>
      </w:r>
      <w:r w:rsidRPr="00E3672F">
        <w:t>of the Directive</w:t>
      </w:r>
      <w:r w:rsidRPr="00E3672F" w:rsidR="00413731">
        <w:t>’</w:t>
      </w:r>
      <w:r w:rsidRPr="00E3672F">
        <w:t>s objectives in Latvia.</w:t>
      </w:r>
    </w:p>
    <w:p w:rsidRPr="00E3672F" w:rsidR="005C0D55" w:rsidP="001E1287" w:rsidRDefault="005C0D55" w14:paraId="30108671" w14:textId="77777777">
      <w:pPr>
        <w:spacing w:before="120" w:after="120" w:line="360" w:lineRule="auto"/>
        <w:contextualSpacing/>
      </w:pPr>
    </w:p>
    <w:p w:rsidRPr="00E3672F" w:rsidR="005C0D55" w:rsidP="001E1287" w:rsidRDefault="005C0D55" w14:paraId="05025E8B" w14:textId="77777777">
      <w:pPr>
        <w:spacing w:before="120" w:after="120" w:line="360" w:lineRule="auto"/>
        <w:ind w:left="720"/>
        <w:contextualSpacing/>
        <w:rPr>
          <w:b/>
          <w:bCs/>
        </w:rPr>
      </w:pPr>
      <w:r w:rsidRPr="00E3672F">
        <w:rPr>
          <w:b/>
          <w:bCs/>
        </w:rPr>
        <w:t>Romania</w:t>
      </w:r>
    </w:p>
    <w:p w:rsidRPr="00E3672F" w:rsidR="00386B81" w:rsidP="001E1287" w:rsidRDefault="00386B81" w14:paraId="69915D31" w14:textId="16252E2C">
      <w:pPr>
        <w:spacing w:before="120" w:after="120" w:line="360" w:lineRule="auto"/>
      </w:pPr>
      <w:r w:rsidRPr="00E3672F">
        <w:t xml:space="preserve">Romanian </w:t>
      </w:r>
      <w:r w:rsidRPr="00E3672F">
        <w:rPr>
          <w:b/>
          <w:bCs/>
        </w:rPr>
        <w:t>civil society organisations</w:t>
      </w:r>
      <w:r w:rsidRPr="00E3672F">
        <w:t xml:space="preserve"> described providing essential practical and moral support to whistleblowers, frequently filling gaps left by the statutory framework. These organisations reported assisting individuals in understanding which channels to use, documenting evidence, preparing formal submissions and, when necessary, challenging retaliatory measures before administrative or judicial bodies. Civil society actors highlighted that this support is crucial in complex or high‑risk cases, particularly where whistleblowers face social isolation, financial hardship or attacks on their reputation. They noted that, in the absence of consistent institutional protection, civil society networks often provide the only sustained accompaniment that whistleblowers can rely on.</w:t>
      </w:r>
    </w:p>
    <w:p w:rsidRPr="00E3672F" w:rsidR="00386B81" w:rsidP="001E1287" w:rsidRDefault="00386B81" w14:paraId="08B107FB" w14:textId="2B690C67">
      <w:pPr>
        <w:spacing w:before="120" w:after="120" w:line="360" w:lineRule="auto"/>
      </w:pPr>
      <w:r w:rsidRPr="00E3672F">
        <w:rPr>
          <w:b/>
          <w:bCs/>
        </w:rPr>
        <w:t>Trade union representatives</w:t>
      </w:r>
      <w:r w:rsidRPr="00E3672F">
        <w:t xml:space="preserve"> explained that unions also play a complementary protective role, even though the whistleblower law does not give them a specific or formal mandate in this area. Unions provide advice, representation in disciplinary proceedings and legal support in labour disputes. They also assist members in navigating internal procedures by offering clarity on the rights and obligations associated with reporting wrongdoing. Trade unions added that they can negotiate additional protective clauses in collective agreements, such as safeguards against unjust transfers or performance evaluations that may be linked to retaliation. They emphasised, however, that these contributions are based on general labour‑law and social‑dialogue frameworks rather than on specific recognition within the whistleblowing system.</w:t>
      </w:r>
    </w:p>
    <w:p w:rsidRPr="00E3672F" w:rsidR="00386B81" w:rsidP="001E1287" w:rsidRDefault="00386B81" w14:paraId="0A8BE03C" w14:textId="3A8D348F">
      <w:pPr>
        <w:spacing w:before="120" w:after="120" w:line="360" w:lineRule="auto"/>
      </w:pPr>
      <w:r w:rsidRPr="00E3672F">
        <w:rPr>
          <w:b/>
          <w:bCs/>
        </w:rPr>
        <w:t>Civil society</w:t>
      </w:r>
      <w:r w:rsidRPr="00E3672F">
        <w:t xml:space="preserve"> actors gave examples demonstrating how organisational support can be decisive in enabling whistleblowers to continue defending the public interest. One Romanian whistleblower from the environmental field explained that civil society organisations had been vital in countering retaliatory measures after she raised concerns regarding a major polluter. These organisations helped her respond to disciplinary actions, challenge the abolition of her post and resist reputational attacks in local media. She noted that without support from human‑rights </w:t>
      </w:r>
      <w:r w:rsidRPr="00E3672F" w:rsidR="00180F2C">
        <w:t>CSOs</w:t>
      </w:r>
      <w:r w:rsidRPr="00E3672F">
        <w:t xml:space="preserve"> and other civil society actors she would have been unable to manage the legal and personal pressures arising from her disclosures.</w:t>
      </w:r>
    </w:p>
    <w:p w:rsidRPr="00E3672F" w:rsidR="00386B81" w:rsidP="001E1287" w:rsidRDefault="00386B81" w14:paraId="33260C2E" w14:textId="2D5F0330">
      <w:pPr>
        <w:spacing w:before="120" w:after="120" w:line="360" w:lineRule="auto"/>
      </w:pPr>
      <w:r w:rsidRPr="00E3672F">
        <w:t xml:space="preserve">Romanian </w:t>
      </w:r>
      <w:r w:rsidRPr="00E3672F">
        <w:rPr>
          <w:b/>
          <w:bCs/>
        </w:rPr>
        <w:t>public authorities</w:t>
      </w:r>
      <w:r w:rsidRPr="00E3672F">
        <w:t xml:space="preserve"> acknowledged the positive contribution of civil society and whistleblower associations in raising awareness and supporting individuals who bring forward important information. Authorities referred to constructive cooperation with civil society groups on technical matters such as drafting internal procedures or interpreting provisions related to confidentiality and follow‑up. The National Anticorruption Directorate reported that civil society had supported individuals who later provided information relevant to local‑level corruption cases, some of which were subsequently brought to trial. Authorities agreed that civil society</w:t>
      </w:r>
      <w:r w:rsidRPr="00E3672F" w:rsidR="00413731">
        <w:t>’</w:t>
      </w:r>
      <w:r w:rsidRPr="00E3672F">
        <w:t>s role provides a valuable supplement to the statutory framework.</w:t>
      </w:r>
    </w:p>
    <w:p w:rsidRPr="00E3672F" w:rsidR="005C0D55" w:rsidP="001E1287" w:rsidRDefault="005C0D55" w14:paraId="755FBE87" w14:textId="77777777">
      <w:pPr>
        <w:pStyle w:val="ListParagraph"/>
        <w:spacing w:before="120" w:after="120" w:line="360" w:lineRule="auto"/>
        <w:ind w:left="0"/>
      </w:pPr>
    </w:p>
    <w:p w:rsidRPr="00E3672F" w:rsidR="005C0D55" w:rsidP="001E1287" w:rsidRDefault="005C0D55" w14:paraId="6FAD90B7" w14:textId="7952BAEE">
      <w:pPr>
        <w:pStyle w:val="Heading2"/>
        <w:spacing w:line="360" w:lineRule="auto"/>
        <w:ind w:left="720"/>
        <w:rPr>
          <w:u w:val="single"/>
        </w:rPr>
      </w:pPr>
      <w:bookmarkStart w:name="_Toc228180550" w:id="48"/>
      <w:r w:rsidRPr="00E3672F">
        <w:rPr>
          <w:u w:val="single"/>
        </w:rPr>
        <w:t>Participation in Reporting Channel Management</w:t>
      </w:r>
      <w:bookmarkEnd w:id="48"/>
    </w:p>
    <w:p w:rsidRPr="00E3672F" w:rsidR="005C0D55" w:rsidP="001E1287" w:rsidRDefault="005C0D55" w14:paraId="4BED0DA4" w14:textId="77777777">
      <w:pPr>
        <w:spacing w:before="120" w:after="120" w:line="360" w:lineRule="auto"/>
        <w:ind w:left="720"/>
        <w:contextualSpacing/>
        <w:rPr>
          <w:b/>
          <w:bCs/>
          <w:u w:val="single"/>
        </w:rPr>
      </w:pPr>
    </w:p>
    <w:p w:rsidRPr="00E3672F" w:rsidR="005C0D55" w:rsidP="001E1287" w:rsidRDefault="005C0D55" w14:paraId="7095A8E6" w14:textId="22FFD723">
      <w:pPr>
        <w:spacing w:before="120" w:after="120" w:line="360" w:lineRule="auto"/>
        <w:ind w:left="720"/>
        <w:contextualSpacing/>
        <w:rPr>
          <w:b/>
          <w:bCs/>
        </w:rPr>
      </w:pPr>
      <w:r w:rsidRPr="00E3672F">
        <w:rPr>
          <w:b/>
          <w:bCs/>
        </w:rPr>
        <w:t>Denmark</w:t>
      </w:r>
    </w:p>
    <w:p w:rsidRPr="00E3672F" w:rsidR="008A4F05" w:rsidP="001E1287" w:rsidRDefault="008A4F05" w14:paraId="28ED840E" w14:textId="56263095">
      <w:pPr>
        <w:spacing w:before="120" w:after="120" w:line="360" w:lineRule="auto"/>
        <w:contextualSpacing/>
      </w:pPr>
      <w:r w:rsidRPr="00E3672F">
        <w:t xml:space="preserve">Danish </w:t>
      </w:r>
      <w:r w:rsidRPr="00E3672F">
        <w:rPr>
          <w:b/>
          <w:bCs/>
        </w:rPr>
        <w:t>public authorities</w:t>
      </w:r>
      <w:r w:rsidRPr="00E3672F">
        <w:t xml:space="preserve"> explained that management of internal and external reporting channels lies strictly with designated bodies and that no formal role exists for unions or civil society organisations in operating whistleblower schemes. They noted that the external channel administered under the data protection authority maintains strict independence and confidentiality rules that limit the involvement of external actors in handling</w:t>
      </w:r>
      <w:r w:rsidRPr="00E3672F" w:rsidR="00802999">
        <w:t xml:space="preserve"> cases</w:t>
      </w:r>
      <w:r w:rsidRPr="00E3672F">
        <w:t>. Authorities emphasised that operational responsibilities</w:t>
      </w:r>
      <w:r w:rsidRPr="00E3672F" w:rsidR="003945C0">
        <w:t xml:space="preserve">, </w:t>
      </w:r>
      <w:r w:rsidRPr="00E3672F">
        <w:t>including registration, assessment and referral of cases</w:t>
      </w:r>
      <w:r w:rsidRPr="00E3672F" w:rsidR="003945C0">
        <w:t xml:space="preserve">, </w:t>
      </w:r>
      <w:r w:rsidRPr="00E3672F">
        <w:t>must remain within public institutions for legal and data‑protection reasons. They also stated that the external scheme is not an appeals mechanism for internal schemes and that internal and external cases may proceed simultaneously if circumstances warrant.</w:t>
      </w:r>
    </w:p>
    <w:p w:rsidRPr="00E3672F" w:rsidR="008A4F05" w:rsidP="001E1287" w:rsidRDefault="008A4F05" w14:paraId="3AEFE6A0" w14:textId="6800A6F2">
      <w:pPr>
        <w:spacing w:before="120" w:after="120" w:line="360" w:lineRule="auto"/>
        <w:contextualSpacing/>
      </w:pPr>
      <w:r w:rsidRPr="00E3672F">
        <w:t xml:space="preserve">Although they are consulted informally and provide advice to individuals, </w:t>
      </w:r>
      <w:r w:rsidRPr="00E3672F">
        <w:rPr>
          <w:b/>
          <w:bCs/>
        </w:rPr>
        <w:t>civil society organisations</w:t>
      </w:r>
      <w:r w:rsidRPr="00E3672F">
        <w:t xml:space="preserve"> observed that they have no structured opportunities to contribute to the design or assessment of internal or external reporting channels. They argued that the lack of participation reduces transparency and limits society</w:t>
      </w:r>
      <w:r w:rsidRPr="00E3672F" w:rsidR="00413731">
        <w:t>’</w:t>
      </w:r>
      <w:r w:rsidRPr="00E3672F">
        <w:t xml:space="preserve">s ability to assess the trustworthiness of internal mechanisms, especially where internal schemes receive few disclosures. Civil society representatives suggested that independent </w:t>
      </w:r>
      <w:r w:rsidRPr="00E3672F" w:rsidR="00B81229">
        <w:t xml:space="preserve">oversight, </w:t>
      </w:r>
      <w:r w:rsidRPr="00E3672F">
        <w:t>whether advisory or evaluative</w:t>
      </w:r>
      <w:r w:rsidRPr="00E3672F" w:rsidR="00B81229">
        <w:t xml:space="preserve">, </w:t>
      </w:r>
      <w:r w:rsidRPr="00E3672F">
        <w:t>could strengthen confidence in reporting channels and improve alignment between internal procedures and the larger public‑interest goals of whistleblower protection.</w:t>
      </w:r>
    </w:p>
    <w:p w:rsidRPr="00E3672F" w:rsidR="008A4F05" w:rsidP="001E1287" w:rsidRDefault="008A4F05" w14:paraId="206F644A" w14:textId="77777777">
      <w:pPr>
        <w:spacing w:before="120" w:after="120" w:line="360" w:lineRule="auto"/>
        <w:contextualSpacing/>
      </w:pPr>
      <w:r w:rsidRPr="00E3672F">
        <w:t xml:space="preserve">Danish </w:t>
      </w:r>
      <w:r w:rsidRPr="00E3672F">
        <w:rPr>
          <w:b/>
          <w:bCs/>
        </w:rPr>
        <w:t>social partners</w:t>
      </w:r>
      <w:r w:rsidRPr="00E3672F">
        <w:t xml:space="preserve"> reported similarly that they are generally not involved in the management or monitoring of reporting channels and that their advisory role focuses primarily on guiding workers before they make disclosures. They explained that unions rarely have insight into how internal schemes are operated beyond what employers voluntarily share. Social partners noted that while larger companies often outsource their schemes to professional service providers, smaller companies either manage schemes internally or rely on external frameworks only when mandated by law. They stated that the lack of a formal union role in monitoring reporting channels means that union perspectives on confidentiality, retaliation and worker trust are not routinely integrated into channel governance. </w:t>
      </w:r>
    </w:p>
    <w:p w:rsidRPr="00E3672F" w:rsidR="005C0D55" w:rsidP="001E1287" w:rsidRDefault="008A4F05" w14:paraId="40A99216" w14:textId="6C672E64">
      <w:pPr>
        <w:spacing w:before="120" w:after="120" w:line="360" w:lineRule="auto"/>
        <w:contextualSpacing/>
      </w:pPr>
      <w:r w:rsidRPr="00E3672F">
        <w:t>All stakeholder groups acknowledged that the absence of a multi‑stakeholder oversight mechanism makes it challenging to evaluate the functioning of reporting channels across the country. Civil society organisations and social partners expressed interest in more structured involvement, arguing that independent review and broader participation would help ensure that whistleblower channels operate effectively and in line with democratic accountability principles. Public authorities recognised the potential value of such an approach but emphasised that any change would require political decision‑making and amendment of existing institutional mandates.</w:t>
      </w:r>
    </w:p>
    <w:p w:rsidRPr="00E3672F" w:rsidR="005C0D55" w:rsidP="001E1287" w:rsidRDefault="005C0D55" w14:paraId="44563740" w14:textId="77777777">
      <w:pPr>
        <w:spacing w:before="120" w:after="120" w:line="360" w:lineRule="auto"/>
        <w:contextualSpacing/>
      </w:pPr>
    </w:p>
    <w:p w:rsidRPr="00E3672F" w:rsidR="005C0D55" w:rsidP="001E1287" w:rsidRDefault="005C0D55" w14:paraId="3A926340" w14:textId="77777777">
      <w:pPr>
        <w:spacing w:before="120" w:after="120" w:line="360" w:lineRule="auto"/>
        <w:ind w:left="720"/>
        <w:contextualSpacing/>
        <w:rPr>
          <w:b/>
          <w:bCs/>
        </w:rPr>
      </w:pPr>
      <w:r w:rsidRPr="00E3672F">
        <w:rPr>
          <w:b/>
          <w:bCs/>
        </w:rPr>
        <w:t xml:space="preserve">France </w:t>
      </w:r>
    </w:p>
    <w:p w:rsidRPr="00E3672F" w:rsidR="00F255F0" w:rsidP="001E1287" w:rsidRDefault="00F255F0" w14:paraId="37F4E094" w14:textId="77777777">
      <w:pPr>
        <w:spacing w:before="120" w:after="120" w:line="360" w:lineRule="auto"/>
        <w:contextualSpacing/>
      </w:pPr>
      <w:r w:rsidRPr="00E3672F">
        <w:t xml:space="preserve">Some French interlocutors observed that social partners and civil society organisations are rarely formally involved in the operational management of internal reporting mechanisms, even though their role could significantly enhance trust and accessibility. </w:t>
      </w:r>
      <w:r w:rsidRPr="00E3672F">
        <w:rPr>
          <w:b/>
          <w:bCs/>
        </w:rPr>
        <w:t>Trade union representatives</w:t>
      </w:r>
      <w:r w:rsidRPr="00E3672F">
        <w:t xml:space="preserve"> indicated that trade unions often play a role in supporting people wishing to report (as facilitators), informing them about their rights and helping them to choose the most appropriate channel. However, trade unions are generally not more involved in the actual management of the reporting channels. In many organisations, staff representatives are informed about the establishment of these channels but are not directly involved in monitoring their functioning or evaluating their effectiveness. They argued that structured participation – such as regular consultation or shared oversight – could strengthen independence and prevent situations where internal mechanisms exist only formally but are not used in practice. </w:t>
      </w:r>
    </w:p>
    <w:p w:rsidRPr="00E3672F" w:rsidR="006B353E" w:rsidP="001E1287" w:rsidRDefault="006B353E" w14:paraId="4206555E" w14:textId="07D2AAF3">
      <w:pPr>
        <w:spacing w:before="120" w:after="120" w:line="360" w:lineRule="auto"/>
        <w:contextualSpacing/>
      </w:pPr>
      <w:r w:rsidRPr="00E3672F">
        <w:rPr>
          <w:b/>
          <w:bCs/>
        </w:rPr>
        <w:t>Civil society organisations</w:t>
      </w:r>
      <w:r w:rsidRPr="00E3672F">
        <w:t xml:space="preserve"> reported that they often help individuals navigate internal systems because reporting persons may distrust internal channels or may not know which body to contact. They provide guidance to avoid procedural errors and help ensure that cases are directed to the competent external authority. Civil society actors highlighted that internal contact persons responsible for receiving reports</w:t>
      </w:r>
      <w:r w:rsidRPr="00E3672F" w:rsidR="003945C0">
        <w:t xml:space="preserve">, </w:t>
      </w:r>
      <w:r w:rsidRPr="00E3672F">
        <w:t>often from compliance or human resources departments</w:t>
      </w:r>
      <w:r w:rsidRPr="00E3672F" w:rsidR="003945C0">
        <w:t xml:space="preserve">, </w:t>
      </w:r>
      <w:r w:rsidRPr="00E3672F">
        <w:t xml:space="preserve">may find themselves in difficult positions when allegations concern senior managers. They explained that these individuals do not always enjoy sufficient protection when handling sensitive alerts, and suggested that strengthening their status could reinforce the independence and credibility of internal mechanisms. </w:t>
      </w:r>
    </w:p>
    <w:p w:rsidRPr="00E3672F" w:rsidR="006B353E" w:rsidP="001E1287" w:rsidRDefault="006B353E" w14:paraId="0805C9F3" w14:textId="5771897A">
      <w:pPr>
        <w:spacing w:before="120" w:after="120" w:line="360" w:lineRule="auto"/>
        <w:contextualSpacing/>
      </w:pPr>
      <w:r w:rsidRPr="00E3672F">
        <w:rPr>
          <w:b/>
          <w:bCs/>
        </w:rPr>
        <w:t>Authorities</w:t>
      </w:r>
      <w:r w:rsidRPr="00E3672F">
        <w:t xml:space="preserve"> acknowledged that companies and administrations bear primary responsibility for managing internal reporting channels but agreed that indirect involvement of social partners and civil society organisations can contribute to improving these mechanisms. They noted that observations from unions and associations about recurrent challenges help identify structural weaknesses, allowing organisations to revise their procedures. Authorities also pointed out that the complexity of multi</w:t>
      </w:r>
      <w:r w:rsidRPr="00E3672F">
        <w:noBreakHyphen/>
        <w:t>channel systems</w:t>
      </w:r>
      <w:r w:rsidRPr="00E3672F" w:rsidR="003945C0">
        <w:t xml:space="preserve">, </w:t>
      </w:r>
      <w:r w:rsidRPr="00E3672F">
        <w:t>particularly the number of external authorities</w:t>
      </w:r>
      <w:r w:rsidRPr="00E3672F" w:rsidR="003945C0">
        <w:t xml:space="preserve">, </w:t>
      </w:r>
      <w:r w:rsidRPr="00E3672F">
        <w:t>makes the interface role played by associations critical for ensuring accessibility. However, they recognised that the protection of third parties associated with the whistleblower, including internal case</w:t>
      </w:r>
      <w:r w:rsidRPr="00E3672F">
        <w:noBreakHyphen/>
        <w:t xml:space="preserve">handlers, </w:t>
      </w:r>
      <w:r w:rsidRPr="00E3672F" w:rsidR="00802999">
        <w:t xml:space="preserve">is still </w:t>
      </w:r>
      <w:r w:rsidRPr="00E3672F">
        <w:t xml:space="preserve">an area </w:t>
      </w:r>
      <w:r w:rsidRPr="00E3672F" w:rsidR="00802999">
        <w:t xml:space="preserve">that requires </w:t>
      </w:r>
      <w:r w:rsidRPr="00E3672F">
        <w:t xml:space="preserve">clarifications in practice. </w:t>
      </w:r>
    </w:p>
    <w:p w:rsidRPr="00E3672F" w:rsidR="005C0D55" w:rsidP="001E1287" w:rsidRDefault="006B353E" w14:paraId="05435820" w14:textId="39B3F386">
      <w:pPr>
        <w:spacing w:before="120" w:after="120" w:line="360" w:lineRule="auto"/>
        <w:contextualSpacing/>
      </w:pPr>
      <w:r w:rsidRPr="00E3672F">
        <w:t>Stakeholders concurred that participation of civil society and social partners would help ensure that internal reporting systems remain functional, independent and aligned with real workplace dynamics. They emphasised that the credibility of internal channels depends on independence from management, adequate protection for contact persons and clear mechanisms for follow</w:t>
      </w:r>
      <w:r w:rsidRPr="00E3672F">
        <w:noBreakHyphen/>
        <w:t>up. Civil society organisations stressed that without stronger oversight and more coordinated involvement, some companies may continue to maintain merely formal compliance with internal reporting obligations. Social partners added that their structured involvement would also help ensure that the concerns of staff at all levels are taken into account when designing or revising these mechanisms.</w:t>
      </w:r>
    </w:p>
    <w:p w:rsidRPr="00E3672F" w:rsidR="005C0D55" w:rsidP="001E1287" w:rsidRDefault="005C0D55" w14:paraId="039888F0" w14:textId="77777777">
      <w:pPr>
        <w:spacing w:before="120" w:after="120" w:line="360" w:lineRule="auto"/>
        <w:contextualSpacing/>
      </w:pPr>
    </w:p>
    <w:p w:rsidRPr="00E3672F" w:rsidR="005C0D55" w:rsidP="001E1287" w:rsidRDefault="005C0D55" w14:paraId="0DCA1357" w14:textId="77777777">
      <w:pPr>
        <w:spacing w:before="120" w:after="120" w:line="360" w:lineRule="auto"/>
        <w:ind w:left="720"/>
        <w:contextualSpacing/>
        <w:rPr>
          <w:b/>
          <w:bCs/>
        </w:rPr>
      </w:pPr>
      <w:r w:rsidRPr="00E3672F">
        <w:rPr>
          <w:b/>
          <w:bCs/>
        </w:rPr>
        <w:t>Italy</w:t>
      </w:r>
    </w:p>
    <w:p w:rsidRPr="00E3672F" w:rsidR="00853DFE" w:rsidP="001E1287" w:rsidRDefault="00853DFE" w14:paraId="15DB50F3" w14:textId="43C9F800">
      <w:pPr>
        <w:spacing w:before="120" w:after="120" w:line="360" w:lineRule="auto"/>
      </w:pPr>
      <w:r w:rsidRPr="00E3672F">
        <w:rPr>
          <w:b/>
          <w:bCs/>
        </w:rPr>
        <w:t>Trade union representatives</w:t>
      </w:r>
      <w:r w:rsidRPr="00E3672F">
        <w:t xml:space="preserve"> indicated that trade unionists and worker representatives are not systematically involved in the day-to-day management or monitoring of whistleblowing channels, even though they are often closely involved in related areas such as health and safety or equality policies. These trade union stakeholders argued that, where appropriate, their participation in oversight arrangements could increase trust in internal channels and help ensure that procedures are fair, transparent and aligned with workers</w:t>
      </w:r>
      <w:r w:rsidRPr="00E3672F" w:rsidR="00413731">
        <w:t>’</w:t>
      </w:r>
      <w:r w:rsidRPr="00E3672F">
        <w:t xml:space="preserve"> expectations. They stressed that such involvement should complement, rather than replace, the role of independent compliance functions.</w:t>
      </w:r>
    </w:p>
    <w:p w:rsidRPr="00E3672F" w:rsidR="005C0D55" w:rsidP="001E1287" w:rsidRDefault="00853DFE" w14:paraId="78946F5D" w14:textId="17DE4ED0">
      <w:pPr>
        <w:spacing w:before="120" w:after="120" w:line="360" w:lineRule="auto"/>
      </w:pPr>
      <w:r w:rsidRPr="00E3672F">
        <w:rPr>
          <w:b/>
          <w:bCs/>
        </w:rPr>
        <w:t>Civil society organisations</w:t>
      </w:r>
      <w:r w:rsidRPr="00E3672F">
        <w:t xml:space="preserve"> in Italy also saw potential added value in involving independent actors in the governance of whistleblowing systems. These civil society stakeholders suggested that, particularly in high-risk sectors or in entities with complex governance structures, including representatives of social partners or civil society in advisory or monitoring bodies could enhance credibility and provide additional expertise on ethics, fundamental rights and worker protection. They cautioned, however, that any such arrangements should be clearly defined to respect confidentiality requirements and avoid conflicts of interest.</w:t>
      </w:r>
    </w:p>
    <w:p w:rsidRPr="00E3672F" w:rsidR="005C0D55" w:rsidP="001E1287" w:rsidRDefault="005C0D55" w14:paraId="71813ABE" w14:textId="77777777">
      <w:pPr>
        <w:spacing w:before="120" w:after="120" w:line="360" w:lineRule="auto"/>
        <w:contextualSpacing/>
      </w:pPr>
    </w:p>
    <w:p w:rsidRPr="00E3672F" w:rsidR="005C0D55" w:rsidP="001E1287" w:rsidRDefault="005C0D55" w14:paraId="05B783E3" w14:textId="77777777">
      <w:pPr>
        <w:spacing w:before="120" w:after="120" w:line="360" w:lineRule="auto"/>
        <w:ind w:left="720"/>
        <w:contextualSpacing/>
        <w:rPr>
          <w:b/>
          <w:bCs/>
        </w:rPr>
      </w:pPr>
      <w:r w:rsidRPr="00E3672F">
        <w:rPr>
          <w:b/>
          <w:bCs/>
        </w:rPr>
        <w:t xml:space="preserve">Latvia </w:t>
      </w:r>
    </w:p>
    <w:p w:rsidRPr="00E3672F" w:rsidR="00841E00" w:rsidP="001E1287" w:rsidRDefault="00841E00" w14:paraId="39C4ABB4" w14:textId="5E5F1C55">
      <w:pPr>
        <w:spacing w:before="120" w:after="120" w:line="360" w:lineRule="auto"/>
        <w:contextualSpacing/>
      </w:pPr>
      <w:r w:rsidRPr="00E3672F">
        <w:t xml:space="preserve">Both </w:t>
      </w:r>
      <w:r w:rsidRPr="00E3672F">
        <w:rPr>
          <w:b/>
          <w:bCs/>
        </w:rPr>
        <w:t>local authorities and civil society representatives</w:t>
      </w:r>
      <w:r w:rsidRPr="00E3672F">
        <w:t xml:space="preserve"> reported that, in some local contexts, non-governmental organisations and social partners are consulted informally on the design and operation of reporting arrangements, for example through participation in training sessions and thematic discussions. However, they stressed that there is no systematic framework for civil society or trade union participation in the management or oversight of reporting channels, either at local or national level. Municipal representatives explained that whistleblowing contact points are typically appointed among internal staff, such as lawyers or auditors, and that external stakeholders do not usually sit on internal commissions dealing with whistleblowing cases, in order to preserve confidentiality and legal responsibility.</w:t>
      </w:r>
    </w:p>
    <w:p w:rsidRPr="00E3672F" w:rsidR="00841E00" w:rsidP="001E1287" w:rsidRDefault="00841E00" w14:paraId="48FBE544" w14:textId="164378DC">
      <w:pPr>
        <w:spacing w:before="120" w:after="120" w:line="360" w:lineRule="auto"/>
        <w:contextualSpacing/>
      </w:pPr>
      <w:r w:rsidRPr="00E3672F">
        <w:t>Civil society representatives argued that, while direct participation in case management may not always be appropriate, there is room for greater involvement in the strategic governance of whistleblowing mechanisms. They suggested that regular multi</w:t>
      </w:r>
      <w:r w:rsidRPr="00E3672F" w:rsidR="00CA6CEC">
        <w:t>-</w:t>
      </w:r>
      <w:r w:rsidRPr="00E3672F">
        <w:t>stakeholder forums or advisory councils could be established to review aggregated data, discuss systemic issues and co-develop guidance on good practice in channel management. Such structures would, in their view, provide an avenue for social partners and civil society to share insights from their advisory work and to contribute to continuous improvement of the system without compromising individual cases.</w:t>
      </w:r>
    </w:p>
    <w:p w:rsidRPr="00E3672F" w:rsidR="005C0D55" w:rsidP="001E1287" w:rsidRDefault="00841E00" w14:paraId="200F0600" w14:textId="17723187">
      <w:pPr>
        <w:spacing w:before="120" w:after="120" w:line="360" w:lineRule="auto"/>
        <w:contextualSpacing/>
      </w:pPr>
      <w:r w:rsidRPr="00E3672F">
        <w:t xml:space="preserve">Latvian </w:t>
      </w:r>
      <w:r w:rsidRPr="00E3672F">
        <w:rPr>
          <w:b/>
          <w:bCs/>
        </w:rPr>
        <w:t>employer organisations</w:t>
      </w:r>
      <w:r w:rsidRPr="00E3672F">
        <w:t xml:space="preserve"> and public authority representatives expressed openness to ongoing dialogue with civil society and social partners on the management of reporting channels but pointed to legal and confidentiality limitations on sharing detailed operational information. They considered that existing channels for social dialogue and anticorruption policy coordination could be used more effectively to address questions of channel design, supervision and evaluation. Stakeholders converged on the idea that more structured and regularised participation of social partners and civil society in these </w:t>
      </w:r>
      <w:r w:rsidR="00C10652">
        <w:t>forums</w:t>
      </w:r>
      <w:r w:rsidRPr="00E3672F" w:rsidR="00C10652">
        <w:t xml:space="preserve"> </w:t>
      </w:r>
      <w:r w:rsidRPr="00E3672F">
        <w:t>would be beneficial for the overall functioning and credibility of whistleblowing mechanisms in Latvia.</w:t>
      </w:r>
    </w:p>
    <w:p w:rsidRPr="00E3672F" w:rsidR="005C0D55" w:rsidP="001E1287" w:rsidRDefault="005C0D55" w14:paraId="1D6DAC64" w14:textId="77777777">
      <w:pPr>
        <w:spacing w:before="120" w:after="120" w:line="360" w:lineRule="auto"/>
        <w:contextualSpacing/>
      </w:pPr>
    </w:p>
    <w:p w:rsidRPr="00E3672F" w:rsidR="005C0D55" w:rsidP="001E1287" w:rsidRDefault="005C0D55" w14:paraId="137B346C" w14:textId="77777777">
      <w:pPr>
        <w:spacing w:before="120" w:after="120" w:line="360" w:lineRule="auto"/>
        <w:ind w:left="720"/>
        <w:contextualSpacing/>
        <w:rPr>
          <w:b/>
          <w:bCs/>
        </w:rPr>
      </w:pPr>
      <w:r w:rsidRPr="00E3672F">
        <w:rPr>
          <w:b/>
          <w:bCs/>
        </w:rPr>
        <w:t>Romania</w:t>
      </w:r>
    </w:p>
    <w:p w:rsidRPr="00E3672F" w:rsidR="00386B81" w:rsidP="001E1287" w:rsidRDefault="00386B81" w14:paraId="0FD591BF" w14:textId="77777777">
      <w:pPr>
        <w:spacing w:before="120" w:after="120" w:line="360" w:lineRule="auto"/>
      </w:pPr>
      <w:r w:rsidRPr="00E3672F">
        <w:t xml:space="preserve">Romanian </w:t>
      </w:r>
      <w:r w:rsidRPr="00E3672F">
        <w:rPr>
          <w:b/>
          <w:bCs/>
        </w:rPr>
        <w:t>civil society representatives</w:t>
      </w:r>
      <w:r w:rsidRPr="00E3672F">
        <w:t xml:space="preserve"> indicated that they play no formal role in the management or oversight of internal or external reporting channels. They reported that public and private institutions typically design their reporting mechanisms internally or with minimal external consultation, focusing primarily on meeting procedural requirements of the law. Civil society actors expressed concern that, without independent oversight, internal channels may not ensure adequate confidentiality or impartiality, particularly within institutions where managerial influence is strong. They suggested that formalising a role for civil society in evaluating the functioning of channels could improve trust and transparency.</w:t>
      </w:r>
    </w:p>
    <w:p w:rsidRPr="00E3672F" w:rsidR="00386B81" w:rsidP="001E1287" w:rsidRDefault="00386B81" w14:paraId="0F45191E" w14:textId="130AC04B">
      <w:pPr>
        <w:spacing w:before="120" w:after="120" w:line="360" w:lineRule="auto"/>
      </w:pPr>
      <w:r w:rsidRPr="00E3672F">
        <w:rPr>
          <w:b/>
          <w:bCs/>
        </w:rPr>
        <w:t>Social partners</w:t>
      </w:r>
      <w:r w:rsidRPr="00E3672F">
        <w:t xml:space="preserve"> similarly noted limited involvement in the practical management of internal reporting channels. Trade unions observed that they are not routinely consulted on the appointment of persons responsible for handling whistleblowing reports nor on the design of confidentiality safeguards. They stated that, although unions are occasionally involved in broader organisational governance issues, whistleblowing mechanisms are generally introduced by management without significant worker input. Employers acknowledged that, while they support the principle of fair and functional channels, the legal framework does not impose structured co‑management with social partners.</w:t>
      </w:r>
    </w:p>
    <w:p w:rsidRPr="00E3672F" w:rsidR="00386B81" w:rsidP="001E1287" w:rsidRDefault="00386B81" w14:paraId="68E1475F" w14:textId="77777777">
      <w:pPr>
        <w:spacing w:before="120" w:after="120" w:line="360" w:lineRule="auto"/>
      </w:pPr>
      <w:r w:rsidRPr="00E3672F">
        <w:t xml:space="preserve">Romanian </w:t>
      </w:r>
      <w:r w:rsidRPr="00E3672F">
        <w:rPr>
          <w:b/>
          <w:bCs/>
        </w:rPr>
        <w:t>public authorities</w:t>
      </w:r>
      <w:r w:rsidRPr="00E3672F">
        <w:t xml:space="preserve"> confirmed that the management of reporting channels lies primarily with appointed institutional actors, such as integrity officials or designated inspectors. Authorities explained that responsibilities for handling reports are defined in the national law and associated administrative procedures, leaving little room to incorporate external parties into operational decision‑making. They stated that confidentiality obligations, data‑protection requirements and the need for clear lines of institutional accountability make it difficult to integrate external groups directly into channel management, although authorities remain open to advisory input.</w:t>
      </w:r>
    </w:p>
    <w:p w:rsidRPr="00E3672F" w:rsidR="00386B81" w:rsidP="001E1287" w:rsidRDefault="00386B81" w14:paraId="257BFF8C" w14:textId="77777777">
      <w:pPr>
        <w:spacing w:before="120" w:after="120" w:line="360" w:lineRule="auto"/>
      </w:pPr>
      <w:r w:rsidRPr="00E3672F">
        <w:rPr>
          <w:b/>
          <w:bCs/>
        </w:rPr>
        <w:t>Civil society and social partners</w:t>
      </w:r>
      <w:r w:rsidRPr="00E3672F">
        <w:t xml:space="preserve"> nevertheless argued that structured involvement could significantly enhance the credibility of reporting channels. Several stakeholders recommended the creation of independent advisory committees at sectoral or national level to periodically assess the functionality of both internal and external channels. They also suggested pilot initiatives allowing civil society or social partners to contribute to training on reporting procedures and confidentiality standards. Such measures, they argued, would strengthen user confidence and encourage more individuals to report wrongdoing through formal mechanisms.</w:t>
      </w:r>
    </w:p>
    <w:p w:rsidRPr="00E3672F" w:rsidR="005C0D55" w:rsidP="001E1287" w:rsidRDefault="005C0D55" w14:paraId="22F1C689" w14:textId="77777777">
      <w:pPr>
        <w:spacing w:before="120" w:after="120" w:line="360" w:lineRule="auto"/>
        <w:contextualSpacing/>
      </w:pPr>
    </w:p>
    <w:p w:rsidRPr="00E3672F" w:rsidR="005C0D55" w:rsidP="001E1287" w:rsidRDefault="005C0D55" w14:paraId="5B10C81D" w14:textId="77777777">
      <w:pPr>
        <w:pStyle w:val="Heading2"/>
        <w:spacing w:line="360" w:lineRule="auto"/>
        <w:ind w:left="720"/>
        <w:rPr>
          <w:u w:val="single"/>
        </w:rPr>
      </w:pPr>
      <w:bookmarkStart w:name="_Toc228180551" w:id="49"/>
      <w:r w:rsidRPr="00E3672F">
        <w:rPr>
          <w:u w:val="single"/>
        </w:rPr>
        <w:t>The Role of Media in Disclosure and Accountability</w:t>
      </w:r>
      <w:bookmarkEnd w:id="49"/>
    </w:p>
    <w:p w:rsidRPr="00E3672F" w:rsidR="005C0D55" w:rsidP="001E1287" w:rsidRDefault="005C0D55" w14:paraId="1BF86322" w14:textId="77777777">
      <w:pPr>
        <w:spacing w:before="120" w:after="120" w:line="360" w:lineRule="auto"/>
        <w:ind w:left="720"/>
        <w:contextualSpacing/>
        <w:rPr>
          <w:b/>
          <w:bCs/>
          <w:u w:val="single"/>
        </w:rPr>
      </w:pPr>
    </w:p>
    <w:p w:rsidRPr="00E3672F" w:rsidR="005C0D55" w:rsidP="001E1287" w:rsidRDefault="005C0D55" w14:paraId="58A39E9C" w14:textId="113AE88F">
      <w:pPr>
        <w:spacing w:before="120" w:after="120" w:line="360" w:lineRule="auto"/>
        <w:ind w:left="720"/>
        <w:contextualSpacing/>
        <w:rPr>
          <w:b/>
          <w:bCs/>
          <w:u w:val="single"/>
        </w:rPr>
      </w:pPr>
      <w:r w:rsidRPr="00E3672F">
        <w:rPr>
          <w:b/>
          <w:bCs/>
          <w:u w:val="single"/>
        </w:rPr>
        <w:t>Denmark</w:t>
      </w:r>
    </w:p>
    <w:p w:rsidRPr="00E3672F" w:rsidR="008A4F05" w:rsidP="001E1287" w:rsidRDefault="008A4F05" w14:paraId="4B54FEED" w14:textId="77777777">
      <w:pPr>
        <w:spacing w:before="120" w:after="120" w:line="360" w:lineRule="auto"/>
        <w:contextualSpacing/>
      </w:pPr>
      <w:r w:rsidRPr="00E3672F">
        <w:t xml:space="preserve">Danish </w:t>
      </w:r>
      <w:r w:rsidRPr="00E3672F">
        <w:rPr>
          <w:b/>
          <w:bCs/>
        </w:rPr>
        <w:t>civil society organisations</w:t>
      </w:r>
      <w:r w:rsidRPr="00E3672F">
        <w:t xml:space="preserve"> emphasised the central role of investigative journalism in exposing systemic wrongdoing, arguing that media scrutiny has historically prompted more significant reforms than internal or external whistleblower channels. They referred to cases in areas such as healthcare, municipal governance, financial misconduct and environmental regulation where internal whistleblower channels had reportedly failed to trigger corrective action, whereas media investigations had led to substantial reforms. Civil society representatives argued that confidentiality rules in the current whistleblower framework have reduced the flow of information to journalists and hindered public debate. They warned that this decline in transparency risks allowing misconduct to go unaddressed, especially in cases where wrongdoing spans multiple organisations or sectors. </w:t>
      </w:r>
    </w:p>
    <w:p w:rsidRPr="00E3672F" w:rsidR="008A4F05" w:rsidP="001E1287" w:rsidRDefault="008A4F05" w14:paraId="16C494BB" w14:textId="20A23F15">
      <w:pPr>
        <w:spacing w:before="120" w:after="120" w:line="360" w:lineRule="auto"/>
        <w:contextualSpacing/>
      </w:pPr>
      <w:r w:rsidRPr="00E3672F">
        <w:rPr>
          <w:b/>
          <w:bCs/>
        </w:rPr>
        <w:t>Public authorities</w:t>
      </w:r>
      <w:r w:rsidRPr="00E3672F">
        <w:t xml:space="preserve"> acknowledged that media attention can amplify the impact of whistleblower disclosures and strengthen institutional accountability. They noted that the external scheme operates primarily through confidential procedures </w:t>
      </w:r>
      <w:r w:rsidRPr="00E3672F" w:rsidR="00FD6906">
        <w:t xml:space="preserve">but </w:t>
      </w:r>
      <w:r w:rsidRPr="00E3672F">
        <w:t>accepted that the press plays a key role in informing the public about systemic risks and stimulating improvements in governance. Authorities recognised that the framework aims to protect whistleblowers</w:t>
      </w:r>
      <w:r w:rsidRPr="00E3672F" w:rsidR="00413731">
        <w:t>’</w:t>
      </w:r>
      <w:r w:rsidRPr="00E3672F">
        <w:t xml:space="preserve"> identities rather than conceal substantive issues, but they also stated that confidentiality requirements are essential for ensuring fairness, preventing retaliation and respecting legal secrecy obligations. They observed that when cases contain criminal elements, disclosures to the media can complicate ongoing investigations and must therefore be carefully managed. </w:t>
      </w:r>
    </w:p>
    <w:p w:rsidRPr="00E3672F" w:rsidR="008A4F05" w:rsidP="001E1287" w:rsidRDefault="008A4F05" w14:paraId="0E8A7A1E" w14:textId="4C86E0E8">
      <w:pPr>
        <w:spacing w:before="120" w:after="120" w:line="360" w:lineRule="auto"/>
        <w:contextualSpacing/>
      </w:pPr>
      <w:r w:rsidRPr="00E3672F">
        <w:rPr>
          <w:b/>
          <w:bCs/>
        </w:rPr>
        <w:t>Social partners</w:t>
      </w:r>
      <w:r w:rsidRPr="00E3672F">
        <w:t xml:space="preserve"> also reflected on the tension between whistleblowing and public communication, noting that many workers consult unions about whether to go to the media. They explained that unions often advise caution because going public may expose individuals to reputational risk, loss of control over the case and increased difficulty proving retaliation in subsequent legal proceedings. They added that employees frequently weigh the desire to prevent harm against professional confidentiality obligations, particularly in sensitive sectors. Despite these concerns, social partners recognised that media coverage has been instrumental in accelerating reforms in several high‑profile cases and agreed that journalism remains an important mechanism of democratic oversight. </w:t>
      </w:r>
    </w:p>
    <w:p w:rsidRPr="00E3672F" w:rsidR="005C0D55" w:rsidP="001E1287" w:rsidRDefault="008A4F05" w14:paraId="20279A90" w14:textId="52C8D44C">
      <w:pPr>
        <w:spacing w:before="120" w:after="120" w:line="360" w:lineRule="auto"/>
        <w:contextualSpacing/>
      </w:pPr>
      <w:r w:rsidRPr="00E3672F">
        <w:rPr>
          <w:b/>
          <w:bCs/>
        </w:rPr>
        <w:t>Stakeholders across all groups</w:t>
      </w:r>
      <w:r w:rsidRPr="00E3672F">
        <w:t xml:space="preserve"> recognised the dual importance of confidentiality and transparency, and saw a need for a more balanced approach that protects whistleblowers while ensuring meaningful public oversight. Civil society organisations argued for recalibrating confidentiality obligations to distinguish clearly between protecting identities and suppressing substantive information. Public authorities supported clearer guidance to help sectoral bodies and journalists navigate the boundaries of legal secrecy, particularly in complex cases involving personal data or classified material. Social partners noted that fostering a culture where whistleblowers are valued</w:t>
      </w:r>
      <w:r w:rsidRPr="00E3672F" w:rsidR="003945C0">
        <w:t xml:space="preserve">, </w:t>
      </w:r>
      <w:r w:rsidRPr="00E3672F">
        <w:t>rather than stigmatised</w:t>
      </w:r>
      <w:r w:rsidRPr="00E3672F" w:rsidR="003945C0">
        <w:t xml:space="preserve">, </w:t>
      </w:r>
      <w:r w:rsidRPr="00E3672F">
        <w:t>would encourage appropriate disclosures and strengthen the system</w:t>
      </w:r>
      <w:r w:rsidRPr="00E3672F" w:rsidR="00413731">
        <w:t>’</w:t>
      </w:r>
      <w:r w:rsidRPr="00E3672F">
        <w:t>s legitimacy.</w:t>
      </w:r>
    </w:p>
    <w:p w:rsidRPr="00E3672F" w:rsidR="005C0D55" w:rsidP="001E1287" w:rsidRDefault="005C0D55" w14:paraId="2A614BD9" w14:textId="77777777">
      <w:pPr>
        <w:spacing w:before="120" w:after="120" w:line="360" w:lineRule="auto"/>
        <w:contextualSpacing/>
      </w:pPr>
    </w:p>
    <w:p w:rsidRPr="00E3672F" w:rsidR="005C0D55" w:rsidP="001E1287" w:rsidRDefault="005C0D55" w14:paraId="71A78CE2" w14:textId="77777777">
      <w:pPr>
        <w:spacing w:before="120" w:after="120" w:line="360" w:lineRule="auto"/>
        <w:ind w:left="720"/>
        <w:contextualSpacing/>
        <w:rPr>
          <w:b/>
          <w:bCs/>
          <w:u w:val="single"/>
        </w:rPr>
      </w:pPr>
      <w:r w:rsidRPr="00E3672F">
        <w:rPr>
          <w:b/>
          <w:bCs/>
          <w:u w:val="single"/>
        </w:rPr>
        <w:t xml:space="preserve">France </w:t>
      </w:r>
    </w:p>
    <w:p w:rsidRPr="00E3672F" w:rsidR="006B353E" w:rsidP="001E1287" w:rsidRDefault="006B353E" w14:paraId="49814202" w14:textId="1F4963AB">
      <w:pPr>
        <w:spacing w:before="120" w:after="120" w:line="360" w:lineRule="auto"/>
        <w:contextualSpacing/>
      </w:pPr>
      <w:r w:rsidRPr="00E3672F">
        <w:t xml:space="preserve">French organisations highlighted that the media play an essential role in the wider functioning of the whistleblower protection system, particularly when internal or external channels do not lead to adequate action. </w:t>
      </w:r>
      <w:r w:rsidRPr="00E3672F">
        <w:rPr>
          <w:b/>
          <w:bCs/>
        </w:rPr>
        <w:t>Civil society representatives</w:t>
      </w:r>
      <w:r w:rsidRPr="00E3672F">
        <w:t xml:space="preserve"> noted that public disclosure, within the limits permitted by law, can serve as a safeguard for exposing serious wrongdoing and protecting the reporting person. They underlined that journalists can help ensure accountability where other mechanisms have failed, and that the possibility of turning to the media under certain conditions remains a key element of the Directive and national law. However, they observed that individuals generally resort to public disclosure only once earlier steps have not resolved the issue or when they consider institutional protection </w:t>
      </w:r>
      <w:r w:rsidRPr="00E3672F" w:rsidR="00FD6906">
        <w:t xml:space="preserve">to be </w:t>
      </w:r>
      <w:r w:rsidRPr="00E3672F">
        <w:t xml:space="preserve">insufficient. </w:t>
      </w:r>
    </w:p>
    <w:p w:rsidRPr="00E3672F" w:rsidR="006B353E" w:rsidP="001E1287" w:rsidRDefault="006B353E" w14:paraId="7ECE28A8" w14:textId="4A72653D">
      <w:pPr>
        <w:spacing w:before="120" w:after="120" w:line="360" w:lineRule="auto"/>
        <w:contextualSpacing/>
      </w:pPr>
      <w:r w:rsidRPr="00E3672F">
        <w:rPr>
          <w:b/>
          <w:bCs/>
        </w:rPr>
        <w:t>Social partners</w:t>
      </w:r>
      <w:r w:rsidRPr="00E3672F">
        <w:t xml:space="preserve"> and civil society organisations raised concerns that conditions attached to public disclosure may be perceived as too lengthy or demanding in situations requiring rapid intervention. </w:t>
      </w:r>
      <w:r w:rsidRPr="00E3672F">
        <w:rPr>
          <w:b/>
          <w:bCs/>
        </w:rPr>
        <w:t>Journalists</w:t>
      </w:r>
      <w:r w:rsidRPr="00E3672F">
        <w:t xml:space="preserve"> reported that time limits and procedural requirements can hinder their ability to inform the public promptly about matters of clear general interest. They emphasised the importance of protecting journalistic sources and warned that current safeguards may not fully meet press</w:t>
      </w:r>
      <w:r w:rsidRPr="00E3672F">
        <w:noBreakHyphen/>
        <w:t>freedom standards. Civil society actors also pointed to the rise of abusive litigation aimed at deterring publication</w:t>
      </w:r>
      <w:r w:rsidRPr="00E3672F" w:rsidR="003945C0">
        <w:t xml:space="preserve">, </w:t>
      </w:r>
      <w:r w:rsidRPr="00E3672F">
        <w:t>such as strategic lawsuits against public participation</w:t>
      </w:r>
      <w:r w:rsidRPr="00E3672F" w:rsidR="003945C0">
        <w:t xml:space="preserve">, </w:t>
      </w:r>
      <w:r w:rsidRPr="00E3672F">
        <w:t xml:space="preserve">and argued that enhanced protections are necessary to ensure that such proceedings cannot be used to circumvent whistleblower safeguards. </w:t>
      </w:r>
    </w:p>
    <w:p w:rsidRPr="00E3672F" w:rsidR="006B353E" w:rsidP="001E1287" w:rsidRDefault="006B353E" w14:paraId="45FA9E61" w14:textId="7F79C46D">
      <w:pPr>
        <w:spacing w:before="120" w:after="120" w:line="360" w:lineRule="auto"/>
        <w:contextualSpacing/>
      </w:pPr>
      <w:r w:rsidRPr="00E3672F">
        <w:rPr>
          <w:b/>
          <w:bCs/>
        </w:rPr>
        <w:t>Authorities</w:t>
      </w:r>
      <w:r w:rsidRPr="00E3672F">
        <w:t xml:space="preserve"> recognised the crucial role of journalists in guaranteeing democratic oversight and considered that certain court decisions have acknowledged the legality of direct public disclosure where justified by circumstances. They explained that judicial and administrative bodies must balance the protection of identity and confidentiality obligations with the public</w:t>
      </w:r>
      <w:r w:rsidRPr="00E3672F" w:rsidR="00413731">
        <w:t>’</w:t>
      </w:r>
      <w:r w:rsidRPr="00E3672F">
        <w:t xml:space="preserve">s right to information. Authorities added that some institutions, particularly judicial bodies, have limited experience with cases requiring heightened protection of anonymity. They highlighted the importance of ensuring that confidentiality rules do not become so restrictive that they prevent the disclosure of serious facts or limit media scrutiny. </w:t>
      </w:r>
    </w:p>
    <w:p w:rsidRPr="00E3672F" w:rsidR="006B353E" w:rsidP="001E1287" w:rsidRDefault="006B353E" w14:paraId="3A9AD810" w14:textId="1CA18B23">
      <w:pPr>
        <w:spacing w:before="120" w:after="120" w:line="360" w:lineRule="auto"/>
        <w:contextualSpacing/>
      </w:pPr>
      <w:r w:rsidRPr="00E3672F">
        <w:rPr>
          <w:b/>
          <w:bCs/>
        </w:rPr>
        <w:t>Across all stakeholder groups</w:t>
      </w:r>
      <w:r w:rsidRPr="00E3672F">
        <w:t>, there was consensus that a better balance is needed between confidentiality and transparency in order to strengthen the whistleblower protection regime. Civil society organisations emphasised that public awareness of whistleblowing remains hampered by persistent cultural associations with denunciation, and argued that greater visibility of whistleblower cases</w:t>
      </w:r>
      <w:r w:rsidRPr="00E3672F" w:rsidR="003945C0">
        <w:t xml:space="preserve">, </w:t>
      </w:r>
      <w:r w:rsidRPr="00E3672F">
        <w:t>especially those recognised as legitimate</w:t>
      </w:r>
      <w:r w:rsidRPr="00E3672F" w:rsidR="003945C0">
        <w:t xml:space="preserve">, </w:t>
      </w:r>
      <w:r w:rsidRPr="00E3672F">
        <w:t>would help shift perceptions. Social partners noted that the credibility of the entire system benefits when the media can safely and effectively report on matters of public interest. Authorities agreed that improved understanding of the conditions under which public disclosure can occur would help reduce uncertainty for both whistleblowers and journalists, contributing to a more functional and accountable framework.</w:t>
      </w:r>
    </w:p>
    <w:p w:rsidRPr="00E3672F" w:rsidR="005C0D55" w:rsidP="001E1287" w:rsidRDefault="005C0D55" w14:paraId="15EC9D40" w14:textId="77777777">
      <w:pPr>
        <w:spacing w:before="120" w:after="120" w:line="360" w:lineRule="auto"/>
        <w:contextualSpacing/>
      </w:pPr>
    </w:p>
    <w:p w:rsidRPr="00E3672F" w:rsidR="005C0D55" w:rsidP="001E1287" w:rsidRDefault="005C0D55" w14:paraId="3159529A" w14:textId="77777777">
      <w:pPr>
        <w:spacing w:before="120" w:after="120" w:line="360" w:lineRule="auto"/>
        <w:ind w:left="720"/>
        <w:contextualSpacing/>
        <w:rPr>
          <w:b/>
          <w:bCs/>
          <w:u w:val="single"/>
        </w:rPr>
      </w:pPr>
      <w:r w:rsidRPr="00E3672F">
        <w:rPr>
          <w:b/>
          <w:bCs/>
          <w:u w:val="single"/>
        </w:rPr>
        <w:t>Italy</w:t>
      </w:r>
    </w:p>
    <w:p w:rsidRPr="00E3672F" w:rsidR="00853DFE" w:rsidP="001E1287" w:rsidRDefault="00853DFE" w14:paraId="3FFD8EAF" w14:textId="73DA854D">
      <w:pPr>
        <w:spacing w:before="120" w:after="120" w:line="360" w:lineRule="auto"/>
      </w:pPr>
      <w:r w:rsidRPr="00E3672F">
        <w:rPr>
          <w:b/>
          <w:bCs/>
        </w:rPr>
        <w:t>Civil society representatives</w:t>
      </w:r>
      <w:r w:rsidRPr="00E3672F">
        <w:t xml:space="preserve"> emphasised that public perception of whistleblowing is heavily influenced by media coverage. These civil society stakeholders observed that whistleblowers are often associated in the public debate with high-profile scandals and with personal hardship, which can discourage potential reporting persons from coming forward. At the same time, they acknowledged that investigative journalism has played a crucial role in exposing systemic problems and in building support for stronger legal protections at EU level. They suggested that more balanced media narratives, portraying whistleblowing as a normal and legitimate means of safeguarding the public interest and fundamental rights, could help align societal attitudes in Italy with the objectives of the Directive.</w:t>
      </w:r>
    </w:p>
    <w:p w:rsidRPr="00E3672F" w:rsidR="005C0D55" w:rsidP="001E1287" w:rsidRDefault="005C0D55" w14:paraId="1F2A7B32" w14:textId="77777777">
      <w:pPr>
        <w:spacing w:before="120" w:after="120" w:line="360" w:lineRule="auto"/>
        <w:contextualSpacing/>
      </w:pPr>
    </w:p>
    <w:p w:rsidRPr="00E3672F" w:rsidR="005C0D55" w:rsidP="001E1287" w:rsidRDefault="005C0D55" w14:paraId="3BC4E104" w14:textId="77777777">
      <w:pPr>
        <w:spacing w:before="120" w:after="120" w:line="360" w:lineRule="auto"/>
        <w:ind w:left="720"/>
        <w:contextualSpacing/>
        <w:rPr>
          <w:b/>
          <w:bCs/>
          <w:u w:val="single"/>
        </w:rPr>
      </w:pPr>
      <w:r w:rsidRPr="00E3672F">
        <w:rPr>
          <w:b/>
          <w:bCs/>
          <w:u w:val="single"/>
        </w:rPr>
        <w:t xml:space="preserve">Latvia </w:t>
      </w:r>
    </w:p>
    <w:p w:rsidRPr="00E3672F" w:rsidR="00841E00" w:rsidP="001E1287" w:rsidRDefault="00841E00" w14:paraId="35C574EC" w14:textId="103D1B3F">
      <w:pPr>
        <w:spacing w:before="120" w:after="120" w:line="360" w:lineRule="auto"/>
        <w:contextualSpacing/>
      </w:pPr>
      <w:r w:rsidRPr="00E3672F">
        <w:t xml:space="preserve">Latvian </w:t>
      </w:r>
      <w:r w:rsidRPr="00E3672F">
        <w:rPr>
          <w:b/>
          <w:bCs/>
        </w:rPr>
        <w:t>civil society, trade union, municipal and business representatives</w:t>
      </w:r>
      <w:r w:rsidRPr="00E3672F">
        <w:t xml:space="preserve"> all agreed that the media play</w:t>
      </w:r>
      <w:r w:rsidRPr="00E3672F" w:rsidR="00EA265E">
        <w:t>s</w:t>
      </w:r>
      <w:r w:rsidRPr="00E3672F">
        <w:t xml:space="preserve"> a decisive role in shaping public perceptions of whistleblowing and in </w:t>
      </w:r>
      <w:r w:rsidR="003B0439">
        <w:t>publicising</w:t>
      </w:r>
      <w:r w:rsidRPr="00E3672F" w:rsidR="003B0439">
        <w:t xml:space="preserve"> </w:t>
      </w:r>
      <w:r w:rsidRPr="00E3672F">
        <w:t>the outcomes of significant cases. Civil society organisations observed that short, compelling stories about successful whistleblowing – such as instances where corruption has been uncovered, public resources recovered or unsafe practices halted – can encourage potential whistleblowers far more effectively than abstract explanations of legal provisions. Municipal representatives reported that some local authorities publish anonymised information on whistleblowing cases and their outcomes on their websites, thereby demonstrating that reports lead to concrete action and foster a culture of accountability.</w:t>
      </w:r>
    </w:p>
    <w:p w:rsidRPr="00E3672F" w:rsidR="00841E00" w:rsidP="001E1287" w:rsidRDefault="00841E00" w14:paraId="7323501C" w14:textId="2B05F9B1">
      <w:pPr>
        <w:spacing w:before="120" w:after="120" w:line="360" w:lineRule="auto"/>
        <w:contextualSpacing/>
      </w:pPr>
      <w:r w:rsidRPr="00E3672F">
        <w:t xml:space="preserve">At the same time, stakeholders highlighted various risks associated with media involvement. Latvian </w:t>
      </w:r>
      <w:r w:rsidRPr="00E3672F">
        <w:rPr>
          <w:b/>
          <w:bCs/>
        </w:rPr>
        <w:t>business representatives</w:t>
      </w:r>
      <w:r w:rsidRPr="00E3672F">
        <w:t xml:space="preserve"> pointed to cases in which premature public announcements by authorities or media coverage based on unverified allegations have damaged the reputation of companies, even when subsequent investigations did not confirm the claims. They stressed that such situations are particularly harmful in a small country, where reputational harm can be long-lasting and affect economic prospects. </w:t>
      </w:r>
      <w:r w:rsidRPr="00E3672F">
        <w:rPr>
          <w:b/>
          <w:bCs/>
        </w:rPr>
        <w:t>Municipal and civil society representatives</w:t>
      </w:r>
      <w:r w:rsidRPr="00E3672F">
        <w:t xml:space="preserve"> further noted that whistleblowers who go directly to the media or post on social media may inadvertently forfeit the legal protection attached to formal whistleblowing channels and become easily identifiable, especially in small communities. They stressed that, in such cases, it can be very difficult for authorities to ensure protection, as the reporting person has publicly revealed themselves.</w:t>
      </w:r>
    </w:p>
    <w:p w:rsidRPr="00E3672F" w:rsidR="00841E00" w:rsidP="001E1287" w:rsidRDefault="00841E00" w14:paraId="0AE8D45E" w14:textId="11BA25C3">
      <w:pPr>
        <w:spacing w:before="120" w:after="120" w:line="360" w:lineRule="auto"/>
        <w:contextualSpacing/>
      </w:pPr>
      <w:r w:rsidRPr="00E3672F">
        <w:t xml:space="preserve">Stakeholders therefore called for responsible and informed media reporting on whistleblowing matters. Civil society organisations advocated training journalists on the legal framework, the distinction between protected disclosures and general complaints, and the potential consequences for both whistleblowers and accused parties. They also suggested closer cooperation between media, public authorities and civil society to ensure fact checking and to prioritise stories that highlight the positive contribution of whistleblowing to the public interest. </w:t>
      </w:r>
    </w:p>
    <w:p w:rsidRPr="00E3672F" w:rsidR="005C0D55" w:rsidP="001E1287" w:rsidRDefault="00841E00" w14:paraId="12FE1319" w14:textId="06BFE60A">
      <w:pPr>
        <w:spacing w:before="120" w:after="120" w:line="360" w:lineRule="auto"/>
        <w:contextualSpacing/>
      </w:pPr>
      <w:r w:rsidRPr="00E3672F">
        <w:t>Across stakeholder groups, there was a shared view that reinforcing this constructive role of the media, while managing associated risks, is essential to building a culture in Latvia where whistleblowing is seen as a legitimate and valued tool for disclosure and accountability.</w:t>
      </w:r>
    </w:p>
    <w:p w:rsidRPr="00E3672F" w:rsidR="005C0D55" w:rsidP="001E1287" w:rsidRDefault="005C0D55" w14:paraId="050FAB5E" w14:textId="77777777">
      <w:pPr>
        <w:spacing w:before="120" w:after="120" w:line="360" w:lineRule="auto"/>
        <w:contextualSpacing/>
      </w:pPr>
    </w:p>
    <w:p w:rsidRPr="00E3672F" w:rsidR="005C0D55" w:rsidP="001E1287" w:rsidRDefault="005C0D55" w14:paraId="452DF909" w14:textId="77777777">
      <w:pPr>
        <w:spacing w:before="120" w:after="120" w:line="360" w:lineRule="auto"/>
        <w:ind w:left="720"/>
        <w:contextualSpacing/>
        <w:rPr>
          <w:b/>
          <w:bCs/>
          <w:u w:val="single"/>
        </w:rPr>
      </w:pPr>
      <w:r w:rsidRPr="00E3672F">
        <w:rPr>
          <w:b/>
          <w:bCs/>
          <w:u w:val="single"/>
        </w:rPr>
        <w:t>Romania</w:t>
      </w:r>
    </w:p>
    <w:p w:rsidRPr="00E3672F" w:rsidR="00386B81" w:rsidP="001E1287" w:rsidRDefault="00386B81" w14:paraId="328F67D0" w14:textId="77777777">
      <w:pPr>
        <w:spacing w:before="120" w:after="120" w:line="360" w:lineRule="auto"/>
      </w:pPr>
      <w:r w:rsidRPr="00E3672F">
        <w:t xml:space="preserve">Romanian </w:t>
      </w:r>
      <w:r w:rsidRPr="00E3672F">
        <w:rPr>
          <w:b/>
          <w:bCs/>
        </w:rPr>
        <w:t>civil society representatives</w:t>
      </w:r>
      <w:r w:rsidRPr="00E3672F">
        <w:t xml:space="preserve"> emphasised the critical but ambivalent role of media in the whistleblowing landscape. On the positive side, they highlighted that investigative journalism has exposed major systemic problems in sectors such as justice, healthcare and environmental governance, often relying on information provided by whistleblowers. They explained that media attention can be decisive in prompting institutional responses, especially in a context where trust in public bodies is limited. Civil society actors noted that, without media amplification, many serious disclosures would not receive adequate scrutiny or lead to corrective action.</w:t>
      </w:r>
    </w:p>
    <w:p w:rsidRPr="00E3672F" w:rsidR="00386B81" w:rsidP="001E1287" w:rsidRDefault="00386B81" w14:paraId="428E7426" w14:textId="73A9BAC0">
      <w:pPr>
        <w:spacing w:before="120" w:after="120" w:line="360" w:lineRule="auto"/>
      </w:pPr>
      <w:r w:rsidRPr="00E3672F">
        <w:t xml:space="preserve">At the same time, </w:t>
      </w:r>
      <w:r w:rsidRPr="00E3672F">
        <w:rPr>
          <w:b/>
          <w:bCs/>
        </w:rPr>
        <w:t>whistleblowers and civil society organisations</w:t>
      </w:r>
      <w:r w:rsidRPr="00E3672F">
        <w:t xml:space="preserve"> underscored the risks associated with media engagement, especially in smaller communities or politically sensitive environments. They described situations in which local media outlets aligned with political or economic interests sought to discredit whistleblowers, portraying them as troublemakers or undermining their credibility through targeted campaigns. Female whistleblowers reported particular exposure to reputational attacks and harassment through local media channels. Civil society actors argued that these dynamics </w:t>
      </w:r>
      <w:r w:rsidRPr="00E3672F" w:rsidR="00521FF3">
        <w:t>create</w:t>
      </w:r>
      <w:r w:rsidRPr="00E3672F">
        <w:t xml:space="preserve"> a chilling effect, making individuals more hesitant to disclose wrongdoing publicly.</w:t>
      </w:r>
    </w:p>
    <w:p w:rsidRPr="00E3672F" w:rsidR="00386B81" w:rsidP="001E1287" w:rsidRDefault="00386B81" w14:paraId="6E0AAA9F" w14:textId="77777777">
      <w:pPr>
        <w:spacing w:before="120" w:after="120" w:line="360" w:lineRule="auto"/>
      </w:pPr>
      <w:r w:rsidRPr="00E3672F">
        <w:t xml:space="preserve">Romanian </w:t>
      </w:r>
      <w:r w:rsidRPr="00E3672F">
        <w:rPr>
          <w:b/>
          <w:bCs/>
        </w:rPr>
        <w:t>social partners</w:t>
      </w:r>
      <w:r w:rsidRPr="00E3672F">
        <w:t xml:space="preserve"> recognised that media coverage can shape organisational incentives for addressing misconduct. Trade unions explained that public scandals arising from whistleblower disclosures can put pressure on institutions to investigate and remedy problems, yet they also noted that such exposure may create defensive reactions within organisations. Employer representatives observed that reputational damage can significantly affect private entities, pushing them to resolve issues swiftly, whereas public institutions may respond more slowly. These dynamics illustrated, in their view, the need for credible internal and external reporting channels that can address concerns before they escalate to the media.</w:t>
      </w:r>
    </w:p>
    <w:p w:rsidRPr="00E3672F" w:rsidR="005C0D55" w:rsidP="001E1287" w:rsidRDefault="007A44D9" w14:paraId="2DE996AF" w14:textId="14CCC113">
      <w:pPr>
        <w:spacing w:before="120" w:after="120" w:line="360" w:lineRule="auto"/>
      </w:pPr>
      <w:r w:rsidRPr="00E3672F">
        <w:rPr>
          <w:b/>
          <w:bCs/>
        </w:rPr>
        <w:t>P</w:t>
      </w:r>
      <w:r w:rsidRPr="00E3672F" w:rsidR="00386B81">
        <w:rPr>
          <w:b/>
          <w:bCs/>
        </w:rPr>
        <w:t>ublic authorities</w:t>
      </w:r>
      <w:r w:rsidRPr="00E3672F" w:rsidR="00386B81">
        <w:t xml:space="preserve"> acknowledged the constructive role of media in promoting transparency, while emphasising that the legal framework encourages individuals to use internal and external channels before turning to public disclosure, except in specific circumstances. Authorities recognised the challenge of balancing transparency with procedural fairness, confidentiality and the integrity of ongoing investigations. They noted that a well‑functioning whistleblowing system can reduce the need for high‑profile media interventions by enabling timely internal or administrative action. Nonetheless, they also noted that whistleblower‑based investigations reported in the media had contributed to uncovering corruption cases, which ultimately supported public‑interest enforcement objectives.</w:t>
      </w:r>
    </w:p>
    <w:p w:rsidRPr="00E3672F" w:rsidR="00172C56" w:rsidP="00D0335D" w:rsidRDefault="004523CC" w14:paraId="700BC71E" w14:textId="78A110F6">
      <w:pPr>
        <w:spacing w:after="160" w:line="278" w:lineRule="auto"/>
        <w:jc w:val="left"/>
      </w:pPr>
      <w:r>
        <w:br w:type="page"/>
      </w:r>
    </w:p>
    <w:p w:rsidRPr="00E3672F" w:rsidR="00C21CC2" w:rsidP="001E1287" w:rsidRDefault="00C21CC2" w14:paraId="1D188034" w14:textId="535F65FD">
      <w:pPr>
        <w:pStyle w:val="Heading2"/>
        <w:spacing w:before="120" w:after="120" w:line="360" w:lineRule="auto"/>
        <w:contextualSpacing/>
        <w:rPr>
          <w:rFonts w:cs="Times New Roman"/>
        </w:rPr>
      </w:pPr>
      <w:bookmarkStart w:name="_Toc228180552" w:id="50"/>
      <w:r w:rsidRPr="00E3672F">
        <w:rPr>
          <w:rFonts w:cs="Times New Roman"/>
        </w:rPr>
        <w:t>5.2</w:t>
      </w:r>
      <w:r w:rsidRPr="00E3672F">
        <w:rPr>
          <w:rFonts w:cs="Times New Roman"/>
        </w:rPr>
        <w:tab/>
      </w:r>
      <w:r w:rsidRPr="00E3672F">
        <w:rPr>
          <w:rFonts w:cs="Times New Roman"/>
          <w:u w:val="single"/>
        </w:rPr>
        <w:t>Information from the questionnaire</w:t>
      </w:r>
      <w:bookmarkEnd w:id="50"/>
      <w:r w:rsidRPr="00E3672F">
        <w:rPr>
          <w:rFonts w:cs="Times New Roman"/>
          <w:u w:val="single"/>
        </w:rPr>
        <w:t xml:space="preserve"> </w:t>
      </w:r>
    </w:p>
    <w:p w:rsidRPr="00E3672F" w:rsidR="000408B1" w:rsidP="001E1287" w:rsidRDefault="000408B1" w14:paraId="3E758CDE" w14:textId="77777777">
      <w:pPr>
        <w:pStyle w:val="NoSpacing"/>
        <w:spacing w:line="360" w:lineRule="auto"/>
        <w:jc w:val="both"/>
        <w:rPr>
          <w:rFonts w:cs="Times New Roman"/>
          <w:b/>
          <w:bCs/>
          <w:lang w:val="en-GB"/>
        </w:rPr>
      </w:pPr>
    </w:p>
    <w:p w:rsidRPr="00E3672F" w:rsidR="004B1071" w:rsidP="000408B1" w:rsidRDefault="004B1071" w14:paraId="34EB0BA9" w14:textId="10EBBB1A">
      <w:pPr>
        <w:pStyle w:val="Heading2"/>
        <w:ind w:left="720"/>
        <w:rPr>
          <w:u w:val="single"/>
        </w:rPr>
      </w:pPr>
      <w:bookmarkStart w:name="_Toc228180553" w:id="51"/>
      <w:r w:rsidRPr="00E3672F">
        <w:rPr>
          <w:u w:val="single"/>
        </w:rPr>
        <w:t>Role of social partners and CSOs</w:t>
      </w:r>
      <w:bookmarkEnd w:id="51"/>
      <w:r w:rsidRPr="00E3672F">
        <w:rPr>
          <w:u w:val="single"/>
        </w:rPr>
        <w:t> </w:t>
      </w:r>
    </w:p>
    <w:p w:rsidR="004B1071" w:rsidP="001E1287" w:rsidRDefault="004B1071" w14:paraId="382B1382" w14:textId="77777777">
      <w:pPr>
        <w:pStyle w:val="NoSpacing"/>
        <w:spacing w:line="360" w:lineRule="auto"/>
        <w:jc w:val="both"/>
        <w:rPr>
          <w:rFonts w:cs="Times New Roman"/>
          <w:lang w:val="en-GB"/>
        </w:rPr>
      </w:pPr>
    </w:p>
    <w:p w:rsidRPr="00E3672F" w:rsidR="00D93C36" w:rsidP="001E1287" w:rsidRDefault="00D93C36" w14:paraId="06C0182E" w14:textId="19E8F42D">
      <w:pPr>
        <w:pStyle w:val="NoSpacing"/>
        <w:spacing w:line="360" w:lineRule="auto"/>
        <w:jc w:val="both"/>
        <w:rPr>
          <w:rFonts w:cs="Times New Roman"/>
          <w:lang w:val="en-GB"/>
        </w:rPr>
      </w:pPr>
      <w:r w:rsidRPr="00E3672F">
        <w:rPr>
          <w:rFonts w:cs="Times New Roman"/>
          <w:lang w:val="en-GB"/>
        </w:rPr>
        <w:t xml:space="preserve">When asked whether trade unions, professional associations or civil society organisations had gained a role in supporting whistleblowers or monitoring implementation (Question 21), responses showed that a clear majority recognised their involvement. A total of 65% (26 out of 40) of respondents indicated that these organisations had gained such a role, while 7% (3 out of 40) reported that they had not. An additional 28% (11 out of 40) were unsure. </w:t>
      </w:r>
    </w:p>
    <w:p w:rsidRPr="00E3672F" w:rsidR="004B1071" w:rsidP="001E1287" w:rsidRDefault="00E410E4" w14:paraId="67983625" w14:textId="720210C8">
      <w:pPr>
        <w:pStyle w:val="NoSpacing"/>
        <w:spacing w:line="360" w:lineRule="auto"/>
        <w:jc w:val="center"/>
        <w:rPr>
          <w:rFonts w:cs="Times New Roman"/>
          <w:b/>
          <w:bCs/>
          <w:lang w:val="en-GB"/>
        </w:rPr>
      </w:pPr>
      <w:r w:rsidRPr="00E3672F">
        <w:rPr>
          <w:rFonts w:cs="Times New Roman"/>
          <w:noProof/>
          <w:lang w:val="en-US"/>
          <w14:ligatures w14:val="standardContextual"/>
        </w:rPr>
        <w:drawing>
          <wp:inline distT="0" distB="0" distL="0" distR="0" wp14:anchorId="544AC6E9" wp14:editId="0D9CFAD1">
            <wp:extent cx="5687060" cy="2965450"/>
            <wp:effectExtent l="0" t="0" r="8890" b="6350"/>
            <wp:docPr id="651297136" name="Chart 1">
              <a:extLst xmlns:a="http://schemas.openxmlformats.org/drawingml/2006/main">
                <a:ext uri="{FF2B5EF4-FFF2-40B4-BE49-F238E27FC236}">
                  <a16:creationId xmlns:a16="http://schemas.microsoft.com/office/drawing/2014/main" id="{12245238-36D7-1AD2-6086-B047153D1F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Pr="00E3672F" w:rsidR="004B1071" w:rsidP="001E1287" w:rsidRDefault="004B1071" w14:paraId="1489EFEB" w14:textId="77777777">
      <w:pPr>
        <w:pStyle w:val="NoSpacing"/>
        <w:spacing w:line="360" w:lineRule="auto"/>
        <w:jc w:val="both"/>
        <w:rPr>
          <w:rFonts w:cs="Times New Roman"/>
          <w:lang w:val="en-GB"/>
        </w:rPr>
      </w:pPr>
    </w:p>
    <w:p w:rsidRPr="00E3672F" w:rsidR="004B1071" w:rsidP="001E1287" w:rsidRDefault="00BC1ED9" w14:paraId="0AC5B96E" w14:textId="29303742">
      <w:pPr>
        <w:pStyle w:val="NoSpacing"/>
        <w:spacing w:line="360" w:lineRule="auto"/>
        <w:jc w:val="center"/>
        <w:rPr>
          <w:rFonts w:cs="Times New Roman"/>
          <w:lang w:val="en-GB"/>
        </w:rPr>
      </w:pPr>
      <w:r w:rsidRPr="00E3672F">
        <w:rPr>
          <w:noProof/>
          <w:lang w:val="en-US"/>
          <w14:ligatures w14:val="standardContextual"/>
        </w:rPr>
        <w:drawing>
          <wp:inline distT="0" distB="0" distL="0" distR="0" wp14:anchorId="39C4A4BC" wp14:editId="2D27F590">
            <wp:extent cx="5410200" cy="3086100"/>
            <wp:effectExtent l="0" t="0" r="0" b="0"/>
            <wp:docPr id="820537728" name="Chart 1">
              <a:extLst xmlns:a="http://schemas.openxmlformats.org/drawingml/2006/main">
                <a:ext uri="{FF2B5EF4-FFF2-40B4-BE49-F238E27FC236}">
                  <a16:creationId xmlns:a16="http://schemas.microsoft.com/office/drawing/2014/main" id="{093EAD7D-C47E-46A6-D324-5F5DA89961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Pr="00E3672F" w:rsidR="004B1071" w:rsidP="001E1287" w:rsidRDefault="004B1071" w14:paraId="5E676722" w14:textId="77777777">
      <w:pPr>
        <w:pStyle w:val="NoSpacing"/>
        <w:spacing w:line="360" w:lineRule="auto"/>
        <w:jc w:val="both"/>
        <w:rPr>
          <w:rFonts w:cs="Times New Roman"/>
          <w:lang w:val="en-GB"/>
        </w:rPr>
      </w:pPr>
    </w:p>
    <w:p w:rsidRPr="00E3672F" w:rsidR="004B1071" w:rsidP="001E1287" w:rsidRDefault="004B1071" w14:paraId="6B9FFCDF" w14:textId="12FD063B">
      <w:pPr>
        <w:pStyle w:val="NoSpacing"/>
        <w:spacing w:line="360" w:lineRule="auto"/>
        <w:jc w:val="both"/>
        <w:rPr>
          <w:rFonts w:cs="Times New Roman"/>
          <w:lang w:val="en-GB"/>
        </w:rPr>
      </w:pPr>
      <w:r w:rsidRPr="00E3672F">
        <w:rPr>
          <w:rFonts w:cs="Times New Roman"/>
          <w:lang w:val="en-GB"/>
        </w:rPr>
        <w:t xml:space="preserve">When comparing across countries, </w:t>
      </w:r>
      <w:r w:rsidRPr="00E3672F">
        <w:rPr>
          <w:rFonts w:cs="Times New Roman"/>
          <w:b/>
          <w:bCs/>
          <w:lang w:val="en-GB"/>
        </w:rPr>
        <w:t>France</w:t>
      </w:r>
      <w:r w:rsidRPr="00E3672F">
        <w:rPr>
          <w:rFonts w:cs="Times New Roman"/>
          <w:lang w:val="en-GB"/>
        </w:rPr>
        <w:t xml:space="preserve"> showed full engagement, with 100% (9 out of 9) of respondents confirming that such organisations had gained a role. </w:t>
      </w:r>
      <w:r w:rsidRPr="00E3672F">
        <w:rPr>
          <w:rFonts w:cs="Times New Roman"/>
          <w:b/>
          <w:bCs/>
          <w:lang w:val="en-GB"/>
        </w:rPr>
        <w:t>Romania</w:t>
      </w:r>
      <w:r w:rsidRPr="00E3672F">
        <w:rPr>
          <w:rFonts w:cs="Times New Roman"/>
          <w:lang w:val="en-GB"/>
        </w:rPr>
        <w:t xml:space="preserve"> and </w:t>
      </w:r>
      <w:r w:rsidRPr="00E3672F">
        <w:rPr>
          <w:rFonts w:cs="Times New Roman"/>
          <w:b/>
          <w:bCs/>
          <w:lang w:val="en-GB"/>
        </w:rPr>
        <w:t>Latvia</w:t>
      </w:r>
      <w:r w:rsidRPr="00E3672F">
        <w:rPr>
          <w:rFonts w:cs="Times New Roman"/>
          <w:lang w:val="en-GB"/>
        </w:rPr>
        <w:t xml:space="preserve"> also reported strong involvement, with 75% (3 out of 4) and 71% (5 out of 7), respectively, indicating participation. </w:t>
      </w:r>
      <w:r w:rsidRPr="00E3672F">
        <w:rPr>
          <w:rFonts w:cs="Times New Roman"/>
          <w:b/>
          <w:bCs/>
          <w:lang w:val="en-GB"/>
        </w:rPr>
        <w:t>Denmark</w:t>
      </w:r>
      <w:r w:rsidRPr="00E3672F">
        <w:rPr>
          <w:rFonts w:cs="Times New Roman"/>
          <w:lang w:val="en-GB"/>
        </w:rPr>
        <w:t xml:space="preserve"> and </w:t>
      </w:r>
      <w:r w:rsidRPr="00E3672F">
        <w:rPr>
          <w:rFonts w:cs="Times New Roman"/>
          <w:b/>
          <w:bCs/>
          <w:lang w:val="en-GB"/>
        </w:rPr>
        <w:t>Italy</w:t>
      </w:r>
      <w:r w:rsidRPr="00E3672F">
        <w:rPr>
          <w:rFonts w:cs="Times New Roman"/>
          <w:lang w:val="en-GB"/>
        </w:rPr>
        <w:t xml:space="preserve"> reflected more mixed views: in Denmark, 50% (6 out of 12) reported involvement while 42% (5 out of 12) were unsure, and in Italy, 38% (3 out of 8) confirmed involvement</w:t>
      </w:r>
      <w:r w:rsidRPr="00E3672F" w:rsidR="0061686B">
        <w:rPr>
          <w:rFonts w:cs="Times New Roman"/>
          <w:lang w:val="en-GB"/>
        </w:rPr>
        <w:t>,</w:t>
      </w:r>
      <w:r w:rsidRPr="00E3672F">
        <w:rPr>
          <w:rFonts w:cs="Times New Roman"/>
          <w:lang w:val="en-GB"/>
        </w:rPr>
        <w:t xml:space="preserve"> with 50% (4 out of 8) uncertain.</w:t>
      </w:r>
    </w:p>
    <w:p w:rsidRPr="00D0335D" w:rsidR="00D93C36" w:rsidP="00344B6F" w:rsidRDefault="00D93C36" w14:paraId="0D4EB307" w14:textId="77777777">
      <w:pPr>
        <w:pStyle w:val="NoSpacing"/>
        <w:spacing w:line="360" w:lineRule="auto"/>
        <w:jc w:val="center"/>
        <w:rPr>
          <w:lang w:val="en-GB"/>
        </w:rPr>
      </w:pPr>
    </w:p>
    <w:p w:rsidRPr="00E3672F" w:rsidR="00D93C36" w:rsidP="00D93C36" w:rsidRDefault="00D93C36" w14:paraId="15948470" w14:textId="6519F83E">
      <w:pPr>
        <w:pStyle w:val="NoSpacing"/>
        <w:spacing w:line="360" w:lineRule="auto"/>
        <w:jc w:val="both"/>
        <w:rPr>
          <w:rFonts w:cs="Times New Roman"/>
          <w:lang w:val="en-GB"/>
        </w:rPr>
      </w:pPr>
      <w:r w:rsidRPr="00E3672F">
        <w:rPr>
          <w:rFonts w:cs="Times New Roman"/>
          <w:lang w:val="en-GB"/>
        </w:rPr>
        <w:t>When asked whether third-party reports by trade unions, professional associations or civil society organisations were accepted under national rules (Question 22), responses showed considerable uncertainty. A total of 32% (13 out of 40) of respondents indicated that such reports were accepted, while 23% (9 out of 40) reported they were not. The largest group, 45% (18 out of 40), were unsure.</w:t>
      </w:r>
    </w:p>
    <w:p w:rsidRPr="00E3672F" w:rsidR="004B1071" w:rsidP="00344B6F" w:rsidRDefault="004B1071" w14:paraId="00C4A76C" w14:textId="5626105D">
      <w:pPr>
        <w:pStyle w:val="NoSpacing"/>
        <w:spacing w:line="360" w:lineRule="auto"/>
        <w:jc w:val="center"/>
        <w:rPr>
          <w:rFonts w:cs="Times New Roman"/>
          <w:b/>
          <w:bCs/>
          <w:lang w:val="en-GB"/>
        </w:rPr>
      </w:pPr>
      <w:r w:rsidRPr="00E3672F">
        <w:rPr>
          <w:rFonts w:cs="Times New Roman"/>
          <w:lang w:val="en-GB"/>
        </w:rPr>
        <w:br/>
      </w:r>
      <w:r w:rsidRPr="00E3672F" w:rsidR="00344B6F">
        <w:rPr>
          <w:rFonts w:cs="Times New Roman"/>
          <w:noProof/>
          <w:lang w:val="en-US"/>
          <w14:ligatures w14:val="standardContextual"/>
        </w:rPr>
        <w:drawing>
          <wp:inline distT="0" distB="0" distL="0" distR="0" wp14:anchorId="142EBF20" wp14:editId="2189E9BF">
            <wp:extent cx="4518660" cy="2621280"/>
            <wp:effectExtent l="0" t="0" r="15240" b="7620"/>
            <wp:docPr id="1535020158" name="Chart 1">
              <a:extLst xmlns:a="http://schemas.openxmlformats.org/drawingml/2006/main">
                <a:ext uri="{FF2B5EF4-FFF2-40B4-BE49-F238E27FC236}">
                  <a16:creationId xmlns:a16="http://schemas.microsoft.com/office/drawing/2014/main" id="{7F1200A7-9C76-66AF-60DA-8981BF0F9F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Pr="00E3672F" w:rsidR="00344B6F" w:rsidP="00344B6F" w:rsidRDefault="00344B6F" w14:paraId="3CFEC22C" w14:textId="77777777">
      <w:pPr>
        <w:pStyle w:val="NoSpacing"/>
        <w:spacing w:line="360" w:lineRule="auto"/>
        <w:jc w:val="center"/>
        <w:rPr>
          <w:rFonts w:cs="Times New Roman"/>
          <w:b/>
          <w:bCs/>
          <w:lang w:val="en-GB"/>
        </w:rPr>
      </w:pPr>
    </w:p>
    <w:p w:rsidRPr="00E3672F" w:rsidR="004B1071" w:rsidP="00561AFA" w:rsidRDefault="00561AFA" w14:paraId="76D54BEF" w14:textId="1A8E4B4C">
      <w:pPr>
        <w:pStyle w:val="NoSpacing"/>
        <w:spacing w:line="360" w:lineRule="auto"/>
        <w:jc w:val="center"/>
        <w:rPr>
          <w:rFonts w:cs="Times New Roman"/>
          <w:lang w:val="en-GB"/>
        </w:rPr>
      </w:pPr>
      <w:r w:rsidRPr="00E3672F">
        <w:rPr>
          <w:noProof/>
          <w:lang w:val="en-US"/>
          <w14:ligatures w14:val="standardContextual"/>
        </w:rPr>
        <w:drawing>
          <wp:inline distT="0" distB="0" distL="0" distR="0" wp14:anchorId="5FEB757A" wp14:editId="6706C579">
            <wp:extent cx="4567004" cy="2715770"/>
            <wp:effectExtent l="0" t="0" r="5080" b="8890"/>
            <wp:docPr id="877275639" name="Chart 1">
              <a:extLst xmlns:a="http://schemas.openxmlformats.org/drawingml/2006/main">
                <a:ext uri="{FF2B5EF4-FFF2-40B4-BE49-F238E27FC236}">
                  <a16:creationId xmlns:a16="http://schemas.microsoft.com/office/drawing/2014/main" id="{0F783F0F-EC2F-C263-75E0-C0773F0E04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Pr="00E3672F" w:rsidR="00561AFA" w:rsidP="00561AFA" w:rsidRDefault="00561AFA" w14:paraId="315C8F55" w14:textId="77777777">
      <w:pPr>
        <w:pStyle w:val="NoSpacing"/>
        <w:spacing w:line="360" w:lineRule="auto"/>
        <w:jc w:val="center"/>
        <w:rPr>
          <w:rFonts w:cs="Times New Roman"/>
          <w:lang w:val="en-GB"/>
        </w:rPr>
      </w:pPr>
    </w:p>
    <w:p w:rsidRPr="00E3672F" w:rsidR="004B1071" w:rsidP="001E1287" w:rsidRDefault="004B1071" w14:paraId="6FCEF610" w14:textId="77777777">
      <w:pPr>
        <w:pStyle w:val="NoSpacing"/>
        <w:spacing w:line="360" w:lineRule="auto"/>
        <w:jc w:val="both"/>
        <w:rPr>
          <w:rFonts w:cs="Times New Roman"/>
          <w:lang w:val="en-GB"/>
        </w:rPr>
      </w:pPr>
      <w:r w:rsidRPr="00E3672F">
        <w:rPr>
          <w:rFonts w:cs="Times New Roman"/>
          <w:lang w:val="en-GB"/>
        </w:rPr>
        <w:t xml:space="preserve">Responses varied widely across countries. </w:t>
      </w:r>
      <w:r w:rsidRPr="00E3672F">
        <w:rPr>
          <w:rFonts w:cs="Times New Roman"/>
          <w:b/>
          <w:bCs/>
          <w:lang w:val="en-GB"/>
        </w:rPr>
        <w:t>France</w:t>
      </w:r>
      <w:r w:rsidRPr="00E3672F">
        <w:rPr>
          <w:rFonts w:cs="Times New Roman"/>
          <w:lang w:val="en-GB"/>
        </w:rPr>
        <w:t xml:space="preserve"> showed strong acceptance, with 67% (6 out of 9) of respondents confirming that such reports were allowed, while 33% (3 out of 9) indicated they were not. </w:t>
      </w:r>
      <w:r w:rsidRPr="00E3672F">
        <w:rPr>
          <w:rFonts w:cs="Times New Roman"/>
          <w:b/>
          <w:bCs/>
          <w:lang w:val="en-GB"/>
        </w:rPr>
        <w:t>Romania</w:t>
      </w:r>
      <w:r w:rsidRPr="00E3672F">
        <w:rPr>
          <w:rFonts w:cs="Times New Roman"/>
          <w:lang w:val="en-GB"/>
        </w:rPr>
        <w:t xml:space="preserve"> and </w:t>
      </w:r>
      <w:r w:rsidRPr="00E3672F">
        <w:rPr>
          <w:rFonts w:cs="Times New Roman"/>
          <w:b/>
          <w:bCs/>
          <w:lang w:val="en-GB"/>
        </w:rPr>
        <w:t>Latvia</w:t>
      </w:r>
      <w:r w:rsidRPr="00E3672F">
        <w:rPr>
          <w:rFonts w:cs="Times New Roman"/>
          <w:lang w:val="en-GB"/>
        </w:rPr>
        <w:t xml:space="preserve"> also reported moderate acceptance, with 50% (2 out of 4) and 43% (3 out of 7), respectively, confirming acceptance, though some respondents were unsure. </w:t>
      </w:r>
      <w:r w:rsidRPr="00E3672F">
        <w:rPr>
          <w:rFonts w:cs="Times New Roman"/>
          <w:b/>
          <w:bCs/>
          <w:lang w:val="en-GB"/>
        </w:rPr>
        <w:t>Italy</w:t>
      </w:r>
      <w:r w:rsidRPr="00E3672F">
        <w:rPr>
          <w:rFonts w:cs="Times New Roman"/>
          <w:lang w:val="en-GB"/>
        </w:rPr>
        <w:t xml:space="preserve"> and </w:t>
      </w:r>
      <w:r w:rsidRPr="00E3672F">
        <w:rPr>
          <w:rFonts w:cs="Times New Roman"/>
          <w:b/>
          <w:bCs/>
          <w:lang w:val="en-GB"/>
        </w:rPr>
        <w:t>Denmark</w:t>
      </w:r>
      <w:r w:rsidRPr="00E3672F">
        <w:rPr>
          <w:rFonts w:cs="Times New Roman"/>
          <w:lang w:val="en-GB"/>
        </w:rPr>
        <w:t xml:space="preserve"> showed the highest levels of uncertainty, with 63% (5 out of 8) in Italy and 83% (10 out of 12) in Denmark indicating they did not know whether third-party reports were accepted.</w:t>
      </w:r>
    </w:p>
    <w:p w:rsidRPr="00E3672F" w:rsidR="004B1071" w:rsidP="001E1287" w:rsidRDefault="004B1071" w14:paraId="71C2AB23" w14:textId="77777777">
      <w:pPr>
        <w:pStyle w:val="NoSpacing"/>
        <w:spacing w:line="360" w:lineRule="auto"/>
        <w:jc w:val="both"/>
        <w:rPr>
          <w:rFonts w:cs="Times New Roman"/>
          <w:lang w:val="en-GB"/>
        </w:rPr>
      </w:pPr>
    </w:p>
    <w:p w:rsidRPr="00E3672F" w:rsidR="004B1071" w:rsidP="001E1287" w:rsidRDefault="00C50E46" w14:paraId="542C4A23" w14:textId="4DF5F78D">
      <w:pPr>
        <w:pStyle w:val="NoSpacing"/>
        <w:spacing w:line="360" w:lineRule="auto"/>
        <w:jc w:val="center"/>
        <w:rPr>
          <w:rFonts w:cs="Times New Roman"/>
          <w:b/>
          <w:bCs/>
          <w:lang w:val="en-GB"/>
        </w:rPr>
      </w:pPr>
      <w:r w:rsidRPr="00E3672F">
        <w:rPr>
          <w:noProof/>
          <w:lang w:val="en-US"/>
          <w14:ligatures w14:val="standardContextual"/>
        </w:rPr>
        <w:drawing>
          <wp:inline distT="0" distB="0" distL="0" distR="0" wp14:anchorId="7026C3FF" wp14:editId="1A39FD6F">
            <wp:extent cx="4577919" cy="2796497"/>
            <wp:effectExtent l="0" t="0" r="13335" b="4445"/>
            <wp:docPr id="1067393150" name="Chart 1">
              <a:extLst xmlns:a="http://schemas.openxmlformats.org/drawingml/2006/main">
                <a:ext uri="{FF2B5EF4-FFF2-40B4-BE49-F238E27FC236}">
                  <a16:creationId xmlns:a16="http://schemas.microsoft.com/office/drawing/2014/main" id="{8CC4251A-A581-D0F5-F42F-A9278C87B4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Pr="00E3672F" w:rsidR="004B1071" w:rsidP="001E1287" w:rsidRDefault="004B1071" w14:paraId="4224F443" w14:textId="77777777">
      <w:pPr>
        <w:pStyle w:val="NoSpacing"/>
        <w:spacing w:line="360" w:lineRule="auto"/>
        <w:jc w:val="both"/>
        <w:rPr>
          <w:rFonts w:cs="Times New Roman"/>
          <w:lang w:val="en-GB"/>
        </w:rPr>
      </w:pPr>
    </w:p>
    <w:p w:rsidRPr="00E3672F" w:rsidR="004B1071" w:rsidP="001E1287" w:rsidRDefault="004B1071" w14:paraId="1EBB7620" w14:textId="77777777">
      <w:pPr>
        <w:pStyle w:val="NoSpacing"/>
        <w:spacing w:line="360" w:lineRule="auto"/>
        <w:jc w:val="both"/>
        <w:rPr>
          <w:rFonts w:cs="Times New Roman"/>
          <w:lang w:val="en-GB"/>
        </w:rPr>
      </w:pPr>
      <w:r w:rsidRPr="00E3672F">
        <w:rPr>
          <w:rFonts w:cs="Times New Roman"/>
          <w:lang w:val="en-GB"/>
        </w:rPr>
        <w:t xml:space="preserve">When asked whether social partners had been involved in the implementation of the Directive in their country (Question 23), responses varied across countries. </w:t>
      </w:r>
      <w:r w:rsidRPr="00E3672F">
        <w:rPr>
          <w:rFonts w:cs="Times New Roman"/>
          <w:b/>
          <w:bCs/>
          <w:lang w:val="en-GB"/>
        </w:rPr>
        <w:t>Latvia</w:t>
      </w:r>
      <w:r w:rsidRPr="00E3672F">
        <w:rPr>
          <w:rFonts w:cs="Times New Roman"/>
          <w:lang w:val="en-GB"/>
        </w:rPr>
        <w:t xml:space="preserve"> reported full involvement, with 100% (7 out of 7) of respondents confirming participation. </w:t>
      </w:r>
      <w:r w:rsidRPr="00E3672F">
        <w:rPr>
          <w:rFonts w:cs="Times New Roman"/>
          <w:b/>
          <w:bCs/>
          <w:lang w:val="en-GB"/>
        </w:rPr>
        <w:t>Italy</w:t>
      </w:r>
      <w:r w:rsidRPr="00E3672F">
        <w:rPr>
          <w:rFonts w:cs="Times New Roman"/>
          <w:lang w:val="en-GB"/>
        </w:rPr>
        <w:t xml:space="preserve"> and </w:t>
      </w:r>
      <w:r w:rsidRPr="00E3672F">
        <w:rPr>
          <w:rFonts w:cs="Times New Roman"/>
          <w:b/>
          <w:bCs/>
          <w:lang w:val="en-GB"/>
        </w:rPr>
        <w:t>Denmark</w:t>
      </w:r>
      <w:r w:rsidRPr="00E3672F">
        <w:rPr>
          <w:rFonts w:cs="Times New Roman"/>
          <w:lang w:val="en-GB"/>
        </w:rPr>
        <w:t xml:space="preserve"> also showed strong engagement, with 63% (5 out of 8) and 58% (7 out of 12) indicating involvement, respectively. </w:t>
      </w:r>
      <w:r w:rsidRPr="00E3672F">
        <w:rPr>
          <w:rFonts w:cs="Times New Roman"/>
          <w:b/>
          <w:bCs/>
          <w:lang w:val="en-GB"/>
        </w:rPr>
        <w:t>France</w:t>
      </w:r>
      <w:r w:rsidRPr="00E3672F">
        <w:rPr>
          <w:rFonts w:cs="Times New Roman"/>
          <w:lang w:val="en-GB"/>
        </w:rPr>
        <w:t xml:space="preserve"> presented a mixed picture, with 44% (4 out of 9) reporting involvement and 33% (3 out of 9) reporting no participation. </w:t>
      </w:r>
      <w:r w:rsidRPr="00E3672F">
        <w:rPr>
          <w:rFonts w:cs="Times New Roman"/>
          <w:b/>
          <w:bCs/>
          <w:lang w:val="en-GB"/>
        </w:rPr>
        <w:t>Romania</w:t>
      </w:r>
      <w:r w:rsidRPr="00E3672F">
        <w:rPr>
          <w:rFonts w:cs="Times New Roman"/>
          <w:lang w:val="en-GB"/>
        </w:rPr>
        <w:t xml:space="preserve"> showed the highest uncertainty, with 100% (4 out of 4) of respondents unsure about social partner involvement.</w:t>
      </w:r>
    </w:p>
    <w:p w:rsidRPr="00E3672F" w:rsidR="004B1071" w:rsidP="001E1287" w:rsidRDefault="004B1071" w14:paraId="1AA4BF58" w14:textId="77777777">
      <w:pPr>
        <w:pStyle w:val="NoSpacing"/>
        <w:spacing w:line="360" w:lineRule="auto"/>
        <w:jc w:val="both"/>
        <w:rPr>
          <w:rFonts w:cs="Times New Roman"/>
          <w:lang w:val="en-GB"/>
        </w:rPr>
      </w:pPr>
    </w:p>
    <w:p w:rsidRPr="00E3672F" w:rsidR="004B1071" w:rsidP="000408B1" w:rsidRDefault="004B1071" w14:paraId="3D4D53A2" w14:textId="757A58A0">
      <w:pPr>
        <w:pStyle w:val="Heading2"/>
        <w:ind w:left="720"/>
        <w:rPr>
          <w:u w:val="single"/>
        </w:rPr>
      </w:pPr>
      <w:bookmarkStart w:name="_Toc228180554" w:id="52"/>
      <w:r w:rsidRPr="00E3672F">
        <w:rPr>
          <w:u w:val="single"/>
        </w:rPr>
        <w:t xml:space="preserve">Trust and </w:t>
      </w:r>
      <w:r w:rsidRPr="00E3672F" w:rsidR="00DC0C30">
        <w:rPr>
          <w:u w:val="single"/>
        </w:rPr>
        <w:t>p</w:t>
      </w:r>
      <w:r w:rsidRPr="00E3672F">
        <w:rPr>
          <w:u w:val="single"/>
        </w:rPr>
        <w:t>erception</w:t>
      </w:r>
      <w:bookmarkEnd w:id="52"/>
      <w:r w:rsidRPr="00E3672F">
        <w:rPr>
          <w:u w:val="single"/>
        </w:rPr>
        <w:t> </w:t>
      </w:r>
    </w:p>
    <w:p w:rsidRPr="00E3672F" w:rsidR="004523CC" w:rsidP="004523CC" w:rsidRDefault="004523CC" w14:paraId="1006DC84" w14:textId="77777777">
      <w:pPr>
        <w:pStyle w:val="NoSpacing"/>
        <w:spacing w:line="360" w:lineRule="auto"/>
        <w:jc w:val="both"/>
        <w:rPr>
          <w:rFonts w:cs="Times New Roman"/>
          <w:lang w:val="en-GB"/>
        </w:rPr>
      </w:pPr>
      <w:r w:rsidRPr="00E3672F">
        <w:rPr>
          <w:rFonts w:cs="Times New Roman"/>
          <w:lang w:val="en-GB"/>
        </w:rPr>
        <w:t>When asked to what extent had public trust increased that individuals could safely report wrongdoing falling within the scope of the Directive or national legislation without fear of retaliation (Question 24), responses showed a generally moderate perception of improvement. Only 5% (2 out of 40) of respondents felt that trust had increased to a large extent, while 30% (12 out of 40) reported moderate increases and 35% (14 out of 40) indicated some increase. Meanwhile, 15% (6 out of 40) felt that trust had not increased at all, and another 15% (6 out of 40) were unsure.</w:t>
      </w:r>
    </w:p>
    <w:p w:rsidRPr="00E3672F" w:rsidR="004B1071" w:rsidP="001E1287" w:rsidRDefault="004B1071" w14:paraId="5A8E3E53" w14:textId="77777777">
      <w:pPr>
        <w:pStyle w:val="NoSpacing"/>
        <w:spacing w:line="360" w:lineRule="auto"/>
        <w:jc w:val="both"/>
        <w:rPr>
          <w:rFonts w:cs="Times New Roman"/>
          <w:lang w:val="en-GB"/>
        </w:rPr>
      </w:pPr>
    </w:p>
    <w:p w:rsidRPr="00A17908" w:rsidR="004B1071" w:rsidP="001E1287" w:rsidRDefault="00A17908" w14:paraId="1DF9D324" w14:textId="38B561C4">
      <w:pPr>
        <w:pStyle w:val="NoSpacing"/>
        <w:spacing w:line="360" w:lineRule="auto"/>
        <w:jc w:val="center"/>
      </w:pPr>
      <w:r w:rsidRPr="00A17908">
        <w:rPr>
          <w:noProof/>
          <w:lang w:val="en-US"/>
        </w:rPr>
        <w:drawing>
          <wp:inline distT="0" distB="0" distL="0" distR="0" wp14:anchorId="5AFBC6C3" wp14:editId="6B0191D6">
            <wp:extent cx="3961694" cy="2819701"/>
            <wp:effectExtent l="0" t="0" r="1270" b="0"/>
            <wp:docPr id="3280101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011561" cy="2855193"/>
                    </a:xfrm>
                    <a:prstGeom prst="rect">
                      <a:avLst/>
                    </a:prstGeom>
                    <a:noFill/>
                    <a:ln>
                      <a:noFill/>
                    </a:ln>
                  </pic:spPr>
                </pic:pic>
              </a:graphicData>
            </a:graphic>
          </wp:inline>
        </w:drawing>
      </w:r>
    </w:p>
    <w:p w:rsidRPr="00E3672F" w:rsidR="000F4067" w:rsidP="001E1287" w:rsidRDefault="000F4067" w14:paraId="3C26392A" w14:textId="77777777">
      <w:pPr>
        <w:pStyle w:val="NoSpacing"/>
        <w:spacing w:line="360" w:lineRule="auto"/>
        <w:jc w:val="both"/>
        <w:rPr>
          <w:rFonts w:cs="Times New Roman"/>
          <w:lang w:val="en-GB"/>
        </w:rPr>
      </w:pPr>
    </w:p>
    <w:p w:rsidRPr="00E3672F" w:rsidR="004523CC" w:rsidDel="004523CC" w:rsidP="001E1287" w:rsidRDefault="004523CC" w14:paraId="58396A51" w14:textId="30FF8EAB">
      <w:pPr>
        <w:pStyle w:val="NoSpacing"/>
        <w:spacing w:line="360" w:lineRule="auto"/>
        <w:jc w:val="both"/>
        <w:rPr>
          <w:rFonts w:cs="Times New Roman"/>
          <w:lang w:val="en-GB"/>
        </w:rPr>
      </w:pPr>
      <w:r w:rsidRPr="00E3672F">
        <w:rPr>
          <w:rFonts w:cs="Times New Roman"/>
          <w:lang w:val="en-GB"/>
        </w:rPr>
        <w:t xml:space="preserve">Country-level responses revealed significant variation. </w:t>
      </w:r>
      <w:r w:rsidRPr="00E3672F">
        <w:rPr>
          <w:rFonts w:cs="Times New Roman"/>
          <w:b/>
          <w:bCs/>
          <w:lang w:val="en-GB"/>
        </w:rPr>
        <w:t>Latvia</w:t>
      </w:r>
      <w:r w:rsidRPr="00E3672F">
        <w:rPr>
          <w:rFonts w:cs="Times New Roman"/>
          <w:lang w:val="en-GB"/>
        </w:rPr>
        <w:t xml:space="preserve"> and </w:t>
      </w:r>
      <w:r w:rsidRPr="00E3672F">
        <w:rPr>
          <w:rFonts w:cs="Times New Roman"/>
          <w:b/>
          <w:bCs/>
          <w:lang w:val="en-GB"/>
        </w:rPr>
        <w:t>Italy</w:t>
      </w:r>
      <w:r w:rsidRPr="00E3672F">
        <w:rPr>
          <w:rFonts w:cs="Times New Roman"/>
          <w:lang w:val="en-GB"/>
        </w:rPr>
        <w:t xml:space="preserve"> reported the highest levels of trust, with 57% (4 out of 7) and 50% (4 out of 8) of respondents respectively recognising a large or moderate increase. </w:t>
      </w:r>
      <w:r w:rsidRPr="00E3672F">
        <w:rPr>
          <w:rFonts w:cs="Times New Roman"/>
          <w:b/>
          <w:bCs/>
          <w:lang w:val="en-GB"/>
        </w:rPr>
        <w:t>France</w:t>
      </w:r>
      <w:r w:rsidRPr="00E3672F">
        <w:rPr>
          <w:rFonts w:cs="Times New Roman"/>
          <w:lang w:val="en-GB"/>
        </w:rPr>
        <w:t xml:space="preserve"> and </w:t>
      </w:r>
      <w:r w:rsidRPr="00E3672F">
        <w:rPr>
          <w:rFonts w:cs="Times New Roman"/>
          <w:b/>
          <w:bCs/>
          <w:lang w:val="en-GB"/>
        </w:rPr>
        <w:t>Denmark</w:t>
      </w:r>
      <w:r w:rsidRPr="00E3672F">
        <w:rPr>
          <w:rFonts w:cs="Times New Roman"/>
          <w:lang w:val="en-GB"/>
        </w:rPr>
        <w:t xml:space="preserve"> showed more cautious results, with 11% (1 out of 9) and 33% (4 out of 12) of respondents reporting a large or moderate increase, and many noting only partial gains or uncertainty. </w:t>
      </w:r>
      <w:r w:rsidRPr="00E3672F">
        <w:rPr>
          <w:rFonts w:cs="Times New Roman"/>
          <w:b/>
          <w:bCs/>
          <w:lang w:val="en-GB"/>
        </w:rPr>
        <w:t>Romania</w:t>
      </w:r>
      <w:r w:rsidRPr="00E3672F">
        <w:rPr>
          <w:rFonts w:cs="Times New Roman"/>
          <w:lang w:val="en-GB"/>
        </w:rPr>
        <w:t xml:space="preserve"> displayed the lowest recognition, with only 1 respondent acknowledging a clear increase in trust and half (2 out of 4) perceiving no change at all.</w:t>
      </w:r>
    </w:p>
    <w:p w:rsidRPr="00E3672F" w:rsidR="004B1071" w:rsidP="001E1287" w:rsidRDefault="004B1071" w14:paraId="0996C0B7" w14:textId="77777777">
      <w:pPr>
        <w:pStyle w:val="NoSpacing"/>
        <w:spacing w:line="360" w:lineRule="auto"/>
        <w:jc w:val="both"/>
        <w:rPr>
          <w:rFonts w:cs="Times New Roman"/>
          <w:lang w:val="en-GB"/>
        </w:rPr>
      </w:pPr>
    </w:p>
    <w:p w:rsidRPr="00E3672F" w:rsidR="004B1071" w:rsidP="00416B72" w:rsidRDefault="00416B72" w14:paraId="0119A491" w14:textId="4E8E7376">
      <w:pPr>
        <w:pStyle w:val="NoSpacing"/>
        <w:spacing w:line="360" w:lineRule="auto"/>
        <w:jc w:val="center"/>
        <w:rPr>
          <w:rFonts w:cs="Times New Roman"/>
          <w:lang w:val="en-GB"/>
        </w:rPr>
      </w:pPr>
      <w:r w:rsidRPr="00E3672F">
        <w:rPr>
          <w:noProof/>
          <w:lang w:val="en-US"/>
          <w14:ligatures w14:val="standardContextual"/>
        </w:rPr>
        <w:drawing>
          <wp:inline distT="0" distB="0" distL="0" distR="0" wp14:anchorId="49F05D7E" wp14:editId="4D5A765F">
            <wp:extent cx="4589780" cy="3055717"/>
            <wp:effectExtent l="0" t="0" r="1270" b="11430"/>
            <wp:docPr id="782953476" name="Chart 1">
              <a:extLst xmlns:a="http://schemas.openxmlformats.org/drawingml/2006/main">
                <a:ext uri="{FF2B5EF4-FFF2-40B4-BE49-F238E27FC236}">
                  <a16:creationId xmlns:a16="http://schemas.microsoft.com/office/drawing/2014/main" id="{6E3C2A8D-47FE-2D03-BA05-CEEF059178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Pr="00E3672F" w:rsidR="00416B72" w:rsidP="001E1287" w:rsidRDefault="00416B72" w14:paraId="145F6022" w14:textId="77777777">
      <w:pPr>
        <w:pStyle w:val="NoSpacing"/>
        <w:spacing w:line="360" w:lineRule="auto"/>
        <w:jc w:val="both"/>
        <w:rPr>
          <w:rFonts w:cs="Times New Roman"/>
          <w:lang w:val="en-GB"/>
        </w:rPr>
      </w:pPr>
    </w:p>
    <w:p w:rsidRPr="00E3672F" w:rsidR="004B1071" w:rsidP="001E1287" w:rsidRDefault="00080A88" w14:paraId="5276735E" w14:textId="131F5A4C">
      <w:pPr>
        <w:pStyle w:val="NoSpacing"/>
        <w:spacing w:line="360" w:lineRule="auto"/>
        <w:jc w:val="both"/>
        <w:rPr>
          <w:rFonts w:cs="Times New Roman"/>
          <w:lang w:val="en-GB"/>
        </w:rPr>
      </w:pPr>
      <w:r w:rsidRPr="00E3672F">
        <w:rPr>
          <w:rFonts w:cs="Times New Roman"/>
          <w:lang w:val="en-GB"/>
        </w:rPr>
        <w:t>R</w:t>
      </w:r>
      <w:r w:rsidRPr="00E3672F" w:rsidR="004B1071">
        <w:rPr>
          <w:rFonts w:cs="Times New Roman"/>
          <w:lang w:val="en-GB"/>
        </w:rPr>
        <w:t>espondents who perceived an increase in public trust were asked to provide examples (Question 24a). Many observed that trust has increased where secure and well-publicised channels exist, with notable rises in reporting in sectors such as health, environment and public administration. Examples include increased use of external reporting channels and a shift towards named (non-anonymous) reports in Romania, as well as rising numbers</w:t>
      </w:r>
      <w:r w:rsidR="006607CB">
        <w:rPr>
          <w:rFonts w:cs="Times New Roman"/>
          <w:lang w:val="en-GB"/>
        </w:rPr>
        <w:t xml:space="preserve"> of reports</w:t>
      </w:r>
      <w:r w:rsidRPr="00E3672F" w:rsidR="004B1071">
        <w:rPr>
          <w:rFonts w:cs="Times New Roman"/>
          <w:lang w:val="en-GB"/>
        </w:rPr>
        <w:t xml:space="preserve"> to Denmark</w:t>
      </w:r>
      <w:r w:rsidRPr="00E3672F" w:rsidR="00413731">
        <w:rPr>
          <w:rFonts w:cs="Times New Roman"/>
          <w:lang w:val="en-GB"/>
        </w:rPr>
        <w:t>’</w:t>
      </w:r>
      <w:r w:rsidRPr="00E3672F" w:rsidR="004B1071">
        <w:rPr>
          <w:rFonts w:cs="Times New Roman"/>
          <w:lang w:val="en-GB"/>
        </w:rPr>
        <w:t>s National Whistleblower Scheme following awareness campaigns. Italian respondents noted that integration of whistleblowing into corporate compliance training has strengthened confidence internally, while French respondents highlighted persistent fears of retaliation despite legal protections, citing high-profile cases such as Eric Le Floch and Arnaud Begin where whistleblowers faced ongoing professional consequences. Private</w:t>
      </w:r>
      <w:r w:rsidR="00C10652">
        <w:rPr>
          <w:rFonts w:cs="Times New Roman"/>
          <w:lang w:val="en-GB"/>
        </w:rPr>
        <w:t xml:space="preserve"> </w:t>
      </w:r>
      <w:r w:rsidRPr="00E3672F" w:rsidR="004B1071">
        <w:rPr>
          <w:rFonts w:cs="Times New Roman"/>
          <w:lang w:val="en-GB"/>
        </w:rPr>
        <w:t>sector examples showed that well-implemented channels can foster trust if confidentiality is assured, whereas public</w:t>
      </w:r>
      <w:r w:rsidR="00C10652">
        <w:rPr>
          <w:rFonts w:cs="Times New Roman"/>
          <w:lang w:val="en-GB"/>
        </w:rPr>
        <w:t xml:space="preserve"> </w:t>
      </w:r>
      <w:r w:rsidRPr="00E3672F" w:rsidR="004B1071">
        <w:rPr>
          <w:rFonts w:cs="Times New Roman"/>
          <w:lang w:val="en-GB"/>
        </w:rPr>
        <w:t>sector experiences often remain affected by perceptions of insecurity or bureaucratic obstacles. Overall, respondents emphasised that while legal frameworks provide a foundation, practical implementation and organisational culture remain crucial determinants of public confidence.</w:t>
      </w:r>
    </w:p>
    <w:p w:rsidRPr="00E3672F" w:rsidR="004B1071" w:rsidP="001E1287" w:rsidRDefault="004B1071" w14:paraId="2534B318" w14:textId="77777777">
      <w:pPr>
        <w:pStyle w:val="NoSpacing"/>
        <w:spacing w:line="360" w:lineRule="auto"/>
        <w:jc w:val="both"/>
        <w:rPr>
          <w:rFonts w:cs="Times New Roman"/>
          <w:lang w:val="en-GB"/>
        </w:rPr>
      </w:pPr>
    </w:p>
    <w:p w:rsidRPr="00E3672F" w:rsidR="004B1071" w:rsidP="000408B1" w:rsidRDefault="004B1071" w14:paraId="08C68035" w14:textId="2E9E1969">
      <w:pPr>
        <w:pStyle w:val="Heading2"/>
        <w:ind w:left="720"/>
        <w:rPr>
          <w:u w:val="single"/>
        </w:rPr>
      </w:pPr>
      <w:bookmarkStart w:name="_Toc228180555" w:id="53"/>
      <w:r w:rsidRPr="00E3672F">
        <w:rPr>
          <w:u w:val="single"/>
        </w:rPr>
        <w:t xml:space="preserve">Awareness and </w:t>
      </w:r>
      <w:r w:rsidRPr="00E3672F" w:rsidR="00DC0C30">
        <w:rPr>
          <w:u w:val="single"/>
        </w:rPr>
        <w:t>c</w:t>
      </w:r>
      <w:r w:rsidRPr="00E3672F">
        <w:rPr>
          <w:u w:val="single"/>
        </w:rPr>
        <w:t>ommunication</w:t>
      </w:r>
      <w:bookmarkEnd w:id="53"/>
      <w:r w:rsidRPr="00E3672F">
        <w:rPr>
          <w:u w:val="single"/>
        </w:rPr>
        <w:t> </w:t>
      </w:r>
    </w:p>
    <w:p w:rsidRPr="00E3672F" w:rsidR="00D565C4" w:rsidP="001E1287" w:rsidRDefault="00D565C4" w14:paraId="2B12E530" w14:textId="77777777">
      <w:pPr>
        <w:pStyle w:val="NoSpacing"/>
        <w:spacing w:line="360" w:lineRule="auto"/>
        <w:jc w:val="both"/>
        <w:rPr>
          <w:rFonts w:cs="Times New Roman"/>
          <w:lang w:val="en-GB"/>
        </w:rPr>
      </w:pPr>
    </w:p>
    <w:p w:rsidRPr="00E3672F" w:rsidR="000F4067" w:rsidP="00D565C4" w:rsidRDefault="00D565C4" w14:paraId="405A601B" w14:textId="1B4CA4BC">
      <w:pPr>
        <w:pStyle w:val="NoSpacing"/>
        <w:spacing w:line="360" w:lineRule="auto"/>
        <w:jc w:val="center"/>
        <w:rPr>
          <w:rFonts w:cs="Times New Roman"/>
          <w:lang w:val="en-GB"/>
        </w:rPr>
      </w:pPr>
      <w:r w:rsidRPr="00E3672F">
        <w:rPr>
          <w:noProof/>
          <w:lang w:val="en-US"/>
        </w:rPr>
        <w:drawing>
          <wp:inline distT="0" distB="0" distL="0" distR="0" wp14:anchorId="66586FCD" wp14:editId="69E44266">
            <wp:extent cx="4572000" cy="3097763"/>
            <wp:effectExtent l="0" t="0" r="0" b="7620"/>
            <wp:docPr id="563182761" name="Chart 1">
              <a:extLst xmlns:a="http://schemas.openxmlformats.org/drawingml/2006/main">
                <a:ext uri="{FF2B5EF4-FFF2-40B4-BE49-F238E27FC236}">
                  <a16:creationId xmlns:a16="http://schemas.microsoft.com/office/drawing/2014/main" id="{0A17EAC4-8D06-9C3A-A680-68B5FB0CD5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Pr="00E3672F" w:rsidR="00D565C4" w:rsidP="00D565C4" w:rsidRDefault="00D565C4" w14:paraId="088CB3A1" w14:textId="77777777">
      <w:pPr>
        <w:pStyle w:val="NoSpacing"/>
        <w:spacing w:line="360" w:lineRule="auto"/>
        <w:jc w:val="center"/>
        <w:rPr>
          <w:rFonts w:cs="Times New Roman"/>
          <w:lang w:val="en-GB"/>
        </w:rPr>
      </w:pPr>
    </w:p>
    <w:p w:rsidRPr="00E3672F" w:rsidR="004B1071" w:rsidP="001E1287" w:rsidRDefault="004B1071" w14:paraId="73749EEE" w14:textId="6F0AE5AC">
      <w:pPr>
        <w:pStyle w:val="NoSpacing"/>
        <w:spacing w:line="360" w:lineRule="auto"/>
        <w:jc w:val="both"/>
        <w:rPr>
          <w:rFonts w:cs="Times New Roman"/>
          <w:lang w:val="en-GB"/>
        </w:rPr>
      </w:pPr>
      <w:r w:rsidRPr="00E3672F">
        <w:rPr>
          <w:rFonts w:cs="Times New Roman"/>
          <w:lang w:val="en-GB"/>
        </w:rPr>
        <w:t xml:space="preserve">When asked whether national authorities or social partners had launched awareness-raising or information campaigns to change cultural perceptions of whistleblowing and inform citizens about their rights (Question 25), responses varied across countries. </w:t>
      </w:r>
      <w:r w:rsidRPr="00E3672F">
        <w:rPr>
          <w:rFonts w:cs="Times New Roman"/>
          <w:b/>
          <w:bCs/>
          <w:lang w:val="en-GB"/>
        </w:rPr>
        <w:t>Latvia</w:t>
      </w:r>
      <w:r w:rsidRPr="00E3672F">
        <w:rPr>
          <w:rFonts w:cs="Times New Roman"/>
          <w:lang w:val="en-GB"/>
        </w:rPr>
        <w:t xml:space="preserve"> reported the highest level of activity, with 86% (6 out of 7) confirming that campaigns had been launched, followed by </w:t>
      </w:r>
      <w:r w:rsidRPr="00E3672F">
        <w:rPr>
          <w:rFonts w:cs="Times New Roman"/>
          <w:b/>
          <w:bCs/>
          <w:lang w:val="en-GB"/>
        </w:rPr>
        <w:t>Romania</w:t>
      </w:r>
      <w:r w:rsidRPr="00E3672F">
        <w:rPr>
          <w:rFonts w:cs="Times New Roman"/>
          <w:lang w:val="en-GB"/>
        </w:rPr>
        <w:t xml:space="preserve"> with 75% (3 out of 4). </w:t>
      </w:r>
      <w:r w:rsidRPr="00E3672F">
        <w:rPr>
          <w:rFonts w:cs="Times New Roman"/>
          <w:b/>
          <w:bCs/>
          <w:lang w:val="en-GB"/>
        </w:rPr>
        <w:t>France</w:t>
      </w:r>
      <w:r w:rsidRPr="00E3672F">
        <w:rPr>
          <w:rFonts w:cs="Times New Roman"/>
          <w:lang w:val="en-GB"/>
        </w:rPr>
        <w:t xml:space="preserve"> also showed significant engagement, with 56% (5 out of 9) reporting campaigns, while Italy and Denmark displayed more mixed results. In </w:t>
      </w:r>
      <w:r w:rsidRPr="00E3672F">
        <w:rPr>
          <w:rFonts w:cs="Times New Roman"/>
          <w:b/>
          <w:bCs/>
          <w:lang w:val="en-GB"/>
        </w:rPr>
        <w:t>Italy</w:t>
      </w:r>
      <w:r w:rsidRPr="00E3672F">
        <w:rPr>
          <w:rFonts w:cs="Times New Roman"/>
          <w:lang w:val="en-GB"/>
        </w:rPr>
        <w:t xml:space="preserve">, 38% (3 out of 8) confirmed campaigns, 25% (2 out of 8) reported none, and 38% (3 out of 8) were unsure. In </w:t>
      </w:r>
      <w:r w:rsidRPr="00E3672F">
        <w:rPr>
          <w:rFonts w:cs="Times New Roman"/>
          <w:b/>
          <w:bCs/>
          <w:lang w:val="en-GB"/>
        </w:rPr>
        <w:t>Denmark</w:t>
      </w:r>
      <w:r w:rsidRPr="00E3672F">
        <w:rPr>
          <w:rFonts w:cs="Times New Roman"/>
          <w:lang w:val="en-GB"/>
        </w:rPr>
        <w:t>, only 33% (4 out of 12) confirmed campaigns, 25% (3 out of 12) reported none, and 42% (5 out of 12) were unsure.</w:t>
      </w:r>
    </w:p>
    <w:p w:rsidRPr="00E3672F" w:rsidR="004B1071" w:rsidP="001E1287" w:rsidRDefault="004B1071" w14:paraId="5C01FBFB" w14:textId="77777777">
      <w:pPr>
        <w:pStyle w:val="NoSpacing"/>
        <w:spacing w:line="360" w:lineRule="auto"/>
        <w:jc w:val="both"/>
        <w:rPr>
          <w:rFonts w:cs="Times New Roman"/>
          <w:lang w:val="en-GB"/>
        </w:rPr>
      </w:pPr>
    </w:p>
    <w:p w:rsidRPr="00E3672F" w:rsidR="00A20F9B" w:rsidP="001E1287" w:rsidRDefault="006607CB" w14:paraId="7E477B19" w14:textId="5710FF06">
      <w:pPr>
        <w:pStyle w:val="NoSpacing"/>
        <w:spacing w:line="360" w:lineRule="auto"/>
        <w:jc w:val="both"/>
        <w:rPr>
          <w:rFonts w:cs="Times New Roman"/>
          <w:lang w:val="en-GB"/>
        </w:rPr>
      </w:pPr>
      <w:r>
        <w:rPr>
          <w:rFonts w:cs="Times New Roman"/>
          <w:lang w:val="en-GB"/>
        </w:rPr>
        <w:t>R</w:t>
      </w:r>
      <w:r w:rsidRPr="00E3672F" w:rsidR="004B1071">
        <w:rPr>
          <w:rFonts w:cs="Times New Roman"/>
          <w:lang w:val="en-GB"/>
        </w:rPr>
        <w:t>espondents who observed campaign</w:t>
      </w:r>
      <w:r w:rsidRPr="00E3672F" w:rsidR="00080A88">
        <w:rPr>
          <w:rFonts w:cs="Times New Roman"/>
          <w:lang w:val="en-GB"/>
        </w:rPr>
        <w:t>s</w:t>
      </w:r>
      <w:r w:rsidRPr="00E3672F" w:rsidR="004B1071">
        <w:rPr>
          <w:rFonts w:cs="Times New Roman"/>
          <w:lang w:val="en-GB"/>
        </w:rPr>
        <w:t xml:space="preserve"> were asked to provide examples (Question 25a). The campaigns mentioned include:</w:t>
      </w:r>
    </w:p>
    <w:p w:rsidRPr="00E3672F" w:rsidR="00B913E3" w:rsidP="001E1287" w:rsidRDefault="00B913E3" w14:paraId="22397B50" w14:textId="77777777">
      <w:pPr>
        <w:pStyle w:val="NoSpacing"/>
        <w:spacing w:line="360" w:lineRule="auto"/>
        <w:jc w:val="both"/>
        <w:rPr>
          <w:rFonts w:cs="Times New Roman"/>
          <w:lang w:val="en-GB"/>
        </w:rPr>
      </w:pPr>
    </w:p>
    <w:p w:rsidRPr="00E3672F" w:rsidR="004B1071" w:rsidP="001E1287" w:rsidRDefault="004B1071" w14:paraId="76AFDA65" w14:textId="0FCA6E41">
      <w:pPr>
        <w:pStyle w:val="NoSpacing"/>
        <w:numPr>
          <w:ilvl w:val="0"/>
          <w:numId w:val="100"/>
        </w:numPr>
        <w:spacing w:line="360" w:lineRule="auto"/>
        <w:jc w:val="both"/>
        <w:rPr>
          <w:rFonts w:cs="Times New Roman"/>
          <w:lang w:val="en-GB"/>
        </w:rPr>
      </w:pPr>
      <w:r w:rsidRPr="00E3672F">
        <w:rPr>
          <w:rFonts w:cs="Times New Roman"/>
          <w:b/>
          <w:bCs/>
          <w:lang w:val="en-GB"/>
        </w:rPr>
        <w:t>France</w:t>
      </w:r>
      <w:r w:rsidRPr="00E3672F">
        <w:rPr>
          <w:rFonts w:cs="Times New Roman"/>
          <w:lang w:val="en-GB"/>
        </w:rPr>
        <w:t xml:space="preserve"> – The Maison des lanceurs d</w:t>
      </w:r>
      <w:r w:rsidRPr="00E3672F" w:rsidR="00413731">
        <w:rPr>
          <w:rFonts w:cs="Times New Roman"/>
          <w:lang w:val="en-GB"/>
        </w:rPr>
        <w:t>’</w:t>
      </w:r>
      <w:r w:rsidRPr="00E3672F">
        <w:rPr>
          <w:rFonts w:cs="Times New Roman"/>
          <w:lang w:val="en-GB"/>
        </w:rPr>
        <w:t>alerte (MLA) and Défenseur des droits</w:t>
      </w:r>
      <w:r w:rsidR="006607CB">
        <w:rPr>
          <w:rFonts w:cs="Times New Roman"/>
          <w:lang w:val="en-GB"/>
        </w:rPr>
        <w:t xml:space="preserve"> (Defender of Rights)</w:t>
      </w:r>
      <w:r w:rsidRPr="00E3672F">
        <w:rPr>
          <w:rFonts w:cs="Times New Roman"/>
          <w:lang w:val="en-GB"/>
        </w:rPr>
        <w:t xml:space="preserve"> have published guides, organised webinars and engaged with unions (UGICT-CGT, CFE-CGC) to explain reporting procedures and rights. Authorities like </w:t>
      </w:r>
      <w:r w:rsidR="006607CB">
        <w:rPr>
          <w:rFonts w:cs="Times New Roman"/>
          <w:lang w:val="en-GB"/>
        </w:rPr>
        <w:t xml:space="preserve">the </w:t>
      </w:r>
      <w:r w:rsidRPr="00E3672F">
        <w:rPr>
          <w:rFonts w:cs="Times New Roman"/>
          <w:lang w:val="en-GB"/>
        </w:rPr>
        <w:t xml:space="preserve">AFA also use websites, LinkedIn and media campaigns to reach the public. </w:t>
      </w:r>
    </w:p>
    <w:p w:rsidRPr="00E3672F" w:rsidR="004B1071" w:rsidP="001E1287" w:rsidRDefault="004B1071" w14:paraId="535A50D9" w14:textId="63CF9A3A">
      <w:pPr>
        <w:pStyle w:val="NoSpacing"/>
        <w:numPr>
          <w:ilvl w:val="0"/>
          <w:numId w:val="100"/>
        </w:numPr>
        <w:spacing w:line="360" w:lineRule="auto"/>
        <w:jc w:val="both"/>
        <w:rPr>
          <w:rFonts w:cs="Times New Roman"/>
          <w:lang w:val="en-GB"/>
        </w:rPr>
      </w:pPr>
      <w:r w:rsidRPr="00E3672F">
        <w:rPr>
          <w:rFonts w:cs="Times New Roman"/>
          <w:b/>
          <w:bCs/>
          <w:lang w:val="en-GB"/>
        </w:rPr>
        <w:t>Italy</w:t>
      </w:r>
      <w:r w:rsidRPr="00E3672F">
        <w:rPr>
          <w:rFonts w:cs="Times New Roman"/>
          <w:lang w:val="en-GB"/>
        </w:rPr>
        <w:t xml:space="preserve"> – Transparency International Italia runs the ALAC (Allerta Anticorruzione) platform, offers para-legal guidance, publishes studies and reports and conducts training for enterprises, public bodies and civil society to foster whistleblowing culture. </w:t>
      </w:r>
      <w:r w:rsidR="00A26EF3">
        <w:rPr>
          <w:rFonts w:cs="Times New Roman"/>
          <w:lang w:val="en-GB"/>
        </w:rPr>
        <w:t>It</w:t>
      </w:r>
      <w:r w:rsidRPr="00E3672F">
        <w:rPr>
          <w:rFonts w:cs="Times New Roman"/>
          <w:lang w:val="en-GB"/>
        </w:rPr>
        <w:t xml:space="preserve"> has issued operational guidelines, FAQs and a dedicated reporting platform. </w:t>
      </w:r>
    </w:p>
    <w:p w:rsidRPr="00E3672F" w:rsidR="004B1071" w:rsidP="001E1287" w:rsidRDefault="004B1071" w14:paraId="4ADC6DEC" w14:textId="6EA63163">
      <w:pPr>
        <w:pStyle w:val="NoSpacing"/>
        <w:numPr>
          <w:ilvl w:val="0"/>
          <w:numId w:val="100"/>
        </w:numPr>
        <w:spacing w:line="360" w:lineRule="auto"/>
        <w:jc w:val="both"/>
        <w:rPr>
          <w:rFonts w:cs="Times New Roman"/>
          <w:lang w:val="en-GB"/>
        </w:rPr>
      </w:pPr>
      <w:r w:rsidRPr="00E3672F">
        <w:rPr>
          <w:rFonts w:cs="Times New Roman"/>
          <w:b/>
          <w:bCs/>
          <w:lang w:val="en-GB"/>
        </w:rPr>
        <w:t>Romania</w:t>
      </w:r>
      <w:r w:rsidRPr="00E3672F">
        <w:rPr>
          <w:rFonts w:cs="Times New Roman"/>
          <w:lang w:val="en-GB"/>
        </w:rPr>
        <w:t xml:space="preserve"> – </w:t>
      </w:r>
      <w:r w:rsidRPr="00E3672F" w:rsidR="00180F2C">
        <w:rPr>
          <w:rFonts w:cs="Times New Roman"/>
          <w:lang w:val="en-GB"/>
        </w:rPr>
        <w:t>CSOs</w:t>
      </w:r>
      <w:r w:rsidRPr="00E3672F">
        <w:rPr>
          <w:rFonts w:cs="Times New Roman"/>
          <w:lang w:val="en-GB"/>
        </w:rPr>
        <w:t xml:space="preserve"> and specialised institutions have implemented courses, online campaigns (Transparency International Romania, Recorder) and public awareness materials since 2004, with additional campaigns around the transposition of the Directive. </w:t>
      </w:r>
    </w:p>
    <w:p w:rsidRPr="00E3672F" w:rsidR="004B1071" w:rsidP="001E1287" w:rsidRDefault="004B1071" w14:paraId="0571CF74" w14:textId="77777777">
      <w:pPr>
        <w:pStyle w:val="NoSpacing"/>
        <w:numPr>
          <w:ilvl w:val="0"/>
          <w:numId w:val="100"/>
        </w:numPr>
        <w:spacing w:line="360" w:lineRule="auto"/>
        <w:jc w:val="both"/>
        <w:rPr>
          <w:rFonts w:cs="Times New Roman"/>
          <w:lang w:val="en-GB"/>
        </w:rPr>
      </w:pPr>
      <w:r w:rsidRPr="00E3672F">
        <w:rPr>
          <w:rFonts w:cs="Times New Roman"/>
          <w:b/>
          <w:bCs/>
          <w:lang w:val="en-GB"/>
        </w:rPr>
        <w:t>Denmark</w:t>
      </w:r>
      <w:r w:rsidRPr="00E3672F">
        <w:rPr>
          <w:rFonts w:cs="Times New Roman"/>
          <w:lang w:val="en-GB"/>
        </w:rPr>
        <w:t xml:space="preserve"> – Awareness campaigns include articles in professional journals and information via the National Whistleblower Scheme. </w:t>
      </w:r>
    </w:p>
    <w:p w:rsidRPr="00E3672F" w:rsidR="004B1071" w:rsidP="001E1287" w:rsidRDefault="004B1071" w14:paraId="7A304B03" w14:textId="5B0F0439">
      <w:pPr>
        <w:pStyle w:val="NoSpacing"/>
        <w:numPr>
          <w:ilvl w:val="0"/>
          <w:numId w:val="100"/>
        </w:numPr>
        <w:spacing w:line="360" w:lineRule="auto"/>
        <w:jc w:val="both"/>
        <w:rPr>
          <w:rFonts w:cs="Times New Roman"/>
          <w:lang w:val="en-GB"/>
        </w:rPr>
      </w:pPr>
      <w:r w:rsidRPr="00E3672F">
        <w:rPr>
          <w:rFonts w:cs="Times New Roman"/>
          <w:b/>
          <w:bCs/>
          <w:lang w:val="en-GB"/>
        </w:rPr>
        <w:t>Latvia</w:t>
      </w:r>
      <w:r w:rsidRPr="00E3672F">
        <w:rPr>
          <w:rFonts w:cs="Times New Roman"/>
          <w:lang w:val="en-GB"/>
        </w:rPr>
        <w:t xml:space="preserve"> – The State Chancellery, KNAB (Corruption Prevention and Combating Bureau) and </w:t>
      </w:r>
      <w:r w:rsidRPr="00E3672F" w:rsidR="00180F2C">
        <w:rPr>
          <w:rFonts w:cs="Times New Roman"/>
          <w:lang w:val="en-GB"/>
        </w:rPr>
        <w:t>CSOs</w:t>
      </w:r>
      <w:r w:rsidRPr="00E3672F">
        <w:rPr>
          <w:rFonts w:cs="Times New Roman"/>
          <w:lang w:val="en-GB"/>
        </w:rPr>
        <w:t xml:space="preserve"> like </w:t>
      </w:r>
      <w:r w:rsidRPr="00E3672F" w:rsidR="00351103">
        <w:rPr>
          <w:rFonts w:cs="Times New Roman"/>
          <w:lang w:val="en-GB"/>
        </w:rPr>
        <w:t xml:space="preserve">Transparency International Latvia – </w:t>
      </w:r>
      <w:r w:rsidRPr="00E3672F">
        <w:rPr>
          <w:rFonts w:cs="Times New Roman"/>
          <w:lang w:val="en-GB"/>
        </w:rPr>
        <w:t xml:space="preserve">Delna </w:t>
      </w:r>
      <w:r w:rsidRPr="00E3672F" w:rsidR="00A26EF3">
        <w:rPr>
          <w:rFonts w:cs="Times New Roman"/>
          <w:lang w:val="en-GB"/>
        </w:rPr>
        <w:t>conducts</w:t>
      </w:r>
      <w:r w:rsidRPr="00E3672F">
        <w:rPr>
          <w:rFonts w:cs="Times New Roman"/>
          <w:lang w:val="en-GB"/>
        </w:rPr>
        <w:t xml:space="preserve"> public campaigns through mass media, social networks and public spaces (including billboards and transport media) to promote understanding. </w:t>
      </w:r>
    </w:p>
    <w:p w:rsidRPr="00E3672F" w:rsidR="004B1071" w:rsidP="001E1287" w:rsidRDefault="004B1071" w14:paraId="29BAA2EF" w14:textId="77777777">
      <w:pPr>
        <w:pStyle w:val="NoSpacing"/>
        <w:spacing w:line="360" w:lineRule="auto"/>
        <w:ind w:left="720"/>
        <w:jc w:val="both"/>
        <w:rPr>
          <w:rFonts w:cs="Times New Roman"/>
          <w:lang w:val="en-GB"/>
        </w:rPr>
      </w:pPr>
    </w:p>
    <w:p w:rsidRPr="00E3672F" w:rsidR="004B1071" w:rsidP="001E1287" w:rsidRDefault="004B1071" w14:paraId="78097394" w14:textId="0EF8094F">
      <w:pPr>
        <w:pStyle w:val="NoSpacing"/>
        <w:spacing w:line="360" w:lineRule="auto"/>
        <w:jc w:val="both"/>
        <w:rPr>
          <w:rFonts w:cs="Times New Roman"/>
          <w:lang w:val="en-GB"/>
        </w:rPr>
      </w:pPr>
      <w:r w:rsidRPr="00E3672F">
        <w:rPr>
          <w:rFonts w:cs="Times New Roman"/>
          <w:lang w:val="en-GB"/>
        </w:rPr>
        <w:t>Campaigns generally combined practical guides, web-based resources, training sessions, public events and media outreach, aiming to make reporting channels known, explain whistleblower rights and shift cultural attitudes from fear or stigma to recognising whistleblowers as contributors to public interest and organisational integrity. Many respondents noted that the effectiveness of these campaigns depends on implementation and trust in the reporting systems; without secure and functioning channels, even well-publicised campaigns have limited impact.</w:t>
      </w:r>
    </w:p>
    <w:p w:rsidRPr="00E3672F" w:rsidR="004B1071" w:rsidP="001E1287" w:rsidRDefault="004B1071" w14:paraId="1DA3DCEB" w14:textId="77777777">
      <w:pPr>
        <w:pStyle w:val="NoSpacing"/>
        <w:spacing w:line="360" w:lineRule="auto"/>
        <w:jc w:val="both"/>
        <w:rPr>
          <w:rFonts w:cs="Times New Roman"/>
          <w:lang w:val="en-GB"/>
        </w:rPr>
      </w:pPr>
    </w:p>
    <w:p w:rsidRPr="00E3672F" w:rsidR="004B1071" w:rsidP="001E1287" w:rsidRDefault="004B1071" w14:paraId="325EE96E" w14:textId="77777777">
      <w:pPr>
        <w:pStyle w:val="NoSpacing"/>
        <w:spacing w:line="360" w:lineRule="auto"/>
        <w:jc w:val="both"/>
        <w:rPr>
          <w:rFonts w:cs="Times New Roman"/>
          <w:lang w:val="en-GB"/>
        </w:rPr>
      </w:pPr>
    </w:p>
    <w:p w:rsidRPr="00E3672F" w:rsidR="004B1071" w:rsidP="00344B6F" w:rsidRDefault="00344B6F" w14:paraId="5CA9A833" w14:textId="15CEC508">
      <w:pPr>
        <w:pStyle w:val="NoSpacing"/>
        <w:spacing w:line="360" w:lineRule="auto"/>
        <w:jc w:val="center"/>
        <w:rPr>
          <w:rFonts w:cs="Times New Roman"/>
          <w:lang w:val="en-GB"/>
        </w:rPr>
      </w:pPr>
      <w:r w:rsidRPr="00E3672F">
        <w:rPr>
          <w:rFonts w:cs="Times New Roman"/>
          <w:noProof/>
          <w:lang w:val="en-US"/>
          <w14:ligatures w14:val="standardContextual"/>
        </w:rPr>
        <w:drawing>
          <wp:inline distT="0" distB="0" distL="0" distR="0" wp14:anchorId="386991AF" wp14:editId="1D061344">
            <wp:extent cx="5596932" cy="2735580"/>
            <wp:effectExtent l="0" t="0" r="3810" b="7620"/>
            <wp:docPr id="1998301458" name="Chart 1">
              <a:extLst xmlns:a="http://schemas.openxmlformats.org/drawingml/2006/main">
                <a:ext uri="{FF2B5EF4-FFF2-40B4-BE49-F238E27FC236}">
                  <a16:creationId xmlns:a16="http://schemas.microsoft.com/office/drawing/2014/main" id="{C6B98448-A032-C59B-62D4-85F7D7A433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Pr="00E3672F" w:rsidR="00344B6F" w:rsidP="00344B6F" w:rsidRDefault="00344B6F" w14:paraId="70436ED2" w14:textId="77777777">
      <w:pPr>
        <w:pStyle w:val="NoSpacing"/>
        <w:spacing w:line="360" w:lineRule="auto"/>
        <w:jc w:val="center"/>
        <w:rPr>
          <w:rFonts w:cs="Times New Roman"/>
          <w:lang w:val="en-GB"/>
        </w:rPr>
      </w:pPr>
    </w:p>
    <w:p w:rsidRPr="00E3672F" w:rsidR="004B1071" w:rsidP="001E1287" w:rsidRDefault="004B1071" w14:paraId="73A6883D" w14:textId="115917F9">
      <w:pPr>
        <w:pStyle w:val="NoSpacing"/>
        <w:spacing w:line="360" w:lineRule="auto"/>
        <w:jc w:val="both"/>
        <w:rPr>
          <w:rFonts w:cs="Times New Roman"/>
          <w:lang w:val="en-GB"/>
        </w:rPr>
      </w:pPr>
      <w:r w:rsidRPr="00E3672F">
        <w:rPr>
          <w:rFonts w:cs="Times New Roman"/>
          <w:lang w:val="en-GB"/>
        </w:rPr>
        <w:t>When asked about the role of the media concerning whistleblowing (Question 26), responses showed that media coverage was generally moderate but varied in engagement. A total of 48% (19 out of 40) of respondents indicated that the media provided moderate coverage of whistleblowing issues, while 10% (4 out of 40) reported that media usually did not deal with such issues. Only 5% (2 out of 40) noted that the media reported cases without collaborating with whistleblowers or facilitators, and 13% (5 out of 40) reported regular collaboration between media and whistleblowers or facilitators. Additionally, 25% (10 out of 40) were unsure about the media</w:t>
      </w:r>
      <w:r w:rsidRPr="00E3672F" w:rsidR="00413731">
        <w:rPr>
          <w:rFonts w:cs="Times New Roman"/>
          <w:lang w:val="en-GB"/>
        </w:rPr>
        <w:t>’</w:t>
      </w:r>
      <w:r w:rsidRPr="00E3672F">
        <w:rPr>
          <w:rFonts w:cs="Times New Roman"/>
          <w:lang w:val="en-GB"/>
        </w:rPr>
        <w:t>s role. Overall, the findings showed that while media engagement existed, it was mostly limited to reporting rather than active collaboration, and a significant share of respondents were uncertain about the media</w:t>
      </w:r>
      <w:r w:rsidRPr="00E3672F" w:rsidR="00413731">
        <w:rPr>
          <w:rFonts w:cs="Times New Roman"/>
          <w:lang w:val="en-GB"/>
        </w:rPr>
        <w:t>’</w:t>
      </w:r>
      <w:r w:rsidRPr="00E3672F">
        <w:rPr>
          <w:rFonts w:cs="Times New Roman"/>
          <w:lang w:val="en-GB"/>
        </w:rPr>
        <w:t>s involvement.</w:t>
      </w:r>
    </w:p>
    <w:p w:rsidRPr="00E3672F" w:rsidR="00C21CC2" w:rsidP="001E1287" w:rsidRDefault="00C21CC2" w14:paraId="7DAE37D7" w14:textId="5C89D611">
      <w:pPr>
        <w:pStyle w:val="Heading1"/>
        <w:spacing w:before="120" w:after="120" w:line="360" w:lineRule="auto"/>
        <w:contextualSpacing/>
        <w:rPr>
          <w:rFonts w:cs="Times New Roman"/>
          <w:color w:val="004F88"/>
        </w:rPr>
      </w:pPr>
      <w:r w:rsidRPr="00E3672F">
        <w:rPr>
          <w:rFonts w:cs="Times New Roman"/>
          <w:color w:val="004F88"/>
        </w:rPr>
        <w:br w:type="page"/>
      </w:r>
      <w:bookmarkStart w:name="_Toc228180556" w:id="54"/>
      <w:r w:rsidRPr="00E3672F">
        <w:rPr>
          <w:rFonts w:cs="Times New Roman"/>
          <w:color w:val="004F88"/>
        </w:rPr>
        <w:t xml:space="preserve">6. Primary data: </w:t>
      </w:r>
      <w:r w:rsidR="006069EE">
        <w:rPr>
          <w:rFonts w:cs="Times New Roman"/>
          <w:color w:val="004F88"/>
        </w:rPr>
        <w:t>A</w:t>
      </w:r>
      <w:r w:rsidRPr="00E3672F">
        <w:rPr>
          <w:rFonts w:cs="Times New Roman"/>
          <w:color w:val="004F88"/>
        </w:rPr>
        <w:t>dditional information</w:t>
      </w:r>
      <w:bookmarkEnd w:id="54"/>
      <w:r w:rsidRPr="00E3672F">
        <w:rPr>
          <w:rFonts w:cs="Times New Roman"/>
          <w:color w:val="004F88"/>
        </w:rPr>
        <w:t xml:space="preserve"> </w:t>
      </w:r>
    </w:p>
    <w:p w:rsidRPr="00E3672F" w:rsidR="00B66E3F" w:rsidP="001E1287" w:rsidRDefault="00B66E3F" w14:paraId="0BA017A3" w14:textId="77777777">
      <w:pPr>
        <w:spacing w:before="120" w:after="120" w:line="360" w:lineRule="auto"/>
        <w:contextualSpacing/>
      </w:pPr>
    </w:p>
    <w:p w:rsidRPr="00E3672F" w:rsidR="00C21CC2" w:rsidP="001E1287" w:rsidRDefault="00C21CC2" w14:paraId="1FA13ED9" w14:textId="2AF6DE7A">
      <w:pPr>
        <w:pStyle w:val="Heading2"/>
        <w:spacing w:before="120" w:after="120" w:line="360" w:lineRule="auto"/>
        <w:contextualSpacing/>
        <w:rPr>
          <w:rFonts w:cs="Times New Roman"/>
          <w:color w:val="004F88"/>
        </w:rPr>
      </w:pPr>
      <w:bookmarkStart w:name="_Toc228180557" w:id="55"/>
      <w:r w:rsidRPr="00E3672F">
        <w:rPr>
          <w:rFonts w:cs="Times New Roman"/>
          <w:color w:val="004F88"/>
        </w:rPr>
        <w:t>6.1</w:t>
      </w:r>
      <w:r w:rsidRPr="00E3672F">
        <w:rPr>
          <w:rFonts w:cs="Times New Roman"/>
          <w:color w:val="004F88"/>
        </w:rPr>
        <w:tab/>
      </w:r>
      <w:r w:rsidRPr="00E3672F">
        <w:rPr>
          <w:rFonts w:cs="Times New Roman"/>
          <w:color w:val="004F88"/>
          <w:u w:val="single"/>
        </w:rPr>
        <w:t xml:space="preserve">Information gathered in </w:t>
      </w:r>
      <w:r w:rsidRPr="00E3672F" w:rsidR="00C21FB0">
        <w:rPr>
          <w:rFonts w:cs="Times New Roman"/>
          <w:color w:val="004F88"/>
          <w:u w:val="single"/>
        </w:rPr>
        <w:t>written contributions</w:t>
      </w:r>
      <w:bookmarkEnd w:id="55"/>
    </w:p>
    <w:p w:rsidRPr="00E3672F" w:rsidR="00CF73BB" w:rsidP="001E1287" w:rsidRDefault="00CF73BB" w14:paraId="488FA22C" w14:textId="001E13DD">
      <w:pPr>
        <w:spacing w:before="120" w:after="120" w:line="360" w:lineRule="auto"/>
        <w:contextualSpacing/>
      </w:pPr>
    </w:p>
    <w:p w:rsidRPr="00E3672F" w:rsidR="00CF73BB" w:rsidP="001E1287" w:rsidRDefault="00CF73BB" w14:paraId="1DA97A70" w14:textId="50DD7E25">
      <w:pPr>
        <w:spacing w:before="120" w:after="120" w:line="360" w:lineRule="auto"/>
        <w:contextualSpacing/>
      </w:pPr>
      <w:r w:rsidRPr="00E3672F">
        <w:t xml:space="preserve">Additional information was also received in writing from Italian stakeholders. </w:t>
      </w:r>
      <w:r w:rsidRPr="00E3672F" w:rsidR="00CB00D8">
        <w:t>We have</w:t>
      </w:r>
      <w:r w:rsidRPr="00E3672F">
        <w:t xml:space="preserve"> summari</w:t>
      </w:r>
      <w:r w:rsidRPr="00E3672F" w:rsidR="00413731">
        <w:t>s</w:t>
      </w:r>
      <w:r w:rsidRPr="00E3672F">
        <w:t>e</w:t>
      </w:r>
      <w:r w:rsidRPr="00E3672F" w:rsidR="00A06E94">
        <w:t>d</w:t>
      </w:r>
      <w:r w:rsidRPr="00E3672F">
        <w:t xml:space="preserve"> the key points from these contributions</w:t>
      </w:r>
      <w:r w:rsidRPr="00E3672F" w:rsidR="00A06E94">
        <w:t xml:space="preserve"> below</w:t>
      </w:r>
      <w:r w:rsidRPr="00E3672F">
        <w:t xml:space="preserve">. </w:t>
      </w:r>
    </w:p>
    <w:p w:rsidRPr="00E3672F" w:rsidR="00CF73BB" w:rsidP="001E1287" w:rsidRDefault="00CF73BB" w14:paraId="0643FD6B" w14:textId="77777777">
      <w:pPr>
        <w:spacing w:before="120" w:after="120" w:line="360" w:lineRule="auto"/>
        <w:contextualSpacing/>
      </w:pPr>
    </w:p>
    <w:p w:rsidRPr="00E3672F" w:rsidR="00CF73BB" w:rsidP="001E1287" w:rsidRDefault="000408B1" w14:paraId="5AE07749" w14:textId="16E9E66D">
      <w:pPr>
        <w:spacing w:before="120" w:after="120" w:line="360" w:lineRule="auto"/>
        <w:contextualSpacing/>
        <w:rPr>
          <w:bCs/>
        </w:rPr>
      </w:pPr>
      <w:r w:rsidRPr="00E3672F">
        <w:rPr>
          <w:b/>
          <w:bCs/>
        </w:rPr>
        <w:t xml:space="preserve">1. </w:t>
      </w:r>
      <w:r w:rsidRPr="00E3672F" w:rsidR="00CF73BB">
        <w:rPr>
          <w:b/>
          <w:bCs/>
        </w:rPr>
        <w:t>Scope and overall implementation</w:t>
      </w:r>
    </w:p>
    <w:p w:rsidRPr="00E3672F" w:rsidR="00CF73BB" w:rsidP="001E1287" w:rsidRDefault="00CF73BB" w14:paraId="3CC9D0A4" w14:textId="7F6BD90E">
      <w:pPr>
        <w:spacing w:before="120" w:after="120" w:line="360" w:lineRule="auto"/>
        <w:contextualSpacing/>
        <w:rPr>
          <w:b/>
          <w:bCs/>
        </w:rPr>
      </w:pPr>
      <w:r w:rsidRPr="00E3672F">
        <w:rPr>
          <w:bCs/>
        </w:rPr>
        <w:t>An Italian trade union representative and an Italian employers</w:t>
      </w:r>
      <w:r w:rsidRPr="00E3672F" w:rsidR="00413731">
        <w:rPr>
          <w:bCs/>
        </w:rPr>
        <w:t>’</w:t>
      </w:r>
      <w:r w:rsidRPr="00E3672F">
        <w:rPr>
          <w:bCs/>
        </w:rPr>
        <w:t xml:space="preserve"> representative both observed that Italian Legislative Decree No 24/2023 has significantly broadened the national whistleblowing framework beyond the minimum sectors listed in Directive (EU) 2019/1937. According to both perspectives, the Italian law now covers violations of EU and national law, including administrative, civil and criminal offences that harm the public interest or the integrity of public and private entities. Each representative highlighted that the national system provides protection to the full set of persons envisaged in the Directive, and that internal and external reporting channels are now established in practice. Both also considered the whistleblowing regime to integrate well with existing legal and compliance structures, such as labour law, corporate governance models and data</w:t>
      </w:r>
      <w:r w:rsidRPr="00E3672F">
        <w:rPr>
          <w:bCs/>
        </w:rPr>
        <w:noBreakHyphen/>
        <w:t>protection rules.</w:t>
      </w:r>
    </w:p>
    <w:p w:rsidRPr="00E3672F" w:rsidR="00CF73BB" w:rsidP="001E1287" w:rsidRDefault="00CF73BB" w14:paraId="25560908" w14:textId="5CE134A8">
      <w:pPr>
        <w:spacing w:before="120" w:after="120" w:line="360" w:lineRule="auto"/>
        <w:contextualSpacing/>
        <w:rPr>
          <w:bCs/>
        </w:rPr>
      </w:pPr>
    </w:p>
    <w:p w:rsidRPr="00E3672F" w:rsidR="00CF73BB" w:rsidP="001E1287" w:rsidRDefault="000408B1" w14:paraId="50028453" w14:textId="0150A875">
      <w:pPr>
        <w:spacing w:before="120" w:after="120" w:line="360" w:lineRule="auto"/>
        <w:contextualSpacing/>
        <w:rPr>
          <w:bCs/>
        </w:rPr>
      </w:pPr>
      <w:r w:rsidRPr="00E3672F">
        <w:rPr>
          <w:b/>
          <w:bCs/>
        </w:rPr>
        <w:t xml:space="preserve">2. </w:t>
      </w:r>
      <w:r w:rsidRPr="00E3672F" w:rsidR="00CF73BB">
        <w:rPr>
          <w:b/>
          <w:bCs/>
        </w:rPr>
        <w:t>Effectiveness, practical functioning and enforcement</w:t>
      </w:r>
    </w:p>
    <w:p w:rsidRPr="00E3672F" w:rsidR="00CF73BB" w:rsidP="001E1287" w:rsidRDefault="00CF73BB" w14:paraId="70A54F7F" w14:textId="33AD36C5">
      <w:pPr>
        <w:spacing w:before="120" w:after="120" w:line="360" w:lineRule="auto"/>
        <w:contextualSpacing/>
        <w:rPr>
          <w:bCs/>
        </w:rPr>
      </w:pPr>
      <w:r w:rsidRPr="00E3672F">
        <w:rPr>
          <w:bCs/>
        </w:rPr>
        <w:t>An Italian trade union representative and an Italian employers</w:t>
      </w:r>
      <w:r w:rsidRPr="00E3672F" w:rsidR="00413731">
        <w:rPr>
          <w:bCs/>
        </w:rPr>
        <w:t>’</w:t>
      </w:r>
      <w:r w:rsidRPr="00E3672F">
        <w:rPr>
          <w:bCs/>
        </w:rPr>
        <w:t xml:space="preserve"> representative agreed that whistleblowing channels are functional but still maturing, with persistent cultural barriers and practical challenges. Both emphasised that organisational trust and protection from retaliation require sustained consolidation. The employers</w:t>
      </w:r>
      <w:r w:rsidRPr="00E3672F" w:rsidR="00413731">
        <w:rPr>
          <w:bCs/>
        </w:rPr>
        <w:t>’</w:t>
      </w:r>
      <w:r w:rsidRPr="00E3672F">
        <w:rPr>
          <w:bCs/>
        </w:rPr>
        <w:t xml:space="preserve"> representative noted difficulties such as managing anonymous reports, distinguishing genuine wrongdoing from subjective grievances, and dealing with complex data</w:t>
      </w:r>
      <w:r w:rsidRPr="00E3672F">
        <w:rPr>
          <w:bCs/>
        </w:rPr>
        <w:noBreakHyphen/>
        <w:t>protection requirements, particularly in smaller organisations. The trade union representative similarly expressed concerns that, especially in small and medium-sized enterprises, close personal ties may hinder investigations and corrective action. The two viewpoints diverged in their assessment of enforcement: the trade union representative stressed that few court decisions exist and that judicial authorities lack adequate resources, while the employers</w:t>
      </w:r>
      <w:r w:rsidRPr="00E3672F" w:rsidR="00413731">
        <w:rPr>
          <w:bCs/>
        </w:rPr>
        <w:t>’</w:t>
      </w:r>
      <w:r w:rsidRPr="00E3672F">
        <w:rPr>
          <w:bCs/>
        </w:rPr>
        <w:t xml:space="preserve"> representative considered protections to be applied in practice without raising strong concerns about institutional capacity.</w:t>
      </w:r>
    </w:p>
    <w:p w:rsidRPr="00E3672F" w:rsidR="00CF73BB" w:rsidP="001E1287" w:rsidRDefault="00CF73BB" w14:paraId="10E7A1F1" w14:textId="534017E3">
      <w:pPr>
        <w:spacing w:before="120" w:after="120" w:line="360" w:lineRule="auto"/>
        <w:contextualSpacing/>
        <w:rPr>
          <w:bCs/>
        </w:rPr>
      </w:pPr>
    </w:p>
    <w:p w:rsidRPr="00E3672F" w:rsidR="00CF73BB" w:rsidP="001E1287" w:rsidRDefault="000408B1" w14:paraId="4D3CF83D" w14:textId="0E44B3AF">
      <w:pPr>
        <w:spacing w:before="120" w:after="120" w:line="360" w:lineRule="auto"/>
        <w:contextualSpacing/>
        <w:rPr>
          <w:bCs/>
        </w:rPr>
      </w:pPr>
      <w:r w:rsidRPr="00E3672F">
        <w:rPr>
          <w:b/>
          <w:bCs/>
        </w:rPr>
        <w:t xml:space="preserve">3. </w:t>
      </w:r>
      <w:r w:rsidRPr="00E3672F" w:rsidR="00CF73BB">
        <w:rPr>
          <w:b/>
          <w:bCs/>
        </w:rPr>
        <w:t>Future development, scope extensions and role of wider stakeholders</w:t>
      </w:r>
    </w:p>
    <w:p w:rsidRPr="00E3672F" w:rsidR="00C21CC2" w:rsidP="001E1287" w:rsidRDefault="00CF73BB" w14:paraId="4801DA39" w14:textId="4A1CD260">
      <w:pPr>
        <w:spacing w:before="120" w:after="120" w:line="360" w:lineRule="auto"/>
        <w:contextualSpacing/>
        <w:rPr>
          <w:bCs/>
        </w:rPr>
      </w:pPr>
      <w:r w:rsidRPr="00E3672F">
        <w:rPr>
          <w:bCs/>
        </w:rPr>
        <w:t>An Italian trade union representative and an Italian employers</w:t>
      </w:r>
      <w:r w:rsidRPr="00E3672F" w:rsidR="00413731">
        <w:rPr>
          <w:bCs/>
        </w:rPr>
        <w:t>’</w:t>
      </w:r>
      <w:r w:rsidRPr="00E3672F">
        <w:rPr>
          <w:bCs/>
        </w:rPr>
        <w:t xml:space="preserve"> representative both acknowledged limited involvement of worker representatives in the operational management of reporting channels and perceived only a marginal role for the media in whistleblowing matters. They also agreed that internal channels are prioritised by the legal framework, while external reporting remains possible but secondary. However, their views diverged regarding possible future extensions of the material scope. The trade union representative suggested that issues such as harassment, discrimination and health and safety should be addressed through separate, dedicated legislation rather than through the whistleblowing framework itself. In contrast, the employers</w:t>
      </w:r>
      <w:r w:rsidRPr="00E3672F" w:rsidR="00413731">
        <w:rPr>
          <w:bCs/>
        </w:rPr>
        <w:t>’</w:t>
      </w:r>
      <w:r w:rsidRPr="00E3672F">
        <w:rPr>
          <w:bCs/>
        </w:rPr>
        <w:t xml:space="preserve"> representative reported mixed views within companies on whether whistleblowing protection should extend to broader social and labour</w:t>
      </w:r>
      <w:r w:rsidRPr="00E3672F">
        <w:rPr>
          <w:bCs/>
        </w:rPr>
        <w:noBreakHyphen/>
        <w:t>related issues, reflecting internal debate on the future evolution of the system.</w:t>
      </w:r>
    </w:p>
    <w:p w:rsidRPr="00E3672F" w:rsidR="00C21CC2" w:rsidP="001E1287" w:rsidRDefault="00C21CC2" w14:paraId="0A1D901B" w14:textId="77777777">
      <w:pPr>
        <w:pStyle w:val="ListParagraph"/>
        <w:spacing w:before="120" w:after="120" w:line="360" w:lineRule="auto"/>
        <w:rPr>
          <w:bCs/>
        </w:rPr>
      </w:pPr>
    </w:p>
    <w:p w:rsidRPr="00E3672F" w:rsidR="00C21CC2" w:rsidP="001E1287" w:rsidRDefault="00C21CC2" w14:paraId="2B2E15A8" w14:textId="426B8DC9">
      <w:pPr>
        <w:pStyle w:val="Heading2"/>
        <w:spacing w:before="120" w:after="120" w:line="360" w:lineRule="auto"/>
        <w:contextualSpacing/>
        <w:rPr>
          <w:rFonts w:cs="Times New Roman"/>
          <w:color w:val="004F88"/>
        </w:rPr>
      </w:pPr>
      <w:bookmarkStart w:name="_Toc228180558" w:id="56"/>
      <w:r w:rsidRPr="00E3672F">
        <w:rPr>
          <w:rFonts w:cs="Times New Roman"/>
          <w:color w:val="004F88"/>
        </w:rPr>
        <w:t>6.2</w:t>
      </w:r>
      <w:r w:rsidRPr="00E3672F">
        <w:rPr>
          <w:rFonts w:cs="Times New Roman"/>
          <w:color w:val="004F88"/>
        </w:rPr>
        <w:tab/>
      </w:r>
      <w:r w:rsidRPr="00E3672F">
        <w:rPr>
          <w:rFonts w:cs="Times New Roman"/>
          <w:color w:val="004F88"/>
          <w:u w:val="single"/>
        </w:rPr>
        <w:t>Information from the questionnaire</w:t>
      </w:r>
      <w:bookmarkEnd w:id="56"/>
      <w:r w:rsidRPr="00E3672F">
        <w:rPr>
          <w:rFonts w:cs="Times New Roman"/>
          <w:color w:val="004F88"/>
          <w:u w:val="single"/>
        </w:rPr>
        <w:t xml:space="preserve"> </w:t>
      </w:r>
    </w:p>
    <w:p w:rsidRPr="00E3672F" w:rsidR="00907A4D" w:rsidP="00907A4D" w:rsidRDefault="00907A4D" w14:paraId="20769A91" w14:textId="3D4F3419">
      <w:pPr>
        <w:pStyle w:val="NoSpacing"/>
        <w:spacing w:line="360" w:lineRule="auto"/>
        <w:jc w:val="both"/>
        <w:rPr>
          <w:rFonts w:cs="Times New Roman"/>
          <w:lang w:val="en-GB"/>
        </w:rPr>
      </w:pPr>
      <w:r w:rsidRPr="00E3672F">
        <w:rPr>
          <w:rFonts w:cs="Times New Roman"/>
          <w:lang w:val="en-GB"/>
        </w:rPr>
        <w:t xml:space="preserve">Stakeholders were given the opportunity to raise further issues that were not included in the questionnaire or to expand on issues that they thought deserved additional attention (Question 27). </w:t>
      </w:r>
      <w:r w:rsidRPr="00E3672F" w:rsidR="00A06E94">
        <w:rPr>
          <w:rFonts w:cs="Times New Roman"/>
          <w:lang w:val="en-GB"/>
        </w:rPr>
        <w:t>We have</w:t>
      </w:r>
      <w:r w:rsidRPr="00E3672F">
        <w:rPr>
          <w:rFonts w:cs="Times New Roman"/>
          <w:lang w:val="en-GB"/>
        </w:rPr>
        <w:t xml:space="preserve"> summarise</w:t>
      </w:r>
      <w:r w:rsidRPr="00E3672F" w:rsidR="00A06E94">
        <w:rPr>
          <w:rFonts w:cs="Times New Roman"/>
          <w:lang w:val="en-GB"/>
        </w:rPr>
        <w:t>d</w:t>
      </w:r>
      <w:r w:rsidRPr="00E3672F">
        <w:rPr>
          <w:rFonts w:cs="Times New Roman"/>
          <w:lang w:val="en-GB"/>
        </w:rPr>
        <w:t xml:space="preserve"> the additional contributions</w:t>
      </w:r>
      <w:r w:rsidRPr="00E3672F" w:rsidR="00A06E94">
        <w:rPr>
          <w:rFonts w:cs="Times New Roman"/>
          <w:lang w:val="en-GB"/>
        </w:rPr>
        <w:t xml:space="preserve"> below, grouping their feedback</w:t>
      </w:r>
      <w:r w:rsidRPr="00E3672F">
        <w:rPr>
          <w:rFonts w:cs="Times New Roman"/>
          <w:lang w:val="en-GB"/>
        </w:rPr>
        <w:t xml:space="preserve"> into key thematic areas.</w:t>
      </w:r>
    </w:p>
    <w:p w:rsidRPr="00E3672F" w:rsidR="00907A4D" w:rsidP="00907A4D" w:rsidRDefault="00907A4D" w14:paraId="011482EC" w14:textId="77777777">
      <w:pPr>
        <w:pStyle w:val="NoSpacing"/>
        <w:spacing w:line="360" w:lineRule="auto"/>
        <w:jc w:val="both"/>
        <w:rPr>
          <w:rFonts w:cs="Times New Roman"/>
          <w:lang w:val="en-GB"/>
        </w:rPr>
      </w:pPr>
    </w:p>
    <w:p w:rsidRPr="00E3672F" w:rsidR="00907A4D" w:rsidP="00907A4D" w:rsidRDefault="00907A4D" w14:paraId="0AEF4DD6" w14:textId="77777777">
      <w:pPr>
        <w:pStyle w:val="NoSpacing"/>
        <w:spacing w:line="360" w:lineRule="auto"/>
        <w:jc w:val="both"/>
        <w:rPr>
          <w:rFonts w:cs="Times New Roman"/>
          <w:b/>
          <w:bCs/>
          <w:lang w:val="en-GB"/>
        </w:rPr>
      </w:pPr>
      <w:r w:rsidRPr="00E3672F">
        <w:rPr>
          <w:rFonts w:cs="Times New Roman"/>
          <w:b/>
          <w:bCs/>
          <w:lang w:val="en-GB"/>
        </w:rPr>
        <w:t>1. Scope of protection</w:t>
      </w:r>
    </w:p>
    <w:p w:rsidRPr="00E3672F" w:rsidR="00907A4D" w:rsidP="00907A4D" w:rsidRDefault="00907A4D" w14:paraId="1989C3C4" w14:textId="4F5E1B47">
      <w:pPr>
        <w:pStyle w:val="NoSpacing"/>
        <w:spacing w:line="360" w:lineRule="auto"/>
        <w:jc w:val="both"/>
        <w:rPr>
          <w:rFonts w:cs="Times New Roman"/>
          <w:lang w:val="en-GB"/>
        </w:rPr>
      </w:pPr>
      <w:r w:rsidRPr="00E3672F">
        <w:rPr>
          <w:rFonts w:cs="Times New Roman"/>
          <w:lang w:val="en-GB"/>
        </w:rPr>
        <w:t>Respondents largely agreed that the scope of whistleblower protection under the Directive is too narrow and should extend beyond legal or financial misconduct to include social and workplace-related issues. Many highlighted the need to cover harassment, discrimination, health and safety violations, and systemic abuses that could harm public interest. Examples provided included workplace sexual harassment, repeated violations of occupational health and safety rules, and institutionali</w:t>
      </w:r>
      <w:r w:rsidRPr="00E3672F" w:rsidR="00413731">
        <w:rPr>
          <w:rFonts w:cs="Times New Roman"/>
          <w:lang w:val="en-GB"/>
        </w:rPr>
        <w:t>s</w:t>
      </w:r>
      <w:r w:rsidRPr="00E3672F">
        <w:rPr>
          <w:rFonts w:cs="Times New Roman"/>
          <w:lang w:val="en-GB"/>
        </w:rPr>
        <w:t>ed discrimination. Several respondents noted that countries such as Romania already apply broader definitions at the national level, while others emphasi</w:t>
      </w:r>
      <w:r w:rsidRPr="00E3672F" w:rsidR="00413731">
        <w:rPr>
          <w:rFonts w:cs="Times New Roman"/>
          <w:lang w:val="en-GB"/>
        </w:rPr>
        <w:t>s</w:t>
      </w:r>
      <w:r w:rsidRPr="00E3672F">
        <w:rPr>
          <w:rFonts w:cs="Times New Roman"/>
          <w:lang w:val="en-GB"/>
        </w:rPr>
        <w:t>ed that extending protection to social issues would strengthen the preventive function of whistleblowing and better safeguard both individuals and public interest. Overall, the view was that a narrow scope creates artificial boundaries and may discourage reporting, while a broader, clearly defined scope would enhance both legal clarity and practical protection.</w:t>
      </w:r>
    </w:p>
    <w:p w:rsidRPr="00E3672F" w:rsidR="00907A4D" w:rsidP="00907A4D" w:rsidRDefault="00907A4D" w14:paraId="5527FDF2" w14:textId="77777777">
      <w:pPr>
        <w:pStyle w:val="NoSpacing"/>
        <w:spacing w:line="360" w:lineRule="auto"/>
        <w:jc w:val="both"/>
        <w:rPr>
          <w:rFonts w:cs="Times New Roman"/>
          <w:lang w:val="en-GB"/>
        </w:rPr>
      </w:pPr>
    </w:p>
    <w:p w:rsidRPr="00E3672F" w:rsidR="00907A4D" w:rsidP="00907A4D" w:rsidRDefault="00907A4D" w14:paraId="7A4616E6" w14:textId="77777777">
      <w:pPr>
        <w:pStyle w:val="NoSpacing"/>
        <w:spacing w:line="360" w:lineRule="auto"/>
        <w:jc w:val="both"/>
        <w:rPr>
          <w:rFonts w:cs="Times New Roman"/>
          <w:b/>
          <w:bCs/>
          <w:lang w:val="en-GB"/>
        </w:rPr>
      </w:pPr>
      <w:r w:rsidRPr="00E3672F">
        <w:rPr>
          <w:rFonts w:cs="Times New Roman"/>
          <w:b/>
          <w:bCs/>
          <w:lang w:val="en-GB"/>
        </w:rPr>
        <w:t>2. Relationship with other legal regimes</w:t>
      </w:r>
    </w:p>
    <w:p w:rsidRPr="00E3672F" w:rsidR="00907A4D" w:rsidP="00907A4D" w:rsidRDefault="00907A4D" w14:paraId="6DE95FF3" w14:textId="5E5E5C69">
      <w:pPr>
        <w:pStyle w:val="NoSpacing"/>
        <w:spacing w:line="360" w:lineRule="auto"/>
        <w:jc w:val="both"/>
        <w:rPr>
          <w:rFonts w:cs="Times New Roman"/>
          <w:lang w:val="en-GB"/>
        </w:rPr>
      </w:pPr>
      <w:r w:rsidRPr="00E3672F">
        <w:rPr>
          <w:rFonts w:cs="Times New Roman"/>
          <w:lang w:val="en-GB"/>
        </w:rPr>
        <w:t xml:space="preserve">Whistleblower legislation was generally seen as complementary rather than duplicative of existing legal frameworks such as </w:t>
      </w:r>
      <w:r w:rsidRPr="00E3672F" w:rsidR="00A06E94">
        <w:rPr>
          <w:rFonts w:cs="Times New Roman"/>
          <w:lang w:val="en-GB"/>
        </w:rPr>
        <w:t xml:space="preserve">the </w:t>
      </w:r>
      <w:r w:rsidRPr="00E3672F">
        <w:rPr>
          <w:rFonts w:cs="Times New Roman"/>
          <w:lang w:val="en-GB"/>
        </w:rPr>
        <w:t>GDPR, labo</w:t>
      </w:r>
      <w:r w:rsidRPr="00E3672F" w:rsidR="00C87CBF">
        <w:rPr>
          <w:rFonts w:cs="Times New Roman"/>
          <w:lang w:val="en-GB"/>
        </w:rPr>
        <w:t>u</w:t>
      </w:r>
      <w:r w:rsidRPr="00E3672F">
        <w:rPr>
          <w:rFonts w:cs="Times New Roman"/>
          <w:lang w:val="en-GB"/>
        </w:rPr>
        <w:t>r law or corporate governance rules. Respondents highlighted that</w:t>
      </w:r>
      <w:r w:rsidR="006607CB">
        <w:rPr>
          <w:rFonts w:cs="Times New Roman"/>
          <w:lang w:val="en-GB"/>
        </w:rPr>
        <w:t>,</w:t>
      </w:r>
      <w:r w:rsidRPr="00E3672F">
        <w:rPr>
          <w:rFonts w:cs="Times New Roman"/>
          <w:lang w:val="en-GB"/>
        </w:rPr>
        <w:t xml:space="preserve"> while overlaps exist, particularly in data protection and employment rights, the Directive adds unique mechanisms such as dedicated reporting channels, obligations for follow-up, confidentiality guarantees and protection against retaliation. Examples included the integration of reporting channels with corporate compliance models in Italy, protections against employment retaliation in Denmark that exceed standard labo</w:t>
      </w:r>
      <w:r w:rsidRPr="00E3672F" w:rsidR="00C87CBF">
        <w:rPr>
          <w:rFonts w:cs="Times New Roman"/>
          <w:lang w:val="en-GB"/>
        </w:rPr>
        <w:t>u</w:t>
      </w:r>
      <w:r w:rsidRPr="00E3672F">
        <w:rPr>
          <w:rFonts w:cs="Times New Roman"/>
          <w:lang w:val="en-GB"/>
        </w:rPr>
        <w:t>r law measures, and alignment with sectoral reporting obligations in France. Overall, the Directive was viewed as creating an additional, enforceable layer of protection, reinforcing existing rules without replacing them, but its practical effectiveness depends on proper implementation and coordination across legal regimes.</w:t>
      </w:r>
    </w:p>
    <w:p w:rsidRPr="00E3672F" w:rsidR="00907A4D" w:rsidP="00907A4D" w:rsidRDefault="00907A4D" w14:paraId="2D12EAC9" w14:textId="77777777">
      <w:pPr>
        <w:pStyle w:val="NoSpacing"/>
        <w:spacing w:line="360" w:lineRule="auto"/>
        <w:jc w:val="both"/>
        <w:rPr>
          <w:rFonts w:cs="Times New Roman"/>
          <w:lang w:val="en-GB"/>
        </w:rPr>
      </w:pPr>
    </w:p>
    <w:p w:rsidRPr="00E3672F" w:rsidR="00907A4D" w:rsidP="00907A4D" w:rsidRDefault="00907A4D" w14:paraId="49C5DE16" w14:textId="77777777">
      <w:pPr>
        <w:pStyle w:val="NoSpacing"/>
        <w:spacing w:line="360" w:lineRule="auto"/>
        <w:jc w:val="both"/>
        <w:rPr>
          <w:rFonts w:cs="Times New Roman"/>
          <w:b/>
          <w:bCs/>
          <w:lang w:val="en-GB"/>
        </w:rPr>
      </w:pPr>
      <w:r w:rsidRPr="00E3672F">
        <w:rPr>
          <w:rFonts w:cs="Times New Roman"/>
          <w:b/>
          <w:bCs/>
          <w:lang w:val="en-GB"/>
        </w:rPr>
        <w:t>3. Public trust in reporting mechanisms</w:t>
      </w:r>
    </w:p>
    <w:p w:rsidRPr="00E3672F" w:rsidR="00907A4D" w:rsidP="00907A4D" w:rsidRDefault="00907A4D" w14:paraId="46E5CD41" w14:textId="1BD12E66">
      <w:pPr>
        <w:pStyle w:val="NoSpacing"/>
        <w:spacing w:line="360" w:lineRule="auto"/>
        <w:jc w:val="both"/>
        <w:rPr>
          <w:rFonts w:cs="Times New Roman"/>
          <w:lang w:val="en-GB"/>
        </w:rPr>
      </w:pPr>
      <w:r w:rsidRPr="00E3672F">
        <w:rPr>
          <w:rFonts w:cs="Times New Roman"/>
          <w:lang w:val="en-GB"/>
        </w:rPr>
        <w:t>Opinions on public trust were nuanced. Several respondents pointed to increases in reporting activity, particularly in areas like environment, health and workplace safety, as evidence of growing awareness and confidence in reporting channels. For instance, data from Denmark and Romania showed rising numbers of both anonymous and named reports, suggesting greater trust in confidentiality and protective measures. At the same time, respondents noted persistent fears of retaliation, lengthy procedures and uneven protections between public and private sectors, which limit trust in some contexts. High-profile cases of whistleblowers suffering reprisals also contribute to a cautious public perception, highlighting that while legal frameworks are improving, cultural and practical barriers remain significant.</w:t>
      </w:r>
    </w:p>
    <w:p w:rsidRPr="00E3672F" w:rsidR="00907A4D" w:rsidP="00907A4D" w:rsidRDefault="00907A4D" w14:paraId="79001997" w14:textId="77777777">
      <w:pPr>
        <w:pStyle w:val="NoSpacing"/>
        <w:spacing w:line="360" w:lineRule="auto"/>
        <w:jc w:val="both"/>
        <w:rPr>
          <w:rFonts w:cs="Times New Roman"/>
          <w:lang w:val="en-GB"/>
        </w:rPr>
      </w:pPr>
    </w:p>
    <w:p w:rsidRPr="00E3672F" w:rsidR="00907A4D" w:rsidP="00907A4D" w:rsidRDefault="00907A4D" w14:paraId="13E2B40A" w14:textId="77777777">
      <w:pPr>
        <w:pStyle w:val="NoSpacing"/>
        <w:spacing w:line="360" w:lineRule="auto"/>
        <w:jc w:val="both"/>
        <w:rPr>
          <w:rFonts w:cs="Times New Roman"/>
          <w:b/>
          <w:bCs/>
          <w:lang w:val="en-GB"/>
        </w:rPr>
      </w:pPr>
      <w:r w:rsidRPr="00E3672F">
        <w:rPr>
          <w:rFonts w:cs="Times New Roman"/>
          <w:b/>
          <w:bCs/>
          <w:lang w:val="en-GB"/>
        </w:rPr>
        <w:t>4. Awareness and cultural change</w:t>
      </w:r>
    </w:p>
    <w:p w:rsidRPr="00E3672F" w:rsidR="00907A4D" w:rsidP="00907A4D" w:rsidRDefault="00907A4D" w14:paraId="7B21929C" w14:textId="7D775AA4">
      <w:pPr>
        <w:pStyle w:val="NoSpacing"/>
        <w:spacing w:line="360" w:lineRule="auto"/>
        <w:jc w:val="both"/>
        <w:rPr>
          <w:rFonts w:cs="Times New Roman"/>
          <w:lang w:val="en-GB"/>
        </w:rPr>
      </w:pPr>
      <w:r w:rsidRPr="00E3672F">
        <w:rPr>
          <w:rFonts w:cs="Times New Roman"/>
          <w:lang w:val="en-GB"/>
        </w:rPr>
        <w:t>Respondents consistently emphasi</w:t>
      </w:r>
      <w:r w:rsidRPr="00E3672F" w:rsidR="00413731">
        <w:rPr>
          <w:rFonts w:cs="Times New Roman"/>
          <w:lang w:val="en-GB"/>
        </w:rPr>
        <w:t>s</w:t>
      </w:r>
      <w:r w:rsidRPr="00E3672F">
        <w:rPr>
          <w:rFonts w:cs="Times New Roman"/>
          <w:lang w:val="en-GB"/>
        </w:rPr>
        <w:t xml:space="preserve">ed the importance of awareness-raising campaigns to change cultural perceptions of whistleblowing and inform citizens of their rights. Initiatives included guides, webinars, training sessions and targeted communication by national authorities, social partners and </w:t>
      </w:r>
      <w:r w:rsidRPr="00E3672F" w:rsidR="00180F2C">
        <w:rPr>
          <w:rFonts w:cs="Times New Roman"/>
          <w:lang w:val="en-GB"/>
        </w:rPr>
        <w:t>CSOs</w:t>
      </w:r>
      <w:r w:rsidRPr="00E3672F">
        <w:rPr>
          <w:rFonts w:cs="Times New Roman"/>
          <w:lang w:val="en-GB"/>
        </w:rPr>
        <w:t>. Campaigns often focused on specific sectors, such as public administration or the corporate environment, and sought to integrate whistleblowing into broader ethical and compliance training. However, respondents stressed that campaigns alone are insufficient if practical implementation remains weak; without secure, trusted reporting channels and visible protections against retaliation, cultural change is slow and reporting may remain limited. Strengthening awareness therefore requires both communication and reliable institutional support.</w:t>
      </w:r>
    </w:p>
    <w:p w:rsidRPr="00E3672F" w:rsidR="00907A4D" w:rsidP="00907A4D" w:rsidRDefault="00907A4D" w14:paraId="5202669A" w14:textId="77777777">
      <w:pPr>
        <w:pStyle w:val="NoSpacing"/>
        <w:spacing w:line="360" w:lineRule="auto"/>
        <w:jc w:val="both"/>
        <w:rPr>
          <w:rFonts w:cs="Times New Roman"/>
          <w:lang w:val="en-GB"/>
        </w:rPr>
      </w:pPr>
    </w:p>
    <w:p w:rsidRPr="00E3672F" w:rsidR="00907A4D" w:rsidP="00907A4D" w:rsidRDefault="00907A4D" w14:paraId="41270C92" w14:textId="77777777">
      <w:pPr>
        <w:pStyle w:val="NoSpacing"/>
        <w:spacing w:line="360" w:lineRule="auto"/>
        <w:jc w:val="both"/>
        <w:rPr>
          <w:rFonts w:cs="Times New Roman"/>
          <w:b/>
          <w:bCs/>
          <w:lang w:val="en-GB"/>
        </w:rPr>
      </w:pPr>
      <w:r w:rsidRPr="00E3672F">
        <w:rPr>
          <w:rFonts w:cs="Times New Roman"/>
          <w:b/>
          <w:bCs/>
          <w:lang w:val="en-GB"/>
        </w:rPr>
        <w:t>5. Additional recommendations</w:t>
      </w:r>
    </w:p>
    <w:p w:rsidRPr="00E3672F" w:rsidR="00907A4D" w:rsidP="00907A4D" w:rsidRDefault="00907A4D" w14:paraId="121A02BA" w14:textId="50FBE4B7">
      <w:pPr>
        <w:pStyle w:val="NoSpacing"/>
        <w:spacing w:line="360" w:lineRule="auto"/>
        <w:jc w:val="both"/>
        <w:rPr>
          <w:rFonts w:cs="Times New Roman"/>
          <w:lang w:val="en-GB"/>
        </w:rPr>
      </w:pPr>
      <w:r w:rsidRPr="00E3672F">
        <w:rPr>
          <w:rFonts w:cs="Times New Roman"/>
          <w:lang w:val="en-GB"/>
        </w:rPr>
        <w:t>Finally, respondents proposed several measures to improve the overall effectiveness of whistleblower protection. These included establishing a European observatory for whistleblowers, providing EU-level funding for support and legal aid, harmoni</w:t>
      </w:r>
      <w:r w:rsidRPr="00E3672F" w:rsidR="00413731">
        <w:rPr>
          <w:rFonts w:cs="Times New Roman"/>
          <w:lang w:val="en-GB"/>
        </w:rPr>
        <w:t>s</w:t>
      </w:r>
      <w:r w:rsidRPr="00E3672F">
        <w:rPr>
          <w:rFonts w:cs="Times New Roman"/>
          <w:lang w:val="en-GB"/>
        </w:rPr>
        <w:t>ing rules for multinational companies to allow group-level reporting channels, and enhancing the role of unions and employee representatives in reporting processes. Measures to strengthen protection included early safeguards against retaliation, free legal aid, psychological support and mandatory reporting of alerts by companies to promote transparency. Several respondents emphasised that implementation challenges, particularly in the public sector, limit the impact of legal provisions, and that practical measures</w:t>
      </w:r>
      <w:r w:rsidRPr="00E3672F" w:rsidR="003945C0">
        <w:rPr>
          <w:rFonts w:cs="Times New Roman"/>
          <w:lang w:val="en-GB"/>
        </w:rPr>
        <w:t xml:space="preserve">, </w:t>
      </w:r>
      <w:r w:rsidRPr="00E3672F">
        <w:rPr>
          <w:rFonts w:cs="Times New Roman"/>
          <w:lang w:val="en-GB"/>
        </w:rPr>
        <w:t>such as secure, traceable internal channels and targeted application for high-risk sectors</w:t>
      </w:r>
      <w:r w:rsidRPr="00E3672F" w:rsidR="003945C0">
        <w:rPr>
          <w:rFonts w:cs="Times New Roman"/>
          <w:lang w:val="en-GB"/>
        </w:rPr>
        <w:t xml:space="preserve">, </w:t>
      </w:r>
      <w:r w:rsidRPr="00E3672F">
        <w:rPr>
          <w:rFonts w:cs="Times New Roman"/>
          <w:lang w:val="en-GB"/>
        </w:rPr>
        <w:t>are essential to encourage reporting and build trust.</w:t>
      </w:r>
    </w:p>
    <w:p w:rsidRPr="00E3672F" w:rsidR="00907A4D" w:rsidRDefault="00907A4D" w14:paraId="14926FE1" w14:textId="77777777">
      <w:pPr>
        <w:spacing w:after="160" w:line="278" w:lineRule="auto"/>
        <w:jc w:val="left"/>
        <w:rPr>
          <w:rFonts w:eastAsiaTheme="minorHAnsi"/>
        </w:rPr>
      </w:pPr>
      <w:r w:rsidRPr="00E3672F">
        <w:br w:type="page"/>
      </w:r>
    </w:p>
    <w:p w:rsidRPr="00E3672F" w:rsidR="00370886" w:rsidP="001E1287" w:rsidRDefault="00C21CC2" w14:paraId="56F0E200" w14:textId="1895D4D8">
      <w:pPr>
        <w:pStyle w:val="Heading1"/>
        <w:spacing w:before="120" w:after="120" w:line="360" w:lineRule="auto"/>
        <w:contextualSpacing/>
        <w:rPr>
          <w:rFonts w:cs="Times New Roman"/>
          <w:color w:val="004F88"/>
        </w:rPr>
      </w:pPr>
      <w:bookmarkStart w:name="_Toc228180559" w:id="57"/>
      <w:r w:rsidRPr="00E3672F">
        <w:rPr>
          <w:rFonts w:cs="Times New Roman"/>
          <w:color w:val="004F88"/>
        </w:rPr>
        <w:t>7</w:t>
      </w:r>
      <w:r w:rsidRPr="00E3672F" w:rsidR="00501800">
        <w:rPr>
          <w:rFonts w:cs="Times New Roman"/>
          <w:color w:val="004F88"/>
        </w:rPr>
        <w:t xml:space="preserve">. </w:t>
      </w:r>
      <w:r w:rsidRPr="00E3672F" w:rsidR="00A91BE1">
        <w:rPr>
          <w:rFonts w:cs="Times New Roman"/>
          <w:color w:val="004F88"/>
        </w:rPr>
        <w:t xml:space="preserve">Secondary data: </w:t>
      </w:r>
      <w:r w:rsidRPr="00E3672F" w:rsidR="00501800">
        <w:rPr>
          <w:rFonts w:cs="Times New Roman"/>
          <w:color w:val="004F88"/>
        </w:rPr>
        <w:t>L</w:t>
      </w:r>
      <w:r w:rsidRPr="00E3672F" w:rsidR="00A91BE1">
        <w:rPr>
          <w:rFonts w:cs="Times New Roman"/>
          <w:color w:val="004F88"/>
        </w:rPr>
        <w:t xml:space="preserve">iterature review of </w:t>
      </w:r>
      <w:r w:rsidRPr="00E3672F" w:rsidR="00501800">
        <w:rPr>
          <w:rFonts w:cs="Times New Roman"/>
          <w:color w:val="004F88"/>
        </w:rPr>
        <w:t xml:space="preserve">past </w:t>
      </w:r>
      <w:r w:rsidRPr="00E3672F" w:rsidR="00A91BE1">
        <w:rPr>
          <w:rFonts w:cs="Times New Roman"/>
          <w:color w:val="004F88"/>
        </w:rPr>
        <w:t>EESC work</w:t>
      </w:r>
      <w:bookmarkEnd w:id="26"/>
      <w:bookmarkEnd w:id="57"/>
    </w:p>
    <w:p w:rsidR="004E2DA1" w:rsidP="001E1287" w:rsidRDefault="004E2DA1" w14:paraId="5CC91883" w14:textId="77777777">
      <w:pPr>
        <w:spacing w:before="120" w:after="120" w:line="360" w:lineRule="auto"/>
        <w:contextualSpacing/>
        <w:rPr>
          <w:b/>
          <w:bCs/>
        </w:rPr>
      </w:pPr>
    </w:p>
    <w:p w:rsidRPr="00E3672F" w:rsidR="00370886" w:rsidP="001E1287" w:rsidRDefault="00370886" w14:paraId="11C6B13A" w14:textId="4E318506">
      <w:pPr>
        <w:spacing w:before="120" w:after="120" w:line="360" w:lineRule="auto"/>
        <w:contextualSpacing/>
      </w:pPr>
      <w:r w:rsidRPr="00E3672F">
        <w:rPr>
          <w:b/>
          <w:bCs/>
        </w:rPr>
        <w:t xml:space="preserve">In </w:t>
      </w:r>
      <w:hyperlink w:history="1" r:id="rId103">
        <w:r w:rsidRPr="00E3672F">
          <w:rPr>
            <w:rStyle w:val="Hyperlink"/>
            <w:b/>
            <w:bCs/>
          </w:rPr>
          <w:t>SOC/734</w:t>
        </w:r>
      </w:hyperlink>
      <w:r w:rsidRPr="00E3672F">
        <w:rPr>
          <w:b/>
          <w:bCs/>
        </w:rPr>
        <w:t xml:space="preserve">, on </w:t>
      </w:r>
      <w:r w:rsidRPr="00E3672F">
        <w:rPr>
          <w:b/>
          <w:bCs/>
          <w:i/>
          <w:iCs/>
        </w:rPr>
        <w:t>Initiative against abusive litigation targeting journalists and rights defenders</w:t>
      </w:r>
      <w:r w:rsidRPr="00E3672F">
        <w:rPr>
          <w:b/>
          <w:bCs/>
        </w:rPr>
        <w:t xml:space="preserve"> </w:t>
      </w:r>
      <w:r w:rsidRPr="009B193B">
        <w:rPr>
          <w:b/>
          <w:bCs/>
        </w:rPr>
        <w:t>(2022)</w:t>
      </w:r>
      <w:r w:rsidRPr="00E3672F">
        <w:rPr>
          <w:i/>
          <w:iCs/>
        </w:rPr>
        <w:t xml:space="preserve"> </w:t>
      </w:r>
      <w:r w:rsidRPr="00E3672F">
        <w:t>(</w:t>
      </w:r>
      <w:r w:rsidR="006607CB">
        <w:t>r</w:t>
      </w:r>
      <w:r w:rsidRPr="00E3672F">
        <w:t xml:space="preserve">apporteur: </w:t>
      </w:r>
      <w:r w:rsidRPr="00E3672F" w:rsidR="001C3959">
        <w:t>Tomasz Wróblewski</w:t>
      </w:r>
      <w:r w:rsidRPr="00E3672F">
        <w:t xml:space="preserve">, </w:t>
      </w:r>
      <w:r w:rsidR="006607CB">
        <w:t>c</w:t>
      </w:r>
      <w:r w:rsidRPr="00E3672F">
        <w:t xml:space="preserve">o-rapporteur: </w:t>
      </w:r>
      <w:r w:rsidRPr="00E3672F" w:rsidR="001C3959">
        <w:t>Christian Moos</w:t>
      </w:r>
      <w:r w:rsidRPr="00E3672F">
        <w:t>), the EESC welcomed the Commission</w:t>
      </w:r>
      <w:r w:rsidRPr="00E3672F" w:rsidR="00413731">
        <w:t>’</w:t>
      </w:r>
      <w:r w:rsidRPr="00E3672F">
        <w:t xml:space="preserve">s initiative; it is a step forward in </w:t>
      </w:r>
      <w:r w:rsidRPr="00E3672F">
        <w:rPr>
          <w:b/>
          <w:bCs/>
        </w:rPr>
        <w:t>combating gagging procedures, the number of which has been growing in Europe since 2015</w:t>
      </w:r>
      <w:r w:rsidRPr="00E3672F">
        <w:t>.</w:t>
      </w:r>
    </w:p>
    <w:p w:rsidRPr="00E3672F" w:rsidR="00370886" w:rsidP="001E1287" w:rsidRDefault="00370886" w14:paraId="522B2804" w14:textId="21C6F0E6">
      <w:pPr>
        <w:spacing w:before="120" w:after="120" w:line="360" w:lineRule="auto"/>
        <w:contextualSpacing/>
      </w:pPr>
      <w:r w:rsidRPr="00E3672F">
        <w:t xml:space="preserve">It should be stressed that </w:t>
      </w:r>
      <w:r w:rsidRPr="00E3672F">
        <w:rPr>
          <w:b/>
          <w:bCs/>
        </w:rPr>
        <w:t>SLAPP actions constitute an abuse of the law and cannot be accepted in democratic states governed by the rule of law</w:t>
      </w:r>
      <w:r w:rsidRPr="00E3672F">
        <w:t>.</w:t>
      </w:r>
    </w:p>
    <w:p w:rsidRPr="00E3672F" w:rsidR="00370886" w:rsidP="001E1287" w:rsidRDefault="00370886" w14:paraId="2693FCA0" w14:textId="251D7C9E">
      <w:pPr>
        <w:spacing w:before="120" w:after="120" w:line="360" w:lineRule="auto"/>
        <w:contextualSpacing/>
      </w:pPr>
      <w:r w:rsidRPr="00E3672F">
        <w:t xml:space="preserve">In addition to the implementation of new legislation, which with the whole legislative process may take several years, it is worth </w:t>
      </w:r>
      <w:r w:rsidRPr="00E3672F">
        <w:rPr>
          <w:b/>
          <w:bCs/>
        </w:rPr>
        <w:t>reviewing national legislation to identify mechanisms that could currently serve to counter SLAPPs</w:t>
      </w:r>
      <w:r w:rsidRPr="00E3672F">
        <w:t>.</w:t>
      </w:r>
    </w:p>
    <w:p w:rsidRPr="00E3672F" w:rsidR="00370886" w:rsidP="001E1287" w:rsidRDefault="00370886" w14:paraId="7DA2DE17" w14:textId="5D4BBCA7">
      <w:pPr>
        <w:spacing w:before="120" w:after="120" w:line="360" w:lineRule="auto"/>
        <w:contextualSpacing/>
      </w:pPr>
      <w:r w:rsidRPr="00E3672F">
        <w:t xml:space="preserve">The monitoring of SLAPP actions and the effectiveness of implemented solutions </w:t>
      </w:r>
      <w:r w:rsidR="006607CB">
        <w:t>are</w:t>
      </w:r>
      <w:r w:rsidRPr="00E3672F" w:rsidR="006607CB">
        <w:t xml:space="preserve"> </w:t>
      </w:r>
      <w:r w:rsidRPr="00E3672F">
        <w:t>also important issue</w:t>
      </w:r>
      <w:r w:rsidR="006607CB">
        <w:t>s</w:t>
      </w:r>
      <w:r w:rsidRPr="00E3672F">
        <w:t xml:space="preserve">. Delegating this competence to Member States may not </w:t>
      </w:r>
      <w:r w:rsidR="006607CB">
        <w:t>be enough to</w:t>
      </w:r>
      <w:r w:rsidRPr="00E3672F" w:rsidR="006607CB">
        <w:t xml:space="preserve"> </w:t>
      </w:r>
      <w:r w:rsidRPr="00E3672F">
        <w:t>achieve the intended objectives.</w:t>
      </w:r>
    </w:p>
    <w:p w:rsidRPr="00E3672F" w:rsidR="00370886" w:rsidP="001E1287" w:rsidRDefault="00370886" w14:paraId="642A4A93" w14:textId="6C3CFD43">
      <w:pPr>
        <w:spacing w:before="120" w:after="120" w:line="360" w:lineRule="auto"/>
        <w:contextualSpacing/>
      </w:pPr>
      <w:r w:rsidRPr="00E3672F">
        <w:t>The restriction to cross-border proceedings will only provide protection for selected participants in the public debate,</w:t>
      </w:r>
      <w:r w:rsidRPr="00E3672F">
        <w:rPr>
          <w:b/>
          <w:bCs/>
        </w:rPr>
        <w:t xml:space="preserve"> overlooking in particular local journalists, activists or whistleblowers</w:t>
      </w:r>
      <w:r w:rsidRPr="00E3672F">
        <w:t xml:space="preserve">. </w:t>
      </w:r>
    </w:p>
    <w:p w:rsidRPr="00E3672F" w:rsidR="00370886" w:rsidP="001E1287" w:rsidRDefault="00370886" w14:paraId="3CE8FA8D" w14:textId="7ACCEEAB">
      <w:pPr>
        <w:spacing w:before="120" w:after="120" w:line="360" w:lineRule="auto"/>
        <w:contextualSpacing/>
      </w:pPr>
      <w:r w:rsidRPr="00E3672F">
        <w:t xml:space="preserve">Member States should also be urged to review their national laws with a view to </w:t>
      </w:r>
      <w:r w:rsidRPr="00E3672F">
        <w:rPr>
          <w:b/>
          <w:bCs/>
        </w:rPr>
        <w:t>decriminalising defamation</w:t>
      </w:r>
      <w:r w:rsidRPr="00E3672F">
        <w:t>. Possible criminal liability leads to a situation where</w:t>
      </w:r>
      <w:r w:rsidRPr="00E3672F">
        <w:rPr>
          <w:b/>
          <w:bCs/>
        </w:rPr>
        <w:t xml:space="preserve"> participants in the public debate may be more afraid to present their opinions or to denounce wrongdoing</w:t>
      </w:r>
      <w:r w:rsidRPr="00E3672F">
        <w:t>.</w:t>
      </w:r>
    </w:p>
    <w:p w:rsidRPr="00E3672F" w:rsidR="00370886" w:rsidP="001E1287" w:rsidRDefault="00370886" w14:paraId="50E0CAAA" w14:textId="3D91326D">
      <w:pPr>
        <w:spacing w:before="120" w:after="120" w:line="360" w:lineRule="auto"/>
        <w:contextualSpacing/>
      </w:pPr>
      <w:r w:rsidRPr="00E3672F">
        <w:t xml:space="preserve">The EESC stressed that in addition to legal regulations, it is </w:t>
      </w:r>
      <w:r w:rsidRPr="00E3672F">
        <w:rPr>
          <w:b/>
          <w:bCs/>
        </w:rPr>
        <w:t>extremely important to implement appropriate educational measures and training</w:t>
      </w:r>
      <w:r w:rsidRPr="00E3672F">
        <w:t xml:space="preserve">, both for legal professionals (in particular judges and party attorneys) and participants in the public debate </w:t>
      </w:r>
      <w:r w:rsidRPr="00E3672F" w:rsidR="001C3959">
        <w:t>(</w:t>
      </w:r>
      <w:r w:rsidRPr="00E3672F">
        <w:rPr>
          <w:b/>
          <w:bCs/>
        </w:rPr>
        <w:t>journalists, social activists, human rights defenders, whistleblowers or ordinary citizens</w:t>
      </w:r>
      <w:r w:rsidRPr="00E3672F" w:rsidR="001C3959">
        <w:rPr>
          <w:b/>
          <w:bCs/>
        </w:rPr>
        <w:t>)</w:t>
      </w:r>
      <w:r w:rsidRPr="00E3672F">
        <w:t>.</w:t>
      </w:r>
    </w:p>
    <w:p w:rsidRPr="00E3672F" w:rsidR="00370886" w:rsidP="001E1287" w:rsidRDefault="00370886" w14:paraId="656BB66C" w14:textId="77777777">
      <w:pPr>
        <w:spacing w:before="120" w:after="120" w:line="360" w:lineRule="auto"/>
        <w:contextualSpacing/>
        <w:rPr>
          <w:b/>
        </w:rPr>
      </w:pPr>
    </w:p>
    <w:p w:rsidRPr="00E3672F" w:rsidR="00370886" w:rsidP="001E1287" w:rsidRDefault="00370886" w14:paraId="38292FD0" w14:textId="2165264F">
      <w:pPr>
        <w:spacing w:before="120" w:after="120" w:line="360" w:lineRule="auto"/>
        <w:contextualSpacing/>
      </w:pPr>
      <w:r w:rsidRPr="00E3672F">
        <w:rPr>
          <w:b/>
          <w:bCs/>
        </w:rPr>
        <w:t xml:space="preserve">In </w:t>
      </w:r>
      <w:hyperlink w:history="1" r:id="rId104">
        <w:r w:rsidRPr="00E3672F">
          <w:rPr>
            <w:rStyle w:val="Hyperlink"/>
            <w:b/>
            <w:bCs/>
          </w:rPr>
          <w:t>SOC/739</w:t>
        </w:r>
      </w:hyperlink>
      <w:r w:rsidRPr="00E3672F">
        <w:rPr>
          <w:b/>
          <w:bCs/>
        </w:rPr>
        <w:t xml:space="preserve">, on </w:t>
      </w:r>
      <w:r w:rsidRPr="00E3672F">
        <w:rPr>
          <w:b/>
          <w:bCs/>
          <w:i/>
          <w:iCs/>
        </w:rPr>
        <w:t xml:space="preserve">Violation of sanctions/EU crimes </w:t>
      </w:r>
      <w:r w:rsidRPr="009B193B">
        <w:rPr>
          <w:b/>
          <w:bCs/>
        </w:rPr>
        <w:t>(2022)</w:t>
      </w:r>
      <w:r w:rsidRPr="00E3672F">
        <w:t xml:space="preserve"> (</w:t>
      </w:r>
      <w:r w:rsidR="006607CB">
        <w:t>r</w:t>
      </w:r>
      <w:r w:rsidRPr="00E3672F">
        <w:t>apporteur:</w:t>
      </w:r>
      <w:r w:rsidRPr="00E3672F" w:rsidR="001C3959">
        <w:t xml:space="preserve"> José Antonio</w:t>
      </w:r>
      <w:r w:rsidRPr="00E3672F">
        <w:t xml:space="preserve"> </w:t>
      </w:r>
      <w:r w:rsidRPr="00E3672F" w:rsidR="001C3959">
        <w:t>Moreno Díaz</w:t>
      </w:r>
      <w:r w:rsidRPr="00E3672F">
        <w:t xml:space="preserve">), the EESC welcomed the decision to include sanctions violation among the list of crimes under </w:t>
      </w:r>
      <w:r w:rsidRPr="00E3672F" w:rsidR="001C3959">
        <w:t>A</w:t>
      </w:r>
      <w:r w:rsidRPr="00E3672F">
        <w:t>rt. 83(1) TFEU.</w:t>
      </w:r>
    </w:p>
    <w:p w:rsidRPr="00E3672F" w:rsidR="00370886" w:rsidP="001E1287" w:rsidRDefault="00370886" w14:paraId="11B911EC" w14:textId="7C6740EE">
      <w:pPr>
        <w:spacing w:before="120" w:after="120" w:line="360" w:lineRule="auto"/>
        <w:contextualSpacing/>
      </w:pPr>
      <w:r w:rsidRPr="00E3672F">
        <w:t xml:space="preserve">The EESC supported the inclusion of </w:t>
      </w:r>
      <w:r w:rsidRPr="00E3672F">
        <w:rPr>
          <w:b/>
          <w:bCs/>
        </w:rPr>
        <w:t>appropriate guarantees and protection for whistleblowers and journalists who publicise attempts to evade sanctions</w:t>
      </w:r>
      <w:r w:rsidRPr="00E3672F">
        <w:t>.</w:t>
      </w:r>
    </w:p>
    <w:p w:rsidRPr="00E3672F" w:rsidR="00370886" w:rsidP="001E1287" w:rsidRDefault="00370886" w14:paraId="5C7306AE" w14:textId="42147F44">
      <w:pPr>
        <w:spacing w:before="120" w:after="120" w:line="360" w:lineRule="auto"/>
        <w:contextualSpacing/>
      </w:pPr>
      <w:r w:rsidRPr="00E3672F">
        <w:t xml:space="preserve">The EESC welcomed the fact that the proposal for a Directive </w:t>
      </w:r>
      <w:r w:rsidRPr="00E3672F">
        <w:rPr>
          <w:b/>
          <w:bCs/>
        </w:rPr>
        <w:t>insists on the respect for the principle of non-retroactivity</w:t>
      </w:r>
      <w:r w:rsidRPr="00E3672F">
        <w:t xml:space="preserve"> and the EESC underlines the need to </w:t>
      </w:r>
      <w:r w:rsidRPr="00E3672F">
        <w:rPr>
          <w:b/>
          <w:bCs/>
        </w:rPr>
        <w:t>guarantee the due process rights</w:t>
      </w:r>
      <w:r w:rsidRPr="00E3672F">
        <w:t xml:space="preserve"> and other </w:t>
      </w:r>
      <w:r w:rsidRPr="00E3672F">
        <w:rPr>
          <w:b/>
          <w:bCs/>
        </w:rPr>
        <w:t>human rights safeguards</w:t>
      </w:r>
      <w:r w:rsidRPr="00E3672F">
        <w:t xml:space="preserve"> of accused persons.</w:t>
      </w:r>
    </w:p>
    <w:p w:rsidRPr="00E3672F" w:rsidR="00370886" w:rsidP="001E1287" w:rsidRDefault="00370886" w14:paraId="43D424F1" w14:textId="59A468FB">
      <w:pPr>
        <w:spacing w:before="120" w:after="120" w:line="360" w:lineRule="auto"/>
        <w:contextualSpacing/>
      </w:pPr>
      <w:r w:rsidRPr="00E3672F">
        <w:t xml:space="preserve">The EESC remained concerned that common crimes as serious as </w:t>
      </w:r>
      <w:r w:rsidRPr="00E3672F">
        <w:rPr>
          <w:b/>
          <w:bCs/>
        </w:rPr>
        <w:t xml:space="preserve">gender-based violence and hate crimes remain outside the scope of Article 83(1) TFEU as </w:t>
      </w:r>
      <w:r w:rsidRPr="00E3672F" w:rsidR="00430258">
        <w:rPr>
          <w:b/>
          <w:bCs/>
        </w:rPr>
        <w:t>‘</w:t>
      </w:r>
      <w:r w:rsidRPr="00E3672F">
        <w:rPr>
          <w:b/>
          <w:bCs/>
        </w:rPr>
        <w:t>Eurocrimes</w:t>
      </w:r>
      <w:r w:rsidRPr="00E3672F" w:rsidR="00430258">
        <w:rPr>
          <w:b/>
          <w:bCs/>
        </w:rPr>
        <w:t>’</w:t>
      </w:r>
      <w:r w:rsidRPr="00E3672F">
        <w:t>, stressing that geopolitical imperatives should not take precedence over the protection and wellbeing of our citizens.</w:t>
      </w:r>
    </w:p>
    <w:p w:rsidRPr="00E3672F" w:rsidR="00370886" w:rsidP="001E1287" w:rsidRDefault="00370886" w14:paraId="7984459E" w14:textId="77777777">
      <w:pPr>
        <w:spacing w:before="120" w:after="120" w:line="360" w:lineRule="auto"/>
        <w:contextualSpacing/>
      </w:pPr>
    </w:p>
    <w:p w:rsidRPr="00E3672F" w:rsidR="00370886" w:rsidP="001E1287" w:rsidRDefault="00370886" w14:paraId="71270BC3" w14:textId="3E5859DC">
      <w:pPr>
        <w:spacing w:before="120" w:after="120" w:line="360" w:lineRule="auto"/>
        <w:contextualSpacing/>
      </w:pPr>
      <w:r w:rsidRPr="00E3672F">
        <w:rPr>
          <w:b/>
          <w:bCs/>
        </w:rPr>
        <w:t xml:space="preserve">In </w:t>
      </w:r>
      <w:hyperlink w:history="1" r:id="rId105">
        <w:r w:rsidRPr="00E3672F">
          <w:rPr>
            <w:rStyle w:val="Hyperlink"/>
            <w:b/>
            <w:bCs/>
          </w:rPr>
          <w:t>INT/968</w:t>
        </w:r>
      </w:hyperlink>
      <w:r w:rsidRPr="00E3672F">
        <w:rPr>
          <w:b/>
          <w:bCs/>
        </w:rPr>
        <w:t xml:space="preserve">, on </w:t>
      </w:r>
      <w:r w:rsidRPr="00E3672F">
        <w:rPr>
          <w:b/>
          <w:bCs/>
          <w:i/>
          <w:iCs/>
        </w:rPr>
        <w:t xml:space="preserve">Empowering the consumer for the green transition </w:t>
      </w:r>
      <w:r w:rsidRPr="009B193B">
        <w:rPr>
          <w:b/>
          <w:bCs/>
        </w:rPr>
        <w:t>(2022)</w:t>
      </w:r>
      <w:r w:rsidRPr="00E3672F">
        <w:t xml:space="preserve"> (</w:t>
      </w:r>
      <w:r w:rsidR="006607CB">
        <w:t>r</w:t>
      </w:r>
      <w:r w:rsidRPr="00E3672F">
        <w:t>apporteur:</w:t>
      </w:r>
      <w:r w:rsidRPr="00E3672F" w:rsidR="00DB0A5F">
        <w:t xml:space="preserve"> Thierry Libaert</w:t>
      </w:r>
      <w:r w:rsidRPr="00E3672F">
        <w:t xml:space="preserve">, </w:t>
      </w:r>
      <w:r w:rsidR="006607CB">
        <w:t>c</w:t>
      </w:r>
      <w:r w:rsidRPr="00E3672F">
        <w:t xml:space="preserve">o-rapporteur: </w:t>
      </w:r>
      <w:r w:rsidRPr="00E3672F" w:rsidR="00DB0A5F">
        <w:t>Gonçalo Lobo Xavier</w:t>
      </w:r>
      <w:r w:rsidRPr="00E3672F">
        <w:t>), the EESC supported the European Commission</w:t>
      </w:r>
      <w:r w:rsidRPr="00E3672F" w:rsidR="00413731">
        <w:t>’</w:t>
      </w:r>
      <w:r w:rsidRPr="00E3672F">
        <w:t xml:space="preserve">s proposals to empower consumers to act in support of the green transition. </w:t>
      </w:r>
    </w:p>
    <w:p w:rsidRPr="00E3672F" w:rsidR="00370886" w:rsidP="001E1287" w:rsidRDefault="00370886" w14:paraId="1C8AFC5D" w14:textId="5C8C6BA3">
      <w:pPr>
        <w:spacing w:before="120" w:after="120" w:line="360" w:lineRule="auto"/>
        <w:contextualSpacing/>
      </w:pPr>
      <w:r w:rsidRPr="00E3672F">
        <w:t xml:space="preserve">The EESC stressed the need to make every effort to </w:t>
      </w:r>
      <w:r w:rsidRPr="00E3672F">
        <w:rPr>
          <w:b/>
          <w:bCs/>
        </w:rPr>
        <w:t>ensure that the information concerned is systematically made available to consumers</w:t>
      </w:r>
      <w:r w:rsidRPr="00E3672F">
        <w:t>, in particular the information on spare parts and repair manuals, as well as on planned software updates.</w:t>
      </w:r>
    </w:p>
    <w:p w:rsidRPr="00E3672F" w:rsidR="00370886" w:rsidP="001E1287" w:rsidRDefault="00370886" w14:paraId="759172EE" w14:textId="120A4274">
      <w:pPr>
        <w:spacing w:before="120" w:after="120" w:line="360" w:lineRule="auto"/>
        <w:contextualSpacing/>
      </w:pPr>
      <w:r w:rsidRPr="00E3672F">
        <w:t>In addition to the need to enforce displaying the length of the legal guarantee, consumers must be better protected against confusion between legal and commercial guarantees.</w:t>
      </w:r>
    </w:p>
    <w:p w:rsidRPr="00E3672F" w:rsidR="00370886" w:rsidP="001E1287" w:rsidRDefault="00370886" w14:paraId="6F843C82" w14:textId="2EA427BF">
      <w:pPr>
        <w:spacing w:before="120" w:after="120" w:line="360" w:lineRule="auto"/>
        <w:contextualSpacing/>
      </w:pPr>
      <w:r w:rsidRPr="00E3672F">
        <w:rPr>
          <w:b/>
          <w:bCs/>
        </w:rPr>
        <w:t>Advertising must prohibit any unsubstantiated claim</w:t>
      </w:r>
      <w:r w:rsidRPr="00E3672F">
        <w:t xml:space="preserve">, such as those often seen in relation to carbon neutrality, and any mention or representation of behaviour contrary to the protection of the environment and the preservation of natural resources. </w:t>
      </w:r>
    </w:p>
    <w:p w:rsidRPr="00E3672F" w:rsidR="00370886" w:rsidP="001E1287" w:rsidRDefault="00370886" w14:paraId="38B8D666" w14:textId="059FA6BA">
      <w:pPr>
        <w:spacing w:before="120" w:after="120" w:line="360" w:lineRule="auto"/>
        <w:contextualSpacing/>
      </w:pPr>
      <w:r w:rsidRPr="00E3672F">
        <w:t xml:space="preserve">In order to avoid confusion and in view of the proliferation of environmental labels that are often self-proclaimed, the European Commission must put </w:t>
      </w:r>
      <w:r w:rsidRPr="00E3672F">
        <w:rPr>
          <w:b/>
          <w:bCs/>
        </w:rPr>
        <w:t>greater emphasis on the European eco-label and the need for certification procedures for labelling</w:t>
      </w:r>
      <w:r w:rsidRPr="00E3672F">
        <w:t>.</w:t>
      </w:r>
    </w:p>
    <w:p w:rsidRPr="00E3672F" w:rsidR="00370886" w:rsidP="001E1287" w:rsidRDefault="00370886" w14:paraId="4A49A619" w14:textId="5E7C2962">
      <w:pPr>
        <w:spacing w:before="120" w:after="120" w:line="360" w:lineRule="auto"/>
        <w:contextualSpacing/>
      </w:pPr>
      <w:r w:rsidRPr="00E3672F">
        <w:t xml:space="preserve">The EESC </w:t>
      </w:r>
      <w:r w:rsidRPr="00E3672F">
        <w:rPr>
          <w:b/>
          <w:bCs/>
        </w:rPr>
        <w:t>called on the EU to strengthen protection for whistleblowers on the environmental characteristics of products</w:t>
      </w:r>
      <w:r w:rsidRPr="00E3672F">
        <w:t xml:space="preserve"> in order to raise the alarm over misleading commercial practices.</w:t>
      </w:r>
    </w:p>
    <w:p w:rsidRPr="00E3672F" w:rsidR="00370886" w:rsidP="001E1287" w:rsidRDefault="00370886" w14:paraId="0675DA69" w14:textId="77777777">
      <w:pPr>
        <w:spacing w:before="120" w:after="120" w:line="360" w:lineRule="auto"/>
        <w:contextualSpacing/>
      </w:pPr>
      <w:r w:rsidRPr="00E3672F">
        <w:t xml:space="preserve">Finally, the EESC called on the Commission to </w:t>
      </w:r>
      <w:r w:rsidRPr="00E3672F">
        <w:rPr>
          <w:b/>
          <w:bCs/>
        </w:rPr>
        <w:t>promote strong consumer awareness</w:t>
      </w:r>
      <w:r w:rsidRPr="00E3672F">
        <w:t xml:space="preserve"> of the issues related to responsible consumption.</w:t>
      </w:r>
    </w:p>
    <w:p w:rsidRPr="00E3672F" w:rsidR="00370886" w:rsidP="001E1287" w:rsidRDefault="00370886" w14:paraId="77180A7C" w14:textId="77777777">
      <w:pPr>
        <w:spacing w:before="120" w:after="120" w:line="360" w:lineRule="auto"/>
        <w:contextualSpacing/>
      </w:pPr>
    </w:p>
    <w:p w:rsidRPr="00E3672F" w:rsidR="00370886" w:rsidP="001E1287" w:rsidRDefault="00370886" w14:paraId="5DA19BFA" w14:textId="5C4C73FC">
      <w:pPr>
        <w:spacing w:before="120" w:after="120" w:line="360" w:lineRule="auto"/>
        <w:contextualSpacing/>
      </w:pPr>
      <w:r w:rsidRPr="00E3672F">
        <w:rPr>
          <w:b/>
          <w:bCs/>
        </w:rPr>
        <w:t xml:space="preserve">In </w:t>
      </w:r>
      <w:hyperlink w:history="1" r:id="rId106">
        <w:r w:rsidRPr="00E3672F">
          <w:rPr>
            <w:rStyle w:val="Hyperlink"/>
            <w:b/>
            <w:bCs/>
          </w:rPr>
          <w:t>SOC/673</w:t>
        </w:r>
      </w:hyperlink>
      <w:r w:rsidRPr="00E3672F">
        <w:rPr>
          <w:b/>
          <w:bCs/>
        </w:rPr>
        <w:t xml:space="preserve">, on </w:t>
      </w:r>
      <w:r w:rsidRPr="00E3672F">
        <w:rPr>
          <w:b/>
          <w:bCs/>
          <w:i/>
          <w:iCs/>
        </w:rPr>
        <w:t>Strengthening of Europol</w:t>
      </w:r>
      <w:r w:rsidRPr="00E3672F" w:rsidR="00413731">
        <w:rPr>
          <w:b/>
          <w:bCs/>
          <w:i/>
          <w:iCs/>
        </w:rPr>
        <w:t>’</w:t>
      </w:r>
      <w:r w:rsidRPr="00E3672F">
        <w:rPr>
          <w:b/>
          <w:bCs/>
          <w:i/>
          <w:iCs/>
        </w:rPr>
        <w:t xml:space="preserve">s mandate </w:t>
      </w:r>
      <w:r w:rsidRPr="009B193B">
        <w:rPr>
          <w:b/>
          <w:bCs/>
        </w:rPr>
        <w:t>(2021)</w:t>
      </w:r>
      <w:r w:rsidRPr="00E3672F">
        <w:t xml:space="preserve"> (</w:t>
      </w:r>
      <w:r w:rsidR="006607CB">
        <w:t>r</w:t>
      </w:r>
      <w:r w:rsidRPr="00E3672F">
        <w:t xml:space="preserve">apporteur: </w:t>
      </w:r>
      <w:r w:rsidRPr="00E3672F" w:rsidR="00A96BC6">
        <w:t>Philip von Brockdorff</w:t>
      </w:r>
      <w:r w:rsidRPr="00E3672F">
        <w:t>), the EESC welcomed the Commission</w:t>
      </w:r>
      <w:r w:rsidRPr="00E3672F" w:rsidR="00413731">
        <w:t>’</w:t>
      </w:r>
      <w:r w:rsidRPr="00E3672F">
        <w:t>s proposal on strengthening Europol</w:t>
      </w:r>
      <w:r w:rsidRPr="00E3672F" w:rsidR="00413731">
        <w:t>’</w:t>
      </w:r>
      <w:r w:rsidRPr="00E3672F">
        <w:t xml:space="preserve">s mandate insofar as it </w:t>
      </w:r>
      <w:r w:rsidRPr="00E3672F">
        <w:rPr>
          <w:b/>
          <w:bCs/>
        </w:rPr>
        <w:t xml:space="preserve">improves data protection safeguards and research capabilities. </w:t>
      </w:r>
    </w:p>
    <w:p w:rsidRPr="00E3672F" w:rsidR="00370886" w:rsidP="001E1287" w:rsidRDefault="00370886" w14:paraId="6F90062E" w14:textId="014D794A">
      <w:pPr>
        <w:spacing w:before="120" w:after="120" w:line="360" w:lineRule="auto"/>
        <w:contextualSpacing/>
      </w:pPr>
      <w:r w:rsidRPr="00E3672F">
        <w:t>The EESC also welcomed the Commission</w:t>
      </w:r>
      <w:r w:rsidRPr="00E3672F" w:rsidR="00413731">
        <w:t>’</w:t>
      </w:r>
      <w:r w:rsidRPr="00E3672F">
        <w:t xml:space="preserve">s proposal as it aims to </w:t>
      </w:r>
      <w:r w:rsidRPr="00E3672F">
        <w:rPr>
          <w:b/>
          <w:bCs/>
        </w:rPr>
        <w:t>support crime prevention authorities to find innovative solutions to counter international crime</w:t>
      </w:r>
      <w:r w:rsidRPr="00E3672F">
        <w:t xml:space="preserve"> and keep up with the evolving landscape. The proposal will also develop Europol</w:t>
      </w:r>
      <w:r w:rsidRPr="00E3672F" w:rsidR="00413731">
        <w:t>’</w:t>
      </w:r>
      <w:r w:rsidRPr="00E3672F">
        <w:t>s and national enforcement agencies</w:t>
      </w:r>
      <w:r w:rsidRPr="00E3672F" w:rsidR="00413731">
        <w:t>’</w:t>
      </w:r>
      <w:r w:rsidRPr="00E3672F">
        <w:t xml:space="preserve"> competence and research capabilities.</w:t>
      </w:r>
    </w:p>
    <w:p w:rsidRPr="00E3672F" w:rsidR="00370886" w:rsidP="001E1287" w:rsidRDefault="00370886" w14:paraId="4ADE771A" w14:textId="76B0C2F3">
      <w:pPr>
        <w:spacing w:before="120" w:after="120" w:line="360" w:lineRule="auto"/>
        <w:contextualSpacing/>
      </w:pPr>
      <w:r w:rsidRPr="00E3672F">
        <w:t>The EESC underlined that strengthening Europol</w:t>
      </w:r>
      <w:r w:rsidRPr="00E3672F" w:rsidR="00413731">
        <w:t>’</w:t>
      </w:r>
      <w:r w:rsidRPr="00E3672F">
        <w:t xml:space="preserve">s capacity should involve </w:t>
      </w:r>
      <w:r w:rsidRPr="00E3672F">
        <w:rPr>
          <w:b/>
          <w:bCs/>
        </w:rPr>
        <w:t>prioritising cross-border investigations, particularly with regard to serious attacks against whistleblowers</w:t>
      </w:r>
      <w:r w:rsidRPr="00E3672F">
        <w:t xml:space="preserve"> and investigative journalists who play an essential role in exposing corruption, fraud, mismanagement and other wrongdoing in the public and private sectors.</w:t>
      </w:r>
    </w:p>
    <w:p w:rsidRPr="00E3672F" w:rsidR="00370886" w:rsidP="001E1287" w:rsidRDefault="00370886" w14:paraId="3AB1DAD8" w14:textId="5BB8A069">
      <w:pPr>
        <w:spacing w:before="120" w:after="120" w:line="360" w:lineRule="auto"/>
        <w:contextualSpacing/>
      </w:pPr>
      <w:r w:rsidRPr="00E3672F">
        <w:t>The EESC welcomed the creation of a new alert category in support of the Schengen Information System.</w:t>
      </w:r>
    </w:p>
    <w:p w:rsidRPr="00E3672F" w:rsidR="00370886" w:rsidP="001E1287" w:rsidRDefault="00370886" w14:paraId="542560B7" w14:textId="18F65CC9">
      <w:pPr>
        <w:spacing w:before="120" w:after="120" w:line="360" w:lineRule="auto"/>
        <w:contextualSpacing/>
      </w:pPr>
      <w:r w:rsidRPr="00E3672F">
        <w:t>The EESC also believed that bolder steps to widen Europol</w:t>
      </w:r>
      <w:r w:rsidRPr="00E3672F" w:rsidR="00413731">
        <w:t>’</w:t>
      </w:r>
      <w:r w:rsidRPr="00E3672F">
        <w:t>s mandate and scope may need to be taken in the future. With organised crime continually evolving, Europol</w:t>
      </w:r>
      <w:r w:rsidRPr="00E3672F" w:rsidR="00413731">
        <w:t>’</w:t>
      </w:r>
      <w:r w:rsidRPr="00E3672F">
        <w:t xml:space="preserve">s mandate will need to be adapted to make it an </w:t>
      </w:r>
      <w:r w:rsidRPr="00E3672F">
        <w:rPr>
          <w:b/>
          <w:bCs/>
        </w:rPr>
        <w:t>even more central player in European security.</w:t>
      </w:r>
    </w:p>
    <w:p w:rsidRPr="00E3672F" w:rsidR="00370886" w:rsidP="001E1287" w:rsidRDefault="00370886" w14:paraId="62EAED30" w14:textId="77777777">
      <w:pPr>
        <w:spacing w:before="120" w:after="120" w:line="360" w:lineRule="auto"/>
        <w:contextualSpacing/>
      </w:pPr>
    </w:p>
    <w:p w:rsidRPr="00E3672F" w:rsidR="00370886" w:rsidP="001E1287" w:rsidRDefault="00370886" w14:paraId="5BA1F01E" w14:textId="370A4C82">
      <w:pPr>
        <w:spacing w:before="120" w:after="120" w:line="360" w:lineRule="auto"/>
        <w:contextualSpacing/>
      </w:pPr>
      <w:r w:rsidRPr="00E3672F">
        <w:rPr>
          <w:b/>
          <w:bCs/>
        </w:rPr>
        <w:t xml:space="preserve">In </w:t>
      </w:r>
      <w:hyperlink w:history="1" r:id="rId107">
        <w:r w:rsidRPr="00E3672F">
          <w:rPr>
            <w:rStyle w:val="Hyperlink"/>
            <w:b/>
            <w:bCs/>
          </w:rPr>
          <w:t>SOC/674</w:t>
        </w:r>
      </w:hyperlink>
      <w:r w:rsidRPr="00E3672F">
        <w:rPr>
          <w:b/>
          <w:bCs/>
        </w:rPr>
        <w:t xml:space="preserve">, on </w:t>
      </w:r>
      <w:r w:rsidRPr="00E3672F">
        <w:rPr>
          <w:b/>
          <w:bCs/>
          <w:i/>
          <w:iCs/>
        </w:rPr>
        <w:t>European Judicial Training Strategy 2021-2024</w:t>
      </w:r>
      <w:r w:rsidRPr="00E3672F">
        <w:rPr>
          <w:b/>
          <w:bCs/>
        </w:rPr>
        <w:t xml:space="preserve"> (2021)</w:t>
      </w:r>
      <w:r w:rsidRPr="00E3672F">
        <w:t xml:space="preserve"> (</w:t>
      </w:r>
      <w:r w:rsidR="006607CB">
        <w:t>r</w:t>
      </w:r>
      <w:r w:rsidRPr="00E3672F">
        <w:t xml:space="preserve">apporteur: </w:t>
      </w:r>
      <w:r w:rsidRPr="00E3672F" w:rsidR="00580E54">
        <w:t>Elena-Alexandra Calistru</w:t>
      </w:r>
      <w:r w:rsidRPr="00E3672F">
        <w:t xml:space="preserve">), judicial training on EU law </w:t>
      </w:r>
      <w:r w:rsidR="006607CB">
        <w:t>was shown to have</w:t>
      </w:r>
      <w:r w:rsidRPr="00E3672F" w:rsidR="006607CB">
        <w:t xml:space="preserve"> </w:t>
      </w:r>
      <w:r w:rsidRPr="00E3672F">
        <w:t>improved the correct and uniform application of EU law and built mutual trust in cross-border judicial proceedings, thus helping to develop the EU area of justice.</w:t>
      </w:r>
    </w:p>
    <w:p w:rsidRPr="00E3672F" w:rsidR="00370886" w:rsidP="001E1287" w:rsidRDefault="00370886" w14:paraId="1379D0BB" w14:textId="444B1121">
      <w:pPr>
        <w:spacing w:before="120" w:after="120" w:line="360" w:lineRule="auto"/>
        <w:contextualSpacing/>
      </w:pPr>
      <w:r w:rsidRPr="00E3672F">
        <w:t xml:space="preserve">In order to ensure </w:t>
      </w:r>
      <w:r w:rsidRPr="00E3672F" w:rsidR="00B10A29">
        <w:t>a</w:t>
      </w:r>
      <w:r w:rsidRPr="00E3672F">
        <w:t xml:space="preserve"> unitary jurisprudence and proper functioning of the internal market it is </w:t>
      </w:r>
      <w:r w:rsidRPr="00E3672F">
        <w:rPr>
          <w:b/>
          <w:bCs/>
        </w:rPr>
        <w:t>necessary to ensure guidelines and training for the judiciary</w:t>
      </w:r>
      <w:r w:rsidRPr="00E3672F">
        <w:t>.</w:t>
      </w:r>
    </w:p>
    <w:p w:rsidRPr="00E3672F" w:rsidR="00370886" w:rsidP="001E1287" w:rsidRDefault="00370886" w14:paraId="7140E865" w14:textId="0EDCF097">
      <w:pPr>
        <w:spacing w:before="120" w:after="120" w:line="360" w:lineRule="auto"/>
        <w:contextualSpacing/>
      </w:pPr>
      <w:r w:rsidRPr="00E3672F">
        <w:t>Given the EU-level challenge and the growing number of issues with an EU dimension (i.e. protection of the financial interests of the EU in new financial mechanisms</w:t>
      </w:r>
      <w:r w:rsidRPr="00E3672F" w:rsidR="0018260C">
        <w:t xml:space="preserve"> and the</w:t>
      </w:r>
      <w:r w:rsidRPr="00E3672F">
        <w:t xml:space="preserve"> digital and green transition), it is </w:t>
      </w:r>
      <w:r w:rsidRPr="00E3672F">
        <w:rPr>
          <w:b/>
          <w:bCs/>
        </w:rPr>
        <w:t>increasingly important to lay down rules for a more homogeneous approach across Member States</w:t>
      </w:r>
      <w:r w:rsidRPr="00E3672F">
        <w:t xml:space="preserve"> when it comes to judicial training.</w:t>
      </w:r>
    </w:p>
    <w:p w:rsidRPr="00E3672F" w:rsidR="00370886" w:rsidP="001E1287" w:rsidRDefault="00370886" w14:paraId="62206173" w14:textId="363C3530">
      <w:pPr>
        <w:spacing w:before="120" w:after="120" w:line="360" w:lineRule="auto"/>
        <w:contextualSpacing/>
      </w:pPr>
      <w:r w:rsidRPr="00E3672F">
        <w:t>In order to protect the EU</w:t>
      </w:r>
      <w:r w:rsidRPr="00E3672F" w:rsidR="00413731">
        <w:t>’</w:t>
      </w:r>
      <w:r w:rsidRPr="00E3672F">
        <w:t xml:space="preserve">s financial interests, environmental issues and the </w:t>
      </w:r>
      <w:r w:rsidRPr="00E3672F" w:rsidR="0018260C">
        <w:t>E</w:t>
      </w:r>
      <w:r w:rsidRPr="00E3672F">
        <w:t>U</w:t>
      </w:r>
      <w:r w:rsidRPr="00E3672F" w:rsidR="00413731">
        <w:t>’</w:t>
      </w:r>
      <w:r w:rsidRPr="00E3672F">
        <w:t xml:space="preserve">s rights, the EESC considered that </w:t>
      </w:r>
      <w:r w:rsidRPr="00E3672F">
        <w:rPr>
          <w:b/>
          <w:bCs/>
        </w:rPr>
        <w:t>the protection and the rights of whistleblowers</w:t>
      </w:r>
      <w:r w:rsidRPr="00E3672F">
        <w:t xml:space="preserve">, who play a key role in preventing abuses linked to fraud and corruption, as well as any infringement of the </w:t>
      </w:r>
      <w:r w:rsidRPr="00E3672F" w:rsidR="0018260C">
        <w:t xml:space="preserve">EU’s </w:t>
      </w:r>
      <w:r w:rsidRPr="00E3672F">
        <w:t xml:space="preserve">rights, </w:t>
      </w:r>
      <w:r w:rsidRPr="00E3672F">
        <w:rPr>
          <w:b/>
          <w:bCs/>
        </w:rPr>
        <w:t>should be included in the training of justice practitioners</w:t>
      </w:r>
      <w:r w:rsidRPr="00E3672F">
        <w:t>.</w:t>
      </w:r>
    </w:p>
    <w:p w:rsidRPr="00E3672F" w:rsidR="00370886" w:rsidP="001E1287" w:rsidRDefault="00370886" w14:paraId="39C82A6A" w14:textId="77777777">
      <w:pPr>
        <w:spacing w:before="120" w:after="120" w:line="360" w:lineRule="auto"/>
        <w:contextualSpacing/>
      </w:pPr>
    </w:p>
    <w:p w:rsidRPr="00E3672F" w:rsidR="00370886" w:rsidP="001E1287" w:rsidRDefault="00370886" w14:paraId="34D1002B" w14:textId="5727353D">
      <w:pPr>
        <w:spacing w:before="120" w:after="120" w:line="360" w:lineRule="auto"/>
        <w:contextualSpacing/>
      </w:pPr>
      <w:r w:rsidRPr="00E3672F">
        <w:rPr>
          <w:b/>
          <w:bCs/>
        </w:rPr>
        <w:t xml:space="preserve">In </w:t>
      </w:r>
      <w:hyperlink w:history="1" r:id="rId108">
        <w:r w:rsidRPr="00E3672F">
          <w:rPr>
            <w:rStyle w:val="Hyperlink"/>
            <w:b/>
            <w:bCs/>
          </w:rPr>
          <w:t>INT/938</w:t>
        </w:r>
      </w:hyperlink>
      <w:r w:rsidRPr="00E3672F">
        <w:rPr>
          <w:b/>
          <w:bCs/>
        </w:rPr>
        <w:t xml:space="preserve">, </w:t>
      </w:r>
      <w:r w:rsidRPr="00E3672F">
        <w:rPr>
          <w:b/>
          <w:bCs/>
          <w:i/>
          <w:iCs/>
        </w:rPr>
        <w:t xml:space="preserve">Review of the non-financial-reporting </w:t>
      </w:r>
      <w:r w:rsidR="00EA4566">
        <w:rPr>
          <w:b/>
          <w:bCs/>
          <w:i/>
          <w:iCs/>
        </w:rPr>
        <w:t>D</w:t>
      </w:r>
      <w:r w:rsidRPr="00E3672F">
        <w:rPr>
          <w:b/>
          <w:bCs/>
          <w:i/>
          <w:iCs/>
        </w:rPr>
        <w:t>irective</w:t>
      </w:r>
      <w:r w:rsidRPr="00E3672F">
        <w:rPr>
          <w:b/>
          <w:bCs/>
        </w:rPr>
        <w:t xml:space="preserve"> </w:t>
      </w:r>
      <w:r w:rsidRPr="009B193B">
        <w:rPr>
          <w:b/>
          <w:bCs/>
        </w:rPr>
        <w:t>(2021)</w:t>
      </w:r>
      <w:r w:rsidRPr="00E3672F">
        <w:t xml:space="preserve"> (</w:t>
      </w:r>
      <w:r w:rsidR="006607CB">
        <w:t>r</w:t>
      </w:r>
      <w:r w:rsidRPr="00E3672F">
        <w:t xml:space="preserve">apporteur: </w:t>
      </w:r>
      <w:r w:rsidRPr="00E3672F" w:rsidR="0018260C">
        <w:t>Marinel Dănuț Muresan</w:t>
      </w:r>
      <w:r w:rsidRPr="00E3672F">
        <w:t>), the EESC welcomed the proposal for a Corporate Sustainability Reporting Directive, and considers that high-quality sustainability reporting will be a key component in the implementation of the European Green Deal, including the ambitious targets of the Fit for 55 Package.</w:t>
      </w:r>
    </w:p>
    <w:p w:rsidRPr="00E3672F" w:rsidR="00370886" w:rsidP="001E1287" w:rsidRDefault="00370886" w14:paraId="1073410A" w14:textId="4C183F1A">
      <w:pPr>
        <w:spacing w:before="120" w:after="120" w:line="360" w:lineRule="auto"/>
        <w:contextualSpacing/>
      </w:pPr>
      <w:r w:rsidRPr="00E3672F">
        <w:t>Following the Action Plan on Financing Sustainable Growth, the EESC welcomed the European Commission</w:t>
      </w:r>
      <w:r w:rsidRPr="00E3672F" w:rsidR="00413731">
        <w:t>’</w:t>
      </w:r>
      <w:r w:rsidRPr="00E3672F">
        <w:t xml:space="preserve">s focus on incentivising the disclosure of high-quality sustainability data by companies and financial institutions. </w:t>
      </w:r>
    </w:p>
    <w:p w:rsidRPr="00E3672F" w:rsidR="00370886" w:rsidP="001E1287" w:rsidRDefault="00370886" w14:paraId="0A2FC064" w14:textId="276337BC">
      <w:pPr>
        <w:spacing w:before="120" w:after="120" w:line="360" w:lineRule="auto"/>
        <w:contextualSpacing/>
      </w:pPr>
      <w:r w:rsidRPr="00E3672F">
        <w:t xml:space="preserve">The EESC encouraged the co-legislators to evaluate the operational and administrative costs involved in the </w:t>
      </w:r>
      <w:r w:rsidRPr="00E3672F">
        <w:rPr>
          <w:b/>
          <w:bCs/>
        </w:rPr>
        <w:t>gradual and voluntary inclusion of SMEs</w:t>
      </w:r>
      <w:r w:rsidRPr="00E3672F">
        <w:t xml:space="preserve"> in the scope of the Directive, and to consider potential additional support measures to help offset any administrative and operational burdens for this crucial segment of the economy.</w:t>
      </w:r>
    </w:p>
    <w:p w:rsidRPr="00E3672F" w:rsidR="00370886" w:rsidP="001E1287" w:rsidRDefault="00370886" w14:paraId="12CAC87B" w14:textId="21376E35">
      <w:pPr>
        <w:spacing w:before="120" w:after="120" w:line="360" w:lineRule="auto"/>
        <w:contextualSpacing/>
      </w:pPr>
      <w:r w:rsidRPr="00E3672F">
        <w:t>The EESC greatly welcomed the European Commission</w:t>
      </w:r>
      <w:r w:rsidRPr="00E3672F" w:rsidR="00413731">
        <w:t>’</w:t>
      </w:r>
      <w:r w:rsidRPr="00E3672F">
        <w:t xml:space="preserve">s </w:t>
      </w:r>
      <w:r w:rsidRPr="00E3672F">
        <w:rPr>
          <w:b/>
          <w:bCs/>
        </w:rPr>
        <w:t xml:space="preserve">clarification of and adherence to the principle of </w:t>
      </w:r>
      <w:r w:rsidRPr="00E3672F" w:rsidR="00430258">
        <w:rPr>
          <w:b/>
          <w:bCs/>
        </w:rPr>
        <w:t>‘</w:t>
      </w:r>
      <w:r w:rsidRPr="00E3672F">
        <w:rPr>
          <w:b/>
          <w:bCs/>
        </w:rPr>
        <w:t>double materiality</w:t>
      </w:r>
      <w:r w:rsidRPr="00E3672F" w:rsidR="00430258">
        <w:rPr>
          <w:b/>
          <w:bCs/>
        </w:rPr>
        <w:t>’</w:t>
      </w:r>
      <w:r w:rsidRPr="00E3672F">
        <w:t>, and the description thereof provided in paragraph 3 of the proposal.</w:t>
      </w:r>
    </w:p>
    <w:p w:rsidRPr="00E3672F" w:rsidR="00370886" w:rsidP="001E1287" w:rsidRDefault="00370886" w14:paraId="0879DEC5" w14:textId="668BB268">
      <w:pPr>
        <w:spacing w:before="120" w:after="120" w:line="360" w:lineRule="auto"/>
        <w:contextualSpacing/>
      </w:pPr>
      <w:r w:rsidRPr="00E3672F">
        <w:t xml:space="preserve">The EESC supported the mandate given to the European Financial Reporting Advisory Group to prepare the technical advice for developing a European non-financial reporting standard. This standard-setting process must involve all stakeholders with a material interest in the preparation and use of sustainability reporting: the relevant </w:t>
      </w:r>
      <w:r w:rsidRPr="00E3672F">
        <w:rPr>
          <w:b/>
          <w:bCs/>
        </w:rPr>
        <w:t>financial and non-financial corporate stakeholders, the social partners and civil society must be guaranteed a clear role at all stages</w:t>
      </w:r>
      <w:r w:rsidRPr="00E3672F">
        <w:t>.</w:t>
      </w:r>
    </w:p>
    <w:p w:rsidRPr="00E3672F" w:rsidR="0075715F" w:rsidP="001E1287" w:rsidRDefault="0075715F" w14:paraId="5C62B615" w14:textId="77777777">
      <w:pPr>
        <w:spacing w:before="120" w:after="120" w:line="360" w:lineRule="auto"/>
        <w:contextualSpacing/>
        <w:rPr>
          <w:b/>
          <w:u w:val="single"/>
        </w:rPr>
      </w:pPr>
    </w:p>
    <w:p w:rsidRPr="00E3672F" w:rsidR="00370886" w:rsidP="001E1287" w:rsidRDefault="00370886" w14:paraId="3D4CF81B" w14:textId="6EF8B6F7">
      <w:pPr>
        <w:spacing w:before="120" w:after="120" w:line="360" w:lineRule="auto"/>
        <w:contextualSpacing/>
        <w:rPr>
          <w:bCs/>
        </w:rPr>
      </w:pPr>
      <w:r w:rsidRPr="00E3672F">
        <w:rPr>
          <w:b/>
        </w:rPr>
        <w:t xml:space="preserve">In </w:t>
      </w:r>
      <w:hyperlink w:history="1" r:id="rId109">
        <w:r w:rsidRPr="00E3672F">
          <w:rPr>
            <w:rStyle w:val="Hyperlink"/>
            <w:b/>
          </w:rPr>
          <w:t>SOC/593</w:t>
        </w:r>
      </w:hyperlink>
      <w:r w:rsidRPr="00E3672F">
        <w:rPr>
          <w:b/>
        </w:rPr>
        <w:t xml:space="preserve">, on </w:t>
      </w:r>
      <w:r w:rsidRPr="00E3672F">
        <w:rPr>
          <w:b/>
          <w:i/>
          <w:iCs/>
        </w:rPr>
        <w:t>Strengthening whistleblower protection at EU level</w:t>
      </w:r>
      <w:r w:rsidRPr="00E3672F">
        <w:rPr>
          <w:b/>
        </w:rPr>
        <w:t xml:space="preserve"> (2018)</w:t>
      </w:r>
      <w:r w:rsidRPr="00E3672F">
        <w:rPr>
          <w:bCs/>
        </w:rPr>
        <w:t xml:space="preserve"> (</w:t>
      </w:r>
      <w:r w:rsidR="003715AE">
        <w:rPr>
          <w:bCs/>
        </w:rPr>
        <w:t>r</w:t>
      </w:r>
      <w:r w:rsidRPr="00E3672F">
        <w:rPr>
          <w:bCs/>
        </w:rPr>
        <w:t>apporteur:</w:t>
      </w:r>
      <w:r w:rsidRPr="00E3672F" w:rsidR="0063715B">
        <w:rPr>
          <w:bCs/>
        </w:rPr>
        <w:t xml:space="preserve"> Franca</w:t>
      </w:r>
      <w:r w:rsidRPr="00E3672F">
        <w:rPr>
          <w:bCs/>
        </w:rPr>
        <w:t xml:space="preserve"> </w:t>
      </w:r>
      <w:r w:rsidRPr="00E3672F" w:rsidR="0063715B">
        <w:rPr>
          <w:bCs/>
        </w:rPr>
        <w:t>Salis-Madinier</w:t>
      </w:r>
      <w:r w:rsidRPr="00E3672F">
        <w:rPr>
          <w:bCs/>
        </w:rPr>
        <w:t>), the EESC considered whistleblower protection</w:t>
      </w:r>
      <w:r w:rsidRPr="00E3672F" w:rsidR="0063715B">
        <w:rPr>
          <w:bCs/>
        </w:rPr>
        <w:t>,</w:t>
      </w:r>
      <w:r w:rsidRPr="00E3672F">
        <w:rPr>
          <w:bCs/>
        </w:rPr>
        <w:t xml:space="preserve"> apart from protecting whistleblowers, </w:t>
      </w:r>
      <w:r w:rsidR="003715AE">
        <w:rPr>
          <w:bCs/>
        </w:rPr>
        <w:t>to be</w:t>
      </w:r>
      <w:r w:rsidRPr="00E3672F" w:rsidR="003715AE">
        <w:rPr>
          <w:bCs/>
        </w:rPr>
        <w:t xml:space="preserve"> </w:t>
      </w:r>
      <w:r w:rsidRPr="00E3672F">
        <w:rPr>
          <w:bCs/>
        </w:rPr>
        <w:t xml:space="preserve">an important tool to help companies </w:t>
      </w:r>
      <w:r w:rsidRPr="00E3672F">
        <w:rPr>
          <w:b/>
        </w:rPr>
        <w:t>better address unlawful and unethical acts</w:t>
      </w:r>
      <w:r w:rsidRPr="00E3672F">
        <w:rPr>
          <w:bCs/>
        </w:rPr>
        <w:t>.</w:t>
      </w:r>
    </w:p>
    <w:p w:rsidRPr="00E3672F" w:rsidR="00370886" w:rsidP="001E1287" w:rsidRDefault="00370886" w14:paraId="6BF37BD3" w14:textId="56901E8F">
      <w:pPr>
        <w:spacing w:before="120" w:after="120" w:line="360" w:lineRule="auto"/>
        <w:contextualSpacing/>
        <w:rPr>
          <w:bCs/>
        </w:rPr>
      </w:pPr>
      <w:r w:rsidRPr="00E3672F">
        <w:rPr>
          <w:bCs/>
        </w:rPr>
        <w:t xml:space="preserve">The EESC considered that the </w:t>
      </w:r>
      <w:r w:rsidR="00EA4566">
        <w:rPr>
          <w:bCs/>
        </w:rPr>
        <w:t>D</w:t>
      </w:r>
      <w:r w:rsidRPr="00E3672F">
        <w:rPr>
          <w:bCs/>
        </w:rPr>
        <w:t>irective</w:t>
      </w:r>
      <w:r w:rsidRPr="00E3672F" w:rsidR="00413731">
        <w:rPr>
          <w:bCs/>
        </w:rPr>
        <w:t>’</w:t>
      </w:r>
      <w:r w:rsidRPr="00E3672F">
        <w:rPr>
          <w:bCs/>
        </w:rPr>
        <w:t xml:space="preserve">s scope should be assessed on the basis of the evaluation of its implementation, and that it should be broad enough to </w:t>
      </w:r>
      <w:r w:rsidRPr="00E3672F">
        <w:rPr>
          <w:b/>
        </w:rPr>
        <w:t>safeguard the general interest</w:t>
      </w:r>
      <w:r w:rsidRPr="00E3672F">
        <w:rPr>
          <w:bCs/>
        </w:rPr>
        <w:t>.</w:t>
      </w:r>
    </w:p>
    <w:p w:rsidRPr="00E3672F" w:rsidR="00370886" w:rsidP="001E1287" w:rsidRDefault="00370886" w14:paraId="5EA44C6A" w14:textId="5002C730">
      <w:pPr>
        <w:spacing w:before="120" w:after="120" w:line="360" w:lineRule="auto"/>
        <w:contextualSpacing/>
        <w:rPr>
          <w:bCs/>
        </w:rPr>
      </w:pPr>
      <w:r w:rsidRPr="00E3672F">
        <w:rPr>
          <w:b/>
        </w:rPr>
        <w:t>Former employees, trade union representatives and legal persons</w:t>
      </w:r>
      <w:r w:rsidRPr="00E3672F">
        <w:rPr>
          <w:bCs/>
        </w:rPr>
        <w:t xml:space="preserve"> as defined in </w:t>
      </w:r>
      <w:r w:rsidR="00EA4566">
        <w:rPr>
          <w:b/>
        </w:rPr>
        <w:t>A</w:t>
      </w:r>
      <w:r w:rsidRPr="00E3672F">
        <w:rPr>
          <w:b/>
        </w:rPr>
        <w:t>rticle 3</w:t>
      </w:r>
      <w:r w:rsidRPr="00E3672F">
        <w:rPr>
          <w:bCs/>
        </w:rPr>
        <w:t xml:space="preserve"> are able to report wrongdoing and benefit from the same protection; they must be clearly listed in </w:t>
      </w:r>
      <w:r w:rsidRPr="00E3672F">
        <w:rPr>
          <w:b/>
        </w:rPr>
        <w:t>Article 2</w:t>
      </w:r>
      <w:r w:rsidRPr="00E3672F">
        <w:rPr>
          <w:bCs/>
        </w:rPr>
        <w:t xml:space="preserve"> of the </w:t>
      </w:r>
      <w:r w:rsidR="00EA4566">
        <w:rPr>
          <w:bCs/>
        </w:rPr>
        <w:t>D</w:t>
      </w:r>
      <w:r w:rsidRPr="00E3672F">
        <w:rPr>
          <w:bCs/>
        </w:rPr>
        <w:t>irective.</w:t>
      </w:r>
    </w:p>
    <w:p w:rsidRPr="00E3672F" w:rsidR="00370886" w:rsidP="001E1287" w:rsidRDefault="00370886" w14:paraId="08519737" w14:textId="349BC55D">
      <w:pPr>
        <w:spacing w:before="120" w:after="120" w:line="360" w:lineRule="auto"/>
        <w:contextualSpacing/>
        <w:rPr>
          <w:bCs/>
        </w:rPr>
      </w:pPr>
      <w:r w:rsidRPr="00E3672F">
        <w:rPr>
          <w:bCs/>
        </w:rPr>
        <w:t xml:space="preserve">The Committee recommended (Article 13) a two-stage reporting procedure initially giving the whistleblower access to </w:t>
      </w:r>
      <w:r w:rsidRPr="00E3672F">
        <w:rPr>
          <w:b/>
        </w:rPr>
        <w:t>internal channels or to the competent authorities</w:t>
      </w:r>
      <w:r w:rsidRPr="00E3672F">
        <w:rPr>
          <w:bCs/>
        </w:rPr>
        <w:t xml:space="preserve"> (whichever is preferred); and subsequently, if necessary, </w:t>
      </w:r>
      <w:r w:rsidRPr="00E3672F">
        <w:rPr>
          <w:b/>
        </w:rPr>
        <w:t>to civil society/the media</w:t>
      </w:r>
      <w:r w:rsidRPr="00E3672F">
        <w:rPr>
          <w:bCs/>
        </w:rPr>
        <w:t>, in the interests of fairness and legal certainty.</w:t>
      </w:r>
    </w:p>
    <w:p w:rsidRPr="00E3672F" w:rsidR="00370886" w:rsidP="001E1287" w:rsidRDefault="00370886" w14:paraId="7938CB20" w14:textId="56EF4E69">
      <w:pPr>
        <w:spacing w:before="120" w:after="120" w:line="360" w:lineRule="auto"/>
        <w:contextualSpacing/>
        <w:rPr>
          <w:bCs/>
        </w:rPr>
      </w:pPr>
      <w:r w:rsidRPr="00E3672F">
        <w:rPr>
          <w:bCs/>
        </w:rPr>
        <w:t xml:space="preserve">The EESC recommended that at any stage of the reporting process whistleblowers </w:t>
      </w:r>
      <w:r w:rsidRPr="00E3672F">
        <w:rPr>
          <w:b/>
        </w:rPr>
        <w:t>have access to trade union representatives</w:t>
      </w:r>
      <w:r w:rsidRPr="00E3672F">
        <w:rPr>
          <w:bCs/>
        </w:rPr>
        <w:t>, who should be empowered to represent them and to provide advice and support.</w:t>
      </w:r>
    </w:p>
    <w:p w:rsidRPr="00E3672F" w:rsidR="00370886" w:rsidP="001E1287" w:rsidRDefault="00370886" w14:paraId="21BAE11D" w14:textId="15A05814">
      <w:pPr>
        <w:spacing w:before="120" w:after="120" w:line="360" w:lineRule="auto"/>
        <w:contextualSpacing/>
        <w:rPr>
          <w:bCs/>
        </w:rPr>
      </w:pPr>
      <w:r w:rsidRPr="00E3672F">
        <w:rPr>
          <w:bCs/>
        </w:rPr>
        <w:t xml:space="preserve">The Committee recommended that a whistleblower who </w:t>
      </w:r>
      <w:r w:rsidRPr="00E3672F">
        <w:rPr>
          <w:b/>
        </w:rPr>
        <w:t>initially acted anonymously</w:t>
      </w:r>
      <w:r w:rsidRPr="00E3672F">
        <w:rPr>
          <w:bCs/>
        </w:rPr>
        <w:t xml:space="preserve"> and whose identity is subsequently revealed </w:t>
      </w:r>
      <w:r w:rsidRPr="00E3672F">
        <w:rPr>
          <w:b/>
        </w:rPr>
        <w:t xml:space="preserve">should benefit from the protection afforded by the </w:t>
      </w:r>
      <w:r w:rsidR="00EA4566">
        <w:rPr>
          <w:b/>
        </w:rPr>
        <w:t>D</w:t>
      </w:r>
      <w:r w:rsidRPr="00E3672F">
        <w:rPr>
          <w:b/>
        </w:rPr>
        <w:t>irective</w:t>
      </w:r>
      <w:r w:rsidRPr="00E3672F">
        <w:rPr>
          <w:bCs/>
        </w:rPr>
        <w:t>.</w:t>
      </w:r>
    </w:p>
    <w:p w:rsidRPr="00E3672F" w:rsidR="00370886" w:rsidP="001E1287" w:rsidRDefault="00370886" w14:paraId="4ECF3C5E" w14:textId="17003E7E">
      <w:pPr>
        <w:spacing w:before="120" w:after="120" w:line="360" w:lineRule="auto"/>
        <w:contextualSpacing/>
        <w:rPr>
          <w:bCs/>
        </w:rPr>
      </w:pPr>
      <w:r w:rsidRPr="00E3672F">
        <w:rPr>
          <w:bCs/>
        </w:rPr>
        <w:t xml:space="preserve">The EESC called on the Commission to </w:t>
      </w:r>
      <w:r w:rsidRPr="00E3672F">
        <w:rPr>
          <w:b/>
        </w:rPr>
        <w:t>include an explicit non-regression clause in Article 19</w:t>
      </w:r>
      <w:r w:rsidRPr="00E3672F">
        <w:rPr>
          <w:bCs/>
        </w:rPr>
        <w:t xml:space="preserve"> to </w:t>
      </w:r>
      <w:r w:rsidRPr="00E3672F">
        <w:rPr>
          <w:b/>
        </w:rPr>
        <w:t xml:space="preserve">ensure that implementation of the </w:t>
      </w:r>
      <w:r w:rsidR="00EA4566">
        <w:rPr>
          <w:b/>
        </w:rPr>
        <w:t>D</w:t>
      </w:r>
      <w:r w:rsidRPr="00E3672F">
        <w:rPr>
          <w:b/>
        </w:rPr>
        <w:t xml:space="preserve">irective in no way diminishes more favourable rights </w:t>
      </w:r>
      <w:r w:rsidR="003715AE">
        <w:rPr>
          <w:b/>
        </w:rPr>
        <w:t xml:space="preserve">that were </w:t>
      </w:r>
      <w:r w:rsidRPr="00E3672F">
        <w:rPr>
          <w:b/>
        </w:rPr>
        <w:t xml:space="preserve">granted to whistleblowers prior to this </w:t>
      </w:r>
      <w:r w:rsidRPr="00E3672F" w:rsidR="0063715B">
        <w:rPr>
          <w:b/>
        </w:rPr>
        <w:t>D</w:t>
      </w:r>
      <w:r w:rsidRPr="00E3672F">
        <w:rPr>
          <w:b/>
        </w:rPr>
        <w:t>irective</w:t>
      </w:r>
      <w:r w:rsidRPr="00E3672F">
        <w:rPr>
          <w:bCs/>
        </w:rPr>
        <w:t xml:space="preserve"> in the Member States and in </w:t>
      </w:r>
      <w:r w:rsidR="003715AE">
        <w:rPr>
          <w:bCs/>
        </w:rPr>
        <w:t>the</w:t>
      </w:r>
      <w:r w:rsidRPr="00E3672F" w:rsidR="003715AE">
        <w:rPr>
          <w:bCs/>
        </w:rPr>
        <w:t xml:space="preserve"> </w:t>
      </w:r>
      <w:r w:rsidRPr="00E3672F">
        <w:rPr>
          <w:bCs/>
        </w:rPr>
        <w:t xml:space="preserve">areas to which the </w:t>
      </w:r>
      <w:r w:rsidRPr="00E3672F" w:rsidR="0063715B">
        <w:rPr>
          <w:bCs/>
        </w:rPr>
        <w:t>D</w:t>
      </w:r>
      <w:r w:rsidRPr="00E3672F">
        <w:rPr>
          <w:bCs/>
        </w:rPr>
        <w:t>irective applies.</w:t>
      </w:r>
    </w:p>
    <w:p w:rsidRPr="00E3672F" w:rsidR="00370886" w:rsidP="001E1287" w:rsidRDefault="00370886" w14:paraId="7F4BC6D9" w14:textId="77777777">
      <w:pPr>
        <w:spacing w:before="120" w:after="120" w:line="360" w:lineRule="auto"/>
        <w:contextualSpacing/>
      </w:pPr>
      <w:r w:rsidRPr="00E3672F">
        <w:rPr>
          <w:bCs/>
        </w:rPr>
        <w:t xml:space="preserve">The EESC recommended that the </w:t>
      </w:r>
      <w:r w:rsidRPr="00E3672F">
        <w:rPr>
          <w:b/>
        </w:rPr>
        <w:t>publication of periodic reports</w:t>
      </w:r>
      <w:r w:rsidRPr="00E3672F">
        <w:rPr>
          <w:bCs/>
        </w:rPr>
        <w:t xml:space="preserve"> by public bodies and the Member States be made mandatory.</w:t>
      </w:r>
    </w:p>
    <w:p w:rsidRPr="00E3672F" w:rsidR="00756F81" w:rsidP="001E1287" w:rsidRDefault="00756F81" w14:paraId="4F1816F1" w14:textId="588EEE94">
      <w:pPr>
        <w:spacing w:before="120" w:after="120" w:line="360" w:lineRule="auto"/>
        <w:contextualSpacing/>
      </w:pPr>
    </w:p>
    <w:p w:rsidRPr="00E3672F" w:rsidR="00A6315B" w:rsidP="001E1287" w:rsidRDefault="00A91BE1" w14:paraId="51B5E920" w14:textId="4ABD56AD">
      <w:pPr>
        <w:spacing w:before="120" w:after="120" w:line="360" w:lineRule="auto"/>
        <w:contextualSpacing/>
        <w:jc w:val="left"/>
      </w:pPr>
      <w:r w:rsidRPr="00E3672F">
        <w:br w:type="page"/>
      </w:r>
    </w:p>
    <w:p w:rsidRPr="00A26EF3" w:rsidR="00867959" w:rsidP="00A26EF3" w:rsidRDefault="00C21CC2" w14:paraId="66FD8CF4" w14:textId="48BD8B7A">
      <w:pPr>
        <w:pStyle w:val="Heading1"/>
        <w:spacing w:before="120" w:after="120" w:line="360" w:lineRule="auto"/>
        <w:contextualSpacing/>
        <w:rPr>
          <w:rFonts w:cs="Times New Roman"/>
          <w:color w:val="004F88"/>
        </w:rPr>
      </w:pPr>
      <w:bookmarkStart w:name="_Toc125632268" w:id="58"/>
      <w:bookmarkStart w:name="_Toc228180560" w:id="59"/>
      <w:r w:rsidRPr="00E3672F">
        <w:rPr>
          <w:rFonts w:cs="Times New Roman"/>
          <w:color w:val="004F88"/>
        </w:rPr>
        <w:t>8</w:t>
      </w:r>
      <w:r w:rsidRPr="00E3672F" w:rsidR="00501800">
        <w:rPr>
          <w:rFonts w:cs="Times New Roman"/>
          <w:color w:val="004F88"/>
        </w:rPr>
        <w:t xml:space="preserve">. </w:t>
      </w:r>
      <w:r w:rsidRPr="00E3672F" w:rsidR="00A91BE1">
        <w:rPr>
          <w:rFonts w:cs="Times New Roman"/>
          <w:color w:val="004F88"/>
        </w:rPr>
        <w:t>List of organisations consulted</w:t>
      </w:r>
      <w:bookmarkEnd w:id="58"/>
      <w:bookmarkEnd w:id="59"/>
    </w:p>
    <w:tbl>
      <w:tblPr>
        <w:tblW w:w="9220" w:type="dxa"/>
        <w:tblLook w:val="04A0" w:firstRow="1" w:lastRow="0" w:firstColumn="1" w:lastColumn="0" w:noHBand="0" w:noVBand="1"/>
      </w:tblPr>
      <w:tblGrid>
        <w:gridCol w:w="4106"/>
        <w:gridCol w:w="1701"/>
        <w:gridCol w:w="1843"/>
        <w:gridCol w:w="1570"/>
      </w:tblGrid>
      <w:tr w:rsidRPr="00F23BB5" w:rsidR="00A26EF3" w:rsidTr="00F77A3C" w14:paraId="2269E8AE" w14:textId="77777777">
        <w:trPr>
          <w:trHeight w:val="560"/>
          <w:tblHeader/>
        </w:trPr>
        <w:tc>
          <w:tcPr>
            <w:tcW w:w="4106" w:type="dxa"/>
            <w:tcBorders>
              <w:top w:val="single" w:color="9BC2E6" w:sz="4" w:space="0"/>
              <w:left w:val="single" w:color="9BC2E6" w:sz="4" w:space="0"/>
              <w:bottom w:val="single" w:color="9BC2E6" w:sz="4" w:space="0"/>
              <w:right w:val="nil"/>
            </w:tcBorders>
            <w:shd w:val="clear" w:color="5B9BD5" w:fill="5B9BD5"/>
            <w:vAlign w:val="center"/>
            <w:hideMark/>
          </w:tcPr>
          <w:p w:rsidRPr="00F23BB5" w:rsidR="00A26EF3" w:rsidP="00F77A3C" w:rsidRDefault="00A26EF3" w14:paraId="77A74DD2" w14:textId="77777777">
            <w:pPr>
              <w:spacing w:line="240" w:lineRule="auto"/>
              <w:jc w:val="left"/>
              <w:rPr>
                <w:b/>
                <w:bCs/>
                <w:color w:val="FFFFFF"/>
              </w:rPr>
            </w:pPr>
            <w:r w:rsidRPr="00F23BB5">
              <w:rPr>
                <w:b/>
                <w:bCs/>
                <w:color w:val="FFFFFF"/>
              </w:rPr>
              <w:t>Organisation name</w:t>
            </w:r>
          </w:p>
        </w:tc>
        <w:tc>
          <w:tcPr>
            <w:tcW w:w="1701" w:type="dxa"/>
            <w:tcBorders>
              <w:top w:val="single" w:color="9BC2E6" w:sz="4" w:space="0"/>
              <w:left w:val="nil"/>
              <w:bottom w:val="single" w:color="9BC2E6" w:sz="4" w:space="0"/>
              <w:right w:val="nil"/>
            </w:tcBorders>
            <w:shd w:val="clear" w:color="5B9BD5" w:fill="5B9BD5"/>
            <w:vAlign w:val="center"/>
            <w:hideMark/>
          </w:tcPr>
          <w:p w:rsidRPr="00F23BB5" w:rsidR="00A26EF3" w:rsidP="00F77A3C" w:rsidRDefault="00A26EF3" w14:paraId="68617BAE" w14:textId="77777777">
            <w:pPr>
              <w:spacing w:line="240" w:lineRule="auto"/>
              <w:jc w:val="left"/>
              <w:rPr>
                <w:b/>
                <w:bCs/>
                <w:color w:val="FFFFFF"/>
              </w:rPr>
            </w:pPr>
            <w:r w:rsidRPr="00F23BB5">
              <w:rPr>
                <w:b/>
                <w:bCs/>
                <w:color w:val="FFFFFF"/>
              </w:rPr>
              <w:t>Member State</w:t>
            </w:r>
          </w:p>
        </w:tc>
        <w:tc>
          <w:tcPr>
            <w:tcW w:w="1843" w:type="dxa"/>
            <w:tcBorders>
              <w:top w:val="single" w:color="9BC2E6" w:sz="4" w:space="0"/>
              <w:left w:val="nil"/>
              <w:bottom w:val="single" w:color="9BC2E6" w:sz="4" w:space="0"/>
              <w:right w:val="nil"/>
            </w:tcBorders>
            <w:shd w:val="clear" w:color="5B9BD5" w:fill="5B9BD5"/>
            <w:vAlign w:val="center"/>
            <w:hideMark/>
          </w:tcPr>
          <w:p w:rsidRPr="00F23BB5" w:rsidR="00A26EF3" w:rsidP="00F77A3C" w:rsidRDefault="00A26EF3" w14:paraId="7ED2AEEE" w14:textId="77777777">
            <w:pPr>
              <w:spacing w:line="240" w:lineRule="auto"/>
              <w:jc w:val="left"/>
              <w:rPr>
                <w:b/>
                <w:bCs/>
                <w:color w:val="FFFFFF"/>
              </w:rPr>
            </w:pPr>
            <w:r w:rsidRPr="00F23BB5">
              <w:rPr>
                <w:b/>
                <w:bCs/>
                <w:color w:val="FFFFFF"/>
              </w:rPr>
              <w:t>Consultation via Questionnaire</w:t>
            </w:r>
          </w:p>
        </w:tc>
        <w:tc>
          <w:tcPr>
            <w:tcW w:w="1570" w:type="dxa"/>
            <w:tcBorders>
              <w:top w:val="single" w:color="9BC2E6" w:sz="4" w:space="0"/>
              <w:left w:val="nil"/>
              <w:bottom w:val="single" w:color="9BC2E6" w:sz="4" w:space="0"/>
              <w:right w:val="single" w:color="9BC2E6" w:sz="4" w:space="0"/>
            </w:tcBorders>
            <w:shd w:val="clear" w:color="5B9BD5" w:fill="5B9BD5"/>
            <w:vAlign w:val="center"/>
            <w:hideMark/>
          </w:tcPr>
          <w:p w:rsidRPr="00F23BB5" w:rsidR="00A26EF3" w:rsidP="00F77A3C" w:rsidRDefault="00A26EF3" w14:paraId="738DCFCD" w14:textId="77777777">
            <w:pPr>
              <w:spacing w:line="240" w:lineRule="auto"/>
              <w:jc w:val="left"/>
              <w:rPr>
                <w:b/>
                <w:bCs/>
                <w:color w:val="FFFFFF"/>
              </w:rPr>
            </w:pPr>
            <w:r w:rsidRPr="00F23BB5">
              <w:rPr>
                <w:b/>
                <w:bCs/>
                <w:color w:val="FFFFFF"/>
              </w:rPr>
              <w:t>Consultation via Meetings</w:t>
            </w:r>
          </w:p>
        </w:tc>
      </w:tr>
      <w:tr w:rsidRPr="00F23BB5" w:rsidR="00A26EF3" w:rsidTr="00F77A3C" w14:paraId="55BA9346" w14:textId="77777777">
        <w:trPr>
          <w:trHeight w:val="290"/>
        </w:trPr>
        <w:tc>
          <w:tcPr>
            <w:tcW w:w="4106" w:type="dxa"/>
            <w:tcBorders>
              <w:top w:val="single" w:color="9BC2E6" w:sz="4" w:space="0"/>
              <w:left w:val="single" w:color="9BC2E6" w:sz="4" w:space="0"/>
              <w:bottom w:val="single" w:color="9BC2E6" w:sz="4" w:space="0"/>
              <w:right w:val="nil"/>
            </w:tcBorders>
            <w:shd w:val="clear" w:color="DDEBF7" w:fill="DDEBF7"/>
            <w:hideMark/>
          </w:tcPr>
          <w:p w:rsidRPr="00063647" w:rsidR="00A26EF3" w:rsidP="00F77A3C" w:rsidRDefault="00A26EF3" w14:paraId="541022C4" w14:textId="77777777">
            <w:pPr>
              <w:spacing w:line="240" w:lineRule="auto"/>
              <w:jc w:val="left"/>
              <w:rPr>
                <w:color w:val="000000"/>
                <w:sz w:val="16"/>
                <w:szCs w:val="16"/>
                <w:lang w:val="da-DK"/>
              </w:rPr>
            </w:pPr>
            <w:r w:rsidRPr="00063647">
              <w:rPr>
                <w:color w:val="000000"/>
                <w:sz w:val="16"/>
                <w:szCs w:val="16"/>
                <w:lang w:val="da-DK"/>
              </w:rPr>
              <w:t>Danish Employers’ Association (DA – Dansk Arbejdsgiverforening)</w:t>
            </w:r>
          </w:p>
        </w:tc>
        <w:tc>
          <w:tcPr>
            <w:tcW w:w="1701" w:type="dxa"/>
            <w:tcBorders>
              <w:top w:val="single" w:color="9BC2E6" w:sz="4" w:space="0"/>
              <w:left w:val="nil"/>
              <w:bottom w:val="single" w:color="9BC2E6" w:sz="4" w:space="0"/>
              <w:right w:val="nil"/>
            </w:tcBorders>
            <w:shd w:val="clear" w:color="DDEBF7" w:fill="DDEBF7"/>
            <w:noWrap/>
            <w:hideMark/>
          </w:tcPr>
          <w:p w:rsidRPr="00F23BB5" w:rsidR="00A26EF3" w:rsidP="00F77A3C" w:rsidRDefault="00A26EF3" w14:paraId="0A12A4F4" w14:textId="77777777">
            <w:pPr>
              <w:spacing w:line="240" w:lineRule="auto"/>
              <w:jc w:val="left"/>
              <w:rPr>
                <w:color w:val="000000"/>
                <w:sz w:val="16"/>
                <w:szCs w:val="16"/>
              </w:rPr>
            </w:pPr>
            <w:r w:rsidRPr="00F23BB5">
              <w:rPr>
                <w:color w:val="000000"/>
                <w:sz w:val="16"/>
                <w:szCs w:val="16"/>
              </w:rPr>
              <w:t>Denmark</w:t>
            </w:r>
          </w:p>
        </w:tc>
        <w:tc>
          <w:tcPr>
            <w:tcW w:w="1843" w:type="dxa"/>
            <w:tcBorders>
              <w:top w:val="single" w:color="9BC2E6" w:sz="4" w:space="0"/>
              <w:left w:val="nil"/>
              <w:bottom w:val="single" w:color="9BC2E6" w:sz="4" w:space="0"/>
              <w:right w:val="nil"/>
            </w:tcBorders>
            <w:shd w:val="clear" w:color="DDEBF7" w:fill="DDEBF7"/>
            <w:noWrap/>
            <w:vAlign w:val="center"/>
            <w:hideMark/>
          </w:tcPr>
          <w:p w:rsidRPr="00F23BB5" w:rsidR="00A26EF3" w:rsidP="00F77A3C" w:rsidRDefault="00A26EF3" w14:paraId="084EDFC3" w14:textId="77777777">
            <w:pPr>
              <w:spacing w:line="240" w:lineRule="auto"/>
              <w:jc w:val="center"/>
              <w:rPr>
                <w:color w:val="000000"/>
                <w:sz w:val="16"/>
                <w:szCs w:val="16"/>
              </w:rPr>
            </w:pPr>
            <w:r w:rsidRPr="00F23BB5">
              <w:rPr>
                <w:color w:val="000000"/>
                <w:sz w:val="16"/>
                <w:szCs w:val="16"/>
              </w:rPr>
              <w:t>X</w:t>
            </w:r>
          </w:p>
        </w:tc>
        <w:tc>
          <w:tcPr>
            <w:tcW w:w="1570" w:type="dxa"/>
            <w:tcBorders>
              <w:top w:val="single" w:color="9BC2E6" w:sz="4" w:space="0"/>
              <w:left w:val="nil"/>
              <w:bottom w:val="single" w:color="9BC2E6" w:sz="4" w:space="0"/>
              <w:right w:val="single" w:color="9BC2E6" w:sz="4" w:space="0"/>
            </w:tcBorders>
            <w:shd w:val="clear" w:color="DDEBF7" w:fill="DDEBF7"/>
            <w:noWrap/>
            <w:vAlign w:val="center"/>
            <w:hideMark/>
          </w:tcPr>
          <w:p w:rsidRPr="00F23BB5" w:rsidR="00A26EF3" w:rsidP="00F77A3C" w:rsidRDefault="00A26EF3" w14:paraId="54EAFB61" w14:textId="77777777">
            <w:pPr>
              <w:spacing w:line="240" w:lineRule="auto"/>
              <w:jc w:val="center"/>
              <w:rPr>
                <w:color w:val="000000"/>
                <w:sz w:val="16"/>
                <w:szCs w:val="16"/>
              </w:rPr>
            </w:pPr>
            <w:r w:rsidRPr="00F23BB5">
              <w:rPr>
                <w:color w:val="000000"/>
                <w:sz w:val="16"/>
                <w:szCs w:val="16"/>
              </w:rPr>
              <w:t>X</w:t>
            </w:r>
          </w:p>
        </w:tc>
      </w:tr>
      <w:tr w:rsidRPr="00F23BB5" w:rsidR="00A26EF3" w:rsidTr="00F77A3C" w14:paraId="109E79EB" w14:textId="77777777">
        <w:trPr>
          <w:trHeight w:val="290"/>
        </w:trPr>
        <w:tc>
          <w:tcPr>
            <w:tcW w:w="4106" w:type="dxa"/>
            <w:tcBorders>
              <w:top w:val="single" w:color="9BC2E6" w:sz="4" w:space="0"/>
              <w:left w:val="single" w:color="9BC2E6" w:sz="4" w:space="0"/>
              <w:bottom w:val="single" w:color="9BC2E6" w:sz="4" w:space="0"/>
              <w:right w:val="nil"/>
            </w:tcBorders>
            <w:hideMark/>
          </w:tcPr>
          <w:p w:rsidRPr="00F23BB5" w:rsidR="00A26EF3" w:rsidP="00F77A3C" w:rsidRDefault="00A26EF3" w14:paraId="71B0D8DE" w14:textId="77777777">
            <w:pPr>
              <w:spacing w:line="240" w:lineRule="auto"/>
              <w:jc w:val="left"/>
              <w:rPr>
                <w:color w:val="000000"/>
                <w:sz w:val="16"/>
                <w:szCs w:val="16"/>
              </w:rPr>
            </w:pPr>
            <w:r w:rsidRPr="00F23BB5">
              <w:rPr>
                <w:color w:val="000000"/>
                <w:sz w:val="16"/>
                <w:szCs w:val="16"/>
              </w:rPr>
              <w:t>Danish Trade Union Confederation (Fagbevægelsens Hovedorganisation)</w:t>
            </w:r>
          </w:p>
        </w:tc>
        <w:tc>
          <w:tcPr>
            <w:tcW w:w="1701" w:type="dxa"/>
            <w:tcBorders>
              <w:top w:val="single" w:color="9BC2E6" w:sz="4" w:space="0"/>
              <w:left w:val="nil"/>
              <w:bottom w:val="single" w:color="9BC2E6" w:sz="4" w:space="0"/>
              <w:right w:val="nil"/>
            </w:tcBorders>
            <w:noWrap/>
            <w:hideMark/>
          </w:tcPr>
          <w:p w:rsidRPr="00F23BB5" w:rsidR="00A26EF3" w:rsidP="00F77A3C" w:rsidRDefault="00A26EF3" w14:paraId="287CA0D4" w14:textId="77777777">
            <w:pPr>
              <w:spacing w:line="240" w:lineRule="auto"/>
              <w:jc w:val="left"/>
              <w:rPr>
                <w:color w:val="000000"/>
                <w:sz w:val="16"/>
                <w:szCs w:val="16"/>
              </w:rPr>
            </w:pPr>
            <w:r w:rsidRPr="00F23BB5">
              <w:rPr>
                <w:color w:val="000000"/>
                <w:sz w:val="16"/>
                <w:szCs w:val="16"/>
              </w:rPr>
              <w:t>Denmark</w:t>
            </w:r>
          </w:p>
        </w:tc>
        <w:tc>
          <w:tcPr>
            <w:tcW w:w="1843" w:type="dxa"/>
            <w:tcBorders>
              <w:top w:val="single" w:color="9BC2E6" w:sz="4" w:space="0"/>
              <w:left w:val="nil"/>
              <w:bottom w:val="single" w:color="9BC2E6" w:sz="4" w:space="0"/>
              <w:right w:val="nil"/>
            </w:tcBorders>
            <w:noWrap/>
            <w:vAlign w:val="center"/>
            <w:hideMark/>
          </w:tcPr>
          <w:p w:rsidRPr="00F23BB5" w:rsidR="00A26EF3" w:rsidP="00F77A3C" w:rsidRDefault="00A26EF3" w14:paraId="5032B94F" w14:textId="77777777">
            <w:pPr>
              <w:spacing w:line="240" w:lineRule="auto"/>
              <w:jc w:val="center"/>
              <w:rPr>
                <w:color w:val="000000"/>
                <w:sz w:val="16"/>
                <w:szCs w:val="16"/>
              </w:rPr>
            </w:pPr>
            <w:r w:rsidRPr="00F23BB5">
              <w:rPr>
                <w:color w:val="000000"/>
                <w:sz w:val="16"/>
                <w:szCs w:val="16"/>
              </w:rPr>
              <w:t>X</w:t>
            </w:r>
          </w:p>
        </w:tc>
        <w:tc>
          <w:tcPr>
            <w:tcW w:w="1570" w:type="dxa"/>
            <w:tcBorders>
              <w:top w:val="single" w:color="9BC2E6" w:sz="4" w:space="0"/>
              <w:left w:val="nil"/>
              <w:bottom w:val="single" w:color="9BC2E6" w:sz="4" w:space="0"/>
              <w:right w:val="single" w:color="9BC2E6" w:sz="4" w:space="0"/>
            </w:tcBorders>
            <w:noWrap/>
            <w:vAlign w:val="center"/>
            <w:hideMark/>
          </w:tcPr>
          <w:p w:rsidRPr="00F23BB5" w:rsidR="00A26EF3" w:rsidP="00F77A3C" w:rsidRDefault="00A26EF3" w14:paraId="44FBF2CD" w14:textId="77777777">
            <w:pPr>
              <w:spacing w:line="240" w:lineRule="auto"/>
              <w:jc w:val="center"/>
              <w:rPr>
                <w:color w:val="000000"/>
                <w:sz w:val="16"/>
                <w:szCs w:val="16"/>
              </w:rPr>
            </w:pPr>
            <w:r w:rsidRPr="00F23BB5">
              <w:rPr>
                <w:color w:val="000000"/>
                <w:sz w:val="16"/>
                <w:szCs w:val="16"/>
              </w:rPr>
              <w:t>X</w:t>
            </w:r>
          </w:p>
        </w:tc>
      </w:tr>
      <w:tr w:rsidRPr="00F23BB5" w:rsidR="00A26EF3" w:rsidTr="00F77A3C" w14:paraId="64F76E0F" w14:textId="77777777">
        <w:trPr>
          <w:trHeight w:val="290"/>
        </w:trPr>
        <w:tc>
          <w:tcPr>
            <w:tcW w:w="4106" w:type="dxa"/>
            <w:tcBorders>
              <w:top w:val="single" w:color="9BC2E6" w:sz="4" w:space="0"/>
              <w:left w:val="single" w:color="9BC2E6" w:sz="4" w:space="0"/>
              <w:bottom w:val="single" w:color="9BC2E6" w:sz="4" w:space="0"/>
              <w:right w:val="nil"/>
            </w:tcBorders>
            <w:shd w:val="clear" w:color="DDEBF7" w:fill="DDEBF7"/>
            <w:hideMark/>
          </w:tcPr>
          <w:p w:rsidRPr="00063647" w:rsidR="00A26EF3" w:rsidP="00F77A3C" w:rsidRDefault="00A26EF3" w14:paraId="2AB7DEE0" w14:textId="77777777">
            <w:pPr>
              <w:spacing w:line="240" w:lineRule="auto"/>
              <w:jc w:val="left"/>
              <w:rPr>
                <w:color w:val="000000"/>
                <w:sz w:val="16"/>
                <w:szCs w:val="16"/>
                <w:lang w:val="da-DK"/>
              </w:rPr>
            </w:pPr>
            <w:r w:rsidRPr="00063647">
              <w:rPr>
                <w:color w:val="000000"/>
                <w:sz w:val="16"/>
                <w:szCs w:val="16"/>
                <w:lang w:val="da-DK"/>
              </w:rPr>
              <w:t>Danmarks Center for Undersøgende Journalistik</w:t>
            </w:r>
          </w:p>
        </w:tc>
        <w:tc>
          <w:tcPr>
            <w:tcW w:w="1701" w:type="dxa"/>
            <w:tcBorders>
              <w:top w:val="single" w:color="9BC2E6" w:sz="4" w:space="0"/>
              <w:left w:val="nil"/>
              <w:bottom w:val="single" w:color="9BC2E6" w:sz="4" w:space="0"/>
              <w:right w:val="nil"/>
            </w:tcBorders>
            <w:shd w:val="clear" w:color="DDEBF7" w:fill="DDEBF7"/>
            <w:noWrap/>
            <w:hideMark/>
          </w:tcPr>
          <w:p w:rsidRPr="00F23BB5" w:rsidR="00A26EF3" w:rsidP="00F77A3C" w:rsidRDefault="00A26EF3" w14:paraId="6AEDFB2F" w14:textId="77777777">
            <w:pPr>
              <w:spacing w:line="240" w:lineRule="auto"/>
              <w:jc w:val="left"/>
              <w:rPr>
                <w:color w:val="000000"/>
                <w:sz w:val="16"/>
                <w:szCs w:val="16"/>
              </w:rPr>
            </w:pPr>
            <w:r w:rsidRPr="00F23BB5">
              <w:rPr>
                <w:color w:val="000000"/>
                <w:sz w:val="16"/>
                <w:szCs w:val="16"/>
              </w:rPr>
              <w:t>Denmark</w:t>
            </w:r>
          </w:p>
        </w:tc>
        <w:tc>
          <w:tcPr>
            <w:tcW w:w="1843" w:type="dxa"/>
            <w:tcBorders>
              <w:top w:val="single" w:color="9BC2E6" w:sz="4" w:space="0"/>
              <w:left w:val="nil"/>
              <w:bottom w:val="single" w:color="9BC2E6" w:sz="4" w:space="0"/>
              <w:right w:val="nil"/>
            </w:tcBorders>
            <w:shd w:val="clear" w:color="DDEBF7" w:fill="DDEBF7"/>
            <w:noWrap/>
            <w:vAlign w:val="center"/>
            <w:hideMark/>
          </w:tcPr>
          <w:p w:rsidRPr="00F23BB5" w:rsidR="00A26EF3" w:rsidP="00F77A3C" w:rsidRDefault="00A26EF3" w14:paraId="46CA22AD" w14:textId="77777777">
            <w:pPr>
              <w:spacing w:line="240" w:lineRule="auto"/>
              <w:jc w:val="center"/>
              <w:rPr>
                <w:color w:val="000000"/>
                <w:sz w:val="16"/>
                <w:szCs w:val="16"/>
              </w:rPr>
            </w:pPr>
            <w:r w:rsidRPr="00F23BB5">
              <w:rPr>
                <w:color w:val="000000"/>
                <w:sz w:val="16"/>
                <w:szCs w:val="16"/>
              </w:rPr>
              <w:t>X</w:t>
            </w:r>
          </w:p>
        </w:tc>
        <w:tc>
          <w:tcPr>
            <w:tcW w:w="1570" w:type="dxa"/>
            <w:tcBorders>
              <w:top w:val="single" w:color="9BC2E6" w:sz="4" w:space="0"/>
              <w:left w:val="nil"/>
              <w:bottom w:val="single" w:color="9BC2E6" w:sz="4" w:space="0"/>
              <w:right w:val="single" w:color="9BC2E6" w:sz="4" w:space="0"/>
            </w:tcBorders>
            <w:shd w:val="clear" w:color="DDEBF7" w:fill="DDEBF7"/>
            <w:noWrap/>
            <w:vAlign w:val="center"/>
            <w:hideMark/>
          </w:tcPr>
          <w:p w:rsidRPr="00F23BB5" w:rsidR="00A26EF3" w:rsidP="00F77A3C" w:rsidRDefault="00A26EF3" w14:paraId="53A11034" w14:textId="77777777">
            <w:pPr>
              <w:spacing w:line="240" w:lineRule="auto"/>
              <w:jc w:val="center"/>
              <w:rPr>
                <w:color w:val="000000"/>
                <w:sz w:val="16"/>
                <w:szCs w:val="16"/>
              </w:rPr>
            </w:pPr>
          </w:p>
        </w:tc>
      </w:tr>
      <w:tr w:rsidRPr="00F23BB5" w:rsidR="00A26EF3" w:rsidTr="00F77A3C" w14:paraId="3A2B8FD3" w14:textId="77777777">
        <w:trPr>
          <w:trHeight w:val="290"/>
        </w:trPr>
        <w:tc>
          <w:tcPr>
            <w:tcW w:w="4106" w:type="dxa"/>
            <w:tcBorders>
              <w:top w:val="single" w:color="9BC2E6" w:sz="4" w:space="0"/>
              <w:left w:val="single" w:color="9BC2E6" w:sz="4" w:space="0"/>
              <w:bottom w:val="single" w:color="9BC2E6" w:sz="4" w:space="0"/>
              <w:right w:val="nil"/>
            </w:tcBorders>
            <w:hideMark/>
          </w:tcPr>
          <w:p w:rsidRPr="00F23BB5" w:rsidR="00A26EF3" w:rsidP="00F77A3C" w:rsidRDefault="00A26EF3" w14:paraId="0346271F" w14:textId="77777777">
            <w:pPr>
              <w:spacing w:line="240" w:lineRule="auto"/>
              <w:jc w:val="left"/>
              <w:rPr>
                <w:color w:val="000000"/>
                <w:sz w:val="16"/>
                <w:szCs w:val="16"/>
              </w:rPr>
            </w:pPr>
            <w:r w:rsidRPr="00F23BB5">
              <w:rPr>
                <w:color w:val="000000"/>
                <w:sz w:val="16"/>
                <w:szCs w:val="16"/>
              </w:rPr>
              <w:t>Dansk Industri (DI)</w:t>
            </w:r>
          </w:p>
        </w:tc>
        <w:tc>
          <w:tcPr>
            <w:tcW w:w="1701" w:type="dxa"/>
            <w:tcBorders>
              <w:top w:val="single" w:color="9BC2E6" w:sz="4" w:space="0"/>
              <w:left w:val="nil"/>
              <w:bottom w:val="single" w:color="9BC2E6" w:sz="4" w:space="0"/>
              <w:right w:val="nil"/>
            </w:tcBorders>
            <w:noWrap/>
            <w:hideMark/>
          </w:tcPr>
          <w:p w:rsidRPr="00F23BB5" w:rsidR="00A26EF3" w:rsidP="00F77A3C" w:rsidRDefault="00A26EF3" w14:paraId="3557726E" w14:textId="77777777">
            <w:pPr>
              <w:spacing w:line="240" w:lineRule="auto"/>
              <w:jc w:val="left"/>
              <w:rPr>
                <w:color w:val="000000"/>
                <w:sz w:val="16"/>
                <w:szCs w:val="16"/>
              </w:rPr>
            </w:pPr>
            <w:r w:rsidRPr="00F23BB5">
              <w:rPr>
                <w:color w:val="000000"/>
                <w:sz w:val="16"/>
                <w:szCs w:val="16"/>
              </w:rPr>
              <w:t>Denmark</w:t>
            </w:r>
          </w:p>
        </w:tc>
        <w:tc>
          <w:tcPr>
            <w:tcW w:w="1843" w:type="dxa"/>
            <w:tcBorders>
              <w:top w:val="single" w:color="9BC2E6" w:sz="4" w:space="0"/>
              <w:left w:val="nil"/>
              <w:bottom w:val="single" w:color="9BC2E6" w:sz="4" w:space="0"/>
              <w:right w:val="nil"/>
            </w:tcBorders>
            <w:noWrap/>
            <w:vAlign w:val="center"/>
            <w:hideMark/>
          </w:tcPr>
          <w:p w:rsidRPr="00F23BB5" w:rsidR="00A26EF3" w:rsidP="00F77A3C" w:rsidRDefault="00A26EF3" w14:paraId="76CDB935" w14:textId="77777777">
            <w:pPr>
              <w:spacing w:line="240" w:lineRule="auto"/>
              <w:jc w:val="center"/>
              <w:rPr>
                <w:color w:val="000000"/>
                <w:sz w:val="16"/>
                <w:szCs w:val="16"/>
              </w:rPr>
            </w:pPr>
            <w:r w:rsidRPr="00F23BB5">
              <w:rPr>
                <w:color w:val="000000"/>
                <w:sz w:val="16"/>
                <w:szCs w:val="16"/>
              </w:rPr>
              <w:t>X</w:t>
            </w:r>
          </w:p>
        </w:tc>
        <w:tc>
          <w:tcPr>
            <w:tcW w:w="1570" w:type="dxa"/>
            <w:tcBorders>
              <w:top w:val="single" w:color="9BC2E6" w:sz="4" w:space="0"/>
              <w:left w:val="nil"/>
              <w:bottom w:val="single" w:color="9BC2E6" w:sz="4" w:space="0"/>
              <w:right w:val="single" w:color="9BC2E6" w:sz="4" w:space="0"/>
            </w:tcBorders>
            <w:noWrap/>
            <w:vAlign w:val="center"/>
            <w:hideMark/>
          </w:tcPr>
          <w:p w:rsidRPr="00F23BB5" w:rsidR="00A26EF3" w:rsidP="00F77A3C" w:rsidRDefault="00A26EF3" w14:paraId="4D470F87" w14:textId="77777777">
            <w:pPr>
              <w:spacing w:line="240" w:lineRule="auto"/>
              <w:jc w:val="center"/>
              <w:rPr>
                <w:color w:val="000000"/>
                <w:sz w:val="16"/>
                <w:szCs w:val="16"/>
              </w:rPr>
            </w:pPr>
          </w:p>
        </w:tc>
      </w:tr>
      <w:tr w:rsidRPr="00F23BB5" w:rsidR="00A26EF3" w:rsidTr="00F77A3C" w14:paraId="67666D63" w14:textId="77777777">
        <w:trPr>
          <w:trHeight w:val="290"/>
        </w:trPr>
        <w:tc>
          <w:tcPr>
            <w:tcW w:w="4106" w:type="dxa"/>
            <w:tcBorders>
              <w:top w:val="single" w:color="9BC2E6" w:sz="4" w:space="0"/>
              <w:left w:val="single" w:color="9BC2E6" w:sz="4" w:space="0"/>
              <w:bottom w:val="single" w:color="9BC2E6" w:sz="4" w:space="0"/>
              <w:right w:val="nil"/>
            </w:tcBorders>
            <w:shd w:val="clear" w:color="DDEBF7" w:fill="DDEBF7"/>
            <w:hideMark/>
          </w:tcPr>
          <w:p w:rsidRPr="00F23BB5" w:rsidR="00A26EF3" w:rsidP="00F77A3C" w:rsidRDefault="00A26EF3" w14:paraId="34396D11" w14:textId="77777777">
            <w:pPr>
              <w:spacing w:line="240" w:lineRule="auto"/>
              <w:jc w:val="left"/>
              <w:rPr>
                <w:color w:val="000000"/>
                <w:sz w:val="16"/>
                <w:szCs w:val="16"/>
              </w:rPr>
            </w:pPr>
            <w:r w:rsidRPr="00F23BB5">
              <w:rPr>
                <w:color w:val="000000"/>
                <w:sz w:val="16"/>
                <w:szCs w:val="16"/>
              </w:rPr>
              <w:t>Datatilsynet</w:t>
            </w:r>
          </w:p>
        </w:tc>
        <w:tc>
          <w:tcPr>
            <w:tcW w:w="1701" w:type="dxa"/>
            <w:tcBorders>
              <w:top w:val="single" w:color="9BC2E6" w:sz="4" w:space="0"/>
              <w:left w:val="nil"/>
              <w:bottom w:val="single" w:color="9BC2E6" w:sz="4" w:space="0"/>
              <w:right w:val="nil"/>
            </w:tcBorders>
            <w:shd w:val="clear" w:color="DDEBF7" w:fill="DDEBF7"/>
            <w:noWrap/>
            <w:hideMark/>
          </w:tcPr>
          <w:p w:rsidRPr="00F23BB5" w:rsidR="00A26EF3" w:rsidP="00F77A3C" w:rsidRDefault="00A26EF3" w14:paraId="1A19EFBB" w14:textId="77777777">
            <w:pPr>
              <w:spacing w:line="240" w:lineRule="auto"/>
              <w:jc w:val="left"/>
              <w:rPr>
                <w:color w:val="000000"/>
                <w:sz w:val="16"/>
                <w:szCs w:val="16"/>
              </w:rPr>
            </w:pPr>
            <w:r w:rsidRPr="00F23BB5">
              <w:rPr>
                <w:color w:val="000000"/>
                <w:sz w:val="16"/>
                <w:szCs w:val="16"/>
              </w:rPr>
              <w:t>Denmark</w:t>
            </w:r>
          </w:p>
        </w:tc>
        <w:tc>
          <w:tcPr>
            <w:tcW w:w="1843" w:type="dxa"/>
            <w:tcBorders>
              <w:top w:val="single" w:color="9BC2E6" w:sz="4" w:space="0"/>
              <w:left w:val="nil"/>
              <w:bottom w:val="single" w:color="9BC2E6" w:sz="4" w:space="0"/>
              <w:right w:val="nil"/>
            </w:tcBorders>
            <w:shd w:val="clear" w:color="DDEBF7" w:fill="DDEBF7"/>
            <w:noWrap/>
            <w:vAlign w:val="center"/>
            <w:hideMark/>
          </w:tcPr>
          <w:p w:rsidRPr="00F23BB5" w:rsidR="00A26EF3" w:rsidP="00F77A3C" w:rsidRDefault="00A26EF3" w14:paraId="700EA881" w14:textId="77777777">
            <w:pPr>
              <w:spacing w:line="240" w:lineRule="auto"/>
              <w:jc w:val="left"/>
              <w:rPr>
                <w:color w:val="000000"/>
                <w:sz w:val="16"/>
                <w:szCs w:val="16"/>
              </w:rPr>
            </w:pPr>
          </w:p>
        </w:tc>
        <w:tc>
          <w:tcPr>
            <w:tcW w:w="1570" w:type="dxa"/>
            <w:tcBorders>
              <w:top w:val="single" w:color="9BC2E6" w:sz="4" w:space="0"/>
              <w:left w:val="nil"/>
              <w:bottom w:val="single" w:color="9BC2E6" w:sz="4" w:space="0"/>
              <w:right w:val="single" w:color="9BC2E6" w:sz="4" w:space="0"/>
            </w:tcBorders>
            <w:shd w:val="clear" w:color="DDEBF7" w:fill="DDEBF7"/>
            <w:noWrap/>
            <w:vAlign w:val="center"/>
            <w:hideMark/>
          </w:tcPr>
          <w:p w:rsidRPr="00F23BB5" w:rsidR="00A26EF3" w:rsidP="00F77A3C" w:rsidRDefault="00A26EF3" w14:paraId="7D635951" w14:textId="77777777">
            <w:pPr>
              <w:spacing w:line="240" w:lineRule="auto"/>
              <w:jc w:val="center"/>
              <w:rPr>
                <w:color w:val="000000"/>
                <w:sz w:val="16"/>
                <w:szCs w:val="16"/>
              </w:rPr>
            </w:pPr>
            <w:r w:rsidRPr="00F23BB5">
              <w:rPr>
                <w:color w:val="000000"/>
                <w:sz w:val="16"/>
                <w:szCs w:val="16"/>
              </w:rPr>
              <w:t>X</w:t>
            </w:r>
          </w:p>
        </w:tc>
      </w:tr>
      <w:tr w:rsidRPr="00F23BB5" w:rsidR="00A26EF3" w:rsidTr="00F77A3C" w14:paraId="50F38175" w14:textId="77777777">
        <w:trPr>
          <w:trHeight w:val="290"/>
        </w:trPr>
        <w:tc>
          <w:tcPr>
            <w:tcW w:w="4106" w:type="dxa"/>
            <w:tcBorders>
              <w:top w:val="single" w:color="9BC2E6" w:sz="4" w:space="0"/>
              <w:left w:val="single" w:color="9BC2E6" w:sz="4" w:space="0"/>
              <w:bottom w:val="single" w:color="9BC2E6" w:sz="4" w:space="0"/>
              <w:right w:val="nil"/>
            </w:tcBorders>
            <w:hideMark/>
          </w:tcPr>
          <w:p w:rsidRPr="00F23BB5" w:rsidR="00A26EF3" w:rsidP="00F77A3C" w:rsidRDefault="00A26EF3" w14:paraId="5F7F5DA2" w14:textId="77777777">
            <w:pPr>
              <w:spacing w:line="240" w:lineRule="auto"/>
              <w:jc w:val="left"/>
              <w:rPr>
                <w:color w:val="000000"/>
                <w:sz w:val="16"/>
                <w:szCs w:val="16"/>
              </w:rPr>
            </w:pPr>
            <w:r w:rsidRPr="00F23BB5">
              <w:rPr>
                <w:color w:val="000000"/>
                <w:sz w:val="16"/>
                <w:szCs w:val="16"/>
              </w:rPr>
              <w:t>Den Nationale Whistleblowerordning  (The National Whistleblower Scheme)</w:t>
            </w:r>
          </w:p>
        </w:tc>
        <w:tc>
          <w:tcPr>
            <w:tcW w:w="1701" w:type="dxa"/>
            <w:tcBorders>
              <w:top w:val="single" w:color="9BC2E6" w:sz="4" w:space="0"/>
              <w:left w:val="nil"/>
              <w:bottom w:val="single" w:color="9BC2E6" w:sz="4" w:space="0"/>
              <w:right w:val="nil"/>
            </w:tcBorders>
            <w:noWrap/>
            <w:hideMark/>
          </w:tcPr>
          <w:p w:rsidRPr="00F23BB5" w:rsidR="00A26EF3" w:rsidP="00F77A3C" w:rsidRDefault="00A26EF3" w14:paraId="3437F48E" w14:textId="77777777">
            <w:pPr>
              <w:spacing w:line="240" w:lineRule="auto"/>
              <w:jc w:val="left"/>
              <w:rPr>
                <w:color w:val="000000"/>
                <w:sz w:val="16"/>
                <w:szCs w:val="16"/>
              </w:rPr>
            </w:pPr>
            <w:r w:rsidRPr="00F23BB5">
              <w:rPr>
                <w:color w:val="000000"/>
                <w:sz w:val="16"/>
                <w:szCs w:val="16"/>
              </w:rPr>
              <w:t>Denmark</w:t>
            </w:r>
          </w:p>
        </w:tc>
        <w:tc>
          <w:tcPr>
            <w:tcW w:w="1843" w:type="dxa"/>
            <w:tcBorders>
              <w:top w:val="single" w:color="9BC2E6" w:sz="4" w:space="0"/>
              <w:left w:val="nil"/>
              <w:bottom w:val="single" w:color="9BC2E6" w:sz="4" w:space="0"/>
              <w:right w:val="nil"/>
            </w:tcBorders>
            <w:noWrap/>
            <w:vAlign w:val="center"/>
            <w:hideMark/>
          </w:tcPr>
          <w:p w:rsidRPr="00F23BB5" w:rsidR="00A26EF3" w:rsidP="00F77A3C" w:rsidRDefault="00A26EF3" w14:paraId="61ADCA38" w14:textId="77777777">
            <w:pPr>
              <w:spacing w:line="240" w:lineRule="auto"/>
              <w:jc w:val="center"/>
              <w:rPr>
                <w:color w:val="000000"/>
                <w:sz w:val="16"/>
                <w:szCs w:val="16"/>
              </w:rPr>
            </w:pPr>
            <w:r w:rsidRPr="00F23BB5">
              <w:rPr>
                <w:color w:val="000000"/>
                <w:sz w:val="16"/>
                <w:szCs w:val="16"/>
              </w:rPr>
              <w:t>X</w:t>
            </w:r>
          </w:p>
        </w:tc>
        <w:tc>
          <w:tcPr>
            <w:tcW w:w="1570" w:type="dxa"/>
            <w:tcBorders>
              <w:top w:val="single" w:color="9BC2E6" w:sz="4" w:space="0"/>
              <w:left w:val="nil"/>
              <w:bottom w:val="single" w:color="9BC2E6" w:sz="4" w:space="0"/>
              <w:right w:val="single" w:color="9BC2E6" w:sz="4" w:space="0"/>
            </w:tcBorders>
            <w:noWrap/>
            <w:vAlign w:val="center"/>
            <w:hideMark/>
          </w:tcPr>
          <w:p w:rsidRPr="00F23BB5" w:rsidR="00A26EF3" w:rsidP="00F77A3C" w:rsidRDefault="00A26EF3" w14:paraId="6333AFFE" w14:textId="77777777">
            <w:pPr>
              <w:spacing w:line="240" w:lineRule="auto"/>
              <w:jc w:val="center"/>
              <w:rPr>
                <w:color w:val="000000"/>
                <w:sz w:val="16"/>
                <w:szCs w:val="16"/>
              </w:rPr>
            </w:pPr>
          </w:p>
        </w:tc>
      </w:tr>
      <w:tr w:rsidRPr="00F23BB5" w:rsidR="00A26EF3" w:rsidTr="00F77A3C" w14:paraId="6C893D6C" w14:textId="77777777">
        <w:trPr>
          <w:trHeight w:val="290"/>
        </w:trPr>
        <w:tc>
          <w:tcPr>
            <w:tcW w:w="4106" w:type="dxa"/>
            <w:tcBorders>
              <w:top w:val="single" w:color="9BC2E6" w:sz="4" w:space="0"/>
              <w:left w:val="single" w:color="9BC2E6" w:sz="4" w:space="0"/>
              <w:bottom w:val="single" w:color="9BC2E6" w:sz="4" w:space="0"/>
              <w:right w:val="nil"/>
            </w:tcBorders>
            <w:shd w:val="clear" w:color="DDEBF7" w:fill="DDEBF7"/>
            <w:hideMark/>
          </w:tcPr>
          <w:p w:rsidRPr="00F23BB5" w:rsidR="00A26EF3" w:rsidP="00F77A3C" w:rsidRDefault="00A26EF3" w14:paraId="28BA4BB5" w14:textId="77777777">
            <w:pPr>
              <w:spacing w:line="240" w:lineRule="auto"/>
              <w:jc w:val="left"/>
              <w:rPr>
                <w:color w:val="000000"/>
                <w:sz w:val="16"/>
                <w:szCs w:val="16"/>
              </w:rPr>
            </w:pPr>
            <w:r w:rsidRPr="00F23BB5">
              <w:rPr>
                <w:color w:val="000000"/>
                <w:sz w:val="16"/>
                <w:szCs w:val="16"/>
              </w:rPr>
              <w:t>Employees' Council (Ansattes Råd) of IDA – The Danish Society of Engineers</w:t>
            </w:r>
          </w:p>
        </w:tc>
        <w:tc>
          <w:tcPr>
            <w:tcW w:w="1701" w:type="dxa"/>
            <w:tcBorders>
              <w:top w:val="single" w:color="9BC2E6" w:sz="4" w:space="0"/>
              <w:left w:val="nil"/>
              <w:bottom w:val="single" w:color="9BC2E6" w:sz="4" w:space="0"/>
              <w:right w:val="nil"/>
            </w:tcBorders>
            <w:shd w:val="clear" w:color="DDEBF7" w:fill="DDEBF7"/>
            <w:noWrap/>
            <w:hideMark/>
          </w:tcPr>
          <w:p w:rsidRPr="00F23BB5" w:rsidR="00A26EF3" w:rsidP="00F77A3C" w:rsidRDefault="00A26EF3" w14:paraId="0DF72F4E" w14:textId="77777777">
            <w:pPr>
              <w:spacing w:line="240" w:lineRule="auto"/>
              <w:jc w:val="left"/>
              <w:rPr>
                <w:color w:val="000000"/>
                <w:sz w:val="16"/>
                <w:szCs w:val="16"/>
              </w:rPr>
            </w:pPr>
            <w:r w:rsidRPr="00F23BB5">
              <w:rPr>
                <w:color w:val="000000"/>
                <w:sz w:val="16"/>
                <w:szCs w:val="16"/>
              </w:rPr>
              <w:t>Denmark</w:t>
            </w:r>
          </w:p>
        </w:tc>
        <w:tc>
          <w:tcPr>
            <w:tcW w:w="1843" w:type="dxa"/>
            <w:tcBorders>
              <w:top w:val="single" w:color="9BC2E6" w:sz="4" w:space="0"/>
              <w:left w:val="nil"/>
              <w:bottom w:val="single" w:color="9BC2E6" w:sz="4" w:space="0"/>
              <w:right w:val="nil"/>
            </w:tcBorders>
            <w:shd w:val="clear" w:color="DDEBF7" w:fill="DDEBF7"/>
            <w:noWrap/>
            <w:vAlign w:val="center"/>
            <w:hideMark/>
          </w:tcPr>
          <w:p w:rsidRPr="00F23BB5" w:rsidR="00A26EF3" w:rsidP="00F77A3C" w:rsidRDefault="00A26EF3" w14:paraId="5EDE80ED" w14:textId="77777777">
            <w:pPr>
              <w:spacing w:line="240" w:lineRule="auto"/>
              <w:jc w:val="left"/>
              <w:rPr>
                <w:color w:val="000000"/>
                <w:sz w:val="16"/>
                <w:szCs w:val="16"/>
              </w:rPr>
            </w:pPr>
          </w:p>
        </w:tc>
        <w:tc>
          <w:tcPr>
            <w:tcW w:w="1570" w:type="dxa"/>
            <w:tcBorders>
              <w:top w:val="single" w:color="9BC2E6" w:sz="4" w:space="0"/>
              <w:left w:val="nil"/>
              <w:bottom w:val="single" w:color="9BC2E6" w:sz="4" w:space="0"/>
              <w:right w:val="single" w:color="9BC2E6" w:sz="4" w:space="0"/>
            </w:tcBorders>
            <w:shd w:val="clear" w:color="DDEBF7" w:fill="DDEBF7"/>
            <w:noWrap/>
            <w:vAlign w:val="center"/>
            <w:hideMark/>
          </w:tcPr>
          <w:p w:rsidRPr="00F23BB5" w:rsidR="00A26EF3" w:rsidP="00F77A3C" w:rsidRDefault="00A26EF3" w14:paraId="1904E9C7" w14:textId="77777777">
            <w:pPr>
              <w:spacing w:line="240" w:lineRule="auto"/>
              <w:jc w:val="center"/>
              <w:rPr>
                <w:color w:val="000000"/>
                <w:sz w:val="16"/>
                <w:szCs w:val="16"/>
              </w:rPr>
            </w:pPr>
            <w:r w:rsidRPr="00F23BB5">
              <w:rPr>
                <w:color w:val="000000"/>
                <w:sz w:val="16"/>
                <w:szCs w:val="16"/>
              </w:rPr>
              <w:t>X</w:t>
            </w:r>
          </w:p>
        </w:tc>
      </w:tr>
      <w:tr w:rsidRPr="00F23BB5" w:rsidR="00A26EF3" w:rsidTr="00F77A3C" w14:paraId="196A9D4B" w14:textId="77777777">
        <w:trPr>
          <w:trHeight w:val="290"/>
        </w:trPr>
        <w:tc>
          <w:tcPr>
            <w:tcW w:w="4106" w:type="dxa"/>
            <w:tcBorders>
              <w:top w:val="single" w:color="9BC2E6" w:sz="4" w:space="0"/>
              <w:left w:val="single" w:color="9BC2E6" w:sz="4" w:space="0"/>
              <w:bottom w:val="single" w:color="9BC2E6" w:sz="4" w:space="0"/>
              <w:right w:val="nil"/>
            </w:tcBorders>
            <w:hideMark/>
          </w:tcPr>
          <w:p w:rsidRPr="00F23BB5" w:rsidR="00A26EF3" w:rsidP="00F77A3C" w:rsidRDefault="00A26EF3" w14:paraId="68065909" w14:textId="77777777">
            <w:pPr>
              <w:spacing w:line="240" w:lineRule="auto"/>
              <w:jc w:val="left"/>
              <w:rPr>
                <w:color w:val="000000"/>
                <w:sz w:val="16"/>
                <w:szCs w:val="16"/>
              </w:rPr>
            </w:pPr>
            <w:r w:rsidRPr="00F23BB5">
              <w:rPr>
                <w:color w:val="000000"/>
                <w:sz w:val="16"/>
                <w:szCs w:val="16"/>
              </w:rPr>
              <w:t>FOA</w:t>
            </w:r>
          </w:p>
        </w:tc>
        <w:tc>
          <w:tcPr>
            <w:tcW w:w="1701" w:type="dxa"/>
            <w:tcBorders>
              <w:top w:val="single" w:color="9BC2E6" w:sz="4" w:space="0"/>
              <w:left w:val="nil"/>
              <w:bottom w:val="single" w:color="9BC2E6" w:sz="4" w:space="0"/>
              <w:right w:val="nil"/>
            </w:tcBorders>
            <w:noWrap/>
            <w:hideMark/>
          </w:tcPr>
          <w:p w:rsidRPr="00F23BB5" w:rsidR="00A26EF3" w:rsidP="00F77A3C" w:rsidRDefault="00A26EF3" w14:paraId="56929166" w14:textId="77777777">
            <w:pPr>
              <w:spacing w:line="240" w:lineRule="auto"/>
              <w:jc w:val="left"/>
              <w:rPr>
                <w:color w:val="000000"/>
                <w:sz w:val="16"/>
                <w:szCs w:val="16"/>
              </w:rPr>
            </w:pPr>
            <w:r w:rsidRPr="00F23BB5">
              <w:rPr>
                <w:color w:val="000000"/>
                <w:sz w:val="16"/>
                <w:szCs w:val="16"/>
              </w:rPr>
              <w:t>Denmark</w:t>
            </w:r>
          </w:p>
        </w:tc>
        <w:tc>
          <w:tcPr>
            <w:tcW w:w="1843" w:type="dxa"/>
            <w:tcBorders>
              <w:top w:val="single" w:color="9BC2E6" w:sz="4" w:space="0"/>
              <w:left w:val="nil"/>
              <w:bottom w:val="single" w:color="9BC2E6" w:sz="4" w:space="0"/>
              <w:right w:val="nil"/>
            </w:tcBorders>
            <w:noWrap/>
            <w:vAlign w:val="center"/>
            <w:hideMark/>
          </w:tcPr>
          <w:p w:rsidRPr="00F23BB5" w:rsidR="00A26EF3" w:rsidP="00F77A3C" w:rsidRDefault="00A26EF3" w14:paraId="4FE0DBCF" w14:textId="77777777">
            <w:pPr>
              <w:spacing w:line="240" w:lineRule="auto"/>
              <w:jc w:val="center"/>
              <w:rPr>
                <w:color w:val="000000"/>
                <w:sz w:val="16"/>
                <w:szCs w:val="16"/>
              </w:rPr>
            </w:pPr>
            <w:r w:rsidRPr="00F23BB5">
              <w:rPr>
                <w:color w:val="000000"/>
                <w:sz w:val="16"/>
                <w:szCs w:val="16"/>
              </w:rPr>
              <w:t>X</w:t>
            </w:r>
          </w:p>
        </w:tc>
        <w:tc>
          <w:tcPr>
            <w:tcW w:w="1570" w:type="dxa"/>
            <w:tcBorders>
              <w:top w:val="single" w:color="9BC2E6" w:sz="4" w:space="0"/>
              <w:left w:val="nil"/>
              <w:bottom w:val="single" w:color="9BC2E6" w:sz="4" w:space="0"/>
              <w:right w:val="single" w:color="9BC2E6" w:sz="4" w:space="0"/>
            </w:tcBorders>
            <w:noWrap/>
            <w:vAlign w:val="center"/>
            <w:hideMark/>
          </w:tcPr>
          <w:p w:rsidRPr="00F23BB5" w:rsidR="00A26EF3" w:rsidP="00F77A3C" w:rsidRDefault="00A26EF3" w14:paraId="005D614E" w14:textId="77777777">
            <w:pPr>
              <w:spacing w:line="240" w:lineRule="auto"/>
              <w:jc w:val="center"/>
              <w:rPr>
                <w:color w:val="000000"/>
                <w:sz w:val="16"/>
                <w:szCs w:val="16"/>
              </w:rPr>
            </w:pPr>
          </w:p>
        </w:tc>
      </w:tr>
      <w:tr w:rsidRPr="00F23BB5" w:rsidR="00A26EF3" w:rsidTr="00F77A3C" w14:paraId="79BFFA50" w14:textId="77777777">
        <w:trPr>
          <w:trHeight w:val="290"/>
        </w:trPr>
        <w:tc>
          <w:tcPr>
            <w:tcW w:w="4106" w:type="dxa"/>
            <w:tcBorders>
              <w:top w:val="single" w:color="9BC2E6" w:sz="4" w:space="0"/>
              <w:left w:val="single" w:color="9BC2E6" w:sz="4" w:space="0"/>
              <w:bottom w:val="single" w:color="9BC2E6" w:sz="4" w:space="0"/>
              <w:right w:val="nil"/>
            </w:tcBorders>
            <w:shd w:val="clear" w:color="DDEBF7" w:fill="DDEBF7"/>
            <w:hideMark/>
          </w:tcPr>
          <w:p w:rsidRPr="00F23BB5" w:rsidR="00A26EF3" w:rsidP="00F77A3C" w:rsidRDefault="00A26EF3" w14:paraId="2A210351" w14:textId="77777777">
            <w:pPr>
              <w:spacing w:line="240" w:lineRule="auto"/>
              <w:jc w:val="left"/>
              <w:rPr>
                <w:color w:val="000000"/>
                <w:sz w:val="16"/>
                <w:szCs w:val="16"/>
              </w:rPr>
            </w:pPr>
            <w:r w:rsidRPr="00F23BB5">
              <w:rPr>
                <w:color w:val="000000"/>
                <w:sz w:val="16"/>
                <w:szCs w:val="16"/>
              </w:rPr>
              <w:t xml:space="preserve">Ingeniørforeningen, IDA – The Danish Society of Engineers </w:t>
            </w:r>
          </w:p>
        </w:tc>
        <w:tc>
          <w:tcPr>
            <w:tcW w:w="1701" w:type="dxa"/>
            <w:tcBorders>
              <w:top w:val="single" w:color="9BC2E6" w:sz="4" w:space="0"/>
              <w:left w:val="nil"/>
              <w:bottom w:val="single" w:color="9BC2E6" w:sz="4" w:space="0"/>
              <w:right w:val="nil"/>
            </w:tcBorders>
            <w:shd w:val="clear" w:color="DDEBF7" w:fill="DDEBF7"/>
            <w:noWrap/>
            <w:hideMark/>
          </w:tcPr>
          <w:p w:rsidRPr="00F23BB5" w:rsidR="00A26EF3" w:rsidP="00F77A3C" w:rsidRDefault="00A26EF3" w14:paraId="4F88FDB1" w14:textId="77777777">
            <w:pPr>
              <w:spacing w:line="240" w:lineRule="auto"/>
              <w:jc w:val="left"/>
              <w:rPr>
                <w:color w:val="000000"/>
                <w:sz w:val="16"/>
                <w:szCs w:val="16"/>
              </w:rPr>
            </w:pPr>
            <w:r w:rsidRPr="00F23BB5">
              <w:rPr>
                <w:color w:val="000000"/>
                <w:sz w:val="16"/>
                <w:szCs w:val="16"/>
              </w:rPr>
              <w:t>Denmark</w:t>
            </w:r>
          </w:p>
        </w:tc>
        <w:tc>
          <w:tcPr>
            <w:tcW w:w="1843" w:type="dxa"/>
            <w:tcBorders>
              <w:top w:val="single" w:color="9BC2E6" w:sz="4" w:space="0"/>
              <w:left w:val="nil"/>
              <w:bottom w:val="single" w:color="9BC2E6" w:sz="4" w:space="0"/>
              <w:right w:val="nil"/>
            </w:tcBorders>
            <w:shd w:val="clear" w:color="DDEBF7" w:fill="DDEBF7"/>
            <w:noWrap/>
            <w:vAlign w:val="center"/>
            <w:hideMark/>
          </w:tcPr>
          <w:p w:rsidRPr="00F23BB5" w:rsidR="00A26EF3" w:rsidP="00F77A3C" w:rsidRDefault="00A26EF3" w14:paraId="5579555A" w14:textId="77777777">
            <w:pPr>
              <w:spacing w:line="240" w:lineRule="auto"/>
              <w:jc w:val="center"/>
              <w:rPr>
                <w:color w:val="000000"/>
                <w:sz w:val="16"/>
                <w:szCs w:val="16"/>
              </w:rPr>
            </w:pPr>
            <w:r w:rsidRPr="00F23BB5">
              <w:rPr>
                <w:color w:val="000000"/>
                <w:sz w:val="16"/>
                <w:szCs w:val="16"/>
              </w:rPr>
              <w:t>X</w:t>
            </w:r>
          </w:p>
        </w:tc>
        <w:tc>
          <w:tcPr>
            <w:tcW w:w="1570" w:type="dxa"/>
            <w:tcBorders>
              <w:top w:val="single" w:color="9BC2E6" w:sz="4" w:space="0"/>
              <w:left w:val="nil"/>
              <w:bottom w:val="single" w:color="9BC2E6" w:sz="4" w:space="0"/>
              <w:right w:val="single" w:color="9BC2E6" w:sz="4" w:space="0"/>
            </w:tcBorders>
            <w:shd w:val="clear" w:color="DDEBF7" w:fill="DDEBF7"/>
            <w:noWrap/>
            <w:vAlign w:val="center"/>
            <w:hideMark/>
          </w:tcPr>
          <w:p w:rsidRPr="00F23BB5" w:rsidR="00A26EF3" w:rsidP="00F77A3C" w:rsidRDefault="00A26EF3" w14:paraId="2ACC46AC" w14:textId="77777777">
            <w:pPr>
              <w:spacing w:line="240" w:lineRule="auto"/>
              <w:jc w:val="center"/>
              <w:rPr>
                <w:color w:val="000000"/>
                <w:sz w:val="16"/>
                <w:szCs w:val="16"/>
              </w:rPr>
            </w:pPr>
            <w:r w:rsidRPr="00F23BB5">
              <w:rPr>
                <w:color w:val="000000"/>
                <w:sz w:val="16"/>
                <w:szCs w:val="16"/>
              </w:rPr>
              <w:t>X</w:t>
            </w:r>
          </w:p>
        </w:tc>
      </w:tr>
      <w:tr w:rsidRPr="00F23BB5" w:rsidR="00A26EF3" w:rsidTr="00F77A3C" w14:paraId="6EBCB406" w14:textId="77777777">
        <w:trPr>
          <w:trHeight w:val="290"/>
        </w:trPr>
        <w:tc>
          <w:tcPr>
            <w:tcW w:w="4106" w:type="dxa"/>
            <w:tcBorders>
              <w:top w:val="single" w:color="9BC2E6" w:sz="4" w:space="0"/>
              <w:left w:val="single" w:color="9BC2E6" w:sz="4" w:space="0"/>
              <w:bottom w:val="single" w:color="9BC2E6" w:sz="4" w:space="0"/>
              <w:right w:val="nil"/>
            </w:tcBorders>
            <w:hideMark/>
          </w:tcPr>
          <w:p w:rsidRPr="00F23BB5" w:rsidR="00A26EF3" w:rsidP="00F77A3C" w:rsidRDefault="00A26EF3" w14:paraId="54F2DA5A" w14:textId="77777777">
            <w:pPr>
              <w:spacing w:line="240" w:lineRule="auto"/>
              <w:jc w:val="left"/>
              <w:rPr>
                <w:color w:val="000000"/>
                <w:sz w:val="16"/>
                <w:szCs w:val="16"/>
              </w:rPr>
            </w:pPr>
            <w:r w:rsidRPr="00F23BB5">
              <w:rPr>
                <w:color w:val="000000"/>
                <w:sz w:val="16"/>
                <w:szCs w:val="16"/>
              </w:rPr>
              <w:t>Investigative Reporting Denmark</w:t>
            </w:r>
          </w:p>
        </w:tc>
        <w:tc>
          <w:tcPr>
            <w:tcW w:w="1701" w:type="dxa"/>
            <w:tcBorders>
              <w:top w:val="single" w:color="9BC2E6" w:sz="4" w:space="0"/>
              <w:left w:val="nil"/>
              <w:bottom w:val="single" w:color="9BC2E6" w:sz="4" w:space="0"/>
              <w:right w:val="nil"/>
            </w:tcBorders>
            <w:noWrap/>
            <w:hideMark/>
          </w:tcPr>
          <w:p w:rsidRPr="00F23BB5" w:rsidR="00A26EF3" w:rsidP="00F77A3C" w:rsidRDefault="00A26EF3" w14:paraId="03AFA250" w14:textId="77777777">
            <w:pPr>
              <w:spacing w:line="240" w:lineRule="auto"/>
              <w:jc w:val="left"/>
              <w:rPr>
                <w:color w:val="000000"/>
                <w:sz w:val="16"/>
                <w:szCs w:val="16"/>
              </w:rPr>
            </w:pPr>
            <w:r w:rsidRPr="00F23BB5">
              <w:rPr>
                <w:color w:val="000000"/>
                <w:sz w:val="16"/>
                <w:szCs w:val="16"/>
              </w:rPr>
              <w:t>Denmark</w:t>
            </w:r>
          </w:p>
        </w:tc>
        <w:tc>
          <w:tcPr>
            <w:tcW w:w="1843" w:type="dxa"/>
            <w:tcBorders>
              <w:top w:val="single" w:color="9BC2E6" w:sz="4" w:space="0"/>
              <w:left w:val="nil"/>
              <w:bottom w:val="single" w:color="9BC2E6" w:sz="4" w:space="0"/>
              <w:right w:val="nil"/>
            </w:tcBorders>
            <w:noWrap/>
            <w:vAlign w:val="center"/>
            <w:hideMark/>
          </w:tcPr>
          <w:p w:rsidRPr="00F23BB5" w:rsidR="00A26EF3" w:rsidP="00F77A3C" w:rsidRDefault="00A26EF3" w14:paraId="03F294F5" w14:textId="77777777">
            <w:pPr>
              <w:spacing w:line="240" w:lineRule="auto"/>
              <w:jc w:val="left"/>
              <w:rPr>
                <w:color w:val="000000"/>
                <w:sz w:val="16"/>
                <w:szCs w:val="16"/>
              </w:rPr>
            </w:pPr>
          </w:p>
        </w:tc>
        <w:tc>
          <w:tcPr>
            <w:tcW w:w="1570" w:type="dxa"/>
            <w:tcBorders>
              <w:top w:val="single" w:color="9BC2E6" w:sz="4" w:space="0"/>
              <w:left w:val="nil"/>
              <w:bottom w:val="single" w:color="9BC2E6" w:sz="4" w:space="0"/>
              <w:right w:val="single" w:color="9BC2E6" w:sz="4" w:space="0"/>
            </w:tcBorders>
            <w:noWrap/>
            <w:vAlign w:val="center"/>
            <w:hideMark/>
          </w:tcPr>
          <w:p w:rsidRPr="00F23BB5" w:rsidR="00A26EF3" w:rsidP="00F77A3C" w:rsidRDefault="00A26EF3" w14:paraId="0C492FD5" w14:textId="77777777">
            <w:pPr>
              <w:spacing w:line="240" w:lineRule="auto"/>
              <w:jc w:val="center"/>
              <w:rPr>
                <w:color w:val="000000"/>
                <w:sz w:val="16"/>
                <w:szCs w:val="16"/>
              </w:rPr>
            </w:pPr>
            <w:r w:rsidRPr="00F23BB5">
              <w:rPr>
                <w:color w:val="000000"/>
                <w:sz w:val="16"/>
                <w:szCs w:val="16"/>
              </w:rPr>
              <w:t>X</w:t>
            </w:r>
          </w:p>
        </w:tc>
      </w:tr>
      <w:tr w:rsidRPr="00F23BB5" w:rsidR="00A26EF3" w:rsidTr="00F77A3C" w14:paraId="2965553E" w14:textId="77777777">
        <w:trPr>
          <w:trHeight w:val="290"/>
        </w:trPr>
        <w:tc>
          <w:tcPr>
            <w:tcW w:w="4106" w:type="dxa"/>
            <w:tcBorders>
              <w:top w:val="single" w:color="9BC2E6" w:sz="4" w:space="0"/>
              <w:left w:val="single" w:color="9BC2E6" w:sz="4" w:space="0"/>
              <w:bottom w:val="single" w:color="9BC2E6" w:sz="4" w:space="0"/>
              <w:right w:val="nil"/>
            </w:tcBorders>
            <w:shd w:val="clear" w:color="DDEBF7" w:fill="DDEBF7"/>
            <w:hideMark/>
          </w:tcPr>
          <w:p w:rsidRPr="00F23BB5" w:rsidR="00A26EF3" w:rsidP="00F77A3C" w:rsidRDefault="00A26EF3" w14:paraId="58534C7B" w14:textId="77777777">
            <w:pPr>
              <w:spacing w:line="240" w:lineRule="auto"/>
              <w:jc w:val="left"/>
              <w:rPr>
                <w:color w:val="000000"/>
                <w:sz w:val="16"/>
                <w:szCs w:val="16"/>
              </w:rPr>
            </w:pPr>
            <w:r w:rsidRPr="00F23BB5">
              <w:rPr>
                <w:color w:val="000000"/>
                <w:sz w:val="16"/>
                <w:szCs w:val="16"/>
              </w:rPr>
              <w:t>KM24 ApS</w:t>
            </w:r>
          </w:p>
        </w:tc>
        <w:tc>
          <w:tcPr>
            <w:tcW w:w="1701" w:type="dxa"/>
            <w:tcBorders>
              <w:top w:val="single" w:color="9BC2E6" w:sz="4" w:space="0"/>
              <w:left w:val="nil"/>
              <w:bottom w:val="single" w:color="9BC2E6" w:sz="4" w:space="0"/>
              <w:right w:val="nil"/>
            </w:tcBorders>
            <w:shd w:val="clear" w:color="DDEBF7" w:fill="DDEBF7"/>
            <w:noWrap/>
            <w:hideMark/>
          </w:tcPr>
          <w:p w:rsidRPr="00F23BB5" w:rsidR="00A26EF3" w:rsidP="00F77A3C" w:rsidRDefault="00A26EF3" w14:paraId="0EA9DFBB" w14:textId="77777777">
            <w:pPr>
              <w:spacing w:line="240" w:lineRule="auto"/>
              <w:jc w:val="left"/>
              <w:rPr>
                <w:color w:val="000000"/>
                <w:sz w:val="16"/>
                <w:szCs w:val="16"/>
              </w:rPr>
            </w:pPr>
            <w:r w:rsidRPr="00F23BB5">
              <w:rPr>
                <w:color w:val="000000"/>
                <w:sz w:val="16"/>
                <w:szCs w:val="16"/>
              </w:rPr>
              <w:t>Denmark</w:t>
            </w:r>
          </w:p>
        </w:tc>
        <w:tc>
          <w:tcPr>
            <w:tcW w:w="1843" w:type="dxa"/>
            <w:tcBorders>
              <w:top w:val="single" w:color="9BC2E6" w:sz="4" w:space="0"/>
              <w:left w:val="nil"/>
              <w:bottom w:val="single" w:color="9BC2E6" w:sz="4" w:space="0"/>
              <w:right w:val="nil"/>
            </w:tcBorders>
            <w:shd w:val="clear" w:color="DDEBF7" w:fill="DDEBF7"/>
            <w:noWrap/>
            <w:vAlign w:val="center"/>
            <w:hideMark/>
          </w:tcPr>
          <w:p w:rsidRPr="00F23BB5" w:rsidR="00A26EF3" w:rsidP="00F77A3C" w:rsidRDefault="00A26EF3" w14:paraId="25F8C2A1" w14:textId="77777777">
            <w:pPr>
              <w:spacing w:line="240" w:lineRule="auto"/>
              <w:jc w:val="center"/>
              <w:rPr>
                <w:color w:val="000000"/>
                <w:sz w:val="16"/>
                <w:szCs w:val="16"/>
              </w:rPr>
            </w:pPr>
            <w:r w:rsidRPr="00F23BB5">
              <w:rPr>
                <w:color w:val="000000"/>
                <w:sz w:val="16"/>
                <w:szCs w:val="16"/>
              </w:rPr>
              <w:t>X</w:t>
            </w:r>
          </w:p>
        </w:tc>
        <w:tc>
          <w:tcPr>
            <w:tcW w:w="1570" w:type="dxa"/>
            <w:tcBorders>
              <w:top w:val="single" w:color="9BC2E6" w:sz="4" w:space="0"/>
              <w:left w:val="nil"/>
              <w:bottom w:val="single" w:color="9BC2E6" w:sz="4" w:space="0"/>
              <w:right w:val="single" w:color="9BC2E6" w:sz="4" w:space="0"/>
            </w:tcBorders>
            <w:shd w:val="clear" w:color="DDEBF7" w:fill="DDEBF7"/>
            <w:noWrap/>
            <w:vAlign w:val="center"/>
            <w:hideMark/>
          </w:tcPr>
          <w:p w:rsidRPr="00F23BB5" w:rsidR="00A26EF3" w:rsidP="00F77A3C" w:rsidRDefault="00A26EF3" w14:paraId="534F6F15" w14:textId="77777777">
            <w:pPr>
              <w:spacing w:line="240" w:lineRule="auto"/>
              <w:jc w:val="center"/>
              <w:rPr>
                <w:color w:val="000000"/>
                <w:sz w:val="16"/>
                <w:szCs w:val="16"/>
              </w:rPr>
            </w:pPr>
          </w:p>
        </w:tc>
      </w:tr>
      <w:tr w:rsidRPr="00F23BB5" w:rsidR="00A26EF3" w:rsidTr="00F77A3C" w14:paraId="1513F983" w14:textId="77777777">
        <w:trPr>
          <w:trHeight w:val="290"/>
        </w:trPr>
        <w:tc>
          <w:tcPr>
            <w:tcW w:w="4106" w:type="dxa"/>
            <w:tcBorders>
              <w:top w:val="single" w:color="9BC2E6" w:sz="4" w:space="0"/>
              <w:left w:val="single" w:color="9BC2E6" w:sz="4" w:space="0"/>
              <w:bottom w:val="single" w:color="9BC2E6" w:sz="4" w:space="0"/>
              <w:right w:val="nil"/>
            </w:tcBorders>
            <w:hideMark/>
          </w:tcPr>
          <w:p w:rsidRPr="00F23BB5" w:rsidR="00A26EF3" w:rsidP="00F77A3C" w:rsidRDefault="00A26EF3" w14:paraId="2F83F27B" w14:textId="77777777">
            <w:pPr>
              <w:spacing w:line="240" w:lineRule="auto"/>
              <w:jc w:val="left"/>
              <w:rPr>
                <w:color w:val="000000"/>
                <w:sz w:val="16"/>
                <w:szCs w:val="16"/>
              </w:rPr>
            </w:pPr>
            <w:r w:rsidRPr="00F23BB5">
              <w:rPr>
                <w:color w:val="000000"/>
                <w:sz w:val="16"/>
                <w:szCs w:val="16"/>
              </w:rPr>
              <w:t>Kræftens Bekæmpelse</w:t>
            </w:r>
          </w:p>
        </w:tc>
        <w:tc>
          <w:tcPr>
            <w:tcW w:w="1701" w:type="dxa"/>
            <w:tcBorders>
              <w:top w:val="single" w:color="9BC2E6" w:sz="4" w:space="0"/>
              <w:left w:val="nil"/>
              <w:bottom w:val="single" w:color="9BC2E6" w:sz="4" w:space="0"/>
              <w:right w:val="nil"/>
            </w:tcBorders>
            <w:noWrap/>
            <w:hideMark/>
          </w:tcPr>
          <w:p w:rsidRPr="00F23BB5" w:rsidR="00A26EF3" w:rsidP="00F77A3C" w:rsidRDefault="00A26EF3" w14:paraId="73FA330B" w14:textId="77777777">
            <w:pPr>
              <w:spacing w:line="240" w:lineRule="auto"/>
              <w:jc w:val="left"/>
              <w:rPr>
                <w:color w:val="000000"/>
                <w:sz w:val="16"/>
                <w:szCs w:val="16"/>
              </w:rPr>
            </w:pPr>
            <w:r w:rsidRPr="00F23BB5">
              <w:rPr>
                <w:color w:val="000000"/>
                <w:sz w:val="16"/>
                <w:szCs w:val="16"/>
              </w:rPr>
              <w:t>Denmark</w:t>
            </w:r>
          </w:p>
        </w:tc>
        <w:tc>
          <w:tcPr>
            <w:tcW w:w="1843" w:type="dxa"/>
            <w:tcBorders>
              <w:top w:val="single" w:color="9BC2E6" w:sz="4" w:space="0"/>
              <w:left w:val="nil"/>
              <w:bottom w:val="single" w:color="9BC2E6" w:sz="4" w:space="0"/>
              <w:right w:val="nil"/>
            </w:tcBorders>
            <w:noWrap/>
            <w:vAlign w:val="center"/>
            <w:hideMark/>
          </w:tcPr>
          <w:p w:rsidRPr="00F23BB5" w:rsidR="00A26EF3" w:rsidP="00F77A3C" w:rsidRDefault="00A26EF3" w14:paraId="60852F72" w14:textId="77777777">
            <w:pPr>
              <w:spacing w:line="240" w:lineRule="auto"/>
              <w:jc w:val="center"/>
              <w:rPr>
                <w:color w:val="000000"/>
                <w:sz w:val="16"/>
                <w:szCs w:val="16"/>
              </w:rPr>
            </w:pPr>
            <w:r w:rsidRPr="00F23BB5">
              <w:rPr>
                <w:color w:val="000000"/>
                <w:sz w:val="16"/>
                <w:szCs w:val="16"/>
              </w:rPr>
              <w:t>X</w:t>
            </w:r>
          </w:p>
        </w:tc>
        <w:tc>
          <w:tcPr>
            <w:tcW w:w="1570" w:type="dxa"/>
            <w:tcBorders>
              <w:top w:val="single" w:color="9BC2E6" w:sz="4" w:space="0"/>
              <w:left w:val="nil"/>
              <w:bottom w:val="single" w:color="9BC2E6" w:sz="4" w:space="0"/>
              <w:right w:val="single" w:color="9BC2E6" w:sz="4" w:space="0"/>
            </w:tcBorders>
            <w:noWrap/>
            <w:vAlign w:val="center"/>
            <w:hideMark/>
          </w:tcPr>
          <w:p w:rsidRPr="00F23BB5" w:rsidR="00A26EF3" w:rsidP="00F77A3C" w:rsidRDefault="00A26EF3" w14:paraId="707A0B64" w14:textId="77777777">
            <w:pPr>
              <w:spacing w:line="240" w:lineRule="auto"/>
              <w:jc w:val="center"/>
              <w:rPr>
                <w:color w:val="000000"/>
                <w:sz w:val="16"/>
                <w:szCs w:val="16"/>
              </w:rPr>
            </w:pPr>
          </w:p>
        </w:tc>
      </w:tr>
      <w:tr w:rsidRPr="00F23BB5" w:rsidR="00A26EF3" w:rsidTr="00F77A3C" w14:paraId="693AA36F" w14:textId="77777777">
        <w:trPr>
          <w:trHeight w:val="290"/>
        </w:trPr>
        <w:tc>
          <w:tcPr>
            <w:tcW w:w="4106" w:type="dxa"/>
            <w:tcBorders>
              <w:top w:val="single" w:color="9BC2E6" w:sz="4" w:space="0"/>
              <w:left w:val="single" w:color="9BC2E6" w:sz="4" w:space="0"/>
              <w:bottom w:val="single" w:color="9BC2E6" w:sz="4" w:space="0"/>
              <w:right w:val="nil"/>
            </w:tcBorders>
            <w:shd w:val="clear" w:color="DDEBF7" w:fill="DDEBF7"/>
            <w:hideMark/>
          </w:tcPr>
          <w:p w:rsidRPr="00F23BB5" w:rsidR="00A26EF3" w:rsidP="00F77A3C" w:rsidRDefault="00A26EF3" w14:paraId="3A57C592" w14:textId="77777777">
            <w:pPr>
              <w:spacing w:line="240" w:lineRule="auto"/>
              <w:jc w:val="left"/>
              <w:rPr>
                <w:color w:val="000000"/>
                <w:sz w:val="16"/>
                <w:szCs w:val="16"/>
              </w:rPr>
            </w:pPr>
            <w:r w:rsidRPr="00F23BB5">
              <w:rPr>
                <w:color w:val="000000"/>
                <w:sz w:val="16"/>
                <w:szCs w:val="16"/>
              </w:rPr>
              <w:t>Miljøstyrelsen</w:t>
            </w:r>
          </w:p>
        </w:tc>
        <w:tc>
          <w:tcPr>
            <w:tcW w:w="1701" w:type="dxa"/>
            <w:tcBorders>
              <w:top w:val="single" w:color="9BC2E6" w:sz="4" w:space="0"/>
              <w:left w:val="nil"/>
              <w:bottom w:val="single" w:color="9BC2E6" w:sz="4" w:space="0"/>
              <w:right w:val="nil"/>
            </w:tcBorders>
            <w:shd w:val="clear" w:color="DDEBF7" w:fill="DDEBF7"/>
            <w:noWrap/>
            <w:hideMark/>
          </w:tcPr>
          <w:p w:rsidRPr="00F23BB5" w:rsidR="00A26EF3" w:rsidP="00F77A3C" w:rsidRDefault="00A26EF3" w14:paraId="5443479B" w14:textId="77777777">
            <w:pPr>
              <w:spacing w:line="240" w:lineRule="auto"/>
              <w:jc w:val="left"/>
              <w:rPr>
                <w:color w:val="000000"/>
                <w:sz w:val="16"/>
                <w:szCs w:val="16"/>
              </w:rPr>
            </w:pPr>
            <w:r w:rsidRPr="00F23BB5">
              <w:rPr>
                <w:color w:val="000000"/>
                <w:sz w:val="16"/>
                <w:szCs w:val="16"/>
              </w:rPr>
              <w:t>Denmark</w:t>
            </w:r>
          </w:p>
        </w:tc>
        <w:tc>
          <w:tcPr>
            <w:tcW w:w="1843" w:type="dxa"/>
            <w:tcBorders>
              <w:top w:val="single" w:color="9BC2E6" w:sz="4" w:space="0"/>
              <w:left w:val="nil"/>
              <w:bottom w:val="single" w:color="9BC2E6" w:sz="4" w:space="0"/>
              <w:right w:val="nil"/>
            </w:tcBorders>
            <w:shd w:val="clear" w:color="DDEBF7" w:fill="DDEBF7"/>
            <w:noWrap/>
            <w:vAlign w:val="center"/>
            <w:hideMark/>
          </w:tcPr>
          <w:p w:rsidRPr="00F23BB5" w:rsidR="00A26EF3" w:rsidP="00F77A3C" w:rsidRDefault="00A26EF3" w14:paraId="341EEFC8" w14:textId="77777777">
            <w:pPr>
              <w:spacing w:line="240" w:lineRule="auto"/>
              <w:jc w:val="center"/>
              <w:rPr>
                <w:color w:val="000000"/>
                <w:sz w:val="16"/>
                <w:szCs w:val="16"/>
              </w:rPr>
            </w:pPr>
            <w:r w:rsidRPr="00F23BB5">
              <w:rPr>
                <w:color w:val="000000"/>
                <w:sz w:val="16"/>
                <w:szCs w:val="16"/>
              </w:rPr>
              <w:t>X</w:t>
            </w:r>
          </w:p>
        </w:tc>
        <w:tc>
          <w:tcPr>
            <w:tcW w:w="1570" w:type="dxa"/>
            <w:tcBorders>
              <w:top w:val="single" w:color="9BC2E6" w:sz="4" w:space="0"/>
              <w:left w:val="nil"/>
              <w:bottom w:val="single" w:color="9BC2E6" w:sz="4" w:space="0"/>
              <w:right w:val="single" w:color="9BC2E6" w:sz="4" w:space="0"/>
            </w:tcBorders>
            <w:shd w:val="clear" w:color="DDEBF7" w:fill="DDEBF7"/>
            <w:noWrap/>
            <w:vAlign w:val="center"/>
            <w:hideMark/>
          </w:tcPr>
          <w:p w:rsidRPr="00F23BB5" w:rsidR="00A26EF3" w:rsidP="00F77A3C" w:rsidRDefault="00A26EF3" w14:paraId="21E1A9C5" w14:textId="77777777">
            <w:pPr>
              <w:spacing w:line="240" w:lineRule="auto"/>
              <w:jc w:val="center"/>
              <w:rPr>
                <w:color w:val="000000"/>
                <w:sz w:val="16"/>
                <w:szCs w:val="16"/>
              </w:rPr>
            </w:pPr>
          </w:p>
        </w:tc>
      </w:tr>
      <w:tr w:rsidRPr="00F23BB5" w:rsidR="00A26EF3" w:rsidTr="00F77A3C" w14:paraId="67ED2A73" w14:textId="77777777">
        <w:trPr>
          <w:trHeight w:val="290"/>
        </w:trPr>
        <w:tc>
          <w:tcPr>
            <w:tcW w:w="4106" w:type="dxa"/>
            <w:tcBorders>
              <w:top w:val="single" w:color="9BC2E6" w:sz="4" w:space="0"/>
              <w:left w:val="single" w:color="9BC2E6" w:sz="4" w:space="0"/>
              <w:bottom w:val="single" w:color="9BC2E6" w:sz="4" w:space="0"/>
              <w:right w:val="nil"/>
            </w:tcBorders>
            <w:hideMark/>
          </w:tcPr>
          <w:p w:rsidRPr="00F23BB5" w:rsidR="00A26EF3" w:rsidP="00F77A3C" w:rsidRDefault="00A26EF3" w14:paraId="099CD45C" w14:textId="77777777">
            <w:pPr>
              <w:spacing w:line="240" w:lineRule="auto"/>
              <w:jc w:val="left"/>
              <w:rPr>
                <w:color w:val="000000"/>
                <w:sz w:val="16"/>
                <w:szCs w:val="16"/>
              </w:rPr>
            </w:pPr>
            <w:r w:rsidRPr="00F23BB5">
              <w:rPr>
                <w:color w:val="000000"/>
                <w:sz w:val="16"/>
                <w:szCs w:val="16"/>
              </w:rPr>
              <w:t xml:space="preserve">Styrelsen for Patientsikkerhed </w:t>
            </w:r>
          </w:p>
        </w:tc>
        <w:tc>
          <w:tcPr>
            <w:tcW w:w="1701" w:type="dxa"/>
            <w:tcBorders>
              <w:top w:val="single" w:color="9BC2E6" w:sz="4" w:space="0"/>
              <w:left w:val="nil"/>
              <w:bottom w:val="single" w:color="9BC2E6" w:sz="4" w:space="0"/>
              <w:right w:val="nil"/>
            </w:tcBorders>
            <w:noWrap/>
            <w:hideMark/>
          </w:tcPr>
          <w:p w:rsidRPr="00F23BB5" w:rsidR="00A26EF3" w:rsidP="00F77A3C" w:rsidRDefault="00A26EF3" w14:paraId="608B8AA3" w14:textId="77777777">
            <w:pPr>
              <w:spacing w:line="240" w:lineRule="auto"/>
              <w:jc w:val="left"/>
              <w:rPr>
                <w:color w:val="000000"/>
                <w:sz w:val="16"/>
                <w:szCs w:val="16"/>
              </w:rPr>
            </w:pPr>
            <w:r w:rsidRPr="00F23BB5">
              <w:rPr>
                <w:color w:val="000000"/>
                <w:sz w:val="16"/>
                <w:szCs w:val="16"/>
              </w:rPr>
              <w:t>Denmark</w:t>
            </w:r>
          </w:p>
        </w:tc>
        <w:tc>
          <w:tcPr>
            <w:tcW w:w="1843" w:type="dxa"/>
            <w:tcBorders>
              <w:top w:val="single" w:color="9BC2E6" w:sz="4" w:space="0"/>
              <w:left w:val="nil"/>
              <w:bottom w:val="single" w:color="9BC2E6" w:sz="4" w:space="0"/>
              <w:right w:val="nil"/>
            </w:tcBorders>
            <w:noWrap/>
            <w:vAlign w:val="center"/>
            <w:hideMark/>
          </w:tcPr>
          <w:p w:rsidRPr="00F23BB5" w:rsidR="00A26EF3" w:rsidP="00F77A3C" w:rsidRDefault="00A26EF3" w14:paraId="6452786A" w14:textId="77777777">
            <w:pPr>
              <w:spacing w:line="240" w:lineRule="auto"/>
              <w:jc w:val="center"/>
              <w:rPr>
                <w:color w:val="000000"/>
                <w:sz w:val="16"/>
                <w:szCs w:val="16"/>
              </w:rPr>
            </w:pPr>
            <w:r w:rsidRPr="00F23BB5">
              <w:rPr>
                <w:color w:val="000000"/>
                <w:sz w:val="16"/>
                <w:szCs w:val="16"/>
              </w:rPr>
              <w:t>X</w:t>
            </w:r>
          </w:p>
        </w:tc>
        <w:tc>
          <w:tcPr>
            <w:tcW w:w="1570" w:type="dxa"/>
            <w:tcBorders>
              <w:top w:val="single" w:color="9BC2E6" w:sz="4" w:space="0"/>
              <w:left w:val="nil"/>
              <w:bottom w:val="single" w:color="9BC2E6" w:sz="4" w:space="0"/>
              <w:right w:val="single" w:color="9BC2E6" w:sz="4" w:space="0"/>
            </w:tcBorders>
            <w:noWrap/>
            <w:vAlign w:val="center"/>
            <w:hideMark/>
          </w:tcPr>
          <w:p w:rsidRPr="00F23BB5" w:rsidR="00A26EF3" w:rsidP="00F77A3C" w:rsidRDefault="00A26EF3" w14:paraId="4AE2553F" w14:textId="77777777">
            <w:pPr>
              <w:spacing w:line="240" w:lineRule="auto"/>
              <w:jc w:val="center"/>
              <w:rPr>
                <w:color w:val="000000"/>
                <w:sz w:val="16"/>
                <w:szCs w:val="16"/>
              </w:rPr>
            </w:pPr>
          </w:p>
        </w:tc>
      </w:tr>
      <w:tr w:rsidRPr="00F23BB5" w:rsidR="00A26EF3" w:rsidTr="00F77A3C" w14:paraId="63AE76A9" w14:textId="77777777">
        <w:trPr>
          <w:trHeight w:val="290"/>
        </w:trPr>
        <w:tc>
          <w:tcPr>
            <w:tcW w:w="4106" w:type="dxa"/>
            <w:tcBorders>
              <w:top w:val="single" w:color="9BC2E6" w:sz="4" w:space="0"/>
              <w:left w:val="single" w:color="9BC2E6" w:sz="4" w:space="0"/>
              <w:bottom w:val="single" w:color="9BC2E6" w:sz="4" w:space="0"/>
              <w:right w:val="nil"/>
            </w:tcBorders>
            <w:shd w:val="clear" w:color="DDEBF7" w:fill="DDEBF7"/>
            <w:hideMark/>
          </w:tcPr>
          <w:p w:rsidRPr="00F23BB5" w:rsidR="00A26EF3" w:rsidP="00F77A3C" w:rsidRDefault="00A26EF3" w14:paraId="10827272" w14:textId="77777777">
            <w:pPr>
              <w:spacing w:line="240" w:lineRule="auto"/>
              <w:jc w:val="left"/>
              <w:rPr>
                <w:color w:val="000000"/>
                <w:sz w:val="16"/>
                <w:szCs w:val="16"/>
              </w:rPr>
            </w:pPr>
            <w:r w:rsidRPr="00F23BB5">
              <w:rPr>
                <w:color w:val="000000"/>
                <w:sz w:val="16"/>
                <w:szCs w:val="16"/>
              </w:rPr>
              <w:t>Transparency International Denmark</w:t>
            </w:r>
          </w:p>
        </w:tc>
        <w:tc>
          <w:tcPr>
            <w:tcW w:w="1701" w:type="dxa"/>
            <w:tcBorders>
              <w:top w:val="single" w:color="9BC2E6" w:sz="4" w:space="0"/>
              <w:left w:val="nil"/>
              <w:bottom w:val="single" w:color="9BC2E6" w:sz="4" w:space="0"/>
              <w:right w:val="nil"/>
            </w:tcBorders>
            <w:shd w:val="clear" w:color="DDEBF7" w:fill="DDEBF7"/>
            <w:noWrap/>
            <w:hideMark/>
          </w:tcPr>
          <w:p w:rsidRPr="00F23BB5" w:rsidR="00A26EF3" w:rsidP="00F77A3C" w:rsidRDefault="00A26EF3" w14:paraId="776D2BC5" w14:textId="77777777">
            <w:pPr>
              <w:spacing w:line="240" w:lineRule="auto"/>
              <w:jc w:val="left"/>
              <w:rPr>
                <w:color w:val="000000"/>
                <w:sz w:val="16"/>
                <w:szCs w:val="16"/>
              </w:rPr>
            </w:pPr>
            <w:r w:rsidRPr="00F23BB5">
              <w:rPr>
                <w:color w:val="000000"/>
                <w:sz w:val="16"/>
                <w:szCs w:val="16"/>
              </w:rPr>
              <w:t>Denmark</w:t>
            </w:r>
          </w:p>
        </w:tc>
        <w:tc>
          <w:tcPr>
            <w:tcW w:w="1843" w:type="dxa"/>
            <w:tcBorders>
              <w:top w:val="single" w:color="9BC2E6" w:sz="4" w:space="0"/>
              <w:left w:val="nil"/>
              <w:bottom w:val="single" w:color="9BC2E6" w:sz="4" w:space="0"/>
              <w:right w:val="nil"/>
            </w:tcBorders>
            <w:shd w:val="clear" w:color="DDEBF7" w:fill="DDEBF7"/>
            <w:noWrap/>
            <w:vAlign w:val="center"/>
            <w:hideMark/>
          </w:tcPr>
          <w:p w:rsidRPr="00F23BB5" w:rsidR="00A26EF3" w:rsidP="00F77A3C" w:rsidRDefault="00A26EF3" w14:paraId="323512C9" w14:textId="77777777">
            <w:pPr>
              <w:spacing w:line="240" w:lineRule="auto"/>
              <w:jc w:val="center"/>
              <w:rPr>
                <w:color w:val="000000"/>
                <w:sz w:val="16"/>
                <w:szCs w:val="16"/>
              </w:rPr>
            </w:pPr>
            <w:r w:rsidRPr="00F23BB5">
              <w:rPr>
                <w:color w:val="000000"/>
                <w:sz w:val="16"/>
                <w:szCs w:val="16"/>
              </w:rPr>
              <w:t>X</w:t>
            </w:r>
          </w:p>
        </w:tc>
        <w:tc>
          <w:tcPr>
            <w:tcW w:w="1570" w:type="dxa"/>
            <w:tcBorders>
              <w:top w:val="single" w:color="9BC2E6" w:sz="4" w:space="0"/>
              <w:left w:val="nil"/>
              <w:bottom w:val="single" w:color="9BC2E6" w:sz="4" w:space="0"/>
              <w:right w:val="single" w:color="9BC2E6" w:sz="4" w:space="0"/>
            </w:tcBorders>
            <w:shd w:val="clear" w:color="DDEBF7" w:fill="DDEBF7"/>
            <w:noWrap/>
            <w:vAlign w:val="center"/>
            <w:hideMark/>
          </w:tcPr>
          <w:p w:rsidRPr="00F23BB5" w:rsidR="00A26EF3" w:rsidP="00F77A3C" w:rsidRDefault="00A26EF3" w14:paraId="391E8A5A" w14:textId="77777777">
            <w:pPr>
              <w:spacing w:line="240" w:lineRule="auto"/>
              <w:jc w:val="center"/>
              <w:rPr>
                <w:color w:val="000000"/>
                <w:sz w:val="16"/>
                <w:szCs w:val="16"/>
              </w:rPr>
            </w:pPr>
            <w:r w:rsidRPr="00F23BB5">
              <w:rPr>
                <w:color w:val="000000"/>
                <w:sz w:val="16"/>
                <w:szCs w:val="16"/>
              </w:rPr>
              <w:t>X</w:t>
            </w:r>
          </w:p>
        </w:tc>
      </w:tr>
      <w:tr w:rsidRPr="00F23BB5" w:rsidR="00A26EF3" w:rsidTr="00F77A3C" w14:paraId="6A879F2C" w14:textId="77777777">
        <w:trPr>
          <w:trHeight w:val="290"/>
        </w:trPr>
        <w:tc>
          <w:tcPr>
            <w:tcW w:w="4106" w:type="dxa"/>
            <w:tcBorders>
              <w:top w:val="single" w:color="9BC2E6" w:sz="4" w:space="0"/>
              <w:left w:val="single" w:color="9BC2E6" w:sz="4" w:space="0"/>
              <w:bottom w:val="single" w:color="9BC2E6" w:sz="4" w:space="0"/>
              <w:right w:val="nil"/>
            </w:tcBorders>
            <w:hideMark/>
          </w:tcPr>
          <w:p w:rsidRPr="00F23BB5" w:rsidR="00A26EF3" w:rsidP="00F77A3C" w:rsidRDefault="00A26EF3" w14:paraId="370B14AD" w14:textId="77777777">
            <w:pPr>
              <w:spacing w:line="240" w:lineRule="auto"/>
              <w:jc w:val="left"/>
              <w:rPr>
                <w:color w:val="000000"/>
                <w:sz w:val="16"/>
                <w:szCs w:val="16"/>
              </w:rPr>
            </w:pPr>
            <w:r w:rsidRPr="00F23BB5">
              <w:rPr>
                <w:color w:val="000000"/>
                <w:sz w:val="16"/>
                <w:szCs w:val="16"/>
              </w:rPr>
              <w:t>Agence française anticorruption (AFA)</w:t>
            </w:r>
          </w:p>
        </w:tc>
        <w:tc>
          <w:tcPr>
            <w:tcW w:w="1701" w:type="dxa"/>
            <w:tcBorders>
              <w:top w:val="single" w:color="9BC2E6" w:sz="4" w:space="0"/>
              <w:left w:val="nil"/>
              <w:bottom w:val="single" w:color="9BC2E6" w:sz="4" w:space="0"/>
              <w:right w:val="nil"/>
            </w:tcBorders>
            <w:noWrap/>
            <w:hideMark/>
          </w:tcPr>
          <w:p w:rsidRPr="00F23BB5" w:rsidR="00A26EF3" w:rsidP="00F77A3C" w:rsidRDefault="00A26EF3" w14:paraId="3F24FE2D" w14:textId="77777777">
            <w:pPr>
              <w:spacing w:line="240" w:lineRule="auto"/>
              <w:jc w:val="left"/>
              <w:rPr>
                <w:color w:val="000000"/>
                <w:sz w:val="16"/>
                <w:szCs w:val="16"/>
              </w:rPr>
            </w:pPr>
            <w:r w:rsidRPr="00F23BB5">
              <w:rPr>
                <w:color w:val="000000"/>
                <w:sz w:val="16"/>
                <w:szCs w:val="16"/>
              </w:rPr>
              <w:t>France</w:t>
            </w:r>
          </w:p>
        </w:tc>
        <w:tc>
          <w:tcPr>
            <w:tcW w:w="1843" w:type="dxa"/>
            <w:tcBorders>
              <w:top w:val="single" w:color="9BC2E6" w:sz="4" w:space="0"/>
              <w:left w:val="nil"/>
              <w:bottom w:val="single" w:color="9BC2E6" w:sz="4" w:space="0"/>
              <w:right w:val="nil"/>
            </w:tcBorders>
            <w:noWrap/>
            <w:vAlign w:val="center"/>
            <w:hideMark/>
          </w:tcPr>
          <w:p w:rsidRPr="00F23BB5" w:rsidR="00A26EF3" w:rsidP="00F77A3C" w:rsidRDefault="00A26EF3" w14:paraId="0937C936" w14:textId="77777777">
            <w:pPr>
              <w:spacing w:line="240" w:lineRule="auto"/>
              <w:jc w:val="center"/>
              <w:rPr>
                <w:color w:val="000000"/>
                <w:sz w:val="16"/>
                <w:szCs w:val="16"/>
              </w:rPr>
            </w:pPr>
            <w:r w:rsidRPr="00F23BB5">
              <w:rPr>
                <w:color w:val="000000"/>
                <w:sz w:val="16"/>
                <w:szCs w:val="16"/>
              </w:rPr>
              <w:t>X</w:t>
            </w:r>
          </w:p>
        </w:tc>
        <w:tc>
          <w:tcPr>
            <w:tcW w:w="1570" w:type="dxa"/>
            <w:tcBorders>
              <w:top w:val="single" w:color="9BC2E6" w:sz="4" w:space="0"/>
              <w:left w:val="nil"/>
              <w:bottom w:val="single" w:color="9BC2E6" w:sz="4" w:space="0"/>
              <w:right w:val="single" w:color="9BC2E6" w:sz="4" w:space="0"/>
            </w:tcBorders>
            <w:noWrap/>
            <w:vAlign w:val="center"/>
            <w:hideMark/>
          </w:tcPr>
          <w:p w:rsidRPr="00F23BB5" w:rsidR="00A26EF3" w:rsidP="00F77A3C" w:rsidRDefault="00A26EF3" w14:paraId="3C2ECD52" w14:textId="77777777">
            <w:pPr>
              <w:spacing w:line="240" w:lineRule="auto"/>
              <w:jc w:val="center"/>
              <w:rPr>
                <w:color w:val="000000"/>
                <w:sz w:val="16"/>
                <w:szCs w:val="16"/>
              </w:rPr>
            </w:pPr>
            <w:r w:rsidRPr="00F23BB5">
              <w:rPr>
                <w:color w:val="000000"/>
                <w:sz w:val="16"/>
                <w:szCs w:val="16"/>
              </w:rPr>
              <w:t>X</w:t>
            </w:r>
          </w:p>
        </w:tc>
      </w:tr>
      <w:tr w:rsidRPr="00F23BB5" w:rsidR="00A26EF3" w:rsidTr="00F77A3C" w14:paraId="76377EE9" w14:textId="77777777">
        <w:trPr>
          <w:trHeight w:val="290"/>
        </w:trPr>
        <w:tc>
          <w:tcPr>
            <w:tcW w:w="4106" w:type="dxa"/>
            <w:tcBorders>
              <w:top w:val="single" w:color="9BC2E6" w:sz="4" w:space="0"/>
              <w:left w:val="single" w:color="9BC2E6" w:sz="4" w:space="0"/>
              <w:bottom w:val="single" w:color="9BC2E6" w:sz="4" w:space="0"/>
              <w:right w:val="nil"/>
            </w:tcBorders>
            <w:shd w:val="clear" w:color="DDEBF7" w:fill="DDEBF7"/>
            <w:hideMark/>
          </w:tcPr>
          <w:p w:rsidRPr="00F23BB5" w:rsidR="00A26EF3" w:rsidP="00F77A3C" w:rsidRDefault="00A26EF3" w14:paraId="6FF259C3" w14:textId="77777777">
            <w:pPr>
              <w:spacing w:line="240" w:lineRule="auto"/>
              <w:jc w:val="left"/>
              <w:rPr>
                <w:color w:val="000000"/>
                <w:sz w:val="16"/>
                <w:szCs w:val="16"/>
              </w:rPr>
            </w:pPr>
            <w:r w:rsidRPr="00F23BB5">
              <w:rPr>
                <w:color w:val="000000"/>
                <w:sz w:val="16"/>
                <w:szCs w:val="16"/>
              </w:rPr>
              <w:t xml:space="preserve">Alertes.me     </w:t>
            </w:r>
          </w:p>
        </w:tc>
        <w:tc>
          <w:tcPr>
            <w:tcW w:w="1701" w:type="dxa"/>
            <w:tcBorders>
              <w:top w:val="single" w:color="9BC2E6" w:sz="4" w:space="0"/>
              <w:left w:val="nil"/>
              <w:bottom w:val="single" w:color="9BC2E6" w:sz="4" w:space="0"/>
              <w:right w:val="nil"/>
            </w:tcBorders>
            <w:shd w:val="clear" w:color="DDEBF7" w:fill="DDEBF7"/>
            <w:noWrap/>
            <w:hideMark/>
          </w:tcPr>
          <w:p w:rsidRPr="00F23BB5" w:rsidR="00A26EF3" w:rsidP="00F77A3C" w:rsidRDefault="00A26EF3" w14:paraId="3F6A7491" w14:textId="77777777">
            <w:pPr>
              <w:spacing w:line="240" w:lineRule="auto"/>
              <w:jc w:val="left"/>
              <w:rPr>
                <w:color w:val="000000"/>
                <w:sz w:val="16"/>
                <w:szCs w:val="16"/>
              </w:rPr>
            </w:pPr>
            <w:r w:rsidRPr="00F23BB5">
              <w:rPr>
                <w:color w:val="000000"/>
                <w:sz w:val="16"/>
                <w:szCs w:val="16"/>
              </w:rPr>
              <w:t>France</w:t>
            </w:r>
          </w:p>
        </w:tc>
        <w:tc>
          <w:tcPr>
            <w:tcW w:w="1843" w:type="dxa"/>
            <w:tcBorders>
              <w:top w:val="single" w:color="9BC2E6" w:sz="4" w:space="0"/>
              <w:left w:val="nil"/>
              <w:bottom w:val="single" w:color="9BC2E6" w:sz="4" w:space="0"/>
              <w:right w:val="nil"/>
            </w:tcBorders>
            <w:shd w:val="clear" w:color="DDEBF7" w:fill="DDEBF7"/>
            <w:noWrap/>
            <w:vAlign w:val="center"/>
            <w:hideMark/>
          </w:tcPr>
          <w:p w:rsidRPr="00F23BB5" w:rsidR="00A26EF3" w:rsidP="00F77A3C" w:rsidRDefault="00A26EF3" w14:paraId="7206B9B6" w14:textId="77777777">
            <w:pPr>
              <w:spacing w:line="240" w:lineRule="auto"/>
              <w:jc w:val="left"/>
              <w:rPr>
                <w:color w:val="000000"/>
                <w:sz w:val="16"/>
                <w:szCs w:val="16"/>
              </w:rPr>
            </w:pPr>
          </w:p>
        </w:tc>
        <w:tc>
          <w:tcPr>
            <w:tcW w:w="1570" w:type="dxa"/>
            <w:tcBorders>
              <w:top w:val="single" w:color="9BC2E6" w:sz="4" w:space="0"/>
              <w:left w:val="nil"/>
              <w:bottom w:val="single" w:color="9BC2E6" w:sz="4" w:space="0"/>
              <w:right w:val="single" w:color="9BC2E6" w:sz="4" w:space="0"/>
            </w:tcBorders>
            <w:shd w:val="clear" w:color="DDEBF7" w:fill="DDEBF7"/>
            <w:noWrap/>
            <w:vAlign w:val="center"/>
            <w:hideMark/>
          </w:tcPr>
          <w:p w:rsidRPr="00F23BB5" w:rsidR="00A26EF3" w:rsidP="00F77A3C" w:rsidRDefault="00A26EF3" w14:paraId="070F6F8F" w14:textId="77777777">
            <w:pPr>
              <w:spacing w:line="240" w:lineRule="auto"/>
              <w:jc w:val="center"/>
              <w:rPr>
                <w:color w:val="000000"/>
                <w:sz w:val="16"/>
                <w:szCs w:val="16"/>
              </w:rPr>
            </w:pPr>
            <w:r w:rsidRPr="00F23BB5">
              <w:rPr>
                <w:color w:val="000000"/>
                <w:sz w:val="16"/>
                <w:szCs w:val="16"/>
              </w:rPr>
              <w:t>X</w:t>
            </w:r>
          </w:p>
        </w:tc>
      </w:tr>
      <w:tr w:rsidRPr="00F23BB5" w:rsidR="00A26EF3" w:rsidTr="00F77A3C" w14:paraId="75CE0138" w14:textId="77777777">
        <w:trPr>
          <w:trHeight w:val="290"/>
        </w:trPr>
        <w:tc>
          <w:tcPr>
            <w:tcW w:w="4106" w:type="dxa"/>
            <w:tcBorders>
              <w:top w:val="single" w:color="9BC2E6" w:sz="4" w:space="0"/>
              <w:left w:val="single" w:color="9BC2E6" w:sz="4" w:space="0"/>
              <w:bottom w:val="single" w:color="9BC2E6" w:sz="4" w:space="0"/>
              <w:right w:val="nil"/>
            </w:tcBorders>
            <w:hideMark/>
          </w:tcPr>
          <w:p w:rsidRPr="00F23BB5" w:rsidR="00A26EF3" w:rsidP="00F77A3C" w:rsidRDefault="00A26EF3" w14:paraId="4A0CB92A" w14:textId="77777777">
            <w:pPr>
              <w:spacing w:line="240" w:lineRule="auto"/>
              <w:jc w:val="left"/>
              <w:rPr>
                <w:color w:val="000000"/>
                <w:sz w:val="16"/>
                <w:szCs w:val="16"/>
              </w:rPr>
            </w:pPr>
            <w:r w:rsidRPr="00F23BB5">
              <w:rPr>
                <w:color w:val="000000"/>
                <w:sz w:val="16"/>
                <w:szCs w:val="16"/>
              </w:rPr>
              <w:t xml:space="preserve">Anticor </w:t>
            </w:r>
          </w:p>
        </w:tc>
        <w:tc>
          <w:tcPr>
            <w:tcW w:w="1701" w:type="dxa"/>
            <w:tcBorders>
              <w:top w:val="single" w:color="9BC2E6" w:sz="4" w:space="0"/>
              <w:left w:val="nil"/>
              <w:bottom w:val="single" w:color="9BC2E6" w:sz="4" w:space="0"/>
              <w:right w:val="nil"/>
            </w:tcBorders>
            <w:noWrap/>
            <w:hideMark/>
          </w:tcPr>
          <w:p w:rsidRPr="00F23BB5" w:rsidR="00A26EF3" w:rsidP="00F77A3C" w:rsidRDefault="00A26EF3" w14:paraId="6528584C" w14:textId="77777777">
            <w:pPr>
              <w:spacing w:line="240" w:lineRule="auto"/>
              <w:jc w:val="left"/>
              <w:rPr>
                <w:color w:val="000000"/>
                <w:sz w:val="16"/>
                <w:szCs w:val="16"/>
              </w:rPr>
            </w:pPr>
            <w:r w:rsidRPr="00F23BB5">
              <w:rPr>
                <w:color w:val="000000"/>
                <w:sz w:val="16"/>
                <w:szCs w:val="16"/>
              </w:rPr>
              <w:t>France</w:t>
            </w:r>
          </w:p>
        </w:tc>
        <w:tc>
          <w:tcPr>
            <w:tcW w:w="1843" w:type="dxa"/>
            <w:tcBorders>
              <w:top w:val="single" w:color="9BC2E6" w:sz="4" w:space="0"/>
              <w:left w:val="nil"/>
              <w:bottom w:val="single" w:color="9BC2E6" w:sz="4" w:space="0"/>
              <w:right w:val="nil"/>
            </w:tcBorders>
            <w:noWrap/>
            <w:vAlign w:val="center"/>
            <w:hideMark/>
          </w:tcPr>
          <w:p w:rsidRPr="00F23BB5" w:rsidR="00A26EF3" w:rsidP="00F77A3C" w:rsidRDefault="00A26EF3" w14:paraId="57D045DB" w14:textId="77777777">
            <w:pPr>
              <w:spacing w:line="240" w:lineRule="auto"/>
              <w:jc w:val="left"/>
              <w:rPr>
                <w:color w:val="000000"/>
                <w:sz w:val="16"/>
                <w:szCs w:val="16"/>
              </w:rPr>
            </w:pPr>
          </w:p>
        </w:tc>
        <w:tc>
          <w:tcPr>
            <w:tcW w:w="1570" w:type="dxa"/>
            <w:tcBorders>
              <w:top w:val="single" w:color="9BC2E6" w:sz="4" w:space="0"/>
              <w:left w:val="nil"/>
              <w:bottom w:val="single" w:color="9BC2E6" w:sz="4" w:space="0"/>
              <w:right w:val="single" w:color="9BC2E6" w:sz="4" w:space="0"/>
            </w:tcBorders>
            <w:noWrap/>
            <w:vAlign w:val="center"/>
            <w:hideMark/>
          </w:tcPr>
          <w:p w:rsidRPr="00F23BB5" w:rsidR="00A26EF3" w:rsidP="00F77A3C" w:rsidRDefault="00A26EF3" w14:paraId="6C14D220" w14:textId="77777777">
            <w:pPr>
              <w:spacing w:line="240" w:lineRule="auto"/>
              <w:jc w:val="center"/>
              <w:rPr>
                <w:color w:val="000000"/>
                <w:sz w:val="16"/>
                <w:szCs w:val="16"/>
              </w:rPr>
            </w:pPr>
            <w:r w:rsidRPr="00F23BB5">
              <w:rPr>
                <w:color w:val="000000"/>
                <w:sz w:val="16"/>
                <w:szCs w:val="16"/>
              </w:rPr>
              <w:t>X</w:t>
            </w:r>
          </w:p>
        </w:tc>
      </w:tr>
      <w:tr w:rsidRPr="00F23BB5" w:rsidR="00A26EF3" w:rsidTr="00F77A3C" w14:paraId="1B0194F7" w14:textId="77777777">
        <w:trPr>
          <w:trHeight w:val="290"/>
        </w:trPr>
        <w:tc>
          <w:tcPr>
            <w:tcW w:w="4106" w:type="dxa"/>
            <w:tcBorders>
              <w:top w:val="single" w:color="9BC2E6" w:sz="4" w:space="0"/>
              <w:left w:val="single" w:color="9BC2E6" w:sz="4" w:space="0"/>
              <w:bottom w:val="single" w:color="9BC2E6" w:sz="4" w:space="0"/>
              <w:right w:val="nil"/>
            </w:tcBorders>
            <w:shd w:val="clear" w:color="DDEBF7" w:fill="DDEBF7"/>
            <w:hideMark/>
          </w:tcPr>
          <w:p w:rsidRPr="00F23BB5" w:rsidR="00A26EF3" w:rsidP="00F77A3C" w:rsidRDefault="00A26EF3" w14:paraId="7B11BB40" w14:textId="77777777">
            <w:pPr>
              <w:spacing w:line="240" w:lineRule="auto"/>
              <w:jc w:val="left"/>
              <w:rPr>
                <w:color w:val="000000"/>
                <w:sz w:val="16"/>
                <w:szCs w:val="16"/>
              </w:rPr>
            </w:pPr>
            <w:r w:rsidRPr="00F23BB5">
              <w:rPr>
                <w:color w:val="000000"/>
                <w:sz w:val="16"/>
                <w:szCs w:val="16"/>
              </w:rPr>
              <w:t>Association Sherpa</w:t>
            </w:r>
          </w:p>
        </w:tc>
        <w:tc>
          <w:tcPr>
            <w:tcW w:w="1701" w:type="dxa"/>
            <w:tcBorders>
              <w:top w:val="single" w:color="9BC2E6" w:sz="4" w:space="0"/>
              <w:left w:val="nil"/>
              <w:bottom w:val="single" w:color="9BC2E6" w:sz="4" w:space="0"/>
              <w:right w:val="nil"/>
            </w:tcBorders>
            <w:shd w:val="clear" w:color="DDEBF7" w:fill="DDEBF7"/>
            <w:noWrap/>
            <w:hideMark/>
          </w:tcPr>
          <w:p w:rsidRPr="00F23BB5" w:rsidR="00A26EF3" w:rsidP="00F77A3C" w:rsidRDefault="00A26EF3" w14:paraId="72497477" w14:textId="77777777">
            <w:pPr>
              <w:spacing w:line="240" w:lineRule="auto"/>
              <w:jc w:val="left"/>
              <w:rPr>
                <w:color w:val="000000"/>
                <w:sz w:val="16"/>
                <w:szCs w:val="16"/>
              </w:rPr>
            </w:pPr>
            <w:r w:rsidRPr="00F23BB5">
              <w:rPr>
                <w:color w:val="000000"/>
                <w:sz w:val="16"/>
                <w:szCs w:val="16"/>
              </w:rPr>
              <w:t>France</w:t>
            </w:r>
          </w:p>
        </w:tc>
        <w:tc>
          <w:tcPr>
            <w:tcW w:w="1843" w:type="dxa"/>
            <w:tcBorders>
              <w:top w:val="single" w:color="9BC2E6" w:sz="4" w:space="0"/>
              <w:left w:val="nil"/>
              <w:bottom w:val="single" w:color="9BC2E6" w:sz="4" w:space="0"/>
              <w:right w:val="nil"/>
            </w:tcBorders>
            <w:shd w:val="clear" w:color="DDEBF7" w:fill="DDEBF7"/>
            <w:noWrap/>
            <w:vAlign w:val="center"/>
            <w:hideMark/>
          </w:tcPr>
          <w:p w:rsidRPr="00F23BB5" w:rsidR="00A26EF3" w:rsidP="00F77A3C" w:rsidRDefault="00A26EF3" w14:paraId="070600EE" w14:textId="77777777">
            <w:pPr>
              <w:spacing w:line="240" w:lineRule="auto"/>
              <w:jc w:val="center"/>
              <w:rPr>
                <w:color w:val="000000"/>
                <w:sz w:val="16"/>
                <w:szCs w:val="16"/>
              </w:rPr>
            </w:pPr>
            <w:r w:rsidRPr="00F23BB5">
              <w:rPr>
                <w:color w:val="000000"/>
                <w:sz w:val="16"/>
                <w:szCs w:val="16"/>
              </w:rPr>
              <w:t>X</w:t>
            </w:r>
          </w:p>
        </w:tc>
        <w:tc>
          <w:tcPr>
            <w:tcW w:w="1570" w:type="dxa"/>
            <w:tcBorders>
              <w:top w:val="single" w:color="9BC2E6" w:sz="4" w:space="0"/>
              <w:left w:val="nil"/>
              <w:bottom w:val="single" w:color="9BC2E6" w:sz="4" w:space="0"/>
              <w:right w:val="single" w:color="9BC2E6" w:sz="4" w:space="0"/>
            </w:tcBorders>
            <w:shd w:val="clear" w:color="DDEBF7" w:fill="DDEBF7"/>
            <w:noWrap/>
            <w:vAlign w:val="center"/>
            <w:hideMark/>
          </w:tcPr>
          <w:p w:rsidRPr="00F23BB5" w:rsidR="00A26EF3" w:rsidP="00F77A3C" w:rsidRDefault="00A26EF3" w14:paraId="0C5E5C24" w14:textId="77777777">
            <w:pPr>
              <w:spacing w:line="240" w:lineRule="auto"/>
              <w:jc w:val="center"/>
              <w:rPr>
                <w:color w:val="000000"/>
                <w:sz w:val="16"/>
                <w:szCs w:val="16"/>
              </w:rPr>
            </w:pPr>
          </w:p>
        </w:tc>
      </w:tr>
      <w:tr w:rsidRPr="00F23BB5" w:rsidR="00A26EF3" w:rsidTr="00F77A3C" w14:paraId="111B30FB" w14:textId="77777777">
        <w:trPr>
          <w:trHeight w:val="290"/>
        </w:trPr>
        <w:tc>
          <w:tcPr>
            <w:tcW w:w="4106" w:type="dxa"/>
            <w:tcBorders>
              <w:top w:val="single" w:color="9BC2E6" w:sz="4" w:space="0"/>
              <w:left w:val="single" w:color="9BC2E6" w:sz="4" w:space="0"/>
              <w:bottom w:val="single" w:color="9BC2E6" w:sz="4" w:space="0"/>
              <w:right w:val="nil"/>
            </w:tcBorders>
            <w:hideMark/>
          </w:tcPr>
          <w:p w:rsidRPr="00063647" w:rsidR="00A26EF3" w:rsidP="00F77A3C" w:rsidRDefault="00A26EF3" w14:paraId="26BC90F0" w14:textId="77777777">
            <w:pPr>
              <w:spacing w:line="240" w:lineRule="auto"/>
              <w:jc w:val="left"/>
              <w:rPr>
                <w:color w:val="000000"/>
                <w:sz w:val="16"/>
                <w:szCs w:val="16"/>
                <w:lang w:val="fr-BE"/>
              </w:rPr>
            </w:pPr>
            <w:r w:rsidRPr="00063647">
              <w:rPr>
                <w:color w:val="000000"/>
                <w:sz w:val="16"/>
                <w:szCs w:val="16"/>
                <w:lang w:val="fr-BE"/>
              </w:rPr>
              <w:t>CFDT - Confédération française démocratique du travail</w:t>
            </w:r>
          </w:p>
        </w:tc>
        <w:tc>
          <w:tcPr>
            <w:tcW w:w="1701" w:type="dxa"/>
            <w:tcBorders>
              <w:top w:val="single" w:color="9BC2E6" w:sz="4" w:space="0"/>
              <w:left w:val="nil"/>
              <w:bottom w:val="single" w:color="9BC2E6" w:sz="4" w:space="0"/>
              <w:right w:val="nil"/>
            </w:tcBorders>
            <w:noWrap/>
            <w:hideMark/>
          </w:tcPr>
          <w:p w:rsidRPr="00F23BB5" w:rsidR="00A26EF3" w:rsidP="00F77A3C" w:rsidRDefault="00A26EF3" w14:paraId="2B110C6C" w14:textId="77777777">
            <w:pPr>
              <w:spacing w:line="240" w:lineRule="auto"/>
              <w:jc w:val="left"/>
              <w:rPr>
                <w:color w:val="000000"/>
                <w:sz w:val="16"/>
                <w:szCs w:val="16"/>
              </w:rPr>
            </w:pPr>
            <w:r w:rsidRPr="00F23BB5">
              <w:rPr>
                <w:color w:val="000000"/>
                <w:sz w:val="16"/>
                <w:szCs w:val="16"/>
              </w:rPr>
              <w:t>France</w:t>
            </w:r>
          </w:p>
        </w:tc>
        <w:tc>
          <w:tcPr>
            <w:tcW w:w="1843" w:type="dxa"/>
            <w:tcBorders>
              <w:top w:val="single" w:color="9BC2E6" w:sz="4" w:space="0"/>
              <w:left w:val="nil"/>
              <w:bottom w:val="single" w:color="9BC2E6" w:sz="4" w:space="0"/>
              <w:right w:val="nil"/>
            </w:tcBorders>
            <w:noWrap/>
            <w:vAlign w:val="center"/>
            <w:hideMark/>
          </w:tcPr>
          <w:p w:rsidRPr="00F23BB5" w:rsidR="00A26EF3" w:rsidP="00F77A3C" w:rsidRDefault="00A26EF3" w14:paraId="48165EC7" w14:textId="77777777">
            <w:pPr>
              <w:spacing w:line="240" w:lineRule="auto"/>
              <w:jc w:val="center"/>
              <w:rPr>
                <w:color w:val="000000"/>
                <w:sz w:val="16"/>
                <w:szCs w:val="16"/>
              </w:rPr>
            </w:pPr>
            <w:r w:rsidRPr="00F23BB5">
              <w:rPr>
                <w:color w:val="000000"/>
                <w:sz w:val="16"/>
                <w:szCs w:val="16"/>
              </w:rPr>
              <w:t>X</w:t>
            </w:r>
          </w:p>
        </w:tc>
        <w:tc>
          <w:tcPr>
            <w:tcW w:w="1570" w:type="dxa"/>
            <w:tcBorders>
              <w:top w:val="single" w:color="9BC2E6" w:sz="4" w:space="0"/>
              <w:left w:val="nil"/>
              <w:bottom w:val="single" w:color="9BC2E6" w:sz="4" w:space="0"/>
              <w:right w:val="single" w:color="9BC2E6" w:sz="4" w:space="0"/>
            </w:tcBorders>
            <w:noWrap/>
            <w:vAlign w:val="center"/>
            <w:hideMark/>
          </w:tcPr>
          <w:p w:rsidRPr="00F23BB5" w:rsidR="00A26EF3" w:rsidP="00F77A3C" w:rsidRDefault="00A26EF3" w14:paraId="1D3EE671" w14:textId="77777777">
            <w:pPr>
              <w:spacing w:line="240" w:lineRule="auto"/>
              <w:jc w:val="center"/>
              <w:rPr>
                <w:color w:val="000000"/>
                <w:sz w:val="16"/>
                <w:szCs w:val="16"/>
              </w:rPr>
            </w:pPr>
            <w:r w:rsidRPr="00F23BB5">
              <w:rPr>
                <w:color w:val="000000"/>
                <w:sz w:val="16"/>
                <w:szCs w:val="16"/>
              </w:rPr>
              <w:t>X</w:t>
            </w:r>
          </w:p>
        </w:tc>
      </w:tr>
      <w:tr w:rsidRPr="00F23BB5" w:rsidR="00A26EF3" w:rsidTr="00F77A3C" w14:paraId="2052976D" w14:textId="77777777">
        <w:trPr>
          <w:trHeight w:val="290"/>
        </w:trPr>
        <w:tc>
          <w:tcPr>
            <w:tcW w:w="4106" w:type="dxa"/>
            <w:tcBorders>
              <w:top w:val="single" w:color="9BC2E6" w:sz="4" w:space="0"/>
              <w:left w:val="single" w:color="9BC2E6" w:sz="4" w:space="0"/>
              <w:bottom w:val="single" w:color="9BC2E6" w:sz="4" w:space="0"/>
              <w:right w:val="nil"/>
            </w:tcBorders>
            <w:shd w:val="clear" w:color="DDEBF7" w:fill="DDEBF7"/>
            <w:hideMark/>
          </w:tcPr>
          <w:p w:rsidRPr="00063647" w:rsidR="00A26EF3" w:rsidP="00F77A3C" w:rsidRDefault="00A26EF3" w14:paraId="5B32BBF0" w14:textId="77777777">
            <w:pPr>
              <w:spacing w:line="240" w:lineRule="auto"/>
              <w:jc w:val="left"/>
              <w:rPr>
                <w:color w:val="000000"/>
                <w:sz w:val="16"/>
                <w:szCs w:val="16"/>
                <w:lang w:val="fr-BE"/>
              </w:rPr>
            </w:pPr>
            <w:r w:rsidRPr="00063647">
              <w:rPr>
                <w:color w:val="000000"/>
                <w:sz w:val="16"/>
                <w:szCs w:val="16"/>
                <w:lang w:val="fr-BE"/>
              </w:rPr>
              <w:t>Confédération française de l'encadrement - Confédération générale des cadres - CFE-CGC</w:t>
            </w:r>
          </w:p>
        </w:tc>
        <w:tc>
          <w:tcPr>
            <w:tcW w:w="1701" w:type="dxa"/>
            <w:tcBorders>
              <w:top w:val="single" w:color="9BC2E6" w:sz="4" w:space="0"/>
              <w:left w:val="nil"/>
              <w:bottom w:val="single" w:color="9BC2E6" w:sz="4" w:space="0"/>
              <w:right w:val="nil"/>
            </w:tcBorders>
            <w:shd w:val="clear" w:color="DDEBF7" w:fill="DDEBF7"/>
            <w:noWrap/>
            <w:hideMark/>
          </w:tcPr>
          <w:p w:rsidRPr="00F23BB5" w:rsidR="00A26EF3" w:rsidP="00F77A3C" w:rsidRDefault="00A26EF3" w14:paraId="4460CD37" w14:textId="77777777">
            <w:pPr>
              <w:spacing w:line="240" w:lineRule="auto"/>
              <w:jc w:val="left"/>
              <w:rPr>
                <w:color w:val="000000"/>
                <w:sz w:val="16"/>
                <w:szCs w:val="16"/>
              </w:rPr>
            </w:pPr>
            <w:r w:rsidRPr="00F23BB5">
              <w:rPr>
                <w:color w:val="000000"/>
                <w:sz w:val="16"/>
                <w:szCs w:val="16"/>
              </w:rPr>
              <w:t>France</w:t>
            </w:r>
          </w:p>
        </w:tc>
        <w:tc>
          <w:tcPr>
            <w:tcW w:w="1843" w:type="dxa"/>
            <w:tcBorders>
              <w:top w:val="single" w:color="9BC2E6" w:sz="4" w:space="0"/>
              <w:left w:val="nil"/>
              <w:bottom w:val="single" w:color="9BC2E6" w:sz="4" w:space="0"/>
              <w:right w:val="nil"/>
            </w:tcBorders>
            <w:shd w:val="clear" w:color="DDEBF7" w:fill="DDEBF7"/>
            <w:noWrap/>
            <w:vAlign w:val="center"/>
            <w:hideMark/>
          </w:tcPr>
          <w:p w:rsidRPr="00F23BB5" w:rsidR="00A26EF3" w:rsidP="00F77A3C" w:rsidRDefault="00A26EF3" w14:paraId="50AD8774" w14:textId="77777777">
            <w:pPr>
              <w:spacing w:line="240" w:lineRule="auto"/>
              <w:jc w:val="center"/>
              <w:rPr>
                <w:color w:val="000000"/>
                <w:sz w:val="16"/>
                <w:szCs w:val="16"/>
              </w:rPr>
            </w:pPr>
            <w:r w:rsidRPr="00F23BB5">
              <w:rPr>
                <w:color w:val="000000"/>
                <w:sz w:val="16"/>
                <w:szCs w:val="16"/>
              </w:rPr>
              <w:t>X</w:t>
            </w:r>
          </w:p>
        </w:tc>
        <w:tc>
          <w:tcPr>
            <w:tcW w:w="1570" w:type="dxa"/>
            <w:tcBorders>
              <w:top w:val="single" w:color="9BC2E6" w:sz="4" w:space="0"/>
              <w:left w:val="nil"/>
              <w:bottom w:val="single" w:color="9BC2E6" w:sz="4" w:space="0"/>
              <w:right w:val="single" w:color="9BC2E6" w:sz="4" w:space="0"/>
            </w:tcBorders>
            <w:shd w:val="clear" w:color="DDEBF7" w:fill="DDEBF7"/>
            <w:noWrap/>
            <w:vAlign w:val="center"/>
            <w:hideMark/>
          </w:tcPr>
          <w:p w:rsidRPr="00F23BB5" w:rsidR="00A26EF3" w:rsidP="00F77A3C" w:rsidRDefault="00A26EF3" w14:paraId="2C324A21" w14:textId="77777777">
            <w:pPr>
              <w:spacing w:line="240" w:lineRule="auto"/>
              <w:jc w:val="center"/>
              <w:rPr>
                <w:color w:val="000000"/>
                <w:sz w:val="16"/>
                <w:szCs w:val="16"/>
              </w:rPr>
            </w:pPr>
            <w:r w:rsidRPr="00F23BB5">
              <w:rPr>
                <w:color w:val="000000"/>
                <w:sz w:val="16"/>
                <w:szCs w:val="16"/>
              </w:rPr>
              <w:t>X</w:t>
            </w:r>
          </w:p>
        </w:tc>
      </w:tr>
      <w:tr w:rsidRPr="00F23BB5" w:rsidR="00A26EF3" w:rsidTr="00F77A3C" w14:paraId="6C366D3E" w14:textId="77777777">
        <w:trPr>
          <w:trHeight w:val="290"/>
        </w:trPr>
        <w:tc>
          <w:tcPr>
            <w:tcW w:w="4106" w:type="dxa"/>
            <w:tcBorders>
              <w:top w:val="single" w:color="9BC2E6" w:sz="4" w:space="0"/>
              <w:left w:val="single" w:color="9BC2E6" w:sz="4" w:space="0"/>
              <w:bottom w:val="single" w:color="9BC2E6" w:sz="4" w:space="0"/>
              <w:right w:val="nil"/>
            </w:tcBorders>
            <w:hideMark/>
          </w:tcPr>
          <w:p w:rsidRPr="00F23BB5" w:rsidR="00A26EF3" w:rsidP="00F77A3C" w:rsidRDefault="00A26EF3" w14:paraId="1B87F65C" w14:textId="77777777">
            <w:pPr>
              <w:spacing w:line="240" w:lineRule="auto"/>
              <w:jc w:val="left"/>
              <w:rPr>
                <w:color w:val="000000"/>
                <w:sz w:val="16"/>
                <w:szCs w:val="16"/>
              </w:rPr>
            </w:pPr>
            <w:r w:rsidRPr="00F23BB5">
              <w:rPr>
                <w:color w:val="000000"/>
                <w:sz w:val="16"/>
                <w:szCs w:val="16"/>
              </w:rPr>
              <w:t>Défenseur des Droits</w:t>
            </w:r>
          </w:p>
        </w:tc>
        <w:tc>
          <w:tcPr>
            <w:tcW w:w="1701" w:type="dxa"/>
            <w:tcBorders>
              <w:top w:val="single" w:color="9BC2E6" w:sz="4" w:space="0"/>
              <w:left w:val="nil"/>
              <w:bottom w:val="single" w:color="9BC2E6" w:sz="4" w:space="0"/>
              <w:right w:val="nil"/>
            </w:tcBorders>
            <w:noWrap/>
            <w:hideMark/>
          </w:tcPr>
          <w:p w:rsidRPr="00F23BB5" w:rsidR="00A26EF3" w:rsidP="00F77A3C" w:rsidRDefault="00A26EF3" w14:paraId="4A02DF05" w14:textId="77777777">
            <w:pPr>
              <w:spacing w:line="240" w:lineRule="auto"/>
              <w:jc w:val="left"/>
              <w:rPr>
                <w:color w:val="000000"/>
                <w:sz w:val="16"/>
                <w:szCs w:val="16"/>
              </w:rPr>
            </w:pPr>
            <w:r w:rsidRPr="00F23BB5">
              <w:rPr>
                <w:color w:val="000000"/>
                <w:sz w:val="16"/>
                <w:szCs w:val="16"/>
              </w:rPr>
              <w:t>France</w:t>
            </w:r>
          </w:p>
        </w:tc>
        <w:tc>
          <w:tcPr>
            <w:tcW w:w="1843" w:type="dxa"/>
            <w:tcBorders>
              <w:top w:val="single" w:color="9BC2E6" w:sz="4" w:space="0"/>
              <w:left w:val="nil"/>
              <w:bottom w:val="single" w:color="9BC2E6" w:sz="4" w:space="0"/>
              <w:right w:val="nil"/>
            </w:tcBorders>
            <w:noWrap/>
            <w:vAlign w:val="center"/>
            <w:hideMark/>
          </w:tcPr>
          <w:p w:rsidRPr="00F23BB5" w:rsidR="00A26EF3" w:rsidP="00F77A3C" w:rsidRDefault="00A26EF3" w14:paraId="6B32941C" w14:textId="77777777">
            <w:pPr>
              <w:spacing w:line="240" w:lineRule="auto"/>
              <w:jc w:val="center"/>
              <w:rPr>
                <w:color w:val="000000"/>
                <w:sz w:val="16"/>
                <w:szCs w:val="16"/>
              </w:rPr>
            </w:pPr>
            <w:r w:rsidRPr="00F23BB5">
              <w:rPr>
                <w:color w:val="000000"/>
                <w:sz w:val="16"/>
                <w:szCs w:val="16"/>
              </w:rPr>
              <w:t>X</w:t>
            </w:r>
          </w:p>
        </w:tc>
        <w:tc>
          <w:tcPr>
            <w:tcW w:w="1570" w:type="dxa"/>
            <w:tcBorders>
              <w:top w:val="single" w:color="9BC2E6" w:sz="4" w:space="0"/>
              <w:left w:val="nil"/>
              <w:bottom w:val="single" w:color="9BC2E6" w:sz="4" w:space="0"/>
              <w:right w:val="single" w:color="9BC2E6" w:sz="4" w:space="0"/>
            </w:tcBorders>
            <w:noWrap/>
            <w:vAlign w:val="center"/>
            <w:hideMark/>
          </w:tcPr>
          <w:p w:rsidRPr="00F23BB5" w:rsidR="00A26EF3" w:rsidP="00F77A3C" w:rsidRDefault="00A26EF3" w14:paraId="0E68F973" w14:textId="77777777">
            <w:pPr>
              <w:spacing w:line="240" w:lineRule="auto"/>
              <w:jc w:val="center"/>
              <w:rPr>
                <w:color w:val="000000"/>
                <w:sz w:val="16"/>
                <w:szCs w:val="16"/>
              </w:rPr>
            </w:pPr>
            <w:r w:rsidRPr="00F23BB5">
              <w:rPr>
                <w:color w:val="000000"/>
                <w:sz w:val="16"/>
                <w:szCs w:val="16"/>
              </w:rPr>
              <w:t>X</w:t>
            </w:r>
          </w:p>
        </w:tc>
      </w:tr>
      <w:tr w:rsidRPr="00F23BB5" w:rsidR="00A26EF3" w:rsidTr="00F77A3C" w14:paraId="0752E841" w14:textId="77777777">
        <w:trPr>
          <w:trHeight w:val="290"/>
        </w:trPr>
        <w:tc>
          <w:tcPr>
            <w:tcW w:w="4106" w:type="dxa"/>
            <w:tcBorders>
              <w:top w:val="single" w:color="9BC2E6" w:sz="4" w:space="0"/>
              <w:left w:val="single" w:color="9BC2E6" w:sz="4" w:space="0"/>
              <w:bottom w:val="single" w:color="9BC2E6" w:sz="4" w:space="0"/>
              <w:right w:val="nil"/>
            </w:tcBorders>
            <w:shd w:val="clear" w:color="DDEBF7" w:fill="DDEBF7"/>
            <w:hideMark/>
          </w:tcPr>
          <w:p w:rsidRPr="00F23BB5" w:rsidR="00A26EF3" w:rsidP="00F77A3C" w:rsidRDefault="00A26EF3" w14:paraId="7F09D3C3" w14:textId="77777777">
            <w:pPr>
              <w:spacing w:line="240" w:lineRule="auto"/>
              <w:jc w:val="left"/>
              <w:rPr>
                <w:color w:val="000000"/>
                <w:sz w:val="16"/>
                <w:szCs w:val="16"/>
              </w:rPr>
            </w:pPr>
            <w:r w:rsidRPr="00F23BB5">
              <w:rPr>
                <w:color w:val="000000"/>
                <w:sz w:val="16"/>
                <w:szCs w:val="16"/>
              </w:rPr>
              <w:t>Disclose</w:t>
            </w:r>
          </w:p>
        </w:tc>
        <w:tc>
          <w:tcPr>
            <w:tcW w:w="1701" w:type="dxa"/>
            <w:tcBorders>
              <w:top w:val="single" w:color="9BC2E6" w:sz="4" w:space="0"/>
              <w:left w:val="nil"/>
              <w:bottom w:val="single" w:color="9BC2E6" w:sz="4" w:space="0"/>
              <w:right w:val="nil"/>
            </w:tcBorders>
            <w:shd w:val="clear" w:color="DDEBF7" w:fill="DDEBF7"/>
            <w:noWrap/>
            <w:hideMark/>
          </w:tcPr>
          <w:p w:rsidRPr="00F23BB5" w:rsidR="00A26EF3" w:rsidP="00F77A3C" w:rsidRDefault="00A26EF3" w14:paraId="370DE3F0" w14:textId="77777777">
            <w:pPr>
              <w:spacing w:line="240" w:lineRule="auto"/>
              <w:jc w:val="left"/>
              <w:rPr>
                <w:color w:val="000000"/>
                <w:sz w:val="16"/>
                <w:szCs w:val="16"/>
              </w:rPr>
            </w:pPr>
            <w:r w:rsidRPr="00F23BB5">
              <w:rPr>
                <w:color w:val="000000"/>
                <w:sz w:val="16"/>
                <w:szCs w:val="16"/>
              </w:rPr>
              <w:t>France</w:t>
            </w:r>
          </w:p>
        </w:tc>
        <w:tc>
          <w:tcPr>
            <w:tcW w:w="1843" w:type="dxa"/>
            <w:tcBorders>
              <w:top w:val="single" w:color="9BC2E6" w:sz="4" w:space="0"/>
              <w:left w:val="nil"/>
              <w:bottom w:val="single" w:color="9BC2E6" w:sz="4" w:space="0"/>
              <w:right w:val="nil"/>
            </w:tcBorders>
            <w:shd w:val="clear" w:color="DDEBF7" w:fill="DDEBF7"/>
            <w:noWrap/>
            <w:vAlign w:val="center"/>
            <w:hideMark/>
          </w:tcPr>
          <w:p w:rsidRPr="00F23BB5" w:rsidR="00A26EF3" w:rsidP="00F77A3C" w:rsidRDefault="00A26EF3" w14:paraId="2AEE5105" w14:textId="77777777">
            <w:pPr>
              <w:spacing w:line="240" w:lineRule="auto"/>
              <w:jc w:val="center"/>
              <w:rPr>
                <w:color w:val="000000"/>
                <w:sz w:val="16"/>
                <w:szCs w:val="16"/>
              </w:rPr>
            </w:pPr>
            <w:r w:rsidRPr="00F23BB5">
              <w:rPr>
                <w:color w:val="000000"/>
                <w:sz w:val="16"/>
                <w:szCs w:val="16"/>
              </w:rPr>
              <w:t>X</w:t>
            </w:r>
          </w:p>
        </w:tc>
        <w:tc>
          <w:tcPr>
            <w:tcW w:w="1570" w:type="dxa"/>
            <w:tcBorders>
              <w:top w:val="single" w:color="9BC2E6" w:sz="4" w:space="0"/>
              <w:left w:val="nil"/>
              <w:bottom w:val="single" w:color="9BC2E6" w:sz="4" w:space="0"/>
              <w:right w:val="single" w:color="9BC2E6" w:sz="4" w:space="0"/>
            </w:tcBorders>
            <w:shd w:val="clear" w:color="DDEBF7" w:fill="DDEBF7"/>
            <w:noWrap/>
            <w:vAlign w:val="center"/>
            <w:hideMark/>
          </w:tcPr>
          <w:p w:rsidRPr="00F23BB5" w:rsidR="00A26EF3" w:rsidP="00F77A3C" w:rsidRDefault="00A26EF3" w14:paraId="13A6F6B3" w14:textId="77777777">
            <w:pPr>
              <w:spacing w:line="240" w:lineRule="auto"/>
              <w:jc w:val="center"/>
              <w:rPr>
                <w:color w:val="000000"/>
                <w:sz w:val="16"/>
                <w:szCs w:val="16"/>
              </w:rPr>
            </w:pPr>
            <w:r w:rsidRPr="00F23BB5">
              <w:rPr>
                <w:color w:val="000000"/>
                <w:sz w:val="16"/>
                <w:szCs w:val="16"/>
              </w:rPr>
              <w:t>X</w:t>
            </w:r>
          </w:p>
        </w:tc>
      </w:tr>
      <w:tr w:rsidRPr="00F23BB5" w:rsidR="00A26EF3" w:rsidTr="00F77A3C" w14:paraId="398F4DC1" w14:textId="77777777">
        <w:trPr>
          <w:trHeight w:val="290"/>
        </w:trPr>
        <w:tc>
          <w:tcPr>
            <w:tcW w:w="4106" w:type="dxa"/>
            <w:tcBorders>
              <w:top w:val="single" w:color="9BC2E6" w:sz="4" w:space="0"/>
              <w:left w:val="single" w:color="9BC2E6" w:sz="4" w:space="0"/>
              <w:bottom w:val="single" w:color="9BC2E6" w:sz="4" w:space="0"/>
              <w:right w:val="nil"/>
            </w:tcBorders>
            <w:hideMark/>
          </w:tcPr>
          <w:p w:rsidRPr="00F23BB5" w:rsidR="00A26EF3" w:rsidP="00F77A3C" w:rsidRDefault="00A26EF3" w14:paraId="12A4B412" w14:textId="77777777">
            <w:pPr>
              <w:spacing w:line="240" w:lineRule="auto"/>
              <w:jc w:val="left"/>
              <w:rPr>
                <w:color w:val="000000"/>
                <w:sz w:val="16"/>
                <w:szCs w:val="16"/>
              </w:rPr>
            </w:pPr>
            <w:r w:rsidRPr="00F23BB5">
              <w:rPr>
                <w:color w:val="000000"/>
                <w:sz w:val="16"/>
                <w:szCs w:val="16"/>
              </w:rPr>
              <w:t>Force Ouvrière (FO)</w:t>
            </w:r>
          </w:p>
        </w:tc>
        <w:tc>
          <w:tcPr>
            <w:tcW w:w="1701" w:type="dxa"/>
            <w:tcBorders>
              <w:top w:val="single" w:color="9BC2E6" w:sz="4" w:space="0"/>
              <w:left w:val="nil"/>
              <w:bottom w:val="single" w:color="9BC2E6" w:sz="4" w:space="0"/>
              <w:right w:val="nil"/>
            </w:tcBorders>
            <w:noWrap/>
            <w:hideMark/>
          </w:tcPr>
          <w:p w:rsidRPr="00F23BB5" w:rsidR="00A26EF3" w:rsidP="00F77A3C" w:rsidRDefault="00A26EF3" w14:paraId="539CE1B1" w14:textId="77777777">
            <w:pPr>
              <w:spacing w:line="240" w:lineRule="auto"/>
              <w:jc w:val="left"/>
              <w:rPr>
                <w:color w:val="000000"/>
                <w:sz w:val="16"/>
                <w:szCs w:val="16"/>
              </w:rPr>
            </w:pPr>
            <w:r w:rsidRPr="00F23BB5">
              <w:rPr>
                <w:color w:val="000000"/>
                <w:sz w:val="16"/>
                <w:szCs w:val="16"/>
              </w:rPr>
              <w:t>France</w:t>
            </w:r>
          </w:p>
        </w:tc>
        <w:tc>
          <w:tcPr>
            <w:tcW w:w="1843" w:type="dxa"/>
            <w:tcBorders>
              <w:top w:val="single" w:color="9BC2E6" w:sz="4" w:space="0"/>
              <w:left w:val="nil"/>
              <w:bottom w:val="single" w:color="9BC2E6" w:sz="4" w:space="0"/>
              <w:right w:val="nil"/>
            </w:tcBorders>
            <w:noWrap/>
            <w:vAlign w:val="center"/>
            <w:hideMark/>
          </w:tcPr>
          <w:p w:rsidRPr="00F23BB5" w:rsidR="00A26EF3" w:rsidP="00F77A3C" w:rsidRDefault="00A26EF3" w14:paraId="448B2442" w14:textId="77777777">
            <w:pPr>
              <w:spacing w:line="240" w:lineRule="auto"/>
              <w:jc w:val="left"/>
              <w:rPr>
                <w:color w:val="000000"/>
                <w:sz w:val="16"/>
                <w:szCs w:val="16"/>
              </w:rPr>
            </w:pPr>
          </w:p>
        </w:tc>
        <w:tc>
          <w:tcPr>
            <w:tcW w:w="1570" w:type="dxa"/>
            <w:tcBorders>
              <w:top w:val="single" w:color="9BC2E6" w:sz="4" w:space="0"/>
              <w:left w:val="nil"/>
              <w:bottom w:val="single" w:color="9BC2E6" w:sz="4" w:space="0"/>
              <w:right w:val="single" w:color="9BC2E6" w:sz="4" w:space="0"/>
            </w:tcBorders>
            <w:noWrap/>
            <w:vAlign w:val="center"/>
            <w:hideMark/>
          </w:tcPr>
          <w:p w:rsidRPr="00F23BB5" w:rsidR="00A26EF3" w:rsidP="00F77A3C" w:rsidRDefault="00A26EF3" w14:paraId="28FAD377" w14:textId="77777777">
            <w:pPr>
              <w:spacing w:line="240" w:lineRule="auto"/>
              <w:jc w:val="center"/>
              <w:rPr>
                <w:color w:val="000000"/>
                <w:sz w:val="16"/>
                <w:szCs w:val="16"/>
              </w:rPr>
            </w:pPr>
            <w:r w:rsidRPr="00F23BB5">
              <w:rPr>
                <w:color w:val="000000"/>
                <w:sz w:val="16"/>
                <w:szCs w:val="16"/>
              </w:rPr>
              <w:t>X</w:t>
            </w:r>
          </w:p>
        </w:tc>
      </w:tr>
      <w:tr w:rsidRPr="00F23BB5" w:rsidR="00A26EF3" w:rsidTr="00F77A3C" w14:paraId="1828D90E" w14:textId="77777777">
        <w:trPr>
          <w:trHeight w:val="290"/>
        </w:trPr>
        <w:tc>
          <w:tcPr>
            <w:tcW w:w="4106" w:type="dxa"/>
            <w:tcBorders>
              <w:top w:val="single" w:color="9BC2E6" w:sz="4" w:space="0"/>
              <w:left w:val="single" w:color="9BC2E6" w:sz="4" w:space="0"/>
              <w:bottom w:val="single" w:color="9BC2E6" w:sz="4" w:space="0"/>
              <w:right w:val="nil"/>
            </w:tcBorders>
            <w:shd w:val="clear" w:color="DDEBF7" w:fill="DDEBF7"/>
            <w:hideMark/>
          </w:tcPr>
          <w:p w:rsidRPr="00F23BB5" w:rsidR="00A26EF3" w:rsidP="00F77A3C" w:rsidRDefault="00A26EF3" w14:paraId="49A6B091" w14:textId="77777777">
            <w:pPr>
              <w:spacing w:line="240" w:lineRule="auto"/>
              <w:jc w:val="left"/>
              <w:rPr>
                <w:color w:val="000000"/>
                <w:sz w:val="16"/>
                <w:szCs w:val="16"/>
              </w:rPr>
            </w:pPr>
            <w:r w:rsidRPr="00F23BB5">
              <w:rPr>
                <w:color w:val="000000"/>
                <w:sz w:val="16"/>
                <w:szCs w:val="16"/>
              </w:rPr>
              <w:t>France Nature Environnement (FNE)</w:t>
            </w:r>
          </w:p>
        </w:tc>
        <w:tc>
          <w:tcPr>
            <w:tcW w:w="1701" w:type="dxa"/>
            <w:tcBorders>
              <w:top w:val="single" w:color="9BC2E6" w:sz="4" w:space="0"/>
              <w:left w:val="nil"/>
              <w:bottom w:val="single" w:color="9BC2E6" w:sz="4" w:space="0"/>
              <w:right w:val="nil"/>
            </w:tcBorders>
            <w:shd w:val="clear" w:color="DDEBF7" w:fill="DDEBF7"/>
            <w:noWrap/>
            <w:hideMark/>
          </w:tcPr>
          <w:p w:rsidRPr="00F23BB5" w:rsidR="00A26EF3" w:rsidP="00F77A3C" w:rsidRDefault="00A26EF3" w14:paraId="1AD08125" w14:textId="77777777">
            <w:pPr>
              <w:spacing w:line="240" w:lineRule="auto"/>
              <w:jc w:val="left"/>
              <w:rPr>
                <w:color w:val="000000"/>
                <w:sz w:val="16"/>
                <w:szCs w:val="16"/>
              </w:rPr>
            </w:pPr>
            <w:r w:rsidRPr="00F23BB5">
              <w:rPr>
                <w:color w:val="000000"/>
                <w:sz w:val="16"/>
                <w:szCs w:val="16"/>
              </w:rPr>
              <w:t>France</w:t>
            </w:r>
          </w:p>
        </w:tc>
        <w:tc>
          <w:tcPr>
            <w:tcW w:w="1843" w:type="dxa"/>
            <w:tcBorders>
              <w:top w:val="single" w:color="9BC2E6" w:sz="4" w:space="0"/>
              <w:left w:val="nil"/>
              <w:bottom w:val="single" w:color="9BC2E6" w:sz="4" w:space="0"/>
              <w:right w:val="nil"/>
            </w:tcBorders>
            <w:shd w:val="clear" w:color="DDEBF7" w:fill="DDEBF7"/>
            <w:noWrap/>
            <w:vAlign w:val="center"/>
            <w:hideMark/>
          </w:tcPr>
          <w:p w:rsidRPr="00F23BB5" w:rsidR="00A26EF3" w:rsidP="00F77A3C" w:rsidRDefault="00A26EF3" w14:paraId="4BF73372" w14:textId="77777777">
            <w:pPr>
              <w:spacing w:line="240" w:lineRule="auto"/>
              <w:jc w:val="left"/>
              <w:rPr>
                <w:color w:val="000000"/>
                <w:sz w:val="16"/>
                <w:szCs w:val="16"/>
              </w:rPr>
            </w:pPr>
          </w:p>
        </w:tc>
        <w:tc>
          <w:tcPr>
            <w:tcW w:w="1570" w:type="dxa"/>
            <w:tcBorders>
              <w:top w:val="single" w:color="9BC2E6" w:sz="4" w:space="0"/>
              <w:left w:val="nil"/>
              <w:bottom w:val="single" w:color="9BC2E6" w:sz="4" w:space="0"/>
              <w:right w:val="single" w:color="9BC2E6" w:sz="4" w:space="0"/>
            </w:tcBorders>
            <w:shd w:val="clear" w:color="DDEBF7" w:fill="DDEBF7"/>
            <w:noWrap/>
            <w:vAlign w:val="center"/>
            <w:hideMark/>
          </w:tcPr>
          <w:p w:rsidRPr="00F23BB5" w:rsidR="00A26EF3" w:rsidP="00F77A3C" w:rsidRDefault="00A26EF3" w14:paraId="657D6F6F" w14:textId="77777777">
            <w:pPr>
              <w:spacing w:line="240" w:lineRule="auto"/>
              <w:jc w:val="center"/>
              <w:rPr>
                <w:color w:val="000000"/>
                <w:sz w:val="16"/>
                <w:szCs w:val="16"/>
              </w:rPr>
            </w:pPr>
            <w:r w:rsidRPr="00F23BB5">
              <w:rPr>
                <w:color w:val="000000"/>
                <w:sz w:val="16"/>
                <w:szCs w:val="16"/>
              </w:rPr>
              <w:t>X</w:t>
            </w:r>
          </w:p>
        </w:tc>
      </w:tr>
      <w:tr w:rsidRPr="00F23BB5" w:rsidR="00A26EF3" w:rsidTr="00F77A3C" w14:paraId="6ED3806D" w14:textId="77777777">
        <w:trPr>
          <w:trHeight w:val="290"/>
        </w:trPr>
        <w:tc>
          <w:tcPr>
            <w:tcW w:w="4106" w:type="dxa"/>
            <w:tcBorders>
              <w:top w:val="single" w:color="9BC2E6" w:sz="4" w:space="0"/>
              <w:left w:val="single" w:color="9BC2E6" w:sz="4" w:space="0"/>
              <w:bottom w:val="single" w:color="9BC2E6" w:sz="4" w:space="0"/>
              <w:right w:val="nil"/>
            </w:tcBorders>
            <w:hideMark/>
          </w:tcPr>
          <w:p w:rsidRPr="00063647" w:rsidR="00A26EF3" w:rsidP="00F77A3C" w:rsidRDefault="00A26EF3" w14:paraId="721BBEDB" w14:textId="77777777">
            <w:pPr>
              <w:spacing w:line="240" w:lineRule="auto"/>
              <w:jc w:val="left"/>
              <w:rPr>
                <w:color w:val="000000"/>
                <w:sz w:val="16"/>
                <w:szCs w:val="16"/>
                <w:lang w:val="fr-BE"/>
              </w:rPr>
            </w:pPr>
            <w:r w:rsidRPr="00063647">
              <w:rPr>
                <w:color w:val="000000"/>
                <w:sz w:val="16"/>
                <w:szCs w:val="16"/>
                <w:lang w:val="fr-BE"/>
              </w:rPr>
              <w:t>La Maison des Lanceurs d’Alerte</w:t>
            </w:r>
          </w:p>
        </w:tc>
        <w:tc>
          <w:tcPr>
            <w:tcW w:w="1701" w:type="dxa"/>
            <w:tcBorders>
              <w:top w:val="single" w:color="9BC2E6" w:sz="4" w:space="0"/>
              <w:left w:val="nil"/>
              <w:bottom w:val="single" w:color="9BC2E6" w:sz="4" w:space="0"/>
              <w:right w:val="nil"/>
            </w:tcBorders>
            <w:noWrap/>
            <w:hideMark/>
          </w:tcPr>
          <w:p w:rsidRPr="00F23BB5" w:rsidR="00A26EF3" w:rsidP="00F77A3C" w:rsidRDefault="00A26EF3" w14:paraId="2D75D06B" w14:textId="77777777">
            <w:pPr>
              <w:spacing w:line="240" w:lineRule="auto"/>
              <w:jc w:val="left"/>
              <w:rPr>
                <w:color w:val="000000"/>
                <w:sz w:val="16"/>
                <w:szCs w:val="16"/>
              </w:rPr>
            </w:pPr>
            <w:r w:rsidRPr="00F23BB5">
              <w:rPr>
                <w:color w:val="000000"/>
                <w:sz w:val="16"/>
                <w:szCs w:val="16"/>
              </w:rPr>
              <w:t>France</w:t>
            </w:r>
          </w:p>
        </w:tc>
        <w:tc>
          <w:tcPr>
            <w:tcW w:w="1843" w:type="dxa"/>
            <w:tcBorders>
              <w:top w:val="single" w:color="9BC2E6" w:sz="4" w:space="0"/>
              <w:left w:val="nil"/>
              <w:bottom w:val="single" w:color="9BC2E6" w:sz="4" w:space="0"/>
              <w:right w:val="nil"/>
            </w:tcBorders>
            <w:noWrap/>
            <w:vAlign w:val="center"/>
            <w:hideMark/>
          </w:tcPr>
          <w:p w:rsidRPr="00F23BB5" w:rsidR="00A26EF3" w:rsidP="00F77A3C" w:rsidRDefault="00A26EF3" w14:paraId="1BC97243" w14:textId="77777777">
            <w:pPr>
              <w:spacing w:line="240" w:lineRule="auto"/>
              <w:jc w:val="left"/>
              <w:rPr>
                <w:color w:val="000000"/>
                <w:sz w:val="16"/>
                <w:szCs w:val="16"/>
              </w:rPr>
            </w:pPr>
          </w:p>
        </w:tc>
        <w:tc>
          <w:tcPr>
            <w:tcW w:w="1570" w:type="dxa"/>
            <w:tcBorders>
              <w:top w:val="single" w:color="9BC2E6" w:sz="4" w:space="0"/>
              <w:left w:val="nil"/>
              <w:bottom w:val="single" w:color="9BC2E6" w:sz="4" w:space="0"/>
              <w:right w:val="single" w:color="9BC2E6" w:sz="4" w:space="0"/>
            </w:tcBorders>
            <w:noWrap/>
            <w:vAlign w:val="center"/>
            <w:hideMark/>
          </w:tcPr>
          <w:p w:rsidRPr="00F23BB5" w:rsidR="00A26EF3" w:rsidP="00F77A3C" w:rsidRDefault="00A26EF3" w14:paraId="1A314291" w14:textId="77777777">
            <w:pPr>
              <w:spacing w:line="240" w:lineRule="auto"/>
              <w:jc w:val="center"/>
              <w:rPr>
                <w:color w:val="000000"/>
                <w:sz w:val="16"/>
                <w:szCs w:val="16"/>
              </w:rPr>
            </w:pPr>
            <w:r w:rsidRPr="00F23BB5">
              <w:rPr>
                <w:color w:val="000000"/>
                <w:sz w:val="16"/>
                <w:szCs w:val="16"/>
              </w:rPr>
              <w:t>X</w:t>
            </w:r>
          </w:p>
        </w:tc>
      </w:tr>
      <w:tr w:rsidRPr="00F23BB5" w:rsidR="00A26EF3" w:rsidTr="00F77A3C" w14:paraId="111D12F3" w14:textId="77777777">
        <w:trPr>
          <w:trHeight w:val="290"/>
        </w:trPr>
        <w:tc>
          <w:tcPr>
            <w:tcW w:w="4106" w:type="dxa"/>
            <w:tcBorders>
              <w:top w:val="single" w:color="9BC2E6" w:sz="4" w:space="0"/>
              <w:left w:val="single" w:color="9BC2E6" w:sz="4" w:space="0"/>
              <w:bottom w:val="single" w:color="9BC2E6" w:sz="4" w:space="0"/>
              <w:right w:val="nil"/>
            </w:tcBorders>
            <w:shd w:val="clear" w:color="DDEBF7" w:fill="DDEBF7"/>
            <w:hideMark/>
          </w:tcPr>
          <w:p w:rsidRPr="00063647" w:rsidR="00A26EF3" w:rsidP="00F77A3C" w:rsidRDefault="00A26EF3" w14:paraId="42F2C7F0" w14:textId="77777777">
            <w:pPr>
              <w:spacing w:line="240" w:lineRule="auto"/>
              <w:jc w:val="left"/>
              <w:rPr>
                <w:color w:val="000000"/>
                <w:sz w:val="16"/>
                <w:szCs w:val="16"/>
                <w:lang w:val="fr-BE"/>
              </w:rPr>
            </w:pPr>
            <w:r w:rsidRPr="00063647">
              <w:rPr>
                <w:color w:val="000000"/>
                <w:sz w:val="16"/>
                <w:szCs w:val="16"/>
                <w:lang w:val="fr-BE"/>
              </w:rPr>
              <w:t>Ligue des Droits de l'Homme (LDH)</w:t>
            </w:r>
          </w:p>
        </w:tc>
        <w:tc>
          <w:tcPr>
            <w:tcW w:w="1701" w:type="dxa"/>
            <w:tcBorders>
              <w:top w:val="single" w:color="9BC2E6" w:sz="4" w:space="0"/>
              <w:left w:val="nil"/>
              <w:bottom w:val="single" w:color="9BC2E6" w:sz="4" w:space="0"/>
              <w:right w:val="nil"/>
            </w:tcBorders>
            <w:shd w:val="clear" w:color="DDEBF7" w:fill="DDEBF7"/>
            <w:noWrap/>
            <w:hideMark/>
          </w:tcPr>
          <w:p w:rsidRPr="00F23BB5" w:rsidR="00A26EF3" w:rsidP="00F77A3C" w:rsidRDefault="00A26EF3" w14:paraId="76ED2337" w14:textId="77777777">
            <w:pPr>
              <w:spacing w:line="240" w:lineRule="auto"/>
              <w:jc w:val="left"/>
              <w:rPr>
                <w:color w:val="000000"/>
                <w:sz w:val="16"/>
                <w:szCs w:val="16"/>
              </w:rPr>
            </w:pPr>
            <w:r w:rsidRPr="00F23BB5">
              <w:rPr>
                <w:color w:val="000000"/>
                <w:sz w:val="16"/>
                <w:szCs w:val="16"/>
              </w:rPr>
              <w:t>France</w:t>
            </w:r>
          </w:p>
        </w:tc>
        <w:tc>
          <w:tcPr>
            <w:tcW w:w="1843" w:type="dxa"/>
            <w:tcBorders>
              <w:top w:val="single" w:color="9BC2E6" w:sz="4" w:space="0"/>
              <w:left w:val="nil"/>
              <w:bottom w:val="single" w:color="9BC2E6" w:sz="4" w:space="0"/>
              <w:right w:val="nil"/>
            </w:tcBorders>
            <w:shd w:val="clear" w:color="DDEBF7" w:fill="DDEBF7"/>
            <w:noWrap/>
            <w:vAlign w:val="center"/>
            <w:hideMark/>
          </w:tcPr>
          <w:p w:rsidRPr="00F23BB5" w:rsidR="00A26EF3" w:rsidP="00F77A3C" w:rsidRDefault="00A26EF3" w14:paraId="026CFDCE" w14:textId="77777777">
            <w:pPr>
              <w:spacing w:line="240" w:lineRule="auto"/>
              <w:jc w:val="left"/>
              <w:rPr>
                <w:color w:val="000000"/>
                <w:sz w:val="16"/>
                <w:szCs w:val="16"/>
              </w:rPr>
            </w:pPr>
          </w:p>
        </w:tc>
        <w:tc>
          <w:tcPr>
            <w:tcW w:w="1570" w:type="dxa"/>
            <w:tcBorders>
              <w:top w:val="single" w:color="9BC2E6" w:sz="4" w:space="0"/>
              <w:left w:val="nil"/>
              <w:bottom w:val="single" w:color="9BC2E6" w:sz="4" w:space="0"/>
              <w:right w:val="single" w:color="9BC2E6" w:sz="4" w:space="0"/>
            </w:tcBorders>
            <w:shd w:val="clear" w:color="DDEBF7" w:fill="DDEBF7"/>
            <w:noWrap/>
            <w:vAlign w:val="center"/>
            <w:hideMark/>
          </w:tcPr>
          <w:p w:rsidRPr="00F23BB5" w:rsidR="00A26EF3" w:rsidP="00F77A3C" w:rsidRDefault="00A26EF3" w14:paraId="2A516F06" w14:textId="77777777">
            <w:pPr>
              <w:spacing w:line="240" w:lineRule="auto"/>
              <w:jc w:val="center"/>
              <w:rPr>
                <w:color w:val="000000"/>
                <w:sz w:val="16"/>
                <w:szCs w:val="16"/>
              </w:rPr>
            </w:pPr>
            <w:r w:rsidRPr="00F23BB5">
              <w:rPr>
                <w:color w:val="000000"/>
                <w:sz w:val="16"/>
                <w:szCs w:val="16"/>
              </w:rPr>
              <w:t>X</w:t>
            </w:r>
          </w:p>
        </w:tc>
      </w:tr>
      <w:tr w:rsidRPr="00F23BB5" w:rsidR="00A26EF3" w:rsidTr="00F77A3C" w14:paraId="6C204002" w14:textId="77777777">
        <w:trPr>
          <w:trHeight w:val="290"/>
        </w:trPr>
        <w:tc>
          <w:tcPr>
            <w:tcW w:w="4106" w:type="dxa"/>
            <w:tcBorders>
              <w:top w:val="single" w:color="9BC2E6" w:sz="4" w:space="0"/>
              <w:left w:val="single" w:color="9BC2E6" w:sz="4" w:space="0"/>
              <w:bottom w:val="single" w:color="9BC2E6" w:sz="4" w:space="0"/>
              <w:right w:val="nil"/>
            </w:tcBorders>
            <w:hideMark/>
          </w:tcPr>
          <w:p w:rsidRPr="00F23BB5" w:rsidR="00A26EF3" w:rsidP="00F77A3C" w:rsidRDefault="00A26EF3" w14:paraId="236CAF9F" w14:textId="77777777">
            <w:pPr>
              <w:spacing w:line="240" w:lineRule="auto"/>
              <w:jc w:val="left"/>
              <w:rPr>
                <w:color w:val="000000"/>
                <w:sz w:val="16"/>
                <w:szCs w:val="16"/>
              </w:rPr>
            </w:pPr>
            <w:r w:rsidRPr="00F23BB5">
              <w:rPr>
                <w:color w:val="000000"/>
                <w:sz w:val="16"/>
                <w:szCs w:val="16"/>
              </w:rPr>
              <w:t>Ministère de la Justice</w:t>
            </w:r>
          </w:p>
        </w:tc>
        <w:tc>
          <w:tcPr>
            <w:tcW w:w="1701" w:type="dxa"/>
            <w:tcBorders>
              <w:top w:val="single" w:color="9BC2E6" w:sz="4" w:space="0"/>
              <w:left w:val="nil"/>
              <w:bottom w:val="single" w:color="9BC2E6" w:sz="4" w:space="0"/>
              <w:right w:val="nil"/>
            </w:tcBorders>
            <w:noWrap/>
            <w:hideMark/>
          </w:tcPr>
          <w:p w:rsidRPr="00F23BB5" w:rsidR="00A26EF3" w:rsidP="00F77A3C" w:rsidRDefault="00A26EF3" w14:paraId="1B9A3B35" w14:textId="77777777">
            <w:pPr>
              <w:spacing w:line="240" w:lineRule="auto"/>
              <w:jc w:val="left"/>
              <w:rPr>
                <w:color w:val="000000"/>
                <w:sz w:val="16"/>
                <w:szCs w:val="16"/>
              </w:rPr>
            </w:pPr>
            <w:r w:rsidRPr="00F23BB5">
              <w:rPr>
                <w:color w:val="000000"/>
                <w:sz w:val="16"/>
                <w:szCs w:val="16"/>
              </w:rPr>
              <w:t>France</w:t>
            </w:r>
          </w:p>
        </w:tc>
        <w:tc>
          <w:tcPr>
            <w:tcW w:w="1843" w:type="dxa"/>
            <w:tcBorders>
              <w:top w:val="single" w:color="9BC2E6" w:sz="4" w:space="0"/>
              <w:left w:val="nil"/>
              <w:bottom w:val="single" w:color="9BC2E6" w:sz="4" w:space="0"/>
              <w:right w:val="nil"/>
            </w:tcBorders>
            <w:noWrap/>
            <w:vAlign w:val="center"/>
            <w:hideMark/>
          </w:tcPr>
          <w:p w:rsidRPr="00F23BB5" w:rsidR="00A26EF3" w:rsidP="00F77A3C" w:rsidRDefault="00A26EF3" w14:paraId="06DE2EEF" w14:textId="77777777">
            <w:pPr>
              <w:spacing w:line="240" w:lineRule="auto"/>
              <w:jc w:val="left"/>
              <w:rPr>
                <w:color w:val="000000"/>
                <w:sz w:val="16"/>
                <w:szCs w:val="16"/>
              </w:rPr>
            </w:pPr>
          </w:p>
        </w:tc>
        <w:tc>
          <w:tcPr>
            <w:tcW w:w="1570" w:type="dxa"/>
            <w:tcBorders>
              <w:top w:val="single" w:color="9BC2E6" w:sz="4" w:space="0"/>
              <w:left w:val="nil"/>
              <w:bottom w:val="single" w:color="9BC2E6" w:sz="4" w:space="0"/>
              <w:right w:val="single" w:color="9BC2E6" w:sz="4" w:space="0"/>
            </w:tcBorders>
            <w:noWrap/>
            <w:vAlign w:val="center"/>
            <w:hideMark/>
          </w:tcPr>
          <w:p w:rsidRPr="00F23BB5" w:rsidR="00A26EF3" w:rsidP="00F77A3C" w:rsidRDefault="00A26EF3" w14:paraId="14BB2FAA" w14:textId="77777777">
            <w:pPr>
              <w:spacing w:line="240" w:lineRule="auto"/>
              <w:jc w:val="center"/>
              <w:rPr>
                <w:color w:val="000000"/>
                <w:sz w:val="16"/>
                <w:szCs w:val="16"/>
              </w:rPr>
            </w:pPr>
            <w:r w:rsidRPr="00F23BB5">
              <w:rPr>
                <w:color w:val="000000"/>
                <w:sz w:val="16"/>
                <w:szCs w:val="16"/>
              </w:rPr>
              <w:t>X</w:t>
            </w:r>
          </w:p>
        </w:tc>
      </w:tr>
      <w:tr w:rsidRPr="00F23BB5" w:rsidR="00A26EF3" w:rsidTr="00F77A3C" w14:paraId="35450409" w14:textId="77777777">
        <w:trPr>
          <w:trHeight w:val="290"/>
        </w:trPr>
        <w:tc>
          <w:tcPr>
            <w:tcW w:w="4106" w:type="dxa"/>
            <w:tcBorders>
              <w:top w:val="single" w:color="9BC2E6" w:sz="4" w:space="0"/>
              <w:left w:val="single" w:color="9BC2E6" w:sz="4" w:space="0"/>
              <w:bottom w:val="single" w:color="9BC2E6" w:sz="4" w:space="0"/>
              <w:right w:val="nil"/>
            </w:tcBorders>
            <w:shd w:val="clear" w:color="DDEBF7" w:fill="DDEBF7"/>
            <w:hideMark/>
          </w:tcPr>
          <w:p w:rsidRPr="00063647" w:rsidR="00A26EF3" w:rsidP="00F77A3C" w:rsidRDefault="00A26EF3" w14:paraId="2C446FDC" w14:textId="77777777">
            <w:pPr>
              <w:spacing w:line="240" w:lineRule="auto"/>
              <w:jc w:val="left"/>
              <w:rPr>
                <w:color w:val="000000"/>
                <w:sz w:val="16"/>
                <w:szCs w:val="16"/>
                <w:lang w:val="fr-BE"/>
              </w:rPr>
            </w:pPr>
            <w:r w:rsidRPr="00063647">
              <w:rPr>
                <w:color w:val="000000"/>
                <w:sz w:val="16"/>
                <w:szCs w:val="16"/>
                <w:lang w:val="fr-BE"/>
              </w:rPr>
              <w:t>Rencontres annuelles des lanceurs d'alerte</w:t>
            </w:r>
          </w:p>
        </w:tc>
        <w:tc>
          <w:tcPr>
            <w:tcW w:w="1701" w:type="dxa"/>
            <w:tcBorders>
              <w:top w:val="single" w:color="9BC2E6" w:sz="4" w:space="0"/>
              <w:left w:val="nil"/>
              <w:bottom w:val="single" w:color="9BC2E6" w:sz="4" w:space="0"/>
              <w:right w:val="nil"/>
            </w:tcBorders>
            <w:shd w:val="clear" w:color="DDEBF7" w:fill="DDEBF7"/>
            <w:noWrap/>
            <w:hideMark/>
          </w:tcPr>
          <w:p w:rsidRPr="00F23BB5" w:rsidR="00A26EF3" w:rsidP="00F77A3C" w:rsidRDefault="00A26EF3" w14:paraId="58840A63" w14:textId="77777777">
            <w:pPr>
              <w:spacing w:line="240" w:lineRule="auto"/>
              <w:jc w:val="left"/>
              <w:rPr>
                <w:color w:val="000000"/>
                <w:sz w:val="16"/>
                <w:szCs w:val="16"/>
              </w:rPr>
            </w:pPr>
            <w:r w:rsidRPr="00F23BB5">
              <w:rPr>
                <w:color w:val="000000"/>
                <w:sz w:val="16"/>
                <w:szCs w:val="16"/>
              </w:rPr>
              <w:t>France</w:t>
            </w:r>
          </w:p>
        </w:tc>
        <w:tc>
          <w:tcPr>
            <w:tcW w:w="1843" w:type="dxa"/>
            <w:tcBorders>
              <w:top w:val="single" w:color="9BC2E6" w:sz="4" w:space="0"/>
              <w:left w:val="nil"/>
              <w:bottom w:val="single" w:color="9BC2E6" w:sz="4" w:space="0"/>
              <w:right w:val="nil"/>
            </w:tcBorders>
            <w:shd w:val="clear" w:color="DDEBF7" w:fill="DDEBF7"/>
            <w:noWrap/>
            <w:vAlign w:val="center"/>
            <w:hideMark/>
          </w:tcPr>
          <w:p w:rsidRPr="00F23BB5" w:rsidR="00A26EF3" w:rsidP="00F77A3C" w:rsidRDefault="00A26EF3" w14:paraId="5C8F4C08" w14:textId="77777777">
            <w:pPr>
              <w:spacing w:line="240" w:lineRule="auto"/>
              <w:jc w:val="left"/>
              <w:rPr>
                <w:color w:val="000000"/>
                <w:sz w:val="16"/>
                <w:szCs w:val="16"/>
              </w:rPr>
            </w:pPr>
          </w:p>
        </w:tc>
        <w:tc>
          <w:tcPr>
            <w:tcW w:w="1570" w:type="dxa"/>
            <w:tcBorders>
              <w:top w:val="single" w:color="9BC2E6" w:sz="4" w:space="0"/>
              <w:left w:val="nil"/>
              <w:bottom w:val="single" w:color="9BC2E6" w:sz="4" w:space="0"/>
              <w:right w:val="single" w:color="9BC2E6" w:sz="4" w:space="0"/>
            </w:tcBorders>
            <w:shd w:val="clear" w:color="DDEBF7" w:fill="DDEBF7"/>
            <w:noWrap/>
            <w:vAlign w:val="center"/>
            <w:hideMark/>
          </w:tcPr>
          <w:p w:rsidRPr="00F23BB5" w:rsidR="00A26EF3" w:rsidP="00F77A3C" w:rsidRDefault="00A26EF3" w14:paraId="0064C778" w14:textId="77777777">
            <w:pPr>
              <w:spacing w:line="240" w:lineRule="auto"/>
              <w:jc w:val="center"/>
              <w:rPr>
                <w:color w:val="000000"/>
                <w:sz w:val="16"/>
                <w:szCs w:val="16"/>
              </w:rPr>
            </w:pPr>
            <w:r w:rsidRPr="00F23BB5">
              <w:rPr>
                <w:color w:val="000000"/>
                <w:sz w:val="16"/>
                <w:szCs w:val="16"/>
              </w:rPr>
              <w:t>X</w:t>
            </w:r>
          </w:p>
        </w:tc>
      </w:tr>
      <w:tr w:rsidRPr="00F23BB5" w:rsidR="00A26EF3" w:rsidTr="00F77A3C" w14:paraId="76759927" w14:textId="77777777">
        <w:trPr>
          <w:trHeight w:val="290"/>
        </w:trPr>
        <w:tc>
          <w:tcPr>
            <w:tcW w:w="4106" w:type="dxa"/>
            <w:tcBorders>
              <w:top w:val="single" w:color="9BC2E6" w:sz="4" w:space="0"/>
              <w:left w:val="single" w:color="9BC2E6" w:sz="4" w:space="0"/>
              <w:bottom w:val="single" w:color="9BC2E6" w:sz="4" w:space="0"/>
              <w:right w:val="nil"/>
            </w:tcBorders>
            <w:hideMark/>
          </w:tcPr>
          <w:p w:rsidRPr="00063647" w:rsidR="00A26EF3" w:rsidP="00F77A3C" w:rsidRDefault="00A26EF3" w14:paraId="33B8A503" w14:textId="77777777">
            <w:pPr>
              <w:spacing w:line="240" w:lineRule="auto"/>
              <w:jc w:val="left"/>
              <w:rPr>
                <w:color w:val="000000"/>
                <w:sz w:val="16"/>
                <w:szCs w:val="16"/>
                <w:lang w:val="fr-BE"/>
              </w:rPr>
            </w:pPr>
            <w:r w:rsidRPr="00063647">
              <w:rPr>
                <w:color w:val="000000"/>
                <w:sz w:val="16"/>
                <w:szCs w:val="16"/>
                <w:lang w:val="fr-BE"/>
              </w:rPr>
              <w:t>Secrétariat général des affaires européennes</w:t>
            </w:r>
          </w:p>
        </w:tc>
        <w:tc>
          <w:tcPr>
            <w:tcW w:w="1701" w:type="dxa"/>
            <w:tcBorders>
              <w:top w:val="single" w:color="9BC2E6" w:sz="4" w:space="0"/>
              <w:left w:val="nil"/>
              <w:bottom w:val="single" w:color="9BC2E6" w:sz="4" w:space="0"/>
              <w:right w:val="nil"/>
            </w:tcBorders>
            <w:noWrap/>
            <w:hideMark/>
          </w:tcPr>
          <w:p w:rsidRPr="00F23BB5" w:rsidR="00A26EF3" w:rsidP="00F77A3C" w:rsidRDefault="00A26EF3" w14:paraId="4D9F40DA" w14:textId="77777777">
            <w:pPr>
              <w:spacing w:line="240" w:lineRule="auto"/>
              <w:jc w:val="left"/>
              <w:rPr>
                <w:color w:val="000000"/>
                <w:sz w:val="16"/>
                <w:szCs w:val="16"/>
              </w:rPr>
            </w:pPr>
            <w:r w:rsidRPr="00F23BB5">
              <w:rPr>
                <w:color w:val="000000"/>
                <w:sz w:val="16"/>
                <w:szCs w:val="16"/>
              </w:rPr>
              <w:t>France</w:t>
            </w:r>
          </w:p>
        </w:tc>
        <w:tc>
          <w:tcPr>
            <w:tcW w:w="1843" w:type="dxa"/>
            <w:tcBorders>
              <w:top w:val="single" w:color="9BC2E6" w:sz="4" w:space="0"/>
              <w:left w:val="nil"/>
              <w:bottom w:val="single" w:color="9BC2E6" w:sz="4" w:space="0"/>
              <w:right w:val="nil"/>
            </w:tcBorders>
            <w:noWrap/>
            <w:vAlign w:val="center"/>
            <w:hideMark/>
          </w:tcPr>
          <w:p w:rsidRPr="00F23BB5" w:rsidR="00A26EF3" w:rsidP="00F77A3C" w:rsidRDefault="00A26EF3" w14:paraId="7187C016" w14:textId="77777777">
            <w:pPr>
              <w:spacing w:line="240" w:lineRule="auto"/>
              <w:jc w:val="left"/>
              <w:rPr>
                <w:color w:val="000000"/>
                <w:sz w:val="16"/>
                <w:szCs w:val="16"/>
              </w:rPr>
            </w:pPr>
          </w:p>
        </w:tc>
        <w:tc>
          <w:tcPr>
            <w:tcW w:w="1570" w:type="dxa"/>
            <w:tcBorders>
              <w:top w:val="single" w:color="9BC2E6" w:sz="4" w:space="0"/>
              <w:left w:val="nil"/>
              <w:bottom w:val="single" w:color="9BC2E6" w:sz="4" w:space="0"/>
              <w:right w:val="single" w:color="9BC2E6" w:sz="4" w:space="0"/>
            </w:tcBorders>
            <w:noWrap/>
            <w:vAlign w:val="center"/>
            <w:hideMark/>
          </w:tcPr>
          <w:p w:rsidRPr="00F23BB5" w:rsidR="00A26EF3" w:rsidP="00F77A3C" w:rsidRDefault="00A26EF3" w14:paraId="7FE10479" w14:textId="77777777">
            <w:pPr>
              <w:spacing w:line="240" w:lineRule="auto"/>
              <w:jc w:val="center"/>
              <w:rPr>
                <w:color w:val="000000"/>
                <w:sz w:val="16"/>
                <w:szCs w:val="16"/>
              </w:rPr>
            </w:pPr>
            <w:r w:rsidRPr="00F23BB5">
              <w:rPr>
                <w:color w:val="000000"/>
                <w:sz w:val="16"/>
                <w:szCs w:val="16"/>
              </w:rPr>
              <w:t>X</w:t>
            </w:r>
          </w:p>
        </w:tc>
      </w:tr>
      <w:tr w:rsidRPr="00F23BB5" w:rsidR="00A26EF3" w:rsidTr="00F77A3C" w14:paraId="3543B0CB" w14:textId="77777777">
        <w:trPr>
          <w:trHeight w:val="290"/>
        </w:trPr>
        <w:tc>
          <w:tcPr>
            <w:tcW w:w="4106" w:type="dxa"/>
            <w:tcBorders>
              <w:top w:val="single" w:color="9BC2E6" w:sz="4" w:space="0"/>
              <w:left w:val="single" w:color="9BC2E6" w:sz="4" w:space="0"/>
              <w:bottom w:val="single" w:color="9BC2E6" w:sz="4" w:space="0"/>
              <w:right w:val="nil"/>
            </w:tcBorders>
            <w:shd w:val="clear" w:color="DDEBF7" w:fill="DDEBF7"/>
            <w:hideMark/>
          </w:tcPr>
          <w:p w:rsidRPr="00063647" w:rsidR="00A26EF3" w:rsidP="00F77A3C" w:rsidRDefault="00A26EF3" w14:paraId="18816F79" w14:textId="77777777">
            <w:pPr>
              <w:spacing w:line="240" w:lineRule="auto"/>
              <w:jc w:val="left"/>
              <w:rPr>
                <w:color w:val="000000"/>
                <w:sz w:val="16"/>
                <w:szCs w:val="16"/>
                <w:lang w:val="fr-BE"/>
              </w:rPr>
            </w:pPr>
            <w:r w:rsidRPr="00063647">
              <w:rPr>
                <w:color w:val="000000"/>
                <w:sz w:val="16"/>
                <w:szCs w:val="16"/>
                <w:lang w:val="fr-BE"/>
              </w:rPr>
              <w:t>Syndicat national des journalistes (SNJ)</w:t>
            </w:r>
          </w:p>
        </w:tc>
        <w:tc>
          <w:tcPr>
            <w:tcW w:w="1701" w:type="dxa"/>
            <w:tcBorders>
              <w:top w:val="single" w:color="9BC2E6" w:sz="4" w:space="0"/>
              <w:left w:val="nil"/>
              <w:bottom w:val="single" w:color="9BC2E6" w:sz="4" w:space="0"/>
              <w:right w:val="nil"/>
            </w:tcBorders>
            <w:shd w:val="clear" w:color="DDEBF7" w:fill="DDEBF7"/>
            <w:noWrap/>
            <w:hideMark/>
          </w:tcPr>
          <w:p w:rsidRPr="00F23BB5" w:rsidR="00A26EF3" w:rsidP="00F77A3C" w:rsidRDefault="00A26EF3" w14:paraId="389E23A3" w14:textId="77777777">
            <w:pPr>
              <w:spacing w:line="240" w:lineRule="auto"/>
              <w:jc w:val="left"/>
              <w:rPr>
                <w:color w:val="000000"/>
                <w:sz w:val="16"/>
                <w:szCs w:val="16"/>
              </w:rPr>
            </w:pPr>
            <w:r w:rsidRPr="00F23BB5">
              <w:rPr>
                <w:color w:val="000000"/>
                <w:sz w:val="16"/>
                <w:szCs w:val="16"/>
              </w:rPr>
              <w:t>France</w:t>
            </w:r>
          </w:p>
        </w:tc>
        <w:tc>
          <w:tcPr>
            <w:tcW w:w="1843" w:type="dxa"/>
            <w:tcBorders>
              <w:top w:val="single" w:color="9BC2E6" w:sz="4" w:space="0"/>
              <w:left w:val="nil"/>
              <w:bottom w:val="single" w:color="9BC2E6" w:sz="4" w:space="0"/>
              <w:right w:val="nil"/>
            </w:tcBorders>
            <w:shd w:val="clear" w:color="DDEBF7" w:fill="DDEBF7"/>
            <w:noWrap/>
            <w:vAlign w:val="center"/>
            <w:hideMark/>
          </w:tcPr>
          <w:p w:rsidRPr="00F23BB5" w:rsidR="00A26EF3" w:rsidP="00F77A3C" w:rsidRDefault="00A26EF3" w14:paraId="25CA0446" w14:textId="77777777">
            <w:pPr>
              <w:spacing w:line="240" w:lineRule="auto"/>
              <w:jc w:val="center"/>
              <w:rPr>
                <w:color w:val="000000"/>
                <w:sz w:val="16"/>
                <w:szCs w:val="16"/>
              </w:rPr>
            </w:pPr>
            <w:r w:rsidRPr="00F23BB5">
              <w:rPr>
                <w:color w:val="000000"/>
                <w:sz w:val="16"/>
                <w:szCs w:val="16"/>
              </w:rPr>
              <w:t>X</w:t>
            </w:r>
          </w:p>
        </w:tc>
        <w:tc>
          <w:tcPr>
            <w:tcW w:w="1570" w:type="dxa"/>
            <w:tcBorders>
              <w:top w:val="single" w:color="9BC2E6" w:sz="4" w:space="0"/>
              <w:left w:val="nil"/>
              <w:bottom w:val="single" w:color="9BC2E6" w:sz="4" w:space="0"/>
              <w:right w:val="single" w:color="9BC2E6" w:sz="4" w:space="0"/>
            </w:tcBorders>
            <w:shd w:val="clear" w:color="DDEBF7" w:fill="DDEBF7"/>
            <w:noWrap/>
            <w:vAlign w:val="center"/>
            <w:hideMark/>
          </w:tcPr>
          <w:p w:rsidRPr="00F23BB5" w:rsidR="00A26EF3" w:rsidP="00F77A3C" w:rsidRDefault="00A26EF3" w14:paraId="5212C606" w14:textId="77777777">
            <w:pPr>
              <w:spacing w:line="240" w:lineRule="auto"/>
              <w:jc w:val="center"/>
              <w:rPr>
                <w:color w:val="000000"/>
                <w:sz w:val="16"/>
                <w:szCs w:val="16"/>
              </w:rPr>
            </w:pPr>
            <w:r w:rsidRPr="00F23BB5">
              <w:rPr>
                <w:color w:val="000000"/>
                <w:sz w:val="16"/>
                <w:szCs w:val="16"/>
              </w:rPr>
              <w:t>X</w:t>
            </w:r>
          </w:p>
        </w:tc>
      </w:tr>
      <w:tr w:rsidRPr="00F23BB5" w:rsidR="00A26EF3" w:rsidTr="00F77A3C" w14:paraId="65BAF320" w14:textId="77777777">
        <w:trPr>
          <w:trHeight w:val="290"/>
        </w:trPr>
        <w:tc>
          <w:tcPr>
            <w:tcW w:w="4106" w:type="dxa"/>
            <w:tcBorders>
              <w:top w:val="single" w:color="9BC2E6" w:sz="4" w:space="0"/>
              <w:left w:val="single" w:color="9BC2E6" w:sz="4" w:space="0"/>
              <w:bottom w:val="single" w:color="9BC2E6" w:sz="4" w:space="0"/>
              <w:right w:val="nil"/>
            </w:tcBorders>
            <w:hideMark/>
          </w:tcPr>
          <w:p w:rsidRPr="00F23BB5" w:rsidR="00A26EF3" w:rsidP="00F77A3C" w:rsidRDefault="00A26EF3" w14:paraId="00E222B5" w14:textId="77777777">
            <w:pPr>
              <w:spacing w:line="240" w:lineRule="auto"/>
              <w:jc w:val="left"/>
              <w:rPr>
                <w:color w:val="000000"/>
                <w:sz w:val="16"/>
                <w:szCs w:val="16"/>
              </w:rPr>
            </w:pPr>
            <w:r w:rsidRPr="00F23BB5">
              <w:rPr>
                <w:color w:val="000000"/>
                <w:sz w:val="16"/>
                <w:szCs w:val="16"/>
              </w:rPr>
              <w:t>Transparency International France</w:t>
            </w:r>
          </w:p>
        </w:tc>
        <w:tc>
          <w:tcPr>
            <w:tcW w:w="1701" w:type="dxa"/>
            <w:tcBorders>
              <w:top w:val="single" w:color="9BC2E6" w:sz="4" w:space="0"/>
              <w:left w:val="nil"/>
              <w:bottom w:val="single" w:color="9BC2E6" w:sz="4" w:space="0"/>
              <w:right w:val="nil"/>
            </w:tcBorders>
            <w:noWrap/>
            <w:hideMark/>
          </w:tcPr>
          <w:p w:rsidRPr="00F23BB5" w:rsidR="00A26EF3" w:rsidP="00F77A3C" w:rsidRDefault="00A26EF3" w14:paraId="7E5A2DC0" w14:textId="77777777">
            <w:pPr>
              <w:spacing w:line="240" w:lineRule="auto"/>
              <w:jc w:val="left"/>
              <w:rPr>
                <w:color w:val="000000"/>
                <w:sz w:val="16"/>
                <w:szCs w:val="16"/>
              </w:rPr>
            </w:pPr>
            <w:r w:rsidRPr="00F23BB5">
              <w:rPr>
                <w:color w:val="000000"/>
                <w:sz w:val="16"/>
                <w:szCs w:val="16"/>
              </w:rPr>
              <w:t>France</w:t>
            </w:r>
          </w:p>
        </w:tc>
        <w:tc>
          <w:tcPr>
            <w:tcW w:w="1843" w:type="dxa"/>
            <w:tcBorders>
              <w:top w:val="single" w:color="9BC2E6" w:sz="4" w:space="0"/>
              <w:left w:val="nil"/>
              <w:bottom w:val="single" w:color="9BC2E6" w:sz="4" w:space="0"/>
              <w:right w:val="nil"/>
            </w:tcBorders>
            <w:noWrap/>
            <w:vAlign w:val="center"/>
            <w:hideMark/>
          </w:tcPr>
          <w:p w:rsidRPr="00F23BB5" w:rsidR="00A26EF3" w:rsidP="00F77A3C" w:rsidRDefault="00A26EF3" w14:paraId="649A2133" w14:textId="77777777">
            <w:pPr>
              <w:spacing w:line="240" w:lineRule="auto"/>
              <w:jc w:val="center"/>
              <w:rPr>
                <w:color w:val="000000"/>
                <w:sz w:val="16"/>
                <w:szCs w:val="16"/>
              </w:rPr>
            </w:pPr>
            <w:r w:rsidRPr="00F23BB5">
              <w:rPr>
                <w:color w:val="000000"/>
                <w:sz w:val="16"/>
                <w:szCs w:val="16"/>
              </w:rPr>
              <w:t>X</w:t>
            </w:r>
          </w:p>
        </w:tc>
        <w:tc>
          <w:tcPr>
            <w:tcW w:w="1570" w:type="dxa"/>
            <w:tcBorders>
              <w:top w:val="single" w:color="9BC2E6" w:sz="4" w:space="0"/>
              <w:left w:val="nil"/>
              <w:bottom w:val="single" w:color="9BC2E6" w:sz="4" w:space="0"/>
              <w:right w:val="single" w:color="9BC2E6" w:sz="4" w:space="0"/>
            </w:tcBorders>
            <w:noWrap/>
            <w:vAlign w:val="center"/>
            <w:hideMark/>
          </w:tcPr>
          <w:p w:rsidRPr="00F23BB5" w:rsidR="00A26EF3" w:rsidP="00F77A3C" w:rsidRDefault="00A26EF3" w14:paraId="07F8900D" w14:textId="77777777">
            <w:pPr>
              <w:spacing w:line="240" w:lineRule="auto"/>
              <w:jc w:val="center"/>
              <w:rPr>
                <w:color w:val="000000"/>
                <w:sz w:val="16"/>
                <w:szCs w:val="16"/>
              </w:rPr>
            </w:pPr>
            <w:r w:rsidRPr="00F23BB5">
              <w:rPr>
                <w:color w:val="000000"/>
                <w:sz w:val="16"/>
                <w:szCs w:val="16"/>
              </w:rPr>
              <w:t>X</w:t>
            </w:r>
          </w:p>
        </w:tc>
      </w:tr>
      <w:tr w:rsidRPr="00F23BB5" w:rsidR="00A26EF3" w:rsidTr="00F77A3C" w14:paraId="09889F0F" w14:textId="77777777">
        <w:trPr>
          <w:trHeight w:val="290"/>
        </w:trPr>
        <w:tc>
          <w:tcPr>
            <w:tcW w:w="4106" w:type="dxa"/>
            <w:tcBorders>
              <w:top w:val="single" w:color="9BC2E6" w:sz="4" w:space="0"/>
              <w:left w:val="single" w:color="9BC2E6" w:sz="4" w:space="0"/>
              <w:bottom w:val="single" w:color="9BC2E6" w:sz="4" w:space="0"/>
              <w:right w:val="nil"/>
            </w:tcBorders>
            <w:shd w:val="clear" w:color="DDEBF7" w:fill="DDEBF7"/>
            <w:hideMark/>
          </w:tcPr>
          <w:p w:rsidRPr="00063647" w:rsidR="00A26EF3" w:rsidP="00F77A3C" w:rsidRDefault="00A26EF3" w14:paraId="500DF980" w14:textId="77777777">
            <w:pPr>
              <w:spacing w:line="240" w:lineRule="auto"/>
              <w:jc w:val="left"/>
              <w:rPr>
                <w:color w:val="000000"/>
                <w:sz w:val="16"/>
                <w:szCs w:val="16"/>
                <w:lang w:val="fr-BE"/>
              </w:rPr>
            </w:pPr>
            <w:r w:rsidRPr="00063647">
              <w:rPr>
                <w:color w:val="000000"/>
                <w:sz w:val="16"/>
                <w:szCs w:val="16"/>
                <w:lang w:val="fr-BE"/>
              </w:rPr>
              <w:t>UGICT-CGT - Union générale des ingénieurs, cadres et techniciens/Confédération Générale du Travail</w:t>
            </w:r>
          </w:p>
        </w:tc>
        <w:tc>
          <w:tcPr>
            <w:tcW w:w="1701" w:type="dxa"/>
            <w:tcBorders>
              <w:top w:val="single" w:color="9BC2E6" w:sz="4" w:space="0"/>
              <w:left w:val="nil"/>
              <w:bottom w:val="single" w:color="9BC2E6" w:sz="4" w:space="0"/>
              <w:right w:val="nil"/>
            </w:tcBorders>
            <w:shd w:val="clear" w:color="DDEBF7" w:fill="DDEBF7"/>
            <w:noWrap/>
            <w:hideMark/>
          </w:tcPr>
          <w:p w:rsidRPr="00F23BB5" w:rsidR="00A26EF3" w:rsidP="00F77A3C" w:rsidRDefault="00A26EF3" w14:paraId="43298C66" w14:textId="77777777">
            <w:pPr>
              <w:spacing w:line="240" w:lineRule="auto"/>
              <w:jc w:val="left"/>
              <w:rPr>
                <w:color w:val="000000"/>
                <w:sz w:val="16"/>
                <w:szCs w:val="16"/>
              </w:rPr>
            </w:pPr>
            <w:r w:rsidRPr="00F23BB5">
              <w:rPr>
                <w:color w:val="000000"/>
                <w:sz w:val="16"/>
                <w:szCs w:val="16"/>
              </w:rPr>
              <w:t>France</w:t>
            </w:r>
          </w:p>
        </w:tc>
        <w:tc>
          <w:tcPr>
            <w:tcW w:w="1843" w:type="dxa"/>
            <w:tcBorders>
              <w:top w:val="single" w:color="9BC2E6" w:sz="4" w:space="0"/>
              <w:left w:val="nil"/>
              <w:bottom w:val="single" w:color="9BC2E6" w:sz="4" w:space="0"/>
              <w:right w:val="nil"/>
            </w:tcBorders>
            <w:shd w:val="clear" w:color="DDEBF7" w:fill="DDEBF7"/>
            <w:noWrap/>
            <w:vAlign w:val="center"/>
            <w:hideMark/>
          </w:tcPr>
          <w:p w:rsidRPr="00F23BB5" w:rsidR="00A26EF3" w:rsidP="00F77A3C" w:rsidRDefault="00A26EF3" w14:paraId="2BFC0A49" w14:textId="77777777">
            <w:pPr>
              <w:spacing w:line="240" w:lineRule="auto"/>
              <w:jc w:val="center"/>
              <w:rPr>
                <w:color w:val="000000"/>
                <w:sz w:val="16"/>
                <w:szCs w:val="16"/>
              </w:rPr>
            </w:pPr>
            <w:r w:rsidRPr="00F23BB5">
              <w:rPr>
                <w:color w:val="000000"/>
                <w:sz w:val="16"/>
                <w:szCs w:val="16"/>
              </w:rPr>
              <w:t>X</w:t>
            </w:r>
          </w:p>
        </w:tc>
        <w:tc>
          <w:tcPr>
            <w:tcW w:w="1570" w:type="dxa"/>
            <w:tcBorders>
              <w:top w:val="single" w:color="9BC2E6" w:sz="4" w:space="0"/>
              <w:left w:val="nil"/>
              <w:bottom w:val="single" w:color="9BC2E6" w:sz="4" w:space="0"/>
              <w:right w:val="single" w:color="9BC2E6" w:sz="4" w:space="0"/>
            </w:tcBorders>
            <w:shd w:val="clear" w:color="DDEBF7" w:fill="DDEBF7"/>
            <w:noWrap/>
            <w:vAlign w:val="center"/>
            <w:hideMark/>
          </w:tcPr>
          <w:p w:rsidRPr="00F23BB5" w:rsidR="00A26EF3" w:rsidP="00F77A3C" w:rsidRDefault="00A26EF3" w14:paraId="7F235534" w14:textId="77777777">
            <w:pPr>
              <w:spacing w:line="240" w:lineRule="auto"/>
              <w:jc w:val="center"/>
              <w:rPr>
                <w:color w:val="000000"/>
                <w:sz w:val="16"/>
                <w:szCs w:val="16"/>
              </w:rPr>
            </w:pPr>
            <w:r w:rsidRPr="00F23BB5">
              <w:rPr>
                <w:color w:val="000000"/>
                <w:sz w:val="16"/>
                <w:szCs w:val="16"/>
              </w:rPr>
              <w:t>X</w:t>
            </w:r>
          </w:p>
        </w:tc>
      </w:tr>
      <w:tr w:rsidRPr="00F23BB5" w:rsidR="00A26EF3" w:rsidTr="00F77A3C" w14:paraId="70B44505" w14:textId="77777777">
        <w:trPr>
          <w:trHeight w:val="290"/>
        </w:trPr>
        <w:tc>
          <w:tcPr>
            <w:tcW w:w="4106" w:type="dxa"/>
            <w:tcBorders>
              <w:top w:val="single" w:color="9BC2E6" w:sz="4" w:space="0"/>
              <w:left w:val="single" w:color="9BC2E6" w:sz="4" w:space="0"/>
              <w:bottom w:val="single" w:color="9BC2E6" w:sz="4" w:space="0"/>
              <w:right w:val="nil"/>
            </w:tcBorders>
            <w:hideMark/>
          </w:tcPr>
          <w:p w:rsidRPr="00063647" w:rsidR="00A26EF3" w:rsidP="00F77A3C" w:rsidRDefault="00A26EF3" w14:paraId="594ABCF8" w14:textId="77777777">
            <w:pPr>
              <w:spacing w:line="240" w:lineRule="auto"/>
              <w:jc w:val="left"/>
              <w:rPr>
                <w:color w:val="000000"/>
                <w:sz w:val="16"/>
                <w:szCs w:val="16"/>
                <w:lang w:val="fr-BE"/>
              </w:rPr>
            </w:pPr>
            <w:r w:rsidRPr="00063647">
              <w:rPr>
                <w:color w:val="000000"/>
                <w:sz w:val="16"/>
                <w:szCs w:val="16"/>
                <w:lang w:val="fr-BE"/>
              </w:rPr>
              <w:t xml:space="preserve">Union des entreprises de l’économie sociale et solidaire (UDES)   </w:t>
            </w:r>
          </w:p>
        </w:tc>
        <w:tc>
          <w:tcPr>
            <w:tcW w:w="1701" w:type="dxa"/>
            <w:tcBorders>
              <w:top w:val="single" w:color="9BC2E6" w:sz="4" w:space="0"/>
              <w:left w:val="nil"/>
              <w:bottom w:val="single" w:color="9BC2E6" w:sz="4" w:space="0"/>
              <w:right w:val="nil"/>
            </w:tcBorders>
            <w:noWrap/>
            <w:hideMark/>
          </w:tcPr>
          <w:p w:rsidRPr="00F23BB5" w:rsidR="00A26EF3" w:rsidP="00F77A3C" w:rsidRDefault="00A26EF3" w14:paraId="23404A9D" w14:textId="77777777">
            <w:pPr>
              <w:spacing w:line="240" w:lineRule="auto"/>
              <w:jc w:val="left"/>
              <w:rPr>
                <w:color w:val="000000"/>
                <w:sz w:val="16"/>
                <w:szCs w:val="16"/>
              </w:rPr>
            </w:pPr>
            <w:r w:rsidRPr="00F23BB5">
              <w:rPr>
                <w:color w:val="000000"/>
                <w:sz w:val="16"/>
                <w:szCs w:val="16"/>
              </w:rPr>
              <w:t>France</w:t>
            </w:r>
          </w:p>
        </w:tc>
        <w:tc>
          <w:tcPr>
            <w:tcW w:w="1843" w:type="dxa"/>
            <w:tcBorders>
              <w:top w:val="single" w:color="9BC2E6" w:sz="4" w:space="0"/>
              <w:left w:val="nil"/>
              <w:bottom w:val="single" w:color="9BC2E6" w:sz="4" w:space="0"/>
              <w:right w:val="nil"/>
            </w:tcBorders>
            <w:noWrap/>
            <w:vAlign w:val="center"/>
            <w:hideMark/>
          </w:tcPr>
          <w:p w:rsidRPr="00F23BB5" w:rsidR="00A26EF3" w:rsidP="00F77A3C" w:rsidRDefault="00A26EF3" w14:paraId="747B3EAD" w14:textId="77777777">
            <w:pPr>
              <w:spacing w:line="240" w:lineRule="auto"/>
              <w:jc w:val="left"/>
              <w:rPr>
                <w:color w:val="000000"/>
                <w:sz w:val="16"/>
                <w:szCs w:val="16"/>
              </w:rPr>
            </w:pPr>
          </w:p>
        </w:tc>
        <w:tc>
          <w:tcPr>
            <w:tcW w:w="1570" w:type="dxa"/>
            <w:tcBorders>
              <w:top w:val="single" w:color="9BC2E6" w:sz="4" w:space="0"/>
              <w:left w:val="nil"/>
              <w:bottom w:val="single" w:color="9BC2E6" w:sz="4" w:space="0"/>
              <w:right w:val="single" w:color="9BC2E6" w:sz="4" w:space="0"/>
            </w:tcBorders>
            <w:noWrap/>
            <w:vAlign w:val="center"/>
            <w:hideMark/>
          </w:tcPr>
          <w:p w:rsidRPr="00F23BB5" w:rsidR="00A26EF3" w:rsidP="00F77A3C" w:rsidRDefault="00A26EF3" w14:paraId="3720644A" w14:textId="77777777">
            <w:pPr>
              <w:spacing w:line="240" w:lineRule="auto"/>
              <w:jc w:val="center"/>
              <w:rPr>
                <w:color w:val="000000"/>
                <w:sz w:val="16"/>
                <w:szCs w:val="16"/>
              </w:rPr>
            </w:pPr>
            <w:r w:rsidRPr="00F23BB5">
              <w:rPr>
                <w:color w:val="000000"/>
                <w:sz w:val="16"/>
                <w:szCs w:val="16"/>
              </w:rPr>
              <w:t>X</w:t>
            </w:r>
          </w:p>
        </w:tc>
      </w:tr>
      <w:tr w:rsidRPr="00F23BB5" w:rsidR="00A26EF3" w:rsidTr="00F77A3C" w14:paraId="6DA71C4E" w14:textId="77777777">
        <w:trPr>
          <w:trHeight w:val="290"/>
        </w:trPr>
        <w:tc>
          <w:tcPr>
            <w:tcW w:w="4106" w:type="dxa"/>
            <w:tcBorders>
              <w:top w:val="single" w:color="9BC2E6" w:sz="4" w:space="0"/>
              <w:left w:val="single" w:color="9BC2E6" w:sz="4" w:space="0"/>
              <w:bottom w:val="single" w:color="9BC2E6" w:sz="4" w:space="0"/>
              <w:right w:val="nil"/>
            </w:tcBorders>
            <w:shd w:val="clear" w:color="DDEBF7" w:fill="DDEBF7"/>
            <w:hideMark/>
          </w:tcPr>
          <w:p w:rsidRPr="00063647" w:rsidR="00A26EF3" w:rsidP="00F77A3C" w:rsidRDefault="00A26EF3" w14:paraId="4EC8BE5C" w14:textId="77777777">
            <w:pPr>
              <w:spacing w:line="240" w:lineRule="auto"/>
              <w:jc w:val="left"/>
              <w:rPr>
                <w:color w:val="000000"/>
                <w:sz w:val="16"/>
                <w:szCs w:val="16"/>
                <w:lang w:val="it-IT"/>
              </w:rPr>
            </w:pPr>
            <w:r w:rsidRPr="00063647">
              <w:rPr>
                <w:color w:val="000000"/>
                <w:sz w:val="16"/>
                <w:szCs w:val="16"/>
                <w:lang w:val="it-IT"/>
              </w:rPr>
              <w:t>AMF Italia - Associazione Intermediari Mercati Finanziari</w:t>
            </w:r>
          </w:p>
        </w:tc>
        <w:tc>
          <w:tcPr>
            <w:tcW w:w="1701" w:type="dxa"/>
            <w:tcBorders>
              <w:top w:val="single" w:color="9BC2E6" w:sz="4" w:space="0"/>
              <w:left w:val="nil"/>
              <w:bottom w:val="single" w:color="9BC2E6" w:sz="4" w:space="0"/>
              <w:right w:val="nil"/>
            </w:tcBorders>
            <w:shd w:val="clear" w:color="DDEBF7" w:fill="DDEBF7"/>
            <w:noWrap/>
            <w:hideMark/>
          </w:tcPr>
          <w:p w:rsidRPr="00F23BB5" w:rsidR="00A26EF3" w:rsidP="00F77A3C" w:rsidRDefault="00A26EF3" w14:paraId="063BBED8" w14:textId="77777777">
            <w:pPr>
              <w:spacing w:line="240" w:lineRule="auto"/>
              <w:jc w:val="left"/>
              <w:rPr>
                <w:color w:val="000000"/>
                <w:sz w:val="16"/>
                <w:szCs w:val="16"/>
              </w:rPr>
            </w:pPr>
            <w:r w:rsidRPr="00F23BB5">
              <w:rPr>
                <w:color w:val="000000"/>
                <w:sz w:val="16"/>
                <w:szCs w:val="16"/>
              </w:rPr>
              <w:t>Italy</w:t>
            </w:r>
          </w:p>
        </w:tc>
        <w:tc>
          <w:tcPr>
            <w:tcW w:w="1843" w:type="dxa"/>
            <w:tcBorders>
              <w:top w:val="single" w:color="9BC2E6" w:sz="4" w:space="0"/>
              <w:left w:val="nil"/>
              <w:bottom w:val="single" w:color="9BC2E6" w:sz="4" w:space="0"/>
              <w:right w:val="nil"/>
            </w:tcBorders>
            <w:shd w:val="clear" w:color="DDEBF7" w:fill="DDEBF7"/>
            <w:noWrap/>
            <w:vAlign w:val="center"/>
            <w:hideMark/>
          </w:tcPr>
          <w:p w:rsidRPr="00F23BB5" w:rsidR="00A26EF3" w:rsidP="00F77A3C" w:rsidRDefault="00A26EF3" w14:paraId="3D151BC4" w14:textId="77777777">
            <w:pPr>
              <w:spacing w:line="240" w:lineRule="auto"/>
              <w:jc w:val="center"/>
              <w:rPr>
                <w:color w:val="000000"/>
                <w:sz w:val="16"/>
                <w:szCs w:val="16"/>
              </w:rPr>
            </w:pPr>
            <w:r w:rsidRPr="00F23BB5">
              <w:rPr>
                <w:color w:val="000000"/>
                <w:sz w:val="16"/>
                <w:szCs w:val="16"/>
              </w:rPr>
              <w:t>X</w:t>
            </w:r>
          </w:p>
        </w:tc>
        <w:tc>
          <w:tcPr>
            <w:tcW w:w="1570" w:type="dxa"/>
            <w:tcBorders>
              <w:top w:val="single" w:color="9BC2E6" w:sz="4" w:space="0"/>
              <w:left w:val="nil"/>
              <w:bottom w:val="single" w:color="9BC2E6" w:sz="4" w:space="0"/>
              <w:right w:val="single" w:color="9BC2E6" w:sz="4" w:space="0"/>
            </w:tcBorders>
            <w:shd w:val="clear" w:color="DDEBF7" w:fill="DDEBF7"/>
            <w:noWrap/>
            <w:vAlign w:val="center"/>
            <w:hideMark/>
          </w:tcPr>
          <w:p w:rsidRPr="00F23BB5" w:rsidR="00A26EF3" w:rsidP="00F77A3C" w:rsidRDefault="00A26EF3" w14:paraId="6DD709FD" w14:textId="77777777">
            <w:pPr>
              <w:spacing w:line="240" w:lineRule="auto"/>
              <w:jc w:val="center"/>
              <w:rPr>
                <w:color w:val="000000"/>
                <w:sz w:val="16"/>
                <w:szCs w:val="16"/>
              </w:rPr>
            </w:pPr>
          </w:p>
        </w:tc>
      </w:tr>
      <w:tr w:rsidRPr="00F23BB5" w:rsidR="00A26EF3" w:rsidTr="00F77A3C" w14:paraId="11805548" w14:textId="77777777">
        <w:trPr>
          <w:trHeight w:val="290"/>
        </w:trPr>
        <w:tc>
          <w:tcPr>
            <w:tcW w:w="4106" w:type="dxa"/>
            <w:tcBorders>
              <w:top w:val="single" w:color="9BC2E6" w:sz="4" w:space="0"/>
              <w:left w:val="single" w:color="9BC2E6" w:sz="4" w:space="0"/>
              <w:bottom w:val="single" w:color="9BC2E6" w:sz="4" w:space="0"/>
              <w:right w:val="nil"/>
            </w:tcBorders>
            <w:hideMark/>
          </w:tcPr>
          <w:p w:rsidRPr="00063647" w:rsidR="00A26EF3" w:rsidP="00F77A3C" w:rsidRDefault="00A26EF3" w14:paraId="3EF5BDAB" w14:textId="77777777">
            <w:pPr>
              <w:spacing w:line="240" w:lineRule="auto"/>
              <w:jc w:val="left"/>
              <w:rPr>
                <w:color w:val="000000"/>
                <w:sz w:val="16"/>
                <w:szCs w:val="16"/>
                <w:lang w:val="it-IT"/>
              </w:rPr>
            </w:pPr>
            <w:r w:rsidRPr="00063647">
              <w:rPr>
                <w:color w:val="000000"/>
                <w:sz w:val="16"/>
                <w:szCs w:val="16"/>
                <w:lang w:val="it-IT"/>
              </w:rPr>
              <w:t xml:space="preserve">APIQA - Associazione generale quadri, professionisti e alte professionalità </w:t>
            </w:r>
          </w:p>
        </w:tc>
        <w:tc>
          <w:tcPr>
            <w:tcW w:w="1701" w:type="dxa"/>
            <w:tcBorders>
              <w:top w:val="single" w:color="9BC2E6" w:sz="4" w:space="0"/>
              <w:left w:val="nil"/>
              <w:bottom w:val="single" w:color="9BC2E6" w:sz="4" w:space="0"/>
              <w:right w:val="nil"/>
            </w:tcBorders>
            <w:noWrap/>
            <w:hideMark/>
          </w:tcPr>
          <w:p w:rsidRPr="00F23BB5" w:rsidR="00A26EF3" w:rsidP="00F77A3C" w:rsidRDefault="00A26EF3" w14:paraId="747A2129" w14:textId="77777777">
            <w:pPr>
              <w:spacing w:line="240" w:lineRule="auto"/>
              <w:jc w:val="left"/>
              <w:rPr>
                <w:color w:val="000000"/>
                <w:sz w:val="16"/>
                <w:szCs w:val="16"/>
              </w:rPr>
            </w:pPr>
            <w:r w:rsidRPr="00F23BB5">
              <w:rPr>
                <w:color w:val="000000"/>
                <w:sz w:val="16"/>
                <w:szCs w:val="16"/>
              </w:rPr>
              <w:t>Italy</w:t>
            </w:r>
          </w:p>
        </w:tc>
        <w:tc>
          <w:tcPr>
            <w:tcW w:w="1843" w:type="dxa"/>
            <w:tcBorders>
              <w:top w:val="single" w:color="9BC2E6" w:sz="4" w:space="0"/>
              <w:left w:val="nil"/>
              <w:bottom w:val="single" w:color="9BC2E6" w:sz="4" w:space="0"/>
              <w:right w:val="nil"/>
            </w:tcBorders>
            <w:noWrap/>
            <w:vAlign w:val="center"/>
            <w:hideMark/>
          </w:tcPr>
          <w:p w:rsidRPr="00F23BB5" w:rsidR="00A26EF3" w:rsidP="00F77A3C" w:rsidRDefault="00A26EF3" w14:paraId="0C570C25" w14:textId="77777777">
            <w:pPr>
              <w:spacing w:line="240" w:lineRule="auto"/>
              <w:jc w:val="left"/>
              <w:rPr>
                <w:color w:val="000000"/>
                <w:sz w:val="16"/>
                <w:szCs w:val="16"/>
              </w:rPr>
            </w:pPr>
          </w:p>
        </w:tc>
        <w:tc>
          <w:tcPr>
            <w:tcW w:w="1570" w:type="dxa"/>
            <w:tcBorders>
              <w:top w:val="single" w:color="9BC2E6" w:sz="4" w:space="0"/>
              <w:left w:val="nil"/>
              <w:bottom w:val="single" w:color="9BC2E6" w:sz="4" w:space="0"/>
              <w:right w:val="single" w:color="9BC2E6" w:sz="4" w:space="0"/>
            </w:tcBorders>
            <w:noWrap/>
            <w:vAlign w:val="center"/>
            <w:hideMark/>
          </w:tcPr>
          <w:p w:rsidRPr="00F23BB5" w:rsidR="00A26EF3" w:rsidP="00F77A3C" w:rsidRDefault="00A26EF3" w14:paraId="0279B0CD" w14:textId="77777777">
            <w:pPr>
              <w:spacing w:line="240" w:lineRule="auto"/>
              <w:jc w:val="center"/>
              <w:rPr>
                <w:color w:val="000000"/>
                <w:sz w:val="16"/>
                <w:szCs w:val="16"/>
              </w:rPr>
            </w:pPr>
            <w:r w:rsidRPr="00F23BB5">
              <w:rPr>
                <w:color w:val="000000"/>
                <w:sz w:val="16"/>
                <w:szCs w:val="16"/>
              </w:rPr>
              <w:t>x</w:t>
            </w:r>
          </w:p>
        </w:tc>
      </w:tr>
      <w:tr w:rsidRPr="00F23BB5" w:rsidR="00A26EF3" w:rsidTr="00F77A3C" w14:paraId="534AECD8" w14:textId="77777777">
        <w:trPr>
          <w:trHeight w:val="290"/>
        </w:trPr>
        <w:tc>
          <w:tcPr>
            <w:tcW w:w="4106" w:type="dxa"/>
            <w:tcBorders>
              <w:top w:val="single" w:color="9BC2E6" w:sz="4" w:space="0"/>
              <w:left w:val="single" w:color="9BC2E6" w:sz="4" w:space="0"/>
              <w:bottom w:val="single" w:color="9BC2E6" w:sz="4" w:space="0"/>
              <w:right w:val="nil"/>
            </w:tcBorders>
            <w:shd w:val="clear" w:color="DDEBF7" w:fill="DDEBF7"/>
            <w:hideMark/>
          </w:tcPr>
          <w:p w:rsidRPr="00063647" w:rsidR="00A26EF3" w:rsidP="00F77A3C" w:rsidRDefault="00A26EF3" w14:paraId="03547677" w14:textId="77777777">
            <w:pPr>
              <w:spacing w:line="240" w:lineRule="auto"/>
              <w:jc w:val="left"/>
              <w:rPr>
                <w:color w:val="000000"/>
                <w:sz w:val="16"/>
                <w:szCs w:val="16"/>
                <w:lang w:val="it-IT"/>
              </w:rPr>
            </w:pPr>
            <w:r w:rsidRPr="00063647">
              <w:rPr>
                <w:color w:val="000000"/>
                <w:sz w:val="16"/>
                <w:szCs w:val="16"/>
                <w:lang w:val="it-IT"/>
              </w:rPr>
              <w:t>Associazione della Croce Rossa Italiana (Italian Red Cross)</w:t>
            </w:r>
          </w:p>
        </w:tc>
        <w:tc>
          <w:tcPr>
            <w:tcW w:w="1701" w:type="dxa"/>
            <w:tcBorders>
              <w:top w:val="single" w:color="9BC2E6" w:sz="4" w:space="0"/>
              <w:left w:val="nil"/>
              <w:bottom w:val="single" w:color="9BC2E6" w:sz="4" w:space="0"/>
              <w:right w:val="nil"/>
            </w:tcBorders>
            <w:shd w:val="clear" w:color="DDEBF7" w:fill="DDEBF7"/>
            <w:noWrap/>
            <w:hideMark/>
          </w:tcPr>
          <w:p w:rsidRPr="00F23BB5" w:rsidR="00A26EF3" w:rsidP="00F77A3C" w:rsidRDefault="00A26EF3" w14:paraId="5A516C66" w14:textId="77777777">
            <w:pPr>
              <w:spacing w:line="240" w:lineRule="auto"/>
              <w:jc w:val="left"/>
              <w:rPr>
                <w:color w:val="000000"/>
                <w:sz w:val="16"/>
                <w:szCs w:val="16"/>
              </w:rPr>
            </w:pPr>
            <w:r w:rsidRPr="00F23BB5">
              <w:rPr>
                <w:color w:val="000000"/>
                <w:sz w:val="16"/>
                <w:szCs w:val="16"/>
              </w:rPr>
              <w:t>Italy</w:t>
            </w:r>
          </w:p>
        </w:tc>
        <w:tc>
          <w:tcPr>
            <w:tcW w:w="1843" w:type="dxa"/>
            <w:tcBorders>
              <w:top w:val="single" w:color="9BC2E6" w:sz="4" w:space="0"/>
              <w:left w:val="nil"/>
              <w:bottom w:val="single" w:color="9BC2E6" w:sz="4" w:space="0"/>
              <w:right w:val="nil"/>
            </w:tcBorders>
            <w:shd w:val="clear" w:color="DDEBF7" w:fill="DDEBF7"/>
            <w:noWrap/>
            <w:vAlign w:val="center"/>
            <w:hideMark/>
          </w:tcPr>
          <w:p w:rsidRPr="00F23BB5" w:rsidR="00A26EF3" w:rsidP="00F77A3C" w:rsidRDefault="00A26EF3" w14:paraId="00B8759A" w14:textId="77777777">
            <w:pPr>
              <w:spacing w:line="240" w:lineRule="auto"/>
              <w:jc w:val="center"/>
              <w:rPr>
                <w:color w:val="000000"/>
                <w:sz w:val="16"/>
                <w:szCs w:val="16"/>
              </w:rPr>
            </w:pPr>
            <w:r w:rsidRPr="00F23BB5">
              <w:rPr>
                <w:color w:val="000000"/>
                <w:sz w:val="16"/>
                <w:szCs w:val="16"/>
              </w:rPr>
              <w:t>X</w:t>
            </w:r>
          </w:p>
        </w:tc>
        <w:tc>
          <w:tcPr>
            <w:tcW w:w="1570" w:type="dxa"/>
            <w:tcBorders>
              <w:top w:val="single" w:color="9BC2E6" w:sz="4" w:space="0"/>
              <w:left w:val="nil"/>
              <w:bottom w:val="single" w:color="9BC2E6" w:sz="4" w:space="0"/>
              <w:right w:val="single" w:color="9BC2E6" w:sz="4" w:space="0"/>
            </w:tcBorders>
            <w:shd w:val="clear" w:color="DDEBF7" w:fill="DDEBF7"/>
            <w:noWrap/>
            <w:vAlign w:val="center"/>
            <w:hideMark/>
          </w:tcPr>
          <w:p w:rsidRPr="00F23BB5" w:rsidR="00A26EF3" w:rsidP="00F77A3C" w:rsidRDefault="00A26EF3" w14:paraId="3F8458AE" w14:textId="77777777">
            <w:pPr>
              <w:spacing w:line="240" w:lineRule="auto"/>
              <w:jc w:val="center"/>
              <w:rPr>
                <w:color w:val="000000"/>
                <w:sz w:val="16"/>
                <w:szCs w:val="16"/>
              </w:rPr>
            </w:pPr>
            <w:r w:rsidRPr="00F23BB5">
              <w:rPr>
                <w:color w:val="000000"/>
                <w:sz w:val="16"/>
                <w:szCs w:val="16"/>
              </w:rPr>
              <w:t>X</w:t>
            </w:r>
          </w:p>
        </w:tc>
      </w:tr>
      <w:tr w:rsidRPr="00F23BB5" w:rsidR="00A26EF3" w:rsidTr="00F77A3C" w14:paraId="31F9276B" w14:textId="77777777">
        <w:trPr>
          <w:trHeight w:val="290"/>
        </w:trPr>
        <w:tc>
          <w:tcPr>
            <w:tcW w:w="4106" w:type="dxa"/>
            <w:tcBorders>
              <w:top w:val="single" w:color="9BC2E6" w:sz="4" w:space="0"/>
              <w:left w:val="single" w:color="9BC2E6" w:sz="4" w:space="0"/>
              <w:bottom w:val="single" w:color="9BC2E6" w:sz="4" w:space="0"/>
              <w:right w:val="nil"/>
            </w:tcBorders>
            <w:hideMark/>
          </w:tcPr>
          <w:p w:rsidRPr="00F23BB5" w:rsidR="00A26EF3" w:rsidP="00F77A3C" w:rsidRDefault="00A26EF3" w14:paraId="7C6CF368" w14:textId="77777777">
            <w:pPr>
              <w:spacing w:line="240" w:lineRule="auto"/>
              <w:jc w:val="left"/>
              <w:rPr>
                <w:color w:val="000000"/>
                <w:sz w:val="16"/>
                <w:szCs w:val="16"/>
              </w:rPr>
            </w:pPr>
            <w:r w:rsidRPr="00F23BB5">
              <w:rPr>
                <w:color w:val="000000"/>
                <w:sz w:val="16"/>
                <w:szCs w:val="16"/>
              </w:rPr>
              <w:t>Associazione Forensics Group</w:t>
            </w:r>
          </w:p>
        </w:tc>
        <w:tc>
          <w:tcPr>
            <w:tcW w:w="1701" w:type="dxa"/>
            <w:tcBorders>
              <w:top w:val="single" w:color="9BC2E6" w:sz="4" w:space="0"/>
              <w:left w:val="nil"/>
              <w:bottom w:val="single" w:color="9BC2E6" w:sz="4" w:space="0"/>
              <w:right w:val="nil"/>
            </w:tcBorders>
            <w:noWrap/>
            <w:hideMark/>
          </w:tcPr>
          <w:p w:rsidRPr="00F23BB5" w:rsidR="00A26EF3" w:rsidP="00F77A3C" w:rsidRDefault="00A26EF3" w14:paraId="7AC2CDEB" w14:textId="77777777">
            <w:pPr>
              <w:spacing w:line="240" w:lineRule="auto"/>
              <w:jc w:val="left"/>
              <w:rPr>
                <w:color w:val="000000"/>
                <w:sz w:val="16"/>
                <w:szCs w:val="16"/>
              </w:rPr>
            </w:pPr>
            <w:r w:rsidRPr="00F23BB5">
              <w:rPr>
                <w:color w:val="000000"/>
                <w:sz w:val="16"/>
                <w:szCs w:val="16"/>
              </w:rPr>
              <w:t>Italy</w:t>
            </w:r>
          </w:p>
        </w:tc>
        <w:tc>
          <w:tcPr>
            <w:tcW w:w="1843" w:type="dxa"/>
            <w:tcBorders>
              <w:top w:val="single" w:color="9BC2E6" w:sz="4" w:space="0"/>
              <w:left w:val="nil"/>
              <w:bottom w:val="single" w:color="9BC2E6" w:sz="4" w:space="0"/>
              <w:right w:val="nil"/>
            </w:tcBorders>
            <w:noWrap/>
            <w:vAlign w:val="center"/>
            <w:hideMark/>
          </w:tcPr>
          <w:p w:rsidRPr="00F23BB5" w:rsidR="00A26EF3" w:rsidP="00F77A3C" w:rsidRDefault="00A26EF3" w14:paraId="1E62BB5E" w14:textId="77777777">
            <w:pPr>
              <w:spacing w:line="240" w:lineRule="auto"/>
              <w:jc w:val="center"/>
              <w:rPr>
                <w:color w:val="000000"/>
                <w:sz w:val="16"/>
                <w:szCs w:val="16"/>
              </w:rPr>
            </w:pPr>
            <w:r w:rsidRPr="00F23BB5">
              <w:rPr>
                <w:color w:val="000000"/>
                <w:sz w:val="16"/>
                <w:szCs w:val="16"/>
              </w:rPr>
              <w:t>X</w:t>
            </w:r>
          </w:p>
        </w:tc>
        <w:tc>
          <w:tcPr>
            <w:tcW w:w="1570" w:type="dxa"/>
            <w:tcBorders>
              <w:top w:val="single" w:color="9BC2E6" w:sz="4" w:space="0"/>
              <w:left w:val="nil"/>
              <w:bottom w:val="single" w:color="9BC2E6" w:sz="4" w:space="0"/>
              <w:right w:val="single" w:color="9BC2E6" w:sz="4" w:space="0"/>
            </w:tcBorders>
            <w:noWrap/>
            <w:vAlign w:val="center"/>
            <w:hideMark/>
          </w:tcPr>
          <w:p w:rsidRPr="00F23BB5" w:rsidR="00A26EF3" w:rsidP="00F77A3C" w:rsidRDefault="00A26EF3" w14:paraId="4CBAB687" w14:textId="77777777">
            <w:pPr>
              <w:spacing w:line="240" w:lineRule="auto"/>
              <w:jc w:val="center"/>
              <w:rPr>
                <w:color w:val="000000"/>
                <w:sz w:val="16"/>
                <w:szCs w:val="16"/>
              </w:rPr>
            </w:pPr>
          </w:p>
        </w:tc>
      </w:tr>
      <w:tr w:rsidRPr="00F23BB5" w:rsidR="00A26EF3" w:rsidTr="00F77A3C" w14:paraId="54EC0B8B" w14:textId="77777777">
        <w:trPr>
          <w:trHeight w:val="290"/>
        </w:trPr>
        <w:tc>
          <w:tcPr>
            <w:tcW w:w="4106" w:type="dxa"/>
            <w:tcBorders>
              <w:top w:val="single" w:color="9BC2E6" w:sz="4" w:space="0"/>
              <w:left w:val="single" w:color="9BC2E6" w:sz="4" w:space="0"/>
              <w:bottom w:val="single" w:color="9BC2E6" w:sz="4" w:space="0"/>
              <w:right w:val="nil"/>
            </w:tcBorders>
            <w:shd w:val="clear" w:color="DDEBF7" w:fill="DDEBF7"/>
            <w:hideMark/>
          </w:tcPr>
          <w:p w:rsidRPr="00F23BB5" w:rsidR="00A26EF3" w:rsidP="00F77A3C" w:rsidRDefault="00A26EF3" w14:paraId="3E6A0D90" w14:textId="77777777">
            <w:pPr>
              <w:spacing w:line="240" w:lineRule="auto"/>
              <w:jc w:val="left"/>
              <w:rPr>
                <w:color w:val="000000"/>
                <w:sz w:val="16"/>
                <w:szCs w:val="16"/>
              </w:rPr>
            </w:pPr>
            <w:r w:rsidRPr="00F23BB5">
              <w:rPr>
                <w:color w:val="000000"/>
                <w:sz w:val="16"/>
                <w:szCs w:val="16"/>
              </w:rPr>
              <w:t>Bance d'Italia</w:t>
            </w:r>
          </w:p>
        </w:tc>
        <w:tc>
          <w:tcPr>
            <w:tcW w:w="1701" w:type="dxa"/>
            <w:tcBorders>
              <w:top w:val="single" w:color="9BC2E6" w:sz="4" w:space="0"/>
              <w:left w:val="nil"/>
              <w:bottom w:val="single" w:color="9BC2E6" w:sz="4" w:space="0"/>
              <w:right w:val="nil"/>
            </w:tcBorders>
            <w:shd w:val="clear" w:color="DDEBF7" w:fill="DDEBF7"/>
            <w:noWrap/>
            <w:hideMark/>
          </w:tcPr>
          <w:p w:rsidRPr="00F23BB5" w:rsidR="00A26EF3" w:rsidP="00F77A3C" w:rsidRDefault="00A26EF3" w14:paraId="0597110D" w14:textId="77777777">
            <w:pPr>
              <w:spacing w:line="240" w:lineRule="auto"/>
              <w:jc w:val="left"/>
              <w:rPr>
                <w:color w:val="000000"/>
                <w:sz w:val="16"/>
                <w:szCs w:val="16"/>
              </w:rPr>
            </w:pPr>
            <w:r w:rsidRPr="00F23BB5">
              <w:rPr>
                <w:color w:val="000000"/>
                <w:sz w:val="16"/>
                <w:szCs w:val="16"/>
              </w:rPr>
              <w:t>Italy</w:t>
            </w:r>
          </w:p>
        </w:tc>
        <w:tc>
          <w:tcPr>
            <w:tcW w:w="1843" w:type="dxa"/>
            <w:tcBorders>
              <w:top w:val="single" w:color="9BC2E6" w:sz="4" w:space="0"/>
              <w:left w:val="nil"/>
              <w:bottom w:val="single" w:color="9BC2E6" w:sz="4" w:space="0"/>
              <w:right w:val="nil"/>
            </w:tcBorders>
            <w:shd w:val="clear" w:color="DDEBF7" w:fill="DDEBF7"/>
            <w:noWrap/>
            <w:vAlign w:val="center"/>
            <w:hideMark/>
          </w:tcPr>
          <w:p w:rsidRPr="00F23BB5" w:rsidR="00A26EF3" w:rsidP="00F77A3C" w:rsidRDefault="00A26EF3" w14:paraId="0F75DAFF" w14:textId="77777777">
            <w:pPr>
              <w:spacing w:line="240" w:lineRule="auto"/>
              <w:jc w:val="center"/>
              <w:rPr>
                <w:color w:val="000000"/>
                <w:sz w:val="16"/>
                <w:szCs w:val="16"/>
              </w:rPr>
            </w:pPr>
            <w:r w:rsidRPr="00F23BB5">
              <w:rPr>
                <w:color w:val="000000"/>
                <w:sz w:val="16"/>
                <w:szCs w:val="16"/>
              </w:rPr>
              <w:t>X</w:t>
            </w:r>
          </w:p>
        </w:tc>
        <w:tc>
          <w:tcPr>
            <w:tcW w:w="1570" w:type="dxa"/>
            <w:tcBorders>
              <w:top w:val="single" w:color="9BC2E6" w:sz="4" w:space="0"/>
              <w:left w:val="nil"/>
              <w:bottom w:val="single" w:color="9BC2E6" w:sz="4" w:space="0"/>
              <w:right w:val="single" w:color="9BC2E6" w:sz="4" w:space="0"/>
            </w:tcBorders>
            <w:shd w:val="clear" w:color="DDEBF7" w:fill="DDEBF7"/>
            <w:noWrap/>
            <w:vAlign w:val="center"/>
            <w:hideMark/>
          </w:tcPr>
          <w:p w:rsidRPr="00F23BB5" w:rsidR="00A26EF3" w:rsidP="00F77A3C" w:rsidRDefault="00A26EF3" w14:paraId="375F0FC0" w14:textId="77777777">
            <w:pPr>
              <w:spacing w:line="240" w:lineRule="auto"/>
              <w:jc w:val="center"/>
              <w:rPr>
                <w:color w:val="000000"/>
                <w:sz w:val="16"/>
                <w:szCs w:val="16"/>
              </w:rPr>
            </w:pPr>
          </w:p>
        </w:tc>
      </w:tr>
      <w:tr w:rsidRPr="00F23BB5" w:rsidR="00A26EF3" w:rsidTr="00F77A3C" w14:paraId="2BEBE77C" w14:textId="77777777">
        <w:trPr>
          <w:trHeight w:val="290"/>
        </w:trPr>
        <w:tc>
          <w:tcPr>
            <w:tcW w:w="4106" w:type="dxa"/>
            <w:tcBorders>
              <w:top w:val="single" w:color="9BC2E6" w:sz="4" w:space="0"/>
              <w:left w:val="single" w:color="9BC2E6" w:sz="4" w:space="0"/>
              <w:bottom w:val="single" w:color="9BC2E6" w:sz="4" w:space="0"/>
              <w:right w:val="nil"/>
            </w:tcBorders>
            <w:hideMark/>
          </w:tcPr>
          <w:p w:rsidRPr="00063647" w:rsidR="00A26EF3" w:rsidP="00F77A3C" w:rsidRDefault="00A26EF3" w14:paraId="7E83C8AE" w14:textId="77777777">
            <w:pPr>
              <w:spacing w:line="240" w:lineRule="auto"/>
              <w:jc w:val="left"/>
              <w:rPr>
                <w:color w:val="000000"/>
                <w:sz w:val="16"/>
                <w:szCs w:val="16"/>
                <w:lang w:val="it-IT"/>
              </w:rPr>
            </w:pPr>
            <w:r w:rsidRPr="00063647">
              <w:rPr>
                <w:color w:val="000000"/>
                <w:sz w:val="16"/>
                <w:szCs w:val="16"/>
                <w:lang w:val="it-IT"/>
              </w:rPr>
              <w:t>CGIL - Confederazione Generale Italiana Del Lavoro</w:t>
            </w:r>
          </w:p>
        </w:tc>
        <w:tc>
          <w:tcPr>
            <w:tcW w:w="1701" w:type="dxa"/>
            <w:tcBorders>
              <w:top w:val="single" w:color="9BC2E6" w:sz="4" w:space="0"/>
              <w:left w:val="nil"/>
              <w:bottom w:val="single" w:color="9BC2E6" w:sz="4" w:space="0"/>
              <w:right w:val="nil"/>
            </w:tcBorders>
            <w:noWrap/>
            <w:hideMark/>
          </w:tcPr>
          <w:p w:rsidRPr="00F23BB5" w:rsidR="00A26EF3" w:rsidP="00F77A3C" w:rsidRDefault="00A26EF3" w14:paraId="20B6BEB6" w14:textId="77777777">
            <w:pPr>
              <w:spacing w:line="240" w:lineRule="auto"/>
              <w:jc w:val="left"/>
              <w:rPr>
                <w:color w:val="000000"/>
                <w:sz w:val="16"/>
                <w:szCs w:val="16"/>
              </w:rPr>
            </w:pPr>
            <w:r w:rsidRPr="00F23BB5">
              <w:rPr>
                <w:color w:val="000000"/>
                <w:sz w:val="16"/>
                <w:szCs w:val="16"/>
              </w:rPr>
              <w:t>Italy</w:t>
            </w:r>
          </w:p>
        </w:tc>
        <w:tc>
          <w:tcPr>
            <w:tcW w:w="1843" w:type="dxa"/>
            <w:tcBorders>
              <w:top w:val="single" w:color="9BC2E6" w:sz="4" w:space="0"/>
              <w:left w:val="nil"/>
              <w:bottom w:val="single" w:color="9BC2E6" w:sz="4" w:space="0"/>
              <w:right w:val="nil"/>
            </w:tcBorders>
            <w:noWrap/>
            <w:vAlign w:val="center"/>
            <w:hideMark/>
          </w:tcPr>
          <w:p w:rsidRPr="00F23BB5" w:rsidR="00A26EF3" w:rsidP="00F77A3C" w:rsidRDefault="00A26EF3" w14:paraId="1DBF1D91" w14:textId="77777777">
            <w:pPr>
              <w:spacing w:line="240" w:lineRule="auto"/>
              <w:jc w:val="left"/>
              <w:rPr>
                <w:color w:val="000000"/>
                <w:sz w:val="16"/>
                <w:szCs w:val="16"/>
              </w:rPr>
            </w:pPr>
          </w:p>
        </w:tc>
        <w:tc>
          <w:tcPr>
            <w:tcW w:w="1570" w:type="dxa"/>
            <w:tcBorders>
              <w:top w:val="single" w:color="9BC2E6" w:sz="4" w:space="0"/>
              <w:left w:val="nil"/>
              <w:bottom w:val="single" w:color="9BC2E6" w:sz="4" w:space="0"/>
              <w:right w:val="single" w:color="9BC2E6" w:sz="4" w:space="0"/>
            </w:tcBorders>
            <w:noWrap/>
            <w:vAlign w:val="center"/>
            <w:hideMark/>
          </w:tcPr>
          <w:p w:rsidRPr="00F23BB5" w:rsidR="00A26EF3" w:rsidP="00F77A3C" w:rsidRDefault="00A26EF3" w14:paraId="47DE0829" w14:textId="77777777">
            <w:pPr>
              <w:spacing w:line="240" w:lineRule="auto"/>
              <w:jc w:val="center"/>
              <w:rPr>
                <w:color w:val="000000"/>
                <w:sz w:val="16"/>
                <w:szCs w:val="16"/>
              </w:rPr>
            </w:pPr>
            <w:r w:rsidRPr="00F23BB5">
              <w:rPr>
                <w:color w:val="000000"/>
                <w:sz w:val="16"/>
                <w:szCs w:val="16"/>
              </w:rPr>
              <w:t>X</w:t>
            </w:r>
          </w:p>
        </w:tc>
      </w:tr>
      <w:tr w:rsidRPr="00F23BB5" w:rsidR="00A26EF3" w:rsidTr="00F77A3C" w14:paraId="27F93E1E" w14:textId="77777777">
        <w:trPr>
          <w:trHeight w:val="290"/>
        </w:trPr>
        <w:tc>
          <w:tcPr>
            <w:tcW w:w="4106" w:type="dxa"/>
            <w:tcBorders>
              <w:top w:val="single" w:color="9BC2E6" w:sz="4" w:space="0"/>
              <w:left w:val="single" w:color="9BC2E6" w:sz="4" w:space="0"/>
              <w:bottom w:val="single" w:color="9BC2E6" w:sz="4" w:space="0"/>
              <w:right w:val="nil"/>
            </w:tcBorders>
            <w:shd w:val="clear" w:color="DDEBF7" w:fill="DDEBF7"/>
            <w:noWrap/>
            <w:vAlign w:val="bottom"/>
            <w:hideMark/>
          </w:tcPr>
          <w:p w:rsidRPr="00F23BB5" w:rsidR="00A26EF3" w:rsidP="00F77A3C" w:rsidRDefault="00A26EF3" w14:paraId="141C4AAE" w14:textId="77777777">
            <w:pPr>
              <w:spacing w:line="240" w:lineRule="auto"/>
              <w:jc w:val="left"/>
              <w:rPr>
                <w:color w:val="000000"/>
                <w:sz w:val="16"/>
                <w:szCs w:val="16"/>
              </w:rPr>
            </w:pPr>
            <w:r w:rsidRPr="00F23BB5">
              <w:rPr>
                <w:color w:val="000000"/>
                <w:sz w:val="16"/>
                <w:szCs w:val="16"/>
              </w:rPr>
              <w:t>Confagricoltura</w:t>
            </w:r>
          </w:p>
        </w:tc>
        <w:tc>
          <w:tcPr>
            <w:tcW w:w="1701" w:type="dxa"/>
            <w:tcBorders>
              <w:top w:val="single" w:color="9BC2E6" w:sz="4" w:space="0"/>
              <w:left w:val="nil"/>
              <w:bottom w:val="single" w:color="9BC2E6" w:sz="4" w:space="0"/>
              <w:right w:val="nil"/>
            </w:tcBorders>
            <w:shd w:val="clear" w:color="DDEBF7" w:fill="DDEBF7"/>
            <w:noWrap/>
            <w:hideMark/>
          </w:tcPr>
          <w:p w:rsidRPr="00F23BB5" w:rsidR="00A26EF3" w:rsidP="00F77A3C" w:rsidRDefault="00A26EF3" w14:paraId="1C69A564" w14:textId="77777777">
            <w:pPr>
              <w:spacing w:line="240" w:lineRule="auto"/>
              <w:jc w:val="left"/>
              <w:rPr>
                <w:color w:val="000000"/>
                <w:sz w:val="16"/>
                <w:szCs w:val="16"/>
              </w:rPr>
            </w:pPr>
            <w:r w:rsidRPr="00F23BB5">
              <w:rPr>
                <w:color w:val="000000"/>
                <w:sz w:val="16"/>
                <w:szCs w:val="16"/>
              </w:rPr>
              <w:t>Italy</w:t>
            </w:r>
          </w:p>
        </w:tc>
        <w:tc>
          <w:tcPr>
            <w:tcW w:w="1843" w:type="dxa"/>
            <w:tcBorders>
              <w:top w:val="single" w:color="9BC2E6" w:sz="4" w:space="0"/>
              <w:left w:val="nil"/>
              <w:bottom w:val="single" w:color="9BC2E6" w:sz="4" w:space="0"/>
              <w:right w:val="nil"/>
            </w:tcBorders>
            <w:shd w:val="clear" w:color="DDEBF7" w:fill="DDEBF7"/>
            <w:noWrap/>
            <w:vAlign w:val="center"/>
            <w:hideMark/>
          </w:tcPr>
          <w:p w:rsidRPr="00F23BB5" w:rsidR="00A26EF3" w:rsidP="00F77A3C" w:rsidRDefault="00A26EF3" w14:paraId="1BFABF4D" w14:textId="77777777">
            <w:pPr>
              <w:spacing w:line="240" w:lineRule="auto"/>
              <w:jc w:val="left"/>
              <w:rPr>
                <w:color w:val="000000"/>
                <w:sz w:val="16"/>
                <w:szCs w:val="16"/>
              </w:rPr>
            </w:pPr>
          </w:p>
        </w:tc>
        <w:tc>
          <w:tcPr>
            <w:tcW w:w="1570" w:type="dxa"/>
            <w:tcBorders>
              <w:top w:val="single" w:color="9BC2E6" w:sz="4" w:space="0"/>
              <w:left w:val="nil"/>
              <w:bottom w:val="single" w:color="9BC2E6" w:sz="4" w:space="0"/>
              <w:right w:val="single" w:color="9BC2E6" w:sz="4" w:space="0"/>
            </w:tcBorders>
            <w:shd w:val="clear" w:color="DDEBF7" w:fill="DDEBF7"/>
            <w:noWrap/>
            <w:vAlign w:val="center"/>
            <w:hideMark/>
          </w:tcPr>
          <w:p w:rsidRPr="00F23BB5" w:rsidR="00A26EF3" w:rsidP="00F77A3C" w:rsidRDefault="00A26EF3" w14:paraId="7D89BBDE" w14:textId="77777777">
            <w:pPr>
              <w:spacing w:line="240" w:lineRule="auto"/>
              <w:jc w:val="center"/>
              <w:rPr>
                <w:color w:val="000000"/>
                <w:sz w:val="16"/>
                <w:szCs w:val="16"/>
              </w:rPr>
            </w:pPr>
            <w:r w:rsidRPr="00F23BB5">
              <w:rPr>
                <w:color w:val="000000"/>
                <w:sz w:val="16"/>
                <w:szCs w:val="16"/>
              </w:rPr>
              <w:t>X</w:t>
            </w:r>
          </w:p>
        </w:tc>
      </w:tr>
      <w:tr w:rsidRPr="00F23BB5" w:rsidR="00A26EF3" w:rsidTr="00F77A3C" w14:paraId="380ADC02" w14:textId="77777777">
        <w:trPr>
          <w:trHeight w:val="440"/>
        </w:trPr>
        <w:tc>
          <w:tcPr>
            <w:tcW w:w="4106" w:type="dxa"/>
            <w:tcBorders>
              <w:top w:val="single" w:color="9BC2E6" w:sz="4" w:space="0"/>
              <w:left w:val="single" w:color="9BC2E6" w:sz="4" w:space="0"/>
              <w:bottom w:val="single" w:color="9BC2E6" w:sz="4" w:space="0"/>
              <w:right w:val="nil"/>
            </w:tcBorders>
            <w:vAlign w:val="bottom"/>
            <w:hideMark/>
          </w:tcPr>
          <w:p w:rsidRPr="00063647" w:rsidR="00A26EF3" w:rsidP="00F77A3C" w:rsidRDefault="00A26EF3" w14:paraId="1FD0D227" w14:textId="77777777">
            <w:pPr>
              <w:spacing w:line="240" w:lineRule="auto"/>
              <w:jc w:val="left"/>
              <w:rPr>
                <w:color w:val="000000"/>
                <w:sz w:val="16"/>
                <w:szCs w:val="16"/>
                <w:lang w:val="it-IT"/>
              </w:rPr>
            </w:pPr>
            <w:r w:rsidRPr="00063647">
              <w:rPr>
                <w:color w:val="000000"/>
                <w:sz w:val="16"/>
                <w:szCs w:val="16"/>
                <w:lang w:val="it-IT"/>
              </w:rPr>
              <w:t>Confcommercio, Confederazione Generale Italiana delle Imprese, delle Attività Professionali e del Lavoro Autonomo</w:t>
            </w:r>
          </w:p>
        </w:tc>
        <w:tc>
          <w:tcPr>
            <w:tcW w:w="1701" w:type="dxa"/>
            <w:tcBorders>
              <w:top w:val="single" w:color="9BC2E6" w:sz="4" w:space="0"/>
              <w:left w:val="nil"/>
              <w:bottom w:val="single" w:color="9BC2E6" w:sz="4" w:space="0"/>
              <w:right w:val="nil"/>
            </w:tcBorders>
            <w:noWrap/>
            <w:hideMark/>
          </w:tcPr>
          <w:p w:rsidRPr="00F23BB5" w:rsidR="00A26EF3" w:rsidP="00F77A3C" w:rsidRDefault="00A26EF3" w14:paraId="291AE00F" w14:textId="77777777">
            <w:pPr>
              <w:spacing w:line="240" w:lineRule="auto"/>
              <w:jc w:val="left"/>
              <w:rPr>
                <w:color w:val="000000"/>
                <w:sz w:val="16"/>
                <w:szCs w:val="16"/>
              </w:rPr>
            </w:pPr>
            <w:r w:rsidRPr="00F23BB5">
              <w:rPr>
                <w:color w:val="000000"/>
                <w:sz w:val="16"/>
                <w:szCs w:val="16"/>
              </w:rPr>
              <w:t>Italy</w:t>
            </w:r>
          </w:p>
        </w:tc>
        <w:tc>
          <w:tcPr>
            <w:tcW w:w="1843" w:type="dxa"/>
            <w:tcBorders>
              <w:top w:val="single" w:color="9BC2E6" w:sz="4" w:space="0"/>
              <w:left w:val="nil"/>
              <w:bottom w:val="single" w:color="9BC2E6" w:sz="4" w:space="0"/>
              <w:right w:val="nil"/>
            </w:tcBorders>
            <w:noWrap/>
            <w:vAlign w:val="center"/>
            <w:hideMark/>
          </w:tcPr>
          <w:p w:rsidRPr="00F23BB5" w:rsidR="00A26EF3" w:rsidP="00F77A3C" w:rsidRDefault="00A26EF3" w14:paraId="07127AA4" w14:textId="77777777">
            <w:pPr>
              <w:spacing w:line="240" w:lineRule="auto"/>
              <w:jc w:val="left"/>
              <w:rPr>
                <w:color w:val="000000"/>
                <w:sz w:val="16"/>
                <w:szCs w:val="16"/>
              </w:rPr>
            </w:pPr>
          </w:p>
        </w:tc>
        <w:tc>
          <w:tcPr>
            <w:tcW w:w="1570" w:type="dxa"/>
            <w:tcBorders>
              <w:top w:val="single" w:color="9BC2E6" w:sz="4" w:space="0"/>
              <w:left w:val="nil"/>
              <w:bottom w:val="single" w:color="9BC2E6" w:sz="4" w:space="0"/>
              <w:right w:val="single" w:color="9BC2E6" w:sz="4" w:space="0"/>
            </w:tcBorders>
            <w:noWrap/>
            <w:vAlign w:val="center"/>
            <w:hideMark/>
          </w:tcPr>
          <w:p w:rsidRPr="00F23BB5" w:rsidR="00A26EF3" w:rsidP="00F77A3C" w:rsidRDefault="00A26EF3" w14:paraId="6AF79B39" w14:textId="77777777">
            <w:pPr>
              <w:spacing w:line="240" w:lineRule="auto"/>
              <w:jc w:val="center"/>
              <w:rPr>
                <w:color w:val="000000"/>
                <w:sz w:val="16"/>
                <w:szCs w:val="16"/>
              </w:rPr>
            </w:pPr>
            <w:r w:rsidRPr="00F23BB5">
              <w:rPr>
                <w:color w:val="000000"/>
                <w:sz w:val="16"/>
                <w:szCs w:val="16"/>
              </w:rPr>
              <w:t>X</w:t>
            </w:r>
          </w:p>
        </w:tc>
      </w:tr>
      <w:tr w:rsidRPr="00F23BB5" w:rsidR="00A26EF3" w:rsidTr="00F77A3C" w14:paraId="6E9CF675" w14:textId="77777777">
        <w:trPr>
          <w:trHeight w:val="290"/>
        </w:trPr>
        <w:tc>
          <w:tcPr>
            <w:tcW w:w="4106" w:type="dxa"/>
            <w:tcBorders>
              <w:top w:val="single" w:color="9BC2E6" w:sz="4" w:space="0"/>
              <w:left w:val="single" w:color="9BC2E6" w:sz="4" w:space="0"/>
              <w:bottom w:val="single" w:color="9BC2E6" w:sz="4" w:space="0"/>
              <w:right w:val="nil"/>
            </w:tcBorders>
            <w:shd w:val="clear" w:color="DDEBF7" w:fill="DDEBF7"/>
            <w:hideMark/>
          </w:tcPr>
          <w:p w:rsidRPr="00063647" w:rsidR="00A26EF3" w:rsidP="00F77A3C" w:rsidRDefault="00A26EF3" w14:paraId="13A70DC6" w14:textId="77777777">
            <w:pPr>
              <w:spacing w:line="240" w:lineRule="auto"/>
              <w:jc w:val="left"/>
              <w:rPr>
                <w:color w:val="000000"/>
                <w:sz w:val="16"/>
                <w:szCs w:val="16"/>
                <w:lang w:val="it-IT"/>
              </w:rPr>
            </w:pPr>
            <w:r w:rsidRPr="00063647">
              <w:rPr>
                <w:color w:val="000000"/>
                <w:sz w:val="16"/>
                <w:szCs w:val="16"/>
                <w:lang w:val="it-IT"/>
              </w:rPr>
              <w:t>Confetra - Confederazione Generale Italiana dei Trasporti e della Logistica</w:t>
            </w:r>
          </w:p>
        </w:tc>
        <w:tc>
          <w:tcPr>
            <w:tcW w:w="1701" w:type="dxa"/>
            <w:tcBorders>
              <w:top w:val="single" w:color="9BC2E6" w:sz="4" w:space="0"/>
              <w:left w:val="nil"/>
              <w:bottom w:val="single" w:color="9BC2E6" w:sz="4" w:space="0"/>
              <w:right w:val="nil"/>
            </w:tcBorders>
            <w:shd w:val="clear" w:color="DDEBF7" w:fill="DDEBF7"/>
            <w:noWrap/>
            <w:hideMark/>
          </w:tcPr>
          <w:p w:rsidRPr="00F23BB5" w:rsidR="00A26EF3" w:rsidP="00F77A3C" w:rsidRDefault="00A26EF3" w14:paraId="0AC81EA1" w14:textId="77777777">
            <w:pPr>
              <w:spacing w:line="240" w:lineRule="auto"/>
              <w:jc w:val="left"/>
              <w:rPr>
                <w:color w:val="000000"/>
                <w:sz w:val="16"/>
                <w:szCs w:val="16"/>
              </w:rPr>
            </w:pPr>
            <w:r w:rsidRPr="00F23BB5">
              <w:rPr>
                <w:color w:val="000000"/>
                <w:sz w:val="16"/>
                <w:szCs w:val="16"/>
              </w:rPr>
              <w:t>Italy</w:t>
            </w:r>
          </w:p>
        </w:tc>
        <w:tc>
          <w:tcPr>
            <w:tcW w:w="1843" w:type="dxa"/>
            <w:tcBorders>
              <w:top w:val="single" w:color="9BC2E6" w:sz="4" w:space="0"/>
              <w:left w:val="nil"/>
              <w:bottom w:val="single" w:color="9BC2E6" w:sz="4" w:space="0"/>
              <w:right w:val="nil"/>
            </w:tcBorders>
            <w:shd w:val="clear" w:color="DDEBF7" w:fill="DDEBF7"/>
            <w:noWrap/>
            <w:vAlign w:val="center"/>
            <w:hideMark/>
          </w:tcPr>
          <w:p w:rsidRPr="00F23BB5" w:rsidR="00A26EF3" w:rsidP="00F77A3C" w:rsidRDefault="00A26EF3" w14:paraId="3A4BB4B8" w14:textId="77777777">
            <w:pPr>
              <w:spacing w:line="240" w:lineRule="auto"/>
              <w:jc w:val="center"/>
              <w:rPr>
                <w:color w:val="000000"/>
                <w:sz w:val="16"/>
                <w:szCs w:val="16"/>
              </w:rPr>
            </w:pPr>
            <w:r w:rsidRPr="00F23BB5">
              <w:rPr>
                <w:color w:val="000000"/>
                <w:sz w:val="16"/>
                <w:szCs w:val="16"/>
              </w:rPr>
              <w:t>X</w:t>
            </w:r>
          </w:p>
        </w:tc>
        <w:tc>
          <w:tcPr>
            <w:tcW w:w="1570" w:type="dxa"/>
            <w:tcBorders>
              <w:top w:val="single" w:color="9BC2E6" w:sz="4" w:space="0"/>
              <w:left w:val="nil"/>
              <w:bottom w:val="single" w:color="9BC2E6" w:sz="4" w:space="0"/>
              <w:right w:val="single" w:color="9BC2E6" w:sz="4" w:space="0"/>
            </w:tcBorders>
            <w:shd w:val="clear" w:color="DDEBF7" w:fill="DDEBF7"/>
            <w:noWrap/>
            <w:vAlign w:val="center"/>
            <w:hideMark/>
          </w:tcPr>
          <w:p w:rsidRPr="00F23BB5" w:rsidR="00A26EF3" w:rsidP="00F77A3C" w:rsidRDefault="00A26EF3" w14:paraId="0560D376" w14:textId="77777777">
            <w:pPr>
              <w:spacing w:line="240" w:lineRule="auto"/>
              <w:jc w:val="center"/>
              <w:rPr>
                <w:color w:val="000000"/>
                <w:sz w:val="16"/>
                <w:szCs w:val="16"/>
              </w:rPr>
            </w:pPr>
            <w:r w:rsidRPr="00F23BB5">
              <w:rPr>
                <w:color w:val="000000"/>
                <w:sz w:val="16"/>
                <w:szCs w:val="16"/>
              </w:rPr>
              <w:t>X</w:t>
            </w:r>
          </w:p>
        </w:tc>
      </w:tr>
      <w:tr w:rsidRPr="00F23BB5" w:rsidR="00A26EF3" w:rsidTr="00F77A3C" w14:paraId="0B58FF76" w14:textId="77777777">
        <w:trPr>
          <w:trHeight w:val="290"/>
        </w:trPr>
        <w:tc>
          <w:tcPr>
            <w:tcW w:w="4106" w:type="dxa"/>
            <w:tcBorders>
              <w:top w:val="single" w:color="9BC2E6" w:sz="4" w:space="0"/>
              <w:left w:val="single" w:color="9BC2E6" w:sz="4" w:space="0"/>
              <w:bottom w:val="single" w:color="9BC2E6" w:sz="4" w:space="0"/>
              <w:right w:val="nil"/>
            </w:tcBorders>
            <w:hideMark/>
          </w:tcPr>
          <w:p w:rsidRPr="00063647" w:rsidR="00A26EF3" w:rsidP="00F77A3C" w:rsidRDefault="00A26EF3" w14:paraId="16A7E73C" w14:textId="77777777">
            <w:pPr>
              <w:spacing w:line="240" w:lineRule="auto"/>
              <w:jc w:val="left"/>
              <w:rPr>
                <w:color w:val="000000"/>
                <w:sz w:val="16"/>
                <w:szCs w:val="16"/>
                <w:lang w:val="it-IT"/>
              </w:rPr>
            </w:pPr>
            <w:r w:rsidRPr="00063647">
              <w:rPr>
                <w:color w:val="000000"/>
                <w:sz w:val="16"/>
                <w:szCs w:val="16"/>
                <w:lang w:val="it-IT"/>
              </w:rPr>
              <w:t>Consiglio Nazionale dell'Ordine dei Consulenti del Lavoro</w:t>
            </w:r>
          </w:p>
        </w:tc>
        <w:tc>
          <w:tcPr>
            <w:tcW w:w="1701" w:type="dxa"/>
            <w:tcBorders>
              <w:top w:val="single" w:color="9BC2E6" w:sz="4" w:space="0"/>
              <w:left w:val="nil"/>
              <w:bottom w:val="single" w:color="9BC2E6" w:sz="4" w:space="0"/>
              <w:right w:val="nil"/>
            </w:tcBorders>
            <w:noWrap/>
            <w:hideMark/>
          </w:tcPr>
          <w:p w:rsidRPr="00F23BB5" w:rsidR="00A26EF3" w:rsidP="00F77A3C" w:rsidRDefault="00A26EF3" w14:paraId="425E9EAC" w14:textId="77777777">
            <w:pPr>
              <w:spacing w:line="240" w:lineRule="auto"/>
              <w:jc w:val="left"/>
              <w:rPr>
                <w:color w:val="000000"/>
                <w:sz w:val="16"/>
                <w:szCs w:val="16"/>
              </w:rPr>
            </w:pPr>
            <w:r w:rsidRPr="00F23BB5">
              <w:rPr>
                <w:color w:val="000000"/>
                <w:sz w:val="16"/>
                <w:szCs w:val="16"/>
              </w:rPr>
              <w:t>Italy</w:t>
            </w:r>
          </w:p>
        </w:tc>
        <w:tc>
          <w:tcPr>
            <w:tcW w:w="1843" w:type="dxa"/>
            <w:tcBorders>
              <w:top w:val="single" w:color="9BC2E6" w:sz="4" w:space="0"/>
              <w:left w:val="nil"/>
              <w:bottom w:val="single" w:color="9BC2E6" w:sz="4" w:space="0"/>
              <w:right w:val="nil"/>
            </w:tcBorders>
            <w:noWrap/>
            <w:vAlign w:val="center"/>
            <w:hideMark/>
          </w:tcPr>
          <w:p w:rsidRPr="00F23BB5" w:rsidR="00A26EF3" w:rsidP="00F77A3C" w:rsidRDefault="00A26EF3" w14:paraId="42F9F6F7" w14:textId="77777777">
            <w:pPr>
              <w:spacing w:line="240" w:lineRule="auto"/>
              <w:jc w:val="center"/>
              <w:rPr>
                <w:color w:val="000000"/>
                <w:sz w:val="16"/>
                <w:szCs w:val="16"/>
              </w:rPr>
            </w:pPr>
            <w:r w:rsidRPr="00F23BB5">
              <w:rPr>
                <w:color w:val="000000"/>
                <w:sz w:val="16"/>
                <w:szCs w:val="16"/>
              </w:rPr>
              <w:t>X</w:t>
            </w:r>
          </w:p>
        </w:tc>
        <w:tc>
          <w:tcPr>
            <w:tcW w:w="1570" w:type="dxa"/>
            <w:tcBorders>
              <w:top w:val="single" w:color="9BC2E6" w:sz="4" w:space="0"/>
              <w:left w:val="nil"/>
              <w:bottom w:val="single" w:color="9BC2E6" w:sz="4" w:space="0"/>
              <w:right w:val="single" w:color="9BC2E6" w:sz="4" w:space="0"/>
            </w:tcBorders>
            <w:noWrap/>
            <w:vAlign w:val="center"/>
            <w:hideMark/>
          </w:tcPr>
          <w:p w:rsidRPr="00F23BB5" w:rsidR="00A26EF3" w:rsidP="00F77A3C" w:rsidRDefault="00A26EF3" w14:paraId="0A842A57" w14:textId="77777777">
            <w:pPr>
              <w:spacing w:line="240" w:lineRule="auto"/>
              <w:jc w:val="center"/>
              <w:rPr>
                <w:color w:val="000000"/>
                <w:sz w:val="16"/>
                <w:szCs w:val="16"/>
              </w:rPr>
            </w:pPr>
            <w:r w:rsidRPr="00F23BB5">
              <w:rPr>
                <w:color w:val="000000"/>
                <w:sz w:val="16"/>
                <w:szCs w:val="16"/>
              </w:rPr>
              <w:t>X</w:t>
            </w:r>
          </w:p>
        </w:tc>
      </w:tr>
      <w:tr w:rsidRPr="00F23BB5" w:rsidR="00A26EF3" w:rsidTr="00F77A3C" w14:paraId="35E5A9C3" w14:textId="77777777">
        <w:trPr>
          <w:trHeight w:val="290"/>
        </w:trPr>
        <w:tc>
          <w:tcPr>
            <w:tcW w:w="4106" w:type="dxa"/>
            <w:tcBorders>
              <w:top w:val="single" w:color="9BC2E6" w:sz="4" w:space="0"/>
              <w:left w:val="single" w:color="9BC2E6" w:sz="4" w:space="0"/>
              <w:bottom w:val="single" w:color="9BC2E6" w:sz="4" w:space="0"/>
              <w:right w:val="nil"/>
            </w:tcBorders>
            <w:shd w:val="clear" w:color="DDEBF7" w:fill="DDEBF7"/>
            <w:hideMark/>
          </w:tcPr>
          <w:p w:rsidRPr="00063647" w:rsidR="00A26EF3" w:rsidP="00F77A3C" w:rsidRDefault="00A26EF3" w14:paraId="704CF9A7" w14:textId="77777777">
            <w:pPr>
              <w:spacing w:line="240" w:lineRule="auto"/>
              <w:jc w:val="left"/>
              <w:rPr>
                <w:color w:val="000000"/>
                <w:sz w:val="16"/>
                <w:szCs w:val="16"/>
                <w:lang w:val="it-IT"/>
              </w:rPr>
            </w:pPr>
            <w:r w:rsidRPr="00063647">
              <w:rPr>
                <w:color w:val="000000"/>
                <w:sz w:val="16"/>
                <w:szCs w:val="16"/>
                <w:lang w:val="it-IT"/>
              </w:rPr>
              <w:t>Ente Nazionale per l'Aviazione Civile</w:t>
            </w:r>
          </w:p>
        </w:tc>
        <w:tc>
          <w:tcPr>
            <w:tcW w:w="1701" w:type="dxa"/>
            <w:tcBorders>
              <w:top w:val="single" w:color="9BC2E6" w:sz="4" w:space="0"/>
              <w:left w:val="nil"/>
              <w:bottom w:val="single" w:color="9BC2E6" w:sz="4" w:space="0"/>
              <w:right w:val="nil"/>
            </w:tcBorders>
            <w:shd w:val="clear" w:color="DDEBF7" w:fill="DDEBF7"/>
            <w:noWrap/>
            <w:hideMark/>
          </w:tcPr>
          <w:p w:rsidRPr="00F23BB5" w:rsidR="00A26EF3" w:rsidP="00F77A3C" w:rsidRDefault="00A26EF3" w14:paraId="541266D1" w14:textId="77777777">
            <w:pPr>
              <w:spacing w:line="240" w:lineRule="auto"/>
              <w:jc w:val="left"/>
              <w:rPr>
                <w:color w:val="000000"/>
                <w:sz w:val="16"/>
                <w:szCs w:val="16"/>
              </w:rPr>
            </w:pPr>
            <w:r w:rsidRPr="00F23BB5">
              <w:rPr>
                <w:color w:val="000000"/>
                <w:sz w:val="16"/>
                <w:szCs w:val="16"/>
              </w:rPr>
              <w:t>Italy</w:t>
            </w:r>
          </w:p>
        </w:tc>
        <w:tc>
          <w:tcPr>
            <w:tcW w:w="1843" w:type="dxa"/>
            <w:tcBorders>
              <w:top w:val="single" w:color="9BC2E6" w:sz="4" w:space="0"/>
              <w:left w:val="nil"/>
              <w:bottom w:val="single" w:color="9BC2E6" w:sz="4" w:space="0"/>
              <w:right w:val="nil"/>
            </w:tcBorders>
            <w:shd w:val="clear" w:color="DDEBF7" w:fill="DDEBF7"/>
            <w:noWrap/>
            <w:vAlign w:val="center"/>
            <w:hideMark/>
          </w:tcPr>
          <w:p w:rsidRPr="00F23BB5" w:rsidR="00A26EF3" w:rsidP="00F77A3C" w:rsidRDefault="00A26EF3" w14:paraId="60FF302C" w14:textId="77777777">
            <w:pPr>
              <w:spacing w:line="240" w:lineRule="auto"/>
              <w:jc w:val="center"/>
              <w:rPr>
                <w:color w:val="000000"/>
                <w:sz w:val="16"/>
                <w:szCs w:val="16"/>
              </w:rPr>
            </w:pPr>
            <w:r w:rsidRPr="00F23BB5">
              <w:rPr>
                <w:color w:val="000000"/>
                <w:sz w:val="16"/>
                <w:szCs w:val="16"/>
              </w:rPr>
              <w:t>X</w:t>
            </w:r>
          </w:p>
        </w:tc>
        <w:tc>
          <w:tcPr>
            <w:tcW w:w="1570" w:type="dxa"/>
            <w:tcBorders>
              <w:top w:val="single" w:color="9BC2E6" w:sz="4" w:space="0"/>
              <w:left w:val="nil"/>
              <w:bottom w:val="single" w:color="9BC2E6" w:sz="4" w:space="0"/>
              <w:right w:val="single" w:color="9BC2E6" w:sz="4" w:space="0"/>
            </w:tcBorders>
            <w:shd w:val="clear" w:color="DDEBF7" w:fill="DDEBF7"/>
            <w:noWrap/>
            <w:vAlign w:val="center"/>
            <w:hideMark/>
          </w:tcPr>
          <w:p w:rsidRPr="00F23BB5" w:rsidR="00A26EF3" w:rsidP="00F77A3C" w:rsidRDefault="00A26EF3" w14:paraId="38E7F66E" w14:textId="77777777">
            <w:pPr>
              <w:spacing w:line="240" w:lineRule="auto"/>
              <w:jc w:val="center"/>
              <w:rPr>
                <w:color w:val="000000"/>
                <w:sz w:val="16"/>
                <w:szCs w:val="16"/>
              </w:rPr>
            </w:pPr>
          </w:p>
        </w:tc>
      </w:tr>
      <w:tr w:rsidRPr="00F23BB5" w:rsidR="00A26EF3" w:rsidTr="00F77A3C" w14:paraId="4FDCF067" w14:textId="77777777">
        <w:trPr>
          <w:trHeight w:val="290"/>
        </w:trPr>
        <w:tc>
          <w:tcPr>
            <w:tcW w:w="4106" w:type="dxa"/>
            <w:tcBorders>
              <w:top w:val="single" w:color="9BC2E6" w:sz="4" w:space="0"/>
              <w:left w:val="single" w:color="9BC2E6" w:sz="4" w:space="0"/>
              <w:bottom w:val="single" w:color="9BC2E6" w:sz="4" w:space="0"/>
              <w:right w:val="nil"/>
            </w:tcBorders>
            <w:hideMark/>
          </w:tcPr>
          <w:p w:rsidRPr="00063647" w:rsidR="00A26EF3" w:rsidP="00F77A3C" w:rsidRDefault="00A26EF3" w14:paraId="46AE6279" w14:textId="77777777">
            <w:pPr>
              <w:spacing w:line="240" w:lineRule="auto"/>
              <w:jc w:val="left"/>
              <w:rPr>
                <w:color w:val="000000"/>
                <w:sz w:val="16"/>
                <w:szCs w:val="16"/>
                <w:lang w:val="it-IT"/>
              </w:rPr>
            </w:pPr>
            <w:r w:rsidRPr="00063647">
              <w:rPr>
                <w:color w:val="000000"/>
                <w:sz w:val="16"/>
                <w:szCs w:val="16"/>
                <w:lang w:val="it-IT"/>
              </w:rPr>
              <w:t>FISAC - CGIL (Federazione Italiana Sindicato Assicurazioni Credito)</w:t>
            </w:r>
          </w:p>
        </w:tc>
        <w:tc>
          <w:tcPr>
            <w:tcW w:w="1701" w:type="dxa"/>
            <w:tcBorders>
              <w:top w:val="single" w:color="9BC2E6" w:sz="4" w:space="0"/>
              <w:left w:val="nil"/>
              <w:bottom w:val="single" w:color="9BC2E6" w:sz="4" w:space="0"/>
              <w:right w:val="nil"/>
            </w:tcBorders>
            <w:noWrap/>
            <w:hideMark/>
          </w:tcPr>
          <w:p w:rsidRPr="00F23BB5" w:rsidR="00A26EF3" w:rsidP="00F77A3C" w:rsidRDefault="00A26EF3" w14:paraId="2B04A47C" w14:textId="77777777">
            <w:pPr>
              <w:spacing w:line="240" w:lineRule="auto"/>
              <w:jc w:val="left"/>
              <w:rPr>
                <w:color w:val="000000"/>
                <w:sz w:val="16"/>
                <w:szCs w:val="16"/>
              </w:rPr>
            </w:pPr>
            <w:r w:rsidRPr="00F23BB5">
              <w:rPr>
                <w:color w:val="000000"/>
                <w:sz w:val="16"/>
                <w:szCs w:val="16"/>
              </w:rPr>
              <w:t>Italy</w:t>
            </w:r>
          </w:p>
        </w:tc>
        <w:tc>
          <w:tcPr>
            <w:tcW w:w="1843" w:type="dxa"/>
            <w:tcBorders>
              <w:top w:val="single" w:color="9BC2E6" w:sz="4" w:space="0"/>
              <w:left w:val="nil"/>
              <w:bottom w:val="single" w:color="9BC2E6" w:sz="4" w:space="0"/>
              <w:right w:val="nil"/>
            </w:tcBorders>
            <w:noWrap/>
            <w:vAlign w:val="center"/>
            <w:hideMark/>
          </w:tcPr>
          <w:p w:rsidRPr="00F23BB5" w:rsidR="00A26EF3" w:rsidP="00F77A3C" w:rsidRDefault="00A26EF3" w14:paraId="6C26EB6E" w14:textId="77777777">
            <w:pPr>
              <w:spacing w:line="240" w:lineRule="auto"/>
              <w:jc w:val="left"/>
              <w:rPr>
                <w:color w:val="000000"/>
                <w:sz w:val="16"/>
                <w:szCs w:val="16"/>
              </w:rPr>
            </w:pPr>
          </w:p>
        </w:tc>
        <w:tc>
          <w:tcPr>
            <w:tcW w:w="1570" w:type="dxa"/>
            <w:tcBorders>
              <w:top w:val="single" w:color="9BC2E6" w:sz="4" w:space="0"/>
              <w:left w:val="nil"/>
              <w:bottom w:val="single" w:color="9BC2E6" w:sz="4" w:space="0"/>
              <w:right w:val="single" w:color="9BC2E6" w:sz="4" w:space="0"/>
            </w:tcBorders>
            <w:noWrap/>
            <w:vAlign w:val="center"/>
            <w:hideMark/>
          </w:tcPr>
          <w:p w:rsidRPr="00F23BB5" w:rsidR="00A26EF3" w:rsidP="00F77A3C" w:rsidRDefault="00A26EF3" w14:paraId="2C22D89E" w14:textId="77777777">
            <w:pPr>
              <w:spacing w:line="240" w:lineRule="auto"/>
              <w:jc w:val="center"/>
              <w:rPr>
                <w:color w:val="000000"/>
                <w:sz w:val="16"/>
                <w:szCs w:val="16"/>
              </w:rPr>
            </w:pPr>
            <w:r w:rsidRPr="00F23BB5">
              <w:rPr>
                <w:color w:val="000000"/>
                <w:sz w:val="16"/>
                <w:szCs w:val="16"/>
              </w:rPr>
              <w:t>X</w:t>
            </w:r>
          </w:p>
        </w:tc>
      </w:tr>
      <w:tr w:rsidRPr="00F23BB5" w:rsidR="00A26EF3" w:rsidTr="00F77A3C" w14:paraId="11C34D01" w14:textId="77777777">
        <w:trPr>
          <w:trHeight w:val="290"/>
        </w:trPr>
        <w:tc>
          <w:tcPr>
            <w:tcW w:w="4106" w:type="dxa"/>
            <w:tcBorders>
              <w:top w:val="single" w:color="9BC2E6" w:sz="4" w:space="0"/>
              <w:left w:val="single" w:color="9BC2E6" w:sz="4" w:space="0"/>
              <w:bottom w:val="single" w:color="9BC2E6" w:sz="4" w:space="0"/>
              <w:right w:val="nil"/>
            </w:tcBorders>
            <w:shd w:val="clear" w:color="DDEBF7" w:fill="DDEBF7"/>
            <w:hideMark/>
          </w:tcPr>
          <w:p w:rsidRPr="00F23BB5" w:rsidR="00A26EF3" w:rsidP="00F77A3C" w:rsidRDefault="00A26EF3" w14:paraId="69FF7270" w14:textId="77777777">
            <w:pPr>
              <w:spacing w:line="240" w:lineRule="auto"/>
              <w:jc w:val="left"/>
              <w:rPr>
                <w:color w:val="000000"/>
                <w:sz w:val="16"/>
                <w:szCs w:val="16"/>
              </w:rPr>
            </w:pPr>
            <w:r w:rsidRPr="00F23BB5">
              <w:rPr>
                <w:color w:val="000000"/>
                <w:sz w:val="16"/>
                <w:szCs w:val="16"/>
              </w:rPr>
              <w:t>Funzione Pubblica CGIL</w:t>
            </w:r>
          </w:p>
        </w:tc>
        <w:tc>
          <w:tcPr>
            <w:tcW w:w="1701" w:type="dxa"/>
            <w:tcBorders>
              <w:top w:val="single" w:color="9BC2E6" w:sz="4" w:space="0"/>
              <w:left w:val="nil"/>
              <w:bottom w:val="single" w:color="9BC2E6" w:sz="4" w:space="0"/>
              <w:right w:val="nil"/>
            </w:tcBorders>
            <w:shd w:val="clear" w:color="DDEBF7" w:fill="DDEBF7"/>
            <w:noWrap/>
            <w:hideMark/>
          </w:tcPr>
          <w:p w:rsidRPr="00F23BB5" w:rsidR="00A26EF3" w:rsidP="00F77A3C" w:rsidRDefault="00A26EF3" w14:paraId="07D6166C" w14:textId="77777777">
            <w:pPr>
              <w:spacing w:line="240" w:lineRule="auto"/>
              <w:jc w:val="left"/>
              <w:rPr>
                <w:color w:val="000000"/>
                <w:sz w:val="16"/>
                <w:szCs w:val="16"/>
              </w:rPr>
            </w:pPr>
            <w:r w:rsidRPr="00F23BB5">
              <w:rPr>
                <w:color w:val="000000"/>
                <w:sz w:val="16"/>
                <w:szCs w:val="16"/>
              </w:rPr>
              <w:t>Italy</w:t>
            </w:r>
          </w:p>
        </w:tc>
        <w:tc>
          <w:tcPr>
            <w:tcW w:w="1843" w:type="dxa"/>
            <w:tcBorders>
              <w:top w:val="single" w:color="9BC2E6" w:sz="4" w:space="0"/>
              <w:left w:val="nil"/>
              <w:bottom w:val="single" w:color="9BC2E6" w:sz="4" w:space="0"/>
              <w:right w:val="nil"/>
            </w:tcBorders>
            <w:shd w:val="clear" w:color="DDEBF7" w:fill="DDEBF7"/>
            <w:noWrap/>
            <w:vAlign w:val="center"/>
            <w:hideMark/>
          </w:tcPr>
          <w:p w:rsidRPr="00F23BB5" w:rsidR="00A26EF3" w:rsidP="00F77A3C" w:rsidRDefault="00A26EF3" w14:paraId="3B26D7A5" w14:textId="77777777">
            <w:pPr>
              <w:spacing w:line="240" w:lineRule="auto"/>
              <w:jc w:val="left"/>
              <w:rPr>
                <w:color w:val="000000"/>
                <w:sz w:val="16"/>
                <w:szCs w:val="16"/>
              </w:rPr>
            </w:pPr>
          </w:p>
        </w:tc>
        <w:tc>
          <w:tcPr>
            <w:tcW w:w="1570" w:type="dxa"/>
            <w:tcBorders>
              <w:top w:val="single" w:color="9BC2E6" w:sz="4" w:space="0"/>
              <w:left w:val="nil"/>
              <w:bottom w:val="single" w:color="9BC2E6" w:sz="4" w:space="0"/>
              <w:right w:val="single" w:color="9BC2E6" w:sz="4" w:space="0"/>
            </w:tcBorders>
            <w:shd w:val="clear" w:color="DDEBF7" w:fill="DDEBF7"/>
            <w:noWrap/>
            <w:vAlign w:val="center"/>
            <w:hideMark/>
          </w:tcPr>
          <w:p w:rsidRPr="00F23BB5" w:rsidR="00A26EF3" w:rsidP="00F77A3C" w:rsidRDefault="00A26EF3" w14:paraId="5C2BA770" w14:textId="77777777">
            <w:pPr>
              <w:spacing w:line="240" w:lineRule="auto"/>
              <w:jc w:val="center"/>
              <w:rPr>
                <w:color w:val="000000"/>
                <w:sz w:val="16"/>
                <w:szCs w:val="16"/>
              </w:rPr>
            </w:pPr>
            <w:r w:rsidRPr="00F23BB5">
              <w:rPr>
                <w:color w:val="000000"/>
                <w:sz w:val="16"/>
                <w:szCs w:val="16"/>
              </w:rPr>
              <w:t>X</w:t>
            </w:r>
          </w:p>
        </w:tc>
      </w:tr>
      <w:tr w:rsidRPr="00F23BB5" w:rsidR="00A26EF3" w:rsidTr="00F77A3C" w14:paraId="3A12EA83" w14:textId="77777777">
        <w:trPr>
          <w:trHeight w:val="290"/>
        </w:trPr>
        <w:tc>
          <w:tcPr>
            <w:tcW w:w="4106" w:type="dxa"/>
            <w:tcBorders>
              <w:top w:val="single" w:color="9BC2E6" w:sz="4" w:space="0"/>
              <w:left w:val="single" w:color="9BC2E6" w:sz="4" w:space="0"/>
              <w:bottom w:val="single" w:color="9BC2E6" w:sz="4" w:space="0"/>
              <w:right w:val="nil"/>
            </w:tcBorders>
            <w:hideMark/>
          </w:tcPr>
          <w:p w:rsidRPr="00063647" w:rsidR="00A26EF3" w:rsidP="00F77A3C" w:rsidRDefault="00A26EF3" w14:paraId="0C6DE6A0" w14:textId="77777777">
            <w:pPr>
              <w:spacing w:line="240" w:lineRule="auto"/>
              <w:jc w:val="left"/>
              <w:rPr>
                <w:color w:val="000000"/>
                <w:sz w:val="16"/>
                <w:szCs w:val="16"/>
                <w:lang w:val="it-IT"/>
              </w:rPr>
            </w:pPr>
            <w:r w:rsidRPr="00063647">
              <w:rPr>
                <w:color w:val="000000"/>
                <w:sz w:val="16"/>
                <w:szCs w:val="16"/>
                <w:lang w:val="it-IT"/>
              </w:rPr>
              <w:t>Ministero della Giustizia (Ministry of Justice)</w:t>
            </w:r>
          </w:p>
        </w:tc>
        <w:tc>
          <w:tcPr>
            <w:tcW w:w="1701" w:type="dxa"/>
            <w:tcBorders>
              <w:top w:val="single" w:color="9BC2E6" w:sz="4" w:space="0"/>
              <w:left w:val="nil"/>
              <w:bottom w:val="single" w:color="9BC2E6" w:sz="4" w:space="0"/>
              <w:right w:val="nil"/>
            </w:tcBorders>
            <w:noWrap/>
            <w:hideMark/>
          </w:tcPr>
          <w:p w:rsidRPr="00F23BB5" w:rsidR="00A26EF3" w:rsidP="00F77A3C" w:rsidRDefault="00A26EF3" w14:paraId="6F3531A2" w14:textId="77777777">
            <w:pPr>
              <w:spacing w:line="240" w:lineRule="auto"/>
              <w:jc w:val="left"/>
              <w:rPr>
                <w:color w:val="000000"/>
                <w:sz w:val="16"/>
                <w:szCs w:val="16"/>
              </w:rPr>
            </w:pPr>
            <w:r w:rsidRPr="00F23BB5">
              <w:rPr>
                <w:color w:val="000000"/>
                <w:sz w:val="16"/>
                <w:szCs w:val="16"/>
              </w:rPr>
              <w:t>Italy</w:t>
            </w:r>
          </w:p>
        </w:tc>
        <w:tc>
          <w:tcPr>
            <w:tcW w:w="1843" w:type="dxa"/>
            <w:tcBorders>
              <w:top w:val="single" w:color="9BC2E6" w:sz="4" w:space="0"/>
              <w:left w:val="nil"/>
              <w:bottom w:val="single" w:color="9BC2E6" w:sz="4" w:space="0"/>
              <w:right w:val="nil"/>
            </w:tcBorders>
            <w:noWrap/>
            <w:vAlign w:val="center"/>
            <w:hideMark/>
          </w:tcPr>
          <w:p w:rsidRPr="00F23BB5" w:rsidR="00A26EF3" w:rsidP="00F77A3C" w:rsidRDefault="00A26EF3" w14:paraId="66BE05D1" w14:textId="77777777">
            <w:pPr>
              <w:spacing w:line="240" w:lineRule="auto"/>
              <w:jc w:val="center"/>
              <w:rPr>
                <w:color w:val="000000"/>
                <w:sz w:val="16"/>
                <w:szCs w:val="16"/>
              </w:rPr>
            </w:pPr>
            <w:r w:rsidRPr="00F23BB5">
              <w:rPr>
                <w:color w:val="000000"/>
                <w:sz w:val="16"/>
                <w:szCs w:val="16"/>
              </w:rPr>
              <w:t>X</w:t>
            </w:r>
          </w:p>
        </w:tc>
        <w:tc>
          <w:tcPr>
            <w:tcW w:w="1570" w:type="dxa"/>
            <w:tcBorders>
              <w:top w:val="single" w:color="9BC2E6" w:sz="4" w:space="0"/>
              <w:left w:val="nil"/>
              <w:bottom w:val="single" w:color="9BC2E6" w:sz="4" w:space="0"/>
              <w:right w:val="single" w:color="9BC2E6" w:sz="4" w:space="0"/>
            </w:tcBorders>
            <w:noWrap/>
            <w:vAlign w:val="center"/>
            <w:hideMark/>
          </w:tcPr>
          <w:p w:rsidRPr="00F23BB5" w:rsidR="00A26EF3" w:rsidP="00F77A3C" w:rsidRDefault="00A26EF3" w14:paraId="22F20768" w14:textId="77777777">
            <w:pPr>
              <w:spacing w:line="240" w:lineRule="auto"/>
              <w:jc w:val="center"/>
              <w:rPr>
                <w:color w:val="000000"/>
                <w:sz w:val="16"/>
                <w:szCs w:val="16"/>
              </w:rPr>
            </w:pPr>
          </w:p>
        </w:tc>
      </w:tr>
      <w:tr w:rsidRPr="00F23BB5" w:rsidR="00A26EF3" w:rsidTr="00F77A3C" w14:paraId="7D9D059D" w14:textId="77777777">
        <w:trPr>
          <w:trHeight w:val="290"/>
        </w:trPr>
        <w:tc>
          <w:tcPr>
            <w:tcW w:w="4106" w:type="dxa"/>
            <w:tcBorders>
              <w:top w:val="single" w:color="9BC2E6" w:sz="4" w:space="0"/>
              <w:left w:val="single" w:color="9BC2E6" w:sz="4" w:space="0"/>
              <w:bottom w:val="single" w:color="9BC2E6" w:sz="4" w:space="0"/>
              <w:right w:val="nil"/>
            </w:tcBorders>
            <w:shd w:val="clear" w:color="DDEBF7" w:fill="DDEBF7"/>
            <w:hideMark/>
          </w:tcPr>
          <w:p w:rsidRPr="00F23BB5" w:rsidR="00A26EF3" w:rsidP="00F77A3C" w:rsidRDefault="00A26EF3" w14:paraId="02BB733E" w14:textId="77777777">
            <w:pPr>
              <w:spacing w:line="240" w:lineRule="auto"/>
              <w:jc w:val="left"/>
              <w:rPr>
                <w:color w:val="000000"/>
                <w:sz w:val="16"/>
                <w:szCs w:val="16"/>
              </w:rPr>
            </w:pPr>
            <w:r w:rsidRPr="00F23BB5">
              <w:rPr>
                <w:color w:val="000000"/>
                <w:sz w:val="16"/>
                <w:szCs w:val="16"/>
              </w:rPr>
              <w:t>Transparency International Italia</w:t>
            </w:r>
          </w:p>
        </w:tc>
        <w:tc>
          <w:tcPr>
            <w:tcW w:w="1701" w:type="dxa"/>
            <w:tcBorders>
              <w:top w:val="single" w:color="9BC2E6" w:sz="4" w:space="0"/>
              <w:left w:val="nil"/>
              <w:bottom w:val="single" w:color="9BC2E6" w:sz="4" w:space="0"/>
              <w:right w:val="nil"/>
            </w:tcBorders>
            <w:shd w:val="clear" w:color="DDEBF7" w:fill="DDEBF7"/>
            <w:noWrap/>
            <w:hideMark/>
          </w:tcPr>
          <w:p w:rsidRPr="00F23BB5" w:rsidR="00A26EF3" w:rsidP="00F77A3C" w:rsidRDefault="00A26EF3" w14:paraId="6C40C838" w14:textId="77777777">
            <w:pPr>
              <w:spacing w:line="240" w:lineRule="auto"/>
              <w:jc w:val="left"/>
              <w:rPr>
                <w:color w:val="000000"/>
                <w:sz w:val="16"/>
                <w:szCs w:val="16"/>
              </w:rPr>
            </w:pPr>
            <w:r w:rsidRPr="00F23BB5">
              <w:rPr>
                <w:color w:val="000000"/>
                <w:sz w:val="16"/>
                <w:szCs w:val="16"/>
              </w:rPr>
              <w:t>Italy</w:t>
            </w:r>
          </w:p>
        </w:tc>
        <w:tc>
          <w:tcPr>
            <w:tcW w:w="1843" w:type="dxa"/>
            <w:tcBorders>
              <w:top w:val="single" w:color="9BC2E6" w:sz="4" w:space="0"/>
              <w:left w:val="nil"/>
              <w:bottom w:val="single" w:color="9BC2E6" w:sz="4" w:space="0"/>
              <w:right w:val="nil"/>
            </w:tcBorders>
            <w:shd w:val="clear" w:color="DDEBF7" w:fill="DDEBF7"/>
            <w:noWrap/>
            <w:vAlign w:val="center"/>
            <w:hideMark/>
          </w:tcPr>
          <w:p w:rsidRPr="00F23BB5" w:rsidR="00A26EF3" w:rsidP="00F77A3C" w:rsidRDefault="00A26EF3" w14:paraId="0C4DFD1E" w14:textId="77777777">
            <w:pPr>
              <w:spacing w:line="240" w:lineRule="auto"/>
              <w:jc w:val="left"/>
              <w:rPr>
                <w:color w:val="000000"/>
                <w:sz w:val="16"/>
                <w:szCs w:val="16"/>
              </w:rPr>
            </w:pPr>
          </w:p>
        </w:tc>
        <w:tc>
          <w:tcPr>
            <w:tcW w:w="1570" w:type="dxa"/>
            <w:tcBorders>
              <w:top w:val="single" w:color="9BC2E6" w:sz="4" w:space="0"/>
              <w:left w:val="nil"/>
              <w:bottom w:val="single" w:color="9BC2E6" w:sz="4" w:space="0"/>
              <w:right w:val="single" w:color="9BC2E6" w:sz="4" w:space="0"/>
            </w:tcBorders>
            <w:shd w:val="clear" w:color="DDEBF7" w:fill="DDEBF7"/>
            <w:noWrap/>
            <w:vAlign w:val="center"/>
            <w:hideMark/>
          </w:tcPr>
          <w:p w:rsidRPr="00F23BB5" w:rsidR="00A26EF3" w:rsidP="00F77A3C" w:rsidRDefault="00A26EF3" w14:paraId="26F41A2D" w14:textId="77777777">
            <w:pPr>
              <w:spacing w:line="240" w:lineRule="auto"/>
              <w:jc w:val="center"/>
              <w:rPr>
                <w:color w:val="000000"/>
                <w:sz w:val="16"/>
                <w:szCs w:val="16"/>
              </w:rPr>
            </w:pPr>
            <w:r w:rsidRPr="00F23BB5">
              <w:rPr>
                <w:color w:val="000000"/>
                <w:sz w:val="16"/>
                <w:szCs w:val="16"/>
              </w:rPr>
              <w:t>X</w:t>
            </w:r>
          </w:p>
        </w:tc>
      </w:tr>
      <w:tr w:rsidRPr="00F23BB5" w:rsidR="00A26EF3" w:rsidTr="00F77A3C" w14:paraId="5AC8025A" w14:textId="77777777">
        <w:trPr>
          <w:trHeight w:val="290"/>
        </w:trPr>
        <w:tc>
          <w:tcPr>
            <w:tcW w:w="4106" w:type="dxa"/>
            <w:tcBorders>
              <w:top w:val="single" w:color="9BC2E6" w:sz="4" w:space="0"/>
              <w:left w:val="single" w:color="9BC2E6" w:sz="4" w:space="0"/>
              <w:bottom w:val="single" w:color="9BC2E6" w:sz="4" w:space="0"/>
              <w:right w:val="nil"/>
            </w:tcBorders>
            <w:hideMark/>
          </w:tcPr>
          <w:p w:rsidRPr="00063647" w:rsidR="00A26EF3" w:rsidP="00F77A3C" w:rsidRDefault="00A26EF3" w14:paraId="0BED4D00" w14:textId="77777777">
            <w:pPr>
              <w:spacing w:line="240" w:lineRule="auto"/>
              <w:jc w:val="left"/>
              <w:rPr>
                <w:color w:val="000000"/>
                <w:sz w:val="16"/>
                <w:szCs w:val="16"/>
                <w:lang w:val="it-IT"/>
              </w:rPr>
            </w:pPr>
            <w:r w:rsidRPr="00063647">
              <w:rPr>
                <w:color w:val="000000"/>
                <w:sz w:val="16"/>
                <w:szCs w:val="16"/>
                <w:lang w:val="it-IT"/>
              </w:rPr>
              <w:t>UILCA - Unione Italiana del Lavoro Credito, Esattorie e Assicurazioni</w:t>
            </w:r>
          </w:p>
        </w:tc>
        <w:tc>
          <w:tcPr>
            <w:tcW w:w="1701" w:type="dxa"/>
            <w:tcBorders>
              <w:top w:val="single" w:color="9BC2E6" w:sz="4" w:space="0"/>
              <w:left w:val="nil"/>
              <w:bottom w:val="single" w:color="9BC2E6" w:sz="4" w:space="0"/>
              <w:right w:val="nil"/>
            </w:tcBorders>
            <w:noWrap/>
            <w:hideMark/>
          </w:tcPr>
          <w:p w:rsidRPr="00F23BB5" w:rsidR="00A26EF3" w:rsidP="00F77A3C" w:rsidRDefault="00A26EF3" w14:paraId="29AFC14F" w14:textId="77777777">
            <w:pPr>
              <w:spacing w:line="240" w:lineRule="auto"/>
              <w:jc w:val="left"/>
              <w:rPr>
                <w:color w:val="000000"/>
                <w:sz w:val="16"/>
                <w:szCs w:val="16"/>
              </w:rPr>
            </w:pPr>
            <w:r w:rsidRPr="00F23BB5">
              <w:rPr>
                <w:color w:val="000000"/>
                <w:sz w:val="16"/>
                <w:szCs w:val="16"/>
              </w:rPr>
              <w:t>Italy</w:t>
            </w:r>
          </w:p>
        </w:tc>
        <w:tc>
          <w:tcPr>
            <w:tcW w:w="1843" w:type="dxa"/>
            <w:tcBorders>
              <w:top w:val="single" w:color="9BC2E6" w:sz="4" w:space="0"/>
              <w:left w:val="nil"/>
              <w:bottom w:val="single" w:color="9BC2E6" w:sz="4" w:space="0"/>
              <w:right w:val="nil"/>
            </w:tcBorders>
            <w:noWrap/>
            <w:vAlign w:val="center"/>
            <w:hideMark/>
          </w:tcPr>
          <w:p w:rsidRPr="00F23BB5" w:rsidR="00A26EF3" w:rsidP="00F77A3C" w:rsidRDefault="00A26EF3" w14:paraId="5697B20A" w14:textId="77777777">
            <w:pPr>
              <w:spacing w:line="240" w:lineRule="auto"/>
              <w:jc w:val="left"/>
              <w:rPr>
                <w:color w:val="000000"/>
                <w:sz w:val="16"/>
                <w:szCs w:val="16"/>
              </w:rPr>
            </w:pPr>
          </w:p>
        </w:tc>
        <w:tc>
          <w:tcPr>
            <w:tcW w:w="1570" w:type="dxa"/>
            <w:tcBorders>
              <w:top w:val="single" w:color="9BC2E6" w:sz="4" w:space="0"/>
              <w:left w:val="nil"/>
              <w:bottom w:val="single" w:color="9BC2E6" w:sz="4" w:space="0"/>
              <w:right w:val="single" w:color="9BC2E6" w:sz="4" w:space="0"/>
            </w:tcBorders>
            <w:noWrap/>
            <w:vAlign w:val="center"/>
            <w:hideMark/>
          </w:tcPr>
          <w:p w:rsidRPr="00F23BB5" w:rsidR="00A26EF3" w:rsidP="00F77A3C" w:rsidRDefault="00A26EF3" w14:paraId="14960845" w14:textId="77777777">
            <w:pPr>
              <w:spacing w:line="240" w:lineRule="auto"/>
              <w:jc w:val="center"/>
              <w:rPr>
                <w:color w:val="000000"/>
                <w:sz w:val="16"/>
                <w:szCs w:val="16"/>
              </w:rPr>
            </w:pPr>
            <w:r w:rsidRPr="00F23BB5">
              <w:rPr>
                <w:color w:val="000000"/>
                <w:sz w:val="16"/>
                <w:szCs w:val="16"/>
              </w:rPr>
              <w:t>X</w:t>
            </w:r>
          </w:p>
        </w:tc>
      </w:tr>
      <w:tr w:rsidRPr="00F23BB5" w:rsidR="00A26EF3" w:rsidTr="00F77A3C" w14:paraId="1058B91A" w14:textId="77777777">
        <w:trPr>
          <w:trHeight w:val="290"/>
        </w:trPr>
        <w:tc>
          <w:tcPr>
            <w:tcW w:w="4106" w:type="dxa"/>
            <w:tcBorders>
              <w:top w:val="single" w:color="9BC2E6" w:sz="4" w:space="0"/>
              <w:left w:val="single" w:color="9BC2E6" w:sz="4" w:space="0"/>
              <w:bottom w:val="single" w:color="9BC2E6" w:sz="4" w:space="0"/>
              <w:right w:val="nil"/>
            </w:tcBorders>
            <w:shd w:val="clear" w:color="DDEBF7" w:fill="DDEBF7"/>
            <w:hideMark/>
          </w:tcPr>
          <w:p w:rsidRPr="00F23BB5" w:rsidR="00A26EF3" w:rsidP="00F77A3C" w:rsidRDefault="00A26EF3" w14:paraId="460F14E1" w14:textId="77777777">
            <w:pPr>
              <w:spacing w:line="240" w:lineRule="auto"/>
              <w:jc w:val="left"/>
              <w:rPr>
                <w:color w:val="000000"/>
                <w:sz w:val="16"/>
                <w:szCs w:val="16"/>
              </w:rPr>
            </w:pPr>
            <w:r w:rsidRPr="00F23BB5">
              <w:rPr>
                <w:color w:val="000000"/>
                <w:sz w:val="16"/>
                <w:szCs w:val="16"/>
              </w:rPr>
              <w:t>Utilitalia, Federiazione Utilities</w:t>
            </w:r>
          </w:p>
        </w:tc>
        <w:tc>
          <w:tcPr>
            <w:tcW w:w="1701" w:type="dxa"/>
            <w:tcBorders>
              <w:top w:val="single" w:color="9BC2E6" w:sz="4" w:space="0"/>
              <w:left w:val="nil"/>
              <w:bottom w:val="single" w:color="9BC2E6" w:sz="4" w:space="0"/>
              <w:right w:val="nil"/>
            </w:tcBorders>
            <w:shd w:val="clear" w:color="DDEBF7" w:fill="DDEBF7"/>
            <w:noWrap/>
            <w:hideMark/>
          </w:tcPr>
          <w:p w:rsidRPr="00F23BB5" w:rsidR="00A26EF3" w:rsidP="00F77A3C" w:rsidRDefault="00A26EF3" w14:paraId="4BA0E1F1" w14:textId="77777777">
            <w:pPr>
              <w:spacing w:line="240" w:lineRule="auto"/>
              <w:jc w:val="left"/>
              <w:rPr>
                <w:color w:val="000000"/>
                <w:sz w:val="16"/>
                <w:szCs w:val="16"/>
              </w:rPr>
            </w:pPr>
            <w:r w:rsidRPr="00F23BB5">
              <w:rPr>
                <w:color w:val="000000"/>
                <w:sz w:val="16"/>
                <w:szCs w:val="16"/>
              </w:rPr>
              <w:t>Italy</w:t>
            </w:r>
          </w:p>
        </w:tc>
        <w:tc>
          <w:tcPr>
            <w:tcW w:w="1843" w:type="dxa"/>
            <w:tcBorders>
              <w:top w:val="single" w:color="9BC2E6" w:sz="4" w:space="0"/>
              <w:left w:val="nil"/>
              <w:bottom w:val="single" w:color="9BC2E6" w:sz="4" w:space="0"/>
              <w:right w:val="nil"/>
            </w:tcBorders>
            <w:shd w:val="clear" w:color="DDEBF7" w:fill="DDEBF7"/>
            <w:noWrap/>
            <w:vAlign w:val="center"/>
            <w:hideMark/>
          </w:tcPr>
          <w:p w:rsidRPr="00F23BB5" w:rsidR="00A26EF3" w:rsidP="00F77A3C" w:rsidRDefault="00A26EF3" w14:paraId="7608AB19" w14:textId="77777777">
            <w:pPr>
              <w:spacing w:line="240" w:lineRule="auto"/>
              <w:jc w:val="left"/>
              <w:rPr>
                <w:color w:val="000000"/>
                <w:sz w:val="16"/>
                <w:szCs w:val="16"/>
              </w:rPr>
            </w:pPr>
          </w:p>
        </w:tc>
        <w:tc>
          <w:tcPr>
            <w:tcW w:w="1570" w:type="dxa"/>
            <w:tcBorders>
              <w:top w:val="single" w:color="9BC2E6" w:sz="4" w:space="0"/>
              <w:left w:val="nil"/>
              <w:bottom w:val="single" w:color="9BC2E6" w:sz="4" w:space="0"/>
              <w:right w:val="single" w:color="9BC2E6" w:sz="4" w:space="0"/>
            </w:tcBorders>
            <w:shd w:val="clear" w:color="DDEBF7" w:fill="DDEBF7"/>
            <w:noWrap/>
            <w:vAlign w:val="center"/>
            <w:hideMark/>
          </w:tcPr>
          <w:p w:rsidRPr="00F23BB5" w:rsidR="00A26EF3" w:rsidP="00F77A3C" w:rsidRDefault="00A26EF3" w14:paraId="4598C209" w14:textId="77777777">
            <w:pPr>
              <w:spacing w:line="240" w:lineRule="auto"/>
              <w:jc w:val="center"/>
              <w:rPr>
                <w:color w:val="000000"/>
                <w:sz w:val="16"/>
                <w:szCs w:val="16"/>
              </w:rPr>
            </w:pPr>
            <w:r w:rsidRPr="00F23BB5">
              <w:rPr>
                <w:color w:val="000000"/>
                <w:sz w:val="16"/>
                <w:szCs w:val="16"/>
              </w:rPr>
              <w:t>X</w:t>
            </w:r>
          </w:p>
        </w:tc>
      </w:tr>
      <w:tr w:rsidRPr="00F23BB5" w:rsidR="00A26EF3" w:rsidTr="00F77A3C" w14:paraId="23869909" w14:textId="77777777">
        <w:trPr>
          <w:trHeight w:val="290"/>
        </w:trPr>
        <w:tc>
          <w:tcPr>
            <w:tcW w:w="4106" w:type="dxa"/>
            <w:tcBorders>
              <w:top w:val="single" w:color="9BC2E6" w:sz="4" w:space="0"/>
              <w:left w:val="single" w:color="9BC2E6" w:sz="4" w:space="0"/>
              <w:bottom w:val="single" w:color="9BC2E6" w:sz="4" w:space="0"/>
              <w:right w:val="nil"/>
            </w:tcBorders>
            <w:hideMark/>
          </w:tcPr>
          <w:p w:rsidRPr="00F23BB5" w:rsidR="00A26EF3" w:rsidP="00F77A3C" w:rsidRDefault="00A26EF3" w14:paraId="36C1C827" w14:textId="77777777">
            <w:pPr>
              <w:spacing w:line="240" w:lineRule="auto"/>
              <w:jc w:val="left"/>
              <w:rPr>
                <w:color w:val="000000"/>
                <w:sz w:val="16"/>
                <w:szCs w:val="16"/>
              </w:rPr>
            </w:pPr>
            <w:r w:rsidRPr="00F23BB5">
              <w:rPr>
                <w:color w:val="000000"/>
                <w:sz w:val="16"/>
                <w:szCs w:val="16"/>
              </w:rPr>
              <w:t xml:space="preserve">Administrative Penalties Department, Procurement Monitoring Bureau </w:t>
            </w:r>
          </w:p>
        </w:tc>
        <w:tc>
          <w:tcPr>
            <w:tcW w:w="1701" w:type="dxa"/>
            <w:tcBorders>
              <w:top w:val="single" w:color="9BC2E6" w:sz="4" w:space="0"/>
              <w:left w:val="nil"/>
              <w:bottom w:val="single" w:color="9BC2E6" w:sz="4" w:space="0"/>
              <w:right w:val="nil"/>
            </w:tcBorders>
            <w:noWrap/>
            <w:hideMark/>
          </w:tcPr>
          <w:p w:rsidRPr="00F23BB5" w:rsidR="00A26EF3" w:rsidP="00F77A3C" w:rsidRDefault="00A26EF3" w14:paraId="4328525D" w14:textId="77777777">
            <w:pPr>
              <w:spacing w:line="240" w:lineRule="auto"/>
              <w:jc w:val="left"/>
              <w:rPr>
                <w:color w:val="000000"/>
                <w:sz w:val="16"/>
                <w:szCs w:val="16"/>
              </w:rPr>
            </w:pPr>
            <w:r w:rsidRPr="00F23BB5">
              <w:rPr>
                <w:color w:val="000000"/>
                <w:sz w:val="16"/>
                <w:szCs w:val="16"/>
              </w:rPr>
              <w:t>Latvia</w:t>
            </w:r>
          </w:p>
        </w:tc>
        <w:tc>
          <w:tcPr>
            <w:tcW w:w="1843" w:type="dxa"/>
            <w:tcBorders>
              <w:top w:val="single" w:color="9BC2E6" w:sz="4" w:space="0"/>
              <w:left w:val="nil"/>
              <w:bottom w:val="single" w:color="9BC2E6" w:sz="4" w:space="0"/>
              <w:right w:val="nil"/>
            </w:tcBorders>
            <w:noWrap/>
            <w:vAlign w:val="center"/>
            <w:hideMark/>
          </w:tcPr>
          <w:p w:rsidRPr="00F23BB5" w:rsidR="00A26EF3" w:rsidP="00F77A3C" w:rsidRDefault="00A26EF3" w14:paraId="7CEC9D96" w14:textId="77777777">
            <w:pPr>
              <w:spacing w:line="240" w:lineRule="auto"/>
              <w:jc w:val="left"/>
              <w:rPr>
                <w:color w:val="000000"/>
                <w:sz w:val="16"/>
                <w:szCs w:val="16"/>
              </w:rPr>
            </w:pPr>
          </w:p>
        </w:tc>
        <w:tc>
          <w:tcPr>
            <w:tcW w:w="1570" w:type="dxa"/>
            <w:tcBorders>
              <w:top w:val="single" w:color="9BC2E6" w:sz="4" w:space="0"/>
              <w:left w:val="nil"/>
              <w:bottom w:val="single" w:color="9BC2E6" w:sz="4" w:space="0"/>
              <w:right w:val="single" w:color="9BC2E6" w:sz="4" w:space="0"/>
            </w:tcBorders>
            <w:noWrap/>
            <w:vAlign w:val="center"/>
            <w:hideMark/>
          </w:tcPr>
          <w:p w:rsidRPr="00F23BB5" w:rsidR="00A26EF3" w:rsidP="00F77A3C" w:rsidRDefault="00A26EF3" w14:paraId="1C668199" w14:textId="77777777">
            <w:pPr>
              <w:spacing w:line="240" w:lineRule="auto"/>
              <w:jc w:val="center"/>
              <w:rPr>
                <w:color w:val="000000"/>
                <w:sz w:val="16"/>
                <w:szCs w:val="16"/>
              </w:rPr>
            </w:pPr>
            <w:r w:rsidRPr="00F23BB5">
              <w:rPr>
                <w:color w:val="000000"/>
                <w:sz w:val="16"/>
                <w:szCs w:val="16"/>
              </w:rPr>
              <w:t>X</w:t>
            </w:r>
          </w:p>
        </w:tc>
      </w:tr>
      <w:tr w:rsidRPr="00F23BB5" w:rsidR="00A26EF3" w:rsidTr="00F77A3C" w14:paraId="40BB0CF9" w14:textId="77777777">
        <w:trPr>
          <w:trHeight w:val="290"/>
        </w:trPr>
        <w:tc>
          <w:tcPr>
            <w:tcW w:w="4106" w:type="dxa"/>
            <w:tcBorders>
              <w:top w:val="single" w:color="9BC2E6" w:sz="4" w:space="0"/>
              <w:left w:val="single" w:color="9BC2E6" w:sz="4" w:space="0"/>
              <w:bottom w:val="single" w:color="9BC2E6" w:sz="4" w:space="0"/>
              <w:right w:val="nil"/>
            </w:tcBorders>
            <w:shd w:val="clear" w:color="DDEBF7" w:fill="DDEBF7"/>
            <w:hideMark/>
          </w:tcPr>
          <w:p w:rsidRPr="00F23BB5" w:rsidR="00A26EF3" w:rsidP="00F77A3C" w:rsidRDefault="00A26EF3" w14:paraId="7DA9A88F" w14:textId="77777777">
            <w:pPr>
              <w:spacing w:line="240" w:lineRule="auto"/>
              <w:jc w:val="left"/>
              <w:rPr>
                <w:color w:val="000000"/>
                <w:sz w:val="16"/>
                <w:szCs w:val="16"/>
              </w:rPr>
            </w:pPr>
            <w:r w:rsidRPr="00F23BB5">
              <w:rPr>
                <w:color w:val="000000"/>
                <w:sz w:val="16"/>
                <w:szCs w:val="16"/>
              </w:rPr>
              <w:t>Competition Council of the Republic of Latvia (Konkurences padome)</w:t>
            </w:r>
          </w:p>
        </w:tc>
        <w:tc>
          <w:tcPr>
            <w:tcW w:w="1701" w:type="dxa"/>
            <w:tcBorders>
              <w:top w:val="single" w:color="9BC2E6" w:sz="4" w:space="0"/>
              <w:left w:val="nil"/>
              <w:bottom w:val="single" w:color="9BC2E6" w:sz="4" w:space="0"/>
              <w:right w:val="nil"/>
            </w:tcBorders>
            <w:shd w:val="clear" w:color="DDEBF7" w:fill="DDEBF7"/>
            <w:noWrap/>
            <w:hideMark/>
          </w:tcPr>
          <w:p w:rsidRPr="00F23BB5" w:rsidR="00A26EF3" w:rsidP="00F77A3C" w:rsidRDefault="00A26EF3" w14:paraId="70B4824A" w14:textId="77777777">
            <w:pPr>
              <w:spacing w:line="240" w:lineRule="auto"/>
              <w:jc w:val="left"/>
              <w:rPr>
                <w:color w:val="000000"/>
                <w:sz w:val="16"/>
                <w:szCs w:val="16"/>
              </w:rPr>
            </w:pPr>
            <w:r w:rsidRPr="00F23BB5">
              <w:rPr>
                <w:color w:val="000000"/>
                <w:sz w:val="16"/>
                <w:szCs w:val="16"/>
              </w:rPr>
              <w:t>Latvia</w:t>
            </w:r>
          </w:p>
        </w:tc>
        <w:tc>
          <w:tcPr>
            <w:tcW w:w="1843" w:type="dxa"/>
            <w:tcBorders>
              <w:top w:val="single" w:color="9BC2E6" w:sz="4" w:space="0"/>
              <w:left w:val="nil"/>
              <w:bottom w:val="single" w:color="9BC2E6" w:sz="4" w:space="0"/>
              <w:right w:val="nil"/>
            </w:tcBorders>
            <w:shd w:val="clear" w:color="DDEBF7" w:fill="DDEBF7"/>
            <w:noWrap/>
            <w:vAlign w:val="center"/>
            <w:hideMark/>
          </w:tcPr>
          <w:p w:rsidRPr="00F23BB5" w:rsidR="00A26EF3" w:rsidP="00F77A3C" w:rsidRDefault="00A26EF3" w14:paraId="57F732F6" w14:textId="77777777">
            <w:pPr>
              <w:spacing w:line="240" w:lineRule="auto"/>
              <w:jc w:val="center"/>
              <w:rPr>
                <w:color w:val="000000"/>
                <w:sz w:val="16"/>
                <w:szCs w:val="16"/>
              </w:rPr>
            </w:pPr>
            <w:r w:rsidRPr="00F23BB5">
              <w:rPr>
                <w:color w:val="000000"/>
                <w:sz w:val="16"/>
                <w:szCs w:val="16"/>
              </w:rPr>
              <w:t>X</w:t>
            </w:r>
          </w:p>
        </w:tc>
        <w:tc>
          <w:tcPr>
            <w:tcW w:w="1570" w:type="dxa"/>
            <w:tcBorders>
              <w:top w:val="single" w:color="9BC2E6" w:sz="4" w:space="0"/>
              <w:left w:val="nil"/>
              <w:bottom w:val="single" w:color="9BC2E6" w:sz="4" w:space="0"/>
              <w:right w:val="single" w:color="9BC2E6" w:sz="4" w:space="0"/>
            </w:tcBorders>
            <w:shd w:val="clear" w:color="DDEBF7" w:fill="DDEBF7"/>
            <w:noWrap/>
            <w:vAlign w:val="center"/>
            <w:hideMark/>
          </w:tcPr>
          <w:p w:rsidRPr="00F23BB5" w:rsidR="00A26EF3" w:rsidP="00F77A3C" w:rsidRDefault="00A26EF3" w14:paraId="416AFEBA" w14:textId="77777777">
            <w:pPr>
              <w:spacing w:line="240" w:lineRule="auto"/>
              <w:jc w:val="center"/>
              <w:rPr>
                <w:color w:val="000000"/>
                <w:sz w:val="16"/>
                <w:szCs w:val="16"/>
              </w:rPr>
            </w:pPr>
            <w:r w:rsidRPr="00F23BB5">
              <w:rPr>
                <w:color w:val="000000"/>
                <w:sz w:val="16"/>
                <w:szCs w:val="16"/>
              </w:rPr>
              <w:t>X</w:t>
            </w:r>
          </w:p>
        </w:tc>
      </w:tr>
      <w:tr w:rsidRPr="00F23BB5" w:rsidR="00A26EF3" w:rsidTr="00F77A3C" w14:paraId="10B6D348" w14:textId="77777777">
        <w:trPr>
          <w:trHeight w:val="290"/>
        </w:trPr>
        <w:tc>
          <w:tcPr>
            <w:tcW w:w="4106" w:type="dxa"/>
            <w:tcBorders>
              <w:top w:val="single" w:color="9BC2E6" w:sz="4" w:space="0"/>
              <w:left w:val="single" w:color="9BC2E6" w:sz="4" w:space="0"/>
              <w:bottom w:val="single" w:color="9BC2E6" w:sz="4" w:space="0"/>
              <w:right w:val="nil"/>
            </w:tcBorders>
            <w:hideMark/>
          </w:tcPr>
          <w:p w:rsidRPr="00F23BB5" w:rsidR="00A26EF3" w:rsidP="00F77A3C" w:rsidRDefault="00A26EF3" w14:paraId="62ED7968" w14:textId="77777777">
            <w:pPr>
              <w:spacing w:line="240" w:lineRule="auto"/>
              <w:jc w:val="left"/>
              <w:rPr>
                <w:color w:val="000000"/>
                <w:sz w:val="16"/>
                <w:szCs w:val="16"/>
              </w:rPr>
            </w:pPr>
            <w:r w:rsidRPr="00F23BB5">
              <w:rPr>
                <w:color w:val="000000"/>
                <w:sz w:val="16"/>
                <w:szCs w:val="16"/>
              </w:rPr>
              <w:t>Corruption Prevention and Combating Bureau</w:t>
            </w:r>
          </w:p>
        </w:tc>
        <w:tc>
          <w:tcPr>
            <w:tcW w:w="1701" w:type="dxa"/>
            <w:tcBorders>
              <w:top w:val="single" w:color="9BC2E6" w:sz="4" w:space="0"/>
              <w:left w:val="nil"/>
              <w:bottom w:val="single" w:color="9BC2E6" w:sz="4" w:space="0"/>
              <w:right w:val="nil"/>
            </w:tcBorders>
            <w:noWrap/>
            <w:hideMark/>
          </w:tcPr>
          <w:p w:rsidRPr="00F23BB5" w:rsidR="00A26EF3" w:rsidP="00F77A3C" w:rsidRDefault="00A26EF3" w14:paraId="4B577986" w14:textId="77777777">
            <w:pPr>
              <w:spacing w:line="240" w:lineRule="auto"/>
              <w:jc w:val="left"/>
              <w:rPr>
                <w:color w:val="000000"/>
                <w:sz w:val="16"/>
                <w:szCs w:val="16"/>
              </w:rPr>
            </w:pPr>
            <w:r w:rsidRPr="00F23BB5">
              <w:rPr>
                <w:color w:val="000000"/>
                <w:sz w:val="16"/>
                <w:szCs w:val="16"/>
              </w:rPr>
              <w:t>Latvia</w:t>
            </w:r>
          </w:p>
        </w:tc>
        <w:tc>
          <w:tcPr>
            <w:tcW w:w="1843" w:type="dxa"/>
            <w:tcBorders>
              <w:top w:val="single" w:color="9BC2E6" w:sz="4" w:space="0"/>
              <w:left w:val="nil"/>
              <w:bottom w:val="single" w:color="9BC2E6" w:sz="4" w:space="0"/>
              <w:right w:val="nil"/>
            </w:tcBorders>
            <w:noWrap/>
            <w:vAlign w:val="center"/>
            <w:hideMark/>
          </w:tcPr>
          <w:p w:rsidRPr="00F23BB5" w:rsidR="00A26EF3" w:rsidP="00F77A3C" w:rsidRDefault="00A26EF3" w14:paraId="75DDF559" w14:textId="77777777">
            <w:pPr>
              <w:spacing w:line="240" w:lineRule="auto"/>
              <w:jc w:val="left"/>
              <w:rPr>
                <w:color w:val="000000"/>
                <w:sz w:val="16"/>
                <w:szCs w:val="16"/>
              </w:rPr>
            </w:pPr>
          </w:p>
        </w:tc>
        <w:tc>
          <w:tcPr>
            <w:tcW w:w="1570" w:type="dxa"/>
            <w:tcBorders>
              <w:top w:val="single" w:color="9BC2E6" w:sz="4" w:space="0"/>
              <w:left w:val="nil"/>
              <w:bottom w:val="single" w:color="9BC2E6" w:sz="4" w:space="0"/>
              <w:right w:val="single" w:color="9BC2E6" w:sz="4" w:space="0"/>
            </w:tcBorders>
            <w:noWrap/>
            <w:vAlign w:val="center"/>
            <w:hideMark/>
          </w:tcPr>
          <w:p w:rsidRPr="00F23BB5" w:rsidR="00A26EF3" w:rsidP="00F77A3C" w:rsidRDefault="00A26EF3" w14:paraId="5F1A5835" w14:textId="77777777">
            <w:pPr>
              <w:spacing w:line="240" w:lineRule="auto"/>
              <w:jc w:val="center"/>
              <w:rPr>
                <w:color w:val="000000"/>
                <w:sz w:val="16"/>
                <w:szCs w:val="16"/>
              </w:rPr>
            </w:pPr>
            <w:r w:rsidRPr="00F23BB5">
              <w:rPr>
                <w:color w:val="000000"/>
                <w:sz w:val="16"/>
                <w:szCs w:val="16"/>
              </w:rPr>
              <w:t>X</w:t>
            </w:r>
          </w:p>
        </w:tc>
      </w:tr>
      <w:tr w:rsidRPr="00F23BB5" w:rsidR="00A26EF3" w:rsidTr="00F77A3C" w14:paraId="566CA603" w14:textId="77777777">
        <w:trPr>
          <w:trHeight w:val="290"/>
        </w:trPr>
        <w:tc>
          <w:tcPr>
            <w:tcW w:w="4106" w:type="dxa"/>
            <w:tcBorders>
              <w:top w:val="single" w:color="9BC2E6" w:sz="4" w:space="0"/>
              <w:left w:val="single" w:color="9BC2E6" w:sz="4" w:space="0"/>
              <w:bottom w:val="single" w:color="9BC2E6" w:sz="4" w:space="0"/>
              <w:right w:val="nil"/>
            </w:tcBorders>
            <w:shd w:val="clear" w:color="DDEBF7" w:fill="DDEBF7"/>
            <w:hideMark/>
          </w:tcPr>
          <w:p w:rsidRPr="00F23BB5" w:rsidR="00A26EF3" w:rsidP="00F77A3C" w:rsidRDefault="00A26EF3" w14:paraId="50D42575" w14:textId="77777777">
            <w:pPr>
              <w:spacing w:line="240" w:lineRule="auto"/>
              <w:jc w:val="left"/>
              <w:rPr>
                <w:color w:val="000000"/>
                <w:sz w:val="16"/>
                <w:szCs w:val="16"/>
              </w:rPr>
            </w:pPr>
            <w:r w:rsidRPr="00F23BB5">
              <w:rPr>
                <w:color w:val="000000"/>
                <w:sz w:val="16"/>
                <w:szCs w:val="16"/>
              </w:rPr>
              <w:t xml:space="preserve">Department of Public Administration Policy, Whistleblower contact point at the State Chancellery  </w:t>
            </w:r>
          </w:p>
        </w:tc>
        <w:tc>
          <w:tcPr>
            <w:tcW w:w="1701" w:type="dxa"/>
            <w:tcBorders>
              <w:top w:val="single" w:color="9BC2E6" w:sz="4" w:space="0"/>
              <w:left w:val="nil"/>
              <w:bottom w:val="single" w:color="9BC2E6" w:sz="4" w:space="0"/>
              <w:right w:val="nil"/>
            </w:tcBorders>
            <w:shd w:val="clear" w:color="DDEBF7" w:fill="DDEBF7"/>
            <w:noWrap/>
            <w:hideMark/>
          </w:tcPr>
          <w:p w:rsidRPr="00F23BB5" w:rsidR="00A26EF3" w:rsidP="00F77A3C" w:rsidRDefault="00A26EF3" w14:paraId="75ADCB19" w14:textId="77777777">
            <w:pPr>
              <w:spacing w:line="240" w:lineRule="auto"/>
              <w:jc w:val="left"/>
              <w:rPr>
                <w:color w:val="000000"/>
                <w:sz w:val="16"/>
                <w:szCs w:val="16"/>
              </w:rPr>
            </w:pPr>
            <w:r w:rsidRPr="00F23BB5">
              <w:rPr>
                <w:color w:val="000000"/>
                <w:sz w:val="16"/>
                <w:szCs w:val="16"/>
              </w:rPr>
              <w:t>Latvia</w:t>
            </w:r>
          </w:p>
        </w:tc>
        <w:tc>
          <w:tcPr>
            <w:tcW w:w="1843" w:type="dxa"/>
            <w:tcBorders>
              <w:top w:val="single" w:color="9BC2E6" w:sz="4" w:space="0"/>
              <w:left w:val="nil"/>
              <w:bottom w:val="single" w:color="9BC2E6" w:sz="4" w:space="0"/>
              <w:right w:val="nil"/>
            </w:tcBorders>
            <w:shd w:val="clear" w:color="DDEBF7" w:fill="DDEBF7"/>
            <w:noWrap/>
            <w:vAlign w:val="center"/>
            <w:hideMark/>
          </w:tcPr>
          <w:p w:rsidRPr="00F23BB5" w:rsidR="00A26EF3" w:rsidP="00F77A3C" w:rsidRDefault="00A26EF3" w14:paraId="275576DE" w14:textId="77777777">
            <w:pPr>
              <w:spacing w:line="240" w:lineRule="auto"/>
              <w:jc w:val="center"/>
              <w:rPr>
                <w:color w:val="000000"/>
                <w:sz w:val="16"/>
                <w:szCs w:val="16"/>
              </w:rPr>
            </w:pPr>
            <w:r w:rsidRPr="00F23BB5">
              <w:rPr>
                <w:color w:val="000000"/>
                <w:sz w:val="16"/>
                <w:szCs w:val="16"/>
              </w:rPr>
              <w:t>X</w:t>
            </w:r>
          </w:p>
        </w:tc>
        <w:tc>
          <w:tcPr>
            <w:tcW w:w="1570" w:type="dxa"/>
            <w:tcBorders>
              <w:top w:val="single" w:color="9BC2E6" w:sz="4" w:space="0"/>
              <w:left w:val="nil"/>
              <w:bottom w:val="single" w:color="9BC2E6" w:sz="4" w:space="0"/>
              <w:right w:val="single" w:color="9BC2E6" w:sz="4" w:space="0"/>
            </w:tcBorders>
            <w:shd w:val="clear" w:color="DDEBF7" w:fill="DDEBF7"/>
            <w:noWrap/>
            <w:vAlign w:val="center"/>
            <w:hideMark/>
          </w:tcPr>
          <w:p w:rsidRPr="00F23BB5" w:rsidR="00A26EF3" w:rsidP="00F77A3C" w:rsidRDefault="00A26EF3" w14:paraId="14BDF4FF" w14:textId="77777777">
            <w:pPr>
              <w:spacing w:line="240" w:lineRule="auto"/>
              <w:jc w:val="center"/>
              <w:rPr>
                <w:color w:val="000000"/>
                <w:sz w:val="16"/>
                <w:szCs w:val="16"/>
              </w:rPr>
            </w:pPr>
            <w:r w:rsidRPr="00F23BB5">
              <w:rPr>
                <w:color w:val="000000"/>
                <w:sz w:val="16"/>
                <w:szCs w:val="16"/>
              </w:rPr>
              <w:t>X</w:t>
            </w:r>
          </w:p>
        </w:tc>
      </w:tr>
      <w:tr w:rsidRPr="00F23BB5" w:rsidR="00A26EF3" w:rsidTr="00F77A3C" w14:paraId="445C3128" w14:textId="77777777">
        <w:trPr>
          <w:trHeight w:val="290"/>
        </w:trPr>
        <w:tc>
          <w:tcPr>
            <w:tcW w:w="4106" w:type="dxa"/>
            <w:tcBorders>
              <w:top w:val="single" w:color="9BC2E6" w:sz="4" w:space="0"/>
              <w:left w:val="single" w:color="9BC2E6" w:sz="4" w:space="0"/>
              <w:bottom w:val="single" w:color="9BC2E6" w:sz="4" w:space="0"/>
              <w:right w:val="nil"/>
            </w:tcBorders>
            <w:hideMark/>
          </w:tcPr>
          <w:p w:rsidRPr="00F23BB5" w:rsidR="00A26EF3" w:rsidP="00F77A3C" w:rsidRDefault="00A26EF3" w14:paraId="2129B6F4" w14:textId="77777777">
            <w:pPr>
              <w:spacing w:line="240" w:lineRule="auto"/>
              <w:jc w:val="left"/>
              <w:rPr>
                <w:color w:val="000000"/>
                <w:sz w:val="16"/>
                <w:szCs w:val="16"/>
              </w:rPr>
            </w:pPr>
            <w:r w:rsidRPr="00F23BB5">
              <w:rPr>
                <w:color w:val="000000"/>
                <w:sz w:val="16"/>
                <w:szCs w:val="16"/>
              </w:rPr>
              <w:t xml:space="preserve">Human Resources Policy Department, Whistleblower contact point at the State Chancellery </w:t>
            </w:r>
          </w:p>
        </w:tc>
        <w:tc>
          <w:tcPr>
            <w:tcW w:w="1701" w:type="dxa"/>
            <w:tcBorders>
              <w:top w:val="single" w:color="9BC2E6" w:sz="4" w:space="0"/>
              <w:left w:val="nil"/>
              <w:bottom w:val="single" w:color="9BC2E6" w:sz="4" w:space="0"/>
              <w:right w:val="nil"/>
            </w:tcBorders>
            <w:noWrap/>
            <w:hideMark/>
          </w:tcPr>
          <w:p w:rsidRPr="00F23BB5" w:rsidR="00A26EF3" w:rsidP="00F77A3C" w:rsidRDefault="00A26EF3" w14:paraId="585C7DC4" w14:textId="77777777">
            <w:pPr>
              <w:spacing w:line="240" w:lineRule="auto"/>
              <w:jc w:val="left"/>
              <w:rPr>
                <w:color w:val="000000"/>
                <w:sz w:val="16"/>
                <w:szCs w:val="16"/>
              </w:rPr>
            </w:pPr>
            <w:r w:rsidRPr="00F23BB5">
              <w:rPr>
                <w:color w:val="000000"/>
                <w:sz w:val="16"/>
                <w:szCs w:val="16"/>
              </w:rPr>
              <w:t>Latvia</w:t>
            </w:r>
          </w:p>
        </w:tc>
        <w:tc>
          <w:tcPr>
            <w:tcW w:w="1843" w:type="dxa"/>
            <w:tcBorders>
              <w:top w:val="single" w:color="9BC2E6" w:sz="4" w:space="0"/>
              <w:left w:val="nil"/>
              <w:bottom w:val="single" w:color="9BC2E6" w:sz="4" w:space="0"/>
              <w:right w:val="nil"/>
            </w:tcBorders>
            <w:noWrap/>
            <w:vAlign w:val="center"/>
            <w:hideMark/>
          </w:tcPr>
          <w:p w:rsidRPr="00F23BB5" w:rsidR="00A26EF3" w:rsidP="00F77A3C" w:rsidRDefault="00A26EF3" w14:paraId="6F519AD9" w14:textId="77777777">
            <w:pPr>
              <w:spacing w:line="240" w:lineRule="auto"/>
              <w:jc w:val="left"/>
              <w:rPr>
                <w:color w:val="000000"/>
                <w:sz w:val="16"/>
                <w:szCs w:val="16"/>
              </w:rPr>
            </w:pPr>
          </w:p>
        </w:tc>
        <w:tc>
          <w:tcPr>
            <w:tcW w:w="1570" w:type="dxa"/>
            <w:tcBorders>
              <w:top w:val="single" w:color="9BC2E6" w:sz="4" w:space="0"/>
              <w:left w:val="nil"/>
              <w:bottom w:val="single" w:color="9BC2E6" w:sz="4" w:space="0"/>
              <w:right w:val="single" w:color="9BC2E6" w:sz="4" w:space="0"/>
            </w:tcBorders>
            <w:noWrap/>
            <w:vAlign w:val="center"/>
            <w:hideMark/>
          </w:tcPr>
          <w:p w:rsidRPr="00F23BB5" w:rsidR="00A26EF3" w:rsidP="00F77A3C" w:rsidRDefault="00A26EF3" w14:paraId="28AE5E16" w14:textId="77777777">
            <w:pPr>
              <w:spacing w:line="240" w:lineRule="auto"/>
              <w:jc w:val="center"/>
              <w:rPr>
                <w:color w:val="000000"/>
                <w:sz w:val="16"/>
                <w:szCs w:val="16"/>
              </w:rPr>
            </w:pPr>
            <w:r w:rsidRPr="00F23BB5">
              <w:rPr>
                <w:color w:val="000000"/>
                <w:sz w:val="16"/>
                <w:szCs w:val="16"/>
              </w:rPr>
              <w:t>X</w:t>
            </w:r>
          </w:p>
        </w:tc>
      </w:tr>
      <w:tr w:rsidRPr="00F23BB5" w:rsidR="00A26EF3" w:rsidTr="00F77A3C" w14:paraId="600F8A80" w14:textId="77777777">
        <w:trPr>
          <w:trHeight w:val="290"/>
        </w:trPr>
        <w:tc>
          <w:tcPr>
            <w:tcW w:w="4106" w:type="dxa"/>
            <w:tcBorders>
              <w:top w:val="single" w:color="9BC2E6" w:sz="4" w:space="0"/>
              <w:left w:val="single" w:color="9BC2E6" w:sz="4" w:space="0"/>
              <w:bottom w:val="single" w:color="9BC2E6" w:sz="4" w:space="0"/>
              <w:right w:val="nil"/>
            </w:tcBorders>
            <w:shd w:val="clear" w:color="DDEBF7" w:fill="DDEBF7"/>
            <w:hideMark/>
          </w:tcPr>
          <w:p w:rsidRPr="00F23BB5" w:rsidR="00A26EF3" w:rsidP="00F77A3C" w:rsidRDefault="00A26EF3" w14:paraId="1FD6AA18" w14:textId="77777777">
            <w:pPr>
              <w:spacing w:line="240" w:lineRule="auto"/>
              <w:jc w:val="left"/>
              <w:rPr>
                <w:color w:val="000000"/>
                <w:sz w:val="16"/>
                <w:szCs w:val="16"/>
              </w:rPr>
            </w:pPr>
            <w:r w:rsidRPr="00F23BB5">
              <w:rPr>
                <w:color w:val="000000"/>
                <w:sz w:val="16"/>
                <w:szCs w:val="16"/>
              </w:rPr>
              <w:t xml:space="preserve">Latvian Business Association </w:t>
            </w:r>
          </w:p>
        </w:tc>
        <w:tc>
          <w:tcPr>
            <w:tcW w:w="1701" w:type="dxa"/>
            <w:tcBorders>
              <w:top w:val="single" w:color="9BC2E6" w:sz="4" w:space="0"/>
              <w:left w:val="nil"/>
              <w:bottom w:val="single" w:color="9BC2E6" w:sz="4" w:space="0"/>
              <w:right w:val="nil"/>
            </w:tcBorders>
            <w:shd w:val="clear" w:color="DDEBF7" w:fill="DDEBF7"/>
            <w:noWrap/>
            <w:hideMark/>
          </w:tcPr>
          <w:p w:rsidRPr="00F23BB5" w:rsidR="00A26EF3" w:rsidP="00F77A3C" w:rsidRDefault="00A26EF3" w14:paraId="0948170A" w14:textId="77777777">
            <w:pPr>
              <w:spacing w:line="240" w:lineRule="auto"/>
              <w:jc w:val="left"/>
              <w:rPr>
                <w:color w:val="000000"/>
                <w:sz w:val="16"/>
                <w:szCs w:val="16"/>
              </w:rPr>
            </w:pPr>
            <w:r w:rsidRPr="00F23BB5">
              <w:rPr>
                <w:color w:val="000000"/>
                <w:sz w:val="16"/>
                <w:szCs w:val="16"/>
              </w:rPr>
              <w:t>Latvia</w:t>
            </w:r>
          </w:p>
        </w:tc>
        <w:tc>
          <w:tcPr>
            <w:tcW w:w="1843" w:type="dxa"/>
            <w:tcBorders>
              <w:top w:val="single" w:color="9BC2E6" w:sz="4" w:space="0"/>
              <w:left w:val="nil"/>
              <w:bottom w:val="single" w:color="9BC2E6" w:sz="4" w:space="0"/>
              <w:right w:val="nil"/>
            </w:tcBorders>
            <w:shd w:val="clear" w:color="DDEBF7" w:fill="DDEBF7"/>
            <w:noWrap/>
            <w:vAlign w:val="center"/>
            <w:hideMark/>
          </w:tcPr>
          <w:p w:rsidRPr="00F23BB5" w:rsidR="00A26EF3" w:rsidP="00F77A3C" w:rsidRDefault="00A26EF3" w14:paraId="2DA89694" w14:textId="77777777">
            <w:pPr>
              <w:spacing w:line="240" w:lineRule="auto"/>
              <w:jc w:val="left"/>
              <w:rPr>
                <w:color w:val="000000"/>
                <w:sz w:val="16"/>
                <w:szCs w:val="16"/>
              </w:rPr>
            </w:pPr>
          </w:p>
        </w:tc>
        <w:tc>
          <w:tcPr>
            <w:tcW w:w="1570" w:type="dxa"/>
            <w:tcBorders>
              <w:top w:val="single" w:color="9BC2E6" w:sz="4" w:space="0"/>
              <w:left w:val="nil"/>
              <w:bottom w:val="single" w:color="9BC2E6" w:sz="4" w:space="0"/>
              <w:right w:val="single" w:color="9BC2E6" w:sz="4" w:space="0"/>
            </w:tcBorders>
            <w:shd w:val="clear" w:color="DDEBF7" w:fill="DDEBF7"/>
            <w:noWrap/>
            <w:vAlign w:val="center"/>
            <w:hideMark/>
          </w:tcPr>
          <w:p w:rsidRPr="00F23BB5" w:rsidR="00A26EF3" w:rsidP="00F77A3C" w:rsidRDefault="00A26EF3" w14:paraId="37A56B3B" w14:textId="77777777">
            <w:pPr>
              <w:spacing w:line="240" w:lineRule="auto"/>
              <w:jc w:val="center"/>
              <w:rPr>
                <w:color w:val="000000"/>
                <w:sz w:val="16"/>
                <w:szCs w:val="16"/>
              </w:rPr>
            </w:pPr>
            <w:r w:rsidRPr="00F23BB5">
              <w:rPr>
                <w:color w:val="000000"/>
                <w:sz w:val="16"/>
                <w:szCs w:val="16"/>
              </w:rPr>
              <w:t>X</w:t>
            </w:r>
          </w:p>
        </w:tc>
      </w:tr>
      <w:tr w:rsidRPr="00F23BB5" w:rsidR="00A26EF3" w:rsidTr="00F77A3C" w14:paraId="4889CE03" w14:textId="77777777">
        <w:trPr>
          <w:trHeight w:val="290"/>
        </w:trPr>
        <w:tc>
          <w:tcPr>
            <w:tcW w:w="4106" w:type="dxa"/>
            <w:tcBorders>
              <w:top w:val="single" w:color="9BC2E6" w:sz="4" w:space="0"/>
              <w:left w:val="single" w:color="9BC2E6" w:sz="4" w:space="0"/>
              <w:bottom w:val="single" w:color="9BC2E6" w:sz="4" w:space="0"/>
              <w:right w:val="nil"/>
            </w:tcBorders>
            <w:noWrap/>
            <w:vAlign w:val="bottom"/>
            <w:hideMark/>
          </w:tcPr>
          <w:p w:rsidRPr="00F23BB5" w:rsidR="00A26EF3" w:rsidP="00F77A3C" w:rsidRDefault="00A26EF3" w14:paraId="4F41490F" w14:textId="77777777">
            <w:pPr>
              <w:spacing w:line="240" w:lineRule="auto"/>
              <w:jc w:val="left"/>
              <w:rPr>
                <w:color w:val="000000"/>
                <w:sz w:val="16"/>
                <w:szCs w:val="16"/>
              </w:rPr>
            </w:pPr>
            <w:r w:rsidRPr="00F23BB5">
              <w:rPr>
                <w:color w:val="000000"/>
                <w:sz w:val="16"/>
                <w:szCs w:val="16"/>
              </w:rPr>
              <w:t>Latvian Chamber of Commerce and Industry</w:t>
            </w:r>
          </w:p>
        </w:tc>
        <w:tc>
          <w:tcPr>
            <w:tcW w:w="1701" w:type="dxa"/>
            <w:tcBorders>
              <w:top w:val="single" w:color="9BC2E6" w:sz="4" w:space="0"/>
              <w:left w:val="nil"/>
              <w:bottom w:val="single" w:color="9BC2E6" w:sz="4" w:space="0"/>
              <w:right w:val="nil"/>
            </w:tcBorders>
            <w:noWrap/>
            <w:hideMark/>
          </w:tcPr>
          <w:p w:rsidRPr="00F23BB5" w:rsidR="00A26EF3" w:rsidP="00F77A3C" w:rsidRDefault="00A26EF3" w14:paraId="169CA842" w14:textId="77777777">
            <w:pPr>
              <w:spacing w:line="240" w:lineRule="auto"/>
              <w:jc w:val="left"/>
              <w:rPr>
                <w:color w:val="000000"/>
                <w:sz w:val="16"/>
                <w:szCs w:val="16"/>
              </w:rPr>
            </w:pPr>
            <w:r w:rsidRPr="00F23BB5">
              <w:rPr>
                <w:color w:val="000000"/>
                <w:sz w:val="16"/>
                <w:szCs w:val="16"/>
              </w:rPr>
              <w:t>Latvia</w:t>
            </w:r>
          </w:p>
        </w:tc>
        <w:tc>
          <w:tcPr>
            <w:tcW w:w="1843" w:type="dxa"/>
            <w:tcBorders>
              <w:top w:val="single" w:color="9BC2E6" w:sz="4" w:space="0"/>
              <w:left w:val="nil"/>
              <w:bottom w:val="single" w:color="9BC2E6" w:sz="4" w:space="0"/>
              <w:right w:val="nil"/>
            </w:tcBorders>
            <w:noWrap/>
            <w:vAlign w:val="center"/>
            <w:hideMark/>
          </w:tcPr>
          <w:p w:rsidRPr="00F23BB5" w:rsidR="00A26EF3" w:rsidP="00F77A3C" w:rsidRDefault="00A26EF3" w14:paraId="12EF9D5B" w14:textId="77777777">
            <w:pPr>
              <w:spacing w:line="240" w:lineRule="auto"/>
              <w:jc w:val="left"/>
              <w:rPr>
                <w:color w:val="000000"/>
                <w:sz w:val="16"/>
                <w:szCs w:val="16"/>
              </w:rPr>
            </w:pPr>
          </w:p>
        </w:tc>
        <w:tc>
          <w:tcPr>
            <w:tcW w:w="1570" w:type="dxa"/>
            <w:tcBorders>
              <w:top w:val="single" w:color="9BC2E6" w:sz="4" w:space="0"/>
              <w:left w:val="nil"/>
              <w:bottom w:val="single" w:color="9BC2E6" w:sz="4" w:space="0"/>
              <w:right w:val="single" w:color="9BC2E6" w:sz="4" w:space="0"/>
            </w:tcBorders>
            <w:noWrap/>
            <w:vAlign w:val="center"/>
            <w:hideMark/>
          </w:tcPr>
          <w:p w:rsidRPr="00F23BB5" w:rsidR="00A26EF3" w:rsidP="00F77A3C" w:rsidRDefault="00A26EF3" w14:paraId="0D747A70" w14:textId="77777777">
            <w:pPr>
              <w:spacing w:line="240" w:lineRule="auto"/>
              <w:jc w:val="center"/>
              <w:rPr>
                <w:color w:val="000000"/>
                <w:sz w:val="16"/>
                <w:szCs w:val="16"/>
              </w:rPr>
            </w:pPr>
            <w:r w:rsidRPr="00F23BB5">
              <w:rPr>
                <w:color w:val="000000"/>
                <w:sz w:val="16"/>
                <w:szCs w:val="16"/>
              </w:rPr>
              <w:t>X</w:t>
            </w:r>
          </w:p>
        </w:tc>
      </w:tr>
      <w:tr w:rsidRPr="00F23BB5" w:rsidR="00A26EF3" w:rsidTr="00F77A3C" w14:paraId="72162412" w14:textId="77777777">
        <w:trPr>
          <w:trHeight w:val="290"/>
        </w:trPr>
        <w:tc>
          <w:tcPr>
            <w:tcW w:w="4106" w:type="dxa"/>
            <w:tcBorders>
              <w:top w:val="single" w:color="9BC2E6" w:sz="4" w:space="0"/>
              <w:left w:val="single" w:color="9BC2E6" w:sz="4" w:space="0"/>
              <w:bottom w:val="single" w:color="9BC2E6" w:sz="4" w:space="0"/>
              <w:right w:val="nil"/>
            </w:tcBorders>
            <w:shd w:val="clear" w:color="DDEBF7" w:fill="DDEBF7"/>
            <w:hideMark/>
          </w:tcPr>
          <w:p w:rsidRPr="00F23BB5" w:rsidR="00A26EF3" w:rsidP="00F77A3C" w:rsidRDefault="00A26EF3" w14:paraId="69B13330" w14:textId="77777777">
            <w:pPr>
              <w:spacing w:line="240" w:lineRule="auto"/>
              <w:jc w:val="left"/>
              <w:rPr>
                <w:color w:val="000000"/>
                <w:sz w:val="16"/>
                <w:szCs w:val="16"/>
              </w:rPr>
            </w:pPr>
            <w:r w:rsidRPr="00F23BB5">
              <w:rPr>
                <w:color w:val="000000"/>
                <w:sz w:val="16"/>
                <w:szCs w:val="16"/>
              </w:rPr>
              <w:t>Latvian Employers' Confederation</w:t>
            </w:r>
          </w:p>
        </w:tc>
        <w:tc>
          <w:tcPr>
            <w:tcW w:w="1701" w:type="dxa"/>
            <w:tcBorders>
              <w:top w:val="single" w:color="9BC2E6" w:sz="4" w:space="0"/>
              <w:left w:val="nil"/>
              <w:bottom w:val="single" w:color="9BC2E6" w:sz="4" w:space="0"/>
              <w:right w:val="nil"/>
            </w:tcBorders>
            <w:shd w:val="clear" w:color="DDEBF7" w:fill="DDEBF7"/>
            <w:noWrap/>
            <w:hideMark/>
          </w:tcPr>
          <w:p w:rsidRPr="00F23BB5" w:rsidR="00A26EF3" w:rsidP="00F77A3C" w:rsidRDefault="00A26EF3" w14:paraId="4E059A12" w14:textId="77777777">
            <w:pPr>
              <w:spacing w:line="240" w:lineRule="auto"/>
              <w:jc w:val="left"/>
              <w:rPr>
                <w:color w:val="000000"/>
                <w:sz w:val="16"/>
                <w:szCs w:val="16"/>
              </w:rPr>
            </w:pPr>
            <w:r w:rsidRPr="00F23BB5">
              <w:rPr>
                <w:color w:val="000000"/>
                <w:sz w:val="16"/>
                <w:szCs w:val="16"/>
              </w:rPr>
              <w:t>Latvia</w:t>
            </w:r>
          </w:p>
        </w:tc>
        <w:tc>
          <w:tcPr>
            <w:tcW w:w="1843" w:type="dxa"/>
            <w:tcBorders>
              <w:top w:val="single" w:color="9BC2E6" w:sz="4" w:space="0"/>
              <w:left w:val="nil"/>
              <w:bottom w:val="single" w:color="9BC2E6" w:sz="4" w:space="0"/>
              <w:right w:val="nil"/>
            </w:tcBorders>
            <w:shd w:val="clear" w:color="DDEBF7" w:fill="DDEBF7"/>
            <w:noWrap/>
            <w:vAlign w:val="center"/>
            <w:hideMark/>
          </w:tcPr>
          <w:p w:rsidRPr="00F23BB5" w:rsidR="00A26EF3" w:rsidP="00F77A3C" w:rsidRDefault="00A26EF3" w14:paraId="47F47204" w14:textId="77777777">
            <w:pPr>
              <w:spacing w:line="240" w:lineRule="auto"/>
              <w:jc w:val="left"/>
              <w:rPr>
                <w:color w:val="000000"/>
                <w:sz w:val="16"/>
                <w:szCs w:val="16"/>
              </w:rPr>
            </w:pPr>
          </w:p>
        </w:tc>
        <w:tc>
          <w:tcPr>
            <w:tcW w:w="1570" w:type="dxa"/>
            <w:tcBorders>
              <w:top w:val="single" w:color="9BC2E6" w:sz="4" w:space="0"/>
              <w:left w:val="nil"/>
              <w:bottom w:val="single" w:color="9BC2E6" w:sz="4" w:space="0"/>
              <w:right w:val="single" w:color="9BC2E6" w:sz="4" w:space="0"/>
            </w:tcBorders>
            <w:shd w:val="clear" w:color="DDEBF7" w:fill="DDEBF7"/>
            <w:noWrap/>
            <w:vAlign w:val="center"/>
            <w:hideMark/>
          </w:tcPr>
          <w:p w:rsidRPr="00F23BB5" w:rsidR="00A26EF3" w:rsidP="00F77A3C" w:rsidRDefault="00A26EF3" w14:paraId="07C6D641" w14:textId="77777777">
            <w:pPr>
              <w:spacing w:line="240" w:lineRule="auto"/>
              <w:jc w:val="center"/>
              <w:rPr>
                <w:color w:val="000000"/>
                <w:sz w:val="16"/>
                <w:szCs w:val="16"/>
              </w:rPr>
            </w:pPr>
            <w:r w:rsidRPr="00F23BB5">
              <w:rPr>
                <w:color w:val="000000"/>
                <w:sz w:val="16"/>
                <w:szCs w:val="16"/>
              </w:rPr>
              <w:t>X</w:t>
            </w:r>
          </w:p>
        </w:tc>
      </w:tr>
      <w:tr w:rsidRPr="00F23BB5" w:rsidR="00A26EF3" w:rsidTr="00F77A3C" w14:paraId="0FB05642" w14:textId="77777777">
        <w:trPr>
          <w:trHeight w:val="290"/>
        </w:trPr>
        <w:tc>
          <w:tcPr>
            <w:tcW w:w="4106" w:type="dxa"/>
            <w:tcBorders>
              <w:top w:val="single" w:color="9BC2E6" w:sz="4" w:space="0"/>
              <w:left w:val="single" w:color="9BC2E6" w:sz="4" w:space="0"/>
              <w:bottom w:val="single" w:color="9BC2E6" w:sz="4" w:space="0"/>
              <w:right w:val="nil"/>
            </w:tcBorders>
            <w:hideMark/>
          </w:tcPr>
          <w:p w:rsidRPr="00F23BB5" w:rsidR="00A26EF3" w:rsidP="00F77A3C" w:rsidRDefault="00A26EF3" w14:paraId="5672CA0A" w14:textId="77777777">
            <w:pPr>
              <w:spacing w:line="240" w:lineRule="auto"/>
              <w:jc w:val="left"/>
              <w:rPr>
                <w:color w:val="000000"/>
                <w:sz w:val="16"/>
                <w:szCs w:val="16"/>
              </w:rPr>
            </w:pPr>
            <w:r w:rsidRPr="00F23BB5">
              <w:rPr>
                <w:color w:val="000000"/>
                <w:sz w:val="16"/>
                <w:szCs w:val="16"/>
              </w:rPr>
              <w:t xml:space="preserve">Latvian Trade Union of Education and Science Employees (LIZDA) </w:t>
            </w:r>
          </w:p>
        </w:tc>
        <w:tc>
          <w:tcPr>
            <w:tcW w:w="1701" w:type="dxa"/>
            <w:tcBorders>
              <w:top w:val="single" w:color="9BC2E6" w:sz="4" w:space="0"/>
              <w:left w:val="nil"/>
              <w:bottom w:val="single" w:color="9BC2E6" w:sz="4" w:space="0"/>
              <w:right w:val="nil"/>
            </w:tcBorders>
            <w:noWrap/>
            <w:hideMark/>
          </w:tcPr>
          <w:p w:rsidRPr="00F23BB5" w:rsidR="00A26EF3" w:rsidP="00F77A3C" w:rsidRDefault="00A26EF3" w14:paraId="0CBDB315" w14:textId="77777777">
            <w:pPr>
              <w:spacing w:line="240" w:lineRule="auto"/>
              <w:jc w:val="left"/>
              <w:rPr>
                <w:color w:val="000000"/>
                <w:sz w:val="16"/>
                <w:szCs w:val="16"/>
              </w:rPr>
            </w:pPr>
            <w:r w:rsidRPr="00F23BB5">
              <w:rPr>
                <w:color w:val="000000"/>
                <w:sz w:val="16"/>
                <w:szCs w:val="16"/>
              </w:rPr>
              <w:t>Latvia</w:t>
            </w:r>
          </w:p>
        </w:tc>
        <w:tc>
          <w:tcPr>
            <w:tcW w:w="1843" w:type="dxa"/>
            <w:tcBorders>
              <w:top w:val="single" w:color="9BC2E6" w:sz="4" w:space="0"/>
              <w:left w:val="nil"/>
              <w:bottom w:val="single" w:color="9BC2E6" w:sz="4" w:space="0"/>
              <w:right w:val="nil"/>
            </w:tcBorders>
            <w:noWrap/>
            <w:vAlign w:val="center"/>
            <w:hideMark/>
          </w:tcPr>
          <w:p w:rsidRPr="00F23BB5" w:rsidR="00A26EF3" w:rsidP="00F77A3C" w:rsidRDefault="00A26EF3" w14:paraId="648BF11D" w14:textId="77777777">
            <w:pPr>
              <w:spacing w:line="240" w:lineRule="auto"/>
              <w:jc w:val="left"/>
              <w:rPr>
                <w:color w:val="000000"/>
                <w:sz w:val="16"/>
                <w:szCs w:val="16"/>
              </w:rPr>
            </w:pPr>
          </w:p>
        </w:tc>
        <w:tc>
          <w:tcPr>
            <w:tcW w:w="1570" w:type="dxa"/>
            <w:tcBorders>
              <w:top w:val="single" w:color="9BC2E6" w:sz="4" w:space="0"/>
              <w:left w:val="nil"/>
              <w:bottom w:val="single" w:color="9BC2E6" w:sz="4" w:space="0"/>
              <w:right w:val="single" w:color="9BC2E6" w:sz="4" w:space="0"/>
            </w:tcBorders>
            <w:noWrap/>
            <w:vAlign w:val="center"/>
            <w:hideMark/>
          </w:tcPr>
          <w:p w:rsidRPr="00F23BB5" w:rsidR="00A26EF3" w:rsidP="00F77A3C" w:rsidRDefault="00A26EF3" w14:paraId="67ADC01F" w14:textId="77777777">
            <w:pPr>
              <w:spacing w:line="240" w:lineRule="auto"/>
              <w:jc w:val="center"/>
              <w:rPr>
                <w:color w:val="000000"/>
                <w:sz w:val="16"/>
                <w:szCs w:val="16"/>
              </w:rPr>
            </w:pPr>
            <w:r w:rsidRPr="00F23BB5">
              <w:rPr>
                <w:color w:val="000000"/>
                <w:sz w:val="16"/>
                <w:szCs w:val="16"/>
              </w:rPr>
              <w:t>X</w:t>
            </w:r>
          </w:p>
        </w:tc>
      </w:tr>
      <w:tr w:rsidRPr="00F23BB5" w:rsidR="00A26EF3" w:rsidTr="00F77A3C" w14:paraId="0F87EDD2" w14:textId="77777777">
        <w:trPr>
          <w:trHeight w:val="290"/>
        </w:trPr>
        <w:tc>
          <w:tcPr>
            <w:tcW w:w="4106" w:type="dxa"/>
            <w:tcBorders>
              <w:top w:val="single" w:color="9BC2E6" w:sz="4" w:space="0"/>
              <w:left w:val="single" w:color="9BC2E6" w:sz="4" w:space="0"/>
              <w:bottom w:val="single" w:color="9BC2E6" w:sz="4" w:space="0"/>
              <w:right w:val="nil"/>
            </w:tcBorders>
            <w:shd w:val="clear" w:color="DDEBF7" w:fill="DDEBF7"/>
            <w:noWrap/>
            <w:vAlign w:val="bottom"/>
            <w:hideMark/>
          </w:tcPr>
          <w:p w:rsidRPr="00F23BB5" w:rsidR="00A26EF3" w:rsidP="00F77A3C" w:rsidRDefault="00A26EF3" w14:paraId="7AE9D227" w14:textId="77777777">
            <w:pPr>
              <w:spacing w:line="240" w:lineRule="auto"/>
              <w:jc w:val="left"/>
              <w:rPr>
                <w:color w:val="000000"/>
                <w:sz w:val="16"/>
                <w:szCs w:val="16"/>
              </w:rPr>
            </w:pPr>
            <w:r w:rsidRPr="00F23BB5">
              <w:rPr>
                <w:color w:val="000000"/>
                <w:sz w:val="16"/>
                <w:szCs w:val="16"/>
              </w:rPr>
              <w:t xml:space="preserve">Latvian Union of Free Trade Unions </w:t>
            </w:r>
          </w:p>
        </w:tc>
        <w:tc>
          <w:tcPr>
            <w:tcW w:w="1701" w:type="dxa"/>
            <w:tcBorders>
              <w:top w:val="single" w:color="9BC2E6" w:sz="4" w:space="0"/>
              <w:left w:val="nil"/>
              <w:bottom w:val="single" w:color="9BC2E6" w:sz="4" w:space="0"/>
              <w:right w:val="nil"/>
            </w:tcBorders>
            <w:shd w:val="clear" w:color="DDEBF7" w:fill="DDEBF7"/>
            <w:noWrap/>
            <w:hideMark/>
          </w:tcPr>
          <w:p w:rsidRPr="00F23BB5" w:rsidR="00A26EF3" w:rsidP="00F77A3C" w:rsidRDefault="00A26EF3" w14:paraId="77301A80" w14:textId="77777777">
            <w:pPr>
              <w:spacing w:line="240" w:lineRule="auto"/>
              <w:jc w:val="left"/>
              <w:rPr>
                <w:color w:val="000000"/>
                <w:sz w:val="16"/>
                <w:szCs w:val="16"/>
              </w:rPr>
            </w:pPr>
            <w:r w:rsidRPr="00F23BB5">
              <w:rPr>
                <w:color w:val="000000"/>
                <w:sz w:val="16"/>
                <w:szCs w:val="16"/>
              </w:rPr>
              <w:t>Latvia</w:t>
            </w:r>
          </w:p>
        </w:tc>
        <w:tc>
          <w:tcPr>
            <w:tcW w:w="1843" w:type="dxa"/>
            <w:tcBorders>
              <w:top w:val="single" w:color="9BC2E6" w:sz="4" w:space="0"/>
              <w:left w:val="nil"/>
              <w:bottom w:val="single" w:color="9BC2E6" w:sz="4" w:space="0"/>
              <w:right w:val="nil"/>
            </w:tcBorders>
            <w:shd w:val="clear" w:color="DDEBF7" w:fill="DDEBF7"/>
            <w:noWrap/>
            <w:vAlign w:val="center"/>
            <w:hideMark/>
          </w:tcPr>
          <w:p w:rsidRPr="00F23BB5" w:rsidR="00A26EF3" w:rsidP="00F77A3C" w:rsidRDefault="00A26EF3" w14:paraId="0B7595EB" w14:textId="77777777">
            <w:pPr>
              <w:spacing w:line="240" w:lineRule="auto"/>
              <w:jc w:val="left"/>
              <w:rPr>
                <w:color w:val="000000"/>
                <w:sz w:val="16"/>
                <w:szCs w:val="16"/>
              </w:rPr>
            </w:pPr>
          </w:p>
        </w:tc>
        <w:tc>
          <w:tcPr>
            <w:tcW w:w="1570" w:type="dxa"/>
            <w:tcBorders>
              <w:top w:val="single" w:color="9BC2E6" w:sz="4" w:space="0"/>
              <w:left w:val="nil"/>
              <w:bottom w:val="single" w:color="9BC2E6" w:sz="4" w:space="0"/>
              <w:right w:val="single" w:color="9BC2E6" w:sz="4" w:space="0"/>
            </w:tcBorders>
            <w:shd w:val="clear" w:color="DDEBF7" w:fill="DDEBF7"/>
            <w:noWrap/>
            <w:vAlign w:val="center"/>
            <w:hideMark/>
          </w:tcPr>
          <w:p w:rsidRPr="00F23BB5" w:rsidR="00A26EF3" w:rsidP="00F77A3C" w:rsidRDefault="00A26EF3" w14:paraId="3904FDC3" w14:textId="77777777">
            <w:pPr>
              <w:spacing w:line="240" w:lineRule="auto"/>
              <w:jc w:val="center"/>
              <w:rPr>
                <w:color w:val="000000"/>
                <w:sz w:val="16"/>
                <w:szCs w:val="16"/>
              </w:rPr>
            </w:pPr>
            <w:r w:rsidRPr="00F23BB5">
              <w:rPr>
                <w:color w:val="000000"/>
                <w:sz w:val="16"/>
                <w:szCs w:val="16"/>
              </w:rPr>
              <w:t>X</w:t>
            </w:r>
          </w:p>
        </w:tc>
      </w:tr>
      <w:tr w:rsidRPr="00F23BB5" w:rsidR="00A26EF3" w:rsidTr="00F77A3C" w14:paraId="07716367" w14:textId="77777777">
        <w:trPr>
          <w:trHeight w:val="290"/>
        </w:trPr>
        <w:tc>
          <w:tcPr>
            <w:tcW w:w="4106" w:type="dxa"/>
            <w:tcBorders>
              <w:top w:val="single" w:color="9BC2E6" w:sz="4" w:space="0"/>
              <w:left w:val="single" w:color="9BC2E6" w:sz="4" w:space="0"/>
              <w:bottom w:val="single" w:color="9BC2E6" w:sz="4" w:space="0"/>
              <w:right w:val="nil"/>
            </w:tcBorders>
            <w:hideMark/>
          </w:tcPr>
          <w:p w:rsidRPr="00F23BB5" w:rsidR="00A26EF3" w:rsidP="00F77A3C" w:rsidRDefault="00A26EF3" w14:paraId="6CBB4BCE" w14:textId="77777777">
            <w:pPr>
              <w:spacing w:line="240" w:lineRule="auto"/>
              <w:jc w:val="left"/>
              <w:rPr>
                <w:color w:val="000000"/>
                <w:sz w:val="16"/>
                <w:szCs w:val="16"/>
              </w:rPr>
            </w:pPr>
            <w:r w:rsidRPr="00F23BB5">
              <w:rPr>
                <w:color w:val="000000"/>
                <w:sz w:val="16"/>
                <w:szCs w:val="16"/>
              </w:rPr>
              <w:t>Legal Department - Competition Council of the Republic of Latvia (Konkurences padome)</w:t>
            </w:r>
          </w:p>
        </w:tc>
        <w:tc>
          <w:tcPr>
            <w:tcW w:w="1701" w:type="dxa"/>
            <w:tcBorders>
              <w:top w:val="single" w:color="9BC2E6" w:sz="4" w:space="0"/>
              <w:left w:val="nil"/>
              <w:bottom w:val="single" w:color="9BC2E6" w:sz="4" w:space="0"/>
              <w:right w:val="nil"/>
            </w:tcBorders>
            <w:noWrap/>
            <w:hideMark/>
          </w:tcPr>
          <w:p w:rsidRPr="00F23BB5" w:rsidR="00A26EF3" w:rsidP="00F77A3C" w:rsidRDefault="00A26EF3" w14:paraId="685818B7" w14:textId="77777777">
            <w:pPr>
              <w:spacing w:line="240" w:lineRule="auto"/>
              <w:jc w:val="left"/>
              <w:rPr>
                <w:color w:val="000000"/>
                <w:sz w:val="16"/>
                <w:szCs w:val="16"/>
              </w:rPr>
            </w:pPr>
            <w:r w:rsidRPr="00F23BB5">
              <w:rPr>
                <w:color w:val="000000"/>
                <w:sz w:val="16"/>
                <w:szCs w:val="16"/>
              </w:rPr>
              <w:t>Latvia</w:t>
            </w:r>
          </w:p>
        </w:tc>
        <w:tc>
          <w:tcPr>
            <w:tcW w:w="1843" w:type="dxa"/>
            <w:tcBorders>
              <w:top w:val="single" w:color="9BC2E6" w:sz="4" w:space="0"/>
              <w:left w:val="nil"/>
              <w:bottom w:val="single" w:color="9BC2E6" w:sz="4" w:space="0"/>
              <w:right w:val="nil"/>
            </w:tcBorders>
            <w:noWrap/>
            <w:vAlign w:val="center"/>
            <w:hideMark/>
          </w:tcPr>
          <w:p w:rsidRPr="00F23BB5" w:rsidR="00A26EF3" w:rsidP="00F77A3C" w:rsidRDefault="00A26EF3" w14:paraId="16B9207D" w14:textId="77777777">
            <w:pPr>
              <w:spacing w:line="240" w:lineRule="auto"/>
              <w:jc w:val="center"/>
              <w:rPr>
                <w:color w:val="000000"/>
                <w:sz w:val="16"/>
                <w:szCs w:val="16"/>
              </w:rPr>
            </w:pPr>
            <w:r w:rsidRPr="00F23BB5">
              <w:rPr>
                <w:color w:val="000000"/>
                <w:sz w:val="16"/>
                <w:szCs w:val="16"/>
              </w:rPr>
              <w:t>X</w:t>
            </w:r>
          </w:p>
        </w:tc>
        <w:tc>
          <w:tcPr>
            <w:tcW w:w="1570" w:type="dxa"/>
            <w:tcBorders>
              <w:top w:val="single" w:color="9BC2E6" w:sz="4" w:space="0"/>
              <w:left w:val="nil"/>
              <w:bottom w:val="single" w:color="9BC2E6" w:sz="4" w:space="0"/>
              <w:right w:val="single" w:color="9BC2E6" w:sz="4" w:space="0"/>
            </w:tcBorders>
            <w:noWrap/>
            <w:vAlign w:val="center"/>
            <w:hideMark/>
          </w:tcPr>
          <w:p w:rsidRPr="00F23BB5" w:rsidR="00A26EF3" w:rsidP="00F77A3C" w:rsidRDefault="00A26EF3" w14:paraId="5720267D" w14:textId="77777777">
            <w:pPr>
              <w:spacing w:line="240" w:lineRule="auto"/>
              <w:jc w:val="center"/>
              <w:rPr>
                <w:color w:val="000000"/>
                <w:sz w:val="16"/>
                <w:szCs w:val="16"/>
              </w:rPr>
            </w:pPr>
          </w:p>
        </w:tc>
      </w:tr>
      <w:tr w:rsidRPr="00F23BB5" w:rsidR="00A26EF3" w:rsidTr="00F77A3C" w14:paraId="4C845D11" w14:textId="77777777">
        <w:trPr>
          <w:trHeight w:val="290"/>
        </w:trPr>
        <w:tc>
          <w:tcPr>
            <w:tcW w:w="4106" w:type="dxa"/>
            <w:tcBorders>
              <w:top w:val="single" w:color="9BC2E6" w:sz="4" w:space="0"/>
              <w:left w:val="single" w:color="9BC2E6" w:sz="4" w:space="0"/>
              <w:bottom w:val="single" w:color="9BC2E6" w:sz="4" w:space="0"/>
              <w:right w:val="nil"/>
            </w:tcBorders>
            <w:shd w:val="clear" w:color="DDEBF7" w:fill="DDEBF7"/>
            <w:hideMark/>
          </w:tcPr>
          <w:p w:rsidRPr="00F23BB5" w:rsidR="00A26EF3" w:rsidP="00F77A3C" w:rsidRDefault="00A26EF3" w14:paraId="23FF1FAA" w14:textId="77777777">
            <w:pPr>
              <w:spacing w:line="240" w:lineRule="auto"/>
              <w:jc w:val="left"/>
              <w:rPr>
                <w:color w:val="000000"/>
                <w:sz w:val="16"/>
                <w:szCs w:val="16"/>
              </w:rPr>
            </w:pPr>
            <w:r w:rsidRPr="00F23BB5">
              <w:rPr>
                <w:color w:val="000000"/>
                <w:sz w:val="16"/>
                <w:szCs w:val="16"/>
              </w:rPr>
              <w:t>Prosecutor's Office of the Republic of Latvia (Latvijas Republikas prokuratūra)</w:t>
            </w:r>
          </w:p>
        </w:tc>
        <w:tc>
          <w:tcPr>
            <w:tcW w:w="1701" w:type="dxa"/>
            <w:tcBorders>
              <w:top w:val="single" w:color="9BC2E6" w:sz="4" w:space="0"/>
              <w:left w:val="nil"/>
              <w:bottom w:val="single" w:color="9BC2E6" w:sz="4" w:space="0"/>
              <w:right w:val="nil"/>
            </w:tcBorders>
            <w:shd w:val="clear" w:color="DDEBF7" w:fill="DDEBF7"/>
            <w:noWrap/>
            <w:hideMark/>
          </w:tcPr>
          <w:p w:rsidRPr="00F23BB5" w:rsidR="00A26EF3" w:rsidP="00F77A3C" w:rsidRDefault="00A26EF3" w14:paraId="0D6E8DE9" w14:textId="77777777">
            <w:pPr>
              <w:spacing w:line="240" w:lineRule="auto"/>
              <w:jc w:val="left"/>
              <w:rPr>
                <w:color w:val="000000"/>
                <w:sz w:val="16"/>
                <w:szCs w:val="16"/>
              </w:rPr>
            </w:pPr>
            <w:r w:rsidRPr="00F23BB5">
              <w:rPr>
                <w:color w:val="000000"/>
                <w:sz w:val="16"/>
                <w:szCs w:val="16"/>
              </w:rPr>
              <w:t>Latvia</w:t>
            </w:r>
          </w:p>
        </w:tc>
        <w:tc>
          <w:tcPr>
            <w:tcW w:w="1843" w:type="dxa"/>
            <w:tcBorders>
              <w:top w:val="single" w:color="9BC2E6" w:sz="4" w:space="0"/>
              <w:left w:val="nil"/>
              <w:bottom w:val="single" w:color="9BC2E6" w:sz="4" w:space="0"/>
              <w:right w:val="nil"/>
            </w:tcBorders>
            <w:shd w:val="clear" w:color="DDEBF7" w:fill="DDEBF7"/>
            <w:noWrap/>
            <w:vAlign w:val="center"/>
            <w:hideMark/>
          </w:tcPr>
          <w:p w:rsidRPr="00F23BB5" w:rsidR="00A26EF3" w:rsidP="00F77A3C" w:rsidRDefault="00A26EF3" w14:paraId="6546CC41" w14:textId="77777777">
            <w:pPr>
              <w:spacing w:line="240" w:lineRule="auto"/>
              <w:jc w:val="center"/>
              <w:rPr>
                <w:color w:val="000000"/>
                <w:sz w:val="16"/>
                <w:szCs w:val="16"/>
              </w:rPr>
            </w:pPr>
            <w:r w:rsidRPr="00F23BB5">
              <w:rPr>
                <w:color w:val="000000"/>
                <w:sz w:val="16"/>
                <w:szCs w:val="16"/>
              </w:rPr>
              <w:t>X</w:t>
            </w:r>
          </w:p>
        </w:tc>
        <w:tc>
          <w:tcPr>
            <w:tcW w:w="1570" w:type="dxa"/>
            <w:tcBorders>
              <w:top w:val="single" w:color="9BC2E6" w:sz="4" w:space="0"/>
              <w:left w:val="nil"/>
              <w:bottom w:val="single" w:color="9BC2E6" w:sz="4" w:space="0"/>
              <w:right w:val="single" w:color="9BC2E6" w:sz="4" w:space="0"/>
            </w:tcBorders>
            <w:shd w:val="clear" w:color="DDEBF7" w:fill="DDEBF7"/>
            <w:noWrap/>
            <w:vAlign w:val="center"/>
            <w:hideMark/>
          </w:tcPr>
          <w:p w:rsidRPr="00F23BB5" w:rsidR="00A26EF3" w:rsidP="00F77A3C" w:rsidRDefault="00A26EF3" w14:paraId="6816C4AF" w14:textId="77777777">
            <w:pPr>
              <w:spacing w:line="240" w:lineRule="auto"/>
              <w:jc w:val="center"/>
              <w:rPr>
                <w:color w:val="000000"/>
                <w:sz w:val="16"/>
                <w:szCs w:val="16"/>
              </w:rPr>
            </w:pPr>
            <w:r w:rsidRPr="00F23BB5">
              <w:rPr>
                <w:color w:val="000000"/>
                <w:sz w:val="16"/>
                <w:szCs w:val="16"/>
              </w:rPr>
              <w:t>X</w:t>
            </w:r>
          </w:p>
        </w:tc>
      </w:tr>
      <w:tr w:rsidRPr="00F23BB5" w:rsidR="00A26EF3" w:rsidTr="00F77A3C" w14:paraId="07C1721A" w14:textId="77777777">
        <w:trPr>
          <w:trHeight w:val="290"/>
        </w:trPr>
        <w:tc>
          <w:tcPr>
            <w:tcW w:w="4106" w:type="dxa"/>
            <w:tcBorders>
              <w:top w:val="single" w:color="9BC2E6" w:sz="4" w:space="0"/>
              <w:left w:val="single" w:color="9BC2E6" w:sz="4" w:space="0"/>
              <w:bottom w:val="single" w:color="9BC2E6" w:sz="4" w:space="0"/>
              <w:right w:val="nil"/>
            </w:tcBorders>
            <w:hideMark/>
          </w:tcPr>
          <w:p w:rsidRPr="00F23BB5" w:rsidR="00A26EF3" w:rsidP="00F77A3C" w:rsidRDefault="00A26EF3" w14:paraId="0CF339CF" w14:textId="77777777">
            <w:pPr>
              <w:spacing w:line="240" w:lineRule="auto"/>
              <w:jc w:val="left"/>
              <w:rPr>
                <w:color w:val="000000"/>
                <w:sz w:val="16"/>
                <w:szCs w:val="16"/>
              </w:rPr>
            </w:pPr>
            <w:r w:rsidRPr="00F23BB5">
              <w:rPr>
                <w:color w:val="000000"/>
                <w:sz w:val="16"/>
                <w:szCs w:val="16"/>
              </w:rPr>
              <w:t xml:space="preserve">Public policy center PROVIDUS </w:t>
            </w:r>
          </w:p>
        </w:tc>
        <w:tc>
          <w:tcPr>
            <w:tcW w:w="1701" w:type="dxa"/>
            <w:tcBorders>
              <w:top w:val="single" w:color="9BC2E6" w:sz="4" w:space="0"/>
              <w:left w:val="nil"/>
              <w:bottom w:val="single" w:color="9BC2E6" w:sz="4" w:space="0"/>
              <w:right w:val="nil"/>
            </w:tcBorders>
            <w:noWrap/>
            <w:hideMark/>
          </w:tcPr>
          <w:p w:rsidRPr="00F23BB5" w:rsidR="00A26EF3" w:rsidP="00F77A3C" w:rsidRDefault="00A26EF3" w14:paraId="69FD6B80" w14:textId="77777777">
            <w:pPr>
              <w:spacing w:line="240" w:lineRule="auto"/>
              <w:jc w:val="left"/>
              <w:rPr>
                <w:color w:val="000000"/>
                <w:sz w:val="16"/>
                <w:szCs w:val="16"/>
              </w:rPr>
            </w:pPr>
            <w:r w:rsidRPr="00F23BB5">
              <w:rPr>
                <w:color w:val="000000"/>
                <w:sz w:val="16"/>
                <w:szCs w:val="16"/>
              </w:rPr>
              <w:t>Latvia</w:t>
            </w:r>
          </w:p>
        </w:tc>
        <w:tc>
          <w:tcPr>
            <w:tcW w:w="1843" w:type="dxa"/>
            <w:tcBorders>
              <w:top w:val="single" w:color="9BC2E6" w:sz="4" w:space="0"/>
              <w:left w:val="nil"/>
              <w:bottom w:val="single" w:color="9BC2E6" w:sz="4" w:space="0"/>
              <w:right w:val="nil"/>
            </w:tcBorders>
            <w:noWrap/>
            <w:vAlign w:val="center"/>
            <w:hideMark/>
          </w:tcPr>
          <w:p w:rsidRPr="00F23BB5" w:rsidR="00A26EF3" w:rsidP="00F77A3C" w:rsidRDefault="00A26EF3" w14:paraId="3A11FB45" w14:textId="77777777">
            <w:pPr>
              <w:spacing w:line="240" w:lineRule="auto"/>
              <w:jc w:val="left"/>
              <w:rPr>
                <w:color w:val="000000"/>
                <w:sz w:val="16"/>
                <w:szCs w:val="16"/>
              </w:rPr>
            </w:pPr>
          </w:p>
        </w:tc>
        <w:tc>
          <w:tcPr>
            <w:tcW w:w="1570" w:type="dxa"/>
            <w:tcBorders>
              <w:top w:val="single" w:color="9BC2E6" w:sz="4" w:space="0"/>
              <w:left w:val="nil"/>
              <w:bottom w:val="single" w:color="9BC2E6" w:sz="4" w:space="0"/>
              <w:right w:val="single" w:color="9BC2E6" w:sz="4" w:space="0"/>
            </w:tcBorders>
            <w:noWrap/>
            <w:vAlign w:val="center"/>
            <w:hideMark/>
          </w:tcPr>
          <w:p w:rsidRPr="00F23BB5" w:rsidR="00A26EF3" w:rsidP="00F77A3C" w:rsidRDefault="00A26EF3" w14:paraId="5EE163E0" w14:textId="77777777">
            <w:pPr>
              <w:spacing w:line="240" w:lineRule="auto"/>
              <w:jc w:val="center"/>
              <w:rPr>
                <w:color w:val="000000"/>
                <w:sz w:val="16"/>
                <w:szCs w:val="16"/>
              </w:rPr>
            </w:pPr>
            <w:r w:rsidRPr="00F23BB5">
              <w:rPr>
                <w:color w:val="000000"/>
                <w:sz w:val="16"/>
                <w:szCs w:val="16"/>
              </w:rPr>
              <w:t>X</w:t>
            </w:r>
          </w:p>
        </w:tc>
      </w:tr>
      <w:tr w:rsidRPr="00F23BB5" w:rsidR="00A26EF3" w:rsidTr="00F77A3C" w14:paraId="3C95AE17" w14:textId="77777777">
        <w:trPr>
          <w:trHeight w:val="290"/>
        </w:trPr>
        <w:tc>
          <w:tcPr>
            <w:tcW w:w="4106" w:type="dxa"/>
            <w:tcBorders>
              <w:top w:val="single" w:color="9BC2E6" w:sz="4" w:space="0"/>
              <w:left w:val="single" w:color="9BC2E6" w:sz="4" w:space="0"/>
              <w:bottom w:val="single" w:color="9BC2E6" w:sz="4" w:space="0"/>
              <w:right w:val="nil"/>
            </w:tcBorders>
            <w:shd w:val="clear" w:color="DDEBF7" w:fill="DDEBF7"/>
            <w:hideMark/>
          </w:tcPr>
          <w:p w:rsidRPr="00F23BB5" w:rsidR="00A26EF3" w:rsidP="00F77A3C" w:rsidRDefault="00A26EF3" w14:paraId="23430E3D" w14:textId="77777777">
            <w:pPr>
              <w:spacing w:line="240" w:lineRule="auto"/>
              <w:jc w:val="left"/>
              <w:rPr>
                <w:color w:val="000000"/>
                <w:sz w:val="16"/>
                <w:szCs w:val="16"/>
              </w:rPr>
            </w:pPr>
            <w:r w:rsidRPr="00F23BB5">
              <w:rPr>
                <w:color w:val="000000"/>
                <w:sz w:val="16"/>
                <w:szCs w:val="16"/>
              </w:rPr>
              <w:t>South Kurzeme Municipality, Internal Audit Division</w:t>
            </w:r>
          </w:p>
        </w:tc>
        <w:tc>
          <w:tcPr>
            <w:tcW w:w="1701" w:type="dxa"/>
            <w:tcBorders>
              <w:top w:val="single" w:color="9BC2E6" w:sz="4" w:space="0"/>
              <w:left w:val="nil"/>
              <w:bottom w:val="single" w:color="9BC2E6" w:sz="4" w:space="0"/>
              <w:right w:val="nil"/>
            </w:tcBorders>
            <w:shd w:val="clear" w:color="DDEBF7" w:fill="DDEBF7"/>
            <w:noWrap/>
            <w:hideMark/>
          </w:tcPr>
          <w:p w:rsidRPr="00F23BB5" w:rsidR="00A26EF3" w:rsidP="00F77A3C" w:rsidRDefault="00A26EF3" w14:paraId="5E85F5E0" w14:textId="77777777">
            <w:pPr>
              <w:spacing w:line="240" w:lineRule="auto"/>
              <w:jc w:val="left"/>
              <w:rPr>
                <w:color w:val="000000"/>
                <w:sz w:val="16"/>
                <w:szCs w:val="16"/>
              </w:rPr>
            </w:pPr>
            <w:r w:rsidRPr="00F23BB5">
              <w:rPr>
                <w:color w:val="000000"/>
                <w:sz w:val="16"/>
                <w:szCs w:val="16"/>
              </w:rPr>
              <w:t>Latvia</w:t>
            </w:r>
          </w:p>
        </w:tc>
        <w:tc>
          <w:tcPr>
            <w:tcW w:w="1843" w:type="dxa"/>
            <w:tcBorders>
              <w:top w:val="single" w:color="9BC2E6" w:sz="4" w:space="0"/>
              <w:left w:val="nil"/>
              <w:bottom w:val="single" w:color="9BC2E6" w:sz="4" w:space="0"/>
              <w:right w:val="nil"/>
            </w:tcBorders>
            <w:shd w:val="clear" w:color="DDEBF7" w:fill="DDEBF7"/>
            <w:noWrap/>
            <w:vAlign w:val="center"/>
            <w:hideMark/>
          </w:tcPr>
          <w:p w:rsidRPr="00F23BB5" w:rsidR="00A26EF3" w:rsidP="00F77A3C" w:rsidRDefault="00A26EF3" w14:paraId="543689A9" w14:textId="77777777">
            <w:pPr>
              <w:spacing w:line="240" w:lineRule="auto"/>
              <w:jc w:val="left"/>
              <w:rPr>
                <w:color w:val="000000"/>
                <w:sz w:val="16"/>
                <w:szCs w:val="16"/>
              </w:rPr>
            </w:pPr>
          </w:p>
        </w:tc>
        <w:tc>
          <w:tcPr>
            <w:tcW w:w="1570" w:type="dxa"/>
            <w:tcBorders>
              <w:top w:val="single" w:color="9BC2E6" w:sz="4" w:space="0"/>
              <w:left w:val="nil"/>
              <w:bottom w:val="single" w:color="9BC2E6" w:sz="4" w:space="0"/>
              <w:right w:val="single" w:color="9BC2E6" w:sz="4" w:space="0"/>
            </w:tcBorders>
            <w:shd w:val="clear" w:color="DDEBF7" w:fill="DDEBF7"/>
            <w:noWrap/>
            <w:vAlign w:val="center"/>
            <w:hideMark/>
          </w:tcPr>
          <w:p w:rsidRPr="00F23BB5" w:rsidR="00A26EF3" w:rsidP="00F77A3C" w:rsidRDefault="00A26EF3" w14:paraId="4B4BF8D4" w14:textId="77777777">
            <w:pPr>
              <w:spacing w:line="240" w:lineRule="auto"/>
              <w:jc w:val="center"/>
              <w:rPr>
                <w:color w:val="000000"/>
                <w:sz w:val="16"/>
                <w:szCs w:val="16"/>
              </w:rPr>
            </w:pPr>
            <w:r w:rsidRPr="00F23BB5">
              <w:rPr>
                <w:color w:val="000000"/>
                <w:sz w:val="16"/>
                <w:szCs w:val="16"/>
              </w:rPr>
              <w:t>X</w:t>
            </w:r>
          </w:p>
        </w:tc>
      </w:tr>
      <w:tr w:rsidRPr="00F23BB5" w:rsidR="00A26EF3" w:rsidTr="00F77A3C" w14:paraId="335C7DD9" w14:textId="77777777">
        <w:trPr>
          <w:trHeight w:val="290"/>
        </w:trPr>
        <w:tc>
          <w:tcPr>
            <w:tcW w:w="4106" w:type="dxa"/>
            <w:tcBorders>
              <w:top w:val="single" w:color="9BC2E6" w:sz="4" w:space="0"/>
              <w:left w:val="single" w:color="9BC2E6" w:sz="4" w:space="0"/>
              <w:bottom w:val="single" w:color="9BC2E6" w:sz="4" w:space="0"/>
              <w:right w:val="nil"/>
            </w:tcBorders>
            <w:shd w:val="clear" w:color="000000" w:fill="FFFFFF"/>
            <w:hideMark/>
          </w:tcPr>
          <w:p w:rsidRPr="00F23BB5" w:rsidR="00A26EF3" w:rsidP="00F77A3C" w:rsidRDefault="00A26EF3" w14:paraId="5544705C" w14:textId="77777777">
            <w:pPr>
              <w:spacing w:line="240" w:lineRule="auto"/>
              <w:jc w:val="left"/>
              <w:rPr>
                <w:color w:val="000000"/>
                <w:sz w:val="16"/>
                <w:szCs w:val="16"/>
              </w:rPr>
            </w:pPr>
            <w:r w:rsidRPr="00F23BB5">
              <w:rPr>
                <w:color w:val="000000"/>
                <w:sz w:val="16"/>
                <w:szCs w:val="16"/>
              </w:rPr>
              <w:t>State Labor Inspectorate (Valsts darba inspekcija)</w:t>
            </w:r>
          </w:p>
        </w:tc>
        <w:tc>
          <w:tcPr>
            <w:tcW w:w="1701" w:type="dxa"/>
            <w:tcBorders>
              <w:top w:val="single" w:color="9BC2E6" w:sz="4" w:space="0"/>
              <w:left w:val="nil"/>
              <w:bottom w:val="single" w:color="9BC2E6" w:sz="4" w:space="0"/>
              <w:right w:val="nil"/>
            </w:tcBorders>
            <w:noWrap/>
            <w:hideMark/>
          </w:tcPr>
          <w:p w:rsidRPr="00F23BB5" w:rsidR="00A26EF3" w:rsidP="00F77A3C" w:rsidRDefault="00A26EF3" w14:paraId="3D97689E" w14:textId="77777777">
            <w:pPr>
              <w:spacing w:line="240" w:lineRule="auto"/>
              <w:jc w:val="left"/>
              <w:rPr>
                <w:color w:val="000000"/>
                <w:sz w:val="16"/>
                <w:szCs w:val="16"/>
              </w:rPr>
            </w:pPr>
            <w:r w:rsidRPr="00F23BB5">
              <w:rPr>
                <w:color w:val="000000"/>
                <w:sz w:val="16"/>
                <w:szCs w:val="16"/>
              </w:rPr>
              <w:t>Latvia</w:t>
            </w:r>
          </w:p>
        </w:tc>
        <w:tc>
          <w:tcPr>
            <w:tcW w:w="1843" w:type="dxa"/>
            <w:tcBorders>
              <w:top w:val="single" w:color="9BC2E6" w:sz="4" w:space="0"/>
              <w:left w:val="nil"/>
              <w:bottom w:val="single" w:color="9BC2E6" w:sz="4" w:space="0"/>
              <w:right w:val="nil"/>
            </w:tcBorders>
            <w:noWrap/>
            <w:vAlign w:val="center"/>
            <w:hideMark/>
          </w:tcPr>
          <w:p w:rsidRPr="00F23BB5" w:rsidR="00A26EF3" w:rsidP="00F77A3C" w:rsidRDefault="00A26EF3" w14:paraId="74953E27" w14:textId="77777777">
            <w:pPr>
              <w:spacing w:line="240" w:lineRule="auto"/>
              <w:jc w:val="center"/>
              <w:rPr>
                <w:color w:val="000000"/>
                <w:sz w:val="16"/>
                <w:szCs w:val="16"/>
              </w:rPr>
            </w:pPr>
            <w:r w:rsidRPr="00F23BB5">
              <w:rPr>
                <w:color w:val="000000"/>
                <w:sz w:val="16"/>
                <w:szCs w:val="16"/>
              </w:rPr>
              <w:t>X</w:t>
            </w:r>
          </w:p>
        </w:tc>
        <w:tc>
          <w:tcPr>
            <w:tcW w:w="1570" w:type="dxa"/>
            <w:tcBorders>
              <w:top w:val="single" w:color="9BC2E6" w:sz="4" w:space="0"/>
              <w:left w:val="nil"/>
              <w:bottom w:val="single" w:color="9BC2E6" w:sz="4" w:space="0"/>
              <w:right w:val="single" w:color="9BC2E6" w:sz="4" w:space="0"/>
            </w:tcBorders>
            <w:noWrap/>
            <w:vAlign w:val="center"/>
            <w:hideMark/>
          </w:tcPr>
          <w:p w:rsidRPr="00F23BB5" w:rsidR="00A26EF3" w:rsidP="00F77A3C" w:rsidRDefault="00A26EF3" w14:paraId="1C7E4652" w14:textId="77777777">
            <w:pPr>
              <w:spacing w:line="240" w:lineRule="auto"/>
              <w:jc w:val="center"/>
              <w:rPr>
                <w:color w:val="000000"/>
                <w:sz w:val="16"/>
                <w:szCs w:val="16"/>
              </w:rPr>
            </w:pPr>
            <w:r w:rsidRPr="00F23BB5">
              <w:rPr>
                <w:color w:val="000000"/>
                <w:sz w:val="16"/>
                <w:szCs w:val="16"/>
              </w:rPr>
              <w:t>X</w:t>
            </w:r>
          </w:p>
        </w:tc>
      </w:tr>
      <w:tr w:rsidRPr="00F23BB5" w:rsidR="00A26EF3" w:rsidTr="00F77A3C" w14:paraId="06406DA6" w14:textId="77777777">
        <w:trPr>
          <w:trHeight w:val="290"/>
        </w:trPr>
        <w:tc>
          <w:tcPr>
            <w:tcW w:w="4106" w:type="dxa"/>
            <w:tcBorders>
              <w:top w:val="single" w:color="9BC2E6" w:sz="4" w:space="0"/>
              <w:left w:val="single" w:color="9BC2E6" w:sz="4" w:space="0"/>
              <w:bottom w:val="single" w:color="9BC2E6" w:sz="4" w:space="0"/>
              <w:right w:val="nil"/>
            </w:tcBorders>
            <w:shd w:val="clear" w:color="DDEBF7" w:fill="DDEBF7"/>
            <w:hideMark/>
          </w:tcPr>
          <w:p w:rsidRPr="00F23BB5" w:rsidR="00A26EF3" w:rsidP="00F77A3C" w:rsidRDefault="00A26EF3" w14:paraId="7E54C14C" w14:textId="77777777">
            <w:pPr>
              <w:spacing w:line="240" w:lineRule="auto"/>
              <w:jc w:val="left"/>
              <w:rPr>
                <w:color w:val="000000"/>
                <w:sz w:val="16"/>
                <w:szCs w:val="16"/>
              </w:rPr>
            </w:pPr>
            <w:r w:rsidRPr="00F23BB5">
              <w:rPr>
                <w:color w:val="000000"/>
                <w:sz w:val="16"/>
                <w:szCs w:val="16"/>
              </w:rPr>
              <w:t>State Revenue Service (Valsts ieņēmumu dienests)</w:t>
            </w:r>
          </w:p>
        </w:tc>
        <w:tc>
          <w:tcPr>
            <w:tcW w:w="1701" w:type="dxa"/>
            <w:tcBorders>
              <w:top w:val="single" w:color="9BC2E6" w:sz="4" w:space="0"/>
              <w:left w:val="nil"/>
              <w:bottom w:val="single" w:color="9BC2E6" w:sz="4" w:space="0"/>
              <w:right w:val="nil"/>
            </w:tcBorders>
            <w:shd w:val="clear" w:color="DDEBF7" w:fill="DDEBF7"/>
            <w:noWrap/>
            <w:hideMark/>
          </w:tcPr>
          <w:p w:rsidRPr="00F23BB5" w:rsidR="00A26EF3" w:rsidP="00F77A3C" w:rsidRDefault="00A26EF3" w14:paraId="14888E27" w14:textId="77777777">
            <w:pPr>
              <w:spacing w:line="240" w:lineRule="auto"/>
              <w:jc w:val="left"/>
              <w:rPr>
                <w:color w:val="000000"/>
                <w:sz w:val="16"/>
                <w:szCs w:val="16"/>
              </w:rPr>
            </w:pPr>
            <w:r w:rsidRPr="00F23BB5">
              <w:rPr>
                <w:color w:val="000000"/>
                <w:sz w:val="16"/>
                <w:szCs w:val="16"/>
              </w:rPr>
              <w:t>Latvia</w:t>
            </w:r>
          </w:p>
        </w:tc>
        <w:tc>
          <w:tcPr>
            <w:tcW w:w="1843" w:type="dxa"/>
            <w:tcBorders>
              <w:top w:val="single" w:color="9BC2E6" w:sz="4" w:space="0"/>
              <w:left w:val="nil"/>
              <w:bottom w:val="single" w:color="9BC2E6" w:sz="4" w:space="0"/>
              <w:right w:val="nil"/>
            </w:tcBorders>
            <w:shd w:val="clear" w:color="DDEBF7" w:fill="DDEBF7"/>
            <w:noWrap/>
            <w:vAlign w:val="center"/>
            <w:hideMark/>
          </w:tcPr>
          <w:p w:rsidRPr="00F23BB5" w:rsidR="00A26EF3" w:rsidP="00F77A3C" w:rsidRDefault="00A26EF3" w14:paraId="55C2264A" w14:textId="77777777">
            <w:pPr>
              <w:spacing w:line="240" w:lineRule="auto"/>
              <w:jc w:val="center"/>
              <w:rPr>
                <w:color w:val="000000"/>
                <w:sz w:val="16"/>
                <w:szCs w:val="16"/>
              </w:rPr>
            </w:pPr>
            <w:r w:rsidRPr="00F23BB5">
              <w:rPr>
                <w:color w:val="000000"/>
                <w:sz w:val="16"/>
                <w:szCs w:val="16"/>
              </w:rPr>
              <w:t>X</w:t>
            </w:r>
          </w:p>
        </w:tc>
        <w:tc>
          <w:tcPr>
            <w:tcW w:w="1570" w:type="dxa"/>
            <w:tcBorders>
              <w:top w:val="single" w:color="9BC2E6" w:sz="4" w:space="0"/>
              <w:left w:val="nil"/>
              <w:bottom w:val="single" w:color="9BC2E6" w:sz="4" w:space="0"/>
              <w:right w:val="single" w:color="9BC2E6" w:sz="4" w:space="0"/>
            </w:tcBorders>
            <w:shd w:val="clear" w:color="DDEBF7" w:fill="DDEBF7"/>
            <w:noWrap/>
            <w:vAlign w:val="center"/>
            <w:hideMark/>
          </w:tcPr>
          <w:p w:rsidRPr="00F23BB5" w:rsidR="00A26EF3" w:rsidP="00F77A3C" w:rsidRDefault="00A26EF3" w14:paraId="1443C099" w14:textId="77777777">
            <w:pPr>
              <w:spacing w:line="240" w:lineRule="auto"/>
              <w:jc w:val="center"/>
              <w:rPr>
                <w:color w:val="000000"/>
                <w:sz w:val="16"/>
                <w:szCs w:val="16"/>
              </w:rPr>
            </w:pPr>
            <w:r w:rsidRPr="00F23BB5">
              <w:rPr>
                <w:color w:val="000000"/>
                <w:sz w:val="16"/>
                <w:szCs w:val="16"/>
              </w:rPr>
              <w:t>X</w:t>
            </w:r>
          </w:p>
        </w:tc>
      </w:tr>
      <w:tr w:rsidRPr="00F23BB5" w:rsidR="00A26EF3" w:rsidTr="00F77A3C" w14:paraId="26D12611" w14:textId="77777777">
        <w:trPr>
          <w:trHeight w:val="290"/>
        </w:trPr>
        <w:tc>
          <w:tcPr>
            <w:tcW w:w="4106" w:type="dxa"/>
            <w:tcBorders>
              <w:top w:val="single" w:color="9BC2E6" w:sz="4" w:space="0"/>
              <w:left w:val="single" w:color="9BC2E6" w:sz="4" w:space="0"/>
              <w:bottom w:val="single" w:color="9BC2E6" w:sz="4" w:space="0"/>
              <w:right w:val="nil"/>
            </w:tcBorders>
            <w:hideMark/>
          </w:tcPr>
          <w:p w:rsidRPr="00F23BB5" w:rsidR="00A26EF3" w:rsidP="00F77A3C" w:rsidRDefault="00A26EF3" w14:paraId="70BB3864" w14:textId="77777777">
            <w:pPr>
              <w:spacing w:line="240" w:lineRule="auto"/>
              <w:jc w:val="left"/>
              <w:rPr>
                <w:color w:val="000000"/>
                <w:sz w:val="16"/>
                <w:szCs w:val="16"/>
              </w:rPr>
            </w:pPr>
            <w:r w:rsidRPr="00F23BB5">
              <w:rPr>
                <w:color w:val="000000"/>
                <w:sz w:val="16"/>
                <w:szCs w:val="16"/>
              </w:rPr>
              <w:t xml:space="preserve">Transparency International Latvia - Delna </w:t>
            </w:r>
          </w:p>
        </w:tc>
        <w:tc>
          <w:tcPr>
            <w:tcW w:w="1701" w:type="dxa"/>
            <w:tcBorders>
              <w:top w:val="single" w:color="9BC2E6" w:sz="4" w:space="0"/>
              <w:left w:val="nil"/>
              <w:bottom w:val="single" w:color="9BC2E6" w:sz="4" w:space="0"/>
              <w:right w:val="nil"/>
            </w:tcBorders>
            <w:noWrap/>
            <w:hideMark/>
          </w:tcPr>
          <w:p w:rsidRPr="00F23BB5" w:rsidR="00A26EF3" w:rsidP="00F77A3C" w:rsidRDefault="00A26EF3" w14:paraId="596F5248" w14:textId="77777777">
            <w:pPr>
              <w:spacing w:line="240" w:lineRule="auto"/>
              <w:jc w:val="left"/>
              <w:rPr>
                <w:color w:val="000000"/>
                <w:sz w:val="16"/>
                <w:szCs w:val="16"/>
              </w:rPr>
            </w:pPr>
            <w:r w:rsidRPr="00F23BB5">
              <w:rPr>
                <w:color w:val="000000"/>
                <w:sz w:val="16"/>
                <w:szCs w:val="16"/>
              </w:rPr>
              <w:t>Latvia</w:t>
            </w:r>
          </w:p>
        </w:tc>
        <w:tc>
          <w:tcPr>
            <w:tcW w:w="1843" w:type="dxa"/>
            <w:tcBorders>
              <w:top w:val="single" w:color="9BC2E6" w:sz="4" w:space="0"/>
              <w:left w:val="nil"/>
              <w:bottom w:val="single" w:color="9BC2E6" w:sz="4" w:space="0"/>
              <w:right w:val="nil"/>
            </w:tcBorders>
            <w:noWrap/>
            <w:vAlign w:val="center"/>
            <w:hideMark/>
          </w:tcPr>
          <w:p w:rsidRPr="00F23BB5" w:rsidR="00A26EF3" w:rsidP="00F77A3C" w:rsidRDefault="00A26EF3" w14:paraId="1EB47B09" w14:textId="77777777">
            <w:pPr>
              <w:spacing w:line="240" w:lineRule="auto"/>
              <w:jc w:val="left"/>
              <w:rPr>
                <w:color w:val="000000"/>
                <w:sz w:val="16"/>
                <w:szCs w:val="16"/>
              </w:rPr>
            </w:pPr>
          </w:p>
        </w:tc>
        <w:tc>
          <w:tcPr>
            <w:tcW w:w="1570" w:type="dxa"/>
            <w:tcBorders>
              <w:top w:val="single" w:color="9BC2E6" w:sz="4" w:space="0"/>
              <w:left w:val="nil"/>
              <w:bottom w:val="single" w:color="9BC2E6" w:sz="4" w:space="0"/>
              <w:right w:val="single" w:color="9BC2E6" w:sz="4" w:space="0"/>
            </w:tcBorders>
            <w:noWrap/>
            <w:vAlign w:val="center"/>
            <w:hideMark/>
          </w:tcPr>
          <w:p w:rsidRPr="00F23BB5" w:rsidR="00A26EF3" w:rsidP="00F77A3C" w:rsidRDefault="00A26EF3" w14:paraId="0CE0CACF" w14:textId="77777777">
            <w:pPr>
              <w:spacing w:line="240" w:lineRule="auto"/>
              <w:jc w:val="center"/>
              <w:rPr>
                <w:color w:val="000000"/>
                <w:sz w:val="16"/>
                <w:szCs w:val="16"/>
              </w:rPr>
            </w:pPr>
            <w:r w:rsidRPr="00F23BB5">
              <w:rPr>
                <w:color w:val="000000"/>
                <w:sz w:val="16"/>
                <w:szCs w:val="16"/>
              </w:rPr>
              <w:t>X</w:t>
            </w:r>
          </w:p>
        </w:tc>
      </w:tr>
      <w:tr w:rsidRPr="00F23BB5" w:rsidR="00A26EF3" w:rsidTr="00F77A3C" w14:paraId="67D66CF2" w14:textId="77777777">
        <w:trPr>
          <w:trHeight w:val="290"/>
        </w:trPr>
        <w:tc>
          <w:tcPr>
            <w:tcW w:w="4106" w:type="dxa"/>
            <w:tcBorders>
              <w:top w:val="single" w:color="9BC2E6" w:sz="4" w:space="0"/>
              <w:left w:val="single" w:color="9BC2E6" w:sz="4" w:space="0"/>
              <w:bottom w:val="single" w:color="9BC2E6" w:sz="4" w:space="0"/>
              <w:right w:val="nil"/>
            </w:tcBorders>
            <w:shd w:val="clear" w:color="DDEBF7" w:fill="DDEBF7"/>
            <w:hideMark/>
          </w:tcPr>
          <w:p w:rsidRPr="00F23BB5" w:rsidR="00A26EF3" w:rsidP="00F77A3C" w:rsidRDefault="00A26EF3" w14:paraId="40AE1CDD" w14:textId="77777777">
            <w:pPr>
              <w:spacing w:line="240" w:lineRule="auto"/>
              <w:jc w:val="left"/>
              <w:rPr>
                <w:color w:val="000000"/>
                <w:sz w:val="16"/>
                <w:szCs w:val="16"/>
              </w:rPr>
            </w:pPr>
            <w:r w:rsidRPr="00F23BB5">
              <w:rPr>
                <w:color w:val="000000"/>
                <w:sz w:val="16"/>
                <w:szCs w:val="16"/>
              </w:rPr>
              <w:t>VAS Latvijas Loto</w:t>
            </w:r>
          </w:p>
        </w:tc>
        <w:tc>
          <w:tcPr>
            <w:tcW w:w="1701" w:type="dxa"/>
            <w:tcBorders>
              <w:top w:val="single" w:color="9BC2E6" w:sz="4" w:space="0"/>
              <w:left w:val="nil"/>
              <w:bottom w:val="single" w:color="9BC2E6" w:sz="4" w:space="0"/>
              <w:right w:val="nil"/>
            </w:tcBorders>
            <w:shd w:val="clear" w:color="DDEBF7" w:fill="DDEBF7"/>
            <w:noWrap/>
            <w:hideMark/>
          </w:tcPr>
          <w:p w:rsidRPr="00F23BB5" w:rsidR="00A26EF3" w:rsidP="00F77A3C" w:rsidRDefault="00A26EF3" w14:paraId="72961715" w14:textId="77777777">
            <w:pPr>
              <w:spacing w:line="240" w:lineRule="auto"/>
              <w:jc w:val="left"/>
              <w:rPr>
                <w:color w:val="000000"/>
                <w:sz w:val="16"/>
                <w:szCs w:val="16"/>
              </w:rPr>
            </w:pPr>
            <w:r w:rsidRPr="00F23BB5">
              <w:rPr>
                <w:color w:val="000000"/>
                <w:sz w:val="16"/>
                <w:szCs w:val="16"/>
              </w:rPr>
              <w:t>Latvia</w:t>
            </w:r>
          </w:p>
        </w:tc>
        <w:tc>
          <w:tcPr>
            <w:tcW w:w="1843" w:type="dxa"/>
            <w:tcBorders>
              <w:top w:val="single" w:color="9BC2E6" w:sz="4" w:space="0"/>
              <w:left w:val="nil"/>
              <w:bottom w:val="single" w:color="9BC2E6" w:sz="4" w:space="0"/>
              <w:right w:val="nil"/>
            </w:tcBorders>
            <w:shd w:val="clear" w:color="DDEBF7" w:fill="DDEBF7"/>
            <w:noWrap/>
            <w:vAlign w:val="center"/>
            <w:hideMark/>
          </w:tcPr>
          <w:p w:rsidRPr="00F23BB5" w:rsidR="00A26EF3" w:rsidP="00F77A3C" w:rsidRDefault="00A26EF3" w14:paraId="030087CE" w14:textId="77777777">
            <w:pPr>
              <w:spacing w:line="240" w:lineRule="auto"/>
              <w:jc w:val="center"/>
              <w:rPr>
                <w:color w:val="000000"/>
                <w:sz w:val="16"/>
                <w:szCs w:val="16"/>
              </w:rPr>
            </w:pPr>
            <w:r w:rsidRPr="00F23BB5">
              <w:rPr>
                <w:color w:val="000000"/>
                <w:sz w:val="16"/>
                <w:szCs w:val="16"/>
              </w:rPr>
              <w:t>X</w:t>
            </w:r>
          </w:p>
        </w:tc>
        <w:tc>
          <w:tcPr>
            <w:tcW w:w="1570" w:type="dxa"/>
            <w:tcBorders>
              <w:top w:val="single" w:color="9BC2E6" w:sz="4" w:space="0"/>
              <w:left w:val="nil"/>
              <w:bottom w:val="single" w:color="9BC2E6" w:sz="4" w:space="0"/>
              <w:right w:val="single" w:color="9BC2E6" w:sz="4" w:space="0"/>
            </w:tcBorders>
            <w:shd w:val="clear" w:color="DDEBF7" w:fill="DDEBF7"/>
            <w:noWrap/>
            <w:vAlign w:val="center"/>
            <w:hideMark/>
          </w:tcPr>
          <w:p w:rsidRPr="00F23BB5" w:rsidR="00A26EF3" w:rsidP="00F77A3C" w:rsidRDefault="00A26EF3" w14:paraId="46669106" w14:textId="77777777">
            <w:pPr>
              <w:spacing w:line="240" w:lineRule="auto"/>
              <w:jc w:val="center"/>
              <w:rPr>
                <w:color w:val="000000"/>
                <w:sz w:val="16"/>
                <w:szCs w:val="16"/>
              </w:rPr>
            </w:pPr>
          </w:p>
        </w:tc>
      </w:tr>
      <w:tr w:rsidRPr="00F23BB5" w:rsidR="00A26EF3" w:rsidTr="00F77A3C" w14:paraId="7FD09201" w14:textId="77777777">
        <w:trPr>
          <w:trHeight w:val="290"/>
        </w:trPr>
        <w:tc>
          <w:tcPr>
            <w:tcW w:w="4106" w:type="dxa"/>
            <w:tcBorders>
              <w:top w:val="single" w:color="9BC2E6" w:sz="4" w:space="0"/>
              <w:left w:val="single" w:color="9BC2E6" w:sz="4" w:space="0"/>
              <w:bottom w:val="single" w:color="9BC2E6" w:sz="4" w:space="0"/>
              <w:right w:val="nil"/>
            </w:tcBorders>
            <w:vAlign w:val="bottom"/>
            <w:hideMark/>
          </w:tcPr>
          <w:p w:rsidRPr="00F23BB5" w:rsidR="00A26EF3" w:rsidP="00F77A3C" w:rsidRDefault="00A26EF3" w14:paraId="281E619F" w14:textId="77777777">
            <w:pPr>
              <w:spacing w:line="240" w:lineRule="auto"/>
              <w:jc w:val="left"/>
              <w:rPr>
                <w:color w:val="000000"/>
                <w:sz w:val="16"/>
                <w:szCs w:val="16"/>
              </w:rPr>
            </w:pPr>
            <w:r w:rsidRPr="00F23BB5">
              <w:rPr>
                <w:color w:val="000000"/>
                <w:sz w:val="16"/>
                <w:szCs w:val="16"/>
              </w:rPr>
              <w:t>Agenția Națională de Integritate (ANI) - National Integrity Agency</w:t>
            </w:r>
          </w:p>
        </w:tc>
        <w:tc>
          <w:tcPr>
            <w:tcW w:w="1701" w:type="dxa"/>
            <w:tcBorders>
              <w:top w:val="single" w:color="9BC2E6" w:sz="4" w:space="0"/>
              <w:left w:val="nil"/>
              <w:bottom w:val="single" w:color="9BC2E6" w:sz="4" w:space="0"/>
              <w:right w:val="nil"/>
            </w:tcBorders>
            <w:noWrap/>
            <w:hideMark/>
          </w:tcPr>
          <w:p w:rsidRPr="00F23BB5" w:rsidR="00A26EF3" w:rsidP="00F77A3C" w:rsidRDefault="00A26EF3" w14:paraId="3093E535" w14:textId="77777777">
            <w:pPr>
              <w:spacing w:line="240" w:lineRule="auto"/>
              <w:jc w:val="left"/>
              <w:rPr>
                <w:color w:val="000000"/>
                <w:sz w:val="16"/>
                <w:szCs w:val="16"/>
              </w:rPr>
            </w:pPr>
            <w:r w:rsidRPr="00F23BB5">
              <w:rPr>
                <w:color w:val="000000"/>
                <w:sz w:val="16"/>
                <w:szCs w:val="16"/>
              </w:rPr>
              <w:t>Romania</w:t>
            </w:r>
          </w:p>
        </w:tc>
        <w:tc>
          <w:tcPr>
            <w:tcW w:w="1843" w:type="dxa"/>
            <w:tcBorders>
              <w:top w:val="single" w:color="9BC2E6" w:sz="4" w:space="0"/>
              <w:left w:val="nil"/>
              <w:bottom w:val="single" w:color="9BC2E6" w:sz="4" w:space="0"/>
              <w:right w:val="nil"/>
            </w:tcBorders>
            <w:noWrap/>
            <w:vAlign w:val="center"/>
            <w:hideMark/>
          </w:tcPr>
          <w:p w:rsidRPr="00F23BB5" w:rsidR="00A26EF3" w:rsidP="00F77A3C" w:rsidRDefault="00A26EF3" w14:paraId="34CCF0EE" w14:textId="77777777">
            <w:pPr>
              <w:spacing w:line="240" w:lineRule="auto"/>
              <w:jc w:val="left"/>
              <w:rPr>
                <w:color w:val="000000"/>
                <w:sz w:val="16"/>
                <w:szCs w:val="16"/>
              </w:rPr>
            </w:pPr>
          </w:p>
        </w:tc>
        <w:tc>
          <w:tcPr>
            <w:tcW w:w="1570" w:type="dxa"/>
            <w:tcBorders>
              <w:top w:val="single" w:color="9BC2E6" w:sz="4" w:space="0"/>
              <w:left w:val="nil"/>
              <w:bottom w:val="single" w:color="9BC2E6" w:sz="4" w:space="0"/>
              <w:right w:val="single" w:color="9BC2E6" w:sz="4" w:space="0"/>
            </w:tcBorders>
            <w:noWrap/>
            <w:vAlign w:val="center"/>
            <w:hideMark/>
          </w:tcPr>
          <w:p w:rsidRPr="00F23BB5" w:rsidR="00A26EF3" w:rsidP="00F77A3C" w:rsidRDefault="00A26EF3" w14:paraId="3543A9A9" w14:textId="77777777">
            <w:pPr>
              <w:spacing w:line="240" w:lineRule="auto"/>
              <w:jc w:val="center"/>
              <w:rPr>
                <w:color w:val="000000"/>
                <w:sz w:val="16"/>
                <w:szCs w:val="16"/>
              </w:rPr>
            </w:pPr>
            <w:r w:rsidRPr="00F23BB5">
              <w:rPr>
                <w:color w:val="000000"/>
                <w:sz w:val="16"/>
                <w:szCs w:val="16"/>
              </w:rPr>
              <w:t>X</w:t>
            </w:r>
          </w:p>
        </w:tc>
      </w:tr>
      <w:tr w:rsidRPr="00F23BB5" w:rsidR="00A26EF3" w:rsidTr="00F77A3C" w14:paraId="15FF57EE" w14:textId="77777777">
        <w:trPr>
          <w:trHeight w:val="290"/>
        </w:trPr>
        <w:tc>
          <w:tcPr>
            <w:tcW w:w="4106" w:type="dxa"/>
            <w:tcBorders>
              <w:top w:val="single" w:color="9BC2E6" w:sz="4" w:space="0"/>
              <w:left w:val="single" w:color="9BC2E6" w:sz="4" w:space="0"/>
              <w:bottom w:val="single" w:color="9BC2E6" w:sz="4" w:space="0"/>
              <w:right w:val="nil"/>
            </w:tcBorders>
            <w:shd w:val="clear" w:color="DDEBF7" w:fill="DDEBF7"/>
            <w:hideMark/>
          </w:tcPr>
          <w:p w:rsidRPr="00F23BB5" w:rsidR="00A26EF3" w:rsidP="00F77A3C" w:rsidRDefault="00A26EF3" w14:paraId="7F7E39DA" w14:textId="77777777">
            <w:pPr>
              <w:spacing w:line="240" w:lineRule="auto"/>
              <w:jc w:val="left"/>
              <w:rPr>
                <w:color w:val="000000"/>
                <w:sz w:val="16"/>
                <w:szCs w:val="16"/>
              </w:rPr>
            </w:pPr>
            <w:r w:rsidRPr="00F23BB5">
              <w:rPr>
                <w:color w:val="000000"/>
                <w:sz w:val="16"/>
                <w:szCs w:val="16"/>
              </w:rPr>
              <w:t>APADOR-CH</w:t>
            </w:r>
          </w:p>
        </w:tc>
        <w:tc>
          <w:tcPr>
            <w:tcW w:w="1701" w:type="dxa"/>
            <w:tcBorders>
              <w:top w:val="single" w:color="9BC2E6" w:sz="4" w:space="0"/>
              <w:left w:val="nil"/>
              <w:bottom w:val="single" w:color="9BC2E6" w:sz="4" w:space="0"/>
              <w:right w:val="nil"/>
            </w:tcBorders>
            <w:shd w:val="clear" w:color="DDEBF7" w:fill="DDEBF7"/>
            <w:noWrap/>
            <w:hideMark/>
          </w:tcPr>
          <w:p w:rsidRPr="00F23BB5" w:rsidR="00A26EF3" w:rsidP="00F77A3C" w:rsidRDefault="00A26EF3" w14:paraId="287E6C63" w14:textId="77777777">
            <w:pPr>
              <w:spacing w:line="240" w:lineRule="auto"/>
              <w:jc w:val="left"/>
              <w:rPr>
                <w:color w:val="000000"/>
                <w:sz w:val="16"/>
                <w:szCs w:val="16"/>
              </w:rPr>
            </w:pPr>
            <w:r w:rsidRPr="00F23BB5">
              <w:rPr>
                <w:color w:val="000000"/>
                <w:sz w:val="16"/>
                <w:szCs w:val="16"/>
              </w:rPr>
              <w:t>Romania</w:t>
            </w:r>
          </w:p>
        </w:tc>
        <w:tc>
          <w:tcPr>
            <w:tcW w:w="1843" w:type="dxa"/>
            <w:tcBorders>
              <w:top w:val="single" w:color="9BC2E6" w:sz="4" w:space="0"/>
              <w:left w:val="nil"/>
              <w:bottom w:val="single" w:color="9BC2E6" w:sz="4" w:space="0"/>
              <w:right w:val="nil"/>
            </w:tcBorders>
            <w:shd w:val="clear" w:color="DDEBF7" w:fill="DDEBF7"/>
            <w:noWrap/>
            <w:vAlign w:val="center"/>
            <w:hideMark/>
          </w:tcPr>
          <w:p w:rsidRPr="00F23BB5" w:rsidR="00A26EF3" w:rsidP="00F77A3C" w:rsidRDefault="00A26EF3" w14:paraId="1510E61D" w14:textId="77777777">
            <w:pPr>
              <w:spacing w:line="240" w:lineRule="auto"/>
              <w:jc w:val="center"/>
              <w:rPr>
                <w:color w:val="000000"/>
                <w:sz w:val="16"/>
                <w:szCs w:val="16"/>
              </w:rPr>
            </w:pPr>
            <w:r w:rsidRPr="00F23BB5">
              <w:rPr>
                <w:color w:val="000000"/>
                <w:sz w:val="16"/>
                <w:szCs w:val="16"/>
              </w:rPr>
              <w:t>X</w:t>
            </w:r>
          </w:p>
        </w:tc>
        <w:tc>
          <w:tcPr>
            <w:tcW w:w="1570" w:type="dxa"/>
            <w:tcBorders>
              <w:top w:val="single" w:color="9BC2E6" w:sz="4" w:space="0"/>
              <w:left w:val="nil"/>
              <w:bottom w:val="single" w:color="9BC2E6" w:sz="4" w:space="0"/>
              <w:right w:val="single" w:color="9BC2E6" w:sz="4" w:space="0"/>
            </w:tcBorders>
            <w:shd w:val="clear" w:color="DDEBF7" w:fill="DDEBF7"/>
            <w:noWrap/>
            <w:vAlign w:val="center"/>
            <w:hideMark/>
          </w:tcPr>
          <w:p w:rsidRPr="00F23BB5" w:rsidR="00A26EF3" w:rsidP="00F77A3C" w:rsidRDefault="00A26EF3" w14:paraId="44589956" w14:textId="77777777">
            <w:pPr>
              <w:spacing w:line="240" w:lineRule="auto"/>
              <w:jc w:val="center"/>
              <w:rPr>
                <w:color w:val="000000"/>
                <w:sz w:val="16"/>
                <w:szCs w:val="16"/>
              </w:rPr>
            </w:pPr>
          </w:p>
        </w:tc>
      </w:tr>
      <w:tr w:rsidRPr="00F23BB5" w:rsidR="00A26EF3" w:rsidTr="00F77A3C" w14:paraId="57B72B0A" w14:textId="77777777">
        <w:trPr>
          <w:trHeight w:val="290"/>
        </w:trPr>
        <w:tc>
          <w:tcPr>
            <w:tcW w:w="4106" w:type="dxa"/>
            <w:tcBorders>
              <w:top w:val="single" w:color="9BC2E6" w:sz="4" w:space="0"/>
              <w:left w:val="single" w:color="9BC2E6" w:sz="4" w:space="0"/>
              <w:bottom w:val="single" w:color="9BC2E6" w:sz="4" w:space="0"/>
              <w:right w:val="nil"/>
            </w:tcBorders>
            <w:vAlign w:val="bottom"/>
            <w:hideMark/>
          </w:tcPr>
          <w:p w:rsidRPr="00F23BB5" w:rsidR="00A26EF3" w:rsidP="00F77A3C" w:rsidRDefault="00A26EF3" w14:paraId="7FDCF736" w14:textId="77777777">
            <w:pPr>
              <w:spacing w:line="240" w:lineRule="auto"/>
              <w:jc w:val="left"/>
              <w:rPr>
                <w:color w:val="000000"/>
                <w:sz w:val="16"/>
                <w:szCs w:val="16"/>
              </w:rPr>
            </w:pPr>
            <w:r w:rsidRPr="00F23BB5">
              <w:rPr>
                <w:color w:val="000000"/>
                <w:sz w:val="16"/>
                <w:szCs w:val="16"/>
              </w:rPr>
              <w:t>Asociatia A Patra Putere - Fourth Estate Alliance</w:t>
            </w:r>
          </w:p>
        </w:tc>
        <w:tc>
          <w:tcPr>
            <w:tcW w:w="1701" w:type="dxa"/>
            <w:tcBorders>
              <w:top w:val="single" w:color="9BC2E6" w:sz="4" w:space="0"/>
              <w:left w:val="nil"/>
              <w:bottom w:val="single" w:color="9BC2E6" w:sz="4" w:space="0"/>
              <w:right w:val="nil"/>
            </w:tcBorders>
            <w:noWrap/>
            <w:hideMark/>
          </w:tcPr>
          <w:p w:rsidRPr="00F23BB5" w:rsidR="00A26EF3" w:rsidP="00F77A3C" w:rsidRDefault="00A26EF3" w14:paraId="5B04C3D5" w14:textId="77777777">
            <w:pPr>
              <w:spacing w:line="240" w:lineRule="auto"/>
              <w:jc w:val="left"/>
              <w:rPr>
                <w:color w:val="000000"/>
                <w:sz w:val="16"/>
                <w:szCs w:val="16"/>
              </w:rPr>
            </w:pPr>
            <w:r w:rsidRPr="00F23BB5">
              <w:rPr>
                <w:color w:val="000000"/>
                <w:sz w:val="16"/>
                <w:szCs w:val="16"/>
              </w:rPr>
              <w:t>Romania</w:t>
            </w:r>
          </w:p>
        </w:tc>
        <w:tc>
          <w:tcPr>
            <w:tcW w:w="1843" w:type="dxa"/>
            <w:tcBorders>
              <w:top w:val="single" w:color="9BC2E6" w:sz="4" w:space="0"/>
              <w:left w:val="nil"/>
              <w:bottom w:val="single" w:color="9BC2E6" w:sz="4" w:space="0"/>
              <w:right w:val="nil"/>
            </w:tcBorders>
            <w:noWrap/>
            <w:vAlign w:val="center"/>
            <w:hideMark/>
          </w:tcPr>
          <w:p w:rsidRPr="00F23BB5" w:rsidR="00A26EF3" w:rsidP="00F77A3C" w:rsidRDefault="00A26EF3" w14:paraId="60D9ADE6" w14:textId="77777777">
            <w:pPr>
              <w:spacing w:line="240" w:lineRule="auto"/>
              <w:jc w:val="left"/>
              <w:rPr>
                <w:color w:val="000000"/>
                <w:sz w:val="16"/>
                <w:szCs w:val="16"/>
              </w:rPr>
            </w:pPr>
          </w:p>
        </w:tc>
        <w:tc>
          <w:tcPr>
            <w:tcW w:w="1570" w:type="dxa"/>
            <w:tcBorders>
              <w:top w:val="single" w:color="9BC2E6" w:sz="4" w:space="0"/>
              <w:left w:val="nil"/>
              <w:bottom w:val="single" w:color="9BC2E6" w:sz="4" w:space="0"/>
              <w:right w:val="single" w:color="9BC2E6" w:sz="4" w:space="0"/>
            </w:tcBorders>
            <w:noWrap/>
            <w:vAlign w:val="center"/>
            <w:hideMark/>
          </w:tcPr>
          <w:p w:rsidRPr="00F23BB5" w:rsidR="00A26EF3" w:rsidP="00F77A3C" w:rsidRDefault="00A26EF3" w14:paraId="19F1437F" w14:textId="77777777">
            <w:pPr>
              <w:spacing w:line="240" w:lineRule="auto"/>
              <w:jc w:val="center"/>
              <w:rPr>
                <w:color w:val="000000"/>
                <w:sz w:val="16"/>
                <w:szCs w:val="16"/>
              </w:rPr>
            </w:pPr>
            <w:r w:rsidRPr="00F23BB5">
              <w:rPr>
                <w:color w:val="000000"/>
                <w:sz w:val="16"/>
                <w:szCs w:val="16"/>
              </w:rPr>
              <w:t>X</w:t>
            </w:r>
          </w:p>
        </w:tc>
      </w:tr>
      <w:tr w:rsidRPr="00F23BB5" w:rsidR="00A26EF3" w:rsidTr="00F77A3C" w14:paraId="3972AFED" w14:textId="77777777">
        <w:trPr>
          <w:trHeight w:val="290"/>
        </w:trPr>
        <w:tc>
          <w:tcPr>
            <w:tcW w:w="4106" w:type="dxa"/>
            <w:tcBorders>
              <w:top w:val="single" w:color="9BC2E6" w:sz="4" w:space="0"/>
              <w:left w:val="single" w:color="9BC2E6" w:sz="4" w:space="0"/>
              <w:bottom w:val="single" w:color="9BC2E6" w:sz="4" w:space="0"/>
              <w:right w:val="nil"/>
            </w:tcBorders>
            <w:shd w:val="clear" w:color="DDEBF7" w:fill="DDEBF7"/>
            <w:vAlign w:val="bottom"/>
            <w:hideMark/>
          </w:tcPr>
          <w:p w:rsidRPr="00F23BB5" w:rsidR="00A26EF3" w:rsidP="00F77A3C" w:rsidRDefault="00A26EF3" w14:paraId="28FAF88C" w14:textId="77777777">
            <w:pPr>
              <w:spacing w:line="240" w:lineRule="auto"/>
              <w:jc w:val="left"/>
              <w:rPr>
                <w:color w:val="000000"/>
                <w:sz w:val="16"/>
                <w:szCs w:val="16"/>
              </w:rPr>
            </w:pPr>
            <w:r w:rsidRPr="00F23BB5">
              <w:rPr>
                <w:color w:val="000000"/>
                <w:sz w:val="16"/>
                <w:szCs w:val="16"/>
              </w:rPr>
              <w:t>Asociatia Avertizorilor in Interes Public - NGO Whistleblower Association</w:t>
            </w:r>
          </w:p>
        </w:tc>
        <w:tc>
          <w:tcPr>
            <w:tcW w:w="1701" w:type="dxa"/>
            <w:tcBorders>
              <w:top w:val="single" w:color="9BC2E6" w:sz="4" w:space="0"/>
              <w:left w:val="nil"/>
              <w:bottom w:val="single" w:color="9BC2E6" w:sz="4" w:space="0"/>
              <w:right w:val="nil"/>
            </w:tcBorders>
            <w:shd w:val="clear" w:color="DDEBF7" w:fill="DDEBF7"/>
            <w:noWrap/>
            <w:hideMark/>
          </w:tcPr>
          <w:p w:rsidRPr="00F23BB5" w:rsidR="00A26EF3" w:rsidP="00F77A3C" w:rsidRDefault="00A26EF3" w14:paraId="3F1DEB80" w14:textId="77777777">
            <w:pPr>
              <w:spacing w:line="240" w:lineRule="auto"/>
              <w:jc w:val="left"/>
              <w:rPr>
                <w:color w:val="000000"/>
                <w:sz w:val="16"/>
                <w:szCs w:val="16"/>
              </w:rPr>
            </w:pPr>
            <w:r w:rsidRPr="00F23BB5">
              <w:rPr>
                <w:color w:val="000000"/>
                <w:sz w:val="16"/>
                <w:szCs w:val="16"/>
              </w:rPr>
              <w:t>Romania</w:t>
            </w:r>
          </w:p>
        </w:tc>
        <w:tc>
          <w:tcPr>
            <w:tcW w:w="1843" w:type="dxa"/>
            <w:tcBorders>
              <w:top w:val="single" w:color="9BC2E6" w:sz="4" w:space="0"/>
              <w:left w:val="nil"/>
              <w:bottom w:val="single" w:color="9BC2E6" w:sz="4" w:space="0"/>
              <w:right w:val="nil"/>
            </w:tcBorders>
            <w:shd w:val="clear" w:color="DDEBF7" w:fill="DDEBF7"/>
            <w:noWrap/>
            <w:vAlign w:val="center"/>
            <w:hideMark/>
          </w:tcPr>
          <w:p w:rsidRPr="00F23BB5" w:rsidR="00A26EF3" w:rsidP="00F77A3C" w:rsidRDefault="00A26EF3" w14:paraId="79E062C4" w14:textId="77777777">
            <w:pPr>
              <w:spacing w:line="240" w:lineRule="auto"/>
              <w:jc w:val="left"/>
              <w:rPr>
                <w:color w:val="000000"/>
                <w:sz w:val="16"/>
                <w:szCs w:val="16"/>
              </w:rPr>
            </w:pPr>
          </w:p>
        </w:tc>
        <w:tc>
          <w:tcPr>
            <w:tcW w:w="1570" w:type="dxa"/>
            <w:tcBorders>
              <w:top w:val="single" w:color="9BC2E6" w:sz="4" w:space="0"/>
              <w:left w:val="nil"/>
              <w:bottom w:val="single" w:color="9BC2E6" w:sz="4" w:space="0"/>
              <w:right w:val="single" w:color="9BC2E6" w:sz="4" w:space="0"/>
            </w:tcBorders>
            <w:shd w:val="clear" w:color="DDEBF7" w:fill="DDEBF7"/>
            <w:noWrap/>
            <w:vAlign w:val="center"/>
            <w:hideMark/>
          </w:tcPr>
          <w:p w:rsidRPr="00F23BB5" w:rsidR="00A26EF3" w:rsidP="00F77A3C" w:rsidRDefault="00A26EF3" w14:paraId="3039EE2B" w14:textId="77777777">
            <w:pPr>
              <w:spacing w:line="240" w:lineRule="auto"/>
              <w:jc w:val="center"/>
              <w:rPr>
                <w:color w:val="000000"/>
                <w:sz w:val="16"/>
                <w:szCs w:val="16"/>
              </w:rPr>
            </w:pPr>
            <w:r w:rsidRPr="00F23BB5">
              <w:rPr>
                <w:color w:val="000000"/>
                <w:sz w:val="16"/>
                <w:szCs w:val="16"/>
              </w:rPr>
              <w:t>X</w:t>
            </w:r>
          </w:p>
        </w:tc>
      </w:tr>
      <w:tr w:rsidRPr="00F23BB5" w:rsidR="00A26EF3" w:rsidTr="00F77A3C" w14:paraId="07AD1009" w14:textId="77777777">
        <w:trPr>
          <w:trHeight w:val="290"/>
        </w:trPr>
        <w:tc>
          <w:tcPr>
            <w:tcW w:w="4106" w:type="dxa"/>
            <w:tcBorders>
              <w:top w:val="single" w:color="9BC2E6" w:sz="4" w:space="0"/>
              <w:left w:val="single" w:color="9BC2E6" w:sz="4" w:space="0"/>
              <w:bottom w:val="single" w:color="9BC2E6" w:sz="4" w:space="0"/>
              <w:right w:val="nil"/>
            </w:tcBorders>
            <w:vAlign w:val="bottom"/>
            <w:hideMark/>
          </w:tcPr>
          <w:p w:rsidRPr="00063647" w:rsidR="00A26EF3" w:rsidP="00F77A3C" w:rsidRDefault="00A26EF3" w14:paraId="7FD3FBCC" w14:textId="77777777">
            <w:pPr>
              <w:spacing w:line="240" w:lineRule="auto"/>
              <w:jc w:val="left"/>
              <w:rPr>
                <w:color w:val="000000"/>
                <w:sz w:val="16"/>
                <w:szCs w:val="16"/>
                <w:lang w:val="it-IT"/>
              </w:rPr>
            </w:pPr>
            <w:r w:rsidRPr="00063647">
              <w:rPr>
                <w:color w:val="000000"/>
                <w:sz w:val="16"/>
                <w:szCs w:val="16"/>
                <w:lang w:val="it-IT"/>
              </w:rPr>
              <w:t>Asociatia Ecologica Regionala - AER Muntenia Sud (Regional Ecological Association - AER Muntenia Sud)</w:t>
            </w:r>
          </w:p>
        </w:tc>
        <w:tc>
          <w:tcPr>
            <w:tcW w:w="1701" w:type="dxa"/>
            <w:tcBorders>
              <w:top w:val="single" w:color="9BC2E6" w:sz="4" w:space="0"/>
              <w:left w:val="nil"/>
              <w:bottom w:val="single" w:color="9BC2E6" w:sz="4" w:space="0"/>
              <w:right w:val="nil"/>
            </w:tcBorders>
            <w:noWrap/>
            <w:hideMark/>
          </w:tcPr>
          <w:p w:rsidRPr="00F23BB5" w:rsidR="00A26EF3" w:rsidP="00F77A3C" w:rsidRDefault="00A26EF3" w14:paraId="026FC61C" w14:textId="77777777">
            <w:pPr>
              <w:spacing w:line="240" w:lineRule="auto"/>
              <w:jc w:val="left"/>
              <w:rPr>
                <w:color w:val="000000"/>
                <w:sz w:val="16"/>
                <w:szCs w:val="16"/>
              </w:rPr>
            </w:pPr>
            <w:r w:rsidRPr="00F23BB5">
              <w:rPr>
                <w:color w:val="000000"/>
                <w:sz w:val="16"/>
                <w:szCs w:val="16"/>
              </w:rPr>
              <w:t>Romania</w:t>
            </w:r>
          </w:p>
        </w:tc>
        <w:tc>
          <w:tcPr>
            <w:tcW w:w="1843" w:type="dxa"/>
            <w:tcBorders>
              <w:top w:val="single" w:color="9BC2E6" w:sz="4" w:space="0"/>
              <w:left w:val="nil"/>
              <w:bottom w:val="single" w:color="9BC2E6" w:sz="4" w:space="0"/>
              <w:right w:val="nil"/>
            </w:tcBorders>
            <w:noWrap/>
            <w:vAlign w:val="center"/>
            <w:hideMark/>
          </w:tcPr>
          <w:p w:rsidRPr="00F23BB5" w:rsidR="00A26EF3" w:rsidP="00F77A3C" w:rsidRDefault="00A26EF3" w14:paraId="150FE389" w14:textId="77777777">
            <w:pPr>
              <w:spacing w:line="240" w:lineRule="auto"/>
              <w:jc w:val="left"/>
              <w:rPr>
                <w:color w:val="000000"/>
                <w:sz w:val="16"/>
                <w:szCs w:val="16"/>
              </w:rPr>
            </w:pPr>
          </w:p>
        </w:tc>
        <w:tc>
          <w:tcPr>
            <w:tcW w:w="1570" w:type="dxa"/>
            <w:tcBorders>
              <w:top w:val="single" w:color="9BC2E6" w:sz="4" w:space="0"/>
              <w:left w:val="nil"/>
              <w:bottom w:val="single" w:color="9BC2E6" w:sz="4" w:space="0"/>
              <w:right w:val="single" w:color="9BC2E6" w:sz="4" w:space="0"/>
            </w:tcBorders>
            <w:noWrap/>
            <w:vAlign w:val="center"/>
            <w:hideMark/>
          </w:tcPr>
          <w:p w:rsidRPr="00F23BB5" w:rsidR="00A26EF3" w:rsidP="00F77A3C" w:rsidRDefault="00A26EF3" w14:paraId="1D98BD90" w14:textId="77777777">
            <w:pPr>
              <w:spacing w:line="240" w:lineRule="auto"/>
              <w:jc w:val="center"/>
              <w:rPr>
                <w:color w:val="000000"/>
                <w:sz w:val="16"/>
                <w:szCs w:val="16"/>
              </w:rPr>
            </w:pPr>
            <w:r w:rsidRPr="00F23BB5">
              <w:rPr>
                <w:color w:val="000000"/>
                <w:sz w:val="16"/>
                <w:szCs w:val="16"/>
              </w:rPr>
              <w:t>X</w:t>
            </w:r>
          </w:p>
        </w:tc>
      </w:tr>
      <w:tr w:rsidRPr="00F23BB5" w:rsidR="00A26EF3" w:rsidTr="00F77A3C" w14:paraId="5B2A33FF" w14:textId="77777777">
        <w:trPr>
          <w:trHeight w:val="290"/>
        </w:trPr>
        <w:tc>
          <w:tcPr>
            <w:tcW w:w="4106" w:type="dxa"/>
            <w:tcBorders>
              <w:top w:val="single" w:color="9BC2E6" w:sz="4" w:space="0"/>
              <w:left w:val="single" w:color="9BC2E6" w:sz="4" w:space="0"/>
              <w:bottom w:val="single" w:color="9BC2E6" w:sz="4" w:space="0"/>
              <w:right w:val="nil"/>
            </w:tcBorders>
            <w:shd w:val="clear" w:color="DDEBF7" w:fill="DDEBF7"/>
            <w:vAlign w:val="bottom"/>
            <w:hideMark/>
          </w:tcPr>
          <w:p w:rsidRPr="00063647" w:rsidR="00A26EF3" w:rsidP="00F77A3C" w:rsidRDefault="00A26EF3" w14:paraId="154CF121" w14:textId="77777777">
            <w:pPr>
              <w:spacing w:line="240" w:lineRule="auto"/>
              <w:jc w:val="left"/>
              <w:rPr>
                <w:color w:val="000000"/>
                <w:sz w:val="16"/>
                <w:szCs w:val="16"/>
                <w:lang w:val="it-IT"/>
              </w:rPr>
            </w:pPr>
            <w:r w:rsidRPr="00063647">
              <w:rPr>
                <w:color w:val="000000"/>
                <w:sz w:val="16"/>
                <w:szCs w:val="16"/>
                <w:lang w:val="it-IT"/>
              </w:rPr>
              <w:t xml:space="preserve">Asociatia Marilor Retele Comerciale din Romania (AMRCR) </w:t>
            </w:r>
          </w:p>
        </w:tc>
        <w:tc>
          <w:tcPr>
            <w:tcW w:w="1701" w:type="dxa"/>
            <w:tcBorders>
              <w:top w:val="single" w:color="9BC2E6" w:sz="4" w:space="0"/>
              <w:left w:val="nil"/>
              <w:bottom w:val="single" w:color="9BC2E6" w:sz="4" w:space="0"/>
              <w:right w:val="nil"/>
            </w:tcBorders>
            <w:shd w:val="clear" w:color="DDEBF7" w:fill="DDEBF7"/>
            <w:noWrap/>
            <w:hideMark/>
          </w:tcPr>
          <w:p w:rsidRPr="00F23BB5" w:rsidR="00A26EF3" w:rsidP="00F77A3C" w:rsidRDefault="00A26EF3" w14:paraId="43CB39E2" w14:textId="77777777">
            <w:pPr>
              <w:spacing w:line="240" w:lineRule="auto"/>
              <w:jc w:val="left"/>
              <w:rPr>
                <w:color w:val="000000"/>
                <w:sz w:val="16"/>
                <w:szCs w:val="16"/>
              </w:rPr>
            </w:pPr>
            <w:r w:rsidRPr="00F23BB5">
              <w:rPr>
                <w:color w:val="000000"/>
                <w:sz w:val="16"/>
                <w:szCs w:val="16"/>
              </w:rPr>
              <w:t>Romania</w:t>
            </w:r>
          </w:p>
        </w:tc>
        <w:tc>
          <w:tcPr>
            <w:tcW w:w="1843" w:type="dxa"/>
            <w:tcBorders>
              <w:top w:val="single" w:color="9BC2E6" w:sz="4" w:space="0"/>
              <w:left w:val="nil"/>
              <w:bottom w:val="single" w:color="9BC2E6" w:sz="4" w:space="0"/>
              <w:right w:val="nil"/>
            </w:tcBorders>
            <w:shd w:val="clear" w:color="DDEBF7" w:fill="DDEBF7"/>
            <w:noWrap/>
            <w:vAlign w:val="center"/>
            <w:hideMark/>
          </w:tcPr>
          <w:p w:rsidRPr="00F23BB5" w:rsidR="00A26EF3" w:rsidP="00F77A3C" w:rsidRDefault="00A26EF3" w14:paraId="66786419" w14:textId="77777777">
            <w:pPr>
              <w:spacing w:line="240" w:lineRule="auto"/>
              <w:jc w:val="left"/>
              <w:rPr>
                <w:color w:val="000000"/>
                <w:sz w:val="16"/>
                <w:szCs w:val="16"/>
              </w:rPr>
            </w:pPr>
          </w:p>
        </w:tc>
        <w:tc>
          <w:tcPr>
            <w:tcW w:w="1570" w:type="dxa"/>
            <w:tcBorders>
              <w:top w:val="single" w:color="9BC2E6" w:sz="4" w:space="0"/>
              <w:left w:val="nil"/>
              <w:bottom w:val="single" w:color="9BC2E6" w:sz="4" w:space="0"/>
              <w:right w:val="single" w:color="9BC2E6" w:sz="4" w:space="0"/>
            </w:tcBorders>
            <w:shd w:val="clear" w:color="DDEBF7" w:fill="DDEBF7"/>
            <w:noWrap/>
            <w:vAlign w:val="center"/>
            <w:hideMark/>
          </w:tcPr>
          <w:p w:rsidRPr="00F23BB5" w:rsidR="00A26EF3" w:rsidP="00F77A3C" w:rsidRDefault="00A26EF3" w14:paraId="33A4FA7C" w14:textId="77777777">
            <w:pPr>
              <w:spacing w:line="240" w:lineRule="auto"/>
              <w:jc w:val="center"/>
              <w:rPr>
                <w:color w:val="000000"/>
                <w:sz w:val="16"/>
                <w:szCs w:val="16"/>
              </w:rPr>
            </w:pPr>
            <w:r w:rsidRPr="00F23BB5">
              <w:rPr>
                <w:color w:val="000000"/>
                <w:sz w:val="16"/>
                <w:szCs w:val="16"/>
              </w:rPr>
              <w:t>X</w:t>
            </w:r>
          </w:p>
        </w:tc>
      </w:tr>
      <w:tr w:rsidRPr="00F23BB5" w:rsidR="00A26EF3" w:rsidTr="00F77A3C" w14:paraId="51FC3124" w14:textId="77777777">
        <w:trPr>
          <w:trHeight w:val="420"/>
        </w:trPr>
        <w:tc>
          <w:tcPr>
            <w:tcW w:w="4106" w:type="dxa"/>
            <w:tcBorders>
              <w:top w:val="single" w:color="9BC2E6" w:sz="4" w:space="0"/>
              <w:left w:val="single" w:color="9BC2E6" w:sz="4" w:space="0"/>
              <w:bottom w:val="single" w:color="9BC2E6" w:sz="4" w:space="0"/>
              <w:right w:val="nil"/>
            </w:tcBorders>
            <w:hideMark/>
          </w:tcPr>
          <w:p w:rsidRPr="00F23BB5" w:rsidR="00A26EF3" w:rsidP="00F77A3C" w:rsidRDefault="00A26EF3" w14:paraId="7D19AC61" w14:textId="77777777">
            <w:pPr>
              <w:spacing w:line="240" w:lineRule="auto"/>
              <w:jc w:val="left"/>
              <w:rPr>
                <w:color w:val="000000"/>
                <w:sz w:val="16"/>
                <w:szCs w:val="16"/>
              </w:rPr>
            </w:pPr>
            <w:r w:rsidRPr="00F23BB5">
              <w:rPr>
                <w:color w:val="000000"/>
                <w:sz w:val="16"/>
                <w:szCs w:val="16"/>
              </w:rPr>
              <w:t>Asociatia pentru Cooperare si Dezvoltare Durabila (ACDD) -Association for Cooperation and Sustainable Development</w:t>
            </w:r>
          </w:p>
        </w:tc>
        <w:tc>
          <w:tcPr>
            <w:tcW w:w="1701" w:type="dxa"/>
            <w:tcBorders>
              <w:top w:val="single" w:color="9BC2E6" w:sz="4" w:space="0"/>
              <w:left w:val="nil"/>
              <w:bottom w:val="single" w:color="9BC2E6" w:sz="4" w:space="0"/>
              <w:right w:val="nil"/>
            </w:tcBorders>
            <w:noWrap/>
            <w:hideMark/>
          </w:tcPr>
          <w:p w:rsidRPr="00F23BB5" w:rsidR="00A26EF3" w:rsidP="00F77A3C" w:rsidRDefault="00A26EF3" w14:paraId="5CF6F0E9" w14:textId="77777777">
            <w:pPr>
              <w:spacing w:line="240" w:lineRule="auto"/>
              <w:jc w:val="left"/>
              <w:rPr>
                <w:color w:val="000000"/>
                <w:sz w:val="16"/>
                <w:szCs w:val="16"/>
              </w:rPr>
            </w:pPr>
            <w:r w:rsidRPr="00F23BB5">
              <w:rPr>
                <w:color w:val="000000"/>
                <w:sz w:val="16"/>
                <w:szCs w:val="16"/>
              </w:rPr>
              <w:t>Romania</w:t>
            </w:r>
          </w:p>
        </w:tc>
        <w:tc>
          <w:tcPr>
            <w:tcW w:w="1843" w:type="dxa"/>
            <w:tcBorders>
              <w:top w:val="single" w:color="9BC2E6" w:sz="4" w:space="0"/>
              <w:left w:val="nil"/>
              <w:bottom w:val="single" w:color="9BC2E6" w:sz="4" w:space="0"/>
              <w:right w:val="nil"/>
            </w:tcBorders>
            <w:noWrap/>
            <w:vAlign w:val="center"/>
            <w:hideMark/>
          </w:tcPr>
          <w:p w:rsidRPr="00F23BB5" w:rsidR="00A26EF3" w:rsidP="00F77A3C" w:rsidRDefault="00A26EF3" w14:paraId="0884F53D" w14:textId="77777777">
            <w:pPr>
              <w:spacing w:line="240" w:lineRule="auto"/>
              <w:jc w:val="center"/>
              <w:rPr>
                <w:color w:val="000000"/>
                <w:sz w:val="16"/>
                <w:szCs w:val="16"/>
              </w:rPr>
            </w:pPr>
            <w:r w:rsidRPr="00F23BB5">
              <w:rPr>
                <w:color w:val="000000"/>
                <w:sz w:val="16"/>
                <w:szCs w:val="16"/>
              </w:rPr>
              <w:t>X</w:t>
            </w:r>
          </w:p>
        </w:tc>
        <w:tc>
          <w:tcPr>
            <w:tcW w:w="1570" w:type="dxa"/>
            <w:tcBorders>
              <w:top w:val="single" w:color="9BC2E6" w:sz="4" w:space="0"/>
              <w:left w:val="nil"/>
              <w:bottom w:val="single" w:color="9BC2E6" w:sz="4" w:space="0"/>
              <w:right w:val="single" w:color="9BC2E6" w:sz="4" w:space="0"/>
            </w:tcBorders>
            <w:noWrap/>
            <w:vAlign w:val="center"/>
            <w:hideMark/>
          </w:tcPr>
          <w:p w:rsidRPr="00F23BB5" w:rsidR="00A26EF3" w:rsidP="00F77A3C" w:rsidRDefault="00A26EF3" w14:paraId="6FC0C96C" w14:textId="77777777">
            <w:pPr>
              <w:spacing w:line="240" w:lineRule="auto"/>
              <w:jc w:val="center"/>
              <w:rPr>
                <w:color w:val="000000"/>
                <w:sz w:val="16"/>
                <w:szCs w:val="16"/>
              </w:rPr>
            </w:pPr>
            <w:r w:rsidRPr="00F23BB5">
              <w:rPr>
                <w:color w:val="000000"/>
                <w:sz w:val="16"/>
                <w:szCs w:val="16"/>
              </w:rPr>
              <w:t>X</w:t>
            </w:r>
          </w:p>
        </w:tc>
      </w:tr>
      <w:tr w:rsidRPr="00F23BB5" w:rsidR="00A26EF3" w:rsidTr="00F77A3C" w14:paraId="2388182E" w14:textId="77777777">
        <w:trPr>
          <w:trHeight w:val="290"/>
        </w:trPr>
        <w:tc>
          <w:tcPr>
            <w:tcW w:w="4106" w:type="dxa"/>
            <w:tcBorders>
              <w:top w:val="single" w:color="9BC2E6" w:sz="4" w:space="0"/>
              <w:left w:val="single" w:color="9BC2E6" w:sz="4" w:space="0"/>
              <w:bottom w:val="single" w:color="9BC2E6" w:sz="4" w:space="0"/>
              <w:right w:val="nil"/>
            </w:tcBorders>
            <w:shd w:val="clear" w:color="DDEBF7" w:fill="DDEBF7"/>
            <w:vAlign w:val="bottom"/>
            <w:hideMark/>
          </w:tcPr>
          <w:p w:rsidRPr="00F23BB5" w:rsidR="00A26EF3" w:rsidP="00F77A3C" w:rsidRDefault="00A26EF3" w14:paraId="52F60420" w14:textId="77777777">
            <w:pPr>
              <w:spacing w:line="240" w:lineRule="auto"/>
              <w:jc w:val="left"/>
              <w:rPr>
                <w:color w:val="000000"/>
                <w:sz w:val="16"/>
                <w:szCs w:val="16"/>
              </w:rPr>
            </w:pPr>
            <w:r w:rsidRPr="00F23BB5">
              <w:rPr>
                <w:color w:val="000000"/>
                <w:sz w:val="16"/>
                <w:szCs w:val="16"/>
              </w:rPr>
              <w:t>Blocul Național Sindica (BNS) - National Union Bloc</w:t>
            </w:r>
          </w:p>
        </w:tc>
        <w:tc>
          <w:tcPr>
            <w:tcW w:w="1701" w:type="dxa"/>
            <w:tcBorders>
              <w:top w:val="single" w:color="9BC2E6" w:sz="4" w:space="0"/>
              <w:left w:val="nil"/>
              <w:bottom w:val="single" w:color="9BC2E6" w:sz="4" w:space="0"/>
              <w:right w:val="nil"/>
            </w:tcBorders>
            <w:shd w:val="clear" w:color="DDEBF7" w:fill="DDEBF7"/>
            <w:noWrap/>
            <w:hideMark/>
          </w:tcPr>
          <w:p w:rsidRPr="00F23BB5" w:rsidR="00A26EF3" w:rsidP="00F77A3C" w:rsidRDefault="00A26EF3" w14:paraId="4309157E" w14:textId="77777777">
            <w:pPr>
              <w:spacing w:line="240" w:lineRule="auto"/>
              <w:jc w:val="left"/>
              <w:rPr>
                <w:color w:val="000000"/>
                <w:sz w:val="16"/>
                <w:szCs w:val="16"/>
              </w:rPr>
            </w:pPr>
            <w:r w:rsidRPr="00F23BB5">
              <w:rPr>
                <w:color w:val="000000"/>
                <w:sz w:val="16"/>
                <w:szCs w:val="16"/>
              </w:rPr>
              <w:t>Romania</w:t>
            </w:r>
          </w:p>
        </w:tc>
        <w:tc>
          <w:tcPr>
            <w:tcW w:w="1843" w:type="dxa"/>
            <w:tcBorders>
              <w:top w:val="single" w:color="9BC2E6" w:sz="4" w:space="0"/>
              <w:left w:val="nil"/>
              <w:bottom w:val="single" w:color="9BC2E6" w:sz="4" w:space="0"/>
              <w:right w:val="nil"/>
            </w:tcBorders>
            <w:shd w:val="clear" w:color="DDEBF7" w:fill="DDEBF7"/>
            <w:noWrap/>
            <w:vAlign w:val="center"/>
            <w:hideMark/>
          </w:tcPr>
          <w:p w:rsidRPr="00F23BB5" w:rsidR="00A26EF3" w:rsidP="00F77A3C" w:rsidRDefault="00A26EF3" w14:paraId="4E8A62C2" w14:textId="77777777">
            <w:pPr>
              <w:spacing w:line="240" w:lineRule="auto"/>
              <w:jc w:val="left"/>
              <w:rPr>
                <w:color w:val="000000"/>
                <w:sz w:val="16"/>
                <w:szCs w:val="16"/>
              </w:rPr>
            </w:pPr>
          </w:p>
        </w:tc>
        <w:tc>
          <w:tcPr>
            <w:tcW w:w="1570" w:type="dxa"/>
            <w:tcBorders>
              <w:top w:val="single" w:color="9BC2E6" w:sz="4" w:space="0"/>
              <w:left w:val="nil"/>
              <w:bottom w:val="single" w:color="9BC2E6" w:sz="4" w:space="0"/>
              <w:right w:val="single" w:color="9BC2E6" w:sz="4" w:space="0"/>
            </w:tcBorders>
            <w:shd w:val="clear" w:color="DDEBF7" w:fill="DDEBF7"/>
            <w:noWrap/>
            <w:vAlign w:val="center"/>
            <w:hideMark/>
          </w:tcPr>
          <w:p w:rsidRPr="00F23BB5" w:rsidR="00A26EF3" w:rsidP="00F77A3C" w:rsidRDefault="00A26EF3" w14:paraId="2DFB7A1B" w14:textId="77777777">
            <w:pPr>
              <w:spacing w:line="240" w:lineRule="auto"/>
              <w:jc w:val="center"/>
              <w:rPr>
                <w:color w:val="000000"/>
                <w:sz w:val="16"/>
                <w:szCs w:val="16"/>
              </w:rPr>
            </w:pPr>
            <w:r w:rsidRPr="00F23BB5">
              <w:rPr>
                <w:color w:val="000000"/>
                <w:sz w:val="16"/>
                <w:szCs w:val="16"/>
              </w:rPr>
              <w:t>X</w:t>
            </w:r>
          </w:p>
        </w:tc>
      </w:tr>
      <w:tr w:rsidRPr="00F23BB5" w:rsidR="00A26EF3" w:rsidTr="00F77A3C" w14:paraId="7C639CFA" w14:textId="77777777">
        <w:trPr>
          <w:trHeight w:val="290"/>
        </w:trPr>
        <w:tc>
          <w:tcPr>
            <w:tcW w:w="4106" w:type="dxa"/>
            <w:tcBorders>
              <w:top w:val="single" w:color="9BC2E6" w:sz="4" w:space="0"/>
              <w:left w:val="single" w:color="9BC2E6" w:sz="4" w:space="0"/>
              <w:bottom w:val="single" w:color="9BC2E6" w:sz="4" w:space="0"/>
              <w:right w:val="nil"/>
            </w:tcBorders>
            <w:hideMark/>
          </w:tcPr>
          <w:p w:rsidRPr="00F23BB5" w:rsidR="00A26EF3" w:rsidP="00F77A3C" w:rsidRDefault="00A26EF3" w14:paraId="3714634B" w14:textId="77777777">
            <w:pPr>
              <w:spacing w:line="240" w:lineRule="auto"/>
              <w:jc w:val="left"/>
              <w:rPr>
                <w:color w:val="000000"/>
                <w:sz w:val="16"/>
                <w:szCs w:val="16"/>
              </w:rPr>
            </w:pPr>
            <w:r w:rsidRPr="00F23BB5">
              <w:rPr>
                <w:color w:val="000000"/>
                <w:sz w:val="16"/>
                <w:szCs w:val="16"/>
              </w:rPr>
              <w:t>CNSLR- FRATIA</w:t>
            </w:r>
          </w:p>
        </w:tc>
        <w:tc>
          <w:tcPr>
            <w:tcW w:w="1701" w:type="dxa"/>
            <w:tcBorders>
              <w:top w:val="single" w:color="9BC2E6" w:sz="4" w:space="0"/>
              <w:left w:val="nil"/>
              <w:bottom w:val="single" w:color="9BC2E6" w:sz="4" w:space="0"/>
              <w:right w:val="nil"/>
            </w:tcBorders>
            <w:noWrap/>
            <w:hideMark/>
          </w:tcPr>
          <w:p w:rsidRPr="00F23BB5" w:rsidR="00A26EF3" w:rsidP="00F77A3C" w:rsidRDefault="00A26EF3" w14:paraId="24321222" w14:textId="77777777">
            <w:pPr>
              <w:spacing w:line="240" w:lineRule="auto"/>
              <w:jc w:val="left"/>
              <w:rPr>
                <w:color w:val="000000"/>
                <w:sz w:val="16"/>
                <w:szCs w:val="16"/>
              </w:rPr>
            </w:pPr>
            <w:r w:rsidRPr="00F23BB5">
              <w:rPr>
                <w:color w:val="000000"/>
                <w:sz w:val="16"/>
                <w:szCs w:val="16"/>
              </w:rPr>
              <w:t>Romania</w:t>
            </w:r>
          </w:p>
        </w:tc>
        <w:tc>
          <w:tcPr>
            <w:tcW w:w="1843" w:type="dxa"/>
            <w:tcBorders>
              <w:top w:val="single" w:color="9BC2E6" w:sz="4" w:space="0"/>
              <w:left w:val="nil"/>
              <w:bottom w:val="single" w:color="9BC2E6" w:sz="4" w:space="0"/>
              <w:right w:val="nil"/>
            </w:tcBorders>
            <w:noWrap/>
            <w:vAlign w:val="center"/>
            <w:hideMark/>
          </w:tcPr>
          <w:p w:rsidRPr="00F23BB5" w:rsidR="00A26EF3" w:rsidP="00F77A3C" w:rsidRDefault="00A26EF3" w14:paraId="2FEE6CAF" w14:textId="77777777">
            <w:pPr>
              <w:spacing w:line="240" w:lineRule="auto"/>
              <w:jc w:val="center"/>
              <w:rPr>
                <w:color w:val="000000"/>
                <w:sz w:val="16"/>
                <w:szCs w:val="16"/>
              </w:rPr>
            </w:pPr>
            <w:r w:rsidRPr="00F23BB5">
              <w:rPr>
                <w:color w:val="000000"/>
                <w:sz w:val="16"/>
                <w:szCs w:val="16"/>
              </w:rPr>
              <w:t>X</w:t>
            </w:r>
          </w:p>
        </w:tc>
        <w:tc>
          <w:tcPr>
            <w:tcW w:w="1570" w:type="dxa"/>
            <w:tcBorders>
              <w:top w:val="single" w:color="9BC2E6" w:sz="4" w:space="0"/>
              <w:left w:val="nil"/>
              <w:bottom w:val="single" w:color="9BC2E6" w:sz="4" w:space="0"/>
              <w:right w:val="single" w:color="9BC2E6" w:sz="4" w:space="0"/>
            </w:tcBorders>
            <w:noWrap/>
            <w:vAlign w:val="center"/>
            <w:hideMark/>
          </w:tcPr>
          <w:p w:rsidRPr="00F23BB5" w:rsidR="00A26EF3" w:rsidP="00F77A3C" w:rsidRDefault="00A26EF3" w14:paraId="68CC303E" w14:textId="77777777">
            <w:pPr>
              <w:spacing w:line="240" w:lineRule="auto"/>
              <w:jc w:val="center"/>
              <w:rPr>
                <w:color w:val="000000"/>
                <w:sz w:val="16"/>
                <w:szCs w:val="16"/>
              </w:rPr>
            </w:pPr>
            <w:r w:rsidRPr="00F23BB5">
              <w:rPr>
                <w:color w:val="000000"/>
                <w:sz w:val="16"/>
                <w:szCs w:val="16"/>
              </w:rPr>
              <w:t>X</w:t>
            </w:r>
          </w:p>
        </w:tc>
      </w:tr>
      <w:tr w:rsidRPr="00F23BB5" w:rsidR="00A26EF3" w:rsidTr="00F77A3C" w14:paraId="23F2F98C" w14:textId="77777777">
        <w:trPr>
          <w:trHeight w:val="290"/>
        </w:trPr>
        <w:tc>
          <w:tcPr>
            <w:tcW w:w="4106" w:type="dxa"/>
            <w:tcBorders>
              <w:top w:val="single" w:color="9BC2E6" w:sz="4" w:space="0"/>
              <w:left w:val="single" w:color="9BC2E6" w:sz="4" w:space="0"/>
              <w:bottom w:val="single" w:color="9BC2E6" w:sz="4" w:space="0"/>
              <w:right w:val="nil"/>
            </w:tcBorders>
            <w:shd w:val="clear" w:color="DDEBF7" w:fill="DDEBF7"/>
            <w:vAlign w:val="bottom"/>
            <w:hideMark/>
          </w:tcPr>
          <w:p w:rsidRPr="00F23BB5" w:rsidR="00A26EF3" w:rsidP="00F77A3C" w:rsidRDefault="00A26EF3" w14:paraId="148A1696" w14:textId="77777777">
            <w:pPr>
              <w:spacing w:line="240" w:lineRule="auto"/>
              <w:jc w:val="left"/>
              <w:rPr>
                <w:color w:val="000000"/>
                <w:sz w:val="16"/>
                <w:szCs w:val="16"/>
              </w:rPr>
            </w:pPr>
            <w:r w:rsidRPr="00F23BB5">
              <w:rPr>
                <w:color w:val="000000"/>
                <w:sz w:val="16"/>
                <w:szCs w:val="16"/>
              </w:rPr>
              <w:t>Direcția Națională Anticorupție (DNA) - National Anticorruption Directorate</w:t>
            </w:r>
          </w:p>
        </w:tc>
        <w:tc>
          <w:tcPr>
            <w:tcW w:w="1701" w:type="dxa"/>
            <w:tcBorders>
              <w:top w:val="single" w:color="9BC2E6" w:sz="4" w:space="0"/>
              <w:left w:val="nil"/>
              <w:bottom w:val="single" w:color="9BC2E6" w:sz="4" w:space="0"/>
              <w:right w:val="nil"/>
            </w:tcBorders>
            <w:shd w:val="clear" w:color="DDEBF7" w:fill="DDEBF7"/>
            <w:noWrap/>
            <w:hideMark/>
          </w:tcPr>
          <w:p w:rsidRPr="00F23BB5" w:rsidR="00A26EF3" w:rsidP="00F77A3C" w:rsidRDefault="00A26EF3" w14:paraId="10914466" w14:textId="77777777">
            <w:pPr>
              <w:spacing w:line="240" w:lineRule="auto"/>
              <w:jc w:val="left"/>
              <w:rPr>
                <w:color w:val="000000"/>
                <w:sz w:val="16"/>
                <w:szCs w:val="16"/>
              </w:rPr>
            </w:pPr>
            <w:r w:rsidRPr="00F23BB5">
              <w:rPr>
                <w:color w:val="000000"/>
                <w:sz w:val="16"/>
                <w:szCs w:val="16"/>
              </w:rPr>
              <w:t>Romania</w:t>
            </w:r>
          </w:p>
        </w:tc>
        <w:tc>
          <w:tcPr>
            <w:tcW w:w="1843" w:type="dxa"/>
            <w:tcBorders>
              <w:top w:val="single" w:color="9BC2E6" w:sz="4" w:space="0"/>
              <w:left w:val="nil"/>
              <w:bottom w:val="single" w:color="9BC2E6" w:sz="4" w:space="0"/>
              <w:right w:val="nil"/>
            </w:tcBorders>
            <w:shd w:val="clear" w:color="DDEBF7" w:fill="DDEBF7"/>
            <w:noWrap/>
            <w:vAlign w:val="center"/>
            <w:hideMark/>
          </w:tcPr>
          <w:p w:rsidRPr="00F23BB5" w:rsidR="00A26EF3" w:rsidP="00F77A3C" w:rsidRDefault="00A26EF3" w14:paraId="2FF9B09B" w14:textId="77777777">
            <w:pPr>
              <w:spacing w:line="240" w:lineRule="auto"/>
              <w:jc w:val="left"/>
              <w:rPr>
                <w:color w:val="000000"/>
                <w:sz w:val="16"/>
                <w:szCs w:val="16"/>
              </w:rPr>
            </w:pPr>
          </w:p>
        </w:tc>
        <w:tc>
          <w:tcPr>
            <w:tcW w:w="1570" w:type="dxa"/>
            <w:tcBorders>
              <w:top w:val="single" w:color="9BC2E6" w:sz="4" w:space="0"/>
              <w:left w:val="nil"/>
              <w:bottom w:val="single" w:color="9BC2E6" w:sz="4" w:space="0"/>
              <w:right w:val="single" w:color="9BC2E6" w:sz="4" w:space="0"/>
            </w:tcBorders>
            <w:shd w:val="clear" w:color="DDEBF7" w:fill="DDEBF7"/>
            <w:noWrap/>
            <w:vAlign w:val="center"/>
            <w:hideMark/>
          </w:tcPr>
          <w:p w:rsidRPr="00F23BB5" w:rsidR="00A26EF3" w:rsidP="00F77A3C" w:rsidRDefault="00A26EF3" w14:paraId="18F902F4" w14:textId="77777777">
            <w:pPr>
              <w:spacing w:line="240" w:lineRule="auto"/>
              <w:jc w:val="center"/>
              <w:rPr>
                <w:color w:val="000000"/>
                <w:sz w:val="16"/>
                <w:szCs w:val="16"/>
              </w:rPr>
            </w:pPr>
            <w:r w:rsidRPr="00F23BB5">
              <w:rPr>
                <w:color w:val="000000"/>
                <w:sz w:val="16"/>
                <w:szCs w:val="16"/>
              </w:rPr>
              <w:t>X</w:t>
            </w:r>
          </w:p>
        </w:tc>
      </w:tr>
      <w:tr w:rsidRPr="00F23BB5" w:rsidR="00A26EF3" w:rsidTr="00F77A3C" w14:paraId="2DF54DA3" w14:textId="77777777">
        <w:trPr>
          <w:trHeight w:val="290"/>
        </w:trPr>
        <w:tc>
          <w:tcPr>
            <w:tcW w:w="4106" w:type="dxa"/>
            <w:tcBorders>
              <w:top w:val="single" w:color="9BC2E6" w:sz="4" w:space="0"/>
              <w:left w:val="single" w:color="9BC2E6" w:sz="4" w:space="0"/>
              <w:bottom w:val="single" w:color="9BC2E6" w:sz="4" w:space="0"/>
              <w:right w:val="nil"/>
            </w:tcBorders>
            <w:vAlign w:val="bottom"/>
            <w:hideMark/>
          </w:tcPr>
          <w:p w:rsidRPr="00F23BB5" w:rsidR="00A26EF3" w:rsidP="00F77A3C" w:rsidRDefault="00A26EF3" w14:paraId="3B5C3E76" w14:textId="77777777">
            <w:pPr>
              <w:spacing w:line="240" w:lineRule="auto"/>
              <w:jc w:val="left"/>
              <w:rPr>
                <w:color w:val="000000"/>
                <w:sz w:val="16"/>
                <w:szCs w:val="16"/>
              </w:rPr>
            </w:pPr>
            <w:r w:rsidRPr="00F23BB5">
              <w:rPr>
                <w:color w:val="000000"/>
                <w:sz w:val="16"/>
                <w:szCs w:val="16"/>
              </w:rPr>
              <w:t>Expert Forum</w:t>
            </w:r>
          </w:p>
        </w:tc>
        <w:tc>
          <w:tcPr>
            <w:tcW w:w="1701" w:type="dxa"/>
            <w:tcBorders>
              <w:top w:val="single" w:color="9BC2E6" w:sz="4" w:space="0"/>
              <w:left w:val="nil"/>
              <w:bottom w:val="single" w:color="9BC2E6" w:sz="4" w:space="0"/>
              <w:right w:val="nil"/>
            </w:tcBorders>
            <w:noWrap/>
            <w:hideMark/>
          </w:tcPr>
          <w:p w:rsidRPr="00F23BB5" w:rsidR="00A26EF3" w:rsidP="00F77A3C" w:rsidRDefault="00A26EF3" w14:paraId="5CD4FD19" w14:textId="77777777">
            <w:pPr>
              <w:spacing w:line="240" w:lineRule="auto"/>
              <w:jc w:val="left"/>
              <w:rPr>
                <w:color w:val="000000"/>
                <w:sz w:val="16"/>
                <w:szCs w:val="16"/>
              </w:rPr>
            </w:pPr>
            <w:r w:rsidRPr="00F23BB5">
              <w:rPr>
                <w:color w:val="000000"/>
                <w:sz w:val="16"/>
                <w:szCs w:val="16"/>
              </w:rPr>
              <w:t>Romania</w:t>
            </w:r>
          </w:p>
        </w:tc>
        <w:tc>
          <w:tcPr>
            <w:tcW w:w="1843" w:type="dxa"/>
            <w:tcBorders>
              <w:top w:val="single" w:color="9BC2E6" w:sz="4" w:space="0"/>
              <w:left w:val="nil"/>
              <w:bottom w:val="single" w:color="9BC2E6" w:sz="4" w:space="0"/>
              <w:right w:val="nil"/>
            </w:tcBorders>
            <w:noWrap/>
            <w:vAlign w:val="center"/>
            <w:hideMark/>
          </w:tcPr>
          <w:p w:rsidRPr="00F23BB5" w:rsidR="00A26EF3" w:rsidP="00F77A3C" w:rsidRDefault="00A26EF3" w14:paraId="71FE85D1" w14:textId="77777777">
            <w:pPr>
              <w:spacing w:line="240" w:lineRule="auto"/>
              <w:jc w:val="left"/>
              <w:rPr>
                <w:color w:val="000000"/>
                <w:sz w:val="16"/>
                <w:szCs w:val="16"/>
              </w:rPr>
            </w:pPr>
          </w:p>
        </w:tc>
        <w:tc>
          <w:tcPr>
            <w:tcW w:w="1570" w:type="dxa"/>
            <w:tcBorders>
              <w:top w:val="single" w:color="9BC2E6" w:sz="4" w:space="0"/>
              <w:left w:val="nil"/>
              <w:bottom w:val="single" w:color="9BC2E6" w:sz="4" w:space="0"/>
              <w:right w:val="single" w:color="9BC2E6" w:sz="4" w:space="0"/>
            </w:tcBorders>
            <w:noWrap/>
            <w:vAlign w:val="center"/>
            <w:hideMark/>
          </w:tcPr>
          <w:p w:rsidRPr="00F23BB5" w:rsidR="00A26EF3" w:rsidP="00F77A3C" w:rsidRDefault="00A26EF3" w14:paraId="4C6085AE" w14:textId="77777777">
            <w:pPr>
              <w:spacing w:line="240" w:lineRule="auto"/>
              <w:jc w:val="center"/>
              <w:rPr>
                <w:color w:val="000000"/>
                <w:sz w:val="16"/>
                <w:szCs w:val="16"/>
              </w:rPr>
            </w:pPr>
            <w:r w:rsidRPr="00F23BB5">
              <w:rPr>
                <w:color w:val="000000"/>
                <w:sz w:val="16"/>
                <w:szCs w:val="16"/>
              </w:rPr>
              <w:t>X</w:t>
            </w:r>
          </w:p>
        </w:tc>
      </w:tr>
      <w:tr w:rsidRPr="00F23BB5" w:rsidR="00A26EF3" w:rsidTr="00F77A3C" w14:paraId="4FE44F94" w14:textId="77777777">
        <w:trPr>
          <w:trHeight w:val="290"/>
        </w:trPr>
        <w:tc>
          <w:tcPr>
            <w:tcW w:w="4106" w:type="dxa"/>
            <w:tcBorders>
              <w:top w:val="single" w:color="9BC2E6" w:sz="4" w:space="0"/>
              <w:left w:val="single" w:color="9BC2E6" w:sz="4" w:space="0"/>
              <w:bottom w:val="single" w:color="9BC2E6" w:sz="4" w:space="0"/>
              <w:right w:val="nil"/>
            </w:tcBorders>
            <w:shd w:val="clear" w:color="DDEBF7" w:fill="DDEBF7"/>
            <w:vAlign w:val="bottom"/>
            <w:hideMark/>
          </w:tcPr>
          <w:p w:rsidRPr="00F23BB5" w:rsidR="00A26EF3" w:rsidP="00F77A3C" w:rsidRDefault="00A26EF3" w14:paraId="36B02F7F" w14:textId="77777777">
            <w:pPr>
              <w:spacing w:line="240" w:lineRule="auto"/>
              <w:jc w:val="left"/>
              <w:rPr>
                <w:color w:val="000000"/>
                <w:sz w:val="16"/>
                <w:szCs w:val="16"/>
              </w:rPr>
            </w:pPr>
            <w:r w:rsidRPr="00F23BB5">
              <w:rPr>
                <w:color w:val="000000"/>
                <w:sz w:val="16"/>
                <w:szCs w:val="16"/>
              </w:rPr>
              <w:t xml:space="preserve">Funky Citizens </w:t>
            </w:r>
          </w:p>
        </w:tc>
        <w:tc>
          <w:tcPr>
            <w:tcW w:w="1701" w:type="dxa"/>
            <w:tcBorders>
              <w:top w:val="single" w:color="9BC2E6" w:sz="4" w:space="0"/>
              <w:left w:val="nil"/>
              <w:bottom w:val="single" w:color="9BC2E6" w:sz="4" w:space="0"/>
              <w:right w:val="nil"/>
            </w:tcBorders>
            <w:shd w:val="clear" w:color="DDEBF7" w:fill="DDEBF7"/>
            <w:noWrap/>
            <w:hideMark/>
          </w:tcPr>
          <w:p w:rsidRPr="00F23BB5" w:rsidR="00A26EF3" w:rsidP="00F77A3C" w:rsidRDefault="00A26EF3" w14:paraId="201AE757" w14:textId="77777777">
            <w:pPr>
              <w:spacing w:line="240" w:lineRule="auto"/>
              <w:jc w:val="left"/>
              <w:rPr>
                <w:color w:val="000000"/>
                <w:sz w:val="16"/>
                <w:szCs w:val="16"/>
              </w:rPr>
            </w:pPr>
            <w:r w:rsidRPr="00F23BB5">
              <w:rPr>
                <w:color w:val="000000"/>
                <w:sz w:val="16"/>
                <w:szCs w:val="16"/>
              </w:rPr>
              <w:t>Romania</w:t>
            </w:r>
          </w:p>
        </w:tc>
        <w:tc>
          <w:tcPr>
            <w:tcW w:w="1843" w:type="dxa"/>
            <w:tcBorders>
              <w:top w:val="single" w:color="9BC2E6" w:sz="4" w:space="0"/>
              <w:left w:val="nil"/>
              <w:bottom w:val="single" w:color="9BC2E6" w:sz="4" w:space="0"/>
              <w:right w:val="nil"/>
            </w:tcBorders>
            <w:shd w:val="clear" w:color="DDEBF7" w:fill="DDEBF7"/>
            <w:noWrap/>
            <w:vAlign w:val="center"/>
            <w:hideMark/>
          </w:tcPr>
          <w:p w:rsidRPr="00F23BB5" w:rsidR="00A26EF3" w:rsidP="00F77A3C" w:rsidRDefault="00A26EF3" w14:paraId="4329C408" w14:textId="77777777">
            <w:pPr>
              <w:spacing w:line="240" w:lineRule="auto"/>
              <w:jc w:val="left"/>
              <w:rPr>
                <w:color w:val="000000"/>
                <w:sz w:val="16"/>
                <w:szCs w:val="16"/>
              </w:rPr>
            </w:pPr>
          </w:p>
        </w:tc>
        <w:tc>
          <w:tcPr>
            <w:tcW w:w="1570" w:type="dxa"/>
            <w:tcBorders>
              <w:top w:val="single" w:color="9BC2E6" w:sz="4" w:space="0"/>
              <w:left w:val="nil"/>
              <w:bottom w:val="single" w:color="9BC2E6" w:sz="4" w:space="0"/>
              <w:right w:val="single" w:color="9BC2E6" w:sz="4" w:space="0"/>
            </w:tcBorders>
            <w:shd w:val="clear" w:color="DDEBF7" w:fill="DDEBF7"/>
            <w:noWrap/>
            <w:vAlign w:val="center"/>
            <w:hideMark/>
          </w:tcPr>
          <w:p w:rsidRPr="00F23BB5" w:rsidR="00A26EF3" w:rsidP="00F77A3C" w:rsidRDefault="00A26EF3" w14:paraId="34522F10" w14:textId="77777777">
            <w:pPr>
              <w:spacing w:line="240" w:lineRule="auto"/>
              <w:jc w:val="center"/>
              <w:rPr>
                <w:color w:val="000000"/>
                <w:sz w:val="16"/>
                <w:szCs w:val="16"/>
              </w:rPr>
            </w:pPr>
            <w:r w:rsidRPr="00F23BB5">
              <w:rPr>
                <w:color w:val="000000"/>
                <w:sz w:val="16"/>
                <w:szCs w:val="16"/>
              </w:rPr>
              <w:t>X</w:t>
            </w:r>
          </w:p>
        </w:tc>
      </w:tr>
      <w:tr w:rsidRPr="00F23BB5" w:rsidR="00A26EF3" w:rsidTr="00F77A3C" w14:paraId="7C906671" w14:textId="77777777">
        <w:trPr>
          <w:trHeight w:val="290"/>
        </w:trPr>
        <w:tc>
          <w:tcPr>
            <w:tcW w:w="4106" w:type="dxa"/>
            <w:tcBorders>
              <w:top w:val="single" w:color="9BC2E6" w:sz="4" w:space="0"/>
              <w:left w:val="single" w:color="9BC2E6" w:sz="4" w:space="0"/>
              <w:bottom w:val="single" w:color="9BC2E6" w:sz="4" w:space="0"/>
              <w:right w:val="nil"/>
            </w:tcBorders>
            <w:vAlign w:val="bottom"/>
            <w:hideMark/>
          </w:tcPr>
          <w:p w:rsidRPr="00F23BB5" w:rsidR="00A26EF3" w:rsidP="00F77A3C" w:rsidRDefault="00A26EF3" w14:paraId="04CDC7A5" w14:textId="77777777">
            <w:pPr>
              <w:spacing w:line="240" w:lineRule="auto"/>
              <w:jc w:val="left"/>
              <w:rPr>
                <w:color w:val="000000"/>
                <w:sz w:val="16"/>
                <w:szCs w:val="16"/>
              </w:rPr>
            </w:pPr>
            <w:r w:rsidRPr="00F23BB5">
              <w:rPr>
                <w:color w:val="000000"/>
                <w:sz w:val="16"/>
                <w:szCs w:val="16"/>
              </w:rPr>
              <w:t>Ministry of Justice Romania</w:t>
            </w:r>
          </w:p>
        </w:tc>
        <w:tc>
          <w:tcPr>
            <w:tcW w:w="1701" w:type="dxa"/>
            <w:tcBorders>
              <w:top w:val="single" w:color="9BC2E6" w:sz="4" w:space="0"/>
              <w:left w:val="nil"/>
              <w:bottom w:val="single" w:color="9BC2E6" w:sz="4" w:space="0"/>
              <w:right w:val="nil"/>
            </w:tcBorders>
            <w:noWrap/>
            <w:hideMark/>
          </w:tcPr>
          <w:p w:rsidRPr="00F23BB5" w:rsidR="00A26EF3" w:rsidP="00F77A3C" w:rsidRDefault="00A26EF3" w14:paraId="6570C77A" w14:textId="77777777">
            <w:pPr>
              <w:spacing w:line="240" w:lineRule="auto"/>
              <w:jc w:val="left"/>
              <w:rPr>
                <w:color w:val="000000"/>
                <w:sz w:val="16"/>
                <w:szCs w:val="16"/>
              </w:rPr>
            </w:pPr>
            <w:r w:rsidRPr="00F23BB5">
              <w:rPr>
                <w:color w:val="000000"/>
                <w:sz w:val="16"/>
                <w:szCs w:val="16"/>
              </w:rPr>
              <w:t>Romania</w:t>
            </w:r>
          </w:p>
        </w:tc>
        <w:tc>
          <w:tcPr>
            <w:tcW w:w="1843" w:type="dxa"/>
            <w:tcBorders>
              <w:top w:val="single" w:color="9BC2E6" w:sz="4" w:space="0"/>
              <w:left w:val="nil"/>
              <w:bottom w:val="single" w:color="9BC2E6" w:sz="4" w:space="0"/>
              <w:right w:val="nil"/>
            </w:tcBorders>
            <w:noWrap/>
            <w:vAlign w:val="center"/>
            <w:hideMark/>
          </w:tcPr>
          <w:p w:rsidRPr="00F23BB5" w:rsidR="00A26EF3" w:rsidP="00F77A3C" w:rsidRDefault="00A26EF3" w14:paraId="32A1788D" w14:textId="77777777">
            <w:pPr>
              <w:spacing w:line="240" w:lineRule="auto"/>
              <w:jc w:val="left"/>
              <w:rPr>
                <w:color w:val="000000"/>
                <w:sz w:val="16"/>
                <w:szCs w:val="16"/>
              </w:rPr>
            </w:pPr>
          </w:p>
        </w:tc>
        <w:tc>
          <w:tcPr>
            <w:tcW w:w="1570" w:type="dxa"/>
            <w:tcBorders>
              <w:top w:val="single" w:color="9BC2E6" w:sz="4" w:space="0"/>
              <w:left w:val="nil"/>
              <w:bottom w:val="single" w:color="9BC2E6" w:sz="4" w:space="0"/>
              <w:right w:val="single" w:color="9BC2E6" w:sz="4" w:space="0"/>
            </w:tcBorders>
            <w:noWrap/>
            <w:vAlign w:val="center"/>
            <w:hideMark/>
          </w:tcPr>
          <w:p w:rsidRPr="00F23BB5" w:rsidR="00A26EF3" w:rsidP="00F77A3C" w:rsidRDefault="00A26EF3" w14:paraId="779A7BE8" w14:textId="77777777">
            <w:pPr>
              <w:spacing w:line="240" w:lineRule="auto"/>
              <w:jc w:val="center"/>
              <w:rPr>
                <w:color w:val="000000"/>
                <w:sz w:val="16"/>
                <w:szCs w:val="16"/>
              </w:rPr>
            </w:pPr>
            <w:r w:rsidRPr="00F23BB5">
              <w:rPr>
                <w:color w:val="000000"/>
                <w:sz w:val="16"/>
                <w:szCs w:val="16"/>
              </w:rPr>
              <w:t>X</w:t>
            </w:r>
          </w:p>
        </w:tc>
      </w:tr>
      <w:tr w:rsidRPr="00F23BB5" w:rsidR="00A26EF3" w:rsidTr="00F77A3C" w14:paraId="12999CA8" w14:textId="77777777">
        <w:trPr>
          <w:trHeight w:val="290"/>
        </w:trPr>
        <w:tc>
          <w:tcPr>
            <w:tcW w:w="4106" w:type="dxa"/>
            <w:tcBorders>
              <w:top w:val="single" w:color="9BC2E6" w:sz="4" w:space="0"/>
              <w:left w:val="single" w:color="9BC2E6" w:sz="4" w:space="0"/>
              <w:bottom w:val="single" w:color="9BC2E6" w:sz="4" w:space="0"/>
              <w:right w:val="nil"/>
            </w:tcBorders>
            <w:shd w:val="clear" w:color="DDEBF7" w:fill="DDEBF7"/>
            <w:vAlign w:val="bottom"/>
            <w:hideMark/>
          </w:tcPr>
          <w:p w:rsidRPr="00063647" w:rsidR="00A26EF3" w:rsidP="00F77A3C" w:rsidRDefault="00A26EF3" w14:paraId="4AB7044C" w14:textId="77777777">
            <w:pPr>
              <w:spacing w:line="240" w:lineRule="auto"/>
              <w:jc w:val="left"/>
              <w:rPr>
                <w:color w:val="000000"/>
                <w:sz w:val="16"/>
                <w:szCs w:val="16"/>
                <w:lang w:val="it-IT"/>
              </w:rPr>
            </w:pPr>
            <w:r w:rsidRPr="00063647">
              <w:rPr>
                <w:color w:val="000000"/>
                <w:sz w:val="16"/>
                <w:szCs w:val="16"/>
                <w:lang w:val="it-IT"/>
              </w:rPr>
              <w:t>Societatea Academica din Romania - Romanian Academic Society</w:t>
            </w:r>
          </w:p>
        </w:tc>
        <w:tc>
          <w:tcPr>
            <w:tcW w:w="1701" w:type="dxa"/>
            <w:tcBorders>
              <w:top w:val="single" w:color="9BC2E6" w:sz="4" w:space="0"/>
              <w:left w:val="nil"/>
              <w:bottom w:val="single" w:color="9BC2E6" w:sz="4" w:space="0"/>
              <w:right w:val="nil"/>
            </w:tcBorders>
            <w:shd w:val="clear" w:color="DDEBF7" w:fill="DDEBF7"/>
            <w:noWrap/>
            <w:hideMark/>
          </w:tcPr>
          <w:p w:rsidRPr="00F23BB5" w:rsidR="00A26EF3" w:rsidP="00F77A3C" w:rsidRDefault="00A26EF3" w14:paraId="6A2CAC33" w14:textId="77777777">
            <w:pPr>
              <w:spacing w:line="240" w:lineRule="auto"/>
              <w:jc w:val="left"/>
              <w:rPr>
                <w:color w:val="000000"/>
                <w:sz w:val="16"/>
                <w:szCs w:val="16"/>
              </w:rPr>
            </w:pPr>
            <w:r w:rsidRPr="00F23BB5">
              <w:rPr>
                <w:color w:val="000000"/>
                <w:sz w:val="16"/>
                <w:szCs w:val="16"/>
              </w:rPr>
              <w:t>Romania</w:t>
            </w:r>
          </w:p>
        </w:tc>
        <w:tc>
          <w:tcPr>
            <w:tcW w:w="1843" w:type="dxa"/>
            <w:tcBorders>
              <w:top w:val="single" w:color="9BC2E6" w:sz="4" w:space="0"/>
              <w:left w:val="nil"/>
              <w:bottom w:val="single" w:color="9BC2E6" w:sz="4" w:space="0"/>
              <w:right w:val="nil"/>
            </w:tcBorders>
            <w:shd w:val="clear" w:color="DDEBF7" w:fill="DDEBF7"/>
            <w:noWrap/>
            <w:vAlign w:val="center"/>
            <w:hideMark/>
          </w:tcPr>
          <w:p w:rsidRPr="00F23BB5" w:rsidR="00A26EF3" w:rsidP="00F77A3C" w:rsidRDefault="00A26EF3" w14:paraId="4ED72380" w14:textId="77777777">
            <w:pPr>
              <w:spacing w:line="240" w:lineRule="auto"/>
              <w:jc w:val="left"/>
              <w:rPr>
                <w:color w:val="000000"/>
                <w:sz w:val="16"/>
                <w:szCs w:val="16"/>
              </w:rPr>
            </w:pPr>
          </w:p>
        </w:tc>
        <w:tc>
          <w:tcPr>
            <w:tcW w:w="1570" w:type="dxa"/>
            <w:tcBorders>
              <w:top w:val="single" w:color="9BC2E6" w:sz="4" w:space="0"/>
              <w:left w:val="nil"/>
              <w:bottom w:val="single" w:color="9BC2E6" w:sz="4" w:space="0"/>
              <w:right w:val="single" w:color="9BC2E6" w:sz="4" w:space="0"/>
            </w:tcBorders>
            <w:shd w:val="clear" w:color="DDEBF7" w:fill="DDEBF7"/>
            <w:noWrap/>
            <w:vAlign w:val="center"/>
            <w:hideMark/>
          </w:tcPr>
          <w:p w:rsidRPr="00F23BB5" w:rsidR="00A26EF3" w:rsidP="00F77A3C" w:rsidRDefault="00A26EF3" w14:paraId="2E79D2D2" w14:textId="77777777">
            <w:pPr>
              <w:spacing w:line="240" w:lineRule="auto"/>
              <w:jc w:val="center"/>
              <w:rPr>
                <w:color w:val="000000"/>
                <w:sz w:val="16"/>
                <w:szCs w:val="16"/>
              </w:rPr>
            </w:pPr>
            <w:r w:rsidRPr="00F23BB5">
              <w:rPr>
                <w:color w:val="000000"/>
                <w:sz w:val="16"/>
                <w:szCs w:val="16"/>
              </w:rPr>
              <w:t>X</w:t>
            </w:r>
          </w:p>
        </w:tc>
      </w:tr>
      <w:tr w:rsidRPr="00F23BB5" w:rsidR="00A26EF3" w:rsidTr="00F77A3C" w14:paraId="5E766FC5" w14:textId="77777777">
        <w:trPr>
          <w:trHeight w:val="290"/>
        </w:trPr>
        <w:tc>
          <w:tcPr>
            <w:tcW w:w="4106" w:type="dxa"/>
            <w:tcBorders>
              <w:top w:val="single" w:color="9BC2E6" w:sz="4" w:space="0"/>
              <w:left w:val="single" w:color="9BC2E6" w:sz="4" w:space="0"/>
              <w:bottom w:val="single" w:color="9BC2E6" w:sz="4" w:space="0"/>
              <w:right w:val="nil"/>
            </w:tcBorders>
            <w:hideMark/>
          </w:tcPr>
          <w:p w:rsidRPr="00F23BB5" w:rsidR="00A26EF3" w:rsidP="00F77A3C" w:rsidRDefault="00A26EF3" w14:paraId="2A1B8EC2" w14:textId="77777777">
            <w:pPr>
              <w:spacing w:line="240" w:lineRule="auto"/>
              <w:jc w:val="left"/>
              <w:rPr>
                <w:color w:val="000000"/>
                <w:sz w:val="16"/>
                <w:szCs w:val="16"/>
              </w:rPr>
            </w:pPr>
            <w:r w:rsidRPr="00F23BB5">
              <w:rPr>
                <w:color w:val="000000"/>
                <w:sz w:val="16"/>
                <w:szCs w:val="16"/>
              </w:rPr>
              <w:t>Transparency International Romania</w:t>
            </w:r>
          </w:p>
        </w:tc>
        <w:tc>
          <w:tcPr>
            <w:tcW w:w="1701" w:type="dxa"/>
            <w:tcBorders>
              <w:top w:val="single" w:color="9BC2E6" w:sz="4" w:space="0"/>
              <w:left w:val="nil"/>
              <w:bottom w:val="single" w:color="9BC2E6" w:sz="4" w:space="0"/>
              <w:right w:val="nil"/>
            </w:tcBorders>
            <w:noWrap/>
            <w:hideMark/>
          </w:tcPr>
          <w:p w:rsidRPr="00F23BB5" w:rsidR="00A26EF3" w:rsidP="00F77A3C" w:rsidRDefault="00A26EF3" w14:paraId="7E406504" w14:textId="77777777">
            <w:pPr>
              <w:spacing w:line="240" w:lineRule="auto"/>
              <w:jc w:val="left"/>
              <w:rPr>
                <w:color w:val="000000"/>
                <w:sz w:val="16"/>
                <w:szCs w:val="16"/>
              </w:rPr>
            </w:pPr>
            <w:r w:rsidRPr="00F23BB5">
              <w:rPr>
                <w:color w:val="000000"/>
                <w:sz w:val="16"/>
                <w:szCs w:val="16"/>
              </w:rPr>
              <w:t>Romania</w:t>
            </w:r>
          </w:p>
        </w:tc>
        <w:tc>
          <w:tcPr>
            <w:tcW w:w="1843" w:type="dxa"/>
            <w:tcBorders>
              <w:top w:val="single" w:color="9BC2E6" w:sz="4" w:space="0"/>
              <w:left w:val="nil"/>
              <w:bottom w:val="single" w:color="9BC2E6" w:sz="4" w:space="0"/>
              <w:right w:val="nil"/>
            </w:tcBorders>
            <w:noWrap/>
            <w:vAlign w:val="center"/>
            <w:hideMark/>
          </w:tcPr>
          <w:p w:rsidRPr="00F23BB5" w:rsidR="00A26EF3" w:rsidP="00F77A3C" w:rsidRDefault="00A26EF3" w14:paraId="077041AB" w14:textId="77777777">
            <w:pPr>
              <w:spacing w:line="240" w:lineRule="auto"/>
              <w:jc w:val="center"/>
              <w:rPr>
                <w:color w:val="000000"/>
                <w:sz w:val="16"/>
                <w:szCs w:val="16"/>
              </w:rPr>
            </w:pPr>
            <w:r w:rsidRPr="00F23BB5">
              <w:rPr>
                <w:color w:val="000000"/>
                <w:sz w:val="16"/>
                <w:szCs w:val="16"/>
              </w:rPr>
              <w:t>X</w:t>
            </w:r>
          </w:p>
        </w:tc>
        <w:tc>
          <w:tcPr>
            <w:tcW w:w="1570" w:type="dxa"/>
            <w:tcBorders>
              <w:top w:val="single" w:color="9BC2E6" w:sz="4" w:space="0"/>
              <w:left w:val="nil"/>
              <w:bottom w:val="single" w:color="9BC2E6" w:sz="4" w:space="0"/>
              <w:right w:val="single" w:color="9BC2E6" w:sz="4" w:space="0"/>
            </w:tcBorders>
            <w:noWrap/>
            <w:vAlign w:val="center"/>
            <w:hideMark/>
          </w:tcPr>
          <w:p w:rsidRPr="00F23BB5" w:rsidR="00A26EF3" w:rsidP="00F77A3C" w:rsidRDefault="00A26EF3" w14:paraId="7893F04B" w14:textId="77777777">
            <w:pPr>
              <w:spacing w:line="240" w:lineRule="auto"/>
              <w:jc w:val="center"/>
              <w:rPr>
                <w:color w:val="000000"/>
                <w:sz w:val="16"/>
                <w:szCs w:val="16"/>
              </w:rPr>
            </w:pPr>
            <w:r w:rsidRPr="00F23BB5">
              <w:rPr>
                <w:color w:val="000000"/>
                <w:sz w:val="16"/>
                <w:szCs w:val="16"/>
              </w:rPr>
              <w:t>X</w:t>
            </w:r>
          </w:p>
        </w:tc>
      </w:tr>
      <w:tr w:rsidRPr="00F23BB5" w:rsidR="0065040A" w:rsidTr="0065040A" w14:paraId="33E6C175" w14:textId="77777777">
        <w:trPr>
          <w:trHeight w:val="668"/>
        </w:trPr>
        <w:tc>
          <w:tcPr>
            <w:tcW w:w="4106" w:type="dxa"/>
            <w:tcBorders>
              <w:top w:val="single" w:color="9BC2E6" w:sz="4" w:space="0"/>
              <w:left w:val="single" w:color="9BC2E6" w:sz="4" w:space="0"/>
              <w:bottom w:val="single" w:color="9BC2E6" w:sz="4" w:space="0"/>
              <w:right w:val="nil"/>
            </w:tcBorders>
            <w:shd w:val="clear" w:color="000000" w:fill="5B9BD5"/>
            <w:noWrap/>
            <w:vAlign w:val="center"/>
            <w:hideMark/>
          </w:tcPr>
          <w:p w:rsidR="0065040A" w:rsidP="0065040A" w:rsidRDefault="0065040A" w14:paraId="4BAC4874" w14:textId="2B646A33">
            <w:pPr>
              <w:spacing w:line="240" w:lineRule="auto"/>
              <w:jc w:val="left"/>
              <w:rPr>
                <w:b/>
                <w:bCs/>
                <w:i/>
                <w:iCs/>
                <w:color w:val="FFFFFF"/>
              </w:rPr>
            </w:pPr>
            <w:r w:rsidRPr="00F23BB5">
              <w:rPr>
                <w:b/>
                <w:bCs/>
                <w:i/>
                <w:iCs/>
                <w:color w:val="FFFFFF"/>
              </w:rPr>
              <w:t>Total consulted organisations: 84</w:t>
            </w:r>
          </w:p>
          <w:p w:rsidRPr="00F23BB5" w:rsidR="0065040A" w:rsidP="0065040A" w:rsidRDefault="0065040A" w14:paraId="00AAC298" w14:textId="77777777">
            <w:pPr>
              <w:spacing w:line="240" w:lineRule="auto"/>
              <w:jc w:val="left"/>
              <w:rPr>
                <w:b/>
                <w:bCs/>
                <w:i/>
                <w:iCs/>
                <w:color w:val="FFFFFF"/>
              </w:rPr>
            </w:pPr>
          </w:p>
        </w:tc>
        <w:tc>
          <w:tcPr>
            <w:tcW w:w="1701" w:type="dxa"/>
            <w:tcBorders>
              <w:top w:val="single" w:color="9BC2E6" w:sz="4" w:space="0"/>
              <w:left w:val="nil"/>
              <w:bottom w:val="single" w:color="9BC2E6" w:sz="4" w:space="0"/>
              <w:right w:val="nil"/>
            </w:tcBorders>
            <w:shd w:val="clear" w:color="000000" w:fill="5B9BD5"/>
            <w:noWrap/>
            <w:vAlign w:val="center"/>
            <w:hideMark/>
          </w:tcPr>
          <w:p w:rsidRPr="00F23BB5" w:rsidR="0065040A" w:rsidP="0065040A" w:rsidRDefault="0065040A" w14:paraId="31F7F585" w14:textId="77777777">
            <w:pPr>
              <w:spacing w:line="240" w:lineRule="auto"/>
              <w:jc w:val="left"/>
              <w:rPr>
                <w:b/>
                <w:bCs/>
                <w:i/>
                <w:iCs/>
                <w:color w:val="FFFFFF"/>
              </w:rPr>
            </w:pPr>
            <w:r w:rsidRPr="00F23BB5">
              <w:rPr>
                <w:b/>
                <w:bCs/>
                <w:i/>
                <w:iCs/>
                <w:color w:val="FFFFFF"/>
              </w:rPr>
              <w:t>of w</w:t>
            </w:r>
            <w:r w:rsidRPr="00F23BB5">
              <w:rPr>
                <w:b/>
                <w:bCs/>
                <w:i/>
                <w:iCs/>
                <w:color w:val="FFFFFF"/>
                <w:lang w:val="fr-BE"/>
              </w:rPr>
              <w:t>h</w:t>
            </w:r>
            <w:r w:rsidRPr="00F23BB5">
              <w:rPr>
                <w:b/>
                <w:bCs/>
                <w:i/>
                <w:iCs/>
                <w:color w:val="FFFFFF"/>
              </w:rPr>
              <w:t>ich</w:t>
            </w:r>
          </w:p>
        </w:tc>
        <w:tc>
          <w:tcPr>
            <w:tcW w:w="1843" w:type="dxa"/>
            <w:tcBorders>
              <w:top w:val="nil"/>
              <w:left w:val="nil"/>
              <w:bottom w:val="nil"/>
              <w:right w:val="nil"/>
            </w:tcBorders>
            <w:shd w:val="clear" w:color="000000" w:fill="5B9BD5"/>
            <w:noWrap/>
            <w:vAlign w:val="center"/>
            <w:hideMark/>
          </w:tcPr>
          <w:p w:rsidRPr="00F23BB5" w:rsidR="0065040A" w:rsidP="0065040A" w:rsidRDefault="0065040A" w14:paraId="1092C0EB" w14:textId="4703023C">
            <w:pPr>
              <w:spacing w:line="240" w:lineRule="auto"/>
              <w:jc w:val="center"/>
              <w:rPr>
                <w:b/>
                <w:bCs/>
                <w:i/>
                <w:iCs/>
                <w:color w:val="FFFFFF"/>
              </w:rPr>
            </w:pPr>
            <w:r w:rsidRPr="00F23BB5">
              <w:rPr>
                <w:b/>
                <w:bCs/>
                <w:i/>
                <w:iCs/>
                <w:color w:val="FFFFFF"/>
              </w:rPr>
              <w:t>40</w:t>
            </w:r>
          </w:p>
        </w:tc>
        <w:tc>
          <w:tcPr>
            <w:tcW w:w="1570" w:type="dxa"/>
            <w:tcBorders>
              <w:top w:val="nil"/>
              <w:left w:val="nil"/>
              <w:bottom w:val="nil"/>
              <w:right w:val="nil"/>
            </w:tcBorders>
            <w:shd w:val="clear" w:color="000000" w:fill="5B9BD5"/>
            <w:noWrap/>
            <w:vAlign w:val="center"/>
            <w:hideMark/>
          </w:tcPr>
          <w:p w:rsidRPr="00F23BB5" w:rsidR="0065040A" w:rsidP="0065040A" w:rsidRDefault="0065040A" w14:paraId="68FFAEEE" w14:textId="59799CE0">
            <w:pPr>
              <w:spacing w:line="240" w:lineRule="auto"/>
              <w:jc w:val="center"/>
              <w:rPr>
                <w:b/>
                <w:bCs/>
                <w:i/>
                <w:iCs/>
                <w:color w:val="FFFFFF"/>
              </w:rPr>
            </w:pPr>
            <w:r w:rsidRPr="00F23BB5">
              <w:rPr>
                <w:b/>
                <w:bCs/>
                <w:i/>
                <w:iCs/>
                <w:color w:val="FFFFFF"/>
              </w:rPr>
              <w:t>67</w:t>
            </w:r>
          </w:p>
        </w:tc>
      </w:tr>
    </w:tbl>
    <w:p w:rsidRPr="000C0CC1" w:rsidR="00A26EF3" w:rsidP="00A26EF3" w:rsidRDefault="00A26EF3" w14:paraId="692E79D6" w14:textId="77777777">
      <w:pPr>
        <w:spacing w:before="120" w:after="120" w:line="360" w:lineRule="auto"/>
        <w:contextualSpacing/>
      </w:pPr>
    </w:p>
    <w:p w:rsidRPr="00E3672F" w:rsidR="00867959" w:rsidP="001E1287" w:rsidRDefault="00867959" w14:paraId="5670E97F" w14:textId="77777777">
      <w:pPr>
        <w:spacing w:before="120" w:after="120" w:line="360" w:lineRule="auto"/>
        <w:contextualSpacing/>
      </w:pPr>
    </w:p>
    <w:p w:rsidRPr="00E3672F" w:rsidR="00C61210" w:rsidP="001E1287" w:rsidRDefault="00A91BE1" w14:paraId="14D82A06" w14:textId="0AF1C099">
      <w:pPr>
        <w:spacing w:before="120" w:after="120" w:line="360" w:lineRule="auto"/>
        <w:contextualSpacing/>
        <w:jc w:val="center"/>
      </w:pPr>
      <w:r w:rsidRPr="00E3672F">
        <w:t>______________</w:t>
      </w:r>
    </w:p>
    <w:sectPr w:rsidRPr="00E3672F" w:rsidR="00C61210" w:rsidSect="00A91BE1">
      <w:footerReference w:type="default" r:id="rId110"/>
      <w:pgSz w:w="11907" w:h="16839"/>
      <w:pgMar w:top="1417" w:right="1417" w:bottom="1417" w:left="1417"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57A55D" w14:textId="77777777" w:rsidR="00787AC0" w:rsidRPr="00E3672F" w:rsidRDefault="00787AC0" w:rsidP="00A91BE1">
      <w:pPr>
        <w:spacing w:line="240" w:lineRule="auto"/>
      </w:pPr>
      <w:r w:rsidRPr="00E3672F">
        <w:separator/>
      </w:r>
    </w:p>
  </w:endnote>
  <w:endnote w:type="continuationSeparator" w:id="0">
    <w:p w14:paraId="56CA019A" w14:textId="77777777" w:rsidR="00787AC0" w:rsidRPr="00E3672F" w:rsidRDefault="00787AC0" w:rsidP="00A91BE1">
      <w:pPr>
        <w:spacing w:line="240" w:lineRule="auto"/>
      </w:pPr>
      <w:r w:rsidRPr="00E3672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3C236" w14:textId="77777777" w:rsidR="0057515A" w:rsidRPr="00E3672F" w:rsidRDefault="0057515A">
    <w:pPr>
      <w:pStyle w:val="Footer"/>
      <w:jc w:val="right"/>
    </w:pPr>
  </w:p>
  <w:p w14:paraId="2B0E7EB7" w14:textId="77777777" w:rsidR="0057515A" w:rsidRPr="00E3672F" w:rsidRDefault="005751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6858805"/>
      <w:docPartObj>
        <w:docPartGallery w:val="Page Numbers (Bottom of Page)"/>
        <w:docPartUnique/>
      </w:docPartObj>
    </w:sdtPr>
    <w:sdtEndPr/>
    <w:sdtContent>
      <w:p w14:paraId="256EE842" w14:textId="1339A91A" w:rsidR="0057515A" w:rsidRPr="00E3672F" w:rsidRDefault="0057515A">
        <w:pPr>
          <w:pStyle w:val="Footer"/>
          <w:jc w:val="center"/>
        </w:pPr>
        <w:r w:rsidRPr="00E3672F">
          <w:fldChar w:fldCharType="begin"/>
        </w:r>
        <w:r w:rsidRPr="00E3672F">
          <w:instrText xml:space="preserve"> PAGE   \* MERGEFORMAT </w:instrText>
        </w:r>
        <w:r w:rsidRPr="00E3672F">
          <w:fldChar w:fldCharType="separate"/>
        </w:r>
        <w:r w:rsidR="00CF74F6">
          <w:rPr>
            <w:noProof/>
          </w:rPr>
          <w:t>19</w:t>
        </w:r>
        <w:r w:rsidRPr="00E3672F">
          <w:fldChar w:fldCharType="end"/>
        </w:r>
      </w:p>
    </w:sdtContent>
  </w:sdt>
  <w:p w14:paraId="2AD10272" w14:textId="77777777" w:rsidR="0057515A" w:rsidRPr="00E3672F" w:rsidRDefault="005751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926205" w14:textId="77777777" w:rsidR="00787AC0" w:rsidRPr="00E3672F" w:rsidRDefault="00787AC0" w:rsidP="00A91BE1">
      <w:pPr>
        <w:spacing w:line="240" w:lineRule="auto"/>
      </w:pPr>
      <w:r w:rsidRPr="00E3672F">
        <w:separator/>
      </w:r>
    </w:p>
  </w:footnote>
  <w:footnote w:type="continuationSeparator" w:id="0">
    <w:p w14:paraId="5548EC5B" w14:textId="77777777" w:rsidR="00787AC0" w:rsidRPr="00E3672F" w:rsidRDefault="00787AC0" w:rsidP="00A91BE1">
      <w:pPr>
        <w:spacing w:line="240" w:lineRule="auto"/>
      </w:pPr>
      <w:r w:rsidRPr="00E3672F">
        <w:continuationSeparator/>
      </w:r>
    </w:p>
  </w:footnote>
  <w:footnote w:id="1">
    <w:p w14:paraId="6F1DDC56" w14:textId="26B52021" w:rsidR="00CC5569" w:rsidRPr="00E3672F" w:rsidRDefault="00CC5569" w:rsidP="00CC5569">
      <w:pPr>
        <w:pStyle w:val="FootnoteText"/>
      </w:pPr>
      <w:r w:rsidRPr="00E3672F">
        <w:rPr>
          <w:rStyle w:val="FootnoteReference"/>
        </w:rPr>
        <w:footnoteRef/>
      </w:r>
      <w:r w:rsidRPr="00E3672F">
        <w:t xml:space="preserve"> Namely: public procurement; financial services, products and markets, and prevention of money laundering and terrorist financing; product safety and compliance; transport safety; protection of the environment; radiation protection and nuclear safety; food and feed safety, animal health and welfare; public health; consumer protection; protection of privacy and personal data, and security of network and information systems; breaches affecting the financial interests of the Union; and, finally, breaches relating to the internal market, including breaches of </w:t>
      </w:r>
      <w:r w:rsidR="000F2813">
        <w:t>EU</w:t>
      </w:r>
      <w:r w:rsidR="000F2813" w:rsidRPr="00E3672F">
        <w:t xml:space="preserve"> </w:t>
      </w:r>
      <w:r w:rsidRPr="00E3672F">
        <w:t xml:space="preserve">competition and State aid rules, as well as breaches rules of corporate tax. </w:t>
      </w:r>
    </w:p>
  </w:footnote>
  <w:footnote w:id="2">
    <w:p w14:paraId="0DC21542" w14:textId="7F778B60" w:rsidR="0057515A" w:rsidRPr="00E3672F" w:rsidRDefault="0057515A" w:rsidP="007C6758">
      <w:pPr>
        <w:pStyle w:val="NoSpacing"/>
        <w:rPr>
          <w:color w:val="0E2841" w:themeColor="text2"/>
          <w:sz w:val="16"/>
          <w:szCs w:val="16"/>
          <w:lang w:val="en-GB"/>
        </w:rPr>
      </w:pPr>
      <w:r w:rsidRPr="00E3672F">
        <w:rPr>
          <w:rStyle w:val="FootnoteReference"/>
          <w:color w:val="0070C0"/>
          <w:sz w:val="16"/>
          <w:szCs w:val="16"/>
          <w:lang w:val="en-GB"/>
        </w:rPr>
        <w:footnoteRef/>
      </w:r>
      <w:r w:rsidRPr="00E3672F">
        <w:rPr>
          <w:color w:val="0070C0"/>
          <w:sz w:val="16"/>
          <w:szCs w:val="16"/>
          <w:lang w:val="en-GB"/>
        </w:rPr>
        <w:t xml:space="preserve"> </w:t>
      </w:r>
      <w:r w:rsidR="001646E7" w:rsidRPr="00E3672F">
        <w:rPr>
          <w:color w:val="0070C0"/>
          <w:sz w:val="16"/>
          <w:szCs w:val="16"/>
          <w:lang w:val="en-GB"/>
        </w:rPr>
        <w:tab/>
      </w:r>
      <w:hyperlink r:id="rId1" w:history="1">
        <w:r w:rsidR="001646E7" w:rsidRPr="00E3672F">
          <w:rPr>
            <w:rStyle w:val="Hyperlink"/>
            <w:sz w:val="16"/>
            <w:szCs w:val="16"/>
            <w:lang w:val="en-GB"/>
          </w:rPr>
          <w:t>https://commission.europa.eu/document/download/d0bbd77f-bee5-4ee5-b5c4-6110c7605476_en?filename=swd2021_305_en.pdf</w:t>
        </w:r>
      </w:hyperlink>
      <w:r w:rsidRPr="00E3672F">
        <w:rPr>
          <w:color w:val="0E2841" w:themeColor="text2"/>
          <w:sz w:val="16"/>
          <w:szCs w:val="16"/>
          <w:lang w:val="en-GB"/>
        </w:rPr>
        <w:t>.</w:t>
      </w:r>
    </w:p>
  </w:footnote>
  <w:footnote w:id="3">
    <w:p w14:paraId="69B64B42" w14:textId="496FC111" w:rsidR="0057515A" w:rsidRPr="00E3672F" w:rsidRDefault="0057515A" w:rsidP="007C6758">
      <w:pPr>
        <w:pStyle w:val="NoSpacing"/>
        <w:rPr>
          <w:color w:val="0E2841" w:themeColor="text2"/>
          <w:sz w:val="20"/>
          <w:szCs w:val="20"/>
          <w:lang w:val="en-GB"/>
        </w:rPr>
      </w:pPr>
      <w:r w:rsidRPr="00E3672F">
        <w:rPr>
          <w:rStyle w:val="FootnoteReference"/>
          <w:color w:val="0E2841" w:themeColor="text2"/>
          <w:sz w:val="16"/>
          <w:szCs w:val="16"/>
          <w:lang w:val="en-GB"/>
        </w:rPr>
        <w:footnoteRef/>
      </w:r>
      <w:r w:rsidRPr="00E3672F">
        <w:rPr>
          <w:color w:val="0E2841" w:themeColor="text2"/>
          <w:sz w:val="16"/>
          <w:szCs w:val="16"/>
          <w:lang w:val="en-GB"/>
        </w:rPr>
        <w:t xml:space="preserve"> </w:t>
      </w:r>
      <w:r w:rsidR="001646E7" w:rsidRPr="00E3672F">
        <w:rPr>
          <w:color w:val="0E2841" w:themeColor="text2"/>
          <w:sz w:val="16"/>
          <w:szCs w:val="16"/>
          <w:lang w:val="en-GB"/>
        </w:rPr>
        <w:tab/>
      </w:r>
      <w:hyperlink r:id="rId2" w:history="1">
        <w:r w:rsidR="001646E7" w:rsidRPr="00E3672F">
          <w:rPr>
            <w:rStyle w:val="Hyperlink"/>
            <w:sz w:val="16"/>
            <w:szCs w:val="16"/>
            <w:lang w:val="en-GB"/>
          </w:rPr>
          <w:t>https://commission.europa.eu/document/download/88ebf8bb-79c1-4cf2-975b-c643dcc766f8_en?filename=BRT-2023-</w:t>
        </w:r>
        <w:r w:rsidR="001646E7" w:rsidRPr="00E3672F">
          <w:rPr>
            <w:rStyle w:val="Hyperlink"/>
            <w:sz w:val="16"/>
            <w:szCs w:val="16"/>
            <w:lang w:val="en-GB"/>
          </w:rPr>
          <w:tab/>
          <w:t>Chapter%206-How%20to%20carry%20out%20an%20evaluation%20and%20a%20fitness%20check_0.pdf</w:t>
        </w:r>
      </w:hyperlink>
      <w:r w:rsidRPr="00E3672F">
        <w:rPr>
          <w:color w:val="0E2841" w:themeColor="text2"/>
          <w:sz w:val="16"/>
          <w:szCs w:val="16"/>
          <w:lang w:val="en-GB"/>
        </w:rPr>
        <w:t>.</w:t>
      </w:r>
    </w:p>
  </w:footnote>
  <w:footnote w:id="4">
    <w:p w14:paraId="572BF2DB" w14:textId="77777777" w:rsidR="00974CF6" w:rsidRPr="00E3672F" w:rsidRDefault="00974CF6" w:rsidP="00974CF6">
      <w:pPr>
        <w:pStyle w:val="FootnoteText"/>
        <w:jc w:val="left"/>
        <w:rPr>
          <w:sz w:val="12"/>
          <w:szCs w:val="12"/>
        </w:rPr>
      </w:pPr>
      <w:r w:rsidRPr="00E3672F">
        <w:rPr>
          <w:rStyle w:val="FootnoteReference"/>
          <w:sz w:val="12"/>
          <w:szCs w:val="12"/>
        </w:rPr>
        <w:footnoteRef/>
      </w:r>
      <w:r w:rsidRPr="00E3672F">
        <w:rPr>
          <w:sz w:val="12"/>
          <w:szCs w:val="12"/>
        </w:rPr>
        <w:t xml:space="preserve"> Such as </w:t>
      </w:r>
      <w:hyperlink r:id="rId3" w:history="1">
        <w:r w:rsidRPr="00E3672F">
          <w:rPr>
            <w:rStyle w:val="Hyperlink"/>
            <w:sz w:val="12"/>
            <w:szCs w:val="12"/>
          </w:rPr>
          <w:t>Transparency International</w:t>
        </w:r>
      </w:hyperlink>
      <w:r w:rsidRPr="00E3672F">
        <w:rPr>
          <w:sz w:val="12"/>
          <w:szCs w:val="12"/>
        </w:rPr>
        <w:t xml:space="preserve">, </w:t>
      </w:r>
      <w:hyperlink r:id="rId4" w:history="1">
        <w:r w:rsidRPr="00E3672F">
          <w:rPr>
            <w:rStyle w:val="Hyperlink"/>
            <w:sz w:val="12"/>
            <w:szCs w:val="12"/>
          </w:rPr>
          <w:t>Eurocadres</w:t>
        </w:r>
      </w:hyperlink>
      <w:r w:rsidRPr="00E3672F">
        <w:rPr>
          <w:sz w:val="12"/>
          <w:szCs w:val="12"/>
        </w:rPr>
        <w:t xml:space="preserve">, the </w:t>
      </w:r>
      <w:hyperlink r:id="rId5" w:history="1">
        <w:r w:rsidRPr="00E3672F">
          <w:rPr>
            <w:rStyle w:val="Hyperlink"/>
            <w:sz w:val="12"/>
            <w:szCs w:val="12"/>
          </w:rPr>
          <w:t>European Public Service Union</w:t>
        </w:r>
      </w:hyperlink>
      <w:r w:rsidRPr="00E3672F">
        <w:rPr>
          <w:sz w:val="12"/>
          <w:szCs w:val="12"/>
        </w:rPr>
        <w:t xml:space="preserve"> and </w:t>
      </w:r>
      <w:hyperlink r:id="rId6" w:history="1">
        <w:r w:rsidRPr="00E3672F">
          <w:rPr>
            <w:rStyle w:val="Hyperlink"/>
            <w:sz w:val="12"/>
            <w:szCs w:val="12"/>
          </w:rPr>
          <w:t>the European Federation of Journalists</w:t>
        </w:r>
      </w:hyperlink>
      <w:r w:rsidRPr="00E3672F">
        <w:rPr>
          <w:sz w:val="12"/>
          <w:szCs w:val="12"/>
        </w:rPr>
        <w:t>.</w:t>
      </w:r>
    </w:p>
  </w:footnote>
  <w:footnote w:id="5">
    <w:p w14:paraId="4C109074" w14:textId="0D9E4E29" w:rsidR="00974CF6" w:rsidRPr="00E3672F" w:rsidRDefault="00974CF6" w:rsidP="00974CF6">
      <w:pPr>
        <w:pStyle w:val="FootnoteText"/>
        <w:rPr>
          <w:sz w:val="12"/>
          <w:szCs w:val="12"/>
        </w:rPr>
      </w:pPr>
      <w:r w:rsidRPr="00E3672F">
        <w:rPr>
          <w:rStyle w:val="FootnoteReference"/>
          <w:sz w:val="12"/>
          <w:szCs w:val="12"/>
        </w:rPr>
        <w:footnoteRef/>
      </w:r>
      <w:r w:rsidRPr="00E3672F">
        <w:rPr>
          <w:sz w:val="12"/>
          <w:szCs w:val="12"/>
        </w:rPr>
        <w:t xml:space="preserve"> See the cases of </w:t>
      </w:r>
      <w:r w:rsidR="00A92644">
        <w:rPr>
          <w:sz w:val="12"/>
          <w:szCs w:val="12"/>
        </w:rPr>
        <w:t xml:space="preserve">the </w:t>
      </w:r>
      <w:r w:rsidRPr="00E3672F">
        <w:rPr>
          <w:sz w:val="12"/>
          <w:szCs w:val="12"/>
        </w:rPr>
        <w:t>Panama Papers, Dieselgate, Wikileaks, Luxleaks and Cambridge Analytica.</w:t>
      </w:r>
    </w:p>
  </w:footnote>
  <w:footnote w:id="6">
    <w:p w14:paraId="32828443" w14:textId="1A35CC21" w:rsidR="00974CF6" w:rsidRPr="00E3672F" w:rsidRDefault="00974CF6" w:rsidP="00974CF6">
      <w:pPr>
        <w:pStyle w:val="FootnoteText"/>
        <w:rPr>
          <w:sz w:val="12"/>
          <w:szCs w:val="12"/>
        </w:rPr>
      </w:pPr>
      <w:r w:rsidRPr="00E3672F">
        <w:rPr>
          <w:rStyle w:val="FootnoteReference"/>
          <w:sz w:val="12"/>
          <w:szCs w:val="12"/>
        </w:rPr>
        <w:footnoteRef/>
      </w:r>
      <w:r w:rsidRPr="00E3672F">
        <w:rPr>
          <w:sz w:val="12"/>
          <w:szCs w:val="12"/>
        </w:rPr>
        <w:t xml:space="preserve"> See </w:t>
      </w:r>
      <w:hyperlink r:id="rId7" w:history="1">
        <w:r w:rsidRPr="00E3672F">
          <w:rPr>
            <w:rStyle w:val="Hyperlink"/>
            <w:sz w:val="12"/>
            <w:szCs w:val="12"/>
          </w:rPr>
          <w:t>Commission Implementing Directive on Regulation No 596/2014 of the European Parliament and of the Council as regards reporting to competent authorities of actual or potential infringements of that Regulation [2015] OJ L332/12</w:t>
        </w:r>
      </w:hyperlink>
      <w:r w:rsidRPr="00E3672F">
        <w:rPr>
          <w:sz w:val="12"/>
          <w:szCs w:val="12"/>
        </w:rPr>
        <w:t xml:space="preserve">; </w:t>
      </w:r>
      <w:hyperlink r:id="rId8" w:history="1">
        <w:r w:rsidRPr="00E3672F">
          <w:rPr>
            <w:rStyle w:val="Hyperlink"/>
            <w:sz w:val="12"/>
            <w:szCs w:val="12"/>
          </w:rPr>
          <w:t>Directive 2016/943 on the protection of undisclosed know-how and business information (trade secrets) against their unlawful acquisition, use and disclosure [2016] OJ L157/1</w:t>
        </w:r>
      </w:hyperlink>
      <w:r w:rsidRPr="00E3672F">
        <w:rPr>
          <w:sz w:val="12"/>
          <w:szCs w:val="12"/>
        </w:rPr>
        <w:t xml:space="preserve">; </w:t>
      </w:r>
      <w:hyperlink r:id="rId9" w:history="1">
        <w:r w:rsidRPr="00E3672F">
          <w:rPr>
            <w:rStyle w:val="Hyperlink"/>
            <w:sz w:val="12"/>
            <w:szCs w:val="12"/>
          </w:rPr>
          <w:t>Directive (EU) 2016/1164 of 12 July 2016 laying down rules against tax avoidance practices that directly affect the functioning of the internal market</w:t>
        </w:r>
      </w:hyperlink>
      <w:r w:rsidR="00BD0436" w:rsidRPr="00E3672F">
        <w:t>.</w:t>
      </w:r>
    </w:p>
  </w:footnote>
  <w:footnote w:id="7">
    <w:p w14:paraId="5418DB2D" w14:textId="0D2928E7" w:rsidR="00974CF6" w:rsidRPr="00E3672F" w:rsidRDefault="00974CF6" w:rsidP="00974CF6">
      <w:pPr>
        <w:pStyle w:val="FootnoteText"/>
        <w:rPr>
          <w:sz w:val="12"/>
          <w:szCs w:val="12"/>
        </w:rPr>
      </w:pPr>
      <w:r w:rsidRPr="00E3672F">
        <w:rPr>
          <w:rStyle w:val="FootnoteReference"/>
          <w:sz w:val="12"/>
          <w:szCs w:val="12"/>
        </w:rPr>
        <w:footnoteRef/>
      </w:r>
      <w:r w:rsidRPr="00E3672F">
        <w:rPr>
          <w:sz w:val="12"/>
          <w:szCs w:val="12"/>
        </w:rPr>
        <w:t xml:space="preserve"> See </w:t>
      </w:r>
      <w:hyperlink r:id="rId10" w:history="1">
        <w:r w:rsidR="00B10A29" w:rsidRPr="00E3672F">
          <w:rPr>
            <w:rStyle w:val="Hyperlink"/>
            <w:sz w:val="12"/>
            <w:szCs w:val="12"/>
          </w:rPr>
          <w:t>H</w:t>
        </w:r>
        <w:r w:rsidRPr="00E3672F">
          <w:rPr>
            <w:rStyle w:val="Hyperlink"/>
            <w:sz w:val="12"/>
            <w:szCs w:val="12"/>
          </w:rPr>
          <w:t>alet v. Luxembourg</w:t>
        </w:r>
      </w:hyperlink>
      <w:r w:rsidRPr="00E3672F">
        <w:rPr>
          <w:sz w:val="12"/>
          <w:szCs w:val="12"/>
        </w:rPr>
        <w:t xml:space="preserve">, </w:t>
      </w:r>
      <w:hyperlink r:id="rId11" w:history="1">
        <w:r w:rsidRPr="00E3672F">
          <w:rPr>
            <w:rStyle w:val="Hyperlink"/>
            <w:sz w:val="12"/>
            <w:szCs w:val="12"/>
          </w:rPr>
          <w:t>Gawlik v. Liechtenstein</w:t>
        </w:r>
      </w:hyperlink>
      <w:r w:rsidRPr="00E3672F">
        <w:rPr>
          <w:sz w:val="12"/>
          <w:szCs w:val="12"/>
        </w:rPr>
        <w:t xml:space="preserve">, </w:t>
      </w:r>
      <w:hyperlink r:id="rId12" w:history="1">
        <w:r w:rsidRPr="00E3672F">
          <w:rPr>
            <w:rStyle w:val="Hyperlink"/>
            <w:sz w:val="12"/>
            <w:szCs w:val="12"/>
          </w:rPr>
          <w:t>Guja v. Moldova</w:t>
        </w:r>
      </w:hyperlink>
      <w:r w:rsidRPr="00E3672F">
        <w:rPr>
          <w:sz w:val="12"/>
          <w:szCs w:val="12"/>
        </w:rPr>
        <w:t>.</w:t>
      </w:r>
    </w:p>
  </w:footnote>
  <w:footnote w:id="8">
    <w:p w14:paraId="589D2935" w14:textId="7FBF7CA6" w:rsidR="00974CF6" w:rsidRPr="00E3672F" w:rsidRDefault="00974CF6" w:rsidP="00974CF6">
      <w:pPr>
        <w:pStyle w:val="FootnoteText"/>
        <w:rPr>
          <w:sz w:val="12"/>
          <w:szCs w:val="12"/>
        </w:rPr>
      </w:pPr>
      <w:r w:rsidRPr="00E3672F">
        <w:rPr>
          <w:rStyle w:val="FootnoteReference"/>
          <w:sz w:val="12"/>
          <w:szCs w:val="12"/>
        </w:rPr>
        <w:footnoteRef/>
      </w:r>
      <w:r w:rsidRPr="00E3672F">
        <w:rPr>
          <w:sz w:val="12"/>
          <w:szCs w:val="12"/>
        </w:rPr>
        <w:t xml:space="preserve"> The Resolution invites all </w:t>
      </w:r>
      <w:r w:rsidR="00EA69E9" w:rsidRPr="00E3672F">
        <w:rPr>
          <w:sz w:val="12"/>
          <w:szCs w:val="12"/>
        </w:rPr>
        <w:t>M</w:t>
      </w:r>
      <w:r w:rsidRPr="00E3672F">
        <w:rPr>
          <w:sz w:val="12"/>
          <w:szCs w:val="12"/>
        </w:rPr>
        <w:t xml:space="preserve">ember </w:t>
      </w:r>
      <w:r w:rsidR="00EA69E9" w:rsidRPr="00E3672F">
        <w:rPr>
          <w:sz w:val="12"/>
          <w:szCs w:val="12"/>
        </w:rPr>
        <w:t>S</w:t>
      </w:r>
      <w:r w:rsidRPr="00E3672F">
        <w:rPr>
          <w:sz w:val="12"/>
          <w:szCs w:val="12"/>
        </w:rPr>
        <w:t>tates to review their legislation concerning the protection of whistleblowers.</w:t>
      </w:r>
    </w:p>
  </w:footnote>
  <w:footnote w:id="9">
    <w:p w14:paraId="2042CA9F" w14:textId="77777777" w:rsidR="00974CF6" w:rsidRPr="00E3672F" w:rsidRDefault="00974CF6" w:rsidP="00974CF6">
      <w:pPr>
        <w:pStyle w:val="FootnoteText"/>
        <w:rPr>
          <w:sz w:val="12"/>
          <w:szCs w:val="12"/>
        </w:rPr>
      </w:pPr>
      <w:r w:rsidRPr="00E3672F">
        <w:rPr>
          <w:rStyle w:val="FootnoteReference"/>
          <w:sz w:val="12"/>
          <w:szCs w:val="12"/>
        </w:rPr>
        <w:footnoteRef/>
      </w:r>
      <w:r w:rsidRPr="00E3672F">
        <w:rPr>
          <w:sz w:val="12"/>
          <w:szCs w:val="12"/>
        </w:rPr>
        <w:t xml:space="preserve"> Outlines 29 principles on confidentiality, protection from retaliation, and reporting procedures.</w:t>
      </w:r>
    </w:p>
  </w:footnote>
  <w:footnote w:id="10">
    <w:p w14:paraId="3D63EC9C" w14:textId="48F292EF" w:rsidR="00974CF6" w:rsidRPr="00E3672F" w:rsidRDefault="00974CF6" w:rsidP="00974CF6">
      <w:pPr>
        <w:pStyle w:val="FootnoteText"/>
        <w:rPr>
          <w:sz w:val="12"/>
          <w:szCs w:val="12"/>
        </w:rPr>
      </w:pPr>
      <w:r w:rsidRPr="00E3672F">
        <w:rPr>
          <w:rStyle w:val="FootnoteReference"/>
          <w:sz w:val="12"/>
          <w:szCs w:val="12"/>
        </w:rPr>
        <w:footnoteRef/>
      </w:r>
      <w:r w:rsidRPr="00E3672F">
        <w:rPr>
          <w:sz w:val="12"/>
          <w:szCs w:val="12"/>
        </w:rPr>
        <w:t xml:space="preserve"> </w:t>
      </w:r>
      <w:hyperlink r:id="rId13" w:history="1">
        <w:r w:rsidRPr="00E3672F">
          <w:rPr>
            <w:rStyle w:val="Hyperlink"/>
            <w:sz w:val="12"/>
            <w:szCs w:val="12"/>
          </w:rPr>
          <w:t xml:space="preserve">The European Parliament adopted the provisional agreement on </w:t>
        </w:r>
        <w:r w:rsidR="00EA69E9" w:rsidRPr="00E3672F">
          <w:rPr>
            <w:rStyle w:val="Hyperlink"/>
            <w:sz w:val="12"/>
            <w:szCs w:val="12"/>
          </w:rPr>
          <w:t>16 </w:t>
        </w:r>
        <w:r w:rsidRPr="00E3672F">
          <w:rPr>
            <w:rStyle w:val="Hyperlink"/>
            <w:sz w:val="12"/>
            <w:szCs w:val="12"/>
          </w:rPr>
          <w:t>April 2019</w:t>
        </w:r>
      </w:hyperlink>
      <w:r w:rsidRPr="00E3672F">
        <w:rPr>
          <w:sz w:val="12"/>
          <w:szCs w:val="12"/>
        </w:rPr>
        <w:t xml:space="preserve"> with </w:t>
      </w:r>
      <w:r w:rsidRPr="00E3672F">
        <w:rPr>
          <w:b/>
          <w:bCs/>
          <w:sz w:val="12"/>
          <w:szCs w:val="12"/>
        </w:rPr>
        <w:t>591 votes in favour, 29 against and 33 abstentions</w:t>
      </w:r>
      <w:r w:rsidRPr="00E3672F">
        <w:rPr>
          <w:sz w:val="12"/>
          <w:szCs w:val="12"/>
        </w:rPr>
        <w:t>. As for the Council of the European Union, 26 members voted in favour and two abstained.</w:t>
      </w:r>
    </w:p>
  </w:footnote>
  <w:footnote w:id="11">
    <w:p w14:paraId="3D78F503" w14:textId="77777777" w:rsidR="00974CF6" w:rsidRPr="00E3672F" w:rsidRDefault="00974CF6" w:rsidP="00974CF6">
      <w:pPr>
        <w:pStyle w:val="FootnoteText"/>
        <w:rPr>
          <w:sz w:val="12"/>
          <w:szCs w:val="12"/>
        </w:rPr>
      </w:pPr>
      <w:r w:rsidRPr="00E3672F">
        <w:rPr>
          <w:rStyle w:val="FootnoteReference"/>
          <w:sz w:val="12"/>
          <w:szCs w:val="12"/>
        </w:rPr>
        <w:footnoteRef/>
      </w:r>
      <w:r w:rsidRPr="00E3672F">
        <w:rPr>
          <w:sz w:val="12"/>
          <w:szCs w:val="12"/>
        </w:rPr>
        <w:t xml:space="preserve"> </w:t>
      </w:r>
      <w:hyperlink r:id="rId14" w:history="1">
        <w:r w:rsidRPr="00E3672F">
          <w:rPr>
            <w:rStyle w:val="Hyperlink"/>
            <w:sz w:val="12"/>
            <w:szCs w:val="12"/>
          </w:rPr>
          <w:t>Directive (EU) 2019/1937 of the European Parliament and of the Council of 23 October 2019 on the protection of persons who report breaches of Union law</w:t>
        </w:r>
      </w:hyperlink>
      <w:r w:rsidRPr="00E3672F">
        <w:rPr>
          <w:sz w:val="12"/>
          <w:szCs w:val="12"/>
        </w:rPr>
        <w:t>, p.18.</w:t>
      </w:r>
    </w:p>
  </w:footnote>
  <w:footnote w:id="12">
    <w:p w14:paraId="645C53D9" w14:textId="77777777" w:rsidR="00974CF6" w:rsidRPr="00E3672F" w:rsidRDefault="00974CF6" w:rsidP="00974CF6">
      <w:pPr>
        <w:pStyle w:val="FootnoteText"/>
        <w:rPr>
          <w:sz w:val="12"/>
          <w:szCs w:val="12"/>
        </w:rPr>
      </w:pPr>
      <w:r w:rsidRPr="00E3672F">
        <w:rPr>
          <w:rStyle w:val="FootnoteReference"/>
          <w:sz w:val="12"/>
          <w:szCs w:val="12"/>
        </w:rPr>
        <w:footnoteRef/>
      </w:r>
      <w:r w:rsidRPr="00E3672F">
        <w:rPr>
          <w:sz w:val="12"/>
          <w:szCs w:val="12"/>
        </w:rPr>
        <w:t xml:space="preserve"> </w:t>
      </w:r>
      <w:hyperlink r:id="rId15" w:history="1">
        <w:r w:rsidRPr="00E3672F">
          <w:rPr>
            <w:rStyle w:val="Hyperlink"/>
            <w:sz w:val="12"/>
            <w:szCs w:val="12"/>
          </w:rPr>
          <w:t>IBID</w:t>
        </w:r>
      </w:hyperlink>
      <w:r w:rsidRPr="00E3672F">
        <w:rPr>
          <w:sz w:val="12"/>
          <w:szCs w:val="12"/>
        </w:rPr>
        <w:t>, pp.18-19.</w:t>
      </w:r>
    </w:p>
  </w:footnote>
  <w:footnote w:id="13">
    <w:p w14:paraId="45098AEB" w14:textId="6B059781" w:rsidR="00974CF6" w:rsidRPr="00E3672F" w:rsidRDefault="00974CF6" w:rsidP="00974CF6">
      <w:pPr>
        <w:pStyle w:val="FootnoteText"/>
        <w:rPr>
          <w:sz w:val="12"/>
          <w:szCs w:val="12"/>
        </w:rPr>
      </w:pPr>
      <w:r w:rsidRPr="00E3672F">
        <w:rPr>
          <w:rStyle w:val="FootnoteReference"/>
          <w:sz w:val="12"/>
          <w:szCs w:val="12"/>
        </w:rPr>
        <w:footnoteRef/>
      </w:r>
      <w:r w:rsidRPr="00E3672F">
        <w:rPr>
          <w:sz w:val="12"/>
          <w:szCs w:val="12"/>
        </w:rPr>
        <w:t xml:space="preserve"> </w:t>
      </w:r>
      <w:hyperlink r:id="rId16" w:history="1">
        <w:r w:rsidRPr="00E3672F">
          <w:rPr>
            <w:rStyle w:val="Hyperlink"/>
            <w:sz w:val="12"/>
            <w:szCs w:val="12"/>
          </w:rPr>
          <w:t>Consolidated versions of the Treaty on European Union (</w:t>
        </w:r>
        <w:r w:rsidR="00413731" w:rsidRPr="00E3672F">
          <w:rPr>
            <w:rStyle w:val="Hyperlink"/>
            <w:sz w:val="12"/>
            <w:szCs w:val="12"/>
          </w:rPr>
          <w:t>‘</w:t>
        </w:r>
        <w:r w:rsidRPr="00E3672F">
          <w:rPr>
            <w:rStyle w:val="Hyperlink"/>
            <w:sz w:val="12"/>
            <w:szCs w:val="12"/>
          </w:rPr>
          <w:t>TEU</w:t>
        </w:r>
        <w:r w:rsidR="00413731" w:rsidRPr="00E3672F">
          <w:rPr>
            <w:rStyle w:val="Hyperlink"/>
            <w:sz w:val="12"/>
            <w:szCs w:val="12"/>
          </w:rPr>
          <w:t>’</w:t>
        </w:r>
        <w:r w:rsidRPr="00E3672F">
          <w:rPr>
            <w:rStyle w:val="Hyperlink"/>
            <w:sz w:val="12"/>
            <w:szCs w:val="12"/>
          </w:rPr>
          <w:t>) and of the Treaty on the Functioning of the European Union (</w:t>
        </w:r>
        <w:r w:rsidR="00413731" w:rsidRPr="00E3672F">
          <w:rPr>
            <w:rStyle w:val="Hyperlink"/>
            <w:sz w:val="12"/>
            <w:szCs w:val="12"/>
          </w:rPr>
          <w:t>‘</w:t>
        </w:r>
        <w:r w:rsidRPr="00E3672F">
          <w:rPr>
            <w:rStyle w:val="Hyperlink"/>
            <w:sz w:val="12"/>
            <w:szCs w:val="12"/>
          </w:rPr>
          <w:t>TFEU</w:t>
        </w:r>
        <w:r w:rsidR="00413731" w:rsidRPr="00E3672F">
          <w:rPr>
            <w:rStyle w:val="Hyperlink"/>
            <w:sz w:val="12"/>
            <w:szCs w:val="12"/>
          </w:rPr>
          <w:t>’</w:t>
        </w:r>
        <w:r w:rsidRPr="00E3672F">
          <w:rPr>
            <w:rStyle w:val="Hyperlink"/>
            <w:sz w:val="12"/>
            <w:szCs w:val="12"/>
          </w:rPr>
          <w:t>)</w:t>
        </w:r>
      </w:hyperlink>
      <w:r w:rsidRPr="00E3672F">
        <w:rPr>
          <w:sz w:val="12"/>
          <w:szCs w:val="12"/>
        </w:rPr>
        <w:t>, pp.190-191.</w:t>
      </w:r>
    </w:p>
  </w:footnote>
  <w:footnote w:id="14">
    <w:p w14:paraId="1A23201B" w14:textId="77777777" w:rsidR="00974CF6" w:rsidRPr="00E3672F" w:rsidRDefault="00974CF6" w:rsidP="00974CF6">
      <w:pPr>
        <w:pStyle w:val="FootnoteText"/>
        <w:rPr>
          <w:sz w:val="12"/>
          <w:szCs w:val="12"/>
        </w:rPr>
      </w:pPr>
      <w:r w:rsidRPr="00E3672F">
        <w:rPr>
          <w:rStyle w:val="FootnoteReference"/>
          <w:sz w:val="12"/>
          <w:szCs w:val="12"/>
        </w:rPr>
        <w:footnoteRef/>
      </w:r>
      <w:r w:rsidRPr="00E3672F">
        <w:rPr>
          <w:sz w:val="12"/>
          <w:szCs w:val="12"/>
        </w:rPr>
        <w:t xml:space="preserve"> IBID, p.61.</w:t>
      </w:r>
    </w:p>
  </w:footnote>
  <w:footnote w:id="15">
    <w:p w14:paraId="50937144" w14:textId="77777777" w:rsidR="00974CF6" w:rsidRPr="00E3672F" w:rsidRDefault="00974CF6" w:rsidP="00974CF6">
      <w:pPr>
        <w:pStyle w:val="FootnoteText"/>
        <w:rPr>
          <w:sz w:val="12"/>
          <w:szCs w:val="12"/>
        </w:rPr>
      </w:pPr>
      <w:r w:rsidRPr="00E3672F">
        <w:rPr>
          <w:rStyle w:val="FootnoteReference"/>
          <w:sz w:val="12"/>
          <w:szCs w:val="12"/>
        </w:rPr>
        <w:footnoteRef/>
      </w:r>
      <w:r w:rsidRPr="00E3672F">
        <w:rPr>
          <w:sz w:val="12"/>
          <w:szCs w:val="12"/>
        </w:rPr>
        <w:t xml:space="preserve"> In accordance with Article 7, Article 10 and Article 15, respectively.</w:t>
      </w:r>
    </w:p>
  </w:footnote>
  <w:footnote w:id="16">
    <w:p w14:paraId="436D2627" w14:textId="77777777" w:rsidR="00974CF6" w:rsidRPr="00E3672F" w:rsidRDefault="00974CF6" w:rsidP="00974CF6">
      <w:pPr>
        <w:pStyle w:val="FootnoteText"/>
        <w:rPr>
          <w:sz w:val="12"/>
          <w:szCs w:val="12"/>
        </w:rPr>
      </w:pPr>
      <w:r w:rsidRPr="00E3672F">
        <w:rPr>
          <w:rStyle w:val="FootnoteReference"/>
          <w:sz w:val="12"/>
          <w:szCs w:val="12"/>
        </w:rPr>
        <w:footnoteRef/>
      </w:r>
      <w:r w:rsidRPr="00E3672F">
        <w:rPr>
          <w:sz w:val="12"/>
          <w:szCs w:val="12"/>
        </w:rPr>
        <w:t xml:space="preserve"> European Commission (2024), </w:t>
      </w:r>
      <w:r w:rsidRPr="00E3672F">
        <w:rPr>
          <w:i/>
          <w:iCs/>
          <w:sz w:val="12"/>
          <w:szCs w:val="12"/>
        </w:rPr>
        <w:t>Report on the implementation and application of Directive (EU) 2019/1937,</w:t>
      </w:r>
      <w:hyperlink r:id="rId17" w:history="1">
        <w:r w:rsidRPr="00E3672F">
          <w:rPr>
            <w:rStyle w:val="Hyperlink"/>
            <w:sz w:val="12"/>
            <w:szCs w:val="12"/>
          </w:rPr>
          <w:t>https://commission.europa.eu/document/download/7cc63350-88c9-4c0b-a46e-04fc11e673e7_en?filename=COM_2024_269_1_EN_ACT_part1_v6.pdf</w:t>
        </w:r>
      </w:hyperlink>
      <w:r w:rsidRPr="00E3672F">
        <w:rPr>
          <w:sz w:val="12"/>
          <w:szCs w:val="12"/>
        </w:rPr>
        <w:t>.</w:t>
      </w:r>
    </w:p>
  </w:footnote>
  <w:footnote w:id="17">
    <w:p w14:paraId="4D5D87F3" w14:textId="1CFBB411" w:rsidR="00974CF6" w:rsidRPr="00E3672F" w:rsidRDefault="00974CF6" w:rsidP="00974CF6">
      <w:pPr>
        <w:pStyle w:val="FootnoteText"/>
        <w:rPr>
          <w:sz w:val="12"/>
          <w:szCs w:val="12"/>
        </w:rPr>
      </w:pPr>
      <w:r w:rsidRPr="00E3672F">
        <w:rPr>
          <w:rStyle w:val="FootnoteReference"/>
          <w:sz w:val="12"/>
          <w:szCs w:val="12"/>
        </w:rPr>
        <w:footnoteRef/>
      </w:r>
      <w:r w:rsidRPr="00E3672F">
        <w:rPr>
          <w:sz w:val="12"/>
          <w:szCs w:val="12"/>
        </w:rPr>
        <w:t xml:space="preserve"> All other Member States except for Malta, Portugal and Sweden.</w:t>
      </w:r>
    </w:p>
  </w:footnote>
  <w:footnote w:id="18">
    <w:p w14:paraId="183550B1" w14:textId="77777777" w:rsidR="00974CF6" w:rsidRPr="00E3672F" w:rsidRDefault="00974CF6" w:rsidP="00974CF6">
      <w:pPr>
        <w:pStyle w:val="FootnoteText"/>
        <w:rPr>
          <w:sz w:val="12"/>
          <w:szCs w:val="12"/>
        </w:rPr>
      </w:pPr>
      <w:r w:rsidRPr="00E3672F">
        <w:rPr>
          <w:rStyle w:val="FootnoteReference"/>
          <w:sz w:val="12"/>
          <w:szCs w:val="12"/>
        </w:rPr>
        <w:footnoteRef/>
      </w:r>
      <w:r w:rsidRPr="00E3672F">
        <w:rPr>
          <w:sz w:val="12"/>
          <w:szCs w:val="12"/>
        </w:rPr>
        <w:t xml:space="preserve"> Czechia, Germany, Estonia, Luxembourg, Hungary and Poland all received financial penalties.</w:t>
      </w:r>
    </w:p>
  </w:footnote>
  <w:footnote w:id="19">
    <w:p w14:paraId="5AF137FB" w14:textId="0408E50B" w:rsidR="00C21EC6" w:rsidRPr="00C21EC6" w:rsidRDefault="00C21EC6">
      <w:pPr>
        <w:pStyle w:val="FootnoteText"/>
      </w:pPr>
      <w:r>
        <w:rPr>
          <w:rStyle w:val="FootnoteReference"/>
        </w:rPr>
        <w:footnoteRef/>
      </w:r>
      <w:r>
        <w:t xml:space="preserve"> </w:t>
      </w:r>
      <w:r w:rsidRPr="00C21EC6">
        <w:t>European Commission (2024), Report on the implementation and application of Directive (EU) 2019/1937</w:t>
      </w:r>
      <w:r>
        <w:t>, p. 10.</w:t>
      </w:r>
    </w:p>
  </w:footnote>
  <w:footnote w:id="20">
    <w:p w14:paraId="370C2FB6" w14:textId="734FDE80" w:rsidR="00C21EC6" w:rsidRPr="00C21EC6" w:rsidRDefault="00C21EC6">
      <w:pPr>
        <w:pStyle w:val="FootnoteText"/>
      </w:pPr>
      <w:r>
        <w:rPr>
          <w:rStyle w:val="FootnoteReference"/>
        </w:rPr>
        <w:footnoteRef/>
      </w:r>
      <w:r>
        <w:t xml:space="preserve"> </w:t>
      </w:r>
      <w:r w:rsidRPr="00E3672F">
        <w:rPr>
          <w:sz w:val="12"/>
          <w:szCs w:val="12"/>
        </w:rPr>
        <w:t xml:space="preserve">European Commission (2024), </w:t>
      </w:r>
      <w:r w:rsidRPr="00E3672F">
        <w:rPr>
          <w:i/>
          <w:iCs/>
          <w:sz w:val="12"/>
          <w:szCs w:val="12"/>
        </w:rPr>
        <w:t>Report on the implementation and application of Directive (EU) 2019/1937</w:t>
      </w:r>
      <w:r>
        <w:rPr>
          <w:iCs/>
          <w:sz w:val="12"/>
          <w:szCs w:val="12"/>
        </w:rPr>
        <w:t>, p. 10.</w:t>
      </w:r>
    </w:p>
  </w:footnote>
  <w:footnote w:id="21">
    <w:p w14:paraId="7C3B5736" w14:textId="5B493135" w:rsidR="005B6CC3" w:rsidRPr="00E3672F" w:rsidRDefault="005B6CC3" w:rsidP="005B6CC3">
      <w:pPr>
        <w:pStyle w:val="FootnoteText"/>
        <w:rPr>
          <w:sz w:val="12"/>
          <w:szCs w:val="12"/>
        </w:rPr>
      </w:pPr>
      <w:r w:rsidRPr="00E3672F">
        <w:rPr>
          <w:rStyle w:val="FootnoteReference"/>
          <w:sz w:val="12"/>
          <w:szCs w:val="12"/>
        </w:rPr>
        <w:footnoteRef/>
      </w:r>
      <w:r w:rsidRPr="00E3672F">
        <w:rPr>
          <w:sz w:val="12"/>
          <w:szCs w:val="12"/>
        </w:rPr>
        <w:t xml:space="preserve"> </w:t>
      </w:r>
      <w:hyperlink r:id="rId18" w:history="1">
        <w:r w:rsidRPr="00E3672F">
          <w:rPr>
            <w:rStyle w:val="Hyperlink"/>
            <w:sz w:val="12"/>
            <w:szCs w:val="12"/>
          </w:rPr>
          <w:t>https://www.fieldfisher.com/en/insights/the-eu-whistleblowing-directive-a-danish-perspecti</w:t>
        </w:r>
      </w:hyperlink>
      <w:r w:rsidR="00D45F06" w:rsidRPr="00E3672F">
        <w:t>.</w:t>
      </w:r>
    </w:p>
  </w:footnote>
  <w:footnote w:id="22">
    <w:p w14:paraId="52DEB8F8" w14:textId="7C53BE98" w:rsidR="005B6CC3" w:rsidRPr="00E3672F" w:rsidRDefault="005B6CC3" w:rsidP="005B6CC3">
      <w:pPr>
        <w:pStyle w:val="FootnoteText"/>
        <w:rPr>
          <w:sz w:val="12"/>
          <w:szCs w:val="12"/>
        </w:rPr>
      </w:pPr>
      <w:r w:rsidRPr="00E3672F">
        <w:rPr>
          <w:rStyle w:val="FootnoteReference"/>
          <w:sz w:val="12"/>
          <w:szCs w:val="12"/>
        </w:rPr>
        <w:footnoteRef/>
      </w:r>
      <w:r w:rsidRPr="00E3672F">
        <w:rPr>
          <w:sz w:val="12"/>
          <w:szCs w:val="12"/>
        </w:rPr>
        <w:t xml:space="preserve"> </w:t>
      </w:r>
      <w:hyperlink r:id="rId19" w:history="1">
        <w:r w:rsidRPr="00E3672F">
          <w:rPr>
            <w:rStyle w:val="Hyperlink"/>
            <w:sz w:val="12"/>
            <w:szCs w:val="12"/>
          </w:rPr>
          <w:t>https://www.whispli.com/eu-directive-whistleblowing/denmark/</w:t>
        </w:r>
      </w:hyperlink>
      <w:r w:rsidR="00D45F06" w:rsidRPr="00E3672F">
        <w:t>.</w:t>
      </w:r>
    </w:p>
  </w:footnote>
  <w:footnote w:id="23">
    <w:p w14:paraId="456ADAA9" w14:textId="32779CDF" w:rsidR="005B6CC3" w:rsidRPr="00E3672F" w:rsidRDefault="005B6CC3" w:rsidP="005B6CC3">
      <w:pPr>
        <w:pStyle w:val="FootnoteText"/>
        <w:rPr>
          <w:sz w:val="12"/>
          <w:szCs w:val="12"/>
        </w:rPr>
      </w:pPr>
      <w:r w:rsidRPr="00E3672F">
        <w:rPr>
          <w:rStyle w:val="FootnoteReference"/>
          <w:sz w:val="12"/>
          <w:szCs w:val="12"/>
        </w:rPr>
        <w:footnoteRef/>
      </w:r>
      <w:r w:rsidRPr="00E3672F">
        <w:rPr>
          <w:sz w:val="12"/>
          <w:szCs w:val="12"/>
        </w:rPr>
        <w:t xml:space="preserve"> </w:t>
      </w:r>
      <w:hyperlink r:id="rId20" w:history="1">
        <w:r w:rsidRPr="00E3672F">
          <w:rPr>
            <w:rStyle w:val="Hyperlink"/>
            <w:sz w:val="12"/>
            <w:szCs w:val="12"/>
          </w:rPr>
          <w:t>https://clemenslaw.dk/en/aktuelt/hvilke-forhold-kan-en-whistleblower-indberette-om/</w:t>
        </w:r>
      </w:hyperlink>
      <w:r w:rsidR="00D45F06" w:rsidRPr="00E3672F">
        <w:t>.</w:t>
      </w:r>
    </w:p>
  </w:footnote>
  <w:footnote w:id="24">
    <w:p w14:paraId="2F5353B2" w14:textId="414EEF0A" w:rsidR="005B6CC3" w:rsidRPr="00E3672F" w:rsidRDefault="005B6CC3" w:rsidP="005B6CC3">
      <w:pPr>
        <w:pStyle w:val="FootnoteText"/>
        <w:rPr>
          <w:sz w:val="12"/>
          <w:szCs w:val="12"/>
        </w:rPr>
      </w:pPr>
      <w:r w:rsidRPr="00E3672F">
        <w:rPr>
          <w:rStyle w:val="FootnoteReference"/>
          <w:sz w:val="12"/>
          <w:szCs w:val="12"/>
        </w:rPr>
        <w:footnoteRef/>
      </w:r>
      <w:r w:rsidRPr="00E3672F">
        <w:rPr>
          <w:sz w:val="12"/>
          <w:szCs w:val="12"/>
        </w:rPr>
        <w:t xml:space="preserve"> </w:t>
      </w:r>
      <w:hyperlink r:id="rId21" w:history="1">
        <w:r w:rsidRPr="00E3672F">
          <w:rPr>
            <w:rStyle w:val="Hyperlink"/>
            <w:sz w:val="12"/>
            <w:szCs w:val="12"/>
          </w:rPr>
          <w:t>Microsoft Word</w:t>
        </w:r>
        <w:r w:rsidR="00026652" w:rsidRPr="00E3672F">
          <w:rPr>
            <w:rStyle w:val="Hyperlink"/>
            <w:sz w:val="12"/>
            <w:szCs w:val="12"/>
          </w:rPr>
          <w:t xml:space="preserve"> – </w:t>
        </w:r>
        <w:r w:rsidRPr="00E3672F">
          <w:rPr>
            <w:rStyle w:val="Hyperlink"/>
            <w:sz w:val="12"/>
            <w:szCs w:val="12"/>
          </w:rPr>
          <w:t>ENG international study whistleblower protection Questionnaire (Denmark)</w:t>
        </w:r>
      </w:hyperlink>
      <w:r w:rsidRPr="00E3672F">
        <w:rPr>
          <w:sz w:val="12"/>
          <w:szCs w:val="12"/>
        </w:rPr>
        <w:t>, p.10</w:t>
      </w:r>
      <w:r w:rsidR="00BD4395" w:rsidRPr="00E3672F">
        <w:rPr>
          <w:sz w:val="12"/>
          <w:szCs w:val="12"/>
        </w:rPr>
        <w:t>.</w:t>
      </w:r>
    </w:p>
  </w:footnote>
  <w:footnote w:id="25">
    <w:p w14:paraId="2ABEA663" w14:textId="578268FD" w:rsidR="005B6CC3" w:rsidRPr="00E3672F" w:rsidRDefault="005B6CC3" w:rsidP="005B6CC3">
      <w:pPr>
        <w:pStyle w:val="FootnoteText"/>
        <w:rPr>
          <w:sz w:val="12"/>
          <w:szCs w:val="12"/>
        </w:rPr>
      </w:pPr>
      <w:r w:rsidRPr="00E3672F">
        <w:rPr>
          <w:rStyle w:val="FootnoteReference"/>
          <w:sz w:val="12"/>
          <w:szCs w:val="12"/>
        </w:rPr>
        <w:footnoteRef/>
      </w:r>
      <w:r w:rsidRPr="00E3672F">
        <w:rPr>
          <w:sz w:val="12"/>
          <w:szCs w:val="12"/>
        </w:rPr>
        <w:t xml:space="preserve"> </w:t>
      </w:r>
      <w:hyperlink r:id="rId22" w:history="1">
        <w:r w:rsidRPr="00E3672F">
          <w:rPr>
            <w:rStyle w:val="Hyperlink"/>
            <w:sz w:val="12"/>
            <w:szCs w:val="12"/>
          </w:rPr>
          <w:t>https://clemenslaw.dk/en/aktuelt/whistleblowerloven-a-z/</w:t>
        </w:r>
      </w:hyperlink>
      <w:r w:rsidR="00BD4395" w:rsidRPr="00E3672F">
        <w:t>.</w:t>
      </w:r>
    </w:p>
  </w:footnote>
  <w:footnote w:id="26">
    <w:p w14:paraId="043048FF" w14:textId="55B1E651" w:rsidR="009363D5" w:rsidRPr="00E3672F" w:rsidRDefault="009363D5">
      <w:pPr>
        <w:pStyle w:val="FootnoteText"/>
        <w:rPr>
          <w:sz w:val="12"/>
          <w:szCs w:val="12"/>
        </w:rPr>
      </w:pPr>
      <w:r w:rsidRPr="00E3672F">
        <w:rPr>
          <w:rStyle w:val="FootnoteReference"/>
          <w:sz w:val="12"/>
          <w:szCs w:val="12"/>
        </w:rPr>
        <w:footnoteRef/>
      </w:r>
      <w:r w:rsidRPr="00E3672F">
        <w:rPr>
          <w:sz w:val="12"/>
          <w:szCs w:val="12"/>
        </w:rPr>
        <w:t xml:space="preserve"> </w:t>
      </w:r>
      <w:hyperlink r:id="rId23" w:history="1">
        <w:r w:rsidRPr="00E3672F">
          <w:rPr>
            <w:rStyle w:val="Hyperlink"/>
            <w:sz w:val="12"/>
            <w:szCs w:val="12"/>
          </w:rPr>
          <w:t>Microsoft Word</w:t>
        </w:r>
        <w:r w:rsidR="00026652" w:rsidRPr="00E3672F">
          <w:rPr>
            <w:rStyle w:val="Hyperlink"/>
            <w:sz w:val="12"/>
            <w:szCs w:val="12"/>
          </w:rPr>
          <w:t xml:space="preserve"> – </w:t>
        </w:r>
        <w:r w:rsidRPr="00E3672F">
          <w:rPr>
            <w:rStyle w:val="Hyperlink"/>
            <w:sz w:val="12"/>
            <w:szCs w:val="12"/>
          </w:rPr>
          <w:t>ENG international study whistleblower protection Questionnaire (Denmark)</w:t>
        </w:r>
      </w:hyperlink>
      <w:r w:rsidRPr="00E3672F">
        <w:rPr>
          <w:sz w:val="12"/>
          <w:szCs w:val="12"/>
        </w:rPr>
        <w:t>, p.9.</w:t>
      </w:r>
    </w:p>
  </w:footnote>
  <w:footnote w:id="27">
    <w:p w14:paraId="37C0B88C" w14:textId="16D69573" w:rsidR="005B6CC3" w:rsidRPr="00E3672F" w:rsidRDefault="005B6CC3" w:rsidP="005B6CC3">
      <w:pPr>
        <w:pStyle w:val="FootnoteText"/>
        <w:rPr>
          <w:sz w:val="12"/>
          <w:szCs w:val="12"/>
        </w:rPr>
      </w:pPr>
      <w:r w:rsidRPr="00E3672F">
        <w:rPr>
          <w:rStyle w:val="FootnoteReference"/>
          <w:sz w:val="12"/>
          <w:szCs w:val="12"/>
        </w:rPr>
        <w:footnoteRef/>
      </w:r>
      <w:r w:rsidRPr="00E3672F">
        <w:rPr>
          <w:sz w:val="12"/>
          <w:szCs w:val="12"/>
        </w:rPr>
        <w:t xml:space="preserve"> </w:t>
      </w:r>
      <w:hyperlink r:id="rId24" w:history="1">
        <w:r w:rsidRPr="00E3672F">
          <w:rPr>
            <w:rStyle w:val="Hyperlink"/>
            <w:sz w:val="12"/>
            <w:szCs w:val="12"/>
          </w:rPr>
          <w:t>https://www.mofo.com/gdpr-european-privacy/whistleblowing/whistleblower-qa</w:t>
        </w:r>
      </w:hyperlink>
      <w:r w:rsidR="00BD4395" w:rsidRPr="00E3672F">
        <w:t>.</w:t>
      </w:r>
    </w:p>
  </w:footnote>
  <w:footnote w:id="28">
    <w:p w14:paraId="7774A401" w14:textId="06E245D5" w:rsidR="005B6CC3" w:rsidRPr="009B193B" w:rsidRDefault="005B6CC3" w:rsidP="005B6CC3">
      <w:pPr>
        <w:pStyle w:val="FootnoteText"/>
        <w:rPr>
          <w:sz w:val="12"/>
          <w:szCs w:val="12"/>
          <w:lang w:val="es-ES"/>
        </w:rPr>
      </w:pPr>
      <w:r w:rsidRPr="00E3672F">
        <w:rPr>
          <w:rStyle w:val="FootnoteReference"/>
          <w:sz w:val="12"/>
          <w:szCs w:val="12"/>
        </w:rPr>
        <w:footnoteRef/>
      </w:r>
      <w:r w:rsidRPr="009B193B">
        <w:rPr>
          <w:sz w:val="12"/>
          <w:szCs w:val="12"/>
          <w:lang w:val="es-ES"/>
        </w:rPr>
        <w:t xml:space="preserve"> IBID</w:t>
      </w:r>
      <w:r w:rsidR="00BD4395" w:rsidRPr="009B193B">
        <w:rPr>
          <w:sz w:val="12"/>
          <w:szCs w:val="12"/>
          <w:lang w:val="es-ES"/>
        </w:rPr>
        <w:t>.</w:t>
      </w:r>
    </w:p>
  </w:footnote>
  <w:footnote w:id="29">
    <w:p w14:paraId="50C4AFB3" w14:textId="24DD869F" w:rsidR="005B6CC3" w:rsidRPr="009B193B" w:rsidRDefault="005B6CC3" w:rsidP="005B6CC3">
      <w:pPr>
        <w:pStyle w:val="FootnoteText"/>
        <w:rPr>
          <w:sz w:val="12"/>
          <w:szCs w:val="12"/>
          <w:lang w:val="es-ES"/>
        </w:rPr>
      </w:pPr>
      <w:r w:rsidRPr="00E3672F">
        <w:rPr>
          <w:rStyle w:val="FootnoteReference"/>
          <w:sz w:val="12"/>
          <w:szCs w:val="12"/>
        </w:rPr>
        <w:footnoteRef/>
      </w:r>
      <w:r w:rsidRPr="009B193B">
        <w:rPr>
          <w:sz w:val="12"/>
          <w:szCs w:val="12"/>
          <w:lang w:val="es-ES"/>
        </w:rPr>
        <w:t xml:space="preserve"> </w:t>
      </w:r>
      <w:hyperlink r:id="rId25" w:history="1">
        <w:r w:rsidRPr="009B193B">
          <w:rPr>
            <w:rStyle w:val="Hyperlink"/>
            <w:sz w:val="12"/>
            <w:szCs w:val="12"/>
            <w:lang w:val="es-ES"/>
          </w:rPr>
          <w:t>https://www.justitsministeriet.dk/wp-content/uploads/2021/12/Vejledning-for-whistleblowere.pdf</w:t>
        </w:r>
      </w:hyperlink>
      <w:r w:rsidR="00BD4395" w:rsidRPr="009B193B">
        <w:rPr>
          <w:sz w:val="12"/>
          <w:szCs w:val="12"/>
          <w:lang w:val="es-ES"/>
        </w:rPr>
        <w:t>.</w:t>
      </w:r>
    </w:p>
  </w:footnote>
  <w:footnote w:id="30">
    <w:p w14:paraId="5E1302D2" w14:textId="5088E9E6" w:rsidR="00BD4395" w:rsidRPr="00E3672F" w:rsidRDefault="00BD4395">
      <w:pPr>
        <w:pStyle w:val="FootnoteText"/>
      </w:pPr>
      <w:r w:rsidRPr="009B193B">
        <w:rPr>
          <w:rStyle w:val="FootnoteReference"/>
          <w:sz w:val="12"/>
          <w:szCs w:val="12"/>
        </w:rPr>
        <w:footnoteRef/>
      </w:r>
      <w:r w:rsidRPr="009B193B">
        <w:rPr>
          <w:rStyle w:val="FootnoteReference"/>
          <w:sz w:val="12"/>
          <w:szCs w:val="12"/>
        </w:rPr>
        <w:t xml:space="preserve"> </w:t>
      </w:r>
      <w:hyperlink r:id="rId26" w:history="1">
        <w:r w:rsidRPr="00E3672F">
          <w:rPr>
            <w:rStyle w:val="Hyperlink"/>
            <w:sz w:val="12"/>
            <w:szCs w:val="12"/>
          </w:rPr>
          <w:t>OECD Anti-Bribery Convention Phase 4 Follow-Up Report on Denmark (EN)</w:t>
        </w:r>
      </w:hyperlink>
      <w:r w:rsidRPr="00E3672F">
        <w:rPr>
          <w:sz w:val="12"/>
          <w:szCs w:val="12"/>
        </w:rPr>
        <w:t>.</w:t>
      </w:r>
    </w:p>
  </w:footnote>
  <w:footnote w:id="31">
    <w:p w14:paraId="24955140" w14:textId="61824964" w:rsidR="005B6CC3" w:rsidRPr="00E3672F" w:rsidRDefault="005B6CC3" w:rsidP="005B6CC3">
      <w:pPr>
        <w:pStyle w:val="FootnoteText"/>
        <w:rPr>
          <w:sz w:val="12"/>
          <w:szCs w:val="12"/>
        </w:rPr>
      </w:pPr>
      <w:r w:rsidRPr="00E3672F">
        <w:rPr>
          <w:rStyle w:val="FootnoteReference"/>
          <w:sz w:val="12"/>
          <w:szCs w:val="12"/>
        </w:rPr>
        <w:footnoteRef/>
      </w:r>
      <w:r w:rsidRPr="00E3672F">
        <w:rPr>
          <w:sz w:val="12"/>
          <w:szCs w:val="12"/>
        </w:rPr>
        <w:t xml:space="preserve"> </w:t>
      </w:r>
      <w:hyperlink r:id="rId27" w:history="1">
        <w:r w:rsidRPr="00E3672F">
          <w:rPr>
            <w:rStyle w:val="Hyperlink"/>
            <w:sz w:val="12"/>
            <w:szCs w:val="12"/>
          </w:rPr>
          <w:t>Denmark</w:t>
        </w:r>
        <w:r w:rsidR="00413731" w:rsidRPr="00E3672F">
          <w:rPr>
            <w:rStyle w:val="Hyperlink"/>
            <w:sz w:val="12"/>
            <w:szCs w:val="12"/>
          </w:rPr>
          <w:t>’</w:t>
        </w:r>
        <w:r w:rsidRPr="00E3672F">
          <w:rPr>
            <w:rStyle w:val="Hyperlink"/>
            <w:sz w:val="12"/>
            <w:szCs w:val="12"/>
          </w:rPr>
          <w:t>s National Whistleblower Scheme Sees Significant Growth in 2024</w:t>
        </w:r>
      </w:hyperlink>
      <w:r w:rsidR="00BD4395" w:rsidRPr="00E3672F">
        <w:rPr>
          <w:sz w:val="12"/>
          <w:szCs w:val="12"/>
        </w:rPr>
        <w:t>.</w:t>
      </w:r>
    </w:p>
  </w:footnote>
  <w:footnote w:id="32">
    <w:p w14:paraId="5297AE94" w14:textId="4FDEA75B" w:rsidR="00E5504B" w:rsidRPr="00E3672F" w:rsidRDefault="00E5504B" w:rsidP="00E5504B">
      <w:pPr>
        <w:pStyle w:val="FootnoteText"/>
      </w:pPr>
      <w:r w:rsidRPr="00E3672F">
        <w:rPr>
          <w:rStyle w:val="FootnoteReference"/>
          <w:rFonts w:eastAsiaTheme="majorEastAsia"/>
          <w:sz w:val="12"/>
          <w:szCs w:val="12"/>
        </w:rPr>
        <w:footnoteRef/>
      </w:r>
      <w:r w:rsidRPr="00E3672F">
        <w:rPr>
          <w:sz w:val="12"/>
          <w:szCs w:val="12"/>
        </w:rPr>
        <w:t xml:space="preserve"> EU Whistleblowing Monitor, France adopts new whistleblowing law, </w:t>
      </w:r>
      <w:hyperlink r:id="rId28" w:history="1">
        <w:r w:rsidRPr="00E3672F">
          <w:rPr>
            <w:rStyle w:val="Hyperlink"/>
            <w:rFonts w:eastAsiaTheme="majorEastAsia"/>
            <w:sz w:val="12"/>
            <w:szCs w:val="12"/>
          </w:rPr>
          <w:t>https://whistleblowingmonitor.eu/france-adopts-new-whistleblowing-law/</w:t>
        </w:r>
      </w:hyperlink>
      <w:r w:rsidR="008366E6" w:rsidRPr="00E3672F">
        <w:t>.</w:t>
      </w:r>
    </w:p>
  </w:footnote>
  <w:footnote w:id="33">
    <w:p w14:paraId="2011378A" w14:textId="142F9EC3" w:rsidR="00E5504B" w:rsidRPr="00E3672F" w:rsidRDefault="00E5504B" w:rsidP="00E5504B">
      <w:pPr>
        <w:pStyle w:val="FootnoteText"/>
        <w:rPr>
          <w:sz w:val="12"/>
          <w:szCs w:val="12"/>
        </w:rPr>
      </w:pPr>
      <w:r w:rsidRPr="00E3672F">
        <w:rPr>
          <w:rStyle w:val="FootnoteReference"/>
          <w:rFonts w:eastAsiaTheme="majorEastAsia"/>
          <w:sz w:val="12"/>
          <w:szCs w:val="12"/>
        </w:rPr>
        <w:footnoteRef/>
      </w:r>
      <w:r w:rsidRPr="00E3672F">
        <w:rPr>
          <w:sz w:val="12"/>
          <w:szCs w:val="12"/>
        </w:rPr>
        <w:t xml:space="preserve"> Article 6.-I.</w:t>
      </w:r>
      <w:r w:rsidR="008366E6" w:rsidRPr="00E3672F">
        <w:rPr>
          <w:sz w:val="12"/>
          <w:szCs w:val="12"/>
        </w:rPr>
        <w:t xml:space="preserve"> – </w:t>
      </w:r>
      <w:r w:rsidRPr="00E3672F">
        <w:rPr>
          <w:sz w:val="12"/>
          <w:szCs w:val="12"/>
        </w:rPr>
        <w:t xml:space="preserve">A whistleblower is a natural person who reports or discloses, without direct financial consideration and in good faith, information relating to a crime, offence, threat or harm to the public interest, a breach or an attempt to conceal a breach of an international commitment duly ratified or approved by France, a unilateral act of an international organisation taken on the basis of such a commitment, European Union law, law or regulation. Where the information has not been obtained in the course of the professional activities referred to in Article 8 (I), the whistleblower must have had personal knowledge of it. </w:t>
      </w:r>
      <w:hyperlink r:id="rId29" w:history="1">
        <w:r w:rsidRPr="00E3672F">
          <w:rPr>
            <w:rStyle w:val="Hyperlink"/>
            <w:rFonts w:eastAsiaTheme="majorEastAsia"/>
            <w:sz w:val="12"/>
            <w:szCs w:val="12"/>
          </w:rPr>
          <w:t>Law No 2022-401 of 21 March 2022</w:t>
        </w:r>
      </w:hyperlink>
      <w:r w:rsidRPr="00E3672F">
        <w:rPr>
          <w:sz w:val="12"/>
          <w:szCs w:val="12"/>
        </w:rPr>
        <w:t xml:space="preserve"> (</w:t>
      </w:r>
      <w:r w:rsidRPr="00E3672F">
        <w:rPr>
          <w:i/>
          <w:sz w:val="12"/>
          <w:szCs w:val="12"/>
        </w:rPr>
        <w:t>Waserman Law</w:t>
      </w:r>
      <w:r w:rsidRPr="00E3672F">
        <w:rPr>
          <w:sz w:val="12"/>
          <w:szCs w:val="12"/>
        </w:rPr>
        <w:t>)</w:t>
      </w:r>
      <w:r w:rsidR="008366E6" w:rsidRPr="00E3672F">
        <w:rPr>
          <w:sz w:val="12"/>
          <w:szCs w:val="12"/>
        </w:rPr>
        <w:t>.</w:t>
      </w:r>
    </w:p>
  </w:footnote>
  <w:footnote w:id="34">
    <w:p w14:paraId="4D92113C" w14:textId="4B0512BA" w:rsidR="00495034" w:rsidRPr="00E3672F" w:rsidRDefault="00495034" w:rsidP="00495034">
      <w:pPr>
        <w:pStyle w:val="FootnoteText"/>
        <w:rPr>
          <w:sz w:val="12"/>
          <w:szCs w:val="12"/>
        </w:rPr>
      </w:pPr>
      <w:r w:rsidRPr="00E3672F">
        <w:rPr>
          <w:rStyle w:val="FootnoteReference"/>
          <w:sz w:val="12"/>
          <w:szCs w:val="12"/>
        </w:rPr>
        <w:footnoteRef/>
      </w:r>
      <w:r w:rsidRPr="00E3672F">
        <w:rPr>
          <w:sz w:val="12"/>
          <w:szCs w:val="12"/>
        </w:rPr>
        <w:t xml:space="preserve"> </w:t>
      </w:r>
      <w:hyperlink r:id="rId30" w:history="1">
        <w:r w:rsidRPr="00E3672F">
          <w:rPr>
            <w:rStyle w:val="Hyperlink"/>
            <w:sz w:val="12"/>
            <w:szCs w:val="12"/>
          </w:rPr>
          <w:t>https://www.ibanet.org/origin-and-legislative-evolution-of-whistleblowing-in-italy</w:t>
        </w:r>
      </w:hyperlink>
      <w:r w:rsidR="00AA3027" w:rsidRPr="00E3672F">
        <w:rPr>
          <w:sz w:val="12"/>
          <w:szCs w:val="12"/>
        </w:rPr>
        <w:t>.</w:t>
      </w:r>
    </w:p>
  </w:footnote>
  <w:footnote w:id="35">
    <w:p w14:paraId="77AC04A2" w14:textId="616D22C2" w:rsidR="00495034" w:rsidRPr="00E3672F" w:rsidRDefault="00495034" w:rsidP="00495034">
      <w:pPr>
        <w:pStyle w:val="FootnoteText"/>
        <w:rPr>
          <w:sz w:val="12"/>
          <w:szCs w:val="12"/>
        </w:rPr>
      </w:pPr>
      <w:r w:rsidRPr="00E3672F">
        <w:rPr>
          <w:rStyle w:val="FootnoteReference"/>
          <w:sz w:val="12"/>
          <w:szCs w:val="12"/>
        </w:rPr>
        <w:footnoteRef/>
      </w:r>
      <w:hyperlink r:id="rId31" w:history="1">
        <w:r w:rsidRPr="00E3672F">
          <w:rPr>
            <w:rStyle w:val="Hyperlink"/>
            <w:sz w:val="12"/>
            <w:szCs w:val="12"/>
          </w:rPr>
          <w:t>https://portolano.it/en/newsletter/portolano-cavallo-inform-compliance/italy-transposed-european-directive-whistleblowing-main-requirements-developments</w:t>
        </w:r>
      </w:hyperlink>
      <w:r w:rsidR="00280A2C" w:rsidRPr="00E3672F">
        <w:t>.</w:t>
      </w:r>
      <w:r w:rsidRPr="00E3672F">
        <w:rPr>
          <w:sz w:val="12"/>
          <w:szCs w:val="12"/>
        </w:rPr>
        <w:t xml:space="preserve"> </w:t>
      </w:r>
    </w:p>
  </w:footnote>
  <w:footnote w:id="36">
    <w:p w14:paraId="1D3AB2E4" w14:textId="39220B48" w:rsidR="00495034" w:rsidRPr="00E3672F" w:rsidRDefault="00495034" w:rsidP="00495034">
      <w:pPr>
        <w:pStyle w:val="FootnoteText"/>
        <w:rPr>
          <w:sz w:val="12"/>
          <w:szCs w:val="12"/>
        </w:rPr>
      </w:pPr>
      <w:r w:rsidRPr="00E3672F">
        <w:rPr>
          <w:rStyle w:val="FootnoteReference"/>
          <w:sz w:val="12"/>
          <w:szCs w:val="12"/>
        </w:rPr>
        <w:footnoteRef/>
      </w:r>
      <w:r w:rsidRPr="00E3672F">
        <w:rPr>
          <w:sz w:val="12"/>
          <w:szCs w:val="12"/>
        </w:rPr>
        <w:t xml:space="preserve"> </w:t>
      </w:r>
      <w:hyperlink r:id="rId32" w:history="1">
        <w:r w:rsidRPr="00E3672F">
          <w:rPr>
            <w:rStyle w:val="Hyperlink"/>
            <w:sz w:val="12"/>
            <w:szCs w:val="12"/>
          </w:rPr>
          <w:t>https://www.transparency.it/analisi-whistleblowing</w:t>
        </w:r>
      </w:hyperlink>
      <w:r w:rsidR="00280A2C" w:rsidRPr="00E3672F">
        <w:t>.</w:t>
      </w:r>
      <w:r w:rsidRPr="00E3672F">
        <w:rPr>
          <w:sz w:val="12"/>
          <w:szCs w:val="12"/>
        </w:rPr>
        <w:t xml:space="preserve"> </w:t>
      </w:r>
    </w:p>
  </w:footnote>
  <w:footnote w:id="37">
    <w:p w14:paraId="6FED8800" w14:textId="7B1D7C32" w:rsidR="00495034" w:rsidRPr="00E3672F" w:rsidRDefault="00495034" w:rsidP="00495034">
      <w:pPr>
        <w:pStyle w:val="FootnoteText"/>
        <w:rPr>
          <w:sz w:val="12"/>
          <w:szCs w:val="12"/>
        </w:rPr>
      </w:pPr>
      <w:r w:rsidRPr="00E3672F">
        <w:rPr>
          <w:rStyle w:val="FootnoteReference"/>
          <w:sz w:val="12"/>
          <w:szCs w:val="12"/>
        </w:rPr>
        <w:footnoteRef/>
      </w:r>
      <w:r w:rsidRPr="00E3672F">
        <w:rPr>
          <w:sz w:val="12"/>
          <w:szCs w:val="12"/>
        </w:rPr>
        <w:t xml:space="preserve"> </w:t>
      </w:r>
      <w:hyperlink r:id="rId33" w:history="1">
        <w:r w:rsidRPr="00E3672F">
          <w:rPr>
            <w:rStyle w:val="Hyperlink"/>
            <w:sz w:val="12"/>
            <w:szCs w:val="12"/>
          </w:rPr>
          <w:t>https://www.cms.hr/wp-content/uploads/Liberties_Rule_of_Law_Report_2025.pdf</w:t>
        </w:r>
      </w:hyperlink>
      <w:r w:rsidR="00280A2C" w:rsidRPr="00E3672F">
        <w:t>.</w:t>
      </w:r>
      <w:r w:rsidRPr="00E3672F">
        <w:rPr>
          <w:sz w:val="12"/>
          <w:szCs w:val="12"/>
        </w:rPr>
        <w:t xml:space="preserve"> </w:t>
      </w:r>
    </w:p>
  </w:footnote>
  <w:footnote w:id="38">
    <w:p w14:paraId="06876A87" w14:textId="0FFC6872" w:rsidR="00495034" w:rsidRPr="00E3672F" w:rsidRDefault="00495034" w:rsidP="00495034">
      <w:pPr>
        <w:pStyle w:val="FootnoteText"/>
        <w:rPr>
          <w:sz w:val="12"/>
          <w:szCs w:val="12"/>
        </w:rPr>
      </w:pPr>
      <w:r w:rsidRPr="00E3672F">
        <w:rPr>
          <w:rStyle w:val="FootnoteReference"/>
          <w:sz w:val="12"/>
          <w:szCs w:val="12"/>
        </w:rPr>
        <w:footnoteRef/>
      </w:r>
      <w:r w:rsidRPr="00E3672F">
        <w:rPr>
          <w:sz w:val="12"/>
          <w:szCs w:val="12"/>
        </w:rPr>
        <w:t xml:space="preserve"> </w:t>
      </w:r>
      <w:hyperlink r:id="rId34" w:history="1">
        <w:r w:rsidRPr="00E3672F">
          <w:rPr>
            <w:rStyle w:val="Hyperlink"/>
            <w:sz w:val="12"/>
            <w:szCs w:val="12"/>
          </w:rPr>
          <w:t>https://www.transparency.it/images/whistleblowing/2024_Letter_Transparency_International_Italy_to_European_Commission.pdf</w:t>
        </w:r>
      </w:hyperlink>
      <w:r w:rsidR="00280A2C" w:rsidRPr="00E3672F">
        <w:t>.</w:t>
      </w:r>
      <w:r w:rsidRPr="00E3672F">
        <w:rPr>
          <w:sz w:val="12"/>
          <w:szCs w:val="12"/>
        </w:rPr>
        <w:t xml:space="preserve"> </w:t>
      </w:r>
    </w:p>
  </w:footnote>
  <w:footnote w:id="39">
    <w:p w14:paraId="140E80B5" w14:textId="0801EBA0" w:rsidR="00495034" w:rsidRPr="00E3672F" w:rsidRDefault="00495034" w:rsidP="00495034">
      <w:pPr>
        <w:pStyle w:val="FootnoteText"/>
        <w:rPr>
          <w:sz w:val="12"/>
          <w:szCs w:val="12"/>
        </w:rPr>
      </w:pPr>
      <w:r w:rsidRPr="00E3672F">
        <w:rPr>
          <w:rStyle w:val="FootnoteReference"/>
          <w:sz w:val="12"/>
          <w:szCs w:val="12"/>
        </w:rPr>
        <w:footnoteRef/>
      </w:r>
      <w:r w:rsidRPr="00E3672F">
        <w:rPr>
          <w:sz w:val="12"/>
          <w:szCs w:val="12"/>
        </w:rPr>
        <w:t xml:space="preserve"> </w:t>
      </w:r>
      <w:hyperlink r:id="rId35" w:history="1">
        <w:r w:rsidRPr="00E3672F">
          <w:rPr>
            <w:rStyle w:val="Hyperlink"/>
            <w:sz w:val="12"/>
            <w:szCs w:val="12"/>
          </w:rPr>
          <w:t>https://op.europa.eu/en/publication-detail/-/publication/96bd2f63-3937-11ef-b441-01aa75ed71a1/language-en</w:t>
        </w:r>
      </w:hyperlink>
      <w:r w:rsidR="00280A2C" w:rsidRPr="00E3672F">
        <w:t>.</w:t>
      </w:r>
      <w:r w:rsidRPr="00E3672F">
        <w:rPr>
          <w:sz w:val="12"/>
          <w:szCs w:val="12"/>
        </w:rPr>
        <w:t xml:space="preserve"> </w:t>
      </w:r>
    </w:p>
  </w:footnote>
  <w:footnote w:id="40">
    <w:p w14:paraId="0B6C540F" w14:textId="42E6EF26" w:rsidR="00495034" w:rsidRPr="00E3672F" w:rsidRDefault="00495034" w:rsidP="00495034">
      <w:pPr>
        <w:pStyle w:val="FootnoteText"/>
        <w:rPr>
          <w:sz w:val="14"/>
          <w:szCs w:val="14"/>
        </w:rPr>
      </w:pPr>
      <w:r w:rsidRPr="00E3672F">
        <w:rPr>
          <w:rStyle w:val="FootnoteReference"/>
          <w:sz w:val="12"/>
          <w:szCs w:val="12"/>
        </w:rPr>
        <w:footnoteRef/>
      </w:r>
      <w:r w:rsidRPr="00E3672F">
        <w:rPr>
          <w:sz w:val="12"/>
          <w:szCs w:val="12"/>
        </w:rPr>
        <w:t xml:space="preserve"> </w:t>
      </w:r>
      <w:hyperlink r:id="rId36" w:history="1">
        <w:r w:rsidRPr="00E3672F">
          <w:rPr>
            <w:rStyle w:val="Hyperlink"/>
            <w:sz w:val="12"/>
            <w:szCs w:val="12"/>
          </w:rPr>
          <w:t>https://www.ice.it/en/whistleblowing</w:t>
        </w:r>
      </w:hyperlink>
      <w:r w:rsidR="00280A2C" w:rsidRPr="00E3672F">
        <w:t>.</w:t>
      </w:r>
      <w:r w:rsidRPr="00E3672F">
        <w:rPr>
          <w:sz w:val="14"/>
          <w:szCs w:val="14"/>
        </w:rPr>
        <w:t xml:space="preserve"> </w:t>
      </w:r>
    </w:p>
  </w:footnote>
  <w:footnote w:id="41">
    <w:p w14:paraId="55E16EAF" w14:textId="2A7E5BE9" w:rsidR="00495034" w:rsidRPr="00E3672F" w:rsidRDefault="00495034" w:rsidP="00495034">
      <w:pPr>
        <w:pStyle w:val="FootnoteText"/>
        <w:rPr>
          <w:sz w:val="12"/>
          <w:szCs w:val="12"/>
        </w:rPr>
      </w:pPr>
      <w:r w:rsidRPr="00E3672F">
        <w:rPr>
          <w:rStyle w:val="FootnoteReference"/>
          <w:sz w:val="12"/>
          <w:szCs w:val="12"/>
        </w:rPr>
        <w:footnoteRef/>
      </w:r>
      <w:r w:rsidRPr="00E3672F">
        <w:rPr>
          <w:sz w:val="12"/>
          <w:szCs w:val="12"/>
        </w:rPr>
        <w:t xml:space="preserve"> </w:t>
      </w:r>
      <w:hyperlink r:id="rId37" w:history="1">
        <w:r w:rsidRPr="00E3672F">
          <w:rPr>
            <w:rStyle w:val="Hyperlink"/>
            <w:sz w:val="12"/>
            <w:szCs w:val="12"/>
          </w:rPr>
          <w:t>https://www.enav.it/en/sites/public/en/Governance/Traduzione-di-FAQ--Whistleblowing.html</w:t>
        </w:r>
      </w:hyperlink>
      <w:r w:rsidR="00280A2C" w:rsidRPr="00E3672F">
        <w:t>.</w:t>
      </w:r>
      <w:r w:rsidRPr="00E3672F">
        <w:rPr>
          <w:sz w:val="12"/>
          <w:szCs w:val="12"/>
        </w:rPr>
        <w:t xml:space="preserve"> </w:t>
      </w:r>
    </w:p>
  </w:footnote>
  <w:footnote w:id="42">
    <w:p w14:paraId="446001FF" w14:textId="1CAC4669" w:rsidR="00495034" w:rsidRPr="00E3672F" w:rsidRDefault="00495034" w:rsidP="00495034">
      <w:pPr>
        <w:pStyle w:val="FootnoteText"/>
        <w:rPr>
          <w:sz w:val="12"/>
          <w:szCs w:val="12"/>
        </w:rPr>
      </w:pPr>
      <w:r w:rsidRPr="00E3672F">
        <w:rPr>
          <w:rStyle w:val="FootnoteReference"/>
          <w:sz w:val="12"/>
          <w:szCs w:val="12"/>
        </w:rPr>
        <w:footnoteRef/>
      </w:r>
      <w:r w:rsidRPr="00E3672F">
        <w:rPr>
          <w:sz w:val="12"/>
          <w:szCs w:val="12"/>
        </w:rPr>
        <w:t xml:space="preserve"> </w:t>
      </w:r>
      <w:hyperlink r:id="rId38" w:history="1">
        <w:r w:rsidRPr="00E3672F">
          <w:rPr>
            <w:rStyle w:val="Hyperlink"/>
            <w:sz w:val="12"/>
            <w:szCs w:val="12"/>
          </w:rPr>
          <w:t>https://www.slc.it/post/whistleblowing</w:t>
        </w:r>
      </w:hyperlink>
      <w:r w:rsidR="004E4DA0" w:rsidRPr="00E3672F">
        <w:rPr>
          <w:sz w:val="12"/>
          <w:szCs w:val="12"/>
        </w:rPr>
        <w:t>.</w:t>
      </w:r>
    </w:p>
  </w:footnote>
  <w:footnote w:id="43">
    <w:p w14:paraId="323965FC" w14:textId="1815DFA5" w:rsidR="00495034" w:rsidRPr="00E3672F" w:rsidRDefault="00495034" w:rsidP="00495034">
      <w:pPr>
        <w:pStyle w:val="FootnoteText"/>
        <w:rPr>
          <w:sz w:val="12"/>
          <w:szCs w:val="12"/>
        </w:rPr>
      </w:pPr>
      <w:r w:rsidRPr="00E3672F">
        <w:rPr>
          <w:rStyle w:val="FootnoteReference"/>
          <w:sz w:val="12"/>
          <w:szCs w:val="12"/>
        </w:rPr>
        <w:footnoteRef/>
      </w:r>
      <w:r w:rsidRPr="00E3672F">
        <w:rPr>
          <w:sz w:val="12"/>
          <w:szCs w:val="12"/>
        </w:rPr>
        <w:t xml:space="preserve"> </w:t>
      </w:r>
      <w:hyperlink r:id="rId39" w:history="1">
        <w:r w:rsidRPr="00E3672F">
          <w:rPr>
            <w:rStyle w:val="Hyperlink"/>
            <w:sz w:val="12"/>
            <w:szCs w:val="12"/>
          </w:rPr>
          <w:t>https://www.mimit.gov.it/it/amministrazione-trasparente/altri-contenuti/corruzione/whistleblowing</w:t>
        </w:r>
      </w:hyperlink>
      <w:r w:rsidR="004E4DA0" w:rsidRPr="00E3672F">
        <w:rPr>
          <w:sz w:val="12"/>
          <w:szCs w:val="12"/>
        </w:rPr>
        <w:t>.</w:t>
      </w:r>
    </w:p>
  </w:footnote>
  <w:footnote w:id="44">
    <w:p w14:paraId="5F0A3FEC" w14:textId="1A318AF2" w:rsidR="00495034" w:rsidRPr="00E3672F" w:rsidRDefault="00495034" w:rsidP="00495034">
      <w:pPr>
        <w:pStyle w:val="FootnoteText"/>
      </w:pPr>
      <w:r w:rsidRPr="00E3672F">
        <w:rPr>
          <w:rStyle w:val="FootnoteReference"/>
          <w:sz w:val="12"/>
          <w:szCs w:val="12"/>
        </w:rPr>
        <w:footnoteRef/>
      </w:r>
      <w:r w:rsidRPr="00E3672F">
        <w:rPr>
          <w:sz w:val="12"/>
          <w:szCs w:val="12"/>
        </w:rPr>
        <w:t xml:space="preserve"> </w:t>
      </w:r>
      <w:hyperlink r:id="rId40" w:history="1">
        <w:r w:rsidRPr="00E3672F">
          <w:rPr>
            <w:rStyle w:val="Hyperlink"/>
            <w:sz w:val="12"/>
            <w:szCs w:val="12"/>
          </w:rPr>
          <w:t>https://www.salute.gov.it/new/it/amministrazione-trasparente/whistleblowing/</w:t>
        </w:r>
      </w:hyperlink>
      <w:r w:rsidR="004E4DA0" w:rsidRPr="00E3672F">
        <w:t>.</w:t>
      </w:r>
    </w:p>
  </w:footnote>
  <w:footnote w:id="45">
    <w:p w14:paraId="27433699" w14:textId="79AC1CC2" w:rsidR="00495034" w:rsidRPr="00E3672F" w:rsidRDefault="00495034" w:rsidP="00495034">
      <w:pPr>
        <w:pStyle w:val="FootnoteText"/>
        <w:rPr>
          <w:sz w:val="12"/>
          <w:szCs w:val="12"/>
        </w:rPr>
      </w:pPr>
      <w:r w:rsidRPr="00E3672F">
        <w:rPr>
          <w:rStyle w:val="FootnoteReference"/>
          <w:sz w:val="12"/>
          <w:szCs w:val="12"/>
        </w:rPr>
        <w:footnoteRef/>
      </w:r>
      <w:r w:rsidRPr="00E3672F">
        <w:rPr>
          <w:sz w:val="12"/>
          <w:szCs w:val="12"/>
        </w:rPr>
        <w:t xml:space="preserve"> </w:t>
      </w:r>
      <w:hyperlink r:id="rId41" w:history="1">
        <w:r w:rsidRPr="00E3672F">
          <w:rPr>
            <w:rStyle w:val="Hyperlink"/>
            <w:sz w:val="12"/>
            <w:szCs w:val="12"/>
          </w:rPr>
          <w:t>https://www.enav.it/en/sites/public/en/Governance/Traduzione-di-FAQ--Whistleblowing.html</w:t>
        </w:r>
      </w:hyperlink>
      <w:r w:rsidR="00E57389" w:rsidRPr="00E3672F">
        <w:rPr>
          <w:sz w:val="12"/>
          <w:szCs w:val="12"/>
        </w:rPr>
        <w:t>.</w:t>
      </w:r>
    </w:p>
  </w:footnote>
  <w:footnote w:id="46">
    <w:p w14:paraId="58925AB5" w14:textId="5AD83D2E" w:rsidR="00495034" w:rsidRPr="00E3672F" w:rsidRDefault="00495034" w:rsidP="00495034">
      <w:pPr>
        <w:pStyle w:val="FootnoteText"/>
        <w:rPr>
          <w:sz w:val="12"/>
          <w:szCs w:val="12"/>
        </w:rPr>
      </w:pPr>
      <w:r w:rsidRPr="00E3672F">
        <w:rPr>
          <w:rStyle w:val="FootnoteReference"/>
          <w:sz w:val="12"/>
          <w:szCs w:val="12"/>
        </w:rPr>
        <w:footnoteRef/>
      </w:r>
      <w:r w:rsidRPr="00E3672F">
        <w:rPr>
          <w:sz w:val="12"/>
          <w:szCs w:val="12"/>
        </w:rPr>
        <w:t xml:space="preserve"> </w:t>
      </w:r>
      <w:hyperlink r:id="rId42" w:history="1">
        <w:r w:rsidRPr="00E3672F">
          <w:rPr>
            <w:rStyle w:val="Hyperlink"/>
            <w:sz w:val="12"/>
            <w:szCs w:val="12"/>
          </w:rPr>
          <w:t>https://www.lcalex.it/en/the-decree-implementing-the-directive-on-whistleblowing-published-in-the-official-gazette/</w:t>
        </w:r>
      </w:hyperlink>
      <w:r w:rsidR="00E57389" w:rsidRPr="00E3672F">
        <w:rPr>
          <w:sz w:val="12"/>
          <w:szCs w:val="12"/>
        </w:rPr>
        <w:t>.</w:t>
      </w:r>
    </w:p>
  </w:footnote>
  <w:footnote w:id="47">
    <w:p w14:paraId="01AEA467" w14:textId="34AFED8C" w:rsidR="00495034" w:rsidRPr="00E3672F" w:rsidRDefault="00495034" w:rsidP="00495034">
      <w:pPr>
        <w:pStyle w:val="FootnoteText"/>
        <w:rPr>
          <w:sz w:val="12"/>
          <w:szCs w:val="12"/>
        </w:rPr>
      </w:pPr>
      <w:r w:rsidRPr="00E3672F">
        <w:rPr>
          <w:rStyle w:val="FootnoteReference"/>
          <w:sz w:val="12"/>
          <w:szCs w:val="12"/>
        </w:rPr>
        <w:footnoteRef/>
      </w:r>
      <w:r w:rsidRPr="00E3672F">
        <w:rPr>
          <w:sz w:val="12"/>
          <w:szCs w:val="12"/>
        </w:rPr>
        <w:t xml:space="preserve"> </w:t>
      </w:r>
      <w:hyperlink r:id="rId43" w:history="1">
        <w:r w:rsidRPr="00E3672F">
          <w:rPr>
            <w:rStyle w:val="Hyperlink"/>
            <w:sz w:val="12"/>
            <w:szCs w:val="12"/>
          </w:rPr>
          <w:t>https://www.mim.gov.it/web/basilicata/whistleblowing</w:t>
        </w:r>
      </w:hyperlink>
      <w:r w:rsidR="00B93B34" w:rsidRPr="00E3672F">
        <w:rPr>
          <w:sz w:val="12"/>
          <w:szCs w:val="12"/>
        </w:rPr>
        <w:t>.</w:t>
      </w:r>
    </w:p>
  </w:footnote>
  <w:footnote w:id="48">
    <w:p w14:paraId="23E5C44F" w14:textId="08B01227" w:rsidR="00495034" w:rsidRPr="00E3672F" w:rsidRDefault="00495034" w:rsidP="00495034">
      <w:pPr>
        <w:pStyle w:val="FootnoteText"/>
        <w:rPr>
          <w:sz w:val="12"/>
          <w:szCs w:val="12"/>
        </w:rPr>
      </w:pPr>
      <w:r w:rsidRPr="00E3672F">
        <w:rPr>
          <w:rStyle w:val="FootnoteReference"/>
          <w:sz w:val="12"/>
          <w:szCs w:val="12"/>
        </w:rPr>
        <w:footnoteRef/>
      </w:r>
      <w:r w:rsidRPr="00E3672F">
        <w:rPr>
          <w:sz w:val="12"/>
          <w:szCs w:val="12"/>
        </w:rPr>
        <w:t xml:space="preserve"> </w:t>
      </w:r>
      <w:hyperlink r:id="rId44" w:history="1">
        <w:r w:rsidRPr="00E3672F">
          <w:rPr>
            <w:rStyle w:val="Hyperlink"/>
            <w:sz w:val="12"/>
            <w:szCs w:val="12"/>
          </w:rPr>
          <w:t>https://presidenza.governo.it/AmministrazioneTrasparente/AltriContenuti/Whistleblowing/index.html</w:t>
        </w:r>
      </w:hyperlink>
      <w:r w:rsidR="00B93B34" w:rsidRPr="00E3672F">
        <w:t>.</w:t>
      </w:r>
      <w:r w:rsidRPr="00E3672F">
        <w:rPr>
          <w:sz w:val="12"/>
          <w:szCs w:val="12"/>
        </w:rPr>
        <w:t xml:space="preserve"> </w:t>
      </w:r>
    </w:p>
  </w:footnote>
  <w:footnote w:id="49">
    <w:p w14:paraId="367BD2BA" w14:textId="3E41613A" w:rsidR="00BD5E1F" w:rsidRPr="00E3672F" w:rsidRDefault="007E11B8" w:rsidP="00BD5E1F">
      <w:pPr>
        <w:pStyle w:val="FootnoteText"/>
      </w:pPr>
      <w:hyperlink r:id="rId45" w:history="1">
        <w:r w:rsidR="00BD5E1F" w:rsidRPr="00E3672F">
          <w:rPr>
            <w:rStyle w:val="Hyperlink"/>
            <w:sz w:val="12"/>
            <w:szCs w:val="12"/>
            <w:vertAlign w:val="superscript"/>
          </w:rPr>
          <w:footnoteRef/>
        </w:r>
        <w:r w:rsidR="00BD5E1F" w:rsidRPr="00E3672F">
          <w:rPr>
            <w:rStyle w:val="Hyperlink"/>
            <w:sz w:val="12"/>
            <w:szCs w:val="12"/>
          </w:rPr>
          <w:t xml:space="preserve"> https://ellex.legal/eu-whistleblowing-directive-latvia/</w:t>
        </w:r>
      </w:hyperlink>
      <w:r w:rsidR="00B93B34" w:rsidRPr="00E3672F">
        <w:rPr>
          <w:sz w:val="12"/>
          <w:szCs w:val="12"/>
        </w:rPr>
        <w:t>.</w:t>
      </w:r>
    </w:p>
  </w:footnote>
  <w:footnote w:id="50">
    <w:p w14:paraId="474FF59F" w14:textId="3060AD28" w:rsidR="00BD5E1F" w:rsidRPr="00E3672F" w:rsidRDefault="00BD5E1F" w:rsidP="00BD5E1F">
      <w:pPr>
        <w:pStyle w:val="FootnoteText"/>
        <w:rPr>
          <w:sz w:val="12"/>
          <w:szCs w:val="12"/>
        </w:rPr>
      </w:pPr>
      <w:r w:rsidRPr="00E3672F">
        <w:rPr>
          <w:rStyle w:val="FootnoteReference"/>
          <w:sz w:val="12"/>
          <w:szCs w:val="12"/>
        </w:rPr>
        <w:footnoteRef/>
      </w:r>
      <w:r w:rsidRPr="00E3672F">
        <w:rPr>
          <w:sz w:val="12"/>
          <w:szCs w:val="12"/>
        </w:rPr>
        <w:t xml:space="preserve"> </w:t>
      </w:r>
      <w:hyperlink r:id="rId46" w:history="1">
        <w:r w:rsidRPr="00E3672F">
          <w:rPr>
            <w:rStyle w:val="Hyperlink"/>
            <w:sz w:val="12"/>
            <w:szCs w:val="12"/>
          </w:rPr>
          <w:t>https://delna.lv/wp-content/uploads/2025/04/Final_English-Whistleblowing-Law-Evaluation-Report.pdf</w:t>
        </w:r>
      </w:hyperlink>
      <w:r w:rsidRPr="00E3672F">
        <w:rPr>
          <w:sz w:val="12"/>
          <w:szCs w:val="12"/>
        </w:rPr>
        <w:t>, p. 16</w:t>
      </w:r>
      <w:r w:rsidR="00377539" w:rsidRPr="00E3672F">
        <w:rPr>
          <w:sz w:val="12"/>
          <w:szCs w:val="12"/>
        </w:rPr>
        <w:t>.</w:t>
      </w:r>
    </w:p>
  </w:footnote>
  <w:footnote w:id="51">
    <w:p w14:paraId="618EBC9C" w14:textId="1D487FF8" w:rsidR="00BD5E1F" w:rsidRPr="00E3672F" w:rsidRDefault="00BD5E1F" w:rsidP="00BD5E1F">
      <w:pPr>
        <w:pStyle w:val="FootnoteText"/>
        <w:rPr>
          <w:sz w:val="12"/>
          <w:szCs w:val="12"/>
        </w:rPr>
      </w:pPr>
      <w:r w:rsidRPr="00E3672F">
        <w:rPr>
          <w:rStyle w:val="FootnoteReference"/>
          <w:sz w:val="12"/>
          <w:szCs w:val="12"/>
        </w:rPr>
        <w:footnoteRef/>
      </w:r>
      <w:r w:rsidRPr="00E3672F">
        <w:rPr>
          <w:sz w:val="12"/>
          <w:szCs w:val="12"/>
        </w:rPr>
        <w:t xml:space="preserve"> </w:t>
      </w:r>
      <w:hyperlink r:id="rId47" w:history="1">
        <w:r w:rsidRPr="00E3672F">
          <w:rPr>
            <w:rStyle w:val="Hyperlink"/>
            <w:sz w:val="12"/>
            <w:szCs w:val="12"/>
          </w:rPr>
          <w:t>https://ellex.legal/eu-whistleblowing-directive-latvia/</w:t>
        </w:r>
      </w:hyperlink>
      <w:r w:rsidR="001143B8" w:rsidRPr="00E3672F">
        <w:t>.</w:t>
      </w:r>
    </w:p>
  </w:footnote>
  <w:footnote w:id="52">
    <w:p w14:paraId="3BE6A36F" w14:textId="5C38D38C" w:rsidR="00BD5E1F" w:rsidRPr="00E3672F" w:rsidRDefault="00BD5E1F" w:rsidP="00BD5E1F">
      <w:pPr>
        <w:pStyle w:val="FootnoteText"/>
        <w:rPr>
          <w:sz w:val="12"/>
          <w:szCs w:val="12"/>
        </w:rPr>
      </w:pPr>
      <w:r w:rsidRPr="00E3672F">
        <w:rPr>
          <w:rStyle w:val="FootnoteReference"/>
          <w:sz w:val="12"/>
          <w:szCs w:val="12"/>
        </w:rPr>
        <w:footnoteRef/>
      </w:r>
      <w:r w:rsidRPr="00E3672F">
        <w:rPr>
          <w:sz w:val="12"/>
          <w:szCs w:val="12"/>
        </w:rPr>
        <w:t xml:space="preserve"> </w:t>
      </w:r>
      <w:hyperlink r:id="rId48" w:history="1">
        <w:r w:rsidRPr="00E3672F">
          <w:rPr>
            <w:rStyle w:val="Hyperlink"/>
            <w:sz w:val="12"/>
            <w:szCs w:val="12"/>
          </w:rPr>
          <w:t>https://delna.lv/wp-content/uploads/2025/04/Final_English-Whistleblowing-Law-Evaluation-Report.pdf</w:t>
        </w:r>
      </w:hyperlink>
      <w:r w:rsidRPr="00E3672F">
        <w:rPr>
          <w:sz w:val="12"/>
          <w:szCs w:val="12"/>
        </w:rPr>
        <w:t>, p. 42</w:t>
      </w:r>
      <w:r w:rsidR="00026652" w:rsidRPr="00E3672F">
        <w:rPr>
          <w:sz w:val="12"/>
          <w:szCs w:val="12"/>
        </w:rPr>
        <w:t>-</w:t>
      </w:r>
      <w:r w:rsidRPr="00E3672F">
        <w:rPr>
          <w:sz w:val="12"/>
          <w:szCs w:val="12"/>
        </w:rPr>
        <w:t>45</w:t>
      </w:r>
      <w:r w:rsidR="001143B8" w:rsidRPr="00E3672F">
        <w:rPr>
          <w:sz w:val="12"/>
          <w:szCs w:val="12"/>
        </w:rPr>
        <w:t>.</w:t>
      </w:r>
    </w:p>
  </w:footnote>
  <w:footnote w:id="53">
    <w:p w14:paraId="1A18AF58" w14:textId="44FEF79C" w:rsidR="00BD5E1F" w:rsidRPr="00E3672F" w:rsidRDefault="00BD5E1F" w:rsidP="00BD5E1F">
      <w:pPr>
        <w:pStyle w:val="FootnoteText"/>
        <w:rPr>
          <w:b/>
          <w:bCs/>
          <w:sz w:val="12"/>
          <w:szCs w:val="12"/>
        </w:rPr>
      </w:pPr>
      <w:r w:rsidRPr="00E3672F">
        <w:rPr>
          <w:rStyle w:val="FootnoteReference"/>
          <w:sz w:val="12"/>
          <w:szCs w:val="12"/>
        </w:rPr>
        <w:footnoteRef/>
      </w:r>
      <w:r w:rsidRPr="00E3672F">
        <w:rPr>
          <w:sz w:val="12"/>
          <w:szCs w:val="12"/>
        </w:rPr>
        <w:t xml:space="preserve"> </w:t>
      </w:r>
      <w:hyperlink r:id="rId49" w:history="1">
        <w:r w:rsidRPr="00E3672F">
          <w:rPr>
            <w:rStyle w:val="Hyperlink"/>
            <w:sz w:val="12"/>
            <w:szCs w:val="12"/>
          </w:rPr>
          <w:t>https://ellex.legal/eu-whistleblowing-directive-latvia/</w:t>
        </w:r>
      </w:hyperlink>
      <w:r w:rsidR="00CD4574" w:rsidRPr="00E3672F">
        <w:rPr>
          <w:sz w:val="12"/>
          <w:szCs w:val="12"/>
        </w:rPr>
        <w:t>.</w:t>
      </w:r>
    </w:p>
  </w:footnote>
  <w:footnote w:id="54">
    <w:p w14:paraId="400B8A87" w14:textId="6BA1E171" w:rsidR="00BD5E1F" w:rsidRPr="00E3672F" w:rsidRDefault="00BD5E1F" w:rsidP="00BD5E1F">
      <w:pPr>
        <w:pStyle w:val="FootnoteText"/>
        <w:rPr>
          <w:sz w:val="12"/>
          <w:szCs w:val="12"/>
        </w:rPr>
      </w:pPr>
      <w:r w:rsidRPr="00E3672F">
        <w:rPr>
          <w:rStyle w:val="FootnoteReference"/>
          <w:sz w:val="12"/>
          <w:szCs w:val="12"/>
        </w:rPr>
        <w:footnoteRef/>
      </w:r>
      <w:r w:rsidRPr="00E3672F">
        <w:rPr>
          <w:sz w:val="12"/>
          <w:szCs w:val="12"/>
        </w:rPr>
        <w:t xml:space="preserve"> </w:t>
      </w:r>
      <w:hyperlink r:id="rId50" w:history="1">
        <w:r w:rsidRPr="00E3672F">
          <w:rPr>
            <w:rStyle w:val="Hyperlink"/>
            <w:sz w:val="12"/>
            <w:szCs w:val="12"/>
          </w:rPr>
          <w:t>https://delna.lv/wp-content/uploads/2025/04/Final_English-Whistleblowing-Law-Evaluation-Report.pdf</w:t>
        </w:r>
      </w:hyperlink>
      <w:r w:rsidRPr="00E3672F">
        <w:rPr>
          <w:sz w:val="12"/>
          <w:szCs w:val="12"/>
        </w:rPr>
        <w:t>, p. 47</w:t>
      </w:r>
      <w:r w:rsidR="00CD4574" w:rsidRPr="00E3672F">
        <w:rPr>
          <w:sz w:val="12"/>
          <w:szCs w:val="12"/>
        </w:rPr>
        <w:t>.</w:t>
      </w:r>
    </w:p>
    <w:p w14:paraId="15CE226E" w14:textId="4792F993" w:rsidR="00BD5E1F" w:rsidRPr="00E3672F" w:rsidRDefault="007E11B8" w:rsidP="00BD5E1F">
      <w:pPr>
        <w:pStyle w:val="FootnoteText"/>
      </w:pPr>
      <w:hyperlink r:id="rId51" w:history="1">
        <w:r w:rsidR="00BD5E1F" w:rsidRPr="00E3672F">
          <w:rPr>
            <w:rStyle w:val="Hyperlink"/>
            <w:sz w:val="12"/>
            <w:szCs w:val="12"/>
          </w:rPr>
          <w:t>EU Whistleblowing Directive: Latvia</w:t>
        </w:r>
        <w:r w:rsidR="00026652" w:rsidRPr="00E3672F">
          <w:rPr>
            <w:rStyle w:val="Hyperlink"/>
            <w:sz w:val="12"/>
            <w:szCs w:val="12"/>
          </w:rPr>
          <w:t xml:space="preserve"> – </w:t>
        </w:r>
        <w:r w:rsidR="00BD5E1F" w:rsidRPr="00E3672F">
          <w:rPr>
            <w:rStyle w:val="Hyperlink"/>
            <w:sz w:val="12"/>
            <w:szCs w:val="12"/>
          </w:rPr>
          <w:t>Ellex</w:t>
        </w:r>
      </w:hyperlink>
      <w:r w:rsidR="00BD5E1F" w:rsidRPr="00E3672F">
        <w:rPr>
          <w:sz w:val="12"/>
          <w:szCs w:val="12"/>
        </w:rPr>
        <w:t xml:space="preserve">,, </w:t>
      </w:r>
      <w:r w:rsidR="00B10A29" w:rsidRPr="00E3672F">
        <w:rPr>
          <w:sz w:val="12"/>
          <w:szCs w:val="12"/>
        </w:rPr>
        <w:t>Paragraph</w:t>
      </w:r>
      <w:r w:rsidR="00BD5E1F" w:rsidRPr="00E3672F">
        <w:rPr>
          <w:sz w:val="12"/>
          <w:szCs w:val="12"/>
        </w:rPr>
        <w:t xml:space="preserve"> 12</w:t>
      </w:r>
      <w:r w:rsidR="00CD4574" w:rsidRPr="00E3672F">
        <w:rPr>
          <w:sz w:val="12"/>
          <w:szCs w:val="12"/>
        </w:rPr>
        <w:t>.</w:t>
      </w:r>
    </w:p>
  </w:footnote>
  <w:footnote w:id="55">
    <w:p w14:paraId="200B9115" w14:textId="06E3E5B1" w:rsidR="00BD5E1F" w:rsidRPr="00E3672F" w:rsidRDefault="00BD5E1F" w:rsidP="00BD5E1F">
      <w:pPr>
        <w:pStyle w:val="FootnoteText"/>
        <w:rPr>
          <w:sz w:val="12"/>
          <w:szCs w:val="12"/>
        </w:rPr>
      </w:pPr>
      <w:r w:rsidRPr="00E3672F">
        <w:rPr>
          <w:rStyle w:val="FootnoteReference"/>
          <w:sz w:val="12"/>
          <w:szCs w:val="12"/>
        </w:rPr>
        <w:footnoteRef/>
      </w:r>
      <w:r w:rsidRPr="00E3672F">
        <w:rPr>
          <w:sz w:val="12"/>
          <w:szCs w:val="12"/>
        </w:rPr>
        <w:t xml:space="preserve"> Ibid., p. 54; </w:t>
      </w:r>
      <w:hyperlink r:id="rId52" w:history="1">
        <w:r w:rsidRPr="00E3672F">
          <w:rPr>
            <w:rStyle w:val="Hyperlink"/>
            <w:sz w:val="12"/>
            <w:szCs w:val="12"/>
          </w:rPr>
          <w:t>https://likumi.lv/ta/en/en/id/329680-whistleblowing-law</w:t>
        </w:r>
      </w:hyperlink>
      <w:r w:rsidRPr="00E3672F">
        <w:rPr>
          <w:sz w:val="12"/>
          <w:szCs w:val="12"/>
        </w:rPr>
        <w:t>, Article 13(3)</w:t>
      </w:r>
      <w:r w:rsidR="00CD4574" w:rsidRPr="00E3672F">
        <w:rPr>
          <w:sz w:val="12"/>
          <w:szCs w:val="12"/>
        </w:rPr>
        <w:t>.</w:t>
      </w:r>
    </w:p>
  </w:footnote>
  <w:footnote w:id="56">
    <w:p w14:paraId="76C9922A" w14:textId="4C649D74" w:rsidR="00BD5E1F" w:rsidRPr="00E3672F" w:rsidRDefault="00BD5E1F" w:rsidP="00BD5E1F">
      <w:pPr>
        <w:pStyle w:val="FootnoteText"/>
        <w:rPr>
          <w:sz w:val="12"/>
          <w:szCs w:val="12"/>
        </w:rPr>
      </w:pPr>
      <w:r w:rsidRPr="00E3672F">
        <w:rPr>
          <w:rStyle w:val="FootnoteReference"/>
          <w:sz w:val="12"/>
          <w:szCs w:val="12"/>
        </w:rPr>
        <w:footnoteRef/>
      </w:r>
      <w:r w:rsidRPr="00E3672F">
        <w:rPr>
          <w:sz w:val="12"/>
          <w:szCs w:val="12"/>
        </w:rPr>
        <w:t xml:space="preserve"> </w:t>
      </w:r>
      <w:hyperlink r:id="rId53" w:history="1">
        <w:r w:rsidRPr="00E3672F">
          <w:rPr>
            <w:rStyle w:val="Hyperlink"/>
            <w:sz w:val="12"/>
            <w:szCs w:val="12"/>
          </w:rPr>
          <w:t>https://likumi.lv/ta/en/en/id/329680-whistleblowing-law</w:t>
        </w:r>
      </w:hyperlink>
      <w:r w:rsidRPr="00E3672F">
        <w:rPr>
          <w:sz w:val="12"/>
          <w:szCs w:val="12"/>
        </w:rPr>
        <w:t>, Article 18</w:t>
      </w:r>
      <w:r w:rsidR="00CD4574" w:rsidRPr="00E3672F">
        <w:rPr>
          <w:sz w:val="12"/>
          <w:szCs w:val="12"/>
        </w:rPr>
        <w:t>.</w:t>
      </w:r>
    </w:p>
  </w:footnote>
  <w:footnote w:id="57">
    <w:p w14:paraId="2DF956A9" w14:textId="6C7D6154" w:rsidR="00BD5E1F" w:rsidRPr="00E3672F" w:rsidRDefault="00BD5E1F" w:rsidP="00BD5E1F">
      <w:pPr>
        <w:pStyle w:val="FootnoteText"/>
        <w:rPr>
          <w:sz w:val="12"/>
          <w:szCs w:val="12"/>
        </w:rPr>
      </w:pPr>
      <w:r w:rsidRPr="00E3672F">
        <w:rPr>
          <w:rStyle w:val="FootnoteReference"/>
          <w:sz w:val="12"/>
          <w:szCs w:val="12"/>
        </w:rPr>
        <w:footnoteRef/>
      </w:r>
      <w:r w:rsidRPr="00E3672F">
        <w:rPr>
          <w:sz w:val="12"/>
          <w:szCs w:val="12"/>
        </w:rPr>
        <w:t xml:space="preserve"> </w:t>
      </w:r>
      <w:hyperlink r:id="rId54" w:history="1">
        <w:r w:rsidRPr="00E3672F">
          <w:rPr>
            <w:rStyle w:val="Hyperlink"/>
            <w:sz w:val="12"/>
            <w:szCs w:val="12"/>
          </w:rPr>
          <w:t>EU Whistleblowing Directive: Latvia</w:t>
        </w:r>
        <w:r w:rsidR="00026652" w:rsidRPr="00E3672F">
          <w:rPr>
            <w:rStyle w:val="Hyperlink"/>
            <w:sz w:val="12"/>
            <w:szCs w:val="12"/>
          </w:rPr>
          <w:t xml:space="preserve"> – </w:t>
        </w:r>
        <w:r w:rsidRPr="00E3672F">
          <w:rPr>
            <w:rStyle w:val="Hyperlink"/>
            <w:sz w:val="12"/>
            <w:szCs w:val="12"/>
          </w:rPr>
          <w:t>Ellex</w:t>
        </w:r>
      </w:hyperlink>
      <w:r w:rsidRPr="00E3672F">
        <w:rPr>
          <w:sz w:val="12"/>
          <w:szCs w:val="12"/>
        </w:rPr>
        <w:t>, Paragraph 16</w:t>
      </w:r>
      <w:r w:rsidR="00DC23E0" w:rsidRPr="00E3672F">
        <w:rPr>
          <w:sz w:val="12"/>
          <w:szCs w:val="12"/>
        </w:rPr>
        <w:t>.</w:t>
      </w:r>
    </w:p>
  </w:footnote>
  <w:footnote w:id="58">
    <w:p w14:paraId="517E5F8B" w14:textId="3624A4B8" w:rsidR="00BD5E1F" w:rsidRPr="00E3672F" w:rsidRDefault="00BD5E1F" w:rsidP="00BD5E1F">
      <w:pPr>
        <w:pStyle w:val="FootnoteText"/>
        <w:rPr>
          <w:sz w:val="12"/>
          <w:szCs w:val="12"/>
        </w:rPr>
      </w:pPr>
      <w:r w:rsidRPr="00E3672F">
        <w:rPr>
          <w:rStyle w:val="FootnoteReference"/>
          <w:sz w:val="12"/>
          <w:szCs w:val="12"/>
        </w:rPr>
        <w:footnoteRef/>
      </w:r>
      <w:r w:rsidRPr="00E3672F">
        <w:rPr>
          <w:sz w:val="12"/>
          <w:szCs w:val="12"/>
        </w:rPr>
        <w:t xml:space="preserve"> </w:t>
      </w:r>
      <w:r w:rsidR="005A2BBA">
        <w:rPr>
          <w:sz w:val="12"/>
          <w:szCs w:val="12"/>
        </w:rPr>
        <w:t>‘</w:t>
      </w:r>
      <w:hyperlink r:id="rId55" w:history="1">
        <w:r w:rsidR="00002BFE" w:rsidRPr="00E3672F">
          <w:rPr>
            <w:rStyle w:val="Hyperlink"/>
            <w:sz w:val="12"/>
            <w:szCs w:val="12"/>
          </w:rPr>
          <w:t>The Employee is not a Trifle</w:t>
        </w:r>
        <w:r w:rsidR="00430258" w:rsidRPr="00E3672F">
          <w:rPr>
            <w:rStyle w:val="Hyperlink"/>
            <w:sz w:val="12"/>
            <w:szCs w:val="12"/>
          </w:rPr>
          <w:t>’</w:t>
        </w:r>
        <w:r w:rsidR="00002BFE" w:rsidRPr="00E3672F">
          <w:rPr>
            <w:rStyle w:val="Hyperlink"/>
            <w:sz w:val="12"/>
            <w:szCs w:val="12"/>
          </w:rPr>
          <w:t xml:space="preserve"> campaign will raise citizens</w:t>
        </w:r>
        <w:r w:rsidR="00413731" w:rsidRPr="00E3672F">
          <w:rPr>
            <w:rStyle w:val="Hyperlink"/>
            <w:sz w:val="12"/>
            <w:szCs w:val="12"/>
          </w:rPr>
          <w:t>’</w:t>
        </w:r>
        <w:r w:rsidR="00002BFE" w:rsidRPr="00E3672F">
          <w:rPr>
            <w:rStyle w:val="Hyperlink"/>
            <w:sz w:val="12"/>
            <w:szCs w:val="12"/>
          </w:rPr>
          <w:t xml:space="preserve"> awareness of whistleblowing </w:t>
        </w:r>
        <w:r w:rsidR="005A2BBA">
          <w:rPr>
            <w:rStyle w:val="Hyperlink"/>
            <w:sz w:val="12"/>
            <w:szCs w:val="12"/>
          </w:rPr>
          <w:t>in the</w:t>
        </w:r>
        <w:r w:rsidR="005A2BBA" w:rsidRPr="00E3672F">
          <w:rPr>
            <w:rStyle w:val="Hyperlink"/>
            <w:sz w:val="12"/>
            <w:szCs w:val="12"/>
          </w:rPr>
          <w:t xml:space="preserve"> </w:t>
        </w:r>
        <w:r w:rsidR="00002BFE" w:rsidRPr="00E3672F">
          <w:rPr>
            <w:rStyle w:val="Hyperlink"/>
            <w:sz w:val="12"/>
            <w:szCs w:val="12"/>
          </w:rPr>
          <w:t>workplace | Ministru kabinets</w:t>
        </w:r>
      </w:hyperlink>
      <w:r w:rsidR="00DC23E0" w:rsidRPr="00E3672F">
        <w:rPr>
          <w:rStyle w:val="Hyperlink"/>
          <w:sz w:val="12"/>
          <w:szCs w:val="12"/>
        </w:rPr>
        <w:t>.</w:t>
      </w:r>
    </w:p>
  </w:footnote>
  <w:footnote w:id="59">
    <w:p w14:paraId="782442A4" w14:textId="280CDA89" w:rsidR="00BD5E1F" w:rsidRPr="00E3672F" w:rsidRDefault="00BD5E1F" w:rsidP="00BD5E1F">
      <w:pPr>
        <w:pStyle w:val="FootnoteText"/>
        <w:rPr>
          <w:sz w:val="12"/>
          <w:szCs w:val="12"/>
        </w:rPr>
      </w:pPr>
      <w:r w:rsidRPr="00E3672F">
        <w:rPr>
          <w:rStyle w:val="FootnoteReference"/>
          <w:sz w:val="12"/>
          <w:szCs w:val="12"/>
        </w:rPr>
        <w:footnoteRef/>
      </w:r>
      <w:r w:rsidRPr="00E3672F">
        <w:rPr>
          <w:sz w:val="12"/>
          <w:szCs w:val="12"/>
        </w:rPr>
        <w:t xml:space="preserve"> </w:t>
      </w:r>
      <w:hyperlink r:id="rId56" w:history="1">
        <w:r w:rsidR="00002BFE" w:rsidRPr="00E3672F">
          <w:rPr>
            <w:rStyle w:val="Hyperlink"/>
            <w:sz w:val="12"/>
            <w:szCs w:val="12"/>
          </w:rPr>
          <w:t>Protecting Whistleblowers in the Fight Against Corruption</w:t>
        </w:r>
        <w:r w:rsidR="00026652" w:rsidRPr="00E3672F">
          <w:rPr>
            <w:rStyle w:val="Hyperlink"/>
            <w:sz w:val="12"/>
            <w:szCs w:val="12"/>
          </w:rPr>
          <w:t xml:space="preserve"> – </w:t>
        </w:r>
        <w:r w:rsidR="00002BFE" w:rsidRPr="00E3672F">
          <w:rPr>
            <w:rStyle w:val="Hyperlink"/>
            <w:sz w:val="12"/>
            <w:szCs w:val="12"/>
          </w:rPr>
          <w:t>OpenStories</w:t>
        </w:r>
      </w:hyperlink>
      <w:r w:rsidR="00DC23E0" w:rsidRPr="00E3672F">
        <w:rPr>
          <w:rStyle w:val="Hyperlink"/>
          <w:sz w:val="12"/>
          <w:szCs w:val="12"/>
        </w:rPr>
        <w:t>.</w:t>
      </w:r>
    </w:p>
  </w:footnote>
  <w:footnote w:id="60">
    <w:p w14:paraId="33D12283" w14:textId="65C175BA" w:rsidR="007177FC" w:rsidRPr="009B193B" w:rsidRDefault="007177FC">
      <w:pPr>
        <w:pStyle w:val="FootnoteText"/>
        <w:rPr>
          <w:sz w:val="12"/>
          <w:szCs w:val="12"/>
        </w:rPr>
      </w:pPr>
      <w:r w:rsidRPr="009B193B">
        <w:rPr>
          <w:rStyle w:val="FootnoteReference"/>
          <w:sz w:val="16"/>
          <w:szCs w:val="16"/>
        </w:rPr>
        <w:footnoteRef/>
      </w:r>
      <w:r w:rsidRPr="00E3672F">
        <w:rPr>
          <w:szCs w:val="16"/>
        </w:rPr>
        <w:t xml:space="preserve"> </w:t>
      </w:r>
      <w:r w:rsidRPr="009B193B">
        <w:rPr>
          <w:sz w:val="12"/>
          <w:szCs w:val="12"/>
        </w:rPr>
        <w:t xml:space="preserve">EU Whistleblowing Monitor, </w:t>
      </w:r>
      <w:r w:rsidRPr="009B193B">
        <w:rPr>
          <w:i/>
          <w:iCs/>
          <w:sz w:val="12"/>
          <w:szCs w:val="12"/>
        </w:rPr>
        <w:t>New report highlights challenges in implementing whistleblower protection in Romania</w:t>
      </w:r>
      <w:r w:rsidRPr="009B193B">
        <w:rPr>
          <w:sz w:val="12"/>
          <w:szCs w:val="12"/>
        </w:rPr>
        <w:t xml:space="preserve">, </w:t>
      </w:r>
      <w:r w:rsidR="00931F01" w:rsidRPr="009B193B">
        <w:rPr>
          <w:sz w:val="12"/>
          <w:szCs w:val="12"/>
        </w:rPr>
        <w:t>31</w:t>
      </w:r>
      <w:r w:rsidR="00931F01" w:rsidRPr="00E3672F">
        <w:rPr>
          <w:sz w:val="12"/>
          <w:szCs w:val="12"/>
        </w:rPr>
        <w:t> </w:t>
      </w:r>
      <w:r w:rsidRPr="009B193B">
        <w:rPr>
          <w:sz w:val="12"/>
          <w:szCs w:val="12"/>
        </w:rPr>
        <w:t xml:space="preserve">October 2023, </w:t>
      </w:r>
      <w:hyperlink r:id="rId57" w:history="1">
        <w:r w:rsidRPr="009B193B">
          <w:rPr>
            <w:rStyle w:val="Hyperlink"/>
            <w:sz w:val="12"/>
            <w:szCs w:val="12"/>
          </w:rPr>
          <w:t>https://whistleblowingmonitor.eu/new-report-highlights-challenges-in-implementing-whistleblower-protection-in-romania</w:t>
        </w:r>
      </w:hyperlink>
      <w:r w:rsidRPr="009B193B">
        <w:rPr>
          <w:sz w:val="12"/>
          <w:szCs w:val="12"/>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755E76" w14:textId="1D245227" w:rsidR="00C21CC2" w:rsidRPr="00E3672F" w:rsidRDefault="00C21CC2" w:rsidP="00C21CC2">
    <w:pPr>
      <w:pStyle w:val="Header"/>
    </w:pPr>
    <w:r w:rsidRPr="00E3672F">
      <w:br w:type="page"/>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56283"/>
    <w:multiLevelType w:val="multilevel"/>
    <w:tmpl w:val="211CA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2D04EC"/>
    <w:multiLevelType w:val="hybridMultilevel"/>
    <w:tmpl w:val="578E60B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 w15:restartNumberingAfterBreak="0">
    <w:nsid w:val="051A56E6"/>
    <w:multiLevelType w:val="hybridMultilevel"/>
    <w:tmpl w:val="EDD0C48C"/>
    <w:lvl w:ilvl="0" w:tplc="E4C614EE">
      <w:start w:val="1"/>
      <w:numFmt w:val="bullet"/>
      <w:lvlText w:val=""/>
      <w:lvlJc w:val="left"/>
      <w:pPr>
        <w:ind w:left="720" w:hanging="360"/>
      </w:pPr>
      <w:rPr>
        <w:rFonts w:ascii="Symbol" w:hAnsi="Symbol" w:hint="default"/>
        <w:color w:val="000000"/>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A360AA"/>
    <w:multiLevelType w:val="hybridMultilevel"/>
    <w:tmpl w:val="4FC24100"/>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 w15:restartNumberingAfterBreak="0">
    <w:nsid w:val="067C7012"/>
    <w:multiLevelType w:val="hybridMultilevel"/>
    <w:tmpl w:val="5210C5F8"/>
    <w:lvl w:ilvl="0" w:tplc="10000003">
      <w:start w:val="1"/>
      <w:numFmt w:val="bullet"/>
      <w:lvlText w:val="o"/>
      <w:lvlJc w:val="left"/>
      <w:pPr>
        <w:ind w:left="1080" w:hanging="360"/>
      </w:pPr>
      <w:rPr>
        <w:rFonts w:ascii="Courier New" w:hAnsi="Courier New" w:cs="Courier New"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0B9635D8"/>
    <w:multiLevelType w:val="multilevel"/>
    <w:tmpl w:val="B71E6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F26BF6"/>
    <w:multiLevelType w:val="hybridMultilevel"/>
    <w:tmpl w:val="63D686EA"/>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7" w15:restartNumberingAfterBreak="0">
    <w:nsid w:val="0D6E5D7E"/>
    <w:multiLevelType w:val="hybridMultilevel"/>
    <w:tmpl w:val="DD2EA678"/>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8" w15:restartNumberingAfterBreak="0">
    <w:nsid w:val="0DFE6E46"/>
    <w:multiLevelType w:val="multilevel"/>
    <w:tmpl w:val="68CE1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933469"/>
    <w:multiLevelType w:val="hybridMultilevel"/>
    <w:tmpl w:val="C7EC2CC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0" w15:restartNumberingAfterBreak="0">
    <w:nsid w:val="0FA603B7"/>
    <w:multiLevelType w:val="hybridMultilevel"/>
    <w:tmpl w:val="8B06F0F0"/>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1" w15:restartNumberingAfterBreak="0">
    <w:nsid w:val="0FB539B0"/>
    <w:multiLevelType w:val="hybridMultilevel"/>
    <w:tmpl w:val="AA1C6AE6"/>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2" w15:restartNumberingAfterBreak="0">
    <w:nsid w:val="117724E4"/>
    <w:multiLevelType w:val="multilevel"/>
    <w:tmpl w:val="11ECD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3B254E3"/>
    <w:multiLevelType w:val="hybridMultilevel"/>
    <w:tmpl w:val="7F4283CA"/>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4" w15:restartNumberingAfterBreak="0">
    <w:nsid w:val="16027020"/>
    <w:multiLevelType w:val="hybridMultilevel"/>
    <w:tmpl w:val="8BD4C310"/>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5" w15:restartNumberingAfterBreak="0">
    <w:nsid w:val="16921D82"/>
    <w:multiLevelType w:val="hybridMultilevel"/>
    <w:tmpl w:val="C250F10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6" w15:restartNumberingAfterBreak="0">
    <w:nsid w:val="1A1963A8"/>
    <w:multiLevelType w:val="hybridMultilevel"/>
    <w:tmpl w:val="C3A4257A"/>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7" w15:restartNumberingAfterBreak="0">
    <w:nsid w:val="1A3B06C4"/>
    <w:multiLevelType w:val="hybridMultilevel"/>
    <w:tmpl w:val="68FAD31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8" w15:restartNumberingAfterBreak="0">
    <w:nsid w:val="1BBD540D"/>
    <w:multiLevelType w:val="hybridMultilevel"/>
    <w:tmpl w:val="5FACB46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9" w15:restartNumberingAfterBreak="0">
    <w:nsid w:val="1C1D38A7"/>
    <w:multiLevelType w:val="multilevel"/>
    <w:tmpl w:val="26BA3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F176F7C"/>
    <w:multiLevelType w:val="hybridMultilevel"/>
    <w:tmpl w:val="1A22E21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1" w15:restartNumberingAfterBreak="0">
    <w:nsid w:val="21351886"/>
    <w:multiLevelType w:val="multilevel"/>
    <w:tmpl w:val="013CD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3C85814"/>
    <w:multiLevelType w:val="hybridMultilevel"/>
    <w:tmpl w:val="8FCE544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3" w15:restartNumberingAfterBreak="0">
    <w:nsid w:val="25B422D1"/>
    <w:multiLevelType w:val="multilevel"/>
    <w:tmpl w:val="C6C88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6635196"/>
    <w:multiLevelType w:val="hybridMultilevel"/>
    <w:tmpl w:val="6A20D6D0"/>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5" w15:restartNumberingAfterBreak="0">
    <w:nsid w:val="26A42426"/>
    <w:multiLevelType w:val="multilevel"/>
    <w:tmpl w:val="EB3E5E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70B1D7B"/>
    <w:multiLevelType w:val="hybridMultilevel"/>
    <w:tmpl w:val="6A40B68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7" w15:restartNumberingAfterBreak="0">
    <w:nsid w:val="2C847421"/>
    <w:multiLevelType w:val="hybridMultilevel"/>
    <w:tmpl w:val="DEB43F1A"/>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8" w15:restartNumberingAfterBreak="0">
    <w:nsid w:val="2CBA21DA"/>
    <w:multiLevelType w:val="hybridMultilevel"/>
    <w:tmpl w:val="BEC06BE0"/>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9" w15:restartNumberingAfterBreak="0">
    <w:nsid w:val="2EAC49BA"/>
    <w:multiLevelType w:val="multilevel"/>
    <w:tmpl w:val="667C4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0306A19"/>
    <w:multiLevelType w:val="hybridMultilevel"/>
    <w:tmpl w:val="24066A16"/>
    <w:lvl w:ilvl="0" w:tplc="10000003">
      <w:start w:val="1"/>
      <w:numFmt w:val="bullet"/>
      <w:lvlText w:val="o"/>
      <w:lvlJc w:val="left"/>
      <w:pPr>
        <w:ind w:left="1080" w:hanging="360"/>
      </w:pPr>
      <w:rPr>
        <w:rFonts w:ascii="Courier New" w:hAnsi="Courier New" w:cs="Courier New"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1" w15:restartNumberingAfterBreak="0">
    <w:nsid w:val="33E63ADD"/>
    <w:multiLevelType w:val="hybridMultilevel"/>
    <w:tmpl w:val="E9261D6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2" w15:restartNumberingAfterBreak="0">
    <w:nsid w:val="36E9518B"/>
    <w:multiLevelType w:val="multilevel"/>
    <w:tmpl w:val="0F941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6FC2804"/>
    <w:multiLevelType w:val="multilevel"/>
    <w:tmpl w:val="C80AD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72B3B20"/>
    <w:multiLevelType w:val="hybridMultilevel"/>
    <w:tmpl w:val="CE8A256E"/>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5" w15:restartNumberingAfterBreak="0">
    <w:nsid w:val="37586636"/>
    <w:multiLevelType w:val="multilevel"/>
    <w:tmpl w:val="0B505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7840A44"/>
    <w:multiLevelType w:val="hybridMultilevel"/>
    <w:tmpl w:val="E6E226D8"/>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7" w15:restartNumberingAfterBreak="0">
    <w:nsid w:val="39203695"/>
    <w:multiLevelType w:val="multilevel"/>
    <w:tmpl w:val="5608E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B6265DE"/>
    <w:multiLevelType w:val="multilevel"/>
    <w:tmpl w:val="8042D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BF0201F"/>
    <w:multiLevelType w:val="multilevel"/>
    <w:tmpl w:val="EC4CD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D1105A1"/>
    <w:multiLevelType w:val="multilevel"/>
    <w:tmpl w:val="280A5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D604971"/>
    <w:multiLevelType w:val="multilevel"/>
    <w:tmpl w:val="647C7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E7837EF"/>
    <w:multiLevelType w:val="hybridMultilevel"/>
    <w:tmpl w:val="3B9E92CA"/>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3" w15:restartNumberingAfterBreak="0">
    <w:nsid w:val="3F9613CB"/>
    <w:multiLevelType w:val="multilevel"/>
    <w:tmpl w:val="12828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FC51C3D"/>
    <w:multiLevelType w:val="hybridMultilevel"/>
    <w:tmpl w:val="3112D26A"/>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5" w15:restartNumberingAfterBreak="0">
    <w:nsid w:val="3FF8554A"/>
    <w:multiLevelType w:val="multilevel"/>
    <w:tmpl w:val="6D1A0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0535FCF"/>
    <w:multiLevelType w:val="hybridMultilevel"/>
    <w:tmpl w:val="2A324ED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7" w15:restartNumberingAfterBreak="0">
    <w:nsid w:val="42741E40"/>
    <w:multiLevelType w:val="multilevel"/>
    <w:tmpl w:val="6EC03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3C939E5"/>
    <w:multiLevelType w:val="multilevel"/>
    <w:tmpl w:val="9566E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5BF7A05"/>
    <w:multiLevelType w:val="hybridMultilevel"/>
    <w:tmpl w:val="D62CDE1E"/>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0" w15:restartNumberingAfterBreak="0">
    <w:nsid w:val="481D4C04"/>
    <w:multiLevelType w:val="multilevel"/>
    <w:tmpl w:val="EBA25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88C5A24"/>
    <w:multiLevelType w:val="multilevel"/>
    <w:tmpl w:val="9FA04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B280616"/>
    <w:multiLevelType w:val="hybridMultilevel"/>
    <w:tmpl w:val="7506DB3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3" w15:restartNumberingAfterBreak="0">
    <w:nsid w:val="4C464FB7"/>
    <w:multiLevelType w:val="multilevel"/>
    <w:tmpl w:val="DBC6C0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E96229A"/>
    <w:multiLevelType w:val="multilevel"/>
    <w:tmpl w:val="57605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09B065C"/>
    <w:multiLevelType w:val="multilevel"/>
    <w:tmpl w:val="75607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1044BB8"/>
    <w:multiLevelType w:val="hybridMultilevel"/>
    <w:tmpl w:val="42787C5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7" w15:restartNumberingAfterBreak="0">
    <w:nsid w:val="511254F0"/>
    <w:multiLevelType w:val="multilevel"/>
    <w:tmpl w:val="65CA62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516719CE"/>
    <w:multiLevelType w:val="multilevel"/>
    <w:tmpl w:val="5882D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196339E"/>
    <w:multiLevelType w:val="multilevel"/>
    <w:tmpl w:val="D2AA5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1A324C5"/>
    <w:multiLevelType w:val="hybridMultilevel"/>
    <w:tmpl w:val="D2B400F0"/>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61" w15:restartNumberingAfterBreak="0">
    <w:nsid w:val="56AE13D3"/>
    <w:multiLevelType w:val="multilevel"/>
    <w:tmpl w:val="5D6A0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72748CE"/>
    <w:multiLevelType w:val="hybridMultilevel"/>
    <w:tmpl w:val="82BAA396"/>
    <w:lvl w:ilvl="0" w:tplc="10000011">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63" w15:restartNumberingAfterBreak="0">
    <w:nsid w:val="57510002"/>
    <w:multiLevelType w:val="multilevel"/>
    <w:tmpl w:val="E2AC9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891093A"/>
    <w:multiLevelType w:val="multilevel"/>
    <w:tmpl w:val="41C0B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9210BF0"/>
    <w:multiLevelType w:val="hybridMultilevel"/>
    <w:tmpl w:val="1BD658BE"/>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66" w15:restartNumberingAfterBreak="0">
    <w:nsid w:val="596F41A0"/>
    <w:multiLevelType w:val="hybridMultilevel"/>
    <w:tmpl w:val="BE649DE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67" w15:restartNumberingAfterBreak="0">
    <w:nsid w:val="59FE202B"/>
    <w:multiLevelType w:val="hybridMultilevel"/>
    <w:tmpl w:val="B6A8E6C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8" w15:restartNumberingAfterBreak="0">
    <w:nsid w:val="5A083229"/>
    <w:multiLevelType w:val="hybridMultilevel"/>
    <w:tmpl w:val="18F0373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69" w15:restartNumberingAfterBreak="0">
    <w:nsid w:val="5A966730"/>
    <w:multiLevelType w:val="hybridMultilevel"/>
    <w:tmpl w:val="646C2086"/>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70" w15:restartNumberingAfterBreak="0">
    <w:nsid w:val="5B1612AC"/>
    <w:multiLevelType w:val="multilevel"/>
    <w:tmpl w:val="1BE45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B214DFE"/>
    <w:multiLevelType w:val="multilevel"/>
    <w:tmpl w:val="BED2F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B4D4F90"/>
    <w:multiLevelType w:val="multilevel"/>
    <w:tmpl w:val="38F6B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D764065"/>
    <w:multiLevelType w:val="hybridMultilevel"/>
    <w:tmpl w:val="D87CC14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74" w15:restartNumberingAfterBreak="0">
    <w:nsid w:val="5E4B391F"/>
    <w:multiLevelType w:val="multilevel"/>
    <w:tmpl w:val="43F45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FC00D05"/>
    <w:multiLevelType w:val="multilevel"/>
    <w:tmpl w:val="39200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28318AA"/>
    <w:multiLevelType w:val="hybridMultilevel"/>
    <w:tmpl w:val="AC886340"/>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77" w15:restartNumberingAfterBreak="0">
    <w:nsid w:val="633D6951"/>
    <w:multiLevelType w:val="hybridMultilevel"/>
    <w:tmpl w:val="9C18CF74"/>
    <w:lvl w:ilvl="0" w:tplc="2000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65732EC1"/>
    <w:multiLevelType w:val="hybridMultilevel"/>
    <w:tmpl w:val="D712623E"/>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79" w15:restartNumberingAfterBreak="0">
    <w:nsid w:val="666D236A"/>
    <w:multiLevelType w:val="hybridMultilevel"/>
    <w:tmpl w:val="7F8CAD5A"/>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80" w15:restartNumberingAfterBreak="0">
    <w:nsid w:val="67DD68E7"/>
    <w:multiLevelType w:val="hybridMultilevel"/>
    <w:tmpl w:val="30687CBC"/>
    <w:lvl w:ilvl="0" w:tplc="2000000F">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1" w15:restartNumberingAfterBreak="0">
    <w:nsid w:val="69BD4A5D"/>
    <w:multiLevelType w:val="hybridMultilevel"/>
    <w:tmpl w:val="45CE801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82" w15:restartNumberingAfterBreak="0">
    <w:nsid w:val="6A377D17"/>
    <w:multiLevelType w:val="hybridMultilevel"/>
    <w:tmpl w:val="761CAB9E"/>
    <w:lvl w:ilvl="0" w:tplc="10000011">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83" w15:restartNumberingAfterBreak="0">
    <w:nsid w:val="6AA22488"/>
    <w:multiLevelType w:val="hybridMultilevel"/>
    <w:tmpl w:val="5BC4E350"/>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84" w15:restartNumberingAfterBreak="0">
    <w:nsid w:val="6BA61584"/>
    <w:multiLevelType w:val="hybridMultilevel"/>
    <w:tmpl w:val="3D204526"/>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85" w15:restartNumberingAfterBreak="0">
    <w:nsid w:val="6BE876E5"/>
    <w:multiLevelType w:val="multilevel"/>
    <w:tmpl w:val="0038D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CDF6CE6"/>
    <w:multiLevelType w:val="multilevel"/>
    <w:tmpl w:val="0B680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0681EF9"/>
    <w:multiLevelType w:val="hybridMultilevel"/>
    <w:tmpl w:val="CAFCD4E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88" w15:restartNumberingAfterBreak="0">
    <w:nsid w:val="74C85C76"/>
    <w:multiLevelType w:val="hybridMultilevel"/>
    <w:tmpl w:val="7DB2797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89" w15:restartNumberingAfterBreak="0">
    <w:nsid w:val="7534226A"/>
    <w:multiLevelType w:val="hybridMultilevel"/>
    <w:tmpl w:val="8676FF5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90" w15:restartNumberingAfterBreak="0">
    <w:nsid w:val="7726480F"/>
    <w:multiLevelType w:val="hybridMultilevel"/>
    <w:tmpl w:val="49A22726"/>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91" w15:restartNumberingAfterBreak="0">
    <w:nsid w:val="7778034F"/>
    <w:multiLevelType w:val="hybridMultilevel"/>
    <w:tmpl w:val="5C80ED1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2" w15:restartNumberingAfterBreak="0">
    <w:nsid w:val="792E2F6C"/>
    <w:multiLevelType w:val="multilevel"/>
    <w:tmpl w:val="20F49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9E94086"/>
    <w:multiLevelType w:val="multilevel"/>
    <w:tmpl w:val="39B43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B2B7579"/>
    <w:multiLevelType w:val="multilevel"/>
    <w:tmpl w:val="F0241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B333526"/>
    <w:multiLevelType w:val="hybridMultilevel"/>
    <w:tmpl w:val="E30865F4"/>
    <w:lvl w:ilvl="0" w:tplc="2000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 w15:restartNumberingAfterBreak="0">
    <w:nsid w:val="7DAF0221"/>
    <w:multiLevelType w:val="hybridMultilevel"/>
    <w:tmpl w:val="4734261C"/>
    <w:lvl w:ilvl="0" w:tplc="5A1426C4">
      <w:start w:val="1"/>
      <w:numFmt w:val="decimal"/>
      <w:lvlText w:val="%1."/>
      <w:lvlJc w:val="left"/>
      <w:pPr>
        <w:ind w:left="764" w:hanging="360"/>
      </w:pPr>
      <w:rPr>
        <w:rFonts w:hint="default"/>
        <w:b/>
        <w:bCs/>
      </w:rPr>
    </w:lvl>
    <w:lvl w:ilvl="1" w:tplc="FFFFFFFF" w:tentative="1">
      <w:start w:val="1"/>
      <w:numFmt w:val="bullet"/>
      <w:lvlText w:val="o"/>
      <w:lvlJc w:val="left"/>
      <w:pPr>
        <w:ind w:left="1484" w:hanging="360"/>
      </w:pPr>
      <w:rPr>
        <w:rFonts w:ascii="Courier New" w:hAnsi="Courier New" w:cs="Courier New" w:hint="default"/>
      </w:rPr>
    </w:lvl>
    <w:lvl w:ilvl="2" w:tplc="FFFFFFFF" w:tentative="1">
      <w:start w:val="1"/>
      <w:numFmt w:val="bullet"/>
      <w:lvlText w:val=""/>
      <w:lvlJc w:val="left"/>
      <w:pPr>
        <w:ind w:left="2204" w:hanging="360"/>
      </w:pPr>
      <w:rPr>
        <w:rFonts w:ascii="Wingdings" w:hAnsi="Wingdings" w:hint="default"/>
      </w:rPr>
    </w:lvl>
    <w:lvl w:ilvl="3" w:tplc="FFFFFFFF" w:tentative="1">
      <w:start w:val="1"/>
      <w:numFmt w:val="bullet"/>
      <w:lvlText w:val=""/>
      <w:lvlJc w:val="left"/>
      <w:pPr>
        <w:ind w:left="2924" w:hanging="360"/>
      </w:pPr>
      <w:rPr>
        <w:rFonts w:ascii="Symbol" w:hAnsi="Symbol" w:hint="default"/>
      </w:rPr>
    </w:lvl>
    <w:lvl w:ilvl="4" w:tplc="FFFFFFFF" w:tentative="1">
      <w:start w:val="1"/>
      <w:numFmt w:val="bullet"/>
      <w:lvlText w:val="o"/>
      <w:lvlJc w:val="left"/>
      <w:pPr>
        <w:ind w:left="3644" w:hanging="360"/>
      </w:pPr>
      <w:rPr>
        <w:rFonts w:ascii="Courier New" w:hAnsi="Courier New" w:cs="Courier New" w:hint="default"/>
      </w:rPr>
    </w:lvl>
    <w:lvl w:ilvl="5" w:tplc="FFFFFFFF" w:tentative="1">
      <w:start w:val="1"/>
      <w:numFmt w:val="bullet"/>
      <w:lvlText w:val=""/>
      <w:lvlJc w:val="left"/>
      <w:pPr>
        <w:ind w:left="4364" w:hanging="360"/>
      </w:pPr>
      <w:rPr>
        <w:rFonts w:ascii="Wingdings" w:hAnsi="Wingdings" w:hint="default"/>
      </w:rPr>
    </w:lvl>
    <w:lvl w:ilvl="6" w:tplc="FFFFFFFF" w:tentative="1">
      <w:start w:val="1"/>
      <w:numFmt w:val="bullet"/>
      <w:lvlText w:val=""/>
      <w:lvlJc w:val="left"/>
      <w:pPr>
        <w:ind w:left="5084" w:hanging="360"/>
      </w:pPr>
      <w:rPr>
        <w:rFonts w:ascii="Symbol" w:hAnsi="Symbol" w:hint="default"/>
      </w:rPr>
    </w:lvl>
    <w:lvl w:ilvl="7" w:tplc="FFFFFFFF" w:tentative="1">
      <w:start w:val="1"/>
      <w:numFmt w:val="bullet"/>
      <w:lvlText w:val="o"/>
      <w:lvlJc w:val="left"/>
      <w:pPr>
        <w:ind w:left="5804" w:hanging="360"/>
      </w:pPr>
      <w:rPr>
        <w:rFonts w:ascii="Courier New" w:hAnsi="Courier New" w:cs="Courier New" w:hint="default"/>
      </w:rPr>
    </w:lvl>
    <w:lvl w:ilvl="8" w:tplc="FFFFFFFF" w:tentative="1">
      <w:start w:val="1"/>
      <w:numFmt w:val="bullet"/>
      <w:lvlText w:val=""/>
      <w:lvlJc w:val="left"/>
      <w:pPr>
        <w:ind w:left="6524" w:hanging="360"/>
      </w:pPr>
      <w:rPr>
        <w:rFonts w:ascii="Wingdings" w:hAnsi="Wingdings" w:hint="default"/>
      </w:rPr>
    </w:lvl>
  </w:abstractNum>
  <w:abstractNum w:abstractNumId="97" w15:restartNumberingAfterBreak="0">
    <w:nsid w:val="7E2F1B23"/>
    <w:multiLevelType w:val="hybridMultilevel"/>
    <w:tmpl w:val="A44A391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98" w15:restartNumberingAfterBreak="0">
    <w:nsid w:val="7E3D46C1"/>
    <w:multiLevelType w:val="hybridMultilevel"/>
    <w:tmpl w:val="52F6066E"/>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99" w15:restartNumberingAfterBreak="0">
    <w:nsid w:val="7ED91B27"/>
    <w:multiLevelType w:val="multilevel"/>
    <w:tmpl w:val="A7E8E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6"/>
  </w:num>
  <w:num w:numId="3">
    <w:abstractNumId w:val="91"/>
  </w:num>
  <w:num w:numId="4">
    <w:abstractNumId w:val="1"/>
  </w:num>
  <w:num w:numId="5">
    <w:abstractNumId w:val="80"/>
  </w:num>
  <w:num w:numId="6">
    <w:abstractNumId w:val="50"/>
  </w:num>
  <w:num w:numId="7">
    <w:abstractNumId w:val="96"/>
  </w:num>
  <w:num w:numId="8">
    <w:abstractNumId w:val="39"/>
  </w:num>
  <w:num w:numId="9">
    <w:abstractNumId w:val="25"/>
  </w:num>
  <w:num w:numId="10">
    <w:abstractNumId w:val="67"/>
  </w:num>
  <w:num w:numId="11">
    <w:abstractNumId w:val="95"/>
  </w:num>
  <w:num w:numId="12">
    <w:abstractNumId w:val="77"/>
  </w:num>
  <w:num w:numId="13">
    <w:abstractNumId w:val="58"/>
  </w:num>
  <w:num w:numId="14">
    <w:abstractNumId w:val="19"/>
  </w:num>
  <w:num w:numId="15">
    <w:abstractNumId w:val="93"/>
  </w:num>
  <w:num w:numId="16">
    <w:abstractNumId w:val="48"/>
  </w:num>
  <w:num w:numId="17">
    <w:abstractNumId w:val="5"/>
  </w:num>
  <w:num w:numId="18">
    <w:abstractNumId w:val="74"/>
  </w:num>
  <w:num w:numId="19">
    <w:abstractNumId w:val="70"/>
  </w:num>
  <w:num w:numId="20">
    <w:abstractNumId w:val="75"/>
  </w:num>
  <w:num w:numId="21">
    <w:abstractNumId w:val="33"/>
  </w:num>
  <w:num w:numId="22">
    <w:abstractNumId w:val="38"/>
  </w:num>
  <w:num w:numId="23">
    <w:abstractNumId w:val="8"/>
  </w:num>
  <w:num w:numId="24">
    <w:abstractNumId w:val="85"/>
  </w:num>
  <w:num w:numId="25">
    <w:abstractNumId w:val="51"/>
  </w:num>
  <w:num w:numId="26">
    <w:abstractNumId w:val="82"/>
  </w:num>
  <w:num w:numId="27">
    <w:abstractNumId w:val="30"/>
  </w:num>
  <w:num w:numId="28">
    <w:abstractNumId w:val="43"/>
  </w:num>
  <w:num w:numId="29">
    <w:abstractNumId w:val="29"/>
  </w:num>
  <w:num w:numId="30">
    <w:abstractNumId w:val="23"/>
  </w:num>
  <w:num w:numId="31">
    <w:abstractNumId w:val="35"/>
  </w:num>
  <w:num w:numId="32">
    <w:abstractNumId w:val="57"/>
  </w:num>
  <w:num w:numId="33">
    <w:abstractNumId w:val="99"/>
  </w:num>
  <w:num w:numId="34">
    <w:abstractNumId w:val="12"/>
  </w:num>
  <w:num w:numId="35">
    <w:abstractNumId w:val="86"/>
  </w:num>
  <w:num w:numId="36">
    <w:abstractNumId w:val="71"/>
  </w:num>
  <w:num w:numId="37">
    <w:abstractNumId w:val="47"/>
  </w:num>
  <w:num w:numId="38">
    <w:abstractNumId w:val="41"/>
  </w:num>
  <w:num w:numId="39">
    <w:abstractNumId w:val="59"/>
  </w:num>
  <w:num w:numId="40">
    <w:abstractNumId w:val="40"/>
  </w:num>
  <w:num w:numId="41">
    <w:abstractNumId w:val="53"/>
  </w:num>
  <w:num w:numId="42">
    <w:abstractNumId w:val="61"/>
  </w:num>
  <w:num w:numId="43">
    <w:abstractNumId w:val="55"/>
  </w:num>
  <w:num w:numId="44">
    <w:abstractNumId w:val="64"/>
  </w:num>
  <w:num w:numId="45">
    <w:abstractNumId w:val="32"/>
  </w:num>
  <w:num w:numId="46">
    <w:abstractNumId w:val="72"/>
  </w:num>
  <w:num w:numId="47">
    <w:abstractNumId w:val="94"/>
  </w:num>
  <w:num w:numId="48">
    <w:abstractNumId w:val="62"/>
  </w:num>
  <w:num w:numId="49">
    <w:abstractNumId w:val="4"/>
  </w:num>
  <w:num w:numId="50">
    <w:abstractNumId w:val="54"/>
  </w:num>
  <w:num w:numId="51">
    <w:abstractNumId w:val="92"/>
  </w:num>
  <w:num w:numId="52">
    <w:abstractNumId w:val="63"/>
  </w:num>
  <w:num w:numId="53">
    <w:abstractNumId w:val="21"/>
  </w:num>
  <w:num w:numId="54">
    <w:abstractNumId w:val="37"/>
  </w:num>
  <w:num w:numId="55">
    <w:abstractNumId w:val="0"/>
  </w:num>
  <w:num w:numId="56">
    <w:abstractNumId w:val="52"/>
  </w:num>
  <w:num w:numId="57">
    <w:abstractNumId w:val="7"/>
  </w:num>
  <w:num w:numId="58">
    <w:abstractNumId w:val="27"/>
  </w:num>
  <w:num w:numId="59">
    <w:abstractNumId w:val="87"/>
  </w:num>
  <w:num w:numId="60">
    <w:abstractNumId w:val="66"/>
  </w:num>
  <w:num w:numId="61">
    <w:abstractNumId w:val="90"/>
  </w:num>
  <w:num w:numId="62">
    <w:abstractNumId w:val="81"/>
  </w:num>
  <w:num w:numId="63">
    <w:abstractNumId w:val="76"/>
  </w:num>
  <w:num w:numId="64">
    <w:abstractNumId w:val="13"/>
  </w:num>
  <w:num w:numId="65">
    <w:abstractNumId w:val="44"/>
  </w:num>
  <w:num w:numId="66">
    <w:abstractNumId w:val="34"/>
  </w:num>
  <w:num w:numId="67">
    <w:abstractNumId w:val="83"/>
  </w:num>
  <w:num w:numId="68">
    <w:abstractNumId w:val="36"/>
  </w:num>
  <w:num w:numId="69">
    <w:abstractNumId w:val="42"/>
  </w:num>
  <w:num w:numId="70">
    <w:abstractNumId w:val="15"/>
  </w:num>
  <w:num w:numId="71">
    <w:abstractNumId w:val="88"/>
  </w:num>
  <w:num w:numId="72">
    <w:abstractNumId w:val="65"/>
  </w:num>
  <w:num w:numId="73">
    <w:abstractNumId w:val="89"/>
  </w:num>
  <w:num w:numId="74">
    <w:abstractNumId w:val="46"/>
  </w:num>
  <w:num w:numId="75">
    <w:abstractNumId w:val="60"/>
  </w:num>
  <w:num w:numId="76">
    <w:abstractNumId w:val="20"/>
  </w:num>
  <w:num w:numId="77">
    <w:abstractNumId w:val="97"/>
  </w:num>
  <w:num w:numId="78">
    <w:abstractNumId w:val="73"/>
  </w:num>
  <w:num w:numId="79">
    <w:abstractNumId w:val="69"/>
  </w:num>
  <w:num w:numId="80">
    <w:abstractNumId w:val="6"/>
  </w:num>
  <w:num w:numId="81">
    <w:abstractNumId w:val="16"/>
  </w:num>
  <w:num w:numId="82">
    <w:abstractNumId w:val="17"/>
  </w:num>
  <w:num w:numId="83">
    <w:abstractNumId w:val="14"/>
  </w:num>
  <w:num w:numId="84">
    <w:abstractNumId w:val="18"/>
  </w:num>
  <w:num w:numId="85">
    <w:abstractNumId w:val="84"/>
  </w:num>
  <w:num w:numId="86">
    <w:abstractNumId w:val="31"/>
  </w:num>
  <w:num w:numId="87">
    <w:abstractNumId w:val="3"/>
  </w:num>
  <w:num w:numId="88">
    <w:abstractNumId w:val="24"/>
  </w:num>
  <w:num w:numId="89">
    <w:abstractNumId w:val="10"/>
  </w:num>
  <w:num w:numId="90">
    <w:abstractNumId w:val="68"/>
  </w:num>
  <w:num w:numId="91">
    <w:abstractNumId w:val="28"/>
  </w:num>
  <w:num w:numId="92">
    <w:abstractNumId w:val="98"/>
  </w:num>
  <w:num w:numId="93">
    <w:abstractNumId w:val="9"/>
  </w:num>
  <w:num w:numId="94">
    <w:abstractNumId w:val="79"/>
  </w:num>
  <w:num w:numId="95">
    <w:abstractNumId w:val="26"/>
  </w:num>
  <w:num w:numId="96">
    <w:abstractNumId w:val="78"/>
  </w:num>
  <w:num w:numId="97">
    <w:abstractNumId w:val="49"/>
  </w:num>
  <w:num w:numId="98">
    <w:abstractNumId w:val="11"/>
  </w:num>
  <w:num w:numId="99">
    <w:abstractNumId w:val="22"/>
  </w:num>
  <w:num w:numId="100">
    <w:abstractNumId w:val="45"/>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1210"/>
    <w:rsid w:val="0000045D"/>
    <w:rsid w:val="00000742"/>
    <w:rsid w:val="0000093C"/>
    <w:rsid w:val="00000F63"/>
    <w:rsid w:val="00000FA0"/>
    <w:rsid w:val="00001DAE"/>
    <w:rsid w:val="00002BFE"/>
    <w:rsid w:val="00003024"/>
    <w:rsid w:val="00003279"/>
    <w:rsid w:val="00005974"/>
    <w:rsid w:val="00007430"/>
    <w:rsid w:val="00016E84"/>
    <w:rsid w:val="00017421"/>
    <w:rsid w:val="000200D1"/>
    <w:rsid w:val="0002114D"/>
    <w:rsid w:val="00023F07"/>
    <w:rsid w:val="00023F77"/>
    <w:rsid w:val="000241D3"/>
    <w:rsid w:val="000251A6"/>
    <w:rsid w:val="00026652"/>
    <w:rsid w:val="00026DE0"/>
    <w:rsid w:val="000309FD"/>
    <w:rsid w:val="00030B98"/>
    <w:rsid w:val="00030C36"/>
    <w:rsid w:val="00030F77"/>
    <w:rsid w:val="00032D60"/>
    <w:rsid w:val="000338E7"/>
    <w:rsid w:val="00035CF5"/>
    <w:rsid w:val="000408B1"/>
    <w:rsid w:val="000412AF"/>
    <w:rsid w:val="00041618"/>
    <w:rsid w:val="000454F2"/>
    <w:rsid w:val="00047C60"/>
    <w:rsid w:val="00050046"/>
    <w:rsid w:val="000531DD"/>
    <w:rsid w:val="00055465"/>
    <w:rsid w:val="00057947"/>
    <w:rsid w:val="00060856"/>
    <w:rsid w:val="00061FCE"/>
    <w:rsid w:val="0006273F"/>
    <w:rsid w:val="00063476"/>
    <w:rsid w:val="00064591"/>
    <w:rsid w:val="00064E9F"/>
    <w:rsid w:val="00067835"/>
    <w:rsid w:val="000706F2"/>
    <w:rsid w:val="00070B52"/>
    <w:rsid w:val="00071F71"/>
    <w:rsid w:val="0007206E"/>
    <w:rsid w:val="00072813"/>
    <w:rsid w:val="00073B53"/>
    <w:rsid w:val="00076245"/>
    <w:rsid w:val="00076AD6"/>
    <w:rsid w:val="00077F75"/>
    <w:rsid w:val="00080564"/>
    <w:rsid w:val="00080A88"/>
    <w:rsid w:val="000826B9"/>
    <w:rsid w:val="00082729"/>
    <w:rsid w:val="00084EBB"/>
    <w:rsid w:val="000867F1"/>
    <w:rsid w:val="000875F2"/>
    <w:rsid w:val="00087C6E"/>
    <w:rsid w:val="00087D9C"/>
    <w:rsid w:val="00090FBF"/>
    <w:rsid w:val="0009126F"/>
    <w:rsid w:val="00091AB9"/>
    <w:rsid w:val="00091FC1"/>
    <w:rsid w:val="000930E2"/>
    <w:rsid w:val="000943A5"/>
    <w:rsid w:val="000949AE"/>
    <w:rsid w:val="00095717"/>
    <w:rsid w:val="00095EC2"/>
    <w:rsid w:val="00096B73"/>
    <w:rsid w:val="00096F28"/>
    <w:rsid w:val="000A2D0F"/>
    <w:rsid w:val="000A412E"/>
    <w:rsid w:val="000A5716"/>
    <w:rsid w:val="000A5C59"/>
    <w:rsid w:val="000A66F6"/>
    <w:rsid w:val="000A6D6C"/>
    <w:rsid w:val="000A774F"/>
    <w:rsid w:val="000B1395"/>
    <w:rsid w:val="000B42B1"/>
    <w:rsid w:val="000B4FA3"/>
    <w:rsid w:val="000B6D9A"/>
    <w:rsid w:val="000B6F92"/>
    <w:rsid w:val="000C05C4"/>
    <w:rsid w:val="000C09B0"/>
    <w:rsid w:val="000C0A8E"/>
    <w:rsid w:val="000C0CC1"/>
    <w:rsid w:val="000C0F8F"/>
    <w:rsid w:val="000C1155"/>
    <w:rsid w:val="000C3B57"/>
    <w:rsid w:val="000C3D58"/>
    <w:rsid w:val="000C47C9"/>
    <w:rsid w:val="000C4879"/>
    <w:rsid w:val="000C4BA7"/>
    <w:rsid w:val="000C720B"/>
    <w:rsid w:val="000D344E"/>
    <w:rsid w:val="000D4AE0"/>
    <w:rsid w:val="000D4CC5"/>
    <w:rsid w:val="000D5D3F"/>
    <w:rsid w:val="000D6A49"/>
    <w:rsid w:val="000E0624"/>
    <w:rsid w:val="000E2104"/>
    <w:rsid w:val="000E2BD0"/>
    <w:rsid w:val="000E2F35"/>
    <w:rsid w:val="000E5072"/>
    <w:rsid w:val="000E7F76"/>
    <w:rsid w:val="000F2170"/>
    <w:rsid w:val="000F24B8"/>
    <w:rsid w:val="000F2813"/>
    <w:rsid w:val="000F3D3B"/>
    <w:rsid w:val="000F4067"/>
    <w:rsid w:val="000F4BD8"/>
    <w:rsid w:val="000F5F90"/>
    <w:rsid w:val="000F6F0B"/>
    <w:rsid w:val="001002E8"/>
    <w:rsid w:val="001004FB"/>
    <w:rsid w:val="00101E41"/>
    <w:rsid w:val="001026B3"/>
    <w:rsid w:val="0010450D"/>
    <w:rsid w:val="00104898"/>
    <w:rsid w:val="0010552B"/>
    <w:rsid w:val="00105671"/>
    <w:rsid w:val="001056D2"/>
    <w:rsid w:val="00105990"/>
    <w:rsid w:val="00107D59"/>
    <w:rsid w:val="001119D0"/>
    <w:rsid w:val="00111A54"/>
    <w:rsid w:val="001129E8"/>
    <w:rsid w:val="001143B8"/>
    <w:rsid w:val="00114FCF"/>
    <w:rsid w:val="00115058"/>
    <w:rsid w:val="00122210"/>
    <w:rsid w:val="001226BA"/>
    <w:rsid w:val="00122727"/>
    <w:rsid w:val="00125011"/>
    <w:rsid w:val="00125021"/>
    <w:rsid w:val="0012592E"/>
    <w:rsid w:val="0012730E"/>
    <w:rsid w:val="00131A1E"/>
    <w:rsid w:val="00133C45"/>
    <w:rsid w:val="001374DB"/>
    <w:rsid w:val="001375AA"/>
    <w:rsid w:val="0013763F"/>
    <w:rsid w:val="001401BA"/>
    <w:rsid w:val="00141080"/>
    <w:rsid w:val="001414CA"/>
    <w:rsid w:val="0014195F"/>
    <w:rsid w:val="00141EE8"/>
    <w:rsid w:val="00143FC7"/>
    <w:rsid w:val="00145339"/>
    <w:rsid w:val="00150F07"/>
    <w:rsid w:val="00151D50"/>
    <w:rsid w:val="00154614"/>
    <w:rsid w:val="00154D4F"/>
    <w:rsid w:val="00155893"/>
    <w:rsid w:val="001607ED"/>
    <w:rsid w:val="0016102E"/>
    <w:rsid w:val="0016134E"/>
    <w:rsid w:val="001615D6"/>
    <w:rsid w:val="001622B7"/>
    <w:rsid w:val="001646E7"/>
    <w:rsid w:val="001648B5"/>
    <w:rsid w:val="00165F14"/>
    <w:rsid w:val="001667E6"/>
    <w:rsid w:val="00167A25"/>
    <w:rsid w:val="00172C56"/>
    <w:rsid w:val="00176433"/>
    <w:rsid w:val="00177CE0"/>
    <w:rsid w:val="00180F2C"/>
    <w:rsid w:val="00182593"/>
    <w:rsid w:val="0018260C"/>
    <w:rsid w:val="00184B1F"/>
    <w:rsid w:val="00185C0D"/>
    <w:rsid w:val="00190DE5"/>
    <w:rsid w:val="00190E7A"/>
    <w:rsid w:val="00190EB3"/>
    <w:rsid w:val="00193E8A"/>
    <w:rsid w:val="00195BD3"/>
    <w:rsid w:val="001976BF"/>
    <w:rsid w:val="001A092B"/>
    <w:rsid w:val="001A12DE"/>
    <w:rsid w:val="001A1420"/>
    <w:rsid w:val="001A42F3"/>
    <w:rsid w:val="001A66F7"/>
    <w:rsid w:val="001B01C5"/>
    <w:rsid w:val="001B6140"/>
    <w:rsid w:val="001B6285"/>
    <w:rsid w:val="001B7A5F"/>
    <w:rsid w:val="001B7EA3"/>
    <w:rsid w:val="001C1106"/>
    <w:rsid w:val="001C3959"/>
    <w:rsid w:val="001C4B94"/>
    <w:rsid w:val="001C574C"/>
    <w:rsid w:val="001C7F5E"/>
    <w:rsid w:val="001D0CB8"/>
    <w:rsid w:val="001D0E5A"/>
    <w:rsid w:val="001D2D5D"/>
    <w:rsid w:val="001D31D4"/>
    <w:rsid w:val="001D338D"/>
    <w:rsid w:val="001D6CA1"/>
    <w:rsid w:val="001D7851"/>
    <w:rsid w:val="001D7A3C"/>
    <w:rsid w:val="001E0397"/>
    <w:rsid w:val="001E1287"/>
    <w:rsid w:val="001E3575"/>
    <w:rsid w:val="001E412F"/>
    <w:rsid w:val="001E477C"/>
    <w:rsid w:val="001E7604"/>
    <w:rsid w:val="001E7CC5"/>
    <w:rsid w:val="001F0A08"/>
    <w:rsid w:val="001F3B5F"/>
    <w:rsid w:val="001F54B9"/>
    <w:rsid w:val="001F5839"/>
    <w:rsid w:val="001F5CAC"/>
    <w:rsid w:val="001F6DAC"/>
    <w:rsid w:val="002007C9"/>
    <w:rsid w:val="002017E4"/>
    <w:rsid w:val="0020436B"/>
    <w:rsid w:val="00204AED"/>
    <w:rsid w:val="002050BD"/>
    <w:rsid w:val="00205A0E"/>
    <w:rsid w:val="002067E4"/>
    <w:rsid w:val="0020746E"/>
    <w:rsid w:val="00210DE9"/>
    <w:rsid w:val="00215391"/>
    <w:rsid w:val="00220B21"/>
    <w:rsid w:val="00220BD1"/>
    <w:rsid w:val="00221EE4"/>
    <w:rsid w:val="00224320"/>
    <w:rsid w:val="00224E81"/>
    <w:rsid w:val="002251D8"/>
    <w:rsid w:val="00226F8F"/>
    <w:rsid w:val="00227DD0"/>
    <w:rsid w:val="0023097F"/>
    <w:rsid w:val="00232510"/>
    <w:rsid w:val="0023583D"/>
    <w:rsid w:val="00235D5C"/>
    <w:rsid w:val="00236612"/>
    <w:rsid w:val="0023750A"/>
    <w:rsid w:val="00237FA7"/>
    <w:rsid w:val="00240525"/>
    <w:rsid w:val="00240B4F"/>
    <w:rsid w:val="00240F58"/>
    <w:rsid w:val="002435EF"/>
    <w:rsid w:val="00243980"/>
    <w:rsid w:val="00244613"/>
    <w:rsid w:val="00247AAB"/>
    <w:rsid w:val="00247C30"/>
    <w:rsid w:val="00247DA7"/>
    <w:rsid w:val="00250ACD"/>
    <w:rsid w:val="00250AEC"/>
    <w:rsid w:val="00251345"/>
    <w:rsid w:val="00252DFA"/>
    <w:rsid w:val="00255BE7"/>
    <w:rsid w:val="002611AF"/>
    <w:rsid w:val="00264A75"/>
    <w:rsid w:val="00265FC6"/>
    <w:rsid w:val="00270F25"/>
    <w:rsid w:val="00273E15"/>
    <w:rsid w:val="00274333"/>
    <w:rsid w:val="002750E7"/>
    <w:rsid w:val="002764C7"/>
    <w:rsid w:val="00276835"/>
    <w:rsid w:val="00276DD4"/>
    <w:rsid w:val="002775F5"/>
    <w:rsid w:val="0028036D"/>
    <w:rsid w:val="002807A1"/>
    <w:rsid w:val="00280A2C"/>
    <w:rsid w:val="002833DA"/>
    <w:rsid w:val="0028423A"/>
    <w:rsid w:val="00284F08"/>
    <w:rsid w:val="00284F1E"/>
    <w:rsid w:val="00285F74"/>
    <w:rsid w:val="002906B3"/>
    <w:rsid w:val="00291153"/>
    <w:rsid w:val="00291290"/>
    <w:rsid w:val="0029159C"/>
    <w:rsid w:val="00291F48"/>
    <w:rsid w:val="00292907"/>
    <w:rsid w:val="00293363"/>
    <w:rsid w:val="00294A64"/>
    <w:rsid w:val="00294D47"/>
    <w:rsid w:val="002952C9"/>
    <w:rsid w:val="0029785A"/>
    <w:rsid w:val="002A15C7"/>
    <w:rsid w:val="002A2A13"/>
    <w:rsid w:val="002A304C"/>
    <w:rsid w:val="002A6D90"/>
    <w:rsid w:val="002A730C"/>
    <w:rsid w:val="002A79C7"/>
    <w:rsid w:val="002A7E22"/>
    <w:rsid w:val="002B2006"/>
    <w:rsid w:val="002B2868"/>
    <w:rsid w:val="002B3AF0"/>
    <w:rsid w:val="002B42CE"/>
    <w:rsid w:val="002B4E22"/>
    <w:rsid w:val="002B4F73"/>
    <w:rsid w:val="002B520D"/>
    <w:rsid w:val="002B5CA9"/>
    <w:rsid w:val="002B668B"/>
    <w:rsid w:val="002C2F38"/>
    <w:rsid w:val="002C4363"/>
    <w:rsid w:val="002C5129"/>
    <w:rsid w:val="002C5F6A"/>
    <w:rsid w:val="002C67FC"/>
    <w:rsid w:val="002C6C9F"/>
    <w:rsid w:val="002C6CE6"/>
    <w:rsid w:val="002C7BB8"/>
    <w:rsid w:val="002D0265"/>
    <w:rsid w:val="002D1586"/>
    <w:rsid w:val="002D1DFE"/>
    <w:rsid w:val="002D1FAF"/>
    <w:rsid w:val="002D3D52"/>
    <w:rsid w:val="002D48B6"/>
    <w:rsid w:val="002D4EF9"/>
    <w:rsid w:val="002D7A10"/>
    <w:rsid w:val="002E0A97"/>
    <w:rsid w:val="002E0C1C"/>
    <w:rsid w:val="002E596F"/>
    <w:rsid w:val="002E7429"/>
    <w:rsid w:val="002E771D"/>
    <w:rsid w:val="002F09F9"/>
    <w:rsid w:val="002F1A39"/>
    <w:rsid w:val="002F278A"/>
    <w:rsid w:val="002F3A87"/>
    <w:rsid w:val="002F3E6E"/>
    <w:rsid w:val="002F3F8F"/>
    <w:rsid w:val="002F3F9D"/>
    <w:rsid w:val="002F4E34"/>
    <w:rsid w:val="003021F2"/>
    <w:rsid w:val="00305E5F"/>
    <w:rsid w:val="00305F72"/>
    <w:rsid w:val="003073A2"/>
    <w:rsid w:val="00311C75"/>
    <w:rsid w:val="00312132"/>
    <w:rsid w:val="0031245F"/>
    <w:rsid w:val="00312721"/>
    <w:rsid w:val="00313140"/>
    <w:rsid w:val="00313523"/>
    <w:rsid w:val="00313DB7"/>
    <w:rsid w:val="003150CF"/>
    <w:rsid w:val="00315804"/>
    <w:rsid w:val="003163D3"/>
    <w:rsid w:val="00316B4F"/>
    <w:rsid w:val="00316DA3"/>
    <w:rsid w:val="003175D0"/>
    <w:rsid w:val="00317BC0"/>
    <w:rsid w:val="0032046E"/>
    <w:rsid w:val="00320C05"/>
    <w:rsid w:val="00321778"/>
    <w:rsid w:val="0032517A"/>
    <w:rsid w:val="0032594B"/>
    <w:rsid w:val="00325F1D"/>
    <w:rsid w:val="00327C89"/>
    <w:rsid w:val="00330736"/>
    <w:rsid w:val="003314FF"/>
    <w:rsid w:val="0033197A"/>
    <w:rsid w:val="003356F4"/>
    <w:rsid w:val="00336802"/>
    <w:rsid w:val="00340846"/>
    <w:rsid w:val="0034282E"/>
    <w:rsid w:val="00344B6F"/>
    <w:rsid w:val="00344D0F"/>
    <w:rsid w:val="0034639E"/>
    <w:rsid w:val="00347F46"/>
    <w:rsid w:val="0035044D"/>
    <w:rsid w:val="00351103"/>
    <w:rsid w:val="00351A26"/>
    <w:rsid w:val="00351EF6"/>
    <w:rsid w:val="00352531"/>
    <w:rsid w:val="003618EC"/>
    <w:rsid w:val="00362F9A"/>
    <w:rsid w:val="003637C7"/>
    <w:rsid w:val="00363ECA"/>
    <w:rsid w:val="00365353"/>
    <w:rsid w:val="00370026"/>
    <w:rsid w:val="003703DF"/>
    <w:rsid w:val="00370886"/>
    <w:rsid w:val="00370F6C"/>
    <w:rsid w:val="003715AE"/>
    <w:rsid w:val="00371F1C"/>
    <w:rsid w:val="00373AC9"/>
    <w:rsid w:val="00373B39"/>
    <w:rsid w:val="00374A23"/>
    <w:rsid w:val="00374F08"/>
    <w:rsid w:val="00375E6A"/>
    <w:rsid w:val="00376709"/>
    <w:rsid w:val="00376EAB"/>
    <w:rsid w:val="00377539"/>
    <w:rsid w:val="003777AF"/>
    <w:rsid w:val="00380C9C"/>
    <w:rsid w:val="003827E4"/>
    <w:rsid w:val="00384818"/>
    <w:rsid w:val="00384FA3"/>
    <w:rsid w:val="0038697B"/>
    <w:rsid w:val="003869EB"/>
    <w:rsid w:val="00386B81"/>
    <w:rsid w:val="00392725"/>
    <w:rsid w:val="003938AB"/>
    <w:rsid w:val="003945C0"/>
    <w:rsid w:val="00395D4E"/>
    <w:rsid w:val="003A16BC"/>
    <w:rsid w:val="003A1D64"/>
    <w:rsid w:val="003A20FA"/>
    <w:rsid w:val="003A357A"/>
    <w:rsid w:val="003A590E"/>
    <w:rsid w:val="003A6D18"/>
    <w:rsid w:val="003A7414"/>
    <w:rsid w:val="003B0439"/>
    <w:rsid w:val="003B1723"/>
    <w:rsid w:val="003B1954"/>
    <w:rsid w:val="003B248B"/>
    <w:rsid w:val="003B3157"/>
    <w:rsid w:val="003B4574"/>
    <w:rsid w:val="003B5F29"/>
    <w:rsid w:val="003B635F"/>
    <w:rsid w:val="003B7CA5"/>
    <w:rsid w:val="003C12D4"/>
    <w:rsid w:val="003C1668"/>
    <w:rsid w:val="003C2862"/>
    <w:rsid w:val="003C371C"/>
    <w:rsid w:val="003C57B8"/>
    <w:rsid w:val="003C5DF0"/>
    <w:rsid w:val="003C5E25"/>
    <w:rsid w:val="003C5F04"/>
    <w:rsid w:val="003C68E7"/>
    <w:rsid w:val="003C7998"/>
    <w:rsid w:val="003C7A8D"/>
    <w:rsid w:val="003D7D98"/>
    <w:rsid w:val="003E1F5F"/>
    <w:rsid w:val="003E31C2"/>
    <w:rsid w:val="003E4449"/>
    <w:rsid w:val="003E4A06"/>
    <w:rsid w:val="003E6569"/>
    <w:rsid w:val="003E6DEE"/>
    <w:rsid w:val="003F0BC2"/>
    <w:rsid w:val="003F1BFD"/>
    <w:rsid w:val="003F20EE"/>
    <w:rsid w:val="003F282C"/>
    <w:rsid w:val="003F31DE"/>
    <w:rsid w:val="003F31FD"/>
    <w:rsid w:val="003F6969"/>
    <w:rsid w:val="003F6CAE"/>
    <w:rsid w:val="003F6FE9"/>
    <w:rsid w:val="003F7E33"/>
    <w:rsid w:val="00400020"/>
    <w:rsid w:val="00403E3A"/>
    <w:rsid w:val="00404171"/>
    <w:rsid w:val="004047B4"/>
    <w:rsid w:val="0040661B"/>
    <w:rsid w:val="00406622"/>
    <w:rsid w:val="00411269"/>
    <w:rsid w:val="0041362B"/>
    <w:rsid w:val="00413731"/>
    <w:rsid w:val="00414F9A"/>
    <w:rsid w:val="00416B72"/>
    <w:rsid w:val="00420288"/>
    <w:rsid w:val="00421F33"/>
    <w:rsid w:val="00421FE6"/>
    <w:rsid w:val="00422B63"/>
    <w:rsid w:val="00425F78"/>
    <w:rsid w:val="00426DC0"/>
    <w:rsid w:val="00430258"/>
    <w:rsid w:val="00430342"/>
    <w:rsid w:val="0043063D"/>
    <w:rsid w:val="004338E7"/>
    <w:rsid w:val="00433DA6"/>
    <w:rsid w:val="004343A5"/>
    <w:rsid w:val="0043453B"/>
    <w:rsid w:val="00435403"/>
    <w:rsid w:val="004365A7"/>
    <w:rsid w:val="00436AB3"/>
    <w:rsid w:val="00437643"/>
    <w:rsid w:val="00437940"/>
    <w:rsid w:val="004410E6"/>
    <w:rsid w:val="0044289D"/>
    <w:rsid w:val="00445937"/>
    <w:rsid w:val="0044642D"/>
    <w:rsid w:val="00446548"/>
    <w:rsid w:val="00446C58"/>
    <w:rsid w:val="004523CC"/>
    <w:rsid w:val="00453885"/>
    <w:rsid w:val="00460CD4"/>
    <w:rsid w:val="00460D56"/>
    <w:rsid w:val="00462237"/>
    <w:rsid w:val="00465D9A"/>
    <w:rsid w:val="00467144"/>
    <w:rsid w:val="00467319"/>
    <w:rsid w:val="0047316A"/>
    <w:rsid w:val="004733E4"/>
    <w:rsid w:val="00473D99"/>
    <w:rsid w:val="0047429B"/>
    <w:rsid w:val="00474FC0"/>
    <w:rsid w:val="0047566B"/>
    <w:rsid w:val="00475EF4"/>
    <w:rsid w:val="00476561"/>
    <w:rsid w:val="004777E1"/>
    <w:rsid w:val="00480051"/>
    <w:rsid w:val="00481929"/>
    <w:rsid w:val="00482830"/>
    <w:rsid w:val="00482B2D"/>
    <w:rsid w:val="004868D4"/>
    <w:rsid w:val="00487501"/>
    <w:rsid w:val="00492690"/>
    <w:rsid w:val="004928EF"/>
    <w:rsid w:val="004935E9"/>
    <w:rsid w:val="00494F01"/>
    <w:rsid w:val="00495034"/>
    <w:rsid w:val="00495AB1"/>
    <w:rsid w:val="004A11A4"/>
    <w:rsid w:val="004A432D"/>
    <w:rsid w:val="004B0FAE"/>
    <w:rsid w:val="004B1071"/>
    <w:rsid w:val="004B14B8"/>
    <w:rsid w:val="004B3198"/>
    <w:rsid w:val="004B77CE"/>
    <w:rsid w:val="004B7D48"/>
    <w:rsid w:val="004C36B4"/>
    <w:rsid w:val="004C3A08"/>
    <w:rsid w:val="004D0166"/>
    <w:rsid w:val="004D18F3"/>
    <w:rsid w:val="004D1C02"/>
    <w:rsid w:val="004D4BC3"/>
    <w:rsid w:val="004D54D3"/>
    <w:rsid w:val="004E2DA1"/>
    <w:rsid w:val="004E4DA0"/>
    <w:rsid w:val="004E6D23"/>
    <w:rsid w:val="004E7020"/>
    <w:rsid w:val="004F3019"/>
    <w:rsid w:val="004F43B6"/>
    <w:rsid w:val="004F4FC8"/>
    <w:rsid w:val="00501800"/>
    <w:rsid w:val="00502624"/>
    <w:rsid w:val="00503B0B"/>
    <w:rsid w:val="00504C57"/>
    <w:rsid w:val="0050536C"/>
    <w:rsid w:val="0050715B"/>
    <w:rsid w:val="0050790E"/>
    <w:rsid w:val="00507F87"/>
    <w:rsid w:val="00510AA8"/>
    <w:rsid w:val="0051348D"/>
    <w:rsid w:val="005142B3"/>
    <w:rsid w:val="005144E3"/>
    <w:rsid w:val="0052034C"/>
    <w:rsid w:val="00520D84"/>
    <w:rsid w:val="00521FF3"/>
    <w:rsid w:val="005238F3"/>
    <w:rsid w:val="00524267"/>
    <w:rsid w:val="00525DF5"/>
    <w:rsid w:val="005304C0"/>
    <w:rsid w:val="00532222"/>
    <w:rsid w:val="005329B1"/>
    <w:rsid w:val="00532D74"/>
    <w:rsid w:val="00535389"/>
    <w:rsid w:val="005355F9"/>
    <w:rsid w:val="00536804"/>
    <w:rsid w:val="00536B9D"/>
    <w:rsid w:val="00537E22"/>
    <w:rsid w:val="00540A22"/>
    <w:rsid w:val="00543008"/>
    <w:rsid w:val="00545669"/>
    <w:rsid w:val="005464EE"/>
    <w:rsid w:val="00550A61"/>
    <w:rsid w:val="00550F75"/>
    <w:rsid w:val="0055287C"/>
    <w:rsid w:val="005537D7"/>
    <w:rsid w:val="005547F3"/>
    <w:rsid w:val="005564E6"/>
    <w:rsid w:val="00556B61"/>
    <w:rsid w:val="005572CF"/>
    <w:rsid w:val="00560E5F"/>
    <w:rsid w:val="005611A0"/>
    <w:rsid w:val="0056132C"/>
    <w:rsid w:val="00561AFA"/>
    <w:rsid w:val="005642A6"/>
    <w:rsid w:val="00571E17"/>
    <w:rsid w:val="00572931"/>
    <w:rsid w:val="00573113"/>
    <w:rsid w:val="00573183"/>
    <w:rsid w:val="0057330C"/>
    <w:rsid w:val="00573A54"/>
    <w:rsid w:val="0057515A"/>
    <w:rsid w:val="00575E2A"/>
    <w:rsid w:val="00577C7F"/>
    <w:rsid w:val="00580561"/>
    <w:rsid w:val="00580E54"/>
    <w:rsid w:val="005838F5"/>
    <w:rsid w:val="00584AF5"/>
    <w:rsid w:val="00590A82"/>
    <w:rsid w:val="005913FA"/>
    <w:rsid w:val="0059241F"/>
    <w:rsid w:val="00592815"/>
    <w:rsid w:val="00593560"/>
    <w:rsid w:val="005937F8"/>
    <w:rsid w:val="00594273"/>
    <w:rsid w:val="00594698"/>
    <w:rsid w:val="005951E0"/>
    <w:rsid w:val="00596104"/>
    <w:rsid w:val="005A1DD0"/>
    <w:rsid w:val="005A2BBA"/>
    <w:rsid w:val="005A2DE1"/>
    <w:rsid w:val="005A3A07"/>
    <w:rsid w:val="005A4193"/>
    <w:rsid w:val="005A4525"/>
    <w:rsid w:val="005A459C"/>
    <w:rsid w:val="005A4BAE"/>
    <w:rsid w:val="005A6E74"/>
    <w:rsid w:val="005A7D3C"/>
    <w:rsid w:val="005B0064"/>
    <w:rsid w:val="005B2C82"/>
    <w:rsid w:val="005B305F"/>
    <w:rsid w:val="005B312C"/>
    <w:rsid w:val="005B6CC3"/>
    <w:rsid w:val="005B6F9C"/>
    <w:rsid w:val="005C0D55"/>
    <w:rsid w:val="005C3943"/>
    <w:rsid w:val="005C43E2"/>
    <w:rsid w:val="005C4A25"/>
    <w:rsid w:val="005C4F41"/>
    <w:rsid w:val="005C4F5A"/>
    <w:rsid w:val="005C6190"/>
    <w:rsid w:val="005C671E"/>
    <w:rsid w:val="005D0177"/>
    <w:rsid w:val="005D2722"/>
    <w:rsid w:val="005D4FBA"/>
    <w:rsid w:val="005D5849"/>
    <w:rsid w:val="005D74DA"/>
    <w:rsid w:val="005D7726"/>
    <w:rsid w:val="005D7A9C"/>
    <w:rsid w:val="005E0532"/>
    <w:rsid w:val="005E1C7C"/>
    <w:rsid w:val="005E2B47"/>
    <w:rsid w:val="005E3E3D"/>
    <w:rsid w:val="005E40B0"/>
    <w:rsid w:val="005E4DE5"/>
    <w:rsid w:val="005E640F"/>
    <w:rsid w:val="005E6943"/>
    <w:rsid w:val="005E6F98"/>
    <w:rsid w:val="005E7F44"/>
    <w:rsid w:val="005F3B78"/>
    <w:rsid w:val="005F4205"/>
    <w:rsid w:val="005F467D"/>
    <w:rsid w:val="005F56F8"/>
    <w:rsid w:val="00600136"/>
    <w:rsid w:val="006001B1"/>
    <w:rsid w:val="00603217"/>
    <w:rsid w:val="00605A85"/>
    <w:rsid w:val="006069EE"/>
    <w:rsid w:val="00607EC1"/>
    <w:rsid w:val="00612DEA"/>
    <w:rsid w:val="0061337A"/>
    <w:rsid w:val="00613597"/>
    <w:rsid w:val="0061478F"/>
    <w:rsid w:val="00614B0B"/>
    <w:rsid w:val="00615A7E"/>
    <w:rsid w:val="00615AC3"/>
    <w:rsid w:val="0061686B"/>
    <w:rsid w:val="0061724A"/>
    <w:rsid w:val="0062387E"/>
    <w:rsid w:val="00625B5D"/>
    <w:rsid w:val="0062727A"/>
    <w:rsid w:val="00627AD5"/>
    <w:rsid w:val="00634648"/>
    <w:rsid w:val="006357BD"/>
    <w:rsid w:val="00635D9C"/>
    <w:rsid w:val="00636E91"/>
    <w:rsid w:val="0063715B"/>
    <w:rsid w:val="00637955"/>
    <w:rsid w:val="0064063D"/>
    <w:rsid w:val="00640EB3"/>
    <w:rsid w:val="0064165E"/>
    <w:rsid w:val="00644C70"/>
    <w:rsid w:val="0065040A"/>
    <w:rsid w:val="006507BB"/>
    <w:rsid w:val="0065100E"/>
    <w:rsid w:val="006529DD"/>
    <w:rsid w:val="0065315C"/>
    <w:rsid w:val="00654773"/>
    <w:rsid w:val="006607CB"/>
    <w:rsid w:val="006621DF"/>
    <w:rsid w:val="006637B7"/>
    <w:rsid w:val="006648C2"/>
    <w:rsid w:val="00665027"/>
    <w:rsid w:val="006668A0"/>
    <w:rsid w:val="00670AE8"/>
    <w:rsid w:val="00672DD3"/>
    <w:rsid w:val="006733E5"/>
    <w:rsid w:val="00673B45"/>
    <w:rsid w:val="00674550"/>
    <w:rsid w:val="00676076"/>
    <w:rsid w:val="00676242"/>
    <w:rsid w:val="00682BBB"/>
    <w:rsid w:val="00683D5A"/>
    <w:rsid w:val="00686112"/>
    <w:rsid w:val="00687058"/>
    <w:rsid w:val="006905F1"/>
    <w:rsid w:val="00690E27"/>
    <w:rsid w:val="00691F27"/>
    <w:rsid w:val="0069275E"/>
    <w:rsid w:val="0069611A"/>
    <w:rsid w:val="006965A5"/>
    <w:rsid w:val="00696D74"/>
    <w:rsid w:val="006A15D2"/>
    <w:rsid w:val="006A1973"/>
    <w:rsid w:val="006A3221"/>
    <w:rsid w:val="006A34BD"/>
    <w:rsid w:val="006A4370"/>
    <w:rsid w:val="006A63C8"/>
    <w:rsid w:val="006A7284"/>
    <w:rsid w:val="006B0DF8"/>
    <w:rsid w:val="006B11B8"/>
    <w:rsid w:val="006B251A"/>
    <w:rsid w:val="006B3314"/>
    <w:rsid w:val="006B353E"/>
    <w:rsid w:val="006B4625"/>
    <w:rsid w:val="006B7A78"/>
    <w:rsid w:val="006C011E"/>
    <w:rsid w:val="006C21FE"/>
    <w:rsid w:val="006C6C6B"/>
    <w:rsid w:val="006D02E0"/>
    <w:rsid w:val="006D1F68"/>
    <w:rsid w:val="006D5253"/>
    <w:rsid w:val="006E0F2E"/>
    <w:rsid w:val="006E4824"/>
    <w:rsid w:val="006F1462"/>
    <w:rsid w:val="006F157C"/>
    <w:rsid w:val="006F4239"/>
    <w:rsid w:val="006F42B0"/>
    <w:rsid w:val="006F5D49"/>
    <w:rsid w:val="006F5E5A"/>
    <w:rsid w:val="00700CD1"/>
    <w:rsid w:val="00701CD5"/>
    <w:rsid w:val="00705855"/>
    <w:rsid w:val="00707057"/>
    <w:rsid w:val="00707EBF"/>
    <w:rsid w:val="007111AA"/>
    <w:rsid w:val="00711866"/>
    <w:rsid w:val="007121FB"/>
    <w:rsid w:val="00714BB6"/>
    <w:rsid w:val="00715E6F"/>
    <w:rsid w:val="0071655D"/>
    <w:rsid w:val="007174DA"/>
    <w:rsid w:val="007177FC"/>
    <w:rsid w:val="00720856"/>
    <w:rsid w:val="00720CDA"/>
    <w:rsid w:val="00723B59"/>
    <w:rsid w:val="00725C58"/>
    <w:rsid w:val="00731798"/>
    <w:rsid w:val="007335AC"/>
    <w:rsid w:val="007343A8"/>
    <w:rsid w:val="00734693"/>
    <w:rsid w:val="00735286"/>
    <w:rsid w:val="00735E52"/>
    <w:rsid w:val="00736B6F"/>
    <w:rsid w:val="00737113"/>
    <w:rsid w:val="00740256"/>
    <w:rsid w:val="00746802"/>
    <w:rsid w:val="00746C80"/>
    <w:rsid w:val="00750498"/>
    <w:rsid w:val="00752957"/>
    <w:rsid w:val="007535DD"/>
    <w:rsid w:val="00753E2D"/>
    <w:rsid w:val="00754F2D"/>
    <w:rsid w:val="00755EFE"/>
    <w:rsid w:val="00756F81"/>
    <w:rsid w:val="00756FFA"/>
    <w:rsid w:val="0075715F"/>
    <w:rsid w:val="0075780B"/>
    <w:rsid w:val="0076096F"/>
    <w:rsid w:val="007619DA"/>
    <w:rsid w:val="007625C9"/>
    <w:rsid w:val="00763373"/>
    <w:rsid w:val="0076454C"/>
    <w:rsid w:val="00766590"/>
    <w:rsid w:val="007669C1"/>
    <w:rsid w:val="007702C2"/>
    <w:rsid w:val="00771E0D"/>
    <w:rsid w:val="00780C19"/>
    <w:rsid w:val="00783EDE"/>
    <w:rsid w:val="00785FB2"/>
    <w:rsid w:val="00786F42"/>
    <w:rsid w:val="00787AC0"/>
    <w:rsid w:val="00792428"/>
    <w:rsid w:val="00793B51"/>
    <w:rsid w:val="00794D15"/>
    <w:rsid w:val="007954D8"/>
    <w:rsid w:val="00796BFA"/>
    <w:rsid w:val="00797E3D"/>
    <w:rsid w:val="007A0A40"/>
    <w:rsid w:val="007A0EE3"/>
    <w:rsid w:val="007A1771"/>
    <w:rsid w:val="007A1BB0"/>
    <w:rsid w:val="007A2516"/>
    <w:rsid w:val="007A2591"/>
    <w:rsid w:val="007A2CE8"/>
    <w:rsid w:val="007A44D9"/>
    <w:rsid w:val="007A48E0"/>
    <w:rsid w:val="007A4DD9"/>
    <w:rsid w:val="007A6D02"/>
    <w:rsid w:val="007B1433"/>
    <w:rsid w:val="007B41A8"/>
    <w:rsid w:val="007B578F"/>
    <w:rsid w:val="007B760E"/>
    <w:rsid w:val="007C01EC"/>
    <w:rsid w:val="007C15B9"/>
    <w:rsid w:val="007C27DE"/>
    <w:rsid w:val="007C4AEA"/>
    <w:rsid w:val="007C4F4B"/>
    <w:rsid w:val="007C6758"/>
    <w:rsid w:val="007D26FD"/>
    <w:rsid w:val="007D5E59"/>
    <w:rsid w:val="007D6BCD"/>
    <w:rsid w:val="007D6C06"/>
    <w:rsid w:val="007E11B8"/>
    <w:rsid w:val="007E51BD"/>
    <w:rsid w:val="007F02DF"/>
    <w:rsid w:val="007F1635"/>
    <w:rsid w:val="007F3663"/>
    <w:rsid w:val="0080033D"/>
    <w:rsid w:val="0080039C"/>
    <w:rsid w:val="00800FEB"/>
    <w:rsid w:val="0080120C"/>
    <w:rsid w:val="0080264C"/>
    <w:rsid w:val="00802999"/>
    <w:rsid w:val="008030F4"/>
    <w:rsid w:val="008031A1"/>
    <w:rsid w:val="008037D4"/>
    <w:rsid w:val="0080624D"/>
    <w:rsid w:val="00810A0A"/>
    <w:rsid w:val="00810A18"/>
    <w:rsid w:val="008116A7"/>
    <w:rsid w:val="0081208C"/>
    <w:rsid w:val="0081378C"/>
    <w:rsid w:val="00813DC3"/>
    <w:rsid w:val="0081486B"/>
    <w:rsid w:val="00814C67"/>
    <w:rsid w:val="00816426"/>
    <w:rsid w:val="0081694B"/>
    <w:rsid w:val="00817A17"/>
    <w:rsid w:val="0082089B"/>
    <w:rsid w:val="00821EB1"/>
    <w:rsid w:val="008248EA"/>
    <w:rsid w:val="00824B30"/>
    <w:rsid w:val="00826878"/>
    <w:rsid w:val="00826F53"/>
    <w:rsid w:val="008315D1"/>
    <w:rsid w:val="00831EC2"/>
    <w:rsid w:val="00832E8C"/>
    <w:rsid w:val="00833378"/>
    <w:rsid w:val="00833403"/>
    <w:rsid w:val="00834AC1"/>
    <w:rsid w:val="008366E6"/>
    <w:rsid w:val="00836A8F"/>
    <w:rsid w:val="0084154B"/>
    <w:rsid w:val="008416C8"/>
    <w:rsid w:val="00841E00"/>
    <w:rsid w:val="0084515E"/>
    <w:rsid w:val="008452F5"/>
    <w:rsid w:val="00845AAA"/>
    <w:rsid w:val="00847AD8"/>
    <w:rsid w:val="00850091"/>
    <w:rsid w:val="0085045A"/>
    <w:rsid w:val="0085079A"/>
    <w:rsid w:val="00850E11"/>
    <w:rsid w:val="00853B66"/>
    <w:rsid w:val="00853C07"/>
    <w:rsid w:val="00853DFE"/>
    <w:rsid w:val="00854975"/>
    <w:rsid w:val="00856D12"/>
    <w:rsid w:val="00857C67"/>
    <w:rsid w:val="0086015F"/>
    <w:rsid w:val="00861499"/>
    <w:rsid w:val="00861CE2"/>
    <w:rsid w:val="008625AE"/>
    <w:rsid w:val="008646C0"/>
    <w:rsid w:val="008667FD"/>
    <w:rsid w:val="008672FB"/>
    <w:rsid w:val="008675D1"/>
    <w:rsid w:val="00867959"/>
    <w:rsid w:val="008702C1"/>
    <w:rsid w:val="00871BF8"/>
    <w:rsid w:val="00872E78"/>
    <w:rsid w:val="008817D3"/>
    <w:rsid w:val="00883AEE"/>
    <w:rsid w:val="00883B19"/>
    <w:rsid w:val="0088504C"/>
    <w:rsid w:val="00886E42"/>
    <w:rsid w:val="008872A0"/>
    <w:rsid w:val="008875CC"/>
    <w:rsid w:val="0088763A"/>
    <w:rsid w:val="00892B67"/>
    <w:rsid w:val="00892DAF"/>
    <w:rsid w:val="00893623"/>
    <w:rsid w:val="0089471F"/>
    <w:rsid w:val="00895198"/>
    <w:rsid w:val="0089613B"/>
    <w:rsid w:val="00896256"/>
    <w:rsid w:val="00896330"/>
    <w:rsid w:val="008A19C7"/>
    <w:rsid w:val="008A1C5F"/>
    <w:rsid w:val="008A4F05"/>
    <w:rsid w:val="008A5C79"/>
    <w:rsid w:val="008A5F1C"/>
    <w:rsid w:val="008A622E"/>
    <w:rsid w:val="008A6C21"/>
    <w:rsid w:val="008A7886"/>
    <w:rsid w:val="008A78ED"/>
    <w:rsid w:val="008B0DC9"/>
    <w:rsid w:val="008B171A"/>
    <w:rsid w:val="008B3841"/>
    <w:rsid w:val="008B42CE"/>
    <w:rsid w:val="008B593F"/>
    <w:rsid w:val="008B5BA1"/>
    <w:rsid w:val="008B62ED"/>
    <w:rsid w:val="008B6677"/>
    <w:rsid w:val="008B74EE"/>
    <w:rsid w:val="008C02D0"/>
    <w:rsid w:val="008C6A77"/>
    <w:rsid w:val="008C6A7E"/>
    <w:rsid w:val="008C7B2E"/>
    <w:rsid w:val="008D147D"/>
    <w:rsid w:val="008D19E7"/>
    <w:rsid w:val="008D2047"/>
    <w:rsid w:val="008D351F"/>
    <w:rsid w:val="008D55ED"/>
    <w:rsid w:val="008D7A30"/>
    <w:rsid w:val="008E1438"/>
    <w:rsid w:val="008E17FE"/>
    <w:rsid w:val="008E2244"/>
    <w:rsid w:val="008E249A"/>
    <w:rsid w:val="008E2D57"/>
    <w:rsid w:val="008F2A3D"/>
    <w:rsid w:val="008F2EBA"/>
    <w:rsid w:val="008F3F1C"/>
    <w:rsid w:val="008F45A9"/>
    <w:rsid w:val="008F690F"/>
    <w:rsid w:val="008F6FA7"/>
    <w:rsid w:val="009005F1"/>
    <w:rsid w:val="00901CD6"/>
    <w:rsid w:val="00902536"/>
    <w:rsid w:val="00906E36"/>
    <w:rsid w:val="00907A4D"/>
    <w:rsid w:val="009131CA"/>
    <w:rsid w:val="00914928"/>
    <w:rsid w:val="0091709C"/>
    <w:rsid w:val="00917C71"/>
    <w:rsid w:val="009212B8"/>
    <w:rsid w:val="00921852"/>
    <w:rsid w:val="0092272B"/>
    <w:rsid w:val="0092320F"/>
    <w:rsid w:val="0092352C"/>
    <w:rsid w:val="00930786"/>
    <w:rsid w:val="00931F01"/>
    <w:rsid w:val="00932D59"/>
    <w:rsid w:val="009331BC"/>
    <w:rsid w:val="00933453"/>
    <w:rsid w:val="009363D5"/>
    <w:rsid w:val="00937178"/>
    <w:rsid w:val="00937516"/>
    <w:rsid w:val="00941B95"/>
    <w:rsid w:val="009423B3"/>
    <w:rsid w:val="00942B6A"/>
    <w:rsid w:val="009438CB"/>
    <w:rsid w:val="00944B00"/>
    <w:rsid w:val="00944B9F"/>
    <w:rsid w:val="00944BB2"/>
    <w:rsid w:val="00944D12"/>
    <w:rsid w:val="00945192"/>
    <w:rsid w:val="00945470"/>
    <w:rsid w:val="00947136"/>
    <w:rsid w:val="00947B47"/>
    <w:rsid w:val="00952381"/>
    <w:rsid w:val="00954E64"/>
    <w:rsid w:val="00955A5A"/>
    <w:rsid w:val="009567CA"/>
    <w:rsid w:val="00960197"/>
    <w:rsid w:val="00963F9E"/>
    <w:rsid w:val="00964D4B"/>
    <w:rsid w:val="00967547"/>
    <w:rsid w:val="009700B9"/>
    <w:rsid w:val="00971868"/>
    <w:rsid w:val="009718E1"/>
    <w:rsid w:val="00973D86"/>
    <w:rsid w:val="00974CF6"/>
    <w:rsid w:val="00977386"/>
    <w:rsid w:val="00977ADE"/>
    <w:rsid w:val="00980481"/>
    <w:rsid w:val="00980DE1"/>
    <w:rsid w:val="0098180A"/>
    <w:rsid w:val="00982467"/>
    <w:rsid w:val="00982C72"/>
    <w:rsid w:val="009843F8"/>
    <w:rsid w:val="0098642D"/>
    <w:rsid w:val="00986B33"/>
    <w:rsid w:val="0098797C"/>
    <w:rsid w:val="00993A03"/>
    <w:rsid w:val="00994057"/>
    <w:rsid w:val="0099428B"/>
    <w:rsid w:val="009942A9"/>
    <w:rsid w:val="009A04BF"/>
    <w:rsid w:val="009A1A18"/>
    <w:rsid w:val="009A3D41"/>
    <w:rsid w:val="009A6F04"/>
    <w:rsid w:val="009A709F"/>
    <w:rsid w:val="009A778D"/>
    <w:rsid w:val="009A77A4"/>
    <w:rsid w:val="009B193B"/>
    <w:rsid w:val="009B2DE3"/>
    <w:rsid w:val="009B34C8"/>
    <w:rsid w:val="009B4DFF"/>
    <w:rsid w:val="009B6287"/>
    <w:rsid w:val="009B69C5"/>
    <w:rsid w:val="009B7465"/>
    <w:rsid w:val="009B74DC"/>
    <w:rsid w:val="009B7EB8"/>
    <w:rsid w:val="009C0343"/>
    <w:rsid w:val="009C03DD"/>
    <w:rsid w:val="009C06A7"/>
    <w:rsid w:val="009C2C64"/>
    <w:rsid w:val="009C361A"/>
    <w:rsid w:val="009C3AF9"/>
    <w:rsid w:val="009C5AD0"/>
    <w:rsid w:val="009C5CC4"/>
    <w:rsid w:val="009C6097"/>
    <w:rsid w:val="009C7743"/>
    <w:rsid w:val="009D13CB"/>
    <w:rsid w:val="009D1665"/>
    <w:rsid w:val="009D16C1"/>
    <w:rsid w:val="009D557F"/>
    <w:rsid w:val="009D75AA"/>
    <w:rsid w:val="009D78CB"/>
    <w:rsid w:val="009E16A6"/>
    <w:rsid w:val="009E1D33"/>
    <w:rsid w:val="009E2CE2"/>
    <w:rsid w:val="009E3280"/>
    <w:rsid w:val="009E38E0"/>
    <w:rsid w:val="009E5E9F"/>
    <w:rsid w:val="009E6CE8"/>
    <w:rsid w:val="009F2335"/>
    <w:rsid w:val="009F3CD9"/>
    <w:rsid w:val="009F40F4"/>
    <w:rsid w:val="009F4503"/>
    <w:rsid w:val="009F5A61"/>
    <w:rsid w:val="009F5DB6"/>
    <w:rsid w:val="009F5EE9"/>
    <w:rsid w:val="009F6283"/>
    <w:rsid w:val="00A0097F"/>
    <w:rsid w:val="00A04F95"/>
    <w:rsid w:val="00A06E94"/>
    <w:rsid w:val="00A114E4"/>
    <w:rsid w:val="00A13F3F"/>
    <w:rsid w:val="00A1526C"/>
    <w:rsid w:val="00A16F46"/>
    <w:rsid w:val="00A17908"/>
    <w:rsid w:val="00A20F9B"/>
    <w:rsid w:val="00A214A4"/>
    <w:rsid w:val="00A21B62"/>
    <w:rsid w:val="00A22124"/>
    <w:rsid w:val="00A22877"/>
    <w:rsid w:val="00A22F7B"/>
    <w:rsid w:val="00A24E6F"/>
    <w:rsid w:val="00A26EF3"/>
    <w:rsid w:val="00A32BFF"/>
    <w:rsid w:val="00A33F4B"/>
    <w:rsid w:val="00A341B2"/>
    <w:rsid w:val="00A4378D"/>
    <w:rsid w:val="00A44CC7"/>
    <w:rsid w:val="00A44EBB"/>
    <w:rsid w:val="00A4745D"/>
    <w:rsid w:val="00A50016"/>
    <w:rsid w:val="00A513CA"/>
    <w:rsid w:val="00A51EED"/>
    <w:rsid w:val="00A525EA"/>
    <w:rsid w:val="00A53820"/>
    <w:rsid w:val="00A53E8D"/>
    <w:rsid w:val="00A55813"/>
    <w:rsid w:val="00A573F6"/>
    <w:rsid w:val="00A60C58"/>
    <w:rsid w:val="00A60C69"/>
    <w:rsid w:val="00A61040"/>
    <w:rsid w:val="00A61643"/>
    <w:rsid w:val="00A61C0F"/>
    <w:rsid w:val="00A6315B"/>
    <w:rsid w:val="00A63EF5"/>
    <w:rsid w:val="00A644D2"/>
    <w:rsid w:val="00A65609"/>
    <w:rsid w:val="00A65C9E"/>
    <w:rsid w:val="00A65F45"/>
    <w:rsid w:val="00A732DA"/>
    <w:rsid w:val="00A733D6"/>
    <w:rsid w:val="00A77294"/>
    <w:rsid w:val="00A80B6C"/>
    <w:rsid w:val="00A8148B"/>
    <w:rsid w:val="00A8186C"/>
    <w:rsid w:val="00A82281"/>
    <w:rsid w:val="00A83151"/>
    <w:rsid w:val="00A83222"/>
    <w:rsid w:val="00A84CCE"/>
    <w:rsid w:val="00A8580F"/>
    <w:rsid w:val="00A8603C"/>
    <w:rsid w:val="00A86BB4"/>
    <w:rsid w:val="00A86F9C"/>
    <w:rsid w:val="00A90F15"/>
    <w:rsid w:val="00A91BE1"/>
    <w:rsid w:val="00A92644"/>
    <w:rsid w:val="00A96007"/>
    <w:rsid w:val="00A96BC6"/>
    <w:rsid w:val="00A96E29"/>
    <w:rsid w:val="00A96F26"/>
    <w:rsid w:val="00AA014C"/>
    <w:rsid w:val="00AA0F86"/>
    <w:rsid w:val="00AA2108"/>
    <w:rsid w:val="00AA3027"/>
    <w:rsid w:val="00AA3224"/>
    <w:rsid w:val="00AA6854"/>
    <w:rsid w:val="00AA7AE7"/>
    <w:rsid w:val="00AA7BEE"/>
    <w:rsid w:val="00AB0A05"/>
    <w:rsid w:val="00AB411B"/>
    <w:rsid w:val="00AB5F5D"/>
    <w:rsid w:val="00AB7619"/>
    <w:rsid w:val="00AB7642"/>
    <w:rsid w:val="00AB76F2"/>
    <w:rsid w:val="00AB7DD9"/>
    <w:rsid w:val="00AC0EB5"/>
    <w:rsid w:val="00AC104E"/>
    <w:rsid w:val="00AC3D48"/>
    <w:rsid w:val="00AC4254"/>
    <w:rsid w:val="00AC44F8"/>
    <w:rsid w:val="00AC7586"/>
    <w:rsid w:val="00AD01AD"/>
    <w:rsid w:val="00AD0541"/>
    <w:rsid w:val="00AD0F9C"/>
    <w:rsid w:val="00AD1C9D"/>
    <w:rsid w:val="00AD2678"/>
    <w:rsid w:val="00AD49CB"/>
    <w:rsid w:val="00AD4CBE"/>
    <w:rsid w:val="00AD5FBB"/>
    <w:rsid w:val="00AD63F9"/>
    <w:rsid w:val="00AD66BB"/>
    <w:rsid w:val="00AD67F6"/>
    <w:rsid w:val="00AE16CF"/>
    <w:rsid w:val="00AE37B3"/>
    <w:rsid w:val="00AE3802"/>
    <w:rsid w:val="00AE57E5"/>
    <w:rsid w:val="00AF36B9"/>
    <w:rsid w:val="00AF4B48"/>
    <w:rsid w:val="00AF57ED"/>
    <w:rsid w:val="00AF5A6A"/>
    <w:rsid w:val="00AF73EA"/>
    <w:rsid w:val="00AF7813"/>
    <w:rsid w:val="00AF7B1B"/>
    <w:rsid w:val="00AF7F86"/>
    <w:rsid w:val="00B00350"/>
    <w:rsid w:val="00B00439"/>
    <w:rsid w:val="00B02047"/>
    <w:rsid w:val="00B03EFA"/>
    <w:rsid w:val="00B0506F"/>
    <w:rsid w:val="00B0583A"/>
    <w:rsid w:val="00B059C2"/>
    <w:rsid w:val="00B05C8F"/>
    <w:rsid w:val="00B06805"/>
    <w:rsid w:val="00B10A29"/>
    <w:rsid w:val="00B10C30"/>
    <w:rsid w:val="00B1146C"/>
    <w:rsid w:val="00B12397"/>
    <w:rsid w:val="00B17140"/>
    <w:rsid w:val="00B17E76"/>
    <w:rsid w:val="00B2012E"/>
    <w:rsid w:val="00B20463"/>
    <w:rsid w:val="00B23775"/>
    <w:rsid w:val="00B24223"/>
    <w:rsid w:val="00B243B7"/>
    <w:rsid w:val="00B25487"/>
    <w:rsid w:val="00B26BB0"/>
    <w:rsid w:val="00B3260A"/>
    <w:rsid w:val="00B32661"/>
    <w:rsid w:val="00B32E90"/>
    <w:rsid w:val="00B33468"/>
    <w:rsid w:val="00B33C28"/>
    <w:rsid w:val="00B422CF"/>
    <w:rsid w:val="00B4455A"/>
    <w:rsid w:val="00B457A7"/>
    <w:rsid w:val="00B46432"/>
    <w:rsid w:val="00B50691"/>
    <w:rsid w:val="00B50733"/>
    <w:rsid w:val="00B51590"/>
    <w:rsid w:val="00B53CFE"/>
    <w:rsid w:val="00B56404"/>
    <w:rsid w:val="00B5704C"/>
    <w:rsid w:val="00B57553"/>
    <w:rsid w:val="00B63863"/>
    <w:rsid w:val="00B63CE9"/>
    <w:rsid w:val="00B648C8"/>
    <w:rsid w:val="00B66E3F"/>
    <w:rsid w:val="00B6776F"/>
    <w:rsid w:val="00B71CF2"/>
    <w:rsid w:val="00B72760"/>
    <w:rsid w:val="00B729F9"/>
    <w:rsid w:val="00B7432C"/>
    <w:rsid w:val="00B75A7A"/>
    <w:rsid w:val="00B7745C"/>
    <w:rsid w:val="00B81229"/>
    <w:rsid w:val="00B8139B"/>
    <w:rsid w:val="00B82F02"/>
    <w:rsid w:val="00B83FB2"/>
    <w:rsid w:val="00B841AD"/>
    <w:rsid w:val="00B867F3"/>
    <w:rsid w:val="00B873D6"/>
    <w:rsid w:val="00B913E3"/>
    <w:rsid w:val="00B918EF"/>
    <w:rsid w:val="00B92F2B"/>
    <w:rsid w:val="00B93B34"/>
    <w:rsid w:val="00B94426"/>
    <w:rsid w:val="00B9584D"/>
    <w:rsid w:val="00B97117"/>
    <w:rsid w:val="00BA2532"/>
    <w:rsid w:val="00BA4D82"/>
    <w:rsid w:val="00BA5393"/>
    <w:rsid w:val="00BA6BD6"/>
    <w:rsid w:val="00BB050E"/>
    <w:rsid w:val="00BB09F8"/>
    <w:rsid w:val="00BB16A2"/>
    <w:rsid w:val="00BB1F8C"/>
    <w:rsid w:val="00BB631B"/>
    <w:rsid w:val="00BB7213"/>
    <w:rsid w:val="00BB7932"/>
    <w:rsid w:val="00BC1ED9"/>
    <w:rsid w:val="00BC1FB4"/>
    <w:rsid w:val="00BC21FE"/>
    <w:rsid w:val="00BC5830"/>
    <w:rsid w:val="00BD0436"/>
    <w:rsid w:val="00BD2E11"/>
    <w:rsid w:val="00BD4395"/>
    <w:rsid w:val="00BD5062"/>
    <w:rsid w:val="00BD5A4D"/>
    <w:rsid w:val="00BD5E1F"/>
    <w:rsid w:val="00BD64E9"/>
    <w:rsid w:val="00BD71B6"/>
    <w:rsid w:val="00BD7CE3"/>
    <w:rsid w:val="00BE0E98"/>
    <w:rsid w:val="00BE1071"/>
    <w:rsid w:val="00BE1BC1"/>
    <w:rsid w:val="00BE404F"/>
    <w:rsid w:val="00BE46F5"/>
    <w:rsid w:val="00BE4E2F"/>
    <w:rsid w:val="00BE55E8"/>
    <w:rsid w:val="00BE73AD"/>
    <w:rsid w:val="00BE7DBC"/>
    <w:rsid w:val="00BF14F0"/>
    <w:rsid w:val="00BF2343"/>
    <w:rsid w:val="00BF3C93"/>
    <w:rsid w:val="00BF4089"/>
    <w:rsid w:val="00BF52F8"/>
    <w:rsid w:val="00C00C21"/>
    <w:rsid w:val="00C01235"/>
    <w:rsid w:val="00C02710"/>
    <w:rsid w:val="00C04044"/>
    <w:rsid w:val="00C05DE1"/>
    <w:rsid w:val="00C10652"/>
    <w:rsid w:val="00C130E9"/>
    <w:rsid w:val="00C13E8D"/>
    <w:rsid w:val="00C1466C"/>
    <w:rsid w:val="00C15307"/>
    <w:rsid w:val="00C163C7"/>
    <w:rsid w:val="00C16FF2"/>
    <w:rsid w:val="00C17B9D"/>
    <w:rsid w:val="00C17E09"/>
    <w:rsid w:val="00C2068C"/>
    <w:rsid w:val="00C20D4E"/>
    <w:rsid w:val="00C21CC2"/>
    <w:rsid w:val="00C21DAD"/>
    <w:rsid w:val="00C21EC6"/>
    <w:rsid w:val="00C21FB0"/>
    <w:rsid w:val="00C22F58"/>
    <w:rsid w:val="00C2375E"/>
    <w:rsid w:val="00C2399C"/>
    <w:rsid w:val="00C2412E"/>
    <w:rsid w:val="00C243C5"/>
    <w:rsid w:val="00C2613D"/>
    <w:rsid w:val="00C261E1"/>
    <w:rsid w:val="00C2663F"/>
    <w:rsid w:val="00C266C7"/>
    <w:rsid w:val="00C271CB"/>
    <w:rsid w:val="00C27669"/>
    <w:rsid w:val="00C27752"/>
    <w:rsid w:val="00C30CE9"/>
    <w:rsid w:val="00C3143D"/>
    <w:rsid w:val="00C32C9B"/>
    <w:rsid w:val="00C32E8D"/>
    <w:rsid w:val="00C37DF7"/>
    <w:rsid w:val="00C42E2C"/>
    <w:rsid w:val="00C453A6"/>
    <w:rsid w:val="00C50E46"/>
    <w:rsid w:val="00C53B55"/>
    <w:rsid w:val="00C55090"/>
    <w:rsid w:val="00C6031B"/>
    <w:rsid w:val="00C61210"/>
    <w:rsid w:val="00C617E2"/>
    <w:rsid w:val="00C61D26"/>
    <w:rsid w:val="00C63177"/>
    <w:rsid w:val="00C649B1"/>
    <w:rsid w:val="00C649EF"/>
    <w:rsid w:val="00C64BE1"/>
    <w:rsid w:val="00C64F15"/>
    <w:rsid w:val="00C657DE"/>
    <w:rsid w:val="00C65D00"/>
    <w:rsid w:val="00C67CA2"/>
    <w:rsid w:val="00C7039C"/>
    <w:rsid w:val="00C70AA0"/>
    <w:rsid w:val="00C70C80"/>
    <w:rsid w:val="00C7559A"/>
    <w:rsid w:val="00C76FB7"/>
    <w:rsid w:val="00C80142"/>
    <w:rsid w:val="00C808D5"/>
    <w:rsid w:val="00C822B4"/>
    <w:rsid w:val="00C834EE"/>
    <w:rsid w:val="00C85202"/>
    <w:rsid w:val="00C86423"/>
    <w:rsid w:val="00C8761C"/>
    <w:rsid w:val="00C87CBF"/>
    <w:rsid w:val="00C94C24"/>
    <w:rsid w:val="00C954B2"/>
    <w:rsid w:val="00C95D50"/>
    <w:rsid w:val="00C96AD1"/>
    <w:rsid w:val="00CA0419"/>
    <w:rsid w:val="00CA3E7E"/>
    <w:rsid w:val="00CA6545"/>
    <w:rsid w:val="00CA6CEC"/>
    <w:rsid w:val="00CA71D0"/>
    <w:rsid w:val="00CA7FBD"/>
    <w:rsid w:val="00CB00D8"/>
    <w:rsid w:val="00CB0303"/>
    <w:rsid w:val="00CB0A49"/>
    <w:rsid w:val="00CB1138"/>
    <w:rsid w:val="00CB1EDC"/>
    <w:rsid w:val="00CB1F05"/>
    <w:rsid w:val="00CB408A"/>
    <w:rsid w:val="00CC42E5"/>
    <w:rsid w:val="00CC5569"/>
    <w:rsid w:val="00CC59B3"/>
    <w:rsid w:val="00CC67F6"/>
    <w:rsid w:val="00CD05B7"/>
    <w:rsid w:val="00CD2096"/>
    <w:rsid w:val="00CD4574"/>
    <w:rsid w:val="00CD55E0"/>
    <w:rsid w:val="00CE0406"/>
    <w:rsid w:val="00CE0614"/>
    <w:rsid w:val="00CE1201"/>
    <w:rsid w:val="00CE2983"/>
    <w:rsid w:val="00CE6AD1"/>
    <w:rsid w:val="00CE73C9"/>
    <w:rsid w:val="00CE7987"/>
    <w:rsid w:val="00CE7B8F"/>
    <w:rsid w:val="00CF0BFB"/>
    <w:rsid w:val="00CF4656"/>
    <w:rsid w:val="00CF6BEE"/>
    <w:rsid w:val="00CF73BB"/>
    <w:rsid w:val="00CF74F6"/>
    <w:rsid w:val="00D003C9"/>
    <w:rsid w:val="00D0082C"/>
    <w:rsid w:val="00D008DE"/>
    <w:rsid w:val="00D00BC8"/>
    <w:rsid w:val="00D02221"/>
    <w:rsid w:val="00D024C6"/>
    <w:rsid w:val="00D03195"/>
    <w:rsid w:val="00D0335D"/>
    <w:rsid w:val="00D035F5"/>
    <w:rsid w:val="00D11389"/>
    <w:rsid w:val="00D13188"/>
    <w:rsid w:val="00D13360"/>
    <w:rsid w:val="00D1381A"/>
    <w:rsid w:val="00D159E1"/>
    <w:rsid w:val="00D16125"/>
    <w:rsid w:val="00D17332"/>
    <w:rsid w:val="00D17F4C"/>
    <w:rsid w:val="00D22B85"/>
    <w:rsid w:val="00D22E5A"/>
    <w:rsid w:val="00D23DB2"/>
    <w:rsid w:val="00D24055"/>
    <w:rsid w:val="00D24D0E"/>
    <w:rsid w:val="00D2585D"/>
    <w:rsid w:val="00D25DEA"/>
    <w:rsid w:val="00D30762"/>
    <w:rsid w:val="00D315F8"/>
    <w:rsid w:val="00D3454A"/>
    <w:rsid w:val="00D34BE5"/>
    <w:rsid w:val="00D35200"/>
    <w:rsid w:val="00D37BE6"/>
    <w:rsid w:val="00D40D7B"/>
    <w:rsid w:val="00D41A89"/>
    <w:rsid w:val="00D429EF"/>
    <w:rsid w:val="00D42F3F"/>
    <w:rsid w:val="00D436C1"/>
    <w:rsid w:val="00D436F3"/>
    <w:rsid w:val="00D45F06"/>
    <w:rsid w:val="00D4713C"/>
    <w:rsid w:val="00D5040E"/>
    <w:rsid w:val="00D50ED5"/>
    <w:rsid w:val="00D53B48"/>
    <w:rsid w:val="00D55332"/>
    <w:rsid w:val="00D55568"/>
    <w:rsid w:val="00D565C4"/>
    <w:rsid w:val="00D56D31"/>
    <w:rsid w:val="00D57FBF"/>
    <w:rsid w:val="00D60F9F"/>
    <w:rsid w:val="00D650A1"/>
    <w:rsid w:val="00D65FF5"/>
    <w:rsid w:val="00D66E73"/>
    <w:rsid w:val="00D674B9"/>
    <w:rsid w:val="00D70146"/>
    <w:rsid w:val="00D7206E"/>
    <w:rsid w:val="00D732C4"/>
    <w:rsid w:val="00D73FFE"/>
    <w:rsid w:val="00D759DA"/>
    <w:rsid w:val="00D76CC8"/>
    <w:rsid w:val="00D775A6"/>
    <w:rsid w:val="00D8014F"/>
    <w:rsid w:val="00D81EEA"/>
    <w:rsid w:val="00D827F0"/>
    <w:rsid w:val="00D82DD9"/>
    <w:rsid w:val="00D8315E"/>
    <w:rsid w:val="00D85897"/>
    <w:rsid w:val="00D86F94"/>
    <w:rsid w:val="00D90085"/>
    <w:rsid w:val="00D90115"/>
    <w:rsid w:val="00D9094D"/>
    <w:rsid w:val="00D90D71"/>
    <w:rsid w:val="00D91AEC"/>
    <w:rsid w:val="00D92ECE"/>
    <w:rsid w:val="00D93C36"/>
    <w:rsid w:val="00D94DC0"/>
    <w:rsid w:val="00D9615F"/>
    <w:rsid w:val="00D96B2B"/>
    <w:rsid w:val="00DA055B"/>
    <w:rsid w:val="00DA1E6E"/>
    <w:rsid w:val="00DA2327"/>
    <w:rsid w:val="00DA252A"/>
    <w:rsid w:val="00DA61D2"/>
    <w:rsid w:val="00DA67FB"/>
    <w:rsid w:val="00DB0333"/>
    <w:rsid w:val="00DB0A5F"/>
    <w:rsid w:val="00DB14B0"/>
    <w:rsid w:val="00DB5037"/>
    <w:rsid w:val="00DB5571"/>
    <w:rsid w:val="00DB5779"/>
    <w:rsid w:val="00DB6650"/>
    <w:rsid w:val="00DC0499"/>
    <w:rsid w:val="00DC09D8"/>
    <w:rsid w:val="00DC0C30"/>
    <w:rsid w:val="00DC130A"/>
    <w:rsid w:val="00DC23E0"/>
    <w:rsid w:val="00DC3CCF"/>
    <w:rsid w:val="00DC3D6E"/>
    <w:rsid w:val="00DC543B"/>
    <w:rsid w:val="00DC5FC8"/>
    <w:rsid w:val="00DC60ED"/>
    <w:rsid w:val="00DC675B"/>
    <w:rsid w:val="00DC6906"/>
    <w:rsid w:val="00DD0B4E"/>
    <w:rsid w:val="00DD39A8"/>
    <w:rsid w:val="00DD3E74"/>
    <w:rsid w:val="00DD4C0F"/>
    <w:rsid w:val="00DD5632"/>
    <w:rsid w:val="00DD5C8E"/>
    <w:rsid w:val="00DE2948"/>
    <w:rsid w:val="00DE43C7"/>
    <w:rsid w:val="00DE5AC2"/>
    <w:rsid w:val="00DE5F30"/>
    <w:rsid w:val="00DE6C9E"/>
    <w:rsid w:val="00DF01B7"/>
    <w:rsid w:val="00DF092E"/>
    <w:rsid w:val="00DF0C98"/>
    <w:rsid w:val="00DF1B91"/>
    <w:rsid w:val="00DF2E39"/>
    <w:rsid w:val="00DF3ACD"/>
    <w:rsid w:val="00DF4267"/>
    <w:rsid w:val="00DF45EF"/>
    <w:rsid w:val="00DF4F00"/>
    <w:rsid w:val="00DF50C6"/>
    <w:rsid w:val="00DF5414"/>
    <w:rsid w:val="00DF7220"/>
    <w:rsid w:val="00DF7A25"/>
    <w:rsid w:val="00E04270"/>
    <w:rsid w:val="00E06485"/>
    <w:rsid w:val="00E07A45"/>
    <w:rsid w:val="00E11B24"/>
    <w:rsid w:val="00E12CDC"/>
    <w:rsid w:val="00E12F75"/>
    <w:rsid w:val="00E14277"/>
    <w:rsid w:val="00E14371"/>
    <w:rsid w:val="00E15B82"/>
    <w:rsid w:val="00E17F7F"/>
    <w:rsid w:val="00E2016F"/>
    <w:rsid w:val="00E20A8E"/>
    <w:rsid w:val="00E21C4A"/>
    <w:rsid w:val="00E23B3E"/>
    <w:rsid w:val="00E250CF"/>
    <w:rsid w:val="00E262B7"/>
    <w:rsid w:val="00E271A0"/>
    <w:rsid w:val="00E34F25"/>
    <w:rsid w:val="00E3672F"/>
    <w:rsid w:val="00E376B7"/>
    <w:rsid w:val="00E410E4"/>
    <w:rsid w:val="00E4346A"/>
    <w:rsid w:val="00E44630"/>
    <w:rsid w:val="00E50800"/>
    <w:rsid w:val="00E511AE"/>
    <w:rsid w:val="00E517B2"/>
    <w:rsid w:val="00E52060"/>
    <w:rsid w:val="00E54A74"/>
    <w:rsid w:val="00E5504B"/>
    <w:rsid w:val="00E55A89"/>
    <w:rsid w:val="00E55DDA"/>
    <w:rsid w:val="00E57389"/>
    <w:rsid w:val="00E66675"/>
    <w:rsid w:val="00E6677F"/>
    <w:rsid w:val="00E667D2"/>
    <w:rsid w:val="00E6712E"/>
    <w:rsid w:val="00E700DE"/>
    <w:rsid w:val="00E713BD"/>
    <w:rsid w:val="00E71E25"/>
    <w:rsid w:val="00E74CE9"/>
    <w:rsid w:val="00E74EB7"/>
    <w:rsid w:val="00E76E66"/>
    <w:rsid w:val="00E81E63"/>
    <w:rsid w:val="00E8623F"/>
    <w:rsid w:val="00E864FE"/>
    <w:rsid w:val="00E92E9F"/>
    <w:rsid w:val="00E97496"/>
    <w:rsid w:val="00E97B2D"/>
    <w:rsid w:val="00EA0B62"/>
    <w:rsid w:val="00EA2132"/>
    <w:rsid w:val="00EA265E"/>
    <w:rsid w:val="00EA4566"/>
    <w:rsid w:val="00EA69E9"/>
    <w:rsid w:val="00EA6BB9"/>
    <w:rsid w:val="00EB0342"/>
    <w:rsid w:val="00EB2E35"/>
    <w:rsid w:val="00EB3009"/>
    <w:rsid w:val="00EB3FFF"/>
    <w:rsid w:val="00EB69D9"/>
    <w:rsid w:val="00EC05E1"/>
    <w:rsid w:val="00EC32A8"/>
    <w:rsid w:val="00EC5BAB"/>
    <w:rsid w:val="00EC5E0A"/>
    <w:rsid w:val="00EC76AA"/>
    <w:rsid w:val="00EC7B7B"/>
    <w:rsid w:val="00ED1511"/>
    <w:rsid w:val="00ED152C"/>
    <w:rsid w:val="00ED5DCD"/>
    <w:rsid w:val="00ED7717"/>
    <w:rsid w:val="00EE3B1E"/>
    <w:rsid w:val="00EE687A"/>
    <w:rsid w:val="00EE6BAA"/>
    <w:rsid w:val="00EF20EE"/>
    <w:rsid w:val="00EF3234"/>
    <w:rsid w:val="00EF5357"/>
    <w:rsid w:val="00EF5F3B"/>
    <w:rsid w:val="00EF622E"/>
    <w:rsid w:val="00EF68BE"/>
    <w:rsid w:val="00EF77A9"/>
    <w:rsid w:val="00EF7B11"/>
    <w:rsid w:val="00EF7C80"/>
    <w:rsid w:val="00EF7D99"/>
    <w:rsid w:val="00F043E5"/>
    <w:rsid w:val="00F0483F"/>
    <w:rsid w:val="00F04FF5"/>
    <w:rsid w:val="00F06EF4"/>
    <w:rsid w:val="00F10A9C"/>
    <w:rsid w:val="00F13E95"/>
    <w:rsid w:val="00F1622F"/>
    <w:rsid w:val="00F16535"/>
    <w:rsid w:val="00F179F3"/>
    <w:rsid w:val="00F201A5"/>
    <w:rsid w:val="00F20B9B"/>
    <w:rsid w:val="00F212A7"/>
    <w:rsid w:val="00F23C7E"/>
    <w:rsid w:val="00F25019"/>
    <w:rsid w:val="00F255F0"/>
    <w:rsid w:val="00F26017"/>
    <w:rsid w:val="00F2645A"/>
    <w:rsid w:val="00F27C9A"/>
    <w:rsid w:val="00F308A2"/>
    <w:rsid w:val="00F30AC0"/>
    <w:rsid w:val="00F31F8F"/>
    <w:rsid w:val="00F32E75"/>
    <w:rsid w:val="00F340DD"/>
    <w:rsid w:val="00F353C2"/>
    <w:rsid w:val="00F378A8"/>
    <w:rsid w:val="00F37C27"/>
    <w:rsid w:val="00F37CF5"/>
    <w:rsid w:val="00F37E17"/>
    <w:rsid w:val="00F4094C"/>
    <w:rsid w:val="00F425CA"/>
    <w:rsid w:val="00F44B95"/>
    <w:rsid w:val="00F465B2"/>
    <w:rsid w:val="00F466F5"/>
    <w:rsid w:val="00F47EC1"/>
    <w:rsid w:val="00F47FA3"/>
    <w:rsid w:val="00F54BC8"/>
    <w:rsid w:val="00F60D28"/>
    <w:rsid w:val="00F616A6"/>
    <w:rsid w:val="00F61AD1"/>
    <w:rsid w:val="00F61D6F"/>
    <w:rsid w:val="00F631D3"/>
    <w:rsid w:val="00F64855"/>
    <w:rsid w:val="00F64939"/>
    <w:rsid w:val="00F665C0"/>
    <w:rsid w:val="00F672C4"/>
    <w:rsid w:val="00F67E48"/>
    <w:rsid w:val="00F70DC5"/>
    <w:rsid w:val="00F727C4"/>
    <w:rsid w:val="00F72BE0"/>
    <w:rsid w:val="00F7423C"/>
    <w:rsid w:val="00F754C8"/>
    <w:rsid w:val="00F75952"/>
    <w:rsid w:val="00F76110"/>
    <w:rsid w:val="00F76BBD"/>
    <w:rsid w:val="00F76BCA"/>
    <w:rsid w:val="00F76F25"/>
    <w:rsid w:val="00F80B87"/>
    <w:rsid w:val="00F83814"/>
    <w:rsid w:val="00F839DE"/>
    <w:rsid w:val="00F853F5"/>
    <w:rsid w:val="00F86022"/>
    <w:rsid w:val="00F873BC"/>
    <w:rsid w:val="00F8788F"/>
    <w:rsid w:val="00F90208"/>
    <w:rsid w:val="00F90962"/>
    <w:rsid w:val="00F91A4A"/>
    <w:rsid w:val="00F91DAD"/>
    <w:rsid w:val="00F91EFA"/>
    <w:rsid w:val="00F927DA"/>
    <w:rsid w:val="00F929B1"/>
    <w:rsid w:val="00F92A79"/>
    <w:rsid w:val="00F92BD3"/>
    <w:rsid w:val="00F93448"/>
    <w:rsid w:val="00F95417"/>
    <w:rsid w:val="00F96016"/>
    <w:rsid w:val="00F968CE"/>
    <w:rsid w:val="00FA0CF9"/>
    <w:rsid w:val="00FA2B16"/>
    <w:rsid w:val="00FA4162"/>
    <w:rsid w:val="00FA41A3"/>
    <w:rsid w:val="00FA4508"/>
    <w:rsid w:val="00FA6993"/>
    <w:rsid w:val="00FA762B"/>
    <w:rsid w:val="00FB29ED"/>
    <w:rsid w:val="00FB3972"/>
    <w:rsid w:val="00FB470D"/>
    <w:rsid w:val="00FB485F"/>
    <w:rsid w:val="00FB55D6"/>
    <w:rsid w:val="00FB58E0"/>
    <w:rsid w:val="00FB58E4"/>
    <w:rsid w:val="00FB6943"/>
    <w:rsid w:val="00FB7B38"/>
    <w:rsid w:val="00FC1A8E"/>
    <w:rsid w:val="00FC2896"/>
    <w:rsid w:val="00FC29BC"/>
    <w:rsid w:val="00FC3D5E"/>
    <w:rsid w:val="00FC3F54"/>
    <w:rsid w:val="00FC4DB2"/>
    <w:rsid w:val="00FC4EE8"/>
    <w:rsid w:val="00FC6FAF"/>
    <w:rsid w:val="00FD22D3"/>
    <w:rsid w:val="00FD3093"/>
    <w:rsid w:val="00FD4D87"/>
    <w:rsid w:val="00FD5634"/>
    <w:rsid w:val="00FD5A5E"/>
    <w:rsid w:val="00FD6432"/>
    <w:rsid w:val="00FD6488"/>
    <w:rsid w:val="00FD6906"/>
    <w:rsid w:val="00FD6DD9"/>
    <w:rsid w:val="00FD72C5"/>
    <w:rsid w:val="00FD764B"/>
    <w:rsid w:val="00FE1935"/>
    <w:rsid w:val="00FE37C0"/>
    <w:rsid w:val="00FE3F65"/>
    <w:rsid w:val="00FE50D4"/>
    <w:rsid w:val="00FF13E3"/>
    <w:rsid w:val="00FF388D"/>
    <w:rsid w:val="00FF419D"/>
    <w:rsid w:val="00FF73EC"/>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209FCC"/>
  <w15:chartTrackingRefBased/>
  <w15:docId w15:val="{95B2FB42-8A6B-4844-9472-A7298C042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hu-HU"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1BE1"/>
    <w:pPr>
      <w:spacing w:after="0" w:line="288" w:lineRule="auto"/>
      <w:jc w:val="both"/>
    </w:pPr>
    <w:rPr>
      <w:rFonts w:ascii="Times New Roman" w:eastAsia="Times New Roman" w:hAnsi="Times New Roman" w:cs="Times New Roman"/>
      <w:kern w:val="0"/>
      <w:sz w:val="22"/>
      <w:szCs w:val="22"/>
      <w:lang w:val="en-GB"/>
      <w14:ligatures w14:val="none"/>
    </w:rPr>
  </w:style>
  <w:style w:type="paragraph" w:styleId="Heading1">
    <w:name w:val="heading 1"/>
    <w:basedOn w:val="Normal"/>
    <w:next w:val="Normal"/>
    <w:link w:val="Heading1Char"/>
    <w:qFormat/>
    <w:rsid w:val="00495AB1"/>
    <w:pPr>
      <w:keepNext/>
      <w:keepLines/>
      <w:spacing w:before="360" w:after="80"/>
      <w:outlineLvl w:val="0"/>
    </w:pPr>
    <w:rPr>
      <w:rFonts w:eastAsiaTheme="majorEastAsia" w:cstheme="majorBidi"/>
      <w:b/>
      <w:color w:val="0E2841" w:themeColor="text2"/>
      <w:sz w:val="30"/>
      <w:szCs w:val="40"/>
    </w:rPr>
  </w:style>
  <w:style w:type="paragraph" w:styleId="Heading2">
    <w:name w:val="heading 2"/>
    <w:basedOn w:val="Normal"/>
    <w:next w:val="Normal"/>
    <w:link w:val="Heading2Char"/>
    <w:unhideWhenUsed/>
    <w:qFormat/>
    <w:rsid w:val="00495AB1"/>
    <w:pPr>
      <w:keepNext/>
      <w:keepLines/>
      <w:spacing w:before="160" w:after="80"/>
      <w:outlineLvl w:val="1"/>
    </w:pPr>
    <w:rPr>
      <w:rFonts w:eastAsiaTheme="majorEastAsia" w:cstheme="majorBidi"/>
      <w:b/>
      <w:color w:val="0E2841" w:themeColor="text2"/>
      <w:sz w:val="24"/>
      <w:szCs w:val="32"/>
    </w:rPr>
  </w:style>
  <w:style w:type="paragraph" w:styleId="Heading3">
    <w:name w:val="heading 3"/>
    <w:basedOn w:val="Normal"/>
    <w:next w:val="Normal"/>
    <w:link w:val="Heading3Char"/>
    <w:unhideWhenUsed/>
    <w:qFormat/>
    <w:rsid w:val="00BD2E11"/>
    <w:pPr>
      <w:keepNext/>
      <w:keepLines/>
      <w:spacing w:before="160" w:after="80"/>
      <w:outlineLvl w:val="2"/>
    </w:pPr>
    <w:rPr>
      <w:rFonts w:eastAsiaTheme="majorEastAsia" w:cstheme="majorBidi"/>
      <w:szCs w:val="28"/>
    </w:rPr>
  </w:style>
  <w:style w:type="paragraph" w:styleId="Heading4">
    <w:name w:val="heading 4"/>
    <w:basedOn w:val="Normal"/>
    <w:next w:val="Normal"/>
    <w:link w:val="Heading4Char"/>
    <w:unhideWhenUsed/>
    <w:qFormat/>
    <w:rsid w:val="00C6121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nhideWhenUsed/>
    <w:qFormat/>
    <w:rsid w:val="00C6121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nhideWhenUsed/>
    <w:qFormat/>
    <w:rsid w:val="00C6121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nhideWhenUsed/>
    <w:qFormat/>
    <w:rsid w:val="00C6121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nhideWhenUsed/>
    <w:qFormat/>
    <w:rsid w:val="00C6121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nhideWhenUsed/>
    <w:qFormat/>
    <w:rsid w:val="00C6121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95AB1"/>
    <w:rPr>
      <w:rFonts w:ascii="Times New Roman" w:eastAsiaTheme="majorEastAsia" w:hAnsi="Times New Roman" w:cstheme="majorBidi"/>
      <w:b/>
      <w:color w:val="0E2841" w:themeColor="text2"/>
      <w:kern w:val="0"/>
      <w:sz w:val="30"/>
      <w:szCs w:val="40"/>
      <w:lang w:val="en-US"/>
      <w14:ligatures w14:val="none"/>
    </w:rPr>
  </w:style>
  <w:style w:type="character" w:customStyle="1" w:styleId="Heading2Char">
    <w:name w:val="Heading 2 Char"/>
    <w:basedOn w:val="DefaultParagraphFont"/>
    <w:link w:val="Heading2"/>
    <w:uiPriority w:val="9"/>
    <w:rsid w:val="00495AB1"/>
    <w:rPr>
      <w:rFonts w:ascii="Times New Roman" w:eastAsiaTheme="majorEastAsia" w:hAnsi="Times New Roman" w:cstheme="majorBidi"/>
      <w:b/>
      <w:color w:val="0E2841" w:themeColor="text2"/>
      <w:kern w:val="0"/>
      <w:szCs w:val="32"/>
      <w:lang w:val="en-US"/>
      <w14:ligatures w14:val="none"/>
    </w:rPr>
  </w:style>
  <w:style w:type="character" w:customStyle="1" w:styleId="Heading3Char">
    <w:name w:val="Heading 3 Char"/>
    <w:basedOn w:val="DefaultParagraphFont"/>
    <w:link w:val="Heading3"/>
    <w:uiPriority w:val="9"/>
    <w:rsid w:val="00BD2E11"/>
    <w:rPr>
      <w:rFonts w:ascii="Times New Roman" w:eastAsiaTheme="majorEastAsia" w:hAnsi="Times New Roman" w:cstheme="majorBidi"/>
      <w:kern w:val="0"/>
      <w:sz w:val="22"/>
      <w:szCs w:val="28"/>
      <w:lang w:val="en-US"/>
      <w14:ligatures w14:val="none"/>
    </w:rPr>
  </w:style>
  <w:style w:type="character" w:customStyle="1" w:styleId="Heading4Char">
    <w:name w:val="Heading 4 Char"/>
    <w:basedOn w:val="DefaultParagraphFont"/>
    <w:link w:val="Heading4"/>
    <w:rsid w:val="00C61210"/>
    <w:rPr>
      <w:rFonts w:eastAsiaTheme="majorEastAsia" w:cstheme="majorBidi"/>
      <w:i/>
      <w:iCs/>
      <w:color w:val="0F4761" w:themeColor="accent1" w:themeShade="BF"/>
    </w:rPr>
  </w:style>
  <w:style w:type="character" w:customStyle="1" w:styleId="Heading5Char">
    <w:name w:val="Heading 5 Char"/>
    <w:basedOn w:val="DefaultParagraphFont"/>
    <w:link w:val="Heading5"/>
    <w:rsid w:val="00C61210"/>
    <w:rPr>
      <w:rFonts w:eastAsiaTheme="majorEastAsia" w:cstheme="majorBidi"/>
      <w:color w:val="0F4761" w:themeColor="accent1" w:themeShade="BF"/>
    </w:rPr>
  </w:style>
  <w:style w:type="character" w:customStyle="1" w:styleId="Heading6Char">
    <w:name w:val="Heading 6 Char"/>
    <w:basedOn w:val="DefaultParagraphFont"/>
    <w:link w:val="Heading6"/>
    <w:rsid w:val="00C61210"/>
    <w:rPr>
      <w:rFonts w:eastAsiaTheme="majorEastAsia" w:cstheme="majorBidi"/>
      <w:i/>
      <w:iCs/>
      <w:color w:val="595959" w:themeColor="text1" w:themeTint="A6"/>
    </w:rPr>
  </w:style>
  <w:style w:type="character" w:customStyle="1" w:styleId="Heading7Char">
    <w:name w:val="Heading 7 Char"/>
    <w:basedOn w:val="DefaultParagraphFont"/>
    <w:link w:val="Heading7"/>
    <w:rsid w:val="00C61210"/>
    <w:rPr>
      <w:rFonts w:eastAsiaTheme="majorEastAsia" w:cstheme="majorBidi"/>
      <w:color w:val="595959" w:themeColor="text1" w:themeTint="A6"/>
    </w:rPr>
  </w:style>
  <w:style w:type="character" w:customStyle="1" w:styleId="Heading8Char">
    <w:name w:val="Heading 8 Char"/>
    <w:basedOn w:val="DefaultParagraphFont"/>
    <w:link w:val="Heading8"/>
    <w:rsid w:val="00C61210"/>
    <w:rPr>
      <w:rFonts w:eastAsiaTheme="majorEastAsia" w:cstheme="majorBidi"/>
      <w:i/>
      <w:iCs/>
      <w:color w:val="272727" w:themeColor="text1" w:themeTint="D8"/>
    </w:rPr>
  </w:style>
  <w:style w:type="character" w:customStyle="1" w:styleId="Heading9Char">
    <w:name w:val="Heading 9 Char"/>
    <w:basedOn w:val="DefaultParagraphFont"/>
    <w:link w:val="Heading9"/>
    <w:rsid w:val="00C61210"/>
    <w:rPr>
      <w:rFonts w:eastAsiaTheme="majorEastAsia" w:cstheme="majorBidi"/>
      <w:color w:val="272727" w:themeColor="text1" w:themeTint="D8"/>
    </w:rPr>
  </w:style>
  <w:style w:type="paragraph" w:styleId="Title">
    <w:name w:val="Title"/>
    <w:basedOn w:val="Normal"/>
    <w:next w:val="Normal"/>
    <w:link w:val="TitleChar"/>
    <w:uiPriority w:val="10"/>
    <w:qFormat/>
    <w:rsid w:val="00C6121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612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6121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6121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61210"/>
    <w:pPr>
      <w:spacing w:before="160"/>
      <w:jc w:val="center"/>
    </w:pPr>
    <w:rPr>
      <w:i/>
      <w:iCs/>
      <w:color w:val="404040" w:themeColor="text1" w:themeTint="BF"/>
    </w:rPr>
  </w:style>
  <w:style w:type="character" w:customStyle="1" w:styleId="QuoteChar">
    <w:name w:val="Quote Char"/>
    <w:basedOn w:val="DefaultParagraphFont"/>
    <w:link w:val="Quote"/>
    <w:uiPriority w:val="29"/>
    <w:rsid w:val="00C61210"/>
    <w:rPr>
      <w:i/>
      <w:iCs/>
      <w:color w:val="404040" w:themeColor="text1" w:themeTint="BF"/>
    </w:rPr>
  </w:style>
  <w:style w:type="paragraph" w:styleId="ListParagraph">
    <w:name w:val="List Paragraph"/>
    <w:aliases w:val="Resume Title,Listes,Citation List,Ha,List Paragraph1,Body,List Paragraph_Table bullets,Bullet List Paragraph,1st level - Bullet List Paragraph,Lettre d'introduction,Medium Grid 1 - Accent 21,AFW Body,Normal bullet 2,Paragrafo elenco"/>
    <w:basedOn w:val="Normal"/>
    <w:link w:val="ListParagraphChar"/>
    <w:uiPriority w:val="34"/>
    <w:qFormat/>
    <w:rsid w:val="00C61210"/>
    <w:pPr>
      <w:ind w:left="720"/>
      <w:contextualSpacing/>
    </w:pPr>
  </w:style>
  <w:style w:type="character" w:styleId="IntenseEmphasis">
    <w:name w:val="Intense Emphasis"/>
    <w:basedOn w:val="DefaultParagraphFont"/>
    <w:uiPriority w:val="21"/>
    <w:qFormat/>
    <w:rsid w:val="00C61210"/>
    <w:rPr>
      <w:i/>
      <w:iCs/>
      <w:color w:val="0F4761" w:themeColor="accent1" w:themeShade="BF"/>
    </w:rPr>
  </w:style>
  <w:style w:type="paragraph" w:styleId="IntenseQuote">
    <w:name w:val="Intense Quote"/>
    <w:basedOn w:val="Normal"/>
    <w:next w:val="Normal"/>
    <w:link w:val="IntenseQuoteChar"/>
    <w:uiPriority w:val="30"/>
    <w:qFormat/>
    <w:rsid w:val="00C6121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61210"/>
    <w:rPr>
      <w:i/>
      <w:iCs/>
      <w:color w:val="0F4761" w:themeColor="accent1" w:themeShade="BF"/>
    </w:rPr>
  </w:style>
  <w:style w:type="character" w:styleId="IntenseReference">
    <w:name w:val="Intense Reference"/>
    <w:basedOn w:val="DefaultParagraphFont"/>
    <w:uiPriority w:val="32"/>
    <w:qFormat/>
    <w:rsid w:val="00C61210"/>
    <w:rPr>
      <w:b/>
      <w:bCs/>
      <w:smallCaps/>
      <w:color w:val="0F4761" w:themeColor="accent1" w:themeShade="BF"/>
      <w:spacing w:val="5"/>
    </w:rPr>
  </w:style>
  <w:style w:type="paragraph" w:styleId="Footer">
    <w:name w:val="footer"/>
    <w:basedOn w:val="Normal"/>
    <w:link w:val="FooterChar"/>
    <w:qFormat/>
    <w:rsid w:val="00A91BE1"/>
  </w:style>
  <w:style w:type="character" w:customStyle="1" w:styleId="FooterChar">
    <w:name w:val="Footer Char"/>
    <w:basedOn w:val="DefaultParagraphFont"/>
    <w:link w:val="Footer"/>
    <w:rsid w:val="00A91BE1"/>
    <w:rPr>
      <w:rFonts w:ascii="Times New Roman" w:eastAsia="Times New Roman" w:hAnsi="Times New Roman" w:cs="Times New Roman"/>
      <w:kern w:val="0"/>
      <w:sz w:val="22"/>
      <w:szCs w:val="22"/>
      <w:lang w:val="en-US"/>
      <w14:ligatures w14:val="none"/>
    </w:rPr>
  </w:style>
  <w:style w:type="paragraph" w:styleId="FootnoteText">
    <w:name w:val="footnote text"/>
    <w:aliases w:val="Footnote text,Reference,Fußnote,Footnote Text Char Char,Footnote Text Char Char Char Char,Footnote Text1,Footnote Text Char Char Char,Fu§notentext Char,Fu§notentext Char1 Char1,Fu§notentext Char Char Char Char,o,fn,Fußn"/>
    <w:basedOn w:val="Normal"/>
    <w:link w:val="FootnoteTextChar"/>
    <w:qFormat/>
    <w:rsid w:val="00A91BE1"/>
    <w:pPr>
      <w:keepLines/>
      <w:spacing w:after="60" w:line="240" w:lineRule="auto"/>
      <w:ind w:left="567" w:hanging="567"/>
    </w:pPr>
    <w:rPr>
      <w:sz w:val="16"/>
    </w:rPr>
  </w:style>
  <w:style w:type="character" w:customStyle="1" w:styleId="FootnoteTextChar">
    <w:name w:val="Footnote Text Char"/>
    <w:aliases w:val="Footnote text Char,Reference Char,Fußnote Char,Footnote Text Char Char Char1,Footnote Text Char Char Char Char Char,Footnote Text1 Char,Footnote Text Char Char Char Char1,Fu§notentext Char Char,Fu§notentext Char1 Char1 Char,o Char"/>
    <w:basedOn w:val="DefaultParagraphFont"/>
    <w:link w:val="FootnoteText"/>
    <w:rsid w:val="00A91BE1"/>
    <w:rPr>
      <w:rFonts w:ascii="Times New Roman" w:eastAsia="Times New Roman" w:hAnsi="Times New Roman" w:cs="Times New Roman"/>
      <w:kern w:val="0"/>
      <w:sz w:val="16"/>
      <w:szCs w:val="22"/>
      <w:lang w:val="en-US"/>
      <w14:ligatures w14:val="none"/>
    </w:rPr>
  </w:style>
  <w:style w:type="paragraph" w:styleId="Header">
    <w:name w:val="header"/>
    <w:basedOn w:val="Normal"/>
    <w:link w:val="HeaderChar"/>
    <w:qFormat/>
    <w:rsid w:val="00A91BE1"/>
  </w:style>
  <w:style w:type="character" w:customStyle="1" w:styleId="HeaderChar">
    <w:name w:val="Header Char"/>
    <w:basedOn w:val="DefaultParagraphFont"/>
    <w:link w:val="Header"/>
    <w:rsid w:val="00A91BE1"/>
    <w:rPr>
      <w:rFonts w:ascii="Times New Roman" w:eastAsia="Times New Roman" w:hAnsi="Times New Roman" w:cs="Times New Roman"/>
      <w:kern w:val="0"/>
      <w:sz w:val="22"/>
      <w:szCs w:val="22"/>
      <w:lang w:val="en-US"/>
      <w14:ligatures w14:val="none"/>
    </w:rPr>
  </w:style>
  <w:style w:type="paragraph" w:customStyle="1" w:styleId="quotes">
    <w:name w:val="quotes"/>
    <w:basedOn w:val="Normal"/>
    <w:next w:val="Normal"/>
    <w:rsid w:val="00A91BE1"/>
    <w:pPr>
      <w:ind w:left="720"/>
    </w:pPr>
    <w:rPr>
      <w:i/>
    </w:rPr>
  </w:style>
  <w:style w:type="character" w:styleId="FootnoteReference">
    <w:name w:val="footnote reference"/>
    <w:aliases w:val="Footnote Reference Superscript,BVI fnr, BVI fnr,Footnote symbol,EN Footnote Reference,Times 10 Point,Exposant 3 Point,Footnote reference number,note TESI,stylish,SUPERS,number,no...,Footnote,Ref,de nota al pie"/>
    <w:basedOn w:val="DefaultParagraphFont"/>
    <w:unhideWhenUsed/>
    <w:qFormat/>
    <w:rsid w:val="00A91BE1"/>
    <w:rPr>
      <w:sz w:val="24"/>
      <w:vertAlign w:val="superscript"/>
    </w:rPr>
  </w:style>
  <w:style w:type="table" w:styleId="TableGrid">
    <w:name w:val="Table Grid"/>
    <w:basedOn w:val="TableNormal"/>
    <w:uiPriority w:val="59"/>
    <w:rsid w:val="00A91BE1"/>
    <w:pPr>
      <w:spacing w:after="0" w:line="240" w:lineRule="auto"/>
    </w:pPr>
    <w:rPr>
      <w:kern w:val="0"/>
      <w:sz w:val="22"/>
      <w:szCs w:val="22"/>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A91BE1"/>
    <w:pPr>
      <w:spacing w:before="240" w:after="0" w:line="259" w:lineRule="auto"/>
      <w:outlineLvl w:val="9"/>
    </w:pPr>
    <w:rPr>
      <w:sz w:val="32"/>
      <w:szCs w:val="32"/>
    </w:rPr>
  </w:style>
  <w:style w:type="paragraph" w:styleId="TOC1">
    <w:name w:val="toc 1"/>
    <w:basedOn w:val="Normal"/>
    <w:next w:val="Normal"/>
    <w:autoRedefine/>
    <w:uiPriority w:val="39"/>
    <w:unhideWhenUsed/>
    <w:rsid w:val="008F6FA7"/>
    <w:pPr>
      <w:tabs>
        <w:tab w:val="left" w:pos="440"/>
        <w:tab w:val="right" w:leader="dot" w:pos="9063"/>
      </w:tabs>
      <w:spacing w:after="100"/>
    </w:pPr>
    <w:rPr>
      <w:b/>
      <w:noProof/>
      <w:color w:val="002060"/>
    </w:rPr>
  </w:style>
  <w:style w:type="paragraph" w:styleId="TOC2">
    <w:name w:val="toc 2"/>
    <w:basedOn w:val="Normal"/>
    <w:next w:val="Normal"/>
    <w:autoRedefine/>
    <w:uiPriority w:val="39"/>
    <w:unhideWhenUsed/>
    <w:rsid w:val="00A91BE1"/>
    <w:pPr>
      <w:spacing w:after="100"/>
      <w:ind w:left="220"/>
    </w:pPr>
  </w:style>
  <w:style w:type="character" w:styleId="Hyperlink">
    <w:name w:val="Hyperlink"/>
    <w:basedOn w:val="DefaultParagraphFont"/>
    <w:uiPriority w:val="99"/>
    <w:unhideWhenUsed/>
    <w:rsid w:val="00A91BE1"/>
    <w:rPr>
      <w:color w:val="467886" w:themeColor="hyperlink"/>
      <w:u w:val="single"/>
    </w:rPr>
  </w:style>
  <w:style w:type="character" w:customStyle="1" w:styleId="normaltextrun">
    <w:name w:val="normaltextrun"/>
    <w:basedOn w:val="DefaultParagraphFont"/>
    <w:rsid w:val="00A91BE1"/>
  </w:style>
  <w:style w:type="paragraph" w:customStyle="1" w:styleId="paragraph">
    <w:name w:val="paragraph"/>
    <w:basedOn w:val="Normal"/>
    <w:rsid w:val="00A91BE1"/>
    <w:pPr>
      <w:spacing w:before="100" w:beforeAutospacing="1" w:after="100" w:afterAutospacing="1" w:line="240" w:lineRule="auto"/>
      <w:jc w:val="left"/>
    </w:pPr>
    <w:rPr>
      <w:sz w:val="24"/>
      <w:szCs w:val="24"/>
      <w:lang w:val="es-ES" w:eastAsia="es-ES"/>
    </w:rPr>
  </w:style>
  <w:style w:type="character" w:customStyle="1" w:styleId="eop">
    <w:name w:val="eop"/>
    <w:basedOn w:val="DefaultParagraphFont"/>
    <w:rsid w:val="00A91BE1"/>
  </w:style>
  <w:style w:type="character" w:styleId="CommentReference">
    <w:name w:val="annotation reference"/>
    <w:basedOn w:val="DefaultParagraphFont"/>
    <w:uiPriority w:val="99"/>
    <w:semiHidden/>
    <w:unhideWhenUsed/>
    <w:rsid w:val="00A91BE1"/>
    <w:rPr>
      <w:sz w:val="16"/>
      <w:szCs w:val="16"/>
    </w:rPr>
  </w:style>
  <w:style w:type="paragraph" w:styleId="CommentText">
    <w:name w:val="annotation text"/>
    <w:basedOn w:val="Normal"/>
    <w:link w:val="CommentTextChar"/>
    <w:uiPriority w:val="99"/>
    <w:unhideWhenUsed/>
    <w:rsid w:val="00A91BE1"/>
    <w:pPr>
      <w:spacing w:line="240" w:lineRule="auto"/>
    </w:pPr>
    <w:rPr>
      <w:sz w:val="20"/>
      <w:szCs w:val="20"/>
    </w:rPr>
  </w:style>
  <w:style w:type="character" w:customStyle="1" w:styleId="CommentTextChar">
    <w:name w:val="Comment Text Char"/>
    <w:basedOn w:val="DefaultParagraphFont"/>
    <w:link w:val="CommentText"/>
    <w:uiPriority w:val="99"/>
    <w:rsid w:val="00A91BE1"/>
    <w:rPr>
      <w:rFonts w:ascii="Times New Roman" w:eastAsia="Times New Roman" w:hAnsi="Times New Roman" w:cs="Times New Roman"/>
      <w:kern w:val="0"/>
      <w:sz w:val="20"/>
      <w:szCs w:val="20"/>
      <w:lang w:val="en-US"/>
      <w14:ligatures w14:val="none"/>
    </w:rPr>
  </w:style>
  <w:style w:type="paragraph" w:styleId="BalloonText">
    <w:name w:val="Balloon Text"/>
    <w:basedOn w:val="Normal"/>
    <w:link w:val="BalloonTextChar"/>
    <w:uiPriority w:val="99"/>
    <w:semiHidden/>
    <w:unhideWhenUsed/>
    <w:rsid w:val="00A91BE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BE1"/>
    <w:rPr>
      <w:rFonts w:ascii="Segoe UI" w:eastAsia="Times New Roman" w:hAnsi="Segoe UI" w:cs="Segoe UI"/>
      <w:kern w:val="0"/>
      <w:sz w:val="18"/>
      <w:szCs w:val="18"/>
      <w:lang w:val="en-US"/>
      <w14:ligatures w14:val="none"/>
    </w:rPr>
  </w:style>
  <w:style w:type="paragraph" w:styleId="CommentSubject">
    <w:name w:val="annotation subject"/>
    <w:basedOn w:val="CommentText"/>
    <w:next w:val="CommentText"/>
    <w:link w:val="CommentSubjectChar"/>
    <w:semiHidden/>
    <w:unhideWhenUsed/>
    <w:rsid w:val="00A91BE1"/>
    <w:rPr>
      <w:b/>
      <w:bCs/>
    </w:rPr>
  </w:style>
  <w:style w:type="character" w:customStyle="1" w:styleId="CommentSubjectChar">
    <w:name w:val="Comment Subject Char"/>
    <w:basedOn w:val="CommentTextChar"/>
    <w:link w:val="CommentSubject"/>
    <w:semiHidden/>
    <w:rsid w:val="00A91BE1"/>
    <w:rPr>
      <w:rFonts w:ascii="Times New Roman" w:eastAsia="Times New Roman" w:hAnsi="Times New Roman" w:cs="Times New Roman"/>
      <w:b/>
      <w:bCs/>
      <w:kern w:val="0"/>
      <w:sz w:val="20"/>
      <w:szCs w:val="20"/>
      <w:lang w:val="en-US"/>
      <w14:ligatures w14:val="none"/>
    </w:rPr>
  </w:style>
  <w:style w:type="paragraph" w:styleId="NormalWeb">
    <w:name w:val="Normal (Web)"/>
    <w:basedOn w:val="Normal"/>
    <w:unhideWhenUsed/>
    <w:rsid w:val="00A91BE1"/>
    <w:pPr>
      <w:spacing w:before="100" w:beforeAutospacing="1" w:after="100" w:afterAutospacing="1" w:line="240" w:lineRule="auto"/>
      <w:jc w:val="left"/>
    </w:pPr>
    <w:rPr>
      <w:sz w:val="24"/>
      <w:szCs w:val="24"/>
      <w:lang w:val="es-ES" w:eastAsia="es-ES"/>
    </w:rPr>
  </w:style>
  <w:style w:type="character" w:customStyle="1" w:styleId="scxw29950472">
    <w:name w:val="scxw29950472"/>
    <w:basedOn w:val="DefaultParagraphFont"/>
    <w:rsid w:val="00A91BE1"/>
  </w:style>
  <w:style w:type="character" w:styleId="Strong">
    <w:name w:val="Strong"/>
    <w:basedOn w:val="DefaultParagraphFont"/>
    <w:uiPriority w:val="22"/>
    <w:qFormat/>
    <w:rsid w:val="00A91BE1"/>
    <w:rPr>
      <w:b/>
      <w:bCs/>
    </w:rPr>
  </w:style>
  <w:style w:type="paragraph" w:styleId="Caption">
    <w:name w:val="caption"/>
    <w:basedOn w:val="Normal"/>
    <w:next w:val="Normal"/>
    <w:uiPriority w:val="35"/>
    <w:semiHidden/>
    <w:unhideWhenUsed/>
    <w:qFormat/>
    <w:rsid w:val="00A91BE1"/>
    <w:pPr>
      <w:spacing w:after="200" w:line="240" w:lineRule="auto"/>
    </w:pPr>
    <w:rPr>
      <w:i/>
      <w:iCs/>
      <w:color w:val="0E2841" w:themeColor="text2"/>
      <w:sz w:val="18"/>
      <w:szCs w:val="18"/>
    </w:rPr>
  </w:style>
  <w:style w:type="character" w:styleId="FollowedHyperlink">
    <w:name w:val="FollowedHyperlink"/>
    <w:basedOn w:val="DefaultParagraphFont"/>
    <w:uiPriority w:val="99"/>
    <w:semiHidden/>
    <w:unhideWhenUsed/>
    <w:rsid w:val="00A91BE1"/>
    <w:rPr>
      <w:color w:val="96607D" w:themeColor="followedHyperlink"/>
      <w:u w:val="single"/>
    </w:rPr>
  </w:style>
  <w:style w:type="paragraph" w:styleId="Revision">
    <w:name w:val="Revision"/>
    <w:hidden/>
    <w:uiPriority w:val="99"/>
    <w:semiHidden/>
    <w:rsid w:val="00A91BE1"/>
    <w:pPr>
      <w:spacing w:after="0" w:line="240" w:lineRule="auto"/>
    </w:pPr>
    <w:rPr>
      <w:rFonts w:ascii="Times New Roman" w:eastAsia="Times New Roman" w:hAnsi="Times New Roman" w:cs="Times New Roman"/>
      <w:kern w:val="0"/>
      <w:sz w:val="22"/>
      <w:szCs w:val="22"/>
      <w:lang w:val="en-US"/>
      <w14:ligatures w14:val="none"/>
    </w:rPr>
  </w:style>
  <w:style w:type="character" w:customStyle="1" w:styleId="UnresolvedMention1">
    <w:name w:val="Unresolved Mention1"/>
    <w:basedOn w:val="DefaultParagraphFont"/>
    <w:uiPriority w:val="99"/>
    <w:semiHidden/>
    <w:unhideWhenUsed/>
    <w:rsid w:val="00A91BE1"/>
    <w:rPr>
      <w:color w:val="605E5C"/>
      <w:shd w:val="clear" w:color="auto" w:fill="E1DFDD"/>
    </w:rPr>
  </w:style>
  <w:style w:type="character" w:customStyle="1" w:styleId="ListParagraphChar">
    <w:name w:val="List Paragraph Char"/>
    <w:aliases w:val="Resume Title Char,Listes Char,Citation List Char,Ha Char,List Paragraph1 Char,Body Char,List Paragraph_Table bullets Char,Bullet List Paragraph Char,1st level - Bullet List Paragraph Char,Lettre d'introduction Char,AFW Body Char"/>
    <w:link w:val="ListParagraph"/>
    <w:uiPriority w:val="34"/>
    <w:rsid w:val="00A91BE1"/>
  </w:style>
  <w:style w:type="character" w:customStyle="1" w:styleId="y2iqfc">
    <w:name w:val="y2iqfc"/>
    <w:basedOn w:val="DefaultParagraphFont"/>
    <w:rsid w:val="00A91BE1"/>
  </w:style>
  <w:style w:type="paragraph" w:styleId="HTMLPreformatted">
    <w:name w:val="HTML Preformatted"/>
    <w:basedOn w:val="Normal"/>
    <w:link w:val="HTMLPreformattedChar"/>
    <w:uiPriority w:val="99"/>
    <w:unhideWhenUsed/>
    <w:rsid w:val="00A91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szCs w:val="20"/>
      <w:lang w:val="fr-FR" w:eastAsia="fr-FR"/>
    </w:rPr>
  </w:style>
  <w:style w:type="character" w:customStyle="1" w:styleId="HTMLPreformattedChar">
    <w:name w:val="HTML Preformatted Char"/>
    <w:basedOn w:val="DefaultParagraphFont"/>
    <w:link w:val="HTMLPreformatted"/>
    <w:uiPriority w:val="99"/>
    <w:rsid w:val="00A91BE1"/>
    <w:rPr>
      <w:rFonts w:ascii="Courier New" w:eastAsia="Times New Roman" w:hAnsi="Courier New" w:cs="Courier New"/>
      <w:kern w:val="0"/>
      <w:sz w:val="20"/>
      <w:szCs w:val="20"/>
      <w:lang w:val="fr-FR" w:eastAsia="fr-FR"/>
      <w14:ligatures w14:val="none"/>
    </w:rPr>
  </w:style>
  <w:style w:type="table" w:styleId="GridTable5Dark-Accent1">
    <w:name w:val="Grid Table 5 Dark Accent 1"/>
    <w:basedOn w:val="TableNormal"/>
    <w:uiPriority w:val="50"/>
    <w:rsid w:val="00A91BE1"/>
    <w:pPr>
      <w:spacing w:after="0" w:line="240" w:lineRule="auto"/>
    </w:pPr>
    <w:rPr>
      <w:kern w:val="0"/>
      <w:sz w:val="22"/>
      <w:szCs w:val="22"/>
      <w:lang w:val="es-ES"/>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4F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608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608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608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6082" w:themeFill="accent1"/>
      </w:tcPr>
    </w:tblStylePr>
    <w:tblStylePr w:type="band1Vert">
      <w:tblPr/>
      <w:tcPr>
        <w:shd w:val="clear" w:color="auto" w:fill="83CAEB" w:themeFill="accent1" w:themeFillTint="66"/>
      </w:tcPr>
    </w:tblStylePr>
    <w:tblStylePr w:type="band1Horz">
      <w:tblPr/>
      <w:tcPr>
        <w:shd w:val="clear" w:color="auto" w:fill="83CAEB" w:themeFill="accent1" w:themeFillTint="66"/>
      </w:tcPr>
    </w:tblStylePr>
  </w:style>
  <w:style w:type="paragraph" w:styleId="TOC3">
    <w:name w:val="toc 3"/>
    <w:basedOn w:val="Normal"/>
    <w:next w:val="Normal"/>
    <w:autoRedefine/>
    <w:uiPriority w:val="39"/>
    <w:unhideWhenUsed/>
    <w:rsid w:val="00A91BE1"/>
    <w:pPr>
      <w:spacing w:after="100"/>
      <w:ind w:left="440"/>
    </w:pPr>
  </w:style>
  <w:style w:type="table" w:styleId="GridTable4">
    <w:name w:val="Grid Table 4"/>
    <w:basedOn w:val="TableNormal"/>
    <w:uiPriority w:val="49"/>
    <w:rsid w:val="00A91BE1"/>
    <w:pPr>
      <w:spacing w:after="0" w:line="240" w:lineRule="auto"/>
    </w:pPr>
    <w:rPr>
      <w:kern w:val="0"/>
      <w:sz w:val="22"/>
      <w:szCs w:val="22"/>
      <w:lang w:val="es-ES"/>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Spacing">
    <w:name w:val="No Spacing"/>
    <w:link w:val="NoSpacingChar"/>
    <w:uiPriority w:val="1"/>
    <w:qFormat/>
    <w:rsid w:val="00A91BE1"/>
    <w:pPr>
      <w:spacing w:after="0" w:line="240" w:lineRule="auto"/>
    </w:pPr>
    <w:rPr>
      <w:rFonts w:ascii="Times New Roman" w:hAnsi="Times New Roman"/>
      <w:kern w:val="0"/>
      <w:sz w:val="22"/>
      <w:szCs w:val="22"/>
      <w:lang w:val="fr-BE"/>
      <w14:ligatures w14:val="none"/>
    </w:rPr>
  </w:style>
  <w:style w:type="paragraph" w:customStyle="1" w:styleId="xmsonormal">
    <w:name w:val="x_msonormal"/>
    <w:basedOn w:val="Normal"/>
    <w:rsid w:val="00C17E09"/>
    <w:pPr>
      <w:spacing w:before="100" w:beforeAutospacing="1" w:after="100" w:afterAutospacing="1" w:line="240" w:lineRule="auto"/>
      <w:jc w:val="left"/>
    </w:pPr>
    <w:rPr>
      <w:sz w:val="24"/>
      <w:szCs w:val="24"/>
      <w:lang w:val="de-DE" w:eastAsia="de-DE"/>
    </w:rPr>
  </w:style>
  <w:style w:type="character" w:customStyle="1" w:styleId="ui-provider">
    <w:name w:val="ui-provider"/>
    <w:basedOn w:val="DefaultParagraphFont"/>
    <w:rsid w:val="00C17E09"/>
  </w:style>
  <w:style w:type="character" w:customStyle="1" w:styleId="UnresolvedMention2">
    <w:name w:val="Unresolved Mention2"/>
    <w:basedOn w:val="DefaultParagraphFont"/>
    <w:uiPriority w:val="99"/>
    <w:semiHidden/>
    <w:unhideWhenUsed/>
    <w:rsid w:val="00B422CF"/>
    <w:rPr>
      <w:color w:val="605E5C"/>
      <w:shd w:val="clear" w:color="auto" w:fill="E1DFDD"/>
    </w:rPr>
  </w:style>
  <w:style w:type="character" w:styleId="SubtleEmphasis">
    <w:name w:val="Subtle Emphasis"/>
    <w:basedOn w:val="DefaultParagraphFont"/>
    <w:uiPriority w:val="19"/>
    <w:qFormat/>
    <w:rsid w:val="00796BFA"/>
    <w:rPr>
      <w:i/>
      <w:iCs/>
      <w:color w:val="404040" w:themeColor="text1" w:themeTint="BF"/>
    </w:rPr>
  </w:style>
  <w:style w:type="paragraph" w:customStyle="1" w:styleId="P68B1DB1-Normal5">
    <w:name w:val="P68B1DB1-Normal5"/>
    <w:basedOn w:val="Normal"/>
    <w:rsid w:val="00E5504B"/>
    <w:rPr>
      <w:b/>
      <w:sz w:val="24"/>
      <w:szCs w:val="24"/>
      <w:u w:val="single"/>
      <w:lang w:val="en"/>
    </w:rPr>
  </w:style>
  <w:style w:type="paragraph" w:customStyle="1" w:styleId="P68B1DB1-Normal6">
    <w:name w:val="P68B1DB1-Normal6"/>
    <w:basedOn w:val="Normal"/>
    <w:rsid w:val="00E5504B"/>
    <w:rPr>
      <w:b/>
      <w:sz w:val="24"/>
      <w:szCs w:val="24"/>
      <w:lang w:val="en"/>
    </w:rPr>
  </w:style>
  <w:style w:type="paragraph" w:customStyle="1" w:styleId="P68B1DB1-ListParagraph7">
    <w:name w:val="P68B1DB1-ListParagraph7"/>
    <w:basedOn w:val="ListParagraph"/>
    <w:rsid w:val="00E5504B"/>
    <w:rPr>
      <w:sz w:val="24"/>
      <w:szCs w:val="24"/>
      <w:lang w:val="en"/>
    </w:rPr>
  </w:style>
  <w:style w:type="character" w:customStyle="1" w:styleId="NoSpacingChar">
    <w:name w:val="No Spacing Char"/>
    <w:basedOn w:val="DefaultParagraphFont"/>
    <w:link w:val="NoSpacing"/>
    <w:uiPriority w:val="1"/>
    <w:rsid w:val="00C266C7"/>
    <w:rPr>
      <w:rFonts w:ascii="Times New Roman" w:hAnsi="Times New Roman"/>
      <w:kern w:val="0"/>
      <w:sz w:val="22"/>
      <w:szCs w:val="22"/>
      <w:lang w:val="fr-BE"/>
      <w14:ligatures w14:val="none"/>
    </w:rPr>
  </w:style>
  <w:style w:type="character" w:customStyle="1" w:styleId="UnresolvedMention3">
    <w:name w:val="Unresolved Mention3"/>
    <w:basedOn w:val="DefaultParagraphFont"/>
    <w:uiPriority w:val="99"/>
    <w:semiHidden/>
    <w:unhideWhenUsed/>
    <w:rsid w:val="00473D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568084">
      <w:bodyDiv w:val="1"/>
      <w:marLeft w:val="0"/>
      <w:marRight w:val="0"/>
      <w:marTop w:val="0"/>
      <w:marBottom w:val="0"/>
      <w:divBdr>
        <w:top w:val="none" w:sz="0" w:space="0" w:color="auto"/>
        <w:left w:val="none" w:sz="0" w:space="0" w:color="auto"/>
        <w:bottom w:val="none" w:sz="0" w:space="0" w:color="auto"/>
        <w:right w:val="none" w:sz="0" w:space="0" w:color="auto"/>
      </w:divBdr>
    </w:div>
    <w:div w:id="49232478">
      <w:bodyDiv w:val="1"/>
      <w:marLeft w:val="0"/>
      <w:marRight w:val="0"/>
      <w:marTop w:val="0"/>
      <w:marBottom w:val="0"/>
      <w:divBdr>
        <w:top w:val="none" w:sz="0" w:space="0" w:color="auto"/>
        <w:left w:val="none" w:sz="0" w:space="0" w:color="auto"/>
        <w:bottom w:val="none" w:sz="0" w:space="0" w:color="auto"/>
        <w:right w:val="none" w:sz="0" w:space="0" w:color="auto"/>
      </w:divBdr>
    </w:div>
    <w:div w:id="100078711">
      <w:bodyDiv w:val="1"/>
      <w:marLeft w:val="0"/>
      <w:marRight w:val="0"/>
      <w:marTop w:val="0"/>
      <w:marBottom w:val="0"/>
      <w:divBdr>
        <w:top w:val="none" w:sz="0" w:space="0" w:color="auto"/>
        <w:left w:val="none" w:sz="0" w:space="0" w:color="auto"/>
        <w:bottom w:val="none" w:sz="0" w:space="0" w:color="auto"/>
        <w:right w:val="none" w:sz="0" w:space="0" w:color="auto"/>
      </w:divBdr>
    </w:div>
    <w:div w:id="110826845">
      <w:bodyDiv w:val="1"/>
      <w:marLeft w:val="0"/>
      <w:marRight w:val="0"/>
      <w:marTop w:val="0"/>
      <w:marBottom w:val="0"/>
      <w:divBdr>
        <w:top w:val="none" w:sz="0" w:space="0" w:color="auto"/>
        <w:left w:val="none" w:sz="0" w:space="0" w:color="auto"/>
        <w:bottom w:val="none" w:sz="0" w:space="0" w:color="auto"/>
        <w:right w:val="none" w:sz="0" w:space="0" w:color="auto"/>
      </w:divBdr>
      <w:divsChild>
        <w:div w:id="1884516320">
          <w:marLeft w:val="0"/>
          <w:marRight w:val="0"/>
          <w:marTop w:val="0"/>
          <w:marBottom w:val="0"/>
          <w:divBdr>
            <w:top w:val="none" w:sz="0" w:space="0" w:color="auto"/>
            <w:left w:val="none" w:sz="0" w:space="0" w:color="auto"/>
            <w:bottom w:val="none" w:sz="0" w:space="0" w:color="auto"/>
            <w:right w:val="none" w:sz="0" w:space="0" w:color="auto"/>
          </w:divBdr>
          <w:divsChild>
            <w:div w:id="716047707">
              <w:marLeft w:val="0"/>
              <w:marRight w:val="0"/>
              <w:marTop w:val="0"/>
              <w:marBottom w:val="0"/>
              <w:divBdr>
                <w:top w:val="none" w:sz="0" w:space="0" w:color="auto"/>
                <w:left w:val="none" w:sz="0" w:space="0" w:color="auto"/>
                <w:bottom w:val="none" w:sz="0" w:space="0" w:color="auto"/>
                <w:right w:val="none" w:sz="0" w:space="0" w:color="auto"/>
              </w:divBdr>
              <w:divsChild>
                <w:div w:id="690882118">
                  <w:marLeft w:val="0"/>
                  <w:marRight w:val="0"/>
                  <w:marTop w:val="0"/>
                  <w:marBottom w:val="0"/>
                  <w:divBdr>
                    <w:top w:val="none" w:sz="0" w:space="0" w:color="auto"/>
                    <w:left w:val="none" w:sz="0" w:space="0" w:color="auto"/>
                    <w:bottom w:val="none" w:sz="0" w:space="0" w:color="auto"/>
                    <w:right w:val="none" w:sz="0" w:space="0" w:color="auto"/>
                  </w:divBdr>
                  <w:divsChild>
                    <w:div w:id="1744718644">
                      <w:marLeft w:val="0"/>
                      <w:marRight w:val="0"/>
                      <w:marTop w:val="0"/>
                      <w:marBottom w:val="0"/>
                      <w:divBdr>
                        <w:top w:val="none" w:sz="0" w:space="0" w:color="auto"/>
                        <w:left w:val="none" w:sz="0" w:space="0" w:color="auto"/>
                        <w:bottom w:val="none" w:sz="0" w:space="0" w:color="auto"/>
                        <w:right w:val="none" w:sz="0" w:space="0" w:color="auto"/>
                      </w:divBdr>
                      <w:divsChild>
                        <w:div w:id="572618169">
                          <w:marLeft w:val="0"/>
                          <w:marRight w:val="0"/>
                          <w:marTop w:val="0"/>
                          <w:marBottom w:val="0"/>
                          <w:divBdr>
                            <w:top w:val="none" w:sz="0" w:space="0" w:color="auto"/>
                            <w:left w:val="none" w:sz="0" w:space="0" w:color="auto"/>
                            <w:bottom w:val="none" w:sz="0" w:space="0" w:color="auto"/>
                            <w:right w:val="none" w:sz="0" w:space="0" w:color="auto"/>
                          </w:divBdr>
                          <w:divsChild>
                            <w:div w:id="171372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0095657">
      <w:bodyDiv w:val="1"/>
      <w:marLeft w:val="0"/>
      <w:marRight w:val="0"/>
      <w:marTop w:val="0"/>
      <w:marBottom w:val="0"/>
      <w:divBdr>
        <w:top w:val="none" w:sz="0" w:space="0" w:color="auto"/>
        <w:left w:val="none" w:sz="0" w:space="0" w:color="auto"/>
        <w:bottom w:val="none" w:sz="0" w:space="0" w:color="auto"/>
        <w:right w:val="none" w:sz="0" w:space="0" w:color="auto"/>
      </w:divBdr>
    </w:div>
    <w:div w:id="277492149">
      <w:bodyDiv w:val="1"/>
      <w:marLeft w:val="0"/>
      <w:marRight w:val="0"/>
      <w:marTop w:val="0"/>
      <w:marBottom w:val="0"/>
      <w:divBdr>
        <w:top w:val="none" w:sz="0" w:space="0" w:color="auto"/>
        <w:left w:val="none" w:sz="0" w:space="0" w:color="auto"/>
        <w:bottom w:val="none" w:sz="0" w:space="0" w:color="auto"/>
        <w:right w:val="none" w:sz="0" w:space="0" w:color="auto"/>
      </w:divBdr>
    </w:div>
    <w:div w:id="350884504">
      <w:bodyDiv w:val="1"/>
      <w:marLeft w:val="0"/>
      <w:marRight w:val="0"/>
      <w:marTop w:val="0"/>
      <w:marBottom w:val="0"/>
      <w:divBdr>
        <w:top w:val="none" w:sz="0" w:space="0" w:color="auto"/>
        <w:left w:val="none" w:sz="0" w:space="0" w:color="auto"/>
        <w:bottom w:val="none" w:sz="0" w:space="0" w:color="auto"/>
        <w:right w:val="none" w:sz="0" w:space="0" w:color="auto"/>
      </w:divBdr>
    </w:div>
    <w:div w:id="392237563">
      <w:bodyDiv w:val="1"/>
      <w:marLeft w:val="0"/>
      <w:marRight w:val="0"/>
      <w:marTop w:val="0"/>
      <w:marBottom w:val="0"/>
      <w:divBdr>
        <w:top w:val="none" w:sz="0" w:space="0" w:color="auto"/>
        <w:left w:val="none" w:sz="0" w:space="0" w:color="auto"/>
        <w:bottom w:val="none" w:sz="0" w:space="0" w:color="auto"/>
        <w:right w:val="none" w:sz="0" w:space="0" w:color="auto"/>
      </w:divBdr>
    </w:div>
    <w:div w:id="406391250">
      <w:bodyDiv w:val="1"/>
      <w:marLeft w:val="0"/>
      <w:marRight w:val="0"/>
      <w:marTop w:val="0"/>
      <w:marBottom w:val="0"/>
      <w:divBdr>
        <w:top w:val="none" w:sz="0" w:space="0" w:color="auto"/>
        <w:left w:val="none" w:sz="0" w:space="0" w:color="auto"/>
        <w:bottom w:val="none" w:sz="0" w:space="0" w:color="auto"/>
        <w:right w:val="none" w:sz="0" w:space="0" w:color="auto"/>
      </w:divBdr>
    </w:div>
    <w:div w:id="425856301">
      <w:bodyDiv w:val="1"/>
      <w:marLeft w:val="0"/>
      <w:marRight w:val="0"/>
      <w:marTop w:val="0"/>
      <w:marBottom w:val="0"/>
      <w:divBdr>
        <w:top w:val="none" w:sz="0" w:space="0" w:color="auto"/>
        <w:left w:val="none" w:sz="0" w:space="0" w:color="auto"/>
        <w:bottom w:val="none" w:sz="0" w:space="0" w:color="auto"/>
        <w:right w:val="none" w:sz="0" w:space="0" w:color="auto"/>
      </w:divBdr>
    </w:div>
    <w:div w:id="483278331">
      <w:bodyDiv w:val="1"/>
      <w:marLeft w:val="0"/>
      <w:marRight w:val="0"/>
      <w:marTop w:val="0"/>
      <w:marBottom w:val="0"/>
      <w:divBdr>
        <w:top w:val="none" w:sz="0" w:space="0" w:color="auto"/>
        <w:left w:val="none" w:sz="0" w:space="0" w:color="auto"/>
        <w:bottom w:val="none" w:sz="0" w:space="0" w:color="auto"/>
        <w:right w:val="none" w:sz="0" w:space="0" w:color="auto"/>
      </w:divBdr>
    </w:div>
    <w:div w:id="488332126">
      <w:bodyDiv w:val="1"/>
      <w:marLeft w:val="0"/>
      <w:marRight w:val="0"/>
      <w:marTop w:val="0"/>
      <w:marBottom w:val="0"/>
      <w:divBdr>
        <w:top w:val="none" w:sz="0" w:space="0" w:color="auto"/>
        <w:left w:val="none" w:sz="0" w:space="0" w:color="auto"/>
        <w:bottom w:val="none" w:sz="0" w:space="0" w:color="auto"/>
        <w:right w:val="none" w:sz="0" w:space="0" w:color="auto"/>
      </w:divBdr>
    </w:div>
    <w:div w:id="576404670">
      <w:bodyDiv w:val="1"/>
      <w:marLeft w:val="0"/>
      <w:marRight w:val="0"/>
      <w:marTop w:val="0"/>
      <w:marBottom w:val="0"/>
      <w:divBdr>
        <w:top w:val="none" w:sz="0" w:space="0" w:color="auto"/>
        <w:left w:val="none" w:sz="0" w:space="0" w:color="auto"/>
        <w:bottom w:val="none" w:sz="0" w:space="0" w:color="auto"/>
        <w:right w:val="none" w:sz="0" w:space="0" w:color="auto"/>
      </w:divBdr>
    </w:div>
    <w:div w:id="581186097">
      <w:bodyDiv w:val="1"/>
      <w:marLeft w:val="0"/>
      <w:marRight w:val="0"/>
      <w:marTop w:val="0"/>
      <w:marBottom w:val="0"/>
      <w:divBdr>
        <w:top w:val="none" w:sz="0" w:space="0" w:color="auto"/>
        <w:left w:val="none" w:sz="0" w:space="0" w:color="auto"/>
        <w:bottom w:val="none" w:sz="0" w:space="0" w:color="auto"/>
        <w:right w:val="none" w:sz="0" w:space="0" w:color="auto"/>
      </w:divBdr>
    </w:div>
    <w:div w:id="632634046">
      <w:bodyDiv w:val="1"/>
      <w:marLeft w:val="0"/>
      <w:marRight w:val="0"/>
      <w:marTop w:val="0"/>
      <w:marBottom w:val="0"/>
      <w:divBdr>
        <w:top w:val="none" w:sz="0" w:space="0" w:color="auto"/>
        <w:left w:val="none" w:sz="0" w:space="0" w:color="auto"/>
        <w:bottom w:val="none" w:sz="0" w:space="0" w:color="auto"/>
        <w:right w:val="none" w:sz="0" w:space="0" w:color="auto"/>
      </w:divBdr>
    </w:div>
    <w:div w:id="667170904">
      <w:bodyDiv w:val="1"/>
      <w:marLeft w:val="0"/>
      <w:marRight w:val="0"/>
      <w:marTop w:val="0"/>
      <w:marBottom w:val="0"/>
      <w:divBdr>
        <w:top w:val="none" w:sz="0" w:space="0" w:color="auto"/>
        <w:left w:val="none" w:sz="0" w:space="0" w:color="auto"/>
        <w:bottom w:val="none" w:sz="0" w:space="0" w:color="auto"/>
        <w:right w:val="none" w:sz="0" w:space="0" w:color="auto"/>
      </w:divBdr>
    </w:div>
    <w:div w:id="675885481">
      <w:bodyDiv w:val="1"/>
      <w:marLeft w:val="0"/>
      <w:marRight w:val="0"/>
      <w:marTop w:val="0"/>
      <w:marBottom w:val="0"/>
      <w:divBdr>
        <w:top w:val="none" w:sz="0" w:space="0" w:color="auto"/>
        <w:left w:val="none" w:sz="0" w:space="0" w:color="auto"/>
        <w:bottom w:val="none" w:sz="0" w:space="0" w:color="auto"/>
        <w:right w:val="none" w:sz="0" w:space="0" w:color="auto"/>
      </w:divBdr>
    </w:div>
    <w:div w:id="708653272">
      <w:bodyDiv w:val="1"/>
      <w:marLeft w:val="0"/>
      <w:marRight w:val="0"/>
      <w:marTop w:val="0"/>
      <w:marBottom w:val="0"/>
      <w:divBdr>
        <w:top w:val="none" w:sz="0" w:space="0" w:color="auto"/>
        <w:left w:val="none" w:sz="0" w:space="0" w:color="auto"/>
        <w:bottom w:val="none" w:sz="0" w:space="0" w:color="auto"/>
        <w:right w:val="none" w:sz="0" w:space="0" w:color="auto"/>
      </w:divBdr>
    </w:div>
    <w:div w:id="730037147">
      <w:bodyDiv w:val="1"/>
      <w:marLeft w:val="0"/>
      <w:marRight w:val="0"/>
      <w:marTop w:val="0"/>
      <w:marBottom w:val="0"/>
      <w:divBdr>
        <w:top w:val="none" w:sz="0" w:space="0" w:color="auto"/>
        <w:left w:val="none" w:sz="0" w:space="0" w:color="auto"/>
        <w:bottom w:val="none" w:sz="0" w:space="0" w:color="auto"/>
        <w:right w:val="none" w:sz="0" w:space="0" w:color="auto"/>
      </w:divBdr>
    </w:div>
    <w:div w:id="812059164">
      <w:bodyDiv w:val="1"/>
      <w:marLeft w:val="0"/>
      <w:marRight w:val="0"/>
      <w:marTop w:val="0"/>
      <w:marBottom w:val="0"/>
      <w:divBdr>
        <w:top w:val="none" w:sz="0" w:space="0" w:color="auto"/>
        <w:left w:val="none" w:sz="0" w:space="0" w:color="auto"/>
        <w:bottom w:val="none" w:sz="0" w:space="0" w:color="auto"/>
        <w:right w:val="none" w:sz="0" w:space="0" w:color="auto"/>
      </w:divBdr>
    </w:div>
    <w:div w:id="831411372">
      <w:bodyDiv w:val="1"/>
      <w:marLeft w:val="0"/>
      <w:marRight w:val="0"/>
      <w:marTop w:val="0"/>
      <w:marBottom w:val="0"/>
      <w:divBdr>
        <w:top w:val="none" w:sz="0" w:space="0" w:color="auto"/>
        <w:left w:val="none" w:sz="0" w:space="0" w:color="auto"/>
        <w:bottom w:val="none" w:sz="0" w:space="0" w:color="auto"/>
        <w:right w:val="none" w:sz="0" w:space="0" w:color="auto"/>
      </w:divBdr>
    </w:div>
    <w:div w:id="894971757">
      <w:bodyDiv w:val="1"/>
      <w:marLeft w:val="0"/>
      <w:marRight w:val="0"/>
      <w:marTop w:val="0"/>
      <w:marBottom w:val="0"/>
      <w:divBdr>
        <w:top w:val="none" w:sz="0" w:space="0" w:color="auto"/>
        <w:left w:val="none" w:sz="0" w:space="0" w:color="auto"/>
        <w:bottom w:val="none" w:sz="0" w:space="0" w:color="auto"/>
        <w:right w:val="none" w:sz="0" w:space="0" w:color="auto"/>
      </w:divBdr>
    </w:div>
    <w:div w:id="972713703">
      <w:bodyDiv w:val="1"/>
      <w:marLeft w:val="0"/>
      <w:marRight w:val="0"/>
      <w:marTop w:val="0"/>
      <w:marBottom w:val="0"/>
      <w:divBdr>
        <w:top w:val="none" w:sz="0" w:space="0" w:color="auto"/>
        <w:left w:val="none" w:sz="0" w:space="0" w:color="auto"/>
        <w:bottom w:val="none" w:sz="0" w:space="0" w:color="auto"/>
        <w:right w:val="none" w:sz="0" w:space="0" w:color="auto"/>
      </w:divBdr>
    </w:div>
    <w:div w:id="1045787788">
      <w:bodyDiv w:val="1"/>
      <w:marLeft w:val="0"/>
      <w:marRight w:val="0"/>
      <w:marTop w:val="0"/>
      <w:marBottom w:val="0"/>
      <w:divBdr>
        <w:top w:val="none" w:sz="0" w:space="0" w:color="auto"/>
        <w:left w:val="none" w:sz="0" w:space="0" w:color="auto"/>
        <w:bottom w:val="none" w:sz="0" w:space="0" w:color="auto"/>
        <w:right w:val="none" w:sz="0" w:space="0" w:color="auto"/>
      </w:divBdr>
    </w:div>
    <w:div w:id="1228108484">
      <w:bodyDiv w:val="1"/>
      <w:marLeft w:val="0"/>
      <w:marRight w:val="0"/>
      <w:marTop w:val="0"/>
      <w:marBottom w:val="0"/>
      <w:divBdr>
        <w:top w:val="none" w:sz="0" w:space="0" w:color="auto"/>
        <w:left w:val="none" w:sz="0" w:space="0" w:color="auto"/>
        <w:bottom w:val="none" w:sz="0" w:space="0" w:color="auto"/>
        <w:right w:val="none" w:sz="0" w:space="0" w:color="auto"/>
      </w:divBdr>
    </w:div>
    <w:div w:id="1310746533">
      <w:bodyDiv w:val="1"/>
      <w:marLeft w:val="0"/>
      <w:marRight w:val="0"/>
      <w:marTop w:val="0"/>
      <w:marBottom w:val="0"/>
      <w:divBdr>
        <w:top w:val="none" w:sz="0" w:space="0" w:color="auto"/>
        <w:left w:val="none" w:sz="0" w:space="0" w:color="auto"/>
        <w:bottom w:val="none" w:sz="0" w:space="0" w:color="auto"/>
        <w:right w:val="none" w:sz="0" w:space="0" w:color="auto"/>
      </w:divBdr>
    </w:div>
    <w:div w:id="1330912381">
      <w:bodyDiv w:val="1"/>
      <w:marLeft w:val="0"/>
      <w:marRight w:val="0"/>
      <w:marTop w:val="0"/>
      <w:marBottom w:val="0"/>
      <w:divBdr>
        <w:top w:val="none" w:sz="0" w:space="0" w:color="auto"/>
        <w:left w:val="none" w:sz="0" w:space="0" w:color="auto"/>
        <w:bottom w:val="none" w:sz="0" w:space="0" w:color="auto"/>
        <w:right w:val="none" w:sz="0" w:space="0" w:color="auto"/>
      </w:divBdr>
    </w:div>
    <w:div w:id="1380402567">
      <w:bodyDiv w:val="1"/>
      <w:marLeft w:val="0"/>
      <w:marRight w:val="0"/>
      <w:marTop w:val="0"/>
      <w:marBottom w:val="0"/>
      <w:divBdr>
        <w:top w:val="none" w:sz="0" w:space="0" w:color="auto"/>
        <w:left w:val="none" w:sz="0" w:space="0" w:color="auto"/>
        <w:bottom w:val="none" w:sz="0" w:space="0" w:color="auto"/>
        <w:right w:val="none" w:sz="0" w:space="0" w:color="auto"/>
      </w:divBdr>
    </w:div>
    <w:div w:id="1384981015">
      <w:bodyDiv w:val="1"/>
      <w:marLeft w:val="0"/>
      <w:marRight w:val="0"/>
      <w:marTop w:val="0"/>
      <w:marBottom w:val="0"/>
      <w:divBdr>
        <w:top w:val="none" w:sz="0" w:space="0" w:color="auto"/>
        <w:left w:val="none" w:sz="0" w:space="0" w:color="auto"/>
        <w:bottom w:val="none" w:sz="0" w:space="0" w:color="auto"/>
        <w:right w:val="none" w:sz="0" w:space="0" w:color="auto"/>
      </w:divBdr>
    </w:div>
    <w:div w:id="1431048379">
      <w:bodyDiv w:val="1"/>
      <w:marLeft w:val="0"/>
      <w:marRight w:val="0"/>
      <w:marTop w:val="0"/>
      <w:marBottom w:val="0"/>
      <w:divBdr>
        <w:top w:val="none" w:sz="0" w:space="0" w:color="auto"/>
        <w:left w:val="none" w:sz="0" w:space="0" w:color="auto"/>
        <w:bottom w:val="none" w:sz="0" w:space="0" w:color="auto"/>
        <w:right w:val="none" w:sz="0" w:space="0" w:color="auto"/>
      </w:divBdr>
    </w:div>
    <w:div w:id="1441491473">
      <w:bodyDiv w:val="1"/>
      <w:marLeft w:val="0"/>
      <w:marRight w:val="0"/>
      <w:marTop w:val="0"/>
      <w:marBottom w:val="0"/>
      <w:divBdr>
        <w:top w:val="none" w:sz="0" w:space="0" w:color="auto"/>
        <w:left w:val="none" w:sz="0" w:space="0" w:color="auto"/>
        <w:bottom w:val="none" w:sz="0" w:space="0" w:color="auto"/>
        <w:right w:val="none" w:sz="0" w:space="0" w:color="auto"/>
      </w:divBdr>
    </w:div>
    <w:div w:id="1442384716">
      <w:bodyDiv w:val="1"/>
      <w:marLeft w:val="0"/>
      <w:marRight w:val="0"/>
      <w:marTop w:val="0"/>
      <w:marBottom w:val="0"/>
      <w:divBdr>
        <w:top w:val="none" w:sz="0" w:space="0" w:color="auto"/>
        <w:left w:val="none" w:sz="0" w:space="0" w:color="auto"/>
        <w:bottom w:val="none" w:sz="0" w:space="0" w:color="auto"/>
        <w:right w:val="none" w:sz="0" w:space="0" w:color="auto"/>
      </w:divBdr>
    </w:div>
    <w:div w:id="1468937696">
      <w:bodyDiv w:val="1"/>
      <w:marLeft w:val="0"/>
      <w:marRight w:val="0"/>
      <w:marTop w:val="0"/>
      <w:marBottom w:val="0"/>
      <w:divBdr>
        <w:top w:val="none" w:sz="0" w:space="0" w:color="auto"/>
        <w:left w:val="none" w:sz="0" w:space="0" w:color="auto"/>
        <w:bottom w:val="none" w:sz="0" w:space="0" w:color="auto"/>
        <w:right w:val="none" w:sz="0" w:space="0" w:color="auto"/>
      </w:divBdr>
    </w:div>
    <w:div w:id="1526167854">
      <w:bodyDiv w:val="1"/>
      <w:marLeft w:val="0"/>
      <w:marRight w:val="0"/>
      <w:marTop w:val="0"/>
      <w:marBottom w:val="0"/>
      <w:divBdr>
        <w:top w:val="none" w:sz="0" w:space="0" w:color="auto"/>
        <w:left w:val="none" w:sz="0" w:space="0" w:color="auto"/>
        <w:bottom w:val="none" w:sz="0" w:space="0" w:color="auto"/>
        <w:right w:val="none" w:sz="0" w:space="0" w:color="auto"/>
      </w:divBdr>
    </w:div>
    <w:div w:id="1539508249">
      <w:bodyDiv w:val="1"/>
      <w:marLeft w:val="0"/>
      <w:marRight w:val="0"/>
      <w:marTop w:val="0"/>
      <w:marBottom w:val="0"/>
      <w:divBdr>
        <w:top w:val="none" w:sz="0" w:space="0" w:color="auto"/>
        <w:left w:val="none" w:sz="0" w:space="0" w:color="auto"/>
        <w:bottom w:val="none" w:sz="0" w:space="0" w:color="auto"/>
        <w:right w:val="none" w:sz="0" w:space="0" w:color="auto"/>
      </w:divBdr>
    </w:div>
    <w:div w:id="1611547655">
      <w:bodyDiv w:val="1"/>
      <w:marLeft w:val="0"/>
      <w:marRight w:val="0"/>
      <w:marTop w:val="0"/>
      <w:marBottom w:val="0"/>
      <w:divBdr>
        <w:top w:val="none" w:sz="0" w:space="0" w:color="auto"/>
        <w:left w:val="none" w:sz="0" w:space="0" w:color="auto"/>
        <w:bottom w:val="none" w:sz="0" w:space="0" w:color="auto"/>
        <w:right w:val="none" w:sz="0" w:space="0" w:color="auto"/>
      </w:divBdr>
    </w:div>
    <w:div w:id="1727291928">
      <w:bodyDiv w:val="1"/>
      <w:marLeft w:val="0"/>
      <w:marRight w:val="0"/>
      <w:marTop w:val="0"/>
      <w:marBottom w:val="0"/>
      <w:divBdr>
        <w:top w:val="none" w:sz="0" w:space="0" w:color="auto"/>
        <w:left w:val="none" w:sz="0" w:space="0" w:color="auto"/>
        <w:bottom w:val="none" w:sz="0" w:space="0" w:color="auto"/>
        <w:right w:val="none" w:sz="0" w:space="0" w:color="auto"/>
      </w:divBdr>
    </w:div>
    <w:div w:id="1770814831">
      <w:bodyDiv w:val="1"/>
      <w:marLeft w:val="0"/>
      <w:marRight w:val="0"/>
      <w:marTop w:val="0"/>
      <w:marBottom w:val="0"/>
      <w:divBdr>
        <w:top w:val="none" w:sz="0" w:space="0" w:color="auto"/>
        <w:left w:val="none" w:sz="0" w:space="0" w:color="auto"/>
        <w:bottom w:val="none" w:sz="0" w:space="0" w:color="auto"/>
        <w:right w:val="none" w:sz="0" w:space="0" w:color="auto"/>
      </w:divBdr>
    </w:div>
    <w:div w:id="1819036384">
      <w:bodyDiv w:val="1"/>
      <w:marLeft w:val="0"/>
      <w:marRight w:val="0"/>
      <w:marTop w:val="0"/>
      <w:marBottom w:val="0"/>
      <w:divBdr>
        <w:top w:val="none" w:sz="0" w:space="0" w:color="auto"/>
        <w:left w:val="none" w:sz="0" w:space="0" w:color="auto"/>
        <w:bottom w:val="none" w:sz="0" w:space="0" w:color="auto"/>
        <w:right w:val="none" w:sz="0" w:space="0" w:color="auto"/>
      </w:divBdr>
    </w:div>
    <w:div w:id="1820803676">
      <w:bodyDiv w:val="1"/>
      <w:marLeft w:val="0"/>
      <w:marRight w:val="0"/>
      <w:marTop w:val="0"/>
      <w:marBottom w:val="0"/>
      <w:divBdr>
        <w:top w:val="none" w:sz="0" w:space="0" w:color="auto"/>
        <w:left w:val="none" w:sz="0" w:space="0" w:color="auto"/>
        <w:bottom w:val="none" w:sz="0" w:space="0" w:color="auto"/>
        <w:right w:val="none" w:sz="0" w:space="0" w:color="auto"/>
      </w:divBdr>
    </w:div>
    <w:div w:id="1858958920">
      <w:bodyDiv w:val="1"/>
      <w:marLeft w:val="0"/>
      <w:marRight w:val="0"/>
      <w:marTop w:val="0"/>
      <w:marBottom w:val="0"/>
      <w:divBdr>
        <w:top w:val="none" w:sz="0" w:space="0" w:color="auto"/>
        <w:left w:val="none" w:sz="0" w:space="0" w:color="auto"/>
        <w:bottom w:val="none" w:sz="0" w:space="0" w:color="auto"/>
        <w:right w:val="none" w:sz="0" w:space="0" w:color="auto"/>
      </w:divBdr>
    </w:div>
    <w:div w:id="1950887097">
      <w:bodyDiv w:val="1"/>
      <w:marLeft w:val="0"/>
      <w:marRight w:val="0"/>
      <w:marTop w:val="0"/>
      <w:marBottom w:val="0"/>
      <w:divBdr>
        <w:top w:val="none" w:sz="0" w:space="0" w:color="auto"/>
        <w:left w:val="none" w:sz="0" w:space="0" w:color="auto"/>
        <w:bottom w:val="none" w:sz="0" w:space="0" w:color="auto"/>
        <w:right w:val="none" w:sz="0" w:space="0" w:color="auto"/>
      </w:divBdr>
      <w:divsChild>
        <w:div w:id="1147822383">
          <w:marLeft w:val="0"/>
          <w:marRight w:val="0"/>
          <w:marTop w:val="0"/>
          <w:marBottom w:val="0"/>
          <w:divBdr>
            <w:top w:val="none" w:sz="0" w:space="0" w:color="auto"/>
            <w:left w:val="none" w:sz="0" w:space="0" w:color="auto"/>
            <w:bottom w:val="none" w:sz="0" w:space="0" w:color="auto"/>
            <w:right w:val="none" w:sz="0" w:space="0" w:color="auto"/>
          </w:divBdr>
          <w:divsChild>
            <w:div w:id="377094469">
              <w:marLeft w:val="0"/>
              <w:marRight w:val="0"/>
              <w:marTop w:val="0"/>
              <w:marBottom w:val="0"/>
              <w:divBdr>
                <w:top w:val="none" w:sz="0" w:space="0" w:color="auto"/>
                <w:left w:val="none" w:sz="0" w:space="0" w:color="auto"/>
                <w:bottom w:val="none" w:sz="0" w:space="0" w:color="auto"/>
                <w:right w:val="none" w:sz="0" w:space="0" w:color="auto"/>
              </w:divBdr>
              <w:divsChild>
                <w:div w:id="1099717242">
                  <w:marLeft w:val="0"/>
                  <w:marRight w:val="0"/>
                  <w:marTop w:val="0"/>
                  <w:marBottom w:val="0"/>
                  <w:divBdr>
                    <w:top w:val="none" w:sz="0" w:space="0" w:color="auto"/>
                    <w:left w:val="none" w:sz="0" w:space="0" w:color="auto"/>
                    <w:bottom w:val="none" w:sz="0" w:space="0" w:color="auto"/>
                    <w:right w:val="none" w:sz="0" w:space="0" w:color="auto"/>
                  </w:divBdr>
                  <w:divsChild>
                    <w:div w:id="317073733">
                      <w:marLeft w:val="0"/>
                      <w:marRight w:val="0"/>
                      <w:marTop w:val="0"/>
                      <w:marBottom w:val="0"/>
                      <w:divBdr>
                        <w:top w:val="none" w:sz="0" w:space="0" w:color="auto"/>
                        <w:left w:val="none" w:sz="0" w:space="0" w:color="auto"/>
                        <w:bottom w:val="none" w:sz="0" w:space="0" w:color="auto"/>
                        <w:right w:val="none" w:sz="0" w:space="0" w:color="auto"/>
                      </w:divBdr>
                      <w:divsChild>
                        <w:div w:id="2063940519">
                          <w:marLeft w:val="0"/>
                          <w:marRight w:val="0"/>
                          <w:marTop w:val="0"/>
                          <w:marBottom w:val="0"/>
                          <w:divBdr>
                            <w:top w:val="none" w:sz="0" w:space="0" w:color="auto"/>
                            <w:left w:val="none" w:sz="0" w:space="0" w:color="auto"/>
                            <w:bottom w:val="none" w:sz="0" w:space="0" w:color="auto"/>
                            <w:right w:val="none" w:sz="0" w:space="0" w:color="auto"/>
                          </w:divBdr>
                          <w:divsChild>
                            <w:div w:id="60307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3436283">
      <w:bodyDiv w:val="1"/>
      <w:marLeft w:val="0"/>
      <w:marRight w:val="0"/>
      <w:marTop w:val="0"/>
      <w:marBottom w:val="0"/>
      <w:divBdr>
        <w:top w:val="none" w:sz="0" w:space="0" w:color="auto"/>
        <w:left w:val="none" w:sz="0" w:space="0" w:color="auto"/>
        <w:bottom w:val="none" w:sz="0" w:space="0" w:color="auto"/>
        <w:right w:val="none" w:sz="0" w:space="0" w:color="auto"/>
      </w:divBdr>
      <w:divsChild>
        <w:div w:id="219827395">
          <w:marLeft w:val="0"/>
          <w:marRight w:val="0"/>
          <w:marTop w:val="0"/>
          <w:marBottom w:val="0"/>
          <w:divBdr>
            <w:top w:val="none" w:sz="0" w:space="0" w:color="auto"/>
            <w:left w:val="none" w:sz="0" w:space="0" w:color="auto"/>
            <w:bottom w:val="none" w:sz="0" w:space="0" w:color="auto"/>
            <w:right w:val="none" w:sz="0" w:space="0" w:color="auto"/>
          </w:divBdr>
          <w:divsChild>
            <w:div w:id="596793277">
              <w:marLeft w:val="0"/>
              <w:marRight w:val="0"/>
              <w:marTop w:val="0"/>
              <w:marBottom w:val="0"/>
              <w:divBdr>
                <w:top w:val="none" w:sz="0" w:space="0" w:color="auto"/>
                <w:left w:val="none" w:sz="0" w:space="0" w:color="auto"/>
                <w:bottom w:val="none" w:sz="0" w:space="0" w:color="auto"/>
                <w:right w:val="none" w:sz="0" w:space="0" w:color="auto"/>
              </w:divBdr>
              <w:divsChild>
                <w:div w:id="1904366919">
                  <w:marLeft w:val="0"/>
                  <w:marRight w:val="0"/>
                  <w:marTop w:val="0"/>
                  <w:marBottom w:val="0"/>
                  <w:divBdr>
                    <w:top w:val="none" w:sz="0" w:space="0" w:color="auto"/>
                    <w:left w:val="none" w:sz="0" w:space="0" w:color="auto"/>
                    <w:bottom w:val="none" w:sz="0" w:space="0" w:color="auto"/>
                    <w:right w:val="none" w:sz="0" w:space="0" w:color="auto"/>
                  </w:divBdr>
                  <w:divsChild>
                    <w:div w:id="1372219549">
                      <w:marLeft w:val="0"/>
                      <w:marRight w:val="0"/>
                      <w:marTop w:val="0"/>
                      <w:marBottom w:val="0"/>
                      <w:divBdr>
                        <w:top w:val="none" w:sz="0" w:space="0" w:color="auto"/>
                        <w:left w:val="none" w:sz="0" w:space="0" w:color="auto"/>
                        <w:bottom w:val="none" w:sz="0" w:space="0" w:color="auto"/>
                        <w:right w:val="none" w:sz="0" w:space="0" w:color="auto"/>
                      </w:divBdr>
                      <w:divsChild>
                        <w:div w:id="1393503964">
                          <w:marLeft w:val="0"/>
                          <w:marRight w:val="0"/>
                          <w:marTop w:val="0"/>
                          <w:marBottom w:val="0"/>
                          <w:divBdr>
                            <w:top w:val="none" w:sz="0" w:space="0" w:color="auto"/>
                            <w:left w:val="none" w:sz="0" w:space="0" w:color="auto"/>
                            <w:bottom w:val="none" w:sz="0" w:space="0" w:color="auto"/>
                            <w:right w:val="none" w:sz="0" w:space="0" w:color="auto"/>
                          </w:divBdr>
                          <w:divsChild>
                            <w:div w:id="5721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8602764">
      <w:bodyDiv w:val="1"/>
      <w:marLeft w:val="0"/>
      <w:marRight w:val="0"/>
      <w:marTop w:val="0"/>
      <w:marBottom w:val="0"/>
      <w:divBdr>
        <w:top w:val="none" w:sz="0" w:space="0" w:color="auto"/>
        <w:left w:val="none" w:sz="0" w:space="0" w:color="auto"/>
        <w:bottom w:val="none" w:sz="0" w:space="0" w:color="auto"/>
        <w:right w:val="none" w:sz="0" w:space="0" w:color="auto"/>
      </w:divBdr>
      <w:divsChild>
        <w:div w:id="1275406045">
          <w:marLeft w:val="0"/>
          <w:marRight w:val="0"/>
          <w:marTop w:val="0"/>
          <w:marBottom w:val="0"/>
          <w:divBdr>
            <w:top w:val="none" w:sz="0" w:space="0" w:color="auto"/>
            <w:left w:val="none" w:sz="0" w:space="0" w:color="auto"/>
            <w:bottom w:val="none" w:sz="0" w:space="0" w:color="auto"/>
            <w:right w:val="none" w:sz="0" w:space="0" w:color="auto"/>
          </w:divBdr>
          <w:divsChild>
            <w:div w:id="1373000245">
              <w:marLeft w:val="0"/>
              <w:marRight w:val="0"/>
              <w:marTop w:val="0"/>
              <w:marBottom w:val="0"/>
              <w:divBdr>
                <w:top w:val="none" w:sz="0" w:space="0" w:color="auto"/>
                <w:left w:val="none" w:sz="0" w:space="0" w:color="auto"/>
                <w:bottom w:val="none" w:sz="0" w:space="0" w:color="auto"/>
                <w:right w:val="none" w:sz="0" w:space="0" w:color="auto"/>
              </w:divBdr>
              <w:divsChild>
                <w:div w:id="871068105">
                  <w:marLeft w:val="0"/>
                  <w:marRight w:val="0"/>
                  <w:marTop w:val="0"/>
                  <w:marBottom w:val="0"/>
                  <w:divBdr>
                    <w:top w:val="none" w:sz="0" w:space="0" w:color="auto"/>
                    <w:left w:val="none" w:sz="0" w:space="0" w:color="auto"/>
                    <w:bottom w:val="none" w:sz="0" w:space="0" w:color="auto"/>
                    <w:right w:val="none" w:sz="0" w:space="0" w:color="auto"/>
                  </w:divBdr>
                  <w:divsChild>
                    <w:div w:id="810175771">
                      <w:marLeft w:val="0"/>
                      <w:marRight w:val="0"/>
                      <w:marTop w:val="0"/>
                      <w:marBottom w:val="0"/>
                      <w:divBdr>
                        <w:top w:val="none" w:sz="0" w:space="0" w:color="auto"/>
                        <w:left w:val="none" w:sz="0" w:space="0" w:color="auto"/>
                        <w:bottom w:val="none" w:sz="0" w:space="0" w:color="auto"/>
                        <w:right w:val="none" w:sz="0" w:space="0" w:color="auto"/>
                      </w:divBdr>
                      <w:divsChild>
                        <w:div w:id="650139892">
                          <w:marLeft w:val="0"/>
                          <w:marRight w:val="0"/>
                          <w:marTop w:val="0"/>
                          <w:marBottom w:val="0"/>
                          <w:divBdr>
                            <w:top w:val="none" w:sz="0" w:space="0" w:color="auto"/>
                            <w:left w:val="none" w:sz="0" w:space="0" w:color="auto"/>
                            <w:bottom w:val="none" w:sz="0" w:space="0" w:color="auto"/>
                            <w:right w:val="none" w:sz="0" w:space="0" w:color="auto"/>
                          </w:divBdr>
                          <w:divsChild>
                            <w:div w:id="169535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3134894">
      <w:bodyDiv w:val="1"/>
      <w:marLeft w:val="0"/>
      <w:marRight w:val="0"/>
      <w:marTop w:val="0"/>
      <w:marBottom w:val="0"/>
      <w:divBdr>
        <w:top w:val="none" w:sz="0" w:space="0" w:color="auto"/>
        <w:left w:val="none" w:sz="0" w:space="0" w:color="auto"/>
        <w:bottom w:val="none" w:sz="0" w:space="0" w:color="auto"/>
        <w:right w:val="none" w:sz="0" w:space="0" w:color="auto"/>
      </w:divBdr>
    </w:div>
    <w:div w:id="2084595072">
      <w:bodyDiv w:val="1"/>
      <w:marLeft w:val="0"/>
      <w:marRight w:val="0"/>
      <w:marTop w:val="0"/>
      <w:marBottom w:val="0"/>
      <w:divBdr>
        <w:top w:val="none" w:sz="0" w:space="0" w:color="auto"/>
        <w:left w:val="none" w:sz="0" w:space="0" w:color="auto"/>
        <w:bottom w:val="none" w:sz="0" w:space="0" w:color="auto"/>
        <w:right w:val="none" w:sz="0" w:space="0" w:color="auto"/>
      </w:divBdr>
    </w:div>
    <w:div w:id="2137409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mberspage.eesc.europa.eu/members/2042886" TargetMode="External"/><Relationship Id="rId21" Type="http://schemas.openxmlformats.org/officeDocument/2006/relationships/hyperlink" Target="https://memberspage.eesc.europa.eu/members/2021345" TargetMode="External"/><Relationship Id="rId42" Type="http://schemas.openxmlformats.org/officeDocument/2006/relationships/hyperlink" Target="https://assembly.coe.int/nw/xml/XRef/Xref-XML2HTML-EN.asp?fileid=28150" TargetMode="External"/><Relationship Id="rId47" Type="http://schemas.openxmlformats.org/officeDocument/2006/relationships/hyperlink" Target="https://commission.europa.eu/document/download/7cc63350-88c9-4c0b-a46e-04fc11e673e7_en?filename=COM_2024_269_1_EN_ACT_part1_v6.pdf" TargetMode="External"/><Relationship Id="rId63" Type="http://schemas.openxmlformats.org/officeDocument/2006/relationships/chart" Target="charts/chart6.xml"/><Relationship Id="rId68" Type="http://schemas.openxmlformats.org/officeDocument/2006/relationships/chart" Target="charts/chart11.xml"/><Relationship Id="rId84" Type="http://schemas.openxmlformats.org/officeDocument/2006/relationships/chart" Target="charts/chart26.xml"/><Relationship Id="rId89" Type="http://schemas.openxmlformats.org/officeDocument/2006/relationships/image" Target="media/image4.png"/><Relationship Id="rId112" Type="http://schemas.openxmlformats.org/officeDocument/2006/relationships/theme" Target="theme/theme1.xml"/><Relationship Id="rId16" Type="http://schemas.openxmlformats.org/officeDocument/2006/relationships/footer" Target="footer1.xml"/><Relationship Id="rId107" Type="http://schemas.openxmlformats.org/officeDocument/2006/relationships/hyperlink" Target="https://www.eesc.europa.eu/en/our-work/opinions-information-reports/opinions/european-judicial-training-strategy-2021-2024" TargetMode="External"/><Relationship Id="rId11" Type="http://schemas.openxmlformats.org/officeDocument/2006/relationships/image" Target="media/image1.png"/><Relationship Id="rId32" Type="http://schemas.openxmlformats.org/officeDocument/2006/relationships/hyperlink" Target="https://memberspage.eesc.europa.eu/members/2027085" TargetMode="External"/><Relationship Id="rId37" Type="http://schemas.openxmlformats.org/officeDocument/2006/relationships/hyperlink" Target="https://eur-lex.europa.eu/legal-content/EN/TXT/PDF/?uri=CELEX:32019L1937" TargetMode="External"/><Relationship Id="rId53" Type="http://schemas.openxmlformats.org/officeDocument/2006/relationships/hyperlink" Target="https://www.legifrance.gouv.fr/loda/id/JORFTEXT000033558528" TargetMode="External"/><Relationship Id="rId58" Type="http://schemas.openxmlformats.org/officeDocument/2006/relationships/hyperlink" Target="https://legislatie.just.ro/public/DetaliiDocument/262872" TargetMode="External"/><Relationship Id="rId74" Type="http://schemas.openxmlformats.org/officeDocument/2006/relationships/chart" Target="charts/chart17.xml"/><Relationship Id="rId79" Type="http://schemas.openxmlformats.org/officeDocument/2006/relationships/chart" Target="charts/chart22.xml"/><Relationship Id="rId102" Type="http://schemas.openxmlformats.org/officeDocument/2006/relationships/chart" Target="charts/chart41.xml"/><Relationship Id="rId5" Type="http://schemas.openxmlformats.org/officeDocument/2006/relationships/numbering" Target="numbering.xml"/><Relationship Id="rId90" Type="http://schemas.openxmlformats.org/officeDocument/2006/relationships/chart" Target="charts/chart30.xml"/><Relationship Id="rId95" Type="http://schemas.openxmlformats.org/officeDocument/2006/relationships/chart" Target="charts/chart35.xml"/><Relationship Id="rId22" Type="http://schemas.openxmlformats.org/officeDocument/2006/relationships/hyperlink" Target="https://memberspage.eesc.europa.eu/members/2038727" TargetMode="External"/><Relationship Id="rId27" Type="http://schemas.openxmlformats.org/officeDocument/2006/relationships/hyperlink" Target="https://memberspage.eesc.europa.eu/members/2026938" TargetMode="External"/><Relationship Id="rId43" Type="http://schemas.openxmlformats.org/officeDocument/2006/relationships/hyperlink" Target="https://eur-lex.europa.eu/legal-content/EN/TXT/?uri=PI_EESC%3AEESC-2018-02855-AC" TargetMode="External"/><Relationship Id="rId48" Type="http://schemas.openxmlformats.org/officeDocument/2006/relationships/hyperlink" Target="https://curia.europa.eu/jcms/upload/docs/application/pdf/2025-03/cp250029en.pdf" TargetMode="External"/><Relationship Id="rId64" Type="http://schemas.openxmlformats.org/officeDocument/2006/relationships/chart" Target="charts/chart7.xml"/><Relationship Id="rId69" Type="http://schemas.openxmlformats.org/officeDocument/2006/relationships/chart" Target="charts/chart12.xml"/><Relationship Id="rId113" Type="http://schemas.openxmlformats.org/officeDocument/2006/relationships/customXml" Target="../customXml/item1.xml"/><Relationship Id="rId80" Type="http://schemas.openxmlformats.org/officeDocument/2006/relationships/image" Target="media/image2.png"/><Relationship Id="rId85" Type="http://schemas.openxmlformats.org/officeDocument/2006/relationships/chart" Target="charts/chart27.xml"/><Relationship Id="rId12" Type="http://schemas.openxmlformats.org/officeDocument/2006/relationships/hyperlink" Target="mailto:Igor.Caldeira@eesc.europa.eu" TargetMode="External"/><Relationship Id="rId17" Type="http://schemas.openxmlformats.org/officeDocument/2006/relationships/hyperlink" Target="https://eur-lex.europa.eu/legal-content/EN/TXT/PDF/?uri=CELEX:32019L1937" TargetMode="External"/><Relationship Id="rId33" Type="http://schemas.openxmlformats.org/officeDocument/2006/relationships/hyperlink" Target="https://memberspage.eesc.europa.eu/members/2042052" TargetMode="External"/><Relationship Id="rId38" Type="http://schemas.openxmlformats.org/officeDocument/2006/relationships/hyperlink" Target="https://europa.eu/eurobarometer/surveys/detail/2176" TargetMode="External"/><Relationship Id="rId59" Type="http://schemas.openxmlformats.org/officeDocument/2006/relationships/hyperlink" Target="https://ec.europa.eu/implementing-eu-law/search-infringement-decisions/index.cfm?lang_code=EN&amp;typeOfSearch=true&amp;active_only=0&amp;noncom=0&amp;r_dossier=&amp;decision_date_from=&amp;decision_date_to=&amp;title=32019L1937&amp;submit=Search" TargetMode="External"/><Relationship Id="rId103" Type="http://schemas.openxmlformats.org/officeDocument/2006/relationships/hyperlink" Target="https://www.eesc.europa.eu/en/our-work/opinions-information-reports/opinions/initiative-against-abusive-litigation-targeting-journalists-and-rights-defenders" TargetMode="External"/><Relationship Id="rId108" Type="http://schemas.openxmlformats.org/officeDocument/2006/relationships/hyperlink" Target="https://www.eesc.europa.eu/en/our-work/opinions-information-reports/opinions/review-non-financial-reporting-directive" TargetMode="External"/><Relationship Id="rId54" Type="http://schemas.openxmlformats.org/officeDocument/2006/relationships/hyperlink" Target="https://www.legifrance.gouv.fr/loda/id/JORFTEXT000045388745/2026-02-03" TargetMode="External"/><Relationship Id="rId70" Type="http://schemas.openxmlformats.org/officeDocument/2006/relationships/chart" Target="charts/chart13.xml"/><Relationship Id="rId75" Type="http://schemas.openxmlformats.org/officeDocument/2006/relationships/chart" Target="charts/chart18.xml"/><Relationship Id="rId91" Type="http://schemas.openxmlformats.org/officeDocument/2006/relationships/chart" Target="charts/chart31.xml"/><Relationship Id="rId96" Type="http://schemas.openxmlformats.org/officeDocument/2006/relationships/chart" Target="charts/chart36.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yperlink" Target="https://memberspage.eesc.europa.eu/members/2033076" TargetMode="External"/><Relationship Id="rId28" Type="http://schemas.openxmlformats.org/officeDocument/2006/relationships/hyperlink" Target="https://memberspage.eesc.europa.eu/members/2015999" TargetMode="External"/><Relationship Id="rId36" Type="http://schemas.openxmlformats.org/officeDocument/2006/relationships/chart" Target="charts/chart3.xml"/><Relationship Id="rId49" Type="http://schemas.openxmlformats.org/officeDocument/2006/relationships/hyperlink" Target="https://commission.europa.eu/document/download/7cc63350-88c9-4c0b-a46e-04fc11e673e7_en?filename=COM_2024_269_1_EN_ACT_part1_v6.pdf" TargetMode="External"/><Relationship Id="rId57" Type="http://schemas.openxmlformats.org/officeDocument/2006/relationships/hyperlink" Target="https://www.mk.gov.lv/en/article/employee-not-trifle-campaign-will-raise-citizens-awareness-whistleblowing-workplace" TargetMode="External"/><Relationship Id="rId106" Type="http://schemas.openxmlformats.org/officeDocument/2006/relationships/hyperlink" Target="https://www.eesc.europa.eu/en/our-work/opinions-information-reports/opinions/strengthening-europols-mandate" TargetMode="External"/><Relationship Id="rId114" Type="http://schemas.openxmlformats.org/officeDocument/2006/relationships/customXml" Target="../customXml/item2.xml"/><Relationship Id="rId10" Type="http://schemas.openxmlformats.org/officeDocument/2006/relationships/endnotes" Target="endnotes.xml"/><Relationship Id="rId31" Type="http://schemas.openxmlformats.org/officeDocument/2006/relationships/hyperlink" Target="https://memberspage.eesc.europa.eu/members/2024567" TargetMode="External"/><Relationship Id="rId44" Type="http://schemas.openxmlformats.org/officeDocument/2006/relationships/hyperlink" Target="https://eur-lex.europa.eu/eli/treaty/tfeu_2008/art_153/oj/eng" TargetMode="External"/><Relationship Id="rId52" Type="http://schemas.openxmlformats.org/officeDocument/2006/relationships/hyperlink" Target="https://www.retsinformation.dk/eli/lta/2021/1436" TargetMode="External"/><Relationship Id="rId60" Type="http://schemas.openxmlformats.org/officeDocument/2006/relationships/hyperlink" Target="https://legislatie.just.ro/Public/DetaliiDocument/266342" TargetMode="External"/><Relationship Id="rId65" Type="http://schemas.openxmlformats.org/officeDocument/2006/relationships/chart" Target="charts/chart8.xml"/><Relationship Id="rId73" Type="http://schemas.openxmlformats.org/officeDocument/2006/relationships/chart" Target="charts/chart16.xml"/><Relationship Id="rId78" Type="http://schemas.openxmlformats.org/officeDocument/2006/relationships/chart" Target="charts/chart21.xml"/><Relationship Id="rId81" Type="http://schemas.openxmlformats.org/officeDocument/2006/relationships/chart" Target="charts/chart23.xml"/><Relationship Id="rId86" Type="http://schemas.openxmlformats.org/officeDocument/2006/relationships/chart" Target="charts/chart28.xml"/><Relationship Id="rId94" Type="http://schemas.openxmlformats.org/officeDocument/2006/relationships/chart" Target="charts/chart34.xml"/><Relationship Id="rId99" Type="http://schemas.openxmlformats.org/officeDocument/2006/relationships/image" Target="media/image5.png"/><Relationship Id="rId101" Type="http://schemas.openxmlformats.org/officeDocument/2006/relationships/chart" Target="charts/chart40.xml"/><Relationship Id="rId9" Type="http://schemas.openxmlformats.org/officeDocument/2006/relationships/footnotes" Target="footnotes.xml"/><Relationship Id="rId13" Type="http://schemas.openxmlformats.org/officeDocument/2006/relationships/hyperlink" Target="mailto:June.Bedaton@eesc.europa.eu" TargetMode="External"/><Relationship Id="rId18" Type="http://schemas.openxmlformats.org/officeDocument/2006/relationships/hyperlink" Target="https://eur-lex.europa.eu/eli/treaty/char_2012/oj/eng" TargetMode="External"/><Relationship Id="rId39" Type="http://schemas.openxmlformats.org/officeDocument/2006/relationships/hyperlink" Target="https://ec.europa.eu/newsroom/just/items/54254" TargetMode="External"/><Relationship Id="rId109" Type="http://schemas.openxmlformats.org/officeDocument/2006/relationships/hyperlink" Target="https://www.eesc.europa.eu/en/our-work/opinions-information-reports/opinions/strengthening-whistleblower-protection-eu-level" TargetMode="External"/><Relationship Id="rId34" Type="http://schemas.openxmlformats.org/officeDocument/2006/relationships/chart" Target="charts/chart1.xml"/><Relationship Id="rId50" Type="http://schemas.openxmlformats.org/officeDocument/2006/relationships/hyperlink" Target="https://commission.europa.eu/document/download/7cc63350-88c9-4c0b-a46e-04fc11e673e7_en?filename=COM_2024_269_1_EN_ACT_part1_v6.pdf" TargetMode="External"/><Relationship Id="rId55" Type="http://schemas.openxmlformats.org/officeDocument/2006/relationships/hyperlink" Target="https://likumi.lv/ta/en/en/id/329680" TargetMode="External"/><Relationship Id="rId76" Type="http://schemas.openxmlformats.org/officeDocument/2006/relationships/chart" Target="charts/chart19.xml"/><Relationship Id="rId97" Type="http://schemas.openxmlformats.org/officeDocument/2006/relationships/chart" Target="charts/chart37.xml"/><Relationship Id="rId104" Type="http://schemas.openxmlformats.org/officeDocument/2006/relationships/hyperlink" Target="https://www.eesc.europa.eu/en/our-work/opinions-information-reports/opinions/violation-sanctionseu-crimes" TargetMode="External"/><Relationship Id="rId7" Type="http://schemas.openxmlformats.org/officeDocument/2006/relationships/settings" Target="settings.xml"/><Relationship Id="rId71" Type="http://schemas.openxmlformats.org/officeDocument/2006/relationships/chart" Target="charts/chart14.xml"/><Relationship Id="rId92" Type="http://schemas.openxmlformats.org/officeDocument/2006/relationships/chart" Target="charts/chart32.xml"/><Relationship Id="rId29" Type="http://schemas.openxmlformats.org/officeDocument/2006/relationships/hyperlink" Target="https://memberspage.eesc.europa.eu/members/2038842" TargetMode="External"/><Relationship Id="rId24" Type="http://schemas.openxmlformats.org/officeDocument/2006/relationships/hyperlink" Target="https://memberspage.eesc.europa.eu/members/2016255" TargetMode="External"/><Relationship Id="rId40" Type="http://schemas.openxmlformats.org/officeDocument/2006/relationships/hyperlink" Target="http://assembly.coe.int/nw/xml/XRef/Xref-XML2HTML-en.asp?fileid=17851" TargetMode="External"/><Relationship Id="rId45" Type="http://schemas.openxmlformats.org/officeDocument/2006/relationships/hyperlink" Target="https://eur-lex.europa.eu/resource.html?uri=cellar:a4e61a49-46d2-11e8-be1d-01aa75ed71a1.0001.02/DOC_1&amp;format=PDF" TargetMode="External"/><Relationship Id="rId66" Type="http://schemas.openxmlformats.org/officeDocument/2006/relationships/chart" Target="charts/chart9.xml"/><Relationship Id="rId87" Type="http://schemas.openxmlformats.org/officeDocument/2006/relationships/chart" Target="charts/chart29.xml"/><Relationship Id="rId110" Type="http://schemas.openxmlformats.org/officeDocument/2006/relationships/footer" Target="footer2.xml"/><Relationship Id="rId115" Type="http://schemas.openxmlformats.org/officeDocument/2006/relationships/customXml" Target="../customXml/item3.xml"/><Relationship Id="rId61" Type="http://schemas.openxmlformats.org/officeDocument/2006/relationships/chart" Target="charts/chart4.xml"/><Relationship Id="rId82" Type="http://schemas.openxmlformats.org/officeDocument/2006/relationships/chart" Target="charts/chart24.xml"/><Relationship Id="rId19" Type="http://schemas.openxmlformats.org/officeDocument/2006/relationships/hyperlink" Target="https://memberspage.eesc.europa.eu/members/2037718" TargetMode="External"/><Relationship Id="rId14" Type="http://schemas.openxmlformats.org/officeDocument/2006/relationships/hyperlink" Target="mailto:JeanMarie.Rogue@eesc.europa.eu" TargetMode="External"/><Relationship Id="rId30" Type="http://schemas.openxmlformats.org/officeDocument/2006/relationships/hyperlink" Target="https://memberspage.eesc.europa.eu/members/2038854" TargetMode="External"/><Relationship Id="rId35" Type="http://schemas.openxmlformats.org/officeDocument/2006/relationships/chart" Target="charts/chart2.xml"/><Relationship Id="rId56" Type="http://schemas.openxmlformats.org/officeDocument/2006/relationships/hyperlink" Target="https://www.mk.gov.lv/en/article/campaign-see-hear-speak-launched" TargetMode="External"/><Relationship Id="rId77" Type="http://schemas.openxmlformats.org/officeDocument/2006/relationships/chart" Target="charts/chart20.xml"/><Relationship Id="rId100" Type="http://schemas.openxmlformats.org/officeDocument/2006/relationships/chart" Target="charts/chart39.xml"/><Relationship Id="rId105" Type="http://schemas.openxmlformats.org/officeDocument/2006/relationships/hyperlink" Target="https://www.eesc.europa.eu/en/our-work/opinions-information-reports/opinions/empowering-consumer-green-transition" TargetMode="External"/><Relationship Id="rId8" Type="http://schemas.openxmlformats.org/officeDocument/2006/relationships/webSettings" Target="webSettings.xml"/><Relationship Id="rId51" Type="http://schemas.openxmlformats.org/officeDocument/2006/relationships/hyperlink" Target="https://ec.europa.eu/info/law/better-regulation/have-your-say/initiatives/14468-Whistleblower-Protection-Directive-evaluation_en" TargetMode="External"/><Relationship Id="rId72" Type="http://schemas.openxmlformats.org/officeDocument/2006/relationships/chart" Target="charts/chart15.xml"/><Relationship Id="rId93" Type="http://schemas.openxmlformats.org/officeDocument/2006/relationships/chart" Target="charts/chart33.xml"/><Relationship Id="rId98" Type="http://schemas.openxmlformats.org/officeDocument/2006/relationships/chart" Target="charts/chart38.xml"/><Relationship Id="rId25" Type="http://schemas.openxmlformats.org/officeDocument/2006/relationships/hyperlink" Target="https://memberspage.eesc.europa.eu/members/2032945" TargetMode="External"/><Relationship Id="rId46" Type="http://schemas.openxmlformats.org/officeDocument/2006/relationships/hyperlink" Target="https://employment-social-affairs.ec.europa.eu/policies-and-activities/european-pillar-social-rights-building-fairer-and-more-inclusive-european-union_en" TargetMode="External"/><Relationship Id="rId67" Type="http://schemas.openxmlformats.org/officeDocument/2006/relationships/chart" Target="charts/chart10.xml"/><Relationship Id="rId116" Type="http://schemas.openxmlformats.org/officeDocument/2006/relationships/customXml" Target="../customXml/item4.xml"/><Relationship Id="rId20" Type="http://schemas.openxmlformats.org/officeDocument/2006/relationships/hyperlink" Target="https://memberspage.eesc.europa.eu/members/2038896" TargetMode="External"/><Relationship Id="rId41" Type="http://schemas.openxmlformats.org/officeDocument/2006/relationships/hyperlink" Target="https://rm.coe.int/16807096c7" TargetMode="External"/><Relationship Id="rId62" Type="http://schemas.openxmlformats.org/officeDocument/2006/relationships/chart" Target="charts/chart5.xml"/><Relationship Id="rId83" Type="http://schemas.openxmlformats.org/officeDocument/2006/relationships/chart" Target="charts/chart25.xml"/><Relationship Id="rId88" Type="http://schemas.openxmlformats.org/officeDocument/2006/relationships/image" Target="media/image3.png"/><Relationship Id="rId111" Type="http://schemas.openxmlformats.org/officeDocument/2006/relationships/fontTable" Target="fontTable.xml"/></Relationships>
</file>

<file path=word/_rels/footnotes.xml.rels><?xml version="1.0" encoding="UTF-8" standalone="yes"?>
<Relationships xmlns="http://schemas.openxmlformats.org/package/2006/relationships"><Relationship Id="rId13" Type="http://schemas.openxmlformats.org/officeDocument/2006/relationships/hyperlink" Target="https://www.europarl.europa.eu/doceo/document/TA-8-2019-0366_EN.html" TargetMode="External"/><Relationship Id="rId18" Type="http://schemas.openxmlformats.org/officeDocument/2006/relationships/hyperlink" Target="https://www.fieldfisher.com/en/insights/the-eu-whistleblowing-directive-a-danish-perspecti" TargetMode="External"/><Relationship Id="rId26" Type="http://schemas.openxmlformats.org/officeDocument/2006/relationships/hyperlink" Target="https://www.oecd.org/content/dam/oecd/en/publications/reports/2025/07/oecd-anti-bribery-convention-phase-4-follow-up-report-on-denmark_91ca2afd/f0a83018-en.pdf" TargetMode="External"/><Relationship Id="rId39" Type="http://schemas.openxmlformats.org/officeDocument/2006/relationships/hyperlink" Target="https://www.mimit.gov.it/it/amministrazione-trasparente/altri-contenuti/corruzione/whistleblowing" TargetMode="External"/><Relationship Id="rId21" Type="http://schemas.openxmlformats.org/officeDocument/2006/relationships/hyperlink" Target="https://track.unodc.org/uploads/documents/UNCAC/WorkingGroups/workinggroup4/2025-June-17-20/Contributions-whistler-blower/Denmark_English.pdf" TargetMode="External"/><Relationship Id="rId34" Type="http://schemas.openxmlformats.org/officeDocument/2006/relationships/hyperlink" Target="https://www.transparency.it/images/whistleblowing/2024_Letter_Transparency_International_Italy_to_European_Commission.pdf" TargetMode="External"/><Relationship Id="rId42" Type="http://schemas.openxmlformats.org/officeDocument/2006/relationships/hyperlink" Target="https://www.lcalex.it/en/the-decree-implementing-the-directive-on-whistleblowing-published-in-the-official-gazette/" TargetMode="External"/><Relationship Id="rId47" Type="http://schemas.openxmlformats.org/officeDocument/2006/relationships/hyperlink" Target="https://ellex.legal/eu-whistleblowing-directive-latvia/" TargetMode="External"/><Relationship Id="rId50" Type="http://schemas.openxmlformats.org/officeDocument/2006/relationships/hyperlink" Target="https://delna.lv/wp-content/uploads/2025/04/Final_English-Whistleblowing-Law-Evaluation-Report.pdf" TargetMode="External"/><Relationship Id="rId55" Type="http://schemas.openxmlformats.org/officeDocument/2006/relationships/hyperlink" Target="https://www.mk.gov.lv/en/article/employee-not-trifle-campaign-will-raise-citizens-awareness-whistleblowing-workplace" TargetMode="External"/><Relationship Id="rId7" Type="http://schemas.openxmlformats.org/officeDocument/2006/relationships/hyperlink" Target="https://eur-lex.europa.eu/eli/dir_impl/2015/2392/oj/eng" TargetMode="External"/><Relationship Id="rId12" Type="http://schemas.openxmlformats.org/officeDocument/2006/relationships/hyperlink" Target="https://hudoc.echr.coe.int/eng?i=001-85016" TargetMode="External"/><Relationship Id="rId17" Type="http://schemas.openxmlformats.org/officeDocument/2006/relationships/hyperlink" Target="https://commission.europa.eu/document/download/7cc63350-88c9-4c0b-a46e-04fc11e673e7_en?filename=COM_2024_269_1_EN_ACT_part1_v6.pdf" TargetMode="External"/><Relationship Id="rId25" Type="http://schemas.openxmlformats.org/officeDocument/2006/relationships/hyperlink" Target="https://www.justitsministeriet.dk/wp-content/uploads/2021/12/Vejledning-for-whistleblowere.pdf" TargetMode="External"/><Relationship Id="rId33" Type="http://schemas.openxmlformats.org/officeDocument/2006/relationships/hyperlink" Target="https://www.cms.hr/wp-content/uploads/Liberties_Rule_of_Law_Report_2025.pdf" TargetMode="External"/><Relationship Id="rId38" Type="http://schemas.openxmlformats.org/officeDocument/2006/relationships/hyperlink" Target="https://www.slc.it/post/whistleblowing" TargetMode="External"/><Relationship Id="rId46" Type="http://schemas.openxmlformats.org/officeDocument/2006/relationships/hyperlink" Target="https://delna.lv/wp-content/uploads/2025/04/Final_English-Whistleblowing-Law-Evaluation-Report.pdf" TargetMode="External"/><Relationship Id="rId2" Type="http://schemas.openxmlformats.org/officeDocument/2006/relationships/hyperlink" Target="https://commission.europa.eu/document/download/88ebf8bb-79c1-4cf2-975b-c643dcc766f8_en?filename=BRT-2023-%09Chapter%206-How%20to%20carry%20out%20an%20evaluation%20and%20a%20fitness%20check_0.pdf" TargetMode="External"/><Relationship Id="rId16" Type="http://schemas.openxmlformats.org/officeDocument/2006/relationships/hyperlink" Target="https://eur-lex.europa.eu/legal-content/EN/TXT/PDF/?uri=OJ:C:2016:202:FULL" TargetMode="External"/><Relationship Id="rId20" Type="http://schemas.openxmlformats.org/officeDocument/2006/relationships/hyperlink" Target="https://clemenslaw.dk/en/aktuelt/hvilke-forhold-kan-en-whistleblower-indberette-om/" TargetMode="External"/><Relationship Id="rId29" Type="http://schemas.openxmlformats.org/officeDocument/2006/relationships/hyperlink" Target="https://www.legifrance.gouv.fr/loda/id/JORFTEXT000045388745/2026-02-03" TargetMode="External"/><Relationship Id="rId41" Type="http://schemas.openxmlformats.org/officeDocument/2006/relationships/hyperlink" Target="https://www.enav.it/en/sites/public/en/Governance/Traduzione-di-FAQ--Whistleblowing.html" TargetMode="External"/><Relationship Id="rId54" Type="http://schemas.openxmlformats.org/officeDocument/2006/relationships/hyperlink" Target="https://ellex.legal/eu-whistleblowing-directive-latvia/" TargetMode="External"/><Relationship Id="rId1" Type="http://schemas.openxmlformats.org/officeDocument/2006/relationships/hyperlink" Target="https://commission.europa.eu/document/download/d0bbd77f-bee5-4ee5-b5c4-6110c7605476_en?filename=swd2021_305_en.pdf" TargetMode="External"/><Relationship Id="rId6" Type="http://schemas.openxmlformats.org/officeDocument/2006/relationships/hyperlink" Target="https://europeanjournalists.org/blog/2016/10/18/whistleblowers-need-eu-protection-sign-the-petition/" TargetMode="External"/><Relationship Id="rId11" Type="http://schemas.openxmlformats.org/officeDocument/2006/relationships/hyperlink" Target="https://hudoc.echr.coe.int/eng?i=001-208280" TargetMode="External"/><Relationship Id="rId24" Type="http://schemas.openxmlformats.org/officeDocument/2006/relationships/hyperlink" Target="https://www.mofo.com/gdpr-european-privacy/whistleblowing/whistleblower-qa" TargetMode="External"/><Relationship Id="rId32" Type="http://schemas.openxmlformats.org/officeDocument/2006/relationships/hyperlink" Target="https://www.transparency.it/analisi-whistleblowing" TargetMode="External"/><Relationship Id="rId37" Type="http://schemas.openxmlformats.org/officeDocument/2006/relationships/hyperlink" Target="https://www.enav.it/en/sites/public/en/Governance/Traduzione-di-FAQ--Whistleblowing.html" TargetMode="External"/><Relationship Id="rId40" Type="http://schemas.openxmlformats.org/officeDocument/2006/relationships/hyperlink" Target="https://www.salute.gov.it/new/it/amministrazione-trasparente/whistleblowing/" TargetMode="External"/><Relationship Id="rId45" Type="http://schemas.openxmlformats.org/officeDocument/2006/relationships/hyperlink" Target="%20https:/ellex.legal/eu-whistleblowing-directive-latvia/" TargetMode="External"/><Relationship Id="rId53" Type="http://schemas.openxmlformats.org/officeDocument/2006/relationships/hyperlink" Target="https://likumi.lv/ta/en/en/id/329680-whistleblowing-law" TargetMode="External"/><Relationship Id="rId5" Type="http://schemas.openxmlformats.org/officeDocument/2006/relationships/hyperlink" Target="https://www.epsu.org/article/whistleblower-protection-petition-handover-commission-time-act" TargetMode="External"/><Relationship Id="rId15" Type="http://schemas.openxmlformats.org/officeDocument/2006/relationships/hyperlink" Target="https://eur-lex.europa.eu/legal-content/EN/TXT/PDF/?uri=CELEX:32019L1937" TargetMode="External"/><Relationship Id="rId23" Type="http://schemas.openxmlformats.org/officeDocument/2006/relationships/hyperlink" Target="https://track.unodc.org/uploads/documents/UNCAC/WorkingGroups/workinggroup4/2025-June-17-20/Contributions-whistler-blower/Denmark_English.pdf" TargetMode="External"/><Relationship Id="rId28" Type="http://schemas.openxmlformats.org/officeDocument/2006/relationships/hyperlink" Target="https://whistleblowingmonitor.eu/france-adopts-new-whistleblowing-law/" TargetMode="External"/><Relationship Id="rId36" Type="http://schemas.openxmlformats.org/officeDocument/2006/relationships/hyperlink" Target="https://www.ice.it/en/whistleblowing" TargetMode="External"/><Relationship Id="rId49" Type="http://schemas.openxmlformats.org/officeDocument/2006/relationships/hyperlink" Target="https://ellex.legal/eu-whistleblowing-directive-latvia/" TargetMode="External"/><Relationship Id="rId57" Type="http://schemas.openxmlformats.org/officeDocument/2006/relationships/hyperlink" Target="https://whistleblowingmonitor.eu/new-report-highlights-challenges-in-implementing-whistleblower-protection-in-romania" TargetMode="External"/><Relationship Id="rId10" Type="http://schemas.openxmlformats.org/officeDocument/2006/relationships/hyperlink" Target="https://hudoc.echr.coe.int/eng?i=001-223259" TargetMode="External"/><Relationship Id="rId19" Type="http://schemas.openxmlformats.org/officeDocument/2006/relationships/hyperlink" Target="https://www.whispli.com/eu-directive-whistleblowing/denmark/" TargetMode="External"/><Relationship Id="rId31" Type="http://schemas.openxmlformats.org/officeDocument/2006/relationships/hyperlink" Target="https://portolano.it/en/newsletter/portolano-cavallo-inform-compliance/italy-transposed-european-directive-whistleblowing-main-requirements-developments" TargetMode="External"/><Relationship Id="rId44" Type="http://schemas.openxmlformats.org/officeDocument/2006/relationships/hyperlink" Target="https://presidenza.governo.it/AmministrazioneTrasparente/AltriContenuti/Whistleblowing/index.html" TargetMode="External"/><Relationship Id="rId52" Type="http://schemas.openxmlformats.org/officeDocument/2006/relationships/hyperlink" Target="https://likumi.lv/ta/en/en/id/329680-whistleblowing-law" TargetMode="External"/><Relationship Id="rId4" Type="http://schemas.openxmlformats.org/officeDocument/2006/relationships/hyperlink" Target="https://www.eurocadres.eu/our-positions/time-for-an-eu-wide-whistleblower-protection/" TargetMode="External"/><Relationship Id="rId9" Type="http://schemas.openxmlformats.org/officeDocument/2006/relationships/hyperlink" Target="https://eur-lex.europa.eu/eli/dir/2016/1164/oj/eng" TargetMode="External"/><Relationship Id="rId14" Type="http://schemas.openxmlformats.org/officeDocument/2006/relationships/hyperlink" Target="https://eur-lex.europa.eu/legal-content/EN/TXT/PDF/?uri=CELEX:32019L1937" TargetMode="External"/><Relationship Id="rId22" Type="http://schemas.openxmlformats.org/officeDocument/2006/relationships/hyperlink" Target="https://clemenslaw.dk/en/aktuelt/whistleblowerloven-a-z/" TargetMode="External"/><Relationship Id="rId27" Type="http://schemas.openxmlformats.org/officeDocument/2006/relationships/hyperlink" Target="https://www.grcreport.com/post/denmarks-national-whistleblower-scheme-sees-significant-growth-in-2024" TargetMode="External"/><Relationship Id="rId30" Type="http://schemas.openxmlformats.org/officeDocument/2006/relationships/hyperlink" Target="https://www.ibanet.org/origin-and-legislative-evolution-of-whistleblowing-in-italy" TargetMode="External"/><Relationship Id="rId35" Type="http://schemas.openxmlformats.org/officeDocument/2006/relationships/hyperlink" Target="https://op.europa.eu/en/publication-detail/-/publication/96bd2f63-3937-11ef-b441-01aa75ed71a1/language-en" TargetMode="External"/><Relationship Id="rId43" Type="http://schemas.openxmlformats.org/officeDocument/2006/relationships/hyperlink" Target="https://www.mim.gov.it/web/basilicata/whistleblowing" TargetMode="External"/><Relationship Id="rId48" Type="http://schemas.openxmlformats.org/officeDocument/2006/relationships/hyperlink" Target="https://delna.lv/wp-content/uploads/2025/04/Final_English-Whistleblowing-Law-Evaluation-Report.pdf" TargetMode="External"/><Relationship Id="rId56" Type="http://schemas.openxmlformats.org/officeDocument/2006/relationships/hyperlink" Target="https://www.ogpstories.org/protecting-whistleblowers-in-the-fight-against-corruption/" TargetMode="External"/><Relationship Id="rId8" Type="http://schemas.openxmlformats.org/officeDocument/2006/relationships/hyperlink" Target="https://eur-lex.europa.eu/eli/dir/2016/943/oj/eng" TargetMode="External"/><Relationship Id="rId51" Type="http://schemas.openxmlformats.org/officeDocument/2006/relationships/hyperlink" Target="https://ellex.legal/eu-whistleblowing-directive-latvia/" TargetMode="External"/><Relationship Id="rId3" Type="http://schemas.openxmlformats.org/officeDocument/2006/relationships/hyperlink" Target="https://www.transparency.org/en/news/whistleblowing-in-europe"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es-cdr.eu.int\dfs\shr-dirb-fsa-cese\EVALUATIONS\EVALUATIONS%202026-2027\SOC847%20Whistleblower%20directive\Technical%20annex\Questionnaire%20results\SOC847_Questionnaire%20result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eesccor-my.sharepoint.com/personal/lilla_szabo_eesc_europa_eu/Documents/Microsoft%20Teams%20Chat%20Files/SOC847_Questionnaire%20result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vpedj\AppData\Local\Temp\CAP_Graphs_Excel%20-%20Copy%20(version%201).xlsb"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2.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3.xlsx"/></Relationships>
</file>

<file path=word/charts/_rels/chart14.xml.rels><?xml version="1.0" encoding="UTF-8" standalone="yes"?>
<Relationships xmlns="http://schemas.openxmlformats.org/package/2006/relationships"><Relationship Id="rId3" Type="http://schemas.openxmlformats.org/officeDocument/2006/relationships/oleObject" Target="https://eesccor-my.sharepoint.com/personal/lilla_szabo_eesc_europa_eu/Documents/Microsoft%20Teams%20Chat%20Files/SOC847_Questionnaire%20results.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es-cdr.eu.int\dfs\shr-dirb-fsa-cese\EVALUATIONS\EVALUATIONS%202026-2027\SOC847%20Whistleblower%20directive\Technical%20annex\Questionnaire%20results\SOC847_Questionnaire%20results.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4.xlsx"/></Relationships>
</file>

<file path=word/charts/_rels/chart17.xml.rels><?xml version="1.0" encoding="UTF-8" standalone="yes"?>
<Relationships xmlns="http://schemas.openxmlformats.org/package/2006/relationships"><Relationship Id="rId3" Type="http://schemas.openxmlformats.org/officeDocument/2006/relationships/oleObject" Target="https://eesccor-my.sharepoint.com/personal/lilla_szabo_eesc_europa_eu/Documents/Microsoft%20Teams%20Chat%20Files/SOC847_Questionnaire%20results.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5.xlsx"/></Relationships>
</file>

<file path=word/charts/_rels/chart19.xml.rels><?xml version="1.0" encoding="UTF-8" standalone="yes"?>
<Relationships xmlns="http://schemas.openxmlformats.org/package/2006/relationships"><Relationship Id="rId3" Type="http://schemas.openxmlformats.org/officeDocument/2006/relationships/oleObject" Target="file:///C:\Users\vpedj\Desktop\CAP_Graphs_Excel%20-%20Copy.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es-cdr.eu.int\dfs\shr-dirb-fsa-cese\EVALUATIONS\EVALUATIONS%202026-2027\SOC847%20Whistleblower%20directive\Technical%20annex\Questionnaire%20results\SOC847_Questionnaire%20results.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https://eesccor-my.sharepoint.com/personal/lilla_szabo_eesc_europa_eu/Documents/Microsoft%20Teams%20Chat%20Files/SOC847_Questionnaire%20results.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6.xlsx"/></Relationships>
</file>

<file path=word/charts/_rels/chart22.xml.rels><?xml version="1.0" encoding="UTF-8" standalone="yes"?>
<Relationships xmlns="http://schemas.openxmlformats.org/package/2006/relationships"><Relationship Id="rId3" Type="http://schemas.openxmlformats.org/officeDocument/2006/relationships/oleObject" Target="https://eesccor-my.sharepoint.com/personal/lilla_szabo_eesc_europa_eu/Documents/Microsoft%20Teams%20Chat%20Files/SOC847_Questionnaire%20results.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7.xlsx"/></Relationships>
</file>

<file path=word/charts/_rels/chart24.xml.rels><?xml version="1.0" encoding="UTF-8" standalone="yes"?>
<Relationships xmlns="http://schemas.openxmlformats.org/package/2006/relationships"><Relationship Id="rId3" Type="http://schemas.openxmlformats.org/officeDocument/2006/relationships/oleObject" Target="https://eesccor-my.sharepoint.com/personal/lilla_szabo_eesc_europa_eu/Documents/Microsoft%20Teams%20Chat%20Files/SOC847_Questionnaire%20results.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8.xlsx"/></Relationships>
</file>

<file path=word/charts/_rels/chart26.xml.rels><?xml version="1.0" encoding="UTF-8" standalone="yes"?>
<Relationships xmlns="http://schemas.openxmlformats.org/package/2006/relationships"><Relationship Id="rId3" Type="http://schemas.openxmlformats.org/officeDocument/2006/relationships/oleObject" Target="https://eesccor-my.sharepoint.com/personal/lilla_szabo_eesc_europa_eu/Documents/Microsoft%20Teams%20Chat%20Files/SOC847_Questionnaire%20results.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Worksheet9.xlsx"/></Relationships>
</file>

<file path=word/charts/_rels/chart28.xml.rels><?xml version="1.0" encoding="UTF-8" standalone="yes"?>
<Relationships xmlns="http://schemas.openxmlformats.org/package/2006/relationships"><Relationship Id="rId3" Type="http://schemas.openxmlformats.org/officeDocument/2006/relationships/oleObject" Target="https://eesccor-my.sharepoint.com/personal/lilla_szabo_eesc_europa_eu/Documents/Microsoft%20Teams%20Chat%20Files/SOC847_Questionnaire%20results.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Microsoft_Excel_Worksheet10.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lisza\Desktop\CC%20graphs_SOC847.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https://eesccor-my.sharepoint.com/personal/lilla_szabo_eesc_europa_eu/Documents/Microsoft%20Teams%20Chat%20Files/SOC847_Questionnaire%20results.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lisza\Desktop\CC%20graphs_SOC847.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https://eesccor-my.sharepoint.com/personal/lilla_szabo_eesc_europa_eu/Documents/Microsoft%20Teams%20Chat%20Files/SOC847_Questionnaire%20results.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https://eesccor-my.sharepoint.com/personal/lilla_szabo_eesc_europa_eu/Documents/Microsoft%20Teams%20Chat%20Files/SOC847_Questionnaire%20results.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C:\Users\lisza\Desktop\CC%20graphs_SOC847.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https://eesccor-my.sharepoint.com/personal/lilla_szabo_eesc_europa_eu/Documents/Microsoft%20Teams%20Chat%20Files/SOC847_Questionnaire%20results.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C:\Users\lisza\Desktop\CC%20graphs_SOC847.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C:\Users\lisza\Desktop\CC%20graphs_SOC847.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file:///C:\Users\lisza\Desktop\CC%20graphs_SOC847.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https://eesccor-my.sharepoint.com/personal/lilla_szabo_eesc_europa_eu/Documents/Microsoft%20Teams%20Chat%20Files/SOC847_Questionnaire%20results.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C:\Users\lisza\Desktop\CC%20graphs_SOC847.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https://eesccor-my.sharepoint.com/personal/lilla_szabo_eesc_europa_eu/Documents/Microsoft%20Teams%20Chat%20Files/SOC847_Questionnaire%20results.xlsx" TargetMode="External"/><Relationship Id="rId2" Type="http://schemas.microsoft.com/office/2011/relationships/chartColorStyle" Target="colors41.xml"/><Relationship Id="rId1" Type="http://schemas.microsoft.com/office/2011/relationships/chartStyle" Target="style41.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lisza\Desktop\SOC847_Questionnaire%20result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eesccor-my.sharepoint.com/personal/lilla_szabo_eesc_europa_eu/Documents/Microsoft%20Teams%20Chat%20Files/SOC847_Questionnaire%20result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lisza\Desktop\CC%20graphs_SOC847.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eesccor-my.sharepoint.com/personal/lilla_szabo_eesc_europa_eu/Documents/Microsoft%20Teams%20Chat%20Files/SOC847_Questionnaire%20result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Type</a:t>
            </a:r>
            <a:r>
              <a:rPr lang="en-US" sz="1200" baseline="0">
                <a:latin typeface="Times New Roman" panose="02020603050405020304" pitchFamily="18" charset="0"/>
                <a:cs typeface="Times New Roman" panose="02020603050405020304" pitchFamily="18" charset="0"/>
              </a:rPr>
              <a:t> of organisation</a:t>
            </a:r>
            <a:endParaRPr lang="en-US" sz="1200">
              <a:latin typeface="Times New Roman" panose="02020603050405020304" pitchFamily="18" charset="0"/>
              <a:cs typeface="Times New Roman" panose="02020603050405020304" pitchFamily="18" charset="0"/>
            </a:endParaRPr>
          </a:p>
        </c:rich>
      </c:tx>
      <c:layout>
        <c:manualLayout>
          <c:xMode val="edge"/>
          <c:yMode val="edge"/>
          <c:x val="0.35147900262467197"/>
          <c:y val="3.70370370370370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General!$C$2</c:f>
              <c:strCache>
                <c:ptCount val="1"/>
                <c:pt idx="0">
                  <c:v>Answers</c:v>
                </c:pt>
              </c:strCache>
            </c:strRef>
          </c:tx>
          <c:spPr>
            <a:solidFill>
              <a:srgbClr val="EEA144"/>
            </a:solidFill>
            <a:ln>
              <a:noFill/>
            </a:ln>
            <a:effectLst/>
          </c:spPr>
          <c:invertIfNegative val="0"/>
          <c:dLbls>
            <c:dLbl>
              <c:idx val="0"/>
              <c:layout>
                <c:manualLayout>
                  <c:x val="-2.7777777777777779E-3"/>
                  <c:y val="-0.3240740740740740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B24-4AF5-B0B3-725993BAB188}"/>
                </c:ext>
              </c:extLst>
            </c:dLbl>
            <c:dLbl>
              <c:idx val="1"/>
              <c:layout>
                <c:manualLayout>
                  <c:x val="0"/>
                  <c:y val="-0.26388888888888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B24-4AF5-B0B3-725993BAB188}"/>
                </c:ext>
              </c:extLst>
            </c:dLbl>
            <c:dLbl>
              <c:idx val="2"/>
              <c:layout>
                <c:manualLayout>
                  <c:x val="-2.7777777777778798E-3"/>
                  <c:y val="-0.1851851851851852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B24-4AF5-B0B3-725993BAB188}"/>
                </c:ext>
              </c:extLst>
            </c:dLbl>
            <c:dLbl>
              <c:idx val="3"/>
              <c:layout>
                <c:manualLayout>
                  <c:x val="0"/>
                  <c:y val="-0.1666666666666667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B24-4AF5-B0B3-725993BAB188}"/>
                </c:ext>
              </c:extLst>
            </c:dLbl>
            <c:dLbl>
              <c:idx val="4"/>
              <c:layout>
                <c:manualLayout>
                  <c:x val="-1.0185067526415994E-16"/>
                  <c:y val="-0.1296296296296296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B24-4AF5-B0B3-725993BAB18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General!$A$3:$B$7</c:f>
              <c:strCache>
                <c:ptCount val="5"/>
                <c:pt idx="0">
                  <c:v>Public authority</c:v>
                </c:pt>
                <c:pt idx="1">
                  <c:v>Civil society organisation</c:v>
                </c:pt>
                <c:pt idx="2">
                  <c:v>Workers’ organisation</c:v>
                </c:pt>
                <c:pt idx="3">
                  <c:v>Other</c:v>
                </c:pt>
                <c:pt idx="4">
                  <c:v>Business and employer’s organisation</c:v>
                </c:pt>
              </c:strCache>
            </c:strRef>
          </c:cat>
          <c:val>
            <c:numRef>
              <c:f>General!$C$3:$C$7</c:f>
              <c:numCache>
                <c:formatCode>General</c:formatCode>
                <c:ptCount val="5"/>
                <c:pt idx="0">
                  <c:v>13</c:v>
                </c:pt>
                <c:pt idx="1">
                  <c:v>10</c:v>
                </c:pt>
                <c:pt idx="2">
                  <c:v>7</c:v>
                </c:pt>
                <c:pt idx="3">
                  <c:v>6</c:v>
                </c:pt>
                <c:pt idx="4">
                  <c:v>4</c:v>
                </c:pt>
              </c:numCache>
            </c:numRef>
          </c:val>
          <c:extLst>
            <c:ext xmlns:c16="http://schemas.microsoft.com/office/drawing/2014/chart" uri="{C3380CC4-5D6E-409C-BE32-E72D297353CC}">
              <c16:uniqueId val="{00000005-8B24-4AF5-B0B3-725993BAB188}"/>
            </c:ext>
          </c:extLst>
        </c:ser>
        <c:dLbls>
          <c:showLegendKey val="0"/>
          <c:showVal val="0"/>
          <c:showCatName val="0"/>
          <c:showSerName val="0"/>
          <c:showPercent val="0"/>
          <c:showBubbleSize val="0"/>
        </c:dLbls>
        <c:gapWidth val="150"/>
        <c:overlap val="100"/>
        <c:axId val="1405974496"/>
        <c:axId val="1405974976"/>
      </c:barChart>
      <c:catAx>
        <c:axId val="1405974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05974976"/>
        <c:crosses val="autoZero"/>
        <c:auto val="1"/>
        <c:lblAlgn val="ctr"/>
        <c:lblOffset val="100"/>
        <c:noMultiLvlLbl val="0"/>
      </c:catAx>
      <c:valAx>
        <c:axId val="1405974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597449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To your knowledge, have</a:t>
            </a:r>
            <a:r>
              <a:rPr lang="en-US" sz="1200" baseline="0">
                <a:latin typeface="Times New Roman" panose="02020603050405020304" pitchFamily="18" charset="0"/>
                <a:cs typeface="Times New Roman" panose="02020603050405020304" pitchFamily="18" charset="0"/>
              </a:rPr>
              <a:t> internal reporting channels been established in your country since the transposition of the Directive?</a:t>
            </a:r>
            <a:endParaRPr lang="en-US"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General!$C$47</c:f>
              <c:strCache>
                <c:ptCount val="1"/>
                <c:pt idx="0">
                  <c:v>Answers</c:v>
                </c:pt>
              </c:strCache>
            </c:strRef>
          </c:tx>
          <c:dPt>
            <c:idx val="0"/>
            <c:bubble3D val="0"/>
            <c:spPr>
              <a:solidFill>
                <a:srgbClr val="005B5F"/>
              </a:solidFill>
              <a:ln w="19050">
                <a:solidFill>
                  <a:schemeClr val="lt1"/>
                </a:solidFill>
              </a:ln>
              <a:effectLst/>
            </c:spPr>
            <c:extLst>
              <c:ext xmlns:c16="http://schemas.microsoft.com/office/drawing/2014/chart" uri="{C3380CC4-5D6E-409C-BE32-E72D297353CC}">
                <c16:uniqueId val="{00000001-FD65-4F09-93FD-0351DC4AB60C}"/>
              </c:ext>
            </c:extLst>
          </c:dPt>
          <c:dPt>
            <c:idx val="1"/>
            <c:bubble3D val="0"/>
            <c:spPr>
              <a:solidFill>
                <a:srgbClr val="D83F29"/>
              </a:solidFill>
              <a:ln w="19050">
                <a:solidFill>
                  <a:schemeClr val="lt1"/>
                </a:solidFill>
              </a:ln>
              <a:effectLst/>
            </c:spPr>
            <c:extLst>
              <c:ext xmlns:c16="http://schemas.microsoft.com/office/drawing/2014/chart" uri="{C3380CC4-5D6E-409C-BE32-E72D297353CC}">
                <c16:uniqueId val="{00000003-FD65-4F09-93FD-0351DC4AB60C}"/>
              </c:ext>
            </c:extLst>
          </c:dPt>
          <c:dPt>
            <c:idx val="2"/>
            <c:bubble3D val="0"/>
            <c:spPr>
              <a:solidFill>
                <a:srgbClr val="6F6B6C"/>
              </a:solidFill>
              <a:ln w="19050">
                <a:solidFill>
                  <a:schemeClr val="lt1"/>
                </a:solidFill>
              </a:ln>
              <a:effectLst/>
            </c:spPr>
            <c:extLst>
              <c:ext xmlns:c16="http://schemas.microsoft.com/office/drawing/2014/chart" uri="{C3380CC4-5D6E-409C-BE32-E72D297353CC}">
                <c16:uniqueId val="{00000005-FD65-4F09-93FD-0351DC4AB60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D65-4F09-93FD-0351DC4AB60C}"/>
              </c:ext>
            </c:extLst>
          </c:dPt>
          <c:dLbls>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3-FD65-4F09-93FD-0351DC4AB60C}"/>
                </c:ext>
              </c:extLst>
            </c:dLbl>
            <c:dLbl>
              <c:idx val="3"/>
              <c:delete val="1"/>
              <c:extLst>
                <c:ext xmlns:c15="http://schemas.microsoft.com/office/drawing/2012/chart" uri="{CE6537A1-D6FC-4f65-9D91-7224C49458BB}"/>
                <c:ext xmlns:c16="http://schemas.microsoft.com/office/drawing/2014/chart" uri="{C3380CC4-5D6E-409C-BE32-E72D297353CC}">
                  <c16:uniqueId val="{00000007-FD65-4F09-93FD-0351DC4AB60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General!$A$48:$B$51</c:f>
              <c:strCache>
                <c:ptCount val="4"/>
                <c:pt idx="0">
                  <c:v>Yes</c:v>
                </c:pt>
                <c:pt idx="1">
                  <c:v>No</c:v>
                </c:pt>
                <c:pt idx="2">
                  <c:v>I don't know</c:v>
                </c:pt>
                <c:pt idx="3">
                  <c:v>No Answer</c:v>
                </c:pt>
              </c:strCache>
            </c:strRef>
          </c:cat>
          <c:val>
            <c:numRef>
              <c:f>General!$C$48:$C$51</c:f>
              <c:numCache>
                <c:formatCode>General</c:formatCode>
                <c:ptCount val="4"/>
                <c:pt idx="0">
                  <c:v>35</c:v>
                </c:pt>
                <c:pt idx="1">
                  <c:v>1</c:v>
                </c:pt>
                <c:pt idx="2">
                  <c:v>4</c:v>
                </c:pt>
                <c:pt idx="3">
                  <c:v>0</c:v>
                </c:pt>
              </c:numCache>
            </c:numRef>
          </c:val>
          <c:extLst>
            <c:ext xmlns:c16="http://schemas.microsoft.com/office/drawing/2014/chart" uri="{C3380CC4-5D6E-409C-BE32-E72D297353CC}">
              <c16:uniqueId val="{00000008-FD65-4F09-93FD-0351DC4AB60C}"/>
            </c:ext>
          </c:extLst>
        </c:ser>
        <c:ser>
          <c:idx val="1"/>
          <c:order val="1"/>
          <c:tx>
            <c:strRef>
              <c:f>General!$D$47</c:f>
              <c:strCache>
                <c:ptCount val="1"/>
                <c:pt idx="0">
                  <c:v>Ratio</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A-FD65-4F09-93FD-0351DC4AB60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C-FD65-4F09-93FD-0351DC4AB60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E-FD65-4F09-93FD-0351DC4AB60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0-FD65-4F09-93FD-0351DC4AB60C}"/>
              </c:ext>
            </c:extLst>
          </c:dPt>
          <c:cat>
            <c:strRef>
              <c:f>General!$A$48:$B$51</c:f>
              <c:strCache>
                <c:ptCount val="4"/>
                <c:pt idx="0">
                  <c:v>Yes</c:v>
                </c:pt>
                <c:pt idx="1">
                  <c:v>No</c:v>
                </c:pt>
                <c:pt idx="2">
                  <c:v>I don't know</c:v>
                </c:pt>
                <c:pt idx="3">
                  <c:v>No Answer</c:v>
                </c:pt>
              </c:strCache>
            </c:strRef>
          </c:cat>
          <c:val>
            <c:numRef>
              <c:f>General!$D$48:$D$51</c:f>
              <c:numCache>
                <c:formatCode>0%</c:formatCode>
                <c:ptCount val="4"/>
                <c:pt idx="0">
                  <c:v>0.875</c:v>
                </c:pt>
                <c:pt idx="1">
                  <c:v>2.5000000000000001E-2</c:v>
                </c:pt>
                <c:pt idx="2">
                  <c:v>0.1</c:v>
                </c:pt>
                <c:pt idx="3">
                  <c:v>0</c:v>
                </c:pt>
              </c:numCache>
            </c:numRef>
          </c:val>
          <c:extLst>
            <c:ext xmlns:c16="http://schemas.microsoft.com/office/drawing/2014/chart" uri="{C3380CC4-5D6E-409C-BE32-E72D297353CC}">
              <c16:uniqueId val="{00000011-FD65-4F09-93FD-0351DC4AB60C}"/>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BE" sz="1200"/>
              <a:t>Are they functional (including e.g. accessibility, training for people that should use them and administrative burden) and perceived as trustworthy and accessible by potential whistleblowers?</a:t>
            </a:r>
          </a:p>
        </c:rich>
      </c:tx>
      <c:layout>
        <c:manualLayout>
          <c:xMode val="edge"/>
          <c:yMode val="edge"/>
          <c:x val="0.12976367794470531"/>
          <c:y val="6.476335876664832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bar"/>
        <c:grouping val="stacked"/>
        <c:varyColors val="0"/>
        <c:ser>
          <c:idx val="0"/>
          <c:order val="0"/>
          <c:tx>
            <c:strRef>
              <c:f>'Q2'!$C$3</c:f>
              <c:strCache>
                <c:ptCount val="1"/>
                <c:pt idx="0">
                  <c:v>To a large extent</c:v>
                </c:pt>
              </c:strCache>
            </c:strRef>
          </c:tx>
          <c:spPr>
            <a:solidFill>
              <a:srgbClr val="006164"/>
            </a:solidFill>
            <a:ln>
              <a:noFill/>
            </a:ln>
            <a:effectLst/>
          </c:spPr>
          <c:invertIfNegative val="0"/>
          <c:dLbls>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81C-454D-A730-E5F675EC1D0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('Q2'!$D$2:$E$2,'Q2'!$O$2)</c:f>
              <c:strCache>
                <c:ptCount val="2"/>
                <c:pt idx="0">
                  <c:v>Functional</c:v>
                </c:pt>
                <c:pt idx="1">
                  <c:v>Trustworthy</c:v>
                </c:pt>
              </c:strCache>
              <c:extLst/>
            </c:strRef>
          </c:cat>
          <c:val>
            <c:numRef>
              <c:f>'Q2'!$D$3:$E$3</c:f>
              <c:numCache>
                <c:formatCode>0%</c:formatCode>
                <c:ptCount val="2"/>
                <c:pt idx="0">
                  <c:v>0.3</c:v>
                </c:pt>
                <c:pt idx="1">
                  <c:v>0.17499999999999999</c:v>
                </c:pt>
              </c:numCache>
              <c:extLst/>
            </c:numRef>
          </c:val>
          <c:extLst>
            <c:ext xmlns:c16="http://schemas.microsoft.com/office/drawing/2014/chart" uri="{C3380CC4-5D6E-409C-BE32-E72D297353CC}">
              <c16:uniqueId val="{00000001-081C-454D-A730-E5F675EC1D04}"/>
            </c:ext>
          </c:extLst>
        </c:ser>
        <c:ser>
          <c:idx val="1"/>
          <c:order val="1"/>
          <c:tx>
            <c:strRef>
              <c:f>'Q2'!$C$4</c:f>
              <c:strCache>
                <c:ptCount val="1"/>
                <c:pt idx="0">
                  <c:v>To a moderate extent</c:v>
                </c:pt>
              </c:strCache>
            </c:strRef>
          </c:tx>
          <c:spPr>
            <a:solidFill>
              <a:srgbClr val="57C3AF"/>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81C-454D-A730-E5F675EC1D0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('Q2'!$D$2:$E$2,'Q2'!$O$2)</c:f>
              <c:strCache>
                <c:ptCount val="2"/>
                <c:pt idx="0">
                  <c:v>Functional</c:v>
                </c:pt>
                <c:pt idx="1">
                  <c:v>Trustworthy</c:v>
                </c:pt>
              </c:strCache>
              <c:extLst/>
            </c:strRef>
          </c:cat>
          <c:val>
            <c:numRef>
              <c:f>'Q2'!$D$4:$E$4</c:f>
              <c:numCache>
                <c:formatCode>0%</c:formatCode>
                <c:ptCount val="2"/>
                <c:pt idx="0">
                  <c:v>0.25</c:v>
                </c:pt>
                <c:pt idx="1">
                  <c:v>0.27500000000000002</c:v>
                </c:pt>
              </c:numCache>
              <c:extLst/>
            </c:numRef>
          </c:val>
          <c:extLst>
            <c:ext xmlns:c16="http://schemas.microsoft.com/office/drawing/2014/chart" uri="{C3380CC4-5D6E-409C-BE32-E72D297353CC}">
              <c16:uniqueId val="{00000003-081C-454D-A730-E5F675EC1D04}"/>
            </c:ext>
          </c:extLst>
        </c:ser>
        <c:ser>
          <c:idx val="2"/>
          <c:order val="2"/>
          <c:tx>
            <c:strRef>
              <c:f>'Q2'!$C$5</c:f>
              <c:strCache>
                <c:ptCount val="1"/>
                <c:pt idx="0">
                  <c:v>To a limited extent</c:v>
                </c:pt>
              </c:strCache>
            </c:strRef>
          </c:tx>
          <c:spPr>
            <a:solidFill>
              <a:srgbClr val="EDA24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('Q2'!$D$2:$E$2,'Q2'!$O$2)</c:f>
              <c:strCache>
                <c:ptCount val="2"/>
                <c:pt idx="0">
                  <c:v>Functional</c:v>
                </c:pt>
                <c:pt idx="1">
                  <c:v>Trustworthy</c:v>
                </c:pt>
              </c:strCache>
              <c:extLst/>
            </c:strRef>
          </c:cat>
          <c:val>
            <c:numRef>
              <c:f>'Q2'!$D$5:$E$5</c:f>
              <c:numCache>
                <c:formatCode>0%</c:formatCode>
                <c:ptCount val="2"/>
                <c:pt idx="0">
                  <c:v>0.1</c:v>
                </c:pt>
                <c:pt idx="1">
                  <c:v>0.1</c:v>
                </c:pt>
              </c:numCache>
              <c:extLst/>
            </c:numRef>
          </c:val>
          <c:extLst>
            <c:ext xmlns:c16="http://schemas.microsoft.com/office/drawing/2014/chart" uri="{C3380CC4-5D6E-409C-BE32-E72D297353CC}">
              <c16:uniqueId val="{00000004-081C-454D-A730-E5F675EC1D04}"/>
            </c:ext>
          </c:extLst>
        </c:ser>
        <c:ser>
          <c:idx val="3"/>
          <c:order val="3"/>
          <c:tx>
            <c:strRef>
              <c:f>'Q2'!$C$6</c:f>
              <c:strCache>
                <c:ptCount val="1"/>
                <c:pt idx="0">
                  <c:v>Not at all</c:v>
                </c:pt>
              </c:strCache>
            </c:strRef>
          </c:tx>
          <c:spPr>
            <a:solidFill>
              <a:srgbClr val="D83F29"/>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81C-454D-A730-E5F675EC1D04}"/>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81C-454D-A730-E5F675EC1D0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('Q2'!$D$2:$E$2,'Q2'!$O$2)</c:f>
              <c:strCache>
                <c:ptCount val="2"/>
                <c:pt idx="0">
                  <c:v>Functional</c:v>
                </c:pt>
                <c:pt idx="1">
                  <c:v>Trustworthy</c:v>
                </c:pt>
              </c:strCache>
              <c:extLst/>
            </c:strRef>
          </c:cat>
          <c:val>
            <c:numRef>
              <c:f>'Q2'!$D$6:$E$6</c:f>
              <c:numCache>
                <c:formatCode>0%</c:formatCode>
                <c:ptCount val="2"/>
                <c:pt idx="0">
                  <c:v>0.05</c:v>
                </c:pt>
                <c:pt idx="1">
                  <c:v>0.05</c:v>
                </c:pt>
              </c:numCache>
              <c:extLst/>
            </c:numRef>
          </c:val>
          <c:extLst>
            <c:ext xmlns:c16="http://schemas.microsoft.com/office/drawing/2014/chart" uri="{C3380CC4-5D6E-409C-BE32-E72D297353CC}">
              <c16:uniqueId val="{00000007-081C-454D-A730-E5F675EC1D04}"/>
            </c:ext>
          </c:extLst>
        </c:ser>
        <c:ser>
          <c:idx val="4"/>
          <c:order val="4"/>
          <c:tx>
            <c:strRef>
              <c:f>'Q2'!$C$7</c:f>
              <c:strCache>
                <c:ptCount val="1"/>
                <c:pt idx="0">
                  <c:v>I don't know</c:v>
                </c:pt>
              </c:strCache>
            </c:strRef>
          </c:tx>
          <c:spPr>
            <a:solidFill>
              <a:srgbClr val="6F6B6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('Q2'!$D$2:$E$2,'Q2'!$O$2)</c:f>
              <c:strCache>
                <c:ptCount val="2"/>
                <c:pt idx="0">
                  <c:v>Functional</c:v>
                </c:pt>
                <c:pt idx="1">
                  <c:v>Trustworthy</c:v>
                </c:pt>
              </c:strCache>
              <c:extLst/>
            </c:strRef>
          </c:cat>
          <c:val>
            <c:numRef>
              <c:f>'Q2'!$D$7:$E$7</c:f>
              <c:numCache>
                <c:formatCode>0%</c:formatCode>
                <c:ptCount val="2"/>
                <c:pt idx="0">
                  <c:v>0.17499999999999999</c:v>
                </c:pt>
                <c:pt idx="1">
                  <c:v>0.27500000000000002</c:v>
                </c:pt>
              </c:numCache>
              <c:extLst/>
            </c:numRef>
          </c:val>
          <c:extLst>
            <c:ext xmlns:c16="http://schemas.microsoft.com/office/drawing/2014/chart" uri="{C3380CC4-5D6E-409C-BE32-E72D297353CC}">
              <c16:uniqueId val="{00000008-081C-454D-A730-E5F675EC1D04}"/>
            </c:ext>
          </c:extLst>
        </c:ser>
        <c:ser>
          <c:idx val="5"/>
          <c:order val="5"/>
          <c:tx>
            <c:strRef>
              <c:f>'Q2'!$C$8</c:f>
              <c:strCache>
                <c:ptCount val="1"/>
                <c:pt idx="0">
                  <c:v>No Answer</c:v>
                </c:pt>
              </c:strCache>
            </c:strRef>
          </c:tx>
          <c:spPr>
            <a:solidFill>
              <a:schemeClr val="bg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2"/>
              <c:pt idx="0">
                <c:v>Functional</c:v>
              </c:pt>
              <c:pt idx="1">
                <c:v>Trustworthy</c:v>
              </c:pt>
              <c:extLst>
                <c:ext xmlns:c15="http://schemas.microsoft.com/office/drawing/2012/chart" uri="{02D57815-91ED-43cb-92C2-25804820EDAC}">
                  <c15:autoCat val="1"/>
                </c:ext>
              </c:extLst>
            </c:strLit>
          </c:cat>
          <c:val>
            <c:numRef>
              <c:f>'Q2'!$D$8:$E$8</c:f>
              <c:numCache>
                <c:formatCode>0%</c:formatCode>
                <c:ptCount val="2"/>
                <c:pt idx="0">
                  <c:v>0.125</c:v>
                </c:pt>
                <c:pt idx="1">
                  <c:v>0.125</c:v>
                </c:pt>
              </c:numCache>
              <c:extLst/>
            </c:numRef>
          </c:val>
          <c:extLst>
            <c:ext xmlns:c16="http://schemas.microsoft.com/office/drawing/2014/chart" uri="{C3380CC4-5D6E-409C-BE32-E72D297353CC}">
              <c16:uniqueId val="{00000009-081C-454D-A730-E5F675EC1D04}"/>
            </c:ext>
          </c:extLst>
        </c:ser>
        <c:dLbls>
          <c:dLblPos val="ctr"/>
          <c:showLegendKey val="0"/>
          <c:showVal val="1"/>
          <c:showCatName val="0"/>
          <c:showSerName val="0"/>
          <c:showPercent val="0"/>
          <c:showBubbleSize val="0"/>
        </c:dLbls>
        <c:gapWidth val="150"/>
        <c:overlap val="100"/>
        <c:axId val="963053376"/>
        <c:axId val="963045504"/>
      </c:barChart>
      <c:catAx>
        <c:axId val="9630533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63045504"/>
        <c:crosses val="autoZero"/>
        <c:auto val="1"/>
        <c:lblAlgn val="ctr"/>
        <c:lblOffset val="100"/>
        <c:noMultiLvlLbl val="0"/>
      </c:catAx>
      <c:valAx>
        <c:axId val="96304550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63053376"/>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GB" sz="1200">
                <a:latin typeface="Times New Roman" panose="02020603050405020304" pitchFamily="18" charset="0"/>
                <a:cs typeface="Times New Roman" panose="02020603050405020304" pitchFamily="18" charset="0"/>
              </a:rPr>
              <a:t>Are they functional (including e.g. accessibility, training for people that should use them and administrative burden) and perceived as trustworthy and accessible by potential whistleblowers?  Functional</a:t>
            </a:r>
          </a:p>
        </c:rich>
      </c:tx>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'Cross-country Q14 (2)'!$A$2</c:f>
              <c:strCache>
                <c:ptCount val="1"/>
                <c:pt idx="0">
                  <c:v>To a large extent</c:v>
                </c:pt>
              </c:strCache>
            </c:strRef>
          </c:tx>
          <c:spPr>
            <a:solidFill>
              <a:srgbClr val="005B5F"/>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258C-4817-9D84-BB5382508FE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'Cross-country Q14 (2)'!$B$1:$F$1</c:f>
              <c:strCache>
                <c:ptCount val="5"/>
                <c:pt idx="0">
                  <c:v>France </c:v>
                </c:pt>
                <c:pt idx="1">
                  <c:v>Denmark</c:v>
                </c:pt>
                <c:pt idx="2">
                  <c:v>Italy</c:v>
                </c:pt>
                <c:pt idx="3">
                  <c:v>Latvia</c:v>
                </c:pt>
                <c:pt idx="4">
                  <c:v>Romania</c:v>
                </c:pt>
              </c:strCache>
            </c:strRef>
          </c:cat>
          <c:val>
            <c:numRef>
              <c:f>'Cross-country Q14 (2)'!$B$2:$F$2</c:f>
              <c:numCache>
                <c:formatCode>0%</c:formatCode>
                <c:ptCount val="5"/>
                <c:pt idx="0">
                  <c:v>0</c:v>
                </c:pt>
                <c:pt idx="1">
                  <c:v>0.33333333333333298</c:v>
                </c:pt>
                <c:pt idx="2">
                  <c:v>0.375</c:v>
                </c:pt>
                <c:pt idx="3">
                  <c:v>0.5714285714285714</c:v>
                </c:pt>
                <c:pt idx="4">
                  <c:v>0.25</c:v>
                </c:pt>
              </c:numCache>
            </c:numRef>
          </c:val>
          <c:extLst>
            <c:ext xmlns:c16="http://schemas.microsoft.com/office/drawing/2014/chart" uri="{C3380CC4-5D6E-409C-BE32-E72D297353CC}">
              <c16:uniqueId val="{00000001-258C-4817-9D84-BB5382508FE5}"/>
            </c:ext>
          </c:extLst>
        </c:ser>
        <c:ser>
          <c:idx val="1"/>
          <c:order val="1"/>
          <c:tx>
            <c:strRef>
              <c:f>'Cross-country Q14 (2)'!$A$3</c:f>
              <c:strCache>
                <c:ptCount val="1"/>
                <c:pt idx="0">
                  <c:v>To a moderate extent</c:v>
                </c:pt>
              </c:strCache>
            </c:strRef>
          </c:tx>
          <c:spPr>
            <a:solidFill>
              <a:srgbClr val="57C3AF"/>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2-258C-4817-9D84-BB5382508FE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'Cross-country Q14 (2)'!$B$1:$F$1</c:f>
              <c:strCache>
                <c:ptCount val="5"/>
                <c:pt idx="0">
                  <c:v>France </c:v>
                </c:pt>
                <c:pt idx="1">
                  <c:v>Denmark</c:v>
                </c:pt>
                <c:pt idx="2">
                  <c:v>Italy</c:v>
                </c:pt>
                <c:pt idx="3">
                  <c:v>Latvia</c:v>
                </c:pt>
                <c:pt idx="4">
                  <c:v>Romania</c:v>
                </c:pt>
              </c:strCache>
            </c:strRef>
          </c:cat>
          <c:val>
            <c:numRef>
              <c:f>'Cross-country Q14 (2)'!$B$3:$F$3</c:f>
              <c:numCache>
                <c:formatCode>0%</c:formatCode>
                <c:ptCount val="5"/>
                <c:pt idx="0">
                  <c:v>0.1111111111111111</c:v>
                </c:pt>
                <c:pt idx="1">
                  <c:v>0.33333333333333326</c:v>
                </c:pt>
                <c:pt idx="2">
                  <c:v>0.375</c:v>
                </c:pt>
                <c:pt idx="3">
                  <c:v>0.2857142857142857</c:v>
                </c:pt>
                <c:pt idx="4">
                  <c:v>0</c:v>
                </c:pt>
              </c:numCache>
            </c:numRef>
          </c:val>
          <c:extLst>
            <c:ext xmlns:c16="http://schemas.microsoft.com/office/drawing/2014/chart" uri="{C3380CC4-5D6E-409C-BE32-E72D297353CC}">
              <c16:uniqueId val="{00000003-258C-4817-9D84-BB5382508FE5}"/>
            </c:ext>
          </c:extLst>
        </c:ser>
        <c:ser>
          <c:idx val="2"/>
          <c:order val="2"/>
          <c:tx>
            <c:strRef>
              <c:f>'Cross-country Q14 (2)'!$A$4</c:f>
              <c:strCache>
                <c:ptCount val="1"/>
                <c:pt idx="0">
                  <c:v>To a limited extent</c:v>
                </c:pt>
              </c:strCache>
            </c:strRef>
          </c:tx>
          <c:spPr>
            <a:solidFill>
              <a:srgbClr val="EEA144"/>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4-258C-4817-9D84-BB5382508FE5}"/>
                </c:ext>
              </c:extLst>
            </c:dLbl>
            <c:dLbl>
              <c:idx val="3"/>
              <c:delete val="1"/>
              <c:extLst>
                <c:ext xmlns:c15="http://schemas.microsoft.com/office/drawing/2012/chart" uri="{CE6537A1-D6FC-4f65-9D91-7224C49458BB}"/>
                <c:ext xmlns:c16="http://schemas.microsoft.com/office/drawing/2014/chart" uri="{C3380CC4-5D6E-409C-BE32-E72D297353CC}">
                  <c16:uniqueId val="{00000005-258C-4817-9D84-BB5382508FE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'Cross-country Q14 (2)'!$B$1:$F$1</c:f>
              <c:strCache>
                <c:ptCount val="5"/>
                <c:pt idx="0">
                  <c:v>France </c:v>
                </c:pt>
                <c:pt idx="1">
                  <c:v>Denmark</c:v>
                </c:pt>
                <c:pt idx="2">
                  <c:v>Italy</c:v>
                </c:pt>
                <c:pt idx="3">
                  <c:v>Latvia</c:v>
                </c:pt>
                <c:pt idx="4">
                  <c:v>Romania</c:v>
                </c:pt>
              </c:strCache>
            </c:strRef>
          </c:cat>
          <c:val>
            <c:numRef>
              <c:f>'Cross-country Q14 (2)'!$B$4:$F$4</c:f>
              <c:numCache>
                <c:formatCode>0%</c:formatCode>
                <c:ptCount val="5"/>
                <c:pt idx="0">
                  <c:v>0.22222222222222221</c:v>
                </c:pt>
                <c:pt idx="1">
                  <c:v>8.3333333333333315E-2</c:v>
                </c:pt>
                <c:pt idx="2">
                  <c:v>0</c:v>
                </c:pt>
                <c:pt idx="3">
                  <c:v>0</c:v>
                </c:pt>
                <c:pt idx="4">
                  <c:v>0.25</c:v>
                </c:pt>
              </c:numCache>
            </c:numRef>
          </c:val>
          <c:extLst>
            <c:ext xmlns:c16="http://schemas.microsoft.com/office/drawing/2014/chart" uri="{C3380CC4-5D6E-409C-BE32-E72D297353CC}">
              <c16:uniqueId val="{00000006-258C-4817-9D84-BB5382508FE5}"/>
            </c:ext>
          </c:extLst>
        </c:ser>
        <c:ser>
          <c:idx val="3"/>
          <c:order val="3"/>
          <c:tx>
            <c:strRef>
              <c:f>'Cross-country Q14 (2)'!$A$5</c:f>
              <c:strCache>
                <c:ptCount val="1"/>
                <c:pt idx="0">
                  <c:v>Not at all</c:v>
                </c:pt>
              </c:strCache>
            </c:strRef>
          </c:tx>
          <c:spPr>
            <a:solidFill>
              <a:srgbClr val="D83F29"/>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7-258C-4817-9D84-BB5382508FE5}"/>
                </c:ext>
              </c:extLst>
            </c:dLbl>
            <c:dLbl>
              <c:idx val="3"/>
              <c:delete val="1"/>
              <c:extLst>
                <c:ext xmlns:c15="http://schemas.microsoft.com/office/drawing/2012/chart" uri="{CE6537A1-D6FC-4f65-9D91-7224C49458BB}"/>
                <c:ext xmlns:c16="http://schemas.microsoft.com/office/drawing/2014/chart" uri="{C3380CC4-5D6E-409C-BE32-E72D297353CC}">
                  <c16:uniqueId val="{00000008-258C-4817-9D84-BB5382508FE5}"/>
                </c:ext>
              </c:extLst>
            </c:dLbl>
            <c:dLbl>
              <c:idx val="4"/>
              <c:delete val="1"/>
              <c:extLst>
                <c:ext xmlns:c15="http://schemas.microsoft.com/office/drawing/2012/chart" uri="{CE6537A1-D6FC-4f65-9D91-7224C49458BB}"/>
                <c:ext xmlns:c16="http://schemas.microsoft.com/office/drawing/2014/chart" uri="{C3380CC4-5D6E-409C-BE32-E72D297353CC}">
                  <c16:uniqueId val="{00000009-258C-4817-9D84-BB5382508FE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'Cross-country Q14 (2)'!$B$1:$F$1</c:f>
              <c:strCache>
                <c:ptCount val="5"/>
                <c:pt idx="0">
                  <c:v>France </c:v>
                </c:pt>
                <c:pt idx="1">
                  <c:v>Denmark</c:v>
                </c:pt>
                <c:pt idx="2">
                  <c:v>Italy</c:v>
                </c:pt>
                <c:pt idx="3">
                  <c:v>Latvia</c:v>
                </c:pt>
                <c:pt idx="4">
                  <c:v>Romania</c:v>
                </c:pt>
              </c:strCache>
            </c:strRef>
          </c:cat>
          <c:val>
            <c:numRef>
              <c:f>'Cross-country Q14 (2)'!$B$5:$F$5</c:f>
              <c:numCache>
                <c:formatCode>0%</c:formatCode>
                <c:ptCount val="5"/>
                <c:pt idx="0">
                  <c:v>0.1111111111111111</c:v>
                </c:pt>
                <c:pt idx="1">
                  <c:v>0</c:v>
                </c:pt>
                <c:pt idx="2">
                  <c:v>0.125</c:v>
                </c:pt>
                <c:pt idx="3">
                  <c:v>0</c:v>
                </c:pt>
                <c:pt idx="4">
                  <c:v>0</c:v>
                </c:pt>
              </c:numCache>
            </c:numRef>
          </c:val>
          <c:extLst>
            <c:ext xmlns:c16="http://schemas.microsoft.com/office/drawing/2014/chart" uri="{C3380CC4-5D6E-409C-BE32-E72D297353CC}">
              <c16:uniqueId val="{0000000A-258C-4817-9D84-BB5382508FE5}"/>
            </c:ext>
          </c:extLst>
        </c:ser>
        <c:ser>
          <c:idx val="4"/>
          <c:order val="4"/>
          <c:tx>
            <c:strRef>
              <c:f>'Cross-country Q14 (2)'!$A$6</c:f>
              <c:strCache>
                <c:ptCount val="1"/>
                <c:pt idx="0">
                  <c:v>I don't know</c:v>
                </c:pt>
              </c:strCache>
            </c:strRef>
          </c:tx>
          <c:spPr>
            <a:solidFill>
              <a:srgbClr val="6F6B6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'Cross-country Q14 (2)'!$B$1:$F$1</c:f>
              <c:strCache>
                <c:ptCount val="5"/>
                <c:pt idx="0">
                  <c:v>France </c:v>
                </c:pt>
                <c:pt idx="1">
                  <c:v>Denmark</c:v>
                </c:pt>
                <c:pt idx="2">
                  <c:v>Italy</c:v>
                </c:pt>
                <c:pt idx="3">
                  <c:v>Latvia</c:v>
                </c:pt>
                <c:pt idx="4">
                  <c:v>Romania</c:v>
                </c:pt>
              </c:strCache>
            </c:strRef>
          </c:cat>
          <c:val>
            <c:numRef>
              <c:f>'Cross-country Q14 (2)'!$B$6:$F$6</c:f>
              <c:numCache>
                <c:formatCode>0%</c:formatCode>
                <c:ptCount val="5"/>
                <c:pt idx="0">
                  <c:v>0.33333333333333326</c:v>
                </c:pt>
                <c:pt idx="1">
                  <c:v>8.3333333333333315E-2</c:v>
                </c:pt>
                <c:pt idx="2">
                  <c:v>0.125</c:v>
                </c:pt>
                <c:pt idx="3">
                  <c:v>0.14285714285714285</c:v>
                </c:pt>
                <c:pt idx="4">
                  <c:v>0.25</c:v>
                </c:pt>
              </c:numCache>
            </c:numRef>
          </c:val>
          <c:extLst>
            <c:ext xmlns:c16="http://schemas.microsoft.com/office/drawing/2014/chart" uri="{C3380CC4-5D6E-409C-BE32-E72D297353CC}">
              <c16:uniqueId val="{0000000B-258C-4817-9D84-BB5382508FE5}"/>
            </c:ext>
          </c:extLst>
        </c:ser>
        <c:ser>
          <c:idx val="5"/>
          <c:order val="5"/>
          <c:tx>
            <c:strRef>
              <c:f>'Cross-country Q14 (2)'!$A$7</c:f>
              <c:strCache>
                <c:ptCount val="1"/>
                <c:pt idx="0">
                  <c:v>No Answer</c:v>
                </c:pt>
              </c:strCache>
            </c:strRef>
          </c:tx>
          <c:spPr>
            <a:solidFill>
              <a:srgbClr val="E8E8E8">
                <a:lumMod val="75000"/>
              </a:srgbClr>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C-258C-4817-9D84-BB5382508FE5}"/>
                </c:ext>
              </c:extLst>
            </c:dLbl>
            <c:dLbl>
              <c:idx val="3"/>
              <c:delete val="1"/>
              <c:extLst>
                <c:ext xmlns:c15="http://schemas.microsoft.com/office/drawing/2012/chart" uri="{CE6537A1-D6FC-4f65-9D91-7224C49458BB}"/>
                <c:ext xmlns:c16="http://schemas.microsoft.com/office/drawing/2014/chart" uri="{C3380CC4-5D6E-409C-BE32-E72D297353CC}">
                  <c16:uniqueId val="{0000000D-258C-4817-9D84-BB5382508FE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'Cross-country Q14 (2)'!$B$1:$F$1</c:f>
              <c:strCache>
                <c:ptCount val="5"/>
                <c:pt idx="0">
                  <c:v>France </c:v>
                </c:pt>
                <c:pt idx="1">
                  <c:v>Denmark</c:v>
                </c:pt>
                <c:pt idx="2">
                  <c:v>Italy</c:v>
                </c:pt>
                <c:pt idx="3">
                  <c:v>Latvia</c:v>
                </c:pt>
                <c:pt idx="4">
                  <c:v>Romania</c:v>
                </c:pt>
              </c:strCache>
            </c:strRef>
          </c:cat>
          <c:val>
            <c:numRef>
              <c:f>'Cross-country Q14 (2)'!$B$7:$F$7</c:f>
              <c:numCache>
                <c:formatCode>0%</c:formatCode>
                <c:ptCount val="5"/>
                <c:pt idx="0">
                  <c:v>0.22222222222222221</c:v>
                </c:pt>
                <c:pt idx="1">
                  <c:v>0.16666666666666663</c:v>
                </c:pt>
                <c:pt idx="2">
                  <c:v>0</c:v>
                </c:pt>
                <c:pt idx="3">
                  <c:v>0</c:v>
                </c:pt>
                <c:pt idx="4">
                  <c:v>0.25</c:v>
                </c:pt>
              </c:numCache>
            </c:numRef>
          </c:val>
          <c:extLst>
            <c:ext xmlns:c16="http://schemas.microsoft.com/office/drawing/2014/chart" uri="{C3380CC4-5D6E-409C-BE32-E72D297353CC}">
              <c16:uniqueId val="{0000000E-258C-4817-9D84-BB5382508FE5}"/>
            </c:ext>
          </c:extLst>
        </c:ser>
        <c:dLbls>
          <c:showLegendKey val="0"/>
          <c:showVal val="0"/>
          <c:showCatName val="0"/>
          <c:showSerName val="0"/>
          <c:showPercent val="0"/>
          <c:showBubbleSize val="0"/>
        </c:dLbls>
        <c:gapWidth val="150"/>
        <c:overlap val="100"/>
        <c:axId val="917224000"/>
        <c:axId val="917223040"/>
      </c:barChart>
      <c:catAx>
        <c:axId val="9172240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7223040"/>
        <c:crosses val="autoZero"/>
        <c:auto val="1"/>
        <c:lblAlgn val="ctr"/>
        <c:lblOffset val="100"/>
        <c:noMultiLvlLbl val="0"/>
      </c:catAx>
      <c:valAx>
        <c:axId val="91722304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7224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a:latin typeface="Times New Roman" panose="02020603050405020304" pitchFamily="18" charset="0"/>
                <a:cs typeface="Times New Roman" panose="02020603050405020304" pitchFamily="18" charset="0"/>
              </a:rPr>
              <a:t>Are they functional (including e.g. accessibility, training for people that should use them and administrative burden) and perceived as trustworthy and accessible by potential whistleblowers?  Trustworthy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'Cross-country Q14 (2)'!$A$2</c:f>
              <c:strCache>
                <c:ptCount val="1"/>
                <c:pt idx="0">
                  <c:v>To a large extent</c:v>
                </c:pt>
              </c:strCache>
            </c:strRef>
          </c:tx>
          <c:spPr>
            <a:solidFill>
              <a:srgbClr val="005B5F"/>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593B-40B6-9F01-4B14FB6A5F5D}"/>
                </c:ext>
              </c:extLst>
            </c:dLbl>
            <c:dLbl>
              <c:idx val="4"/>
              <c:delete val="1"/>
              <c:extLst>
                <c:ext xmlns:c15="http://schemas.microsoft.com/office/drawing/2012/chart" uri="{CE6537A1-D6FC-4f65-9D91-7224C49458BB}"/>
                <c:ext xmlns:c16="http://schemas.microsoft.com/office/drawing/2014/chart" uri="{C3380CC4-5D6E-409C-BE32-E72D297353CC}">
                  <c16:uniqueId val="{00000001-593B-40B6-9F01-4B14FB6A5F5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'Cross-country Q14 (2)'!$B$1:$F$1</c:f>
              <c:strCache>
                <c:ptCount val="5"/>
                <c:pt idx="0">
                  <c:v>France </c:v>
                </c:pt>
                <c:pt idx="1">
                  <c:v>Denmark</c:v>
                </c:pt>
                <c:pt idx="2">
                  <c:v>Italy</c:v>
                </c:pt>
                <c:pt idx="3">
                  <c:v>Latvia</c:v>
                </c:pt>
                <c:pt idx="4">
                  <c:v>Romania</c:v>
                </c:pt>
              </c:strCache>
            </c:strRef>
          </c:cat>
          <c:val>
            <c:numRef>
              <c:f>'Cross-country Q14 (2)'!$B$2:$F$2</c:f>
              <c:numCache>
                <c:formatCode>0%</c:formatCode>
                <c:ptCount val="5"/>
                <c:pt idx="0">
                  <c:v>0</c:v>
                </c:pt>
                <c:pt idx="1">
                  <c:v>0.16666666666666663</c:v>
                </c:pt>
                <c:pt idx="2">
                  <c:v>0.5</c:v>
                </c:pt>
                <c:pt idx="3">
                  <c:v>0.14285714285714285</c:v>
                </c:pt>
                <c:pt idx="4">
                  <c:v>0</c:v>
                </c:pt>
              </c:numCache>
            </c:numRef>
          </c:val>
          <c:extLst>
            <c:ext xmlns:c16="http://schemas.microsoft.com/office/drawing/2014/chart" uri="{C3380CC4-5D6E-409C-BE32-E72D297353CC}">
              <c16:uniqueId val="{00000002-593B-40B6-9F01-4B14FB6A5F5D}"/>
            </c:ext>
          </c:extLst>
        </c:ser>
        <c:ser>
          <c:idx val="1"/>
          <c:order val="1"/>
          <c:tx>
            <c:strRef>
              <c:f>'Cross-country Q14 (2)'!$A$3</c:f>
              <c:strCache>
                <c:ptCount val="1"/>
                <c:pt idx="0">
                  <c:v>To a moderate extent</c:v>
                </c:pt>
              </c:strCache>
            </c:strRef>
          </c:tx>
          <c:spPr>
            <a:solidFill>
              <a:srgbClr val="57C3AF"/>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3-593B-40B6-9F01-4B14FB6A5F5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'Cross-country Q14 (2)'!$B$1:$F$1</c:f>
              <c:strCache>
                <c:ptCount val="5"/>
                <c:pt idx="0">
                  <c:v>France </c:v>
                </c:pt>
                <c:pt idx="1">
                  <c:v>Denmark</c:v>
                </c:pt>
                <c:pt idx="2">
                  <c:v>Italy</c:v>
                </c:pt>
                <c:pt idx="3">
                  <c:v>Latvia</c:v>
                </c:pt>
                <c:pt idx="4">
                  <c:v>Romania</c:v>
                </c:pt>
              </c:strCache>
            </c:strRef>
          </c:cat>
          <c:val>
            <c:numRef>
              <c:f>'Cross-country Q14 (2)'!$B$3:$F$3</c:f>
              <c:numCache>
                <c:formatCode>0%</c:formatCode>
                <c:ptCount val="5"/>
                <c:pt idx="0">
                  <c:v>0.22222222222222221</c:v>
                </c:pt>
                <c:pt idx="1">
                  <c:v>0.16666666666666663</c:v>
                </c:pt>
                <c:pt idx="2">
                  <c:v>0.375</c:v>
                </c:pt>
                <c:pt idx="3">
                  <c:v>0.5714285714285714</c:v>
                </c:pt>
                <c:pt idx="4">
                  <c:v>0</c:v>
                </c:pt>
              </c:numCache>
            </c:numRef>
          </c:val>
          <c:extLst>
            <c:ext xmlns:c16="http://schemas.microsoft.com/office/drawing/2014/chart" uri="{C3380CC4-5D6E-409C-BE32-E72D297353CC}">
              <c16:uniqueId val="{00000004-593B-40B6-9F01-4B14FB6A5F5D}"/>
            </c:ext>
          </c:extLst>
        </c:ser>
        <c:ser>
          <c:idx val="2"/>
          <c:order val="2"/>
          <c:tx>
            <c:strRef>
              <c:f>'Cross-country Q14 (2)'!$A$4</c:f>
              <c:strCache>
                <c:ptCount val="1"/>
                <c:pt idx="0">
                  <c:v>To a limited extent</c:v>
                </c:pt>
              </c:strCache>
            </c:strRef>
          </c:tx>
          <c:spPr>
            <a:solidFill>
              <a:srgbClr val="EEA144"/>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5-593B-40B6-9F01-4B14FB6A5F5D}"/>
                </c:ext>
              </c:extLst>
            </c:dLbl>
            <c:dLbl>
              <c:idx val="3"/>
              <c:delete val="1"/>
              <c:extLst>
                <c:ext xmlns:c15="http://schemas.microsoft.com/office/drawing/2012/chart" uri="{CE6537A1-D6FC-4f65-9D91-7224C49458BB}"/>
                <c:ext xmlns:c16="http://schemas.microsoft.com/office/drawing/2014/chart" uri="{C3380CC4-5D6E-409C-BE32-E72D297353CC}">
                  <c16:uniqueId val="{00000006-593B-40B6-9F01-4B14FB6A5F5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'Cross-country Q14 (2)'!$B$1:$F$1</c:f>
              <c:strCache>
                <c:ptCount val="5"/>
                <c:pt idx="0">
                  <c:v>France </c:v>
                </c:pt>
                <c:pt idx="1">
                  <c:v>Denmark</c:v>
                </c:pt>
                <c:pt idx="2">
                  <c:v>Italy</c:v>
                </c:pt>
                <c:pt idx="3">
                  <c:v>Latvia</c:v>
                </c:pt>
                <c:pt idx="4">
                  <c:v>Romania</c:v>
                </c:pt>
              </c:strCache>
            </c:strRef>
          </c:cat>
          <c:val>
            <c:numRef>
              <c:f>'Cross-country Q14 (2)'!$B$4:$F$4</c:f>
              <c:numCache>
                <c:formatCode>0%</c:formatCode>
                <c:ptCount val="5"/>
                <c:pt idx="0">
                  <c:v>0.1111111111111111</c:v>
                </c:pt>
                <c:pt idx="1">
                  <c:v>8.3333333333333315E-2</c:v>
                </c:pt>
                <c:pt idx="2">
                  <c:v>0</c:v>
                </c:pt>
                <c:pt idx="3">
                  <c:v>0</c:v>
                </c:pt>
                <c:pt idx="4">
                  <c:v>0.5</c:v>
                </c:pt>
              </c:numCache>
            </c:numRef>
          </c:val>
          <c:extLst>
            <c:ext xmlns:c16="http://schemas.microsoft.com/office/drawing/2014/chart" uri="{C3380CC4-5D6E-409C-BE32-E72D297353CC}">
              <c16:uniqueId val="{00000007-593B-40B6-9F01-4B14FB6A5F5D}"/>
            </c:ext>
          </c:extLst>
        </c:ser>
        <c:ser>
          <c:idx val="3"/>
          <c:order val="3"/>
          <c:tx>
            <c:strRef>
              <c:f>'Cross-country Q14 (2)'!$A$5</c:f>
              <c:strCache>
                <c:ptCount val="1"/>
                <c:pt idx="0">
                  <c:v>Not at all</c:v>
                </c:pt>
              </c:strCache>
            </c:strRef>
          </c:tx>
          <c:spPr>
            <a:solidFill>
              <a:srgbClr val="D83F29"/>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8-593B-40B6-9F01-4B14FB6A5F5D}"/>
                </c:ext>
              </c:extLst>
            </c:dLbl>
            <c:dLbl>
              <c:idx val="3"/>
              <c:delete val="1"/>
              <c:extLst>
                <c:ext xmlns:c15="http://schemas.microsoft.com/office/drawing/2012/chart" uri="{CE6537A1-D6FC-4f65-9D91-7224C49458BB}"/>
                <c:ext xmlns:c16="http://schemas.microsoft.com/office/drawing/2014/chart" uri="{C3380CC4-5D6E-409C-BE32-E72D297353CC}">
                  <c16:uniqueId val="{00000009-593B-40B6-9F01-4B14FB6A5F5D}"/>
                </c:ext>
              </c:extLst>
            </c:dLbl>
            <c:dLbl>
              <c:idx val="4"/>
              <c:delete val="1"/>
              <c:extLst>
                <c:ext xmlns:c15="http://schemas.microsoft.com/office/drawing/2012/chart" uri="{CE6537A1-D6FC-4f65-9D91-7224C49458BB}"/>
                <c:ext xmlns:c16="http://schemas.microsoft.com/office/drawing/2014/chart" uri="{C3380CC4-5D6E-409C-BE32-E72D297353CC}">
                  <c16:uniqueId val="{0000000A-593B-40B6-9F01-4B14FB6A5F5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'Cross-country Q14 (2)'!$B$1:$F$1</c:f>
              <c:strCache>
                <c:ptCount val="5"/>
                <c:pt idx="0">
                  <c:v>France </c:v>
                </c:pt>
                <c:pt idx="1">
                  <c:v>Denmark</c:v>
                </c:pt>
                <c:pt idx="2">
                  <c:v>Italy</c:v>
                </c:pt>
                <c:pt idx="3">
                  <c:v>Latvia</c:v>
                </c:pt>
                <c:pt idx="4">
                  <c:v>Romania</c:v>
                </c:pt>
              </c:strCache>
            </c:strRef>
          </c:cat>
          <c:val>
            <c:numRef>
              <c:f>'Cross-country Q14 (2)'!$B$5:$F$5</c:f>
              <c:numCache>
                <c:formatCode>0%</c:formatCode>
                <c:ptCount val="5"/>
                <c:pt idx="0">
                  <c:v>0.1111111111111111</c:v>
                </c:pt>
                <c:pt idx="1">
                  <c:v>8.3333333333333315E-2</c:v>
                </c:pt>
                <c:pt idx="2">
                  <c:v>0</c:v>
                </c:pt>
                <c:pt idx="3">
                  <c:v>0</c:v>
                </c:pt>
                <c:pt idx="4">
                  <c:v>0</c:v>
                </c:pt>
              </c:numCache>
            </c:numRef>
          </c:val>
          <c:extLst>
            <c:ext xmlns:c16="http://schemas.microsoft.com/office/drawing/2014/chart" uri="{C3380CC4-5D6E-409C-BE32-E72D297353CC}">
              <c16:uniqueId val="{0000000B-593B-40B6-9F01-4B14FB6A5F5D}"/>
            </c:ext>
          </c:extLst>
        </c:ser>
        <c:ser>
          <c:idx val="4"/>
          <c:order val="4"/>
          <c:tx>
            <c:strRef>
              <c:f>'Cross-country Q14 (2)'!$A$6</c:f>
              <c:strCache>
                <c:ptCount val="1"/>
                <c:pt idx="0">
                  <c:v>I don't know</c:v>
                </c:pt>
              </c:strCache>
            </c:strRef>
          </c:tx>
          <c:spPr>
            <a:solidFill>
              <a:srgbClr val="6F6B6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'Cross-country Q14 (2)'!$B$1:$F$1</c:f>
              <c:strCache>
                <c:ptCount val="5"/>
                <c:pt idx="0">
                  <c:v>France </c:v>
                </c:pt>
                <c:pt idx="1">
                  <c:v>Denmark</c:v>
                </c:pt>
                <c:pt idx="2">
                  <c:v>Italy</c:v>
                </c:pt>
                <c:pt idx="3">
                  <c:v>Latvia</c:v>
                </c:pt>
                <c:pt idx="4">
                  <c:v>Romania</c:v>
                </c:pt>
              </c:strCache>
            </c:strRef>
          </c:cat>
          <c:val>
            <c:numRef>
              <c:f>'Cross-country Q14 (2)'!$B$6:$F$6</c:f>
              <c:numCache>
                <c:formatCode>0%</c:formatCode>
                <c:ptCount val="5"/>
                <c:pt idx="0">
                  <c:v>0.33333333333333326</c:v>
                </c:pt>
                <c:pt idx="1">
                  <c:v>0.33333333333333326</c:v>
                </c:pt>
                <c:pt idx="2">
                  <c:v>0.125</c:v>
                </c:pt>
                <c:pt idx="3">
                  <c:v>0.2857142857142857</c:v>
                </c:pt>
                <c:pt idx="4">
                  <c:v>0.25</c:v>
                </c:pt>
              </c:numCache>
            </c:numRef>
          </c:val>
          <c:extLst>
            <c:ext xmlns:c16="http://schemas.microsoft.com/office/drawing/2014/chart" uri="{C3380CC4-5D6E-409C-BE32-E72D297353CC}">
              <c16:uniqueId val="{0000000C-593B-40B6-9F01-4B14FB6A5F5D}"/>
            </c:ext>
          </c:extLst>
        </c:ser>
        <c:ser>
          <c:idx val="5"/>
          <c:order val="5"/>
          <c:tx>
            <c:strRef>
              <c:f>'Cross-country Q14 (2)'!$A$7</c:f>
              <c:strCache>
                <c:ptCount val="1"/>
                <c:pt idx="0">
                  <c:v>No Answer</c:v>
                </c:pt>
              </c:strCache>
            </c:strRef>
          </c:tx>
          <c:spPr>
            <a:solidFill>
              <a:srgbClr val="E8E8E8">
                <a:lumMod val="75000"/>
              </a:srgbClr>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D-593B-40B6-9F01-4B14FB6A5F5D}"/>
                </c:ext>
              </c:extLst>
            </c:dLbl>
            <c:dLbl>
              <c:idx val="3"/>
              <c:delete val="1"/>
              <c:extLst>
                <c:ext xmlns:c15="http://schemas.microsoft.com/office/drawing/2012/chart" uri="{CE6537A1-D6FC-4f65-9D91-7224C49458BB}"/>
                <c:ext xmlns:c16="http://schemas.microsoft.com/office/drawing/2014/chart" uri="{C3380CC4-5D6E-409C-BE32-E72D297353CC}">
                  <c16:uniqueId val="{0000000E-593B-40B6-9F01-4B14FB6A5F5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'Cross-country Q14 (2)'!$B$1:$F$1</c:f>
              <c:strCache>
                <c:ptCount val="5"/>
                <c:pt idx="0">
                  <c:v>France </c:v>
                </c:pt>
                <c:pt idx="1">
                  <c:v>Denmark</c:v>
                </c:pt>
                <c:pt idx="2">
                  <c:v>Italy</c:v>
                </c:pt>
                <c:pt idx="3">
                  <c:v>Latvia</c:v>
                </c:pt>
                <c:pt idx="4">
                  <c:v>Romania</c:v>
                </c:pt>
              </c:strCache>
            </c:strRef>
          </c:cat>
          <c:val>
            <c:numRef>
              <c:f>'Cross-country Q14 (2)'!$B$7:$F$7</c:f>
              <c:numCache>
                <c:formatCode>0%</c:formatCode>
                <c:ptCount val="5"/>
                <c:pt idx="0">
                  <c:v>0.22222222222222221</c:v>
                </c:pt>
                <c:pt idx="1">
                  <c:v>0.16666666666666663</c:v>
                </c:pt>
                <c:pt idx="2">
                  <c:v>0</c:v>
                </c:pt>
                <c:pt idx="3">
                  <c:v>0</c:v>
                </c:pt>
                <c:pt idx="4">
                  <c:v>0.25</c:v>
                </c:pt>
              </c:numCache>
            </c:numRef>
          </c:val>
          <c:extLst>
            <c:ext xmlns:c16="http://schemas.microsoft.com/office/drawing/2014/chart" uri="{C3380CC4-5D6E-409C-BE32-E72D297353CC}">
              <c16:uniqueId val="{0000000F-593B-40B6-9F01-4B14FB6A5F5D}"/>
            </c:ext>
          </c:extLst>
        </c:ser>
        <c:dLbls>
          <c:showLegendKey val="0"/>
          <c:showVal val="0"/>
          <c:showCatName val="0"/>
          <c:showSerName val="0"/>
          <c:showPercent val="0"/>
          <c:showBubbleSize val="0"/>
        </c:dLbls>
        <c:gapWidth val="150"/>
        <c:overlap val="100"/>
        <c:axId val="917224000"/>
        <c:axId val="917223040"/>
      </c:barChart>
      <c:catAx>
        <c:axId val="9172240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7223040"/>
        <c:crosses val="autoZero"/>
        <c:auto val="1"/>
        <c:lblAlgn val="ctr"/>
        <c:lblOffset val="100"/>
        <c:noMultiLvlLbl val="0"/>
      </c:catAx>
      <c:valAx>
        <c:axId val="91722304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7224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Have</a:t>
            </a:r>
            <a:r>
              <a:rPr lang="en-US" sz="1200" baseline="0">
                <a:latin typeface="Times New Roman" panose="02020603050405020304" pitchFamily="18" charset="0"/>
                <a:cs typeface="Times New Roman" panose="02020603050405020304" pitchFamily="18" charset="0"/>
              </a:rPr>
              <a:t> the internal channels been introduced following consultation and in agreement with the social partners?</a:t>
            </a:r>
            <a:endParaRPr lang="en-US"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General!$C$72</c:f>
              <c:strCache>
                <c:ptCount val="1"/>
                <c:pt idx="0">
                  <c:v>Answers</c:v>
                </c:pt>
              </c:strCache>
            </c:strRef>
          </c:tx>
          <c:dPt>
            <c:idx val="0"/>
            <c:bubble3D val="0"/>
            <c:spPr>
              <a:solidFill>
                <a:srgbClr val="005B5F"/>
              </a:solidFill>
              <a:ln w="19050">
                <a:solidFill>
                  <a:schemeClr val="lt1"/>
                </a:solidFill>
              </a:ln>
              <a:effectLst/>
            </c:spPr>
            <c:extLst>
              <c:ext xmlns:c16="http://schemas.microsoft.com/office/drawing/2014/chart" uri="{C3380CC4-5D6E-409C-BE32-E72D297353CC}">
                <c16:uniqueId val="{00000001-F598-431B-8BEA-2ABD8585CA72}"/>
              </c:ext>
            </c:extLst>
          </c:dPt>
          <c:dPt>
            <c:idx val="1"/>
            <c:bubble3D val="0"/>
            <c:spPr>
              <a:solidFill>
                <a:srgbClr val="D83F29"/>
              </a:solidFill>
              <a:ln w="19050">
                <a:solidFill>
                  <a:schemeClr val="lt1"/>
                </a:solidFill>
              </a:ln>
              <a:effectLst/>
            </c:spPr>
            <c:extLst>
              <c:ext xmlns:c16="http://schemas.microsoft.com/office/drawing/2014/chart" uri="{C3380CC4-5D6E-409C-BE32-E72D297353CC}">
                <c16:uniqueId val="{00000003-F598-431B-8BEA-2ABD8585CA72}"/>
              </c:ext>
            </c:extLst>
          </c:dPt>
          <c:dPt>
            <c:idx val="2"/>
            <c:bubble3D val="0"/>
            <c:spPr>
              <a:solidFill>
                <a:srgbClr val="6F6B6C"/>
              </a:solidFill>
              <a:ln w="19050">
                <a:solidFill>
                  <a:schemeClr val="lt1"/>
                </a:solidFill>
              </a:ln>
              <a:effectLst/>
            </c:spPr>
            <c:extLst>
              <c:ext xmlns:c16="http://schemas.microsoft.com/office/drawing/2014/chart" uri="{C3380CC4-5D6E-409C-BE32-E72D297353CC}">
                <c16:uniqueId val="{00000005-F598-431B-8BEA-2ABD8585CA7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General!$A$73:$B$75</c:f>
              <c:strCache>
                <c:ptCount val="3"/>
                <c:pt idx="0">
                  <c:v>Yes</c:v>
                </c:pt>
                <c:pt idx="1">
                  <c:v>No</c:v>
                </c:pt>
                <c:pt idx="2">
                  <c:v>I don't know</c:v>
                </c:pt>
              </c:strCache>
            </c:strRef>
          </c:cat>
          <c:val>
            <c:numRef>
              <c:f>General!$C$73:$C$75</c:f>
              <c:numCache>
                <c:formatCode>General</c:formatCode>
                <c:ptCount val="3"/>
                <c:pt idx="0">
                  <c:v>10</c:v>
                </c:pt>
                <c:pt idx="1">
                  <c:v>7</c:v>
                </c:pt>
                <c:pt idx="2">
                  <c:v>23</c:v>
                </c:pt>
              </c:numCache>
            </c:numRef>
          </c:val>
          <c:extLst>
            <c:ext xmlns:c16="http://schemas.microsoft.com/office/drawing/2014/chart" uri="{C3380CC4-5D6E-409C-BE32-E72D297353CC}">
              <c16:uniqueId val="{00000006-F598-431B-8BEA-2ABD8585CA72}"/>
            </c:ext>
          </c:extLst>
        </c:ser>
        <c:ser>
          <c:idx val="1"/>
          <c:order val="1"/>
          <c:tx>
            <c:strRef>
              <c:f>General!$D$72</c:f>
              <c:strCache>
                <c:ptCount val="1"/>
                <c:pt idx="0">
                  <c:v>Ratio</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8-F598-431B-8BEA-2ABD8585CA7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A-F598-431B-8BEA-2ABD8585CA7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C-F598-431B-8BEA-2ABD8585CA72}"/>
              </c:ext>
            </c:extLst>
          </c:dPt>
          <c:cat>
            <c:strRef>
              <c:f>General!$A$73:$B$75</c:f>
              <c:strCache>
                <c:ptCount val="3"/>
                <c:pt idx="0">
                  <c:v>Yes</c:v>
                </c:pt>
                <c:pt idx="1">
                  <c:v>No</c:v>
                </c:pt>
                <c:pt idx="2">
                  <c:v>I don't know</c:v>
                </c:pt>
              </c:strCache>
            </c:strRef>
          </c:cat>
          <c:val>
            <c:numRef>
              <c:f>General!$D$73:$D$75</c:f>
              <c:numCache>
                <c:formatCode>0%</c:formatCode>
                <c:ptCount val="3"/>
                <c:pt idx="0">
                  <c:v>0.25</c:v>
                </c:pt>
                <c:pt idx="1">
                  <c:v>0.17499999999999999</c:v>
                </c:pt>
                <c:pt idx="2">
                  <c:v>0.57499999999999996</c:v>
                </c:pt>
              </c:numCache>
            </c:numRef>
          </c:val>
          <c:extLst>
            <c:ext xmlns:c16="http://schemas.microsoft.com/office/drawing/2014/chart" uri="{C3380CC4-5D6E-409C-BE32-E72D297353CC}">
              <c16:uniqueId val="{0000000D-F598-431B-8BEA-2ABD8585CA7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sz="1200"/>
              <a:t>What does the State</a:t>
            </a:r>
            <a:r>
              <a:rPr lang="en-GB" sz="1200" b="0" i="0" u="none" strike="noStrike" kern="1200" spc="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rPr>
              <a:t>’</a:t>
            </a:r>
            <a:r>
              <a:rPr lang="en-GB" sz="1200"/>
              <a:t>s encouragement to use internal reporting channels first consist of?</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bar"/>
        <c:grouping val="clustered"/>
        <c:varyColors val="0"/>
        <c:ser>
          <c:idx val="1"/>
          <c:order val="1"/>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General!$A$80:$A$83</c:f>
              <c:strCache>
                <c:ptCount val="4"/>
                <c:pt idx="0">
                  <c:v>In practice, it is an obligation to use the internal channel first</c:v>
                </c:pt>
                <c:pt idx="1">
                  <c:v>There is a moderate encouragement</c:v>
                </c:pt>
                <c:pt idx="2">
                  <c:v>There is no encouragement</c:v>
                </c:pt>
                <c:pt idx="3">
                  <c:v>I don't know</c:v>
                </c:pt>
              </c:strCache>
              <c:extLst/>
            </c:strRef>
          </c:cat>
          <c:val>
            <c:numRef>
              <c:f>General!$C$80:$C$83</c:f>
              <c:numCache>
                <c:formatCode>General</c:formatCode>
                <c:ptCount val="4"/>
                <c:pt idx="0">
                  <c:v>8</c:v>
                </c:pt>
                <c:pt idx="1">
                  <c:v>21</c:v>
                </c:pt>
                <c:pt idx="2">
                  <c:v>5</c:v>
                </c:pt>
                <c:pt idx="3">
                  <c:v>6</c:v>
                </c:pt>
              </c:numCache>
              <c:extLst/>
            </c:numRef>
          </c:val>
          <c:extLst>
            <c:ext xmlns:c16="http://schemas.microsoft.com/office/drawing/2014/chart" uri="{C3380CC4-5D6E-409C-BE32-E72D297353CC}">
              <c16:uniqueId val="{00000000-6758-4D99-95DE-7F1C9B67F8C8}"/>
            </c:ext>
          </c:extLst>
        </c:ser>
        <c:dLbls>
          <c:showLegendKey val="0"/>
          <c:showVal val="0"/>
          <c:showCatName val="0"/>
          <c:showSerName val="0"/>
          <c:showPercent val="0"/>
          <c:showBubbleSize val="0"/>
        </c:dLbls>
        <c:gapWidth val="182"/>
        <c:axId val="1405997536"/>
        <c:axId val="1405996576"/>
        <c:extLs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General!$A$80:$A$83</c15:sqref>
                        </c15:formulaRef>
                      </c:ext>
                    </c:extLst>
                    <c:strCache>
                      <c:ptCount val="4"/>
                      <c:pt idx="0">
                        <c:v>In practice, it is an obligation to use the internal channel first</c:v>
                      </c:pt>
                      <c:pt idx="1">
                        <c:v>There is a moderate encouragement</c:v>
                      </c:pt>
                      <c:pt idx="2">
                        <c:v>There is no encouragement</c:v>
                      </c:pt>
                      <c:pt idx="3">
                        <c:v>I don't know</c:v>
                      </c:pt>
                    </c:strCache>
                  </c:strRef>
                </c:cat>
                <c:val>
                  <c:numRef>
                    <c:extLst>
                      <c:ext uri="{02D57815-91ED-43cb-92C2-25804820EDAC}">
                        <c15:formulaRef>
                          <c15:sqref>General!$B$80:$B$83</c15:sqref>
                        </c15:formulaRef>
                      </c:ext>
                    </c:extLst>
                    <c:numCache>
                      <c:formatCode>General</c:formatCode>
                      <c:ptCount val="4"/>
                    </c:numCache>
                  </c:numRef>
                </c:val>
                <c:extLst>
                  <c:ext xmlns:c16="http://schemas.microsoft.com/office/drawing/2014/chart" uri="{C3380CC4-5D6E-409C-BE32-E72D297353CC}">
                    <c16:uniqueId val="{00000001-6758-4D99-95DE-7F1C9B67F8C8}"/>
                  </c:ext>
                </c:extLst>
              </c15:ser>
            </c15:filteredBarSeries>
          </c:ext>
        </c:extLst>
      </c:barChart>
      <c:catAx>
        <c:axId val="14059975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05996576"/>
        <c:crosses val="autoZero"/>
        <c:auto val="1"/>
        <c:lblAlgn val="ctr"/>
        <c:lblOffset val="100"/>
        <c:noMultiLvlLbl val="0"/>
      </c:catAx>
      <c:valAx>
        <c:axId val="14059965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05997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a:latin typeface="Times New Roman" panose="02020603050405020304" pitchFamily="18" charset="0"/>
                <a:cs typeface="Times New Roman" panose="02020603050405020304" pitchFamily="18" charset="0"/>
              </a:rPr>
              <a:t>What does the </a:t>
            </a:r>
            <a:r>
              <a:rPr lang="en-GB" sz="1200" baseline="0">
                <a:latin typeface="Times New Roman" panose="02020603050405020304" pitchFamily="18" charset="0"/>
                <a:cs typeface="Times New Roman" panose="02020603050405020304" pitchFamily="18" charset="0"/>
              </a:rPr>
              <a:t>State</a:t>
            </a:r>
            <a:r>
              <a:rPr lang="en-GB" sz="1200" b="0" i="0" u="none" strike="noStrike" kern="1200" spc="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rPr>
              <a:t>’</a:t>
            </a:r>
            <a:r>
              <a:rPr lang="en-GB" sz="1200" baseline="0">
                <a:latin typeface="Times New Roman" panose="02020603050405020304" pitchFamily="18" charset="0"/>
                <a:cs typeface="Times New Roman" panose="02020603050405020304" pitchFamily="18" charset="0"/>
              </a:rPr>
              <a:t>s encouragement to use internal reporting channels first consist of?</a:t>
            </a:r>
            <a:endParaRPr lang="en-GB" sz="1200">
              <a:latin typeface="Times New Roman" panose="02020603050405020304" pitchFamily="18" charset="0"/>
              <a:cs typeface="Times New Roman" panose="02020603050405020304" pitchFamily="18" charset="0"/>
            </a:endParaRPr>
          </a:p>
        </c:rich>
      </c:tx>
      <c:layout>
        <c:manualLayout>
          <c:xMode val="edge"/>
          <c:yMode val="edge"/>
          <c:x val="0.1425806647070032"/>
          <c:y val="4.759583480229927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'Cross-country Q14 (2)'!$A$2</c:f>
              <c:strCache>
                <c:ptCount val="1"/>
                <c:pt idx="0">
                  <c:v>In practice, it is an obligation to use the internal channel first</c:v>
                </c:pt>
              </c:strCache>
            </c:strRef>
          </c:tx>
          <c:spPr>
            <a:solidFill>
              <a:srgbClr val="005B5F"/>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0-988D-490F-B5AD-30751B66F58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'Cross-country Q14 (2)'!$B$1:$F$1</c:f>
              <c:strCache>
                <c:ptCount val="5"/>
                <c:pt idx="0">
                  <c:v>France </c:v>
                </c:pt>
                <c:pt idx="1">
                  <c:v>Denmark</c:v>
                </c:pt>
                <c:pt idx="2">
                  <c:v>Italy</c:v>
                </c:pt>
                <c:pt idx="3">
                  <c:v>Latvia</c:v>
                </c:pt>
                <c:pt idx="4">
                  <c:v>Romania</c:v>
                </c:pt>
              </c:strCache>
            </c:strRef>
          </c:cat>
          <c:val>
            <c:numRef>
              <c:f>'Cross-country Q14 (2)'!$B$2:$F$2</c:f>
              <c:numCache>
                <c:formatCode>0%</c:formatCode>
                <c:ptCount val="5"/>
                <c:pt idx="0">
                  <c:v>0.1111111111111111</c:v>
                </c:pt>
                <c:pt idx="1">
                  <c:v>8.3333333333333315E-2</c:v>
                </c:pt>
                <c:pt idx="2">
                  <c:v>0.5</c:v>
                </c:pt>
                <c:pt idx="3">
                  <c:v>0.2857142857142857</c:v>
                </c:pt>
                <c:pt idx="4">
                  <c:v>0</c:v>
                </c:pt>
              </c:numCache>
            </c:numRef>
          </c:val>
          <c:extLst>
            <c:ext xmlns:c16="http://schemas.microsoft.com/office/drawing/2014/chart" uri="{C3380CC4-5D6E-409C-BE32-E72D297353CC}">
              <c16:uniqueId val="{00000001-988D-490F-B5AD-30751B66F58C}"/>
            </c:ext>
          </c:extLst>
        </c:ser>
        <c:ser>
          <c:idx val="1"/>
          <c:order val="1"/>
          <c:tx>
            <c:strRef>
              <c:f>'Cross-country Q14 (2)'!$A$3</c:f>
              <c:strCache>
                <c:ptCount val="1"/>
                <c:pt idx="0">
                  <c:v>There is a moderate encouragement</c:v>
                </c:pt>
              </c:strCache>
            </c:strRef>
          </c:tx>
          <c:spPr>
            <a:solidFill>
              <a:srgbClr val="57C3A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'Cross-country Q14 (2)'!$B$1:$F$1</c:f>
              <c:strCache>
                <c:ptCount val="5"/>
                <c:pt idx="0">
                  <c:v>France </c:v>
                </c:pt>
                <c:pt idx="1">
                  <c:v>Denmark</c:v>
                </c:pt>
                <c:pt idx="2">
                  <c:v>Italy</c:v>
                </c:pt>
                <c:pt idx="3">
                  <c:v>Latvia</c:v>
                </c:pt>
                <c:pt idx="4">
                  <c:v>Romania</c:v>
                </c:pt>
              </c:strCache>
            </c:strRef>
          </c:cat>
          <c:val>
            <c:numRef>
              <c:f>'Cross-country Q14 (2)'!$B$3:$F$3</c:f>
              <c:numCache>
                <c:formatCode>0%</c:formatCode>
                <c:ptCount val="5"/>
                <c:pt idx="0">
                  <c:v>0.55555555555555558</c:v>
                </c:pt>
                <c:pt idx="1">
                  <c:v>0.58333333333333337</c:v>
                </c:pt>
                <c:pt idx="2">
                  <c:v>0.375</c:v>
                </c:pt>
                <c:pt idx="3">
                  <c:v>0.5714285714285714</c:v>
                </c:pt>
                <c:pt idx="4">
                  <c:v>0.5</c:v>
                </c:pt>
              </c:numCache>
            </c:numRef>
          </c:val>
          <c:extLst>
            <c:ext xmlns:c16="http://schemas.microsoft.com/office/drawing/2014/chart" uri="{C3380CC4-5D6E-409C-BE32-E72D297353CC}">
              <c16:uniqueId val="{00000002-988D-490F-B5AD-30751B66F58C}"/>
            </c:ext>
          </c:extLst>
        </c:ser>
        <c:ser>
          <c:idx val="2"/>
          <c:order val="2"/>
          <c:tx>
            <c:strRef>
              <c:f>'Cross-country Q14 (2)'!$A$4</c:f>
              <c:strCache>
                <c:ptCount val="1"/>
                <c:pt idx="0">
                  <c:v>There is no encouragement</c:v>
                </c:pt>
              </c:strCache>
            </c:strRef>
          </c:tx>
          <c:spPr>
            <a:solidFill>
              <a:srgbClr val="D83F29"/>
            </a:solidFill>
            <a:ln>
              <a:no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3-988D-490F-B5AD-30751B66F58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'Cross-country Q14 (2)'!$B$1:$F$1</c:f>
              <c:strCache>
                <c:ptCount val="5"/>
                <c:pt idx="0">
                  <c:v>France </c:v>
                </c:pt>
                <c:pt idx="1">
                  <c:v>Denmark</c:v>
                </c:pt>
                <c:pt idx="2">
                  <c:v>Italy</c:v>
                </c:pt>
                <c:pt idx="3">
                  <c:v>Latvia</c:v>
                </c:pt>
                <c:pt idx="4">
                  <c:v>Romania</c:v>
                </c:pt>
              </c:strCache>
            </c:strRef>
          </c:cat>
          <c:val>
            <c:numRef>
              <c:f>'Cross-country Q14 (2)'!$B$4:$F$4</c:f>
              <c:numCache>
                <c:formatCode>0%</c:formatCode>
                <c:ptCount val="5"/>
                <c:pt idx="0">
                  <c:v>0.1111111111111111</c:v>
                </c:pt>
                <c:pt idx="1">
                  <c:v>8.3333333333333315E-2</c:v>
                </c:pt>
                <c:pt idx="2">
                  <c:v>0.125</c:v>
                </c:pt>
                <c:pt idx="3">
                  <c:v>0</c:v>
                </c:pt>
                <c:pt idx="4">
                  <c:v>0.5</c:v>
                </c:pt>
              </c:numCache>
            </c:numRef>
          </c:val>
          <c:extLst>
            <c:ext xmlns:c16="http://schemas.microsoft.com/office/drawing/2014/chart" uri="{C3380CC4-5D6E-409C-BE32-E72D297353CC}">
              <c16:uniqueId val="{00000004-988D-490F-B5AD-30751B66F58C}"/>
            </c:ext>
          </c:extLst>
        </c:ser>
        <c:ser>
          <c:idx val="3"/>
          <c:order val="3"/>
          <c:tx>
            <c:strRef>
              <c:f>'Cross-country Q14 (2)'!$A$5</c:f>
              <c:strCache>
                <c:ptCount val="1"/>
                <c:pt idx="0">
                  <c:v>I don't know</c:v>
                </c:pt>
              </c:strCache>
            </c:strRef>
          </c:tx>
          <c:spPr>
            <a:solidFill>
              <a:srgbClr val="6F6B6C"/>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5-988D-490F-B5AD-30751B66F58C}"/>
                </c:ext>
              </c:extLst>
            </c:dLbl>
            <c:dLbl>
              <c:idx val="4"/>
              <c:delete val="1"/>
              <c:extLst>
                <c:ext xmlns:c15="http://schemas.microsoft.com/office/drawing/2012/chart" uri="{CE6537A1-D6FC-4f65-9D91-7224C49458BB}"/>
                <c:ext xmlns:c16="http://schemas.microsoft.com/office/drawing/2014/chart" uri="{C3380CC4-5D6E-409C-BE32-E72D297353CC}">
                  <c16:uniqueId val="{00000006-988D-490F-B5AD-30751B66F58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'Cross-country Q14 (2)'!$B$1:$F$1</c:f>
              <c:strCache>
                <c:ptCount val="5"/>
                <c:pt idx="0">
                  <c:v>France </c:v>
                </c:pt>
                <c:pt idx="1">
                  <c:v>Denmark</c:v>
                </c:pt>
                <c:pt idx="2">
                  <c:v>Italy</c:v>
                </c:pt>
                <c:pt idx="3">
                  <c:v>Latvia</c:v>
                </c:pt>
                <c:pt idx="4">
                  <c:v>Romania</c:v>
                </c:pt>
              </c:strCache>
            </c:strRef>
          </c:cat>
          <c:val>
            <c:numRef>
              <c:f>'Cross-country Q14 (2)'!$B$5:$F$5</c:f>
              <c:numCache>
                <c:formatCode>0%</c:formatCode>
                <c:ptCount val="5"/>
                <c:pt idx="0">
                  <c:v>0.22222222222222221</c:v>
                </c:pt>
                <c:pt idx="1">
                  <c:v>0.25</c:v>
                </c:pt>
                <c:pt idx="2">
                  <c:v>0</c:v>
                </c:pt>
                <c:pt idx="3">
                  <c:v>0.14285714285714285</c:v>
                </c:pt>
                <c:pt idx="4">
                  <c:v>0</c:v>
                </c:pt>
              </c:numCache>
            </c:numRef>
          </c:val>
          <c:extLst>
            <c:ext xmlns:c16="http://schemas.microsoft.com/office/drawing/2014/chart" uri="{C3380CC4-5D6E-409C-BE32-E72D297353CC}">
              <c16:uniqueId val="{00000007-988D-490F-B5AD-30751B66F58C}"/>
            </c:ext>
          </c:extLst>
        </c:ser>
        <c:ser>
          <c:idx val="4"/>
          <c:order val="4"/>
          <c:tx>
            <c:strRef>
              <c:f>'Cross-country Q14 (2)'!$A$6</c:f>
              <c:strCache>
                <c:ptCount val="1"/>
                <c:pt idx="0">
                  <c:v>No Answer</c:v>
                </c:pt>
              </c:strCache>
            </c:strRef>
          </c:tx>
          <c:spPr>
            <a:solidFill>
              <a:schemeClr val="accent5"/>
            </a:solidFill>
            <a:ln>
              <a:noFill/>
            </a:ln>
            <a:effectLst/>
          </c:spPr>
          <c:invertIfNegative val="0"/>
          <c:cat>
            <c:strRef>
              <c:f>'Cross-country Q14 (2)'!$B$1:$F$1</c:f>
              <c:strCache>
                <c:ptCount val="5"/>
                <c:pt idx="0">
                  <c:v>France </c:v>
                </c:pt>
                <c:pt idx="1">
                  <c:v>Denmark</c:v>
                </c:pt>
                <c:pt idx="2">
                  <c:v>Italy</c:v>
                </c:pt>
                <c:pt idx="3">
                  <c:v>Latvia</c:v>
                </c:pt>
                <c:pt idx="4">
                  <c:v>Romania</c:v>
                </c:pt>
              </c:strCache>
            </c:strRef>
          </c:cat>
          <c:val>
            <c:numRef>
              <c:f>'Cross-country Q14 (2)'!$B$6:$F$6</c:f>
              <c:numCache>
                <c:formatCode>0%</c:formatCode>
                <c:ptCount val="5"/>
                <c:pt idx="0">
                  <c:v>0</c:v>
                </c:pt>
                <c:pt idx="1">
                  <c:v>0</c:v>
                </c:pt>
                <c:pt idx="2">
                  <c:v>0</c:v>
                </c:pt>
                <c:pt idx="3">
                  <c:v>0</c:v>
                </c:pt>
                <c:pt idx="4">
                  <c:v>0</c:v>
                </c:pt>
              </c:numCache>
            </c:numRef>
          </c:val>
          <c:extLst>
            <c:ext xmlns:c16="http://schemas.microsoft.com/office/drawing/2014/chart" uri="{C3380CC4-5D6E-409C-BE32-E72D297353CC}">
              <c16:uniqueId val="{00000008-988D-490F-B5AD-30751B66F58C}"/>
            </c:ext>
          </c:extLst>
        </c:ser>
        <c:dLbls>
          <c:showLegendKey val="0"/>
          <c:showVal val="0"/>
          <c:showCatName val="0"/>
          <c:showSerName val="0"/>
          <c:showPercent val="0"/>
          <c:showBubbleSize val="0"/>
        </c:dLbls>
        <c:gapWidth val="150"/>
        <c:overlap val="100"/>
        <c:axId val="1282169248"/>
        <c:axId val="1282168288"/>
        <c:extLst>
          <c:ext xmlns:c15="http://schemas.microsoft.com/office/drawing/2012/chart" uri="{02D57815-91ED-43cb-92C2-25804820EDAC}">
            <c15:filteredBarSeries>
              <c15:ser>
                <c:idx val="5"/>
                <c:order val="5"/>
                <c:tx>
                  <c:strRef>
                    <c:extLst>
                      <c:ext uri="{02D57815-91ED-43cb-92C2-25804820EDAC}">
                        <c15:formulaRef>
                          <c15:sqref>'Cross-country Q14 (2)'!$A$7</c15:sqref>
                        </c15:formulaRef>
                      </c:ext>
                    </c:extLst>
                    <c:strCache>
                      <c:ptCount val="1"/>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'Cross-country Q14 (2)'!$B$1:$F$1</c15:sqref>
                        </c15:formulaRef>
                      </c:ext>
                    </c:extLst>
                    <c:strCache>
                      <c:ptCount val="5"/>
                      <c:pt idx="0">
                        <c:v>France </c:v>
                      </c:pt>
                      <c:pt idx="1">
                        <c:v>Denmark</c:v>
                      </c:pt>
                      <c:pt idx="2">
                        <c:v>Italy</c:v>
                      </c:pt>
                      <c:pt idx="3">
                        <c:v>Latvia</c:v>
                      </c:pt>
                      <c:pt idx="4">
                        <c:v>Romania</c:v>
                      </c:pt>
                    </c:strCache>
                  </c:strRef>
                </c:cat>
                <c:val>
                  <c:numRef>
                    <c:extLst>
                      <c:ext uri="{02D57815-91ED-43cb-92C2-25804820EDAC}">
                        <c15:formulaRef>
                          <c15:sqref>'Cross-country Q14 (2)'!$B$7:$F$7</c15:sqref>
                        </c15:formulaRef>
                      </c:ext>
                    </c:extLst>
                    <c:numCache>
                      <c:formatCode>General</c:formatCode>
                      <c:ptCount val="5"/>
                    </c:numCache>
                  </c:numRef>
                </c:val>
                <c:extLst>
                  <c:ext xmlns:c16="http://schemas.microsoft.com/office/drawing/2014/chart" uri="{C3380CC4-5D6E-409C-BE32-E72D297353CC}">
                    <c16:uniqueId val="{00000009-988D-490F-B5AD-30751B66F58C}"/>
                  </c:ext>
                </c:extLst>
              </c15:ser>
            </c15:filteredBarSeries>
          </c:ext>
        </c:extLst>
      </c:barChart>
      <c:catAx>
        <c:axId val="12821692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2168288"/>
        <c:crosses val="autoZero"/>
        <c:auto val="1"/>
        <c:lblAlgn val="ctr"/>
        <c:lblOffset val="100"/>
        <c:noMultiLvlLbl val="0"/>
      </c:catAx>
      <c:valAx>
        <c:axId val="128216828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2169248"/>
        <c:crosses val="autoZero"/>
        <c:crossBetween val="between"/>
      </c:valAx>
      <c:spPr>
        <a:noFill/>
        <a:ln>
          <a:noFill/>
        </a:ln>
        <a:effectLst/>
      </c:spPr>
    </c:plotArea>
    <c:legend>
      <c:legendPos val="b"/>
      <c:legendEntry>
        <c:idx val="3"/>
        <c:txPr>
          <a:bodyPr rot="0" spcFirstLastPara="1" vertOverflow="ellipsis" vert="horz" wrap="square" anchor="ctr" anchorCtr="1"/>
          <a:lstStyle/>
          <a:p>
            <a:pPr>
              <a:defRPr sz="900" b="0" i="0" u="none" strike="noStrike" kern="1200" baseline="0">
                <a:solidFill>
                  <a:srgbClr val="6F6B6C"/>
                </a:solidFill>
                <a:latin typeface="+mn-lt"/>
                <a:ea typeface="+mn-ea"/>
                <a:cs typeface="+mn-cs"/>
              </a:defRPr>
            </a:pPr>
            <a:endParaRPr lang="en-US"/>
          </a:p>
        </c:txPr>
      </c:legendEntry>
      <c:legendEntry>
        <c:idx val="4"/>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To your knowledge, have external reporting channels been established in your country</a:t>
            </a:r>
            <a:r>
              <a:rPr lang="en-US" sz="1200" baseline="0">
                <a:latin typeface="Times New Roman" panose="02020603050405020304" pitchFamily="18" charset="0"/>
                <a:cs typeface="Times New Roman" panose="02020603050405020304" pitchFamily="18" charset="0"/>
              </a:rPr>
              <a:t> since the transposition of the Directive?</a:t>
            </a:r>
            <a:endParaRPr lang="en-US" sz="1200">
              <a:latin typeface="Times New Roman" panose="02020603050405020304" pitchFamily="18" charset="0"/>
              <a:cs typeface="Times New Roman" panose="02020603050405020304" pitchFamily="18" charset="0"/>
            </a:endParaRPr>
          </a:p>
        </c:rich>
      </c:tx>
      <c:layout>
        <c:manualLayout>
          <c:xMode val="edge"/>
          <c:yMode val="edge"/>
          <c:x val="0.12188486307344061"/>
          <c:y val="1.845629781198409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2911832895888016"/>
          <c:y val="0.24578703703703703"/>
          <c:w val="0.40287467191601051"/>
          <c:h val="0.6714577865266842"/>
        </c:manualLayout>
      </c:layout>
      <c:pieChart>
        <c:varyColors val="1"/>
        <c:ser>
          <c:idx val="0"/>
          <c:order val="0"/>
          <c:tx>
            <c:strRef>
              <c:f>General!$C$87</c:f>
              <c:strCache>
                <c:ptCount val="1"/>
                <c:pt idx="0">
                  <c:v>Answers</c:v>
                </c:pt>
              </c:strCache>
            </c:strRef>
          </c:tx>
          <c:dPt>
            <c:idx val="0"/>
            <c:bubble3D val="0"/>
            <c:spPr>
              <a:solidFill>
                <a:srgbClr val="005B5F"/>
              </a:solidFill>
              <a:ln w="19050">
                <a:solidFill>
                  <a:schemeClr val="lt1"/>
                </a:solidFill>
              </a:ln>
              <a:effectLst/>
            </c:spPr>
            <c:extLst>
              <c:ext xmlns:c16="http://schemas.microsoft.com/office/drawing/2014/chart" uri="{C3380CC4-5D6E-409C-BE32-E72D297353CC}">
                <c16:uniqueId val="{00000001-CE12-4E8A-9E26-34D89EB9E9EC}"/>
              </c:ext>
            </c:extLst>
          </c:dPt>
          <c:dPt>
            <c:idx val="1"/>
            <c:bubble3D val="0"/>
            <c:spPr>
              <a:solidFill>
                <a:srgbClr val="D83F29"/>
              </a:solidFill>
              <a:ln w="19050">
                <a:solidFill>
                  <a:schemeClr val="lt1"/>
                </a:solidFill>
              </a:ln>
              <a:effectLst/>
            </c:spPr>
            <c:extLst>
              <c:ext xmlns:c16="http://schemas.microsoft.com/office/drawing/2014/chart" uri="{C3380CC4-5D6E-409C-BE32-E72D297353CC}">
                <c16:uniqueId val="{00000003-CE12-4E8A-9E26-34D89EB9E9EC}"/>
              </c:ext>
            </c:extLst>
          </c:dPt>
          <c:dPt>
            <c:idx val="2"/>
            <c:bubble3D val="0"/>
            <c:spPr>
              <a:solidFill>
                <a:srgbClr val="6F6B6C"/>
              </a:solidFill>
              <a:ln w="19050">
                <a:solidFill>
                  <a:srgbClr val="6F6B6C"/>
                </a:solidFill>
              </a:ln>
              <a:effectLst/>
            </c:spPr>
            <c:extLst>
              <c:ext xmlns:c16="http://schemas.microsoft.com/office/drawing/2014/chart" uri="{C3380CC4-5D6E-409C-BE32-E72D297353CC}">
                <c16:uniqueId val="{00000005-CE12-4E8A-9E26-34D89EB9E9E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E12-4E8A-9E26-34D89EB9E9EC}"/>
              </c:ext>
            </c:extLst>
          </c:dPt>
          <c:dLbls>
            <c:dLbl>
              <c:idx val="0"/>
              <c:layout>
                <c:manualLayout>
                  <c:x val="-3.9036790659788323E-2"/>
                  <c:y val="-0.1117632494786690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E12-4E8A-9E26-34D89EB9E9EC}"/>
                </c:ext>
              </c:extLst>
            </c:dLbl>
            <c:dLbl>
              <c:idx val="1"/>
              <c:layout>
                <c:manualLayout>
                  <c:x val="4.757941895194135E-2"/>
                  <c:y val="6.631678790372638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E12-4E8A-9E26-34D89EB9E9EC}"/>
                </c:ext>
              </c:extLst>
            </c:dLbl>
            <c:dLbl>
              <c:idx val="2"/>
              <c:layout>
                <c:manualLayout>
                  <c:x val="2.7275997827857723E-2"/>
                  <c:y val="7.227146872362832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E12-4E8A-9E26-34D89EB9E9EC}"/>
                </c:ext>
              </c:extLst>
            </c:dLbl>
            <c:dLbl>
              <c:idx val="3"/>
              <c:delete val="1"/>
              <c:extLst>
                <c:ext xmlns:c15="http://schemas.microsoft.com/office/drawing/2012/chart" uri="{CE6537A1-D6FC-4f65-9D91-7224C49458BB}"/>
                <c:ext xmlns:c16="http://schemas.microsoft.com/office/drawing/2014/chart" uri="{C3380CC4-5D6E-409C-BE32-E72D297353CC}">
                  <c16:uniqueId val="{00000007-CE12-4E8A-9E26-34D89EB9E9E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General!$A$88:$B$91</c:f>
              <c:strCache>
                <c:ptCount val="4"/>
                <c:pt idx="0">
                  <c:v>Yes</c:v>
                </c:pt>
                <c:pt idx="1">
                  <c:v>No</c:v>
                </c:pt>
                <c:pt idx="2">
                  <c:v>I don't know</c:v>
                </c:pt>
                <c:pt idx="3">
                  <c:v>No Answer</c:v>
                </c:pt>
              </c:strCache>
            </c:strRef>
          </c:cat>
          <c:val>
            <c:numRef>
              <c:f>General!$C$88:$C$91</c:f>
              <c:numCache>
                <c:formatCode>General</c:formatCode>
                <c:ptCount val="4"/>
                <c:pt idx="0">
                  <c:v>37</c:v>
                </c:pt>
                <c:pt idx="1">
                  <c:v>1</c:v>
                </c:pt>
                <c:pt idx="2">
                  <c:v>2</c:v>
                </c:pt>
                <c:pt idx="3">
                  <c:v>0</c:v>
                </c:pt>
              </c:numCache>
            </c:numRef>
          </c:val>
          <c:extLst>
            <c:ext xmlns:c16="http://schemas.microsoft.com/office/drawing/2014/chart" uri="{C3380CC4-5D6E-409C-BE32-E72D297353CC}">
              <c16:uniqueId val="{00000008-CE12-4E8A-9E26-34D89EB9E9EC}"/>
            </c:ext>
          </c:extLst>
        </c:ser>
        <c:ser>
          <c:idx val="1"/>
          <c:order val="1"/>
          <c:tx>
            <c:strRef>
              <c:f>General!$D$87</c:f>
              <c:strCache>
                <c:ptCount val="1"/>
                <c:pt idx="0">
                  <c:v>Ratio</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A-CE12-4E8A-9E26-34D89EB9E9E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C-CE12-4E8A-9E26-34D89EB9E9E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E-CE12-4E8A-9E26-34D89EB9E9E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0-CE12-4E8A-9E26-34D89EB9E9EC}"/>
              </c:ext>
            </c:extLst>
          </c:dPt>
          <c:cat>
            <c:strRef>
              <c:f>General!$A$88:$B$91</c:f>
              <c:strCache>
                <c:ptCount val="4"/>
                <c:pt idx="0">
                  <c:v>Yes</c:v>
                </c:pt>
                <c:pt idx="1">
                  <c:v>No</c:v>
                </c:pt>
                <c:pt idx="2">
                  <c:v>I don't know</c:v>
                </c:pt>
                <c:pt idx="3">
                  <c:v>No Answer</c:v>
                </c:pt>
              </c:strCache>
            </c:strRef>
          </c:cat>
          <c:val>
            <c:numRef>
              <c:f>General!$D$88:$D$91</c:f>
              <c:numCache>
                <c:formatCode>0%</c:formatCode>
                <c:ptCount val="4"/>
                <c:pt idx="0">
                  <c:v>0.92500000000000004</c:v>
                </c:pt>
                <c:pt idx="1">
                  <c:v>2.5000000000000001E-2</c:v>
                </c:pt>
                <c:pt idx="2">
                  <c:v>0.05</c:v>
                </c:pt>
                <c:pt idx="3">
                  <c:v>0</c:v>
                </c:pt>
              </c:numCache>
            </c:numRef>
          </c:val>
          <c:extLst>
            <c:ext xmlns:c16="http://schemas.microsoft.com/office/drawing/2014/chart" uri="{C3380CC4-5D6E-409C-BE32-E72D297353CC}">
              <c16:uniqueId val="{00000011-CE12-4E8A-9E26-34D89EB9E9EC}"/>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0" i="0" u="none" strike="noStrike" baseline="0">
                <a:effectLst/>
                <a:latin typeface="Times New Roman" panose="02020603050405020304" pitchFamily="18" charset="0"/>
                <a:cs typeface="Times New Roman" panose="02020603050405020304" pitchFamily="18" charset="0"/>
              </a:rPr>
              <a:t>Are they functional (including e.g. accessibility, training for people that should use them and administrative burden) and perceived as trustworthy and accessible by potential whistleblowers?</a:t>
            </a:r>
            <a:endParaRPr lang="en-GB" sz="1200" b="0">
              <a:latin typeface="Times New Roman" panose="02020603050405020304" pitchFamily="18" charset="0"/>
              <a:cs typeface="Times New Roman" panose="02020603050405020304" pitchFamily="18" charset="0"/>
            </a:endParaRPr>
          </a:p>
        </c:rich>
      </c:tx>
      <c:layout>
        <c:manualLayout>
          <c:xMode val="edge"/>
          <c:yMode val="edge"/>
          <c:x val="0.11618713255089896"/>
          <c:y val="3.179018478044903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Sheet1!$A$2:$B$2</c:f>
              <c:strCache>
                <c:ptCount val="2"/>
                <c:pt idx="1">
                  <c:v>To a large extent</c:v>
                </c:pt>
              </c:strCache>
            </c:strRef>
          </c:tx>
          <c:spPr>
            <a:solidFill>
              <a:srgbClr val="005B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Sheet1!$C$1:$D$1</c:f>
              <c:strCache>
                <c:ptCount val="2"/>
                <c:pt idx="0">
                  <c:v>Functional</c:v>
                </c:pt>
                <c:pt idx="1">
                  <c:v>Trustworthy</c:v>
                </c:pt>
              </c:strCache>
            </c:strRef>
          </c:cat>
          <c:val>
            <c:numRef>
              <c:f>Sheet1!$C$2:$D$2</c:f>
              <c:numCache>
                <c:formatCode>0%</c:formatCode>
                <c:ptCount val="2"/>
                <c:pt idx="0">
                  <c:v>0.32500000000000001</c:v>
                </c:pt>
                <c:pt idx="1">
                  <c:v>0.32500000000000001</c:v>
                </c:pt>
              </c:numCache>
            </c:numRef>
          </c:val>
          <c:extLst>
            <c:ext xmlns:c16="http://schemas.microsoft.com/office/drawing/2014/chart" uri="{C3380CC4-5D6E-409C-BE32-E72D297353CC}">
              <c16:uniqueId val="{00000000-8438-4337-AC83-F5AB3D09DB15}"/>
            </c:ext>
          </c:extLst>
        </c:ser>
        <c:ser>
          <c:idx val="1"/>
          <c:order val="1"/>
          <c:tx>
            <c:strRef>
              <c:f>Sheet1!$A$3:$B$3</c:f>
              <c:strCache>
                <c:ptCount val="2"/>
                <c:pt idx="1">
                  <c:v>To a moderate extent</c:v>
                </c:pt>
              </c:strCache>
            </c:strRef>
          </c:tx>
          <c:spPr>
            <a:solidFill>
              <a:srgbClr val="57C3A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Sheet1!$C$1:$D$1</c:f>
              <c:strCache>
                <c:ptCount val="2"/>
                <c:pt idx="0">
                  <c:v>Functional</c:v>
                </c:pt>
                <c:pt idx="1">
                  <c:v>Trustworthy</c:v>
                </c:pt>
              </c:strCache>
            </c:strRef>
          </c:cat>
          <c:val>
            <c:numRef>
              <c:f>Sheet1!$C$3:$D$3</c:f>
              <c:numCache>
                <c:formatCode>0%</c:formatCode>
                <c:ptCount val="2"/>
                <c:pt idx="0">
                  <c:v>0.32500000000000001</c:v>
                </c:pt>
                <c:pt idx="1">
                  <c:v>0.27500000000000002</c:v>
                </c:pt>
              </c:numCache>
            </c:numRef>
          </c:val>
          <c:extLst>
            <c:ext xmlns:c16="http://schemas.microsoft.com/office/drawing/2014/chart" uri="{C3380CC4-5D6E-409C-BE32-E72D297353CC}">
              <c16:uniqueId val="{00000001-8438-4337-AC83-F5AB3D09DB15}"/>
            </c:ext>
          </c:extLst>
        </c:ser>
        <c:ser>
          <c:idx val="2"/>
          <c:order val="2"/>
          <c:tx>
            <c:strRef>
              <c:f>Sheet1!$A$4:$B$4</c:f>
              <c:strCache>
                <c:ptCount val="2"/>
                <c:pt idx="1">
                  <c:v>To a limited extent</c:v>
                </c:pt>
              </c:strCache>
            </c:strRef>
          </c:tx>
          <c:spPr>
            <a:solidFill>
              <a:srgbClr val="E69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Sheet1!$C$1:$D$1</c:f>
              <c:strCache>
                <c:ptCount val="2"/>
                <c:pt idx="0">
                  <c:v>Functional</c:v>
                </c:pt>
                <c:pt idx="1">
                  <c:v>Trustworthy</c:v>
                </c:pt>
              </c:strCache>
            </c:strRef>
          </c:cat>
          <c:val>
            <c:numRef>
              <c:f>Sheet1!$C$4:$D$4</c:f>
              <c:numCache>
                <c:formatCode>0%</c:formatCode>
                <c:ptCount val="2"/>
                <c:pt idx="0">
                  <c:v>0.15</c:v>
                </c:pt>
                <c:pt idx="1">
                  <c:v>0.2</c:v>
                </c:pt>
              </c:numCache>
            </c:numRef>
          </c:val>
          <c:extLst>
            <c:ext xmlns:c16="http://schemas.microsoft.com/office/drawing/2014/chart" uri="{C3380CC4-5D6E-409C-BE32-E72D297353CC}">
              <c16:uniqueId val="{00000002-8438-4337-AC83-F5AB3D09DB15}"/>
            </c:ext>
          </c:extLst>
        </c:ser>
        <c:ser>
          <c:idx val="3"/>
          <c:order val="3"/>
          <c:tx>
            <c:strRef>
              <c:f>Sheet1!$A$5:$B$5</c:f>
              <c:strCache>
                <c:ptCount val="2"/>
                <c:pt idx="1">
                  <c:v>Not at all</c:v>
                </c:pt>
              </c:strCache>
            </c:strRef>
          </c:tx>
          <c:spPr>
            <a:solidFill>
              <a:schemeClr val="accent4"/>
            </a:solidFill>
            <a:ln>
              <a:noFill/>
            </a:ln>
            <a:effectLst/>
          </c:spPr>
          <c:invertIfNegative val="0"/>
          <c:cat>
            <c:strRef>
              <c:f>Sheet1!$C$1:$D$1</c:f>
              <c:strCache>
                <c:ptCount val="2"/>
                <c:pt idx="0">
                  <c:v>Functional</c:v>
                </c:pt>
                <c:pt idx="1">
                  <c:v>Trustworthy</c:v>
                </c:pt>
              </c:strCache>
            </c:strRef>
          </c:cat>
          <c:val>
            <c:numRef>
              <c:f>Sheet1!$C$5:$D$5</c:f>
              <c:numCache>
                <c:formatCode>0%</c:formatCode>
                <c:ptCount val="2"/>
                <c:pt idx="0">
                  <c:v>0</c:v>
                </c:pt>
                <c:pt idx="1">
                  <c:v>0</c:v>
                </c:pt>
              </c:numCache>
            </c:numRef>
          </c:val>
          <c:extLst>
            <c:ext xmlns:c16="http://schemas.microsoft.com/office/drawing/2014/chart" uri="{C3380CC4-5D6E-409C-BE32-E72D297353CC}">
              <c16:uniqueId val="{00000003-8438-4337-AC83-F5AB3D09DB15}"/>
            </c:ext>
          </c:extLst>
        </c:ser>
        <c:ser>
          <c:idx val="4"/>
          <c:order val="4"/>
          <c:tx>
            <c:strRef>
              <c:f>Sheet1!$A$6:$B$6</c:f>
              <c:strCache>
                <c:ptCount val="2"/>
                <c:pt idx="1">
                  <c:v>I don't know</c:v>
                </c:pt>
              </c:strCache>
            </c:strRef>
          </c:tx>
          <c:spPr>
            <a:solidFill>
              <a:srgbClr val="6F6B6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Sheet1!$C$1:$D$1</c:f>
              <c:strCache>
                <c:ptCount val="2"/>
                <c:pt idx="0">
                  <c:v>Functional</c:v>
                </c:pt>
                <c:pt idx="1">
                  <c:v>Trustworthy</c:v>
                </c:pt>
              </c:strCache>
            </c:strRef>
          </c:cat>
          <c:val>
            <c:numRef>
              <c:f>Sheet1!$C$6:$D$6</c:f>
              <c:numCache>
                <c:formatCode>0%</c:formatCode>
                <c:ptCount val="2"/>
                <c:pt idx="0">
                  <c:v>0.125</c:v>
                </c:pt>
                <c:pt idx="1">
                  <c:v>0.125</c:v>
                </c:pt>
              </c:numCache>
            </c:numRef>
          </c:val>
          <c:extLst>
            <c:ext xmlns:c16="http://schemas.microsoft.com/office/drawing/2014/chart" uri="{C3380CC4-5D6E-409C-BE32-E72D297353CC}">
              <c16:uniqueId val="{00000004-8438-4337-AC83-F5AB3D09DB15}"/>
            </c:ext>
          </c:extLst>
        </c:ser>
        <c:ser>
          <c:idx val="5"/>
          <c:order val="5"/>
          <c:tx>
            <c:strRef>
              <c:f>Sheet1!$A$7:$B$7</c:f>
              <c:strCache>
                <c:ptCount val="2"/>
                <c:pt idx="1">
                  <c:v>No Answer</c:v>
                </c:pt>
              </c:strCache>
            </c:strRef>
          </c:tx>
          <c:spPr>
            <a:solidFill>
              <a:srgbClr val="E8E8E8">
                <a:lumMod val="75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Sheet1!$C$1:$D$1</c:f>
              <c:strCache>
                <c:ptCount val="2"/>
                <c:pt idx="0">
                  <c:v>Functional</c:v>
                </c:pt>
                <c:pt idx="1">
                  <c:v>Trustworthy</c:v>
                </c:pt>
              </c:strCache>
            </c:strRef>
          </c:cat>
          <c:val>
            <c:numRef>
              <c:f>Sheet1!$C$7:$D$7</c:f>
              <c:numCache>
                <c:formatCode>0%</c:formatCode>
                <c:ptCount val="2"/>
                <c:pt idx="0">
                  <c:v>7.4999999999999997E-2</c:v>
                </c:pt>
                <c:pt idx="1">
                  <c:v>7.4999999999999997E-2</c:v>
                </c:pt>
              </c:numCache>
            </c:numRef>
          </c:val>
          <c:extLst>
            <c:ext xmlns:c16="http://schemas.microsoft.com/office/drawing/2014/chart" uri="{C3380CC4-5D6E-409C-BE32-E72D297353CC}">
              <c16:uniqueId val="{00000005-8438-4337-AC83-F5AB3D09DB15}"/>
            </c:ext>
          </c:extLst>
        </c:ser>
        <c:dLbls>
          <c:showLegendKey val="0"/>
          <c:showVal val="0"/>
          <c:showCatName val="0"/>
          <c:showSerName val="0"/>
          <c:showPercent val="0"/>
          <c:showBubbleSize val="0"/>
        </c:dLbls>
        <c:gapWidth val="150"/>
        <c:overlap val="100"/>
        <c:axId val="46377872"/>
        <c:axId val="981136992"/>
      </c:barChart>
      <c:catAx>
        <c:axId val="463778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1136992"/>
        <c:crosses val="autoZero"/>
        <c:auto val="1"/>
        <c:lblAlgn val="ctr"/>
        <c:lblOffset val="100"/>
        <c:noMultiLvlLbl val="0"/>
      </c:catAx>
      <c:valAx>
        <c:axId val="981136992"/>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377872"/>
        <c:crosses val="autoZero"/>
        <c:crossBetween val="between"/>
      </c:valAx>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BE" sz="1200"/>
              <a:t>To your knowledge, since the national transposition</a:t>
            </a:r>
            <a:r>
              <a:rPr lang="fr-BE" sz="1200" baseline="0"/>
              <a:t>:</a:t>
            </a:r>
            <a:endParaRPr lang="fr-BE" sz="1200"/>
          </a:p>
        </c:rich>
      </c:tx>
      <c:layout>
        <c:manualLayout>
          <c:xMode val="edge"/>
          <c:yMode val="edge"/>
          <c:x val="0.24372021300409014"/>
          <c:y val="5.207322569527293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bar"/>
        <c:grouping val="stacked"/>
        <c:varyColors val="0"/>
        <c:ser>
          <c:idx val="0"/>
          <c:order val="0"/>
          <c:tx>
            <c:strRef>
              <c:f>'Q5'!$C$3</c:f>
              <c:strCache>
                <c:ptCount val="1"/>
                <c:pt idx="0">
                  <c:v>Yes</c:v>
                </c:pt>
              </c:strCache>
            </c:strRef>
          </c:tx>
          <c:spPr>
            <a:solidFill>
              <a:srgbClr val="005B5F"/>
            </a:solidFill>
            <a:ln>
              <a:noFill/>
            </a:ln>
            <a:effectLst/>
          </c:spPr>
          <c:invertIfNegative val="0"/>
          <c:dLbls>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82A-4DE4-A060-B8084967947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'Q5'!$D$2:$E$2</c:f>
              <c:strCache>
                <c:ptCount val="2"/>
                <c:pt idx="0">
                  <c:v>has the awareness of reporting possibilities increased in your country?</c:v>
                </c:pt>
                <c:pt idx="1">
                  <c:v>has the reporting in your country increased overall?</c:v>
                </c:pt>
              </c:strCache>
              <c:extLst/>
            </c:strRef>
          </c:cat>
          <c:val>
            <c:numRef>
              <c:f>'Q5'!$D$3:$E$3</c:f>
              <c:numCache>
                <c:formatCode>0%</c:formatCode>
                <c:ptCount val="2"/>
                <c:pt idx="0">
                  <c:v>0.625</c:v>
                </c:pt>
                <c:pt idx="1">
                  <c:v>0.47499999999999998</c:v>
                </c:pt>
              </c:numCache>
              <c:extLst/>
            </c:numRef>
          </c:val>
          <c:extLst>
            <c:ext xmlns:c16="http://schemas.microsoft.com/office/drawing/2014/chart" uri="{C3380CC4-5D6E-409C-BE32-E72D297353CC}">
              <c16:uniqueId val="{00000001-A82A-4DE4-A060-B80849679477}"/>
            </c:ext>
          </c:extLst>
        </c:ser>
        <c:ser>
          <c:idx val="1"/>
          <c:order val="1"/>
          <c:tx>
            <c:strRef>
              <c:f>'Q5'!$C$4</c:f>
              <c:strCache>
                <c:ptCount val="1"/>
                <c:pt idx="0">
                  <c:v>No</c:v>
                </c:pt>
              </c:strCache>
            </c:strRef>
          </c:tx>
          <c:spPr>
            <a:solidFill>
              <a:srgbClr val="DB4325"/>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82A-4DE4-A060-B80849679477}"/>
                </c:ext>
              </c:extLst>
            </c:dLbl>
            <c:dLbl>
              <c:idx val="1"/>
              <c:layout>
                <c:manualLayout>
                  <c:x val="4.3649061545176782E-3"/>
                  <c:y val="-8.008980855767004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82A-4DE4-A060-B8084967947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'Q5'!$D$2:$E$2</c:f>
              <c:strCache>
                <c:ptCount val="2"/>
                <c:pt idx="0">
                  <c:v>has the awareness of reporting possibilities increased in your country?</c:v>
                </c:pt>
                <c:pt idx="1">
                  <c:v>has the reporting in your country increased overall?</c:v>
                </c:pt>
              </c:strCache>
              <c:extLst/>
            </c:strRef>
          </c:cat>
          <c:val>
            <c:numRef>
              <c:f>'Q5'!$D$4:$E$4</c:f>
              <c:numCache>
                <c:formatCode>0%</c:formatCode>
                <c:ptCount val="2"/>
                <c:pt idx="0">
                  <c:v>0.1</c:v>
                </c:pt>
                <c:pt idx="1">
                  <c:v>2.5000000000000001E-2</c:v>
                </c:pt>
              </c:numCache>
              <c:extLst/>
            </c:numRef>
          </c:val>
          <c:extLst>
            <c:ext xmlns:c16="http://schemas.microsoft.com/office/drawing/2014/chart" uri="{C3380CC4-5D6E-409C-BE32-E72D297353CC}">
              <c16:uniqueId val="{00000004-A82A-4DE4-A060-B80849679477}"/>
            </c:ext>
          </c:extLst>
        </c:ser>
        <c:ser>
          <c:idx val="2"/>
          <c:order val="2"/>
          <c:tx>
            <c:strRef>
              <c:f>'Q5'!$C$5</c:f>
              <c:strCache>
                <c:ptCount val="1"/>
                <c:pt idx="0">
                  <c:v>I don’t know</c:v>
                </c:pt>
              </c:strCache>
            </c:strRef>
          </c:tx>
          <c:spPr>
            <a:solidFill>
              <a:srgbClr val="6F6B6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'Q5'!$D$2:$E$2</c:f>
              <c:strCache>
                <c:ptCount val="2"/>
                <c:pt idx="0">
                  <c:v>has the awareness of reporting possibilities increased in your country?</c:v>
                </c:pt>
                <c:pt idx="1">
                  <c:v>has the reporting in your country increased overall?</c:v>
                </c:pt>
              </c:strCache>
              <c:extLst/>
            </c:strRef>
          </c:cat>
          <c:val>
            <c:numRef>
              <c:f>'Q5'!$D$5:$E$5</c:f>
              <c:numCache>
                <c:formatCode>0%</c:formatCode>
                <c:ptCount val="2"/>
                <c:pt idx="0">
                  <c:v>0.27500000000000002</c:v>
                </c:pt>
                <c:pt idx="1">
                  <c:v>0.5</c:v>
                </c:pt>
              </c:numCache>
              <c:extLst/>
            </c:numRef>
          </c:val>
          <c:extLst>
            <c:ext xmlns:c16="http://schemas.microsoft.com/office/drawing/2014/chart" uri="{C3380CC4-5D6E-409C-BE32-E72D297353CC}">
              <c16:uniqueId val="{00000005-A82A-4DE4-A060-B80849679477}"/>
            </c:ext>
          </c:extLst>
        </c:ser>
        <c:dLbls>
          <c:dLblPos val="ctr"/>
          <c:showLegendKey val="0"/>
          <c:showVal val="1"/>
          <c:showCatName val="0"/>
          <c:showSerName val="0"/>
          <c:showPercent val="0"/>
          <c:showBubbleSize val="0"/>
        </c:dLbls>
        <c:gapWidth val="150"/>
        <c:overlap val="100"/>
        <c:axId val="963053376"/>
        <c:axId val="963045504"/>
        <c:extLst>
          <c:ext xmlns:c15="http://schemas.microsoft.com/office/drawing/2012/chart" uri="{02D57815-91ED-43cb-92C2-25804820EDAC}">
            <c15:filteredBarSeries>
              <c15:ser>
                <c:idx val="3"/>
                <c:order val="3"/>
                <c:tx>
                  <c:strRef>
                    <c:extLst>
                      <c:ext uri="{02D57815-91ED-43cb-92C2-25804820EDAC}">
                        <c15:formulaRef>
                          <c15:sqref>'Q5'!$C$6</c15:sqref>
                        </c15:formulaRef>
                      </c:ext>
                    </c:extLst>
                    <c:strCache>
                      <c:ptCount val="1"/>
                    </c:strCache>
                  </c:strRef>
                </c:tx>
                <c:spPr>
                  <a:solidFill>
                    <a:schemeClr val="bg2">
                      <a:lumMod val="50000"/>
                    </a:schemeClr>
                  </a:solidFill>
                  <a:ln>
                    <a:noFill/>
                  </a:ln>
                  <a:effectLst/>
                </c:spPr>
                <c:invertIfNegative val="0"/>
                <c:dLbls>
                  <c:dLbl>
                    <c:idx val="0"/>
                    <c:showLegendKey val="0"/>
                    <c:showVal val="1"/>
                    <c:showCatName val="0"/>
                    <c:showSerName val="0"/>
                    <c:showPercent val="0"/>
                    <c:showBubbleSize val="0"/>
                    <c:extLst>
                      <c:ext uri="{CE6537A1-D6FC-4f65-9D91-7224C49458BB}"/>
                      <c:ext xmlns:c16="http://schemas.microsoft.com/office/drawing/2014/chart" uri="{C3380CC4-5D6E-409C-BE32-E72D297353CC}">
                        <c16:uniqueId val="{00000006-A82A-4DE4-A060-B80849679477}"/>
                      </c:ext>
                    </c:extLst>
                  </c:dLbl>
                  <c:dLbl>
                    <c:idx val="1"/>
                    <c:showLegendKey val="0"/>
                    <c:showVal val="1"/>
                    <c:showCatName val="0"/>
                    <c:showSerName val="0"/>
                    <c:showPercent val="0"/>
                    <c:showBubbleSize val="0"/>
                    <c:extLst>
                      <c:ext uri="{CE6537A1-D6FC-4f65-9D91-7224C49458BB}"/>
                      <c:ext xmlns:c16="http://schemas.microsoft.com/office/drawing/2014/chart" uri="{C3380CC4-5D6E-409C-BE32-E72D297353CC}">
                        <c16:uniqueId val="{00000007-A82A-4DE4-A060-B8084967947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'Q5'!$D$2:$E$2</c15:sqref>
                        </c15:formulaRef>
                      </c:ext>
                    </c:extLst>
                    <c:strCache>
                      <c:ptCount val="2"/>
                      <c:pt idx="0">
                        <c:v>has the awareness of reporting possibilities increased in your country?</c:v>
                      </c:pt>
                      <c:pt idx="1">
                        <c:v>has the reporting in your country increased overall?</c:v>
                      </c:pt>
                    </c:strCache>
                  </c:strRef>
                </c:cat>
                <c:val>
                  <c:numRef>
                    <c:extLst>
                      <c:ext uri="{02D57815-91ED-43cb-92C2-25804820EDAC}">
                        <c15:formulaRef>
                          <c15:sqref>'Q5'!$D$6:$E$6</c15:sqref>
                        </c15:formulaRef>
                      </c:ext>
                    </c:extLst>
                    <c:numCache>
                      <c:formatCode>General</c:formatCode>
                      <c:ptCount val="2"/>
                    </c:numCache>
                  </c:numRef>
                </c:val>
                <c:extLst>
                  <c:ext xmlns:c16="http://schemas.microsoft.com/office/drawing/2014/chart" uri="{C3380CC4-5D6E-409C-BE32-E72D297353CC}">
                    <c16:uniqueId val="{00000008-A82A-4DE4-A060-B80849679477}"/>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'Q5'!$C$7</c15:sqref>
                        </c15:formulaRef>
                      </c:ext>
                    </c:extLst>
                    <c:strCache>
                      <c:ptCount val="1"/>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'Q5'!$D$2:$E$2</c15:sqref>
                        </c15:formulaRef>
                      </c:ext>
                    </c:extLst>
                    <c:strCache>
                      <c:ptCount val="2"/>
                      <c:pt idx="0">
                        <c:v>has the awareness of reporting possibilities increased in your country?</c:v>
                      </c:pt>
                      <c:pt idx="1">
                        <c:v>has the reporting in your country increased overall?</c:v>
                      </c:pt>
                    </c:strCache>
                  </c:strRef>
                </c:cat>
                <c:val>
                  <c:numRef>
                    <c:extLst xmlns:c15="http://schemas.microsoft.com/office/drawing/2012/chart">
                      <c:ext xmlns:c15="http://schemas.microsoft.com/office/drawing/2012/chart" uri="{02D57815-91ED-43cb-92C2-25804820EDAC}">
                        <c15:formulaRef>
                          <c15:sqref>'Q5'!$D$7:$E$7</c15:sqref>
                        </c15:formulaRef>
                      </c:ext>
                    </c:extLst>
                    <c:numCache>
                      <c:formatCode>General</c:formatCode>
                      <c:ptCount val="2"/>
                    </c:numCache>
                  </c:numRef>
                </c:val>
                <c:extLst xmlns:c15="http://schemas.microsoft.com/office/drawing/2012/chart">
                  <c:ext xmlns:c16="http://schemas.microsoft.com/office/drawing/2014/chart" uri="{C3380CC4-5D6E-409C-BE32-E72D297353CC}">
                    <c16:uniqueId val="{00000009-A82A-4DE4-A060-B80849679477}"/>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'Q5'!$C$8</c15:sqref>
                        </c15:formulaRef>
                      </c:ext>
                    </c:extLst>
                    <c:strCache>
                      <c:ptCount val="1"/>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'Q5'!$D$2:$E$2</c15:sqref>
                        </c15:formulaRef>
                      </c:ext>
                    </c:extLst>
                    <c:strCache>
                      <c:ptCount val="2"/>
                      <c:pt idx="0">
                        <c:v>has the awareness of reporting possibilities increased in your country?</c:v>
                      </c:pt>
                      <c:pt idx="1">
                        <c:v>has the reporting in your country increased overall?</c:v>
                      </c:pt>
                    </c:strCache>
                  </c:strRef>
                </c:cat>
                <c:val>
                  <c:numRef>
                    <c:extLst xmlns:c15="http://schemas.microsoft.com/office/drawing/2012/chart">
                      <c:ext xmlns:c15="http://schemas.microsoft.com/office/drawing/2012/chart" uri="{02D57815-91ED-43cb-92C2-25804820EDAC}">
                        <c15:formulaRef>
                          <c15:sqref>'Q5'!$D$8:$E$8</c15:sqref>
                        </c15:formulaRef>
                      </c:ext>
                    </c:extLst>
                    <c:numCache>
                      <c:formatCode>General</c:formatCode>
                      <c:ptCount val="2"/>
                    </c:numCache>
                  </c:numRef>
                </c:val>
                <c:extLst xmlns:c15="http://schemas.microsoft.com/office/drawing/2012/chart">
                  <c:ext xmlns:c16="http://schemas.microsoft.com/office/drawing/2014/chart" uri="{C3380CC4-5D6E-409C-BE32-E72D297353CC}">
                    <c16:uniqueId val="{0000000A-A82A-4DE4-A060-B80849679477}"/>
                  </c:ext>
                </c:extLst>
              </c15:ser>
            </c15:filteredBarSeries>
          </c:ext>
        </c:extLst>
      </c:barChart>
      <c:catAx>
        <c:axId val="9630533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63045504"/>
        <c:crosses val="autoZero"/>
        <c:auto val="1"/>
        <c:lblAlgn val="ctr"/>
        <c:lblOffset val="100"/>
        <c:noMultiLvlLbl val="0"/>
      </c:catAx>
      <c:valAx>
        <c:axId val="96304550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63053376"/>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a:latin typeface="Times New Roman" panose="02020603050405020304" pitchFamily="18" charset="0"/>
                <a:cs typeface="Times New Roman" panose="02020603050405020304" pitchFamily="18" charset="0"/>
              </a:rPr>
              <a:t>In</a:t>
            </a:r>
            <a:r>
              <a:rPr lang="en-GB" sz="1200" baseline="0">
                <a:latin typeface="Times New Roman" panose="02020603050405020304" pitchFamily="18" charset="0"/>
                <a:cs typeface="Times New Roman" panose="02020603050405020304" pitchFamily="18" charset="0"/>
              </a:rPr>
              <a:t> which EU Member State is your organisation based?</a:t>
            </a:r>
            <a:endParaRPr lang="en-GB" sz="1200">
              <a:latin typeface="Times New Roman" panose="02020603050405020304" pitchFamily="18" charset="0"/>
              <a:cs typeface="Times New Roman" panose="02020603050405020304" pitchFamily="18" charset="0"/>
            </a:endParaRPr>
          </a:p>
        </c:rich>
      </c:tx>
      <c:layout>
        <c:manualLayout>
          <c:xMode val="edge"/>
          <c:yMode val="edge"/>
          <c:x val="0.14587510936132983"/>
          <c:y val="3.70370370370370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spPr>
            <a:solidFill>
              <a:schemeClr val="accent1"/>
            </a:solidFill>
            <a:ln>
              <a:noFill/>
            </a:ln>
            <a:effectLst/>
          </c:spPr>
          <c:invertIfNegative val="0"/>
          <c:cat>
            <c:strRef>
              <c:f>General!$A$12:$A$16</c:f>
              <c:strCache>
                <c:ptCount val="5"/>
                <c:pt idx="0">
                  <c:v>Denmark</c:v>
                </c:pt>
                <c:pt idx="1">
                  <c:v>France</c:v>
                </c:pt>
                <c:pt idx="2">
                  <c:v>Italy</c:v>
                </c:pt>
                <c:pt idx="3">
                  <c:v>Latvia</c:v>
                </c:pt>
                <c:pt idx="4">
                  <c:v>Romania</c:v>
                </c:pt>
              </c:strCache>
              <c:extLst/>
            </c:strRef>
          </c:cat>
          <c:val>
            <c:numRef>
              <c:f>General!$B$12:$B$16</c:f>
              <c:numCache>
                <c:formatCode>General</c:formatCode>
                <c:ptCount val="5"/>
              </c:numCache>
              <c:extLst/>
            </c:numRef>
          </c:val>
          <c:extLst>
            <c:ext xmlns:c16="http://schemas.microsoft.com/office/drawing/2014/chart" uri="{C3380CC4-5D6E-409C-BE32-E72D297353CC}">
              <c16:uniqueId val="{00000000-8E1D-4256-BE33-783C026051C5}"/>
            </c:ext>
          </c:extLst>
        </c:ser>
        <c:ser>
          <c:idx val="1"/>
          <c:order val="1"/>
          <c:spPr>
            <a:solidFill>
              <a:srgbClr val="EEA144"/>
            </a:solidFill>
            <a:ln>
              <a:noFill/>
            </a:ln>
            <a:effectLst/>
          </c:spPr>
          <c:invertIfNegative val="0"/>
          <c:dLbls>
            <c:dLbl>
              <c:idx val="0"/>
              <c:layout>
                <c:manualLayout>
                  <c:x val="0"/>
                  <c:y val="-0.319444444444444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E1D-4256-BE33-783C026051C5}"/>
                </c:ext>
              </c:extLst>
            </c:dLbl>
            <c:dLbl>
              <c:idx val="1"/>
              <c:layout>
                <c:manualLayout>
                  <c:x val="0"/>
                  <c:y val="-0.2407407407407408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E1D-4256-BE33-783C026051C5}"/>
                </c:ext>
              </c:extLst>
            </c:dLbl>
            <c:dLbl>
              <c:idx val="2"/>
              <c:layout>
                <c:manualLayout>
                  <c:x val="2.777777777777676E-3"/>
                  <c:y val="-0.2222222222222223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E1D-4256-BE33-783C026051C5}"/>
                </c:ext>
              </c:extLst>
            </c:dLbl>
            <c:dLbl>
              <c:idx val="3"/>
              <c:layout>
                <c:manualLayout>
                  <c:x val="0"/>
                  <c:y val="-0.2037037037037037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E1D-4256-BE33-783C026051C5}"/>
                </c:ext>
              </c:extLst>
            </c:dLbl>
            <c:dLbl>
              <c:idx val="4"/>
              <c:layout>
                <c:manualLayout>
                  <c:x val="-1.0185067526415994E-16"/>
                  <c:y val="-0.1296296296296297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E1D-4256-BE33-783C026051C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General!$A$12:$A$16</c:f>
              <c:strCache>
                <c:ptCount val="5"/>
                <c:pt idx="0">
                  <c:v>Denmark</c:v>
                </c:pt>
                <c:pt idx="1">
                  <c:v>France</c:v>
                </c:pt>
                <c:pt idx="2">
                  <c:v>Italy</c:v>
                </c:pt>
                <c:pt idx="3">
                  <c:v>Latvia</c:v>
                </c:pt>
                <c:pt idx="4">
                  <c:v>Romania</c:v>
                </c:pt>
              </c:strCache>
              <c:extLst/>
            </c:strRef>
          </c:cat>
          <c:val>
            <c:numRef>
              <c:f>General!$C$12:$C$16</c:f>
              <c:numCache>
                <c:formatCode>General</c:formatCode>
                <c:ptCount val="5"/>
                <c:pt idx="0">
                  <c:v>12</c:v>
                </c:pt>
                <c:pt idx="1">
                  <c:v>9</c:v>
                </c:pt>
                <c:pt idx="2">
                  <c:v>8</c:v>
                </c:pt>
                <c:pt idx="3">
                  <c:v>7</c:v>
                </c:pt>
                <c:pt idx="4">
                  <c:v>4</c:v>
                </c:pt>
              </c:numCache>
              <c:extLst/>
            </c:numRef>
          </c:val>
          <c:extLst>
            <c:ext xmlns:c16="http://schemas.microsoft.com/office/drawing/2014/chart" uri="{C3380CC4-5D6E-409C-BE32-E72D297353CC}">
              <c16:uniqueId val="{00000006-8E1D-4256-BE33-783C026051C5}"/>
            </c:ext>
          </c:extLst>
        </c:ser>
        <c:dLbls>
          <c:showLegendKey val="0"/>
          <c:showVal val="0"/>
          <c:showCatName val="0"/>
          <c:showSerName val="0"/>
          <c:showPercent val="0"/>
          <c:showBubbleSize val="0"/>
        </c:dLbls>
        <c:gapWidth val="150"/>
        <c:overlap val="100"/>
        <c:axId val="41533824"/>
        <c:axId val="41546304"/>
      </c:barChart>
      <c:catAx>
        <c:axId val="41533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1546304"/>
        <c:crosses val="autoZero"/>
        <c:auto val="1"/>
        <c:lblAlgn val="ctr"/>
        <c:lblOffset val="100"/>
        <c:noMultiLvlLbl val="0"/>
      </c:catAx>
      <c:valAx>
        <c:axId val="41546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53382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To</a:t>
            </a:r>
            <a:r>
              <a:rPr lang="en-US" sz="1200" baseline="0">
                <a:latin typeface="Times New Roman" panose="02020603050405020304" pitchFamily="18" charset="0"/>
                <a:cs typeface="Times New Roman" panose="02020603050405020304" pitchFamily="18" charset="0"/>
              </a:rPr>
              <a:t> your knowledge, do whistleblower reports in your country regularly lead to investigations, disciplinary measures or corrective actions?</a:t>
            </a:r>
            <a:endParaRPr lang="en-US"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General!$C$126</c:f>
              <c:strCache>
                <c:ptCount val="1"/>
                <c:pt idx="0">
                  <c:v>Answers</c:v>
                </c:pt>
              </c:strCache>
            </c:strRef>
          </c:tx>
          <c:dPt>
            <c:idx val="0"/>
            <c:bubble3D val="0"/>
            <c:spPr>
              <a:solidFill>
                <a:srgbClr val="005B5F"/>
              </a:solidFill>
              <a:ln w="19050">
                <a:solidFill>
                  <a:schemeClr val="lt1"/>
                </a:solidFill>
              </a:ln>
              <a:effectLst/>
            </c:spPr>
            <c:extLst>
              <c:ext xmlns:c16="http://schemas.microsoft.com/office/drawing/2014/chart" uri="{C3380CC4-5D6E-409C-BE32-E72D297353CC}">
                <c16:uniqueId val="{00000001-413C-4503-8AAC-D5ADEA6A41C8}"/>
              </c:ext>
            </c:extLst>
          </c:dPt>
          <c:dPt>
            <c:idx val="1"/>
            <c:bubble3D val="0"/>
            <c:spPr>
              <a:solidFill>
                <a:srgbClr val="D83F29"/>
              </a:solidFill>
              <a:ln w="19050">
                <a:solidFill>
                  <a:schemeClr val="lt1"/>
                </a:solidFill>
              </a:ln>
              <a:effectLst/>
            </c:spPr>
            <c:extLst>
              <c:ext xmlns:c16="http://schemas.microsoft.com/office/drawing/2014/chart" uri="{C3380CC4-5D6E-409C-BE32-E72D297353CC}">
                <c16:uniqueId val="{00000003-413C-4503-8AAC-D5ADEA6A41C8}"/>
              </c:ext>
            </c:extLst>
          </c:dPt>
          <c:dPt>
            <c:idx val="2"/>
            <c:bubble3D val="0"/>
            <c:spPr>
              <a:solidFill>
                <a:srgbClr val="6F6B6C"/>
              </a:solidFill>
              <a:ln w="19050">
                <a:solidFill>
                  <a:schemeClr val="lt1"/>
                </a:solidFill>
              </a:ln>
              <a:effectLst/>
            </c:spPr>
            <c:extLst>
              <c:ext xmlns:c16="http://schemas.microsoft.com/office/drawing/2014/chart" uri="{C3380CC4-5D6E-409C-BE32-E72D297353CC}">
                <c16:uniqueId val="{00000005-413C-4503-8AAC-D5ADEA6A41C8}"/>
              </c:ext>
            </c:extLst>
          </c:dPt>
          <c:dLbls>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r>
                      <a:rPr lang="en-US" baseline="0">
                        <a:solidFill>
                          <a:schemeClr val="bg1"/>
                        </a:solidFill>
                      </a:rPr>
                      <a:t> </a:t>
                    </a:r>
                    <a:fld id="{B5C07395-D0A3-4759-AB85-11D8193F484C}" type="PERCENTAGE">
                      <a:rPr lang="en-US" baseline="0">
                        <a:solidFill>
                          <a:schemeClr val="bg1"/>
                        </a:solidFill>
                      </a:rPr>
                      <a:pPr>
                        <a:defRPr>
                          <a:solidFill>
                            <a:schemeClr val="bg1"/>
                          </a:solidFill>
                        </a:defRPr>
                      </a:pPr>
                      <a:t>[PERCENTAGE]</a:t>
                    </a:fld>
                    <a:endParaRPr lang="en-US" baseline="0">
                      <a:solidFill>
                        <a:schemeClr val="bg1"/>
                      </a:solidFill>
                    </a:endParaRP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13C-4503-8AAC-D5ADEA6A41C8}"/>
                </c:ext>
              </c:extLst>
            </c:dLbl>
            <c:dLbl>
              <c:idx val="1"/>
              <c:tx>
                <c:rich>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r>
                      <a:rPr lang="en-US" baseline="0">
                        <a:solidFill>
                          <a:schemeClr val="bg1"/>
                        </a:solidFill>
                      </a:rPr>
                      <a:t> </a:t>
                    </a:r>
                    <a:fld id="{95ED9111-7003-4EFC-8552-95EE317B22C3}" type="PERCENTAGE">
                      <a:rPr lang="en-US" baseline="0">
                        <a:solidFill>
                          <a:schemeClr val="bg1"/>
                        </a:solidFill>
                      </a:rPr>
                      <a:pPr>
                        <a:defRPr>
                          <a:solidFill>
                            <a:schemeClr val="bg1"/>
                          </a:solidFill>
                        </a:defRPr>
                      </a:pPr>
                      <a:t>[PERCENTAGE]</a:t>
                    </a:fld>
                    <a:endParaRPr lang="en-US" baseline="0">
                      <a:solidFill>
                        <a:schemeClr val="bg1"/>
                      </a:solidFill>
                    </a:endParaRP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13C-4503-8AAC-D5ADEA6A41C8}"/>
                </c:ext>
              </c:extLst>
            </c:dLbl>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5-413C-4503-8AAC-D5ADEA6A41C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General!$A$127:$B$129</c:f>
              <c:strCache>
                <c:ptCount val="3"/>
                <c:pt idx="0">
                  <c:v>Yes</c:v>
                </c:pt>
                <c:pt idx="1">
                  <c:v>No</c:v>
                </c:pt>
                <c:pt idx="2">
                  <c:v>I don't know</c:v>
                </c:pt>
              </c:strCache>
            </c:strRef>
          </c:cat>
          <c:val>
            <c:numRef>
              <c:f>General!$C$127:$C$129</c:f>
              <c:numCache>
                <c:formatCode>General</c:formatCode>
                <c:ptCount val="3"/>
                <c:pt idx="0">
                  <c:v>19</c:v>
                </c:pt>
                <c:pt idx="1">
                  <c:v>4</c:v>
                </c:pt>
                <c:pt idx="2">
                  <c:v>17</c:v>
                </c:pt>
              </c:numCache>
            </c:numRef>
          </c:val>
          <c:extLst>
            <c:ext xmlns:c16="http://schemas.microsoft.com/office/drawing/2014/chart" uri="{C3380CC4-5D6E-409C-BE32-E72D297353CC}">
              <c16:uniqueId val="{00000006-413C-4503-8AAC-D5ADEA6A41C8}"/>
            </c:ext>
          </c:extLst>
        </c:ser>
        <c:ser>
          <c:idx val="1"/>
          <c:order val="1"/>
          <c:tx>
            <c:strRef>
              <c:f>General!$D$126</c:f>
              <c:strCache>
                <c:ptCount val="1"/>
                <c:pt idx="0">
                  <c:v>Ratio</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8-413C-4503-8AAC-D5ADEA6A41C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A-413C-4503-8AAC-D5ADEA6A41C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C-413C-4503-8AAC-D5ADEA6A41C8}"/>
              </c:ext>
            </c:extLst>
          </c:dPt>
          <c:cat>
            <c:strRef>
              <c:f>General!$A$127:$B$129</c:f>
              <c:strCache>
                <c:ptCount val="3"/>
                <c:pt idx="0">
                  <c:v>Yes</c:v>
                </c:pt>
                <c:pt idx="1">
                  <c:v>No</c:v>
                </c:pt>
                <c:pt idx="2">
                  <c:v>I don't know</c:v>
                </c:pt>
              </c:strCache>
            </c:strRef>
          </c:cat>
          <c:val>
            <c:numRef>
              <c:f>General!$D$127:$D$129</c:f>
              <c:numCache>
                <c:formatCode>0%</c:formatCode>
                <c:ptCount val="3"/>
                <c:pt idx="0">
                  <c:v>0.47499999999999998</c:v>
                </c:pt>
                <c:pt idx="1">
                  <c:v>0.1</c:v>
                </c:pt>
                <c:pt idx="2">
                  <c:v>0.42499999999999999</c:v>
                </c:pt>
              </c:numCache>
            </c:numRef>
          </c:val>
          <c:extLst>
            <c:ext xmlns:c16="http://schemas.microsoft.com/office/drawing/2014/chart" uri="{C3380CC4-5D6E-409C-BE32-E72D297353CC}">
              <c16:uniqueId val="{0000000D-413C-4503-8AAC-D5ADEA6A41C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a:latin typeface="Times New Roman" panose="02020603050405020304" pitchFamily="18" charset="0"/>
                <a:cs typeface="Times New Roman" panose="02020603050405020304" pitchFamily="18" charset="0"/>
              </a:rPr>
              <a:t>To your knowledge, do whistleblower reports in your country regularly</a:t>
            </a:r>
            <a:r>
              <a:rPr lang="en-GB" sz="1200" baseline="0">
                <a:latin typeface="Times New Roman" panose="02020603050405020304" pitchFamily="18" charset="0"/>
                <a:cs typeface="Times New Roman" panose="02020603050405020304" pitchFamily="18" charset="0"/>
              </a:rPr>
              <a:t> lead to investigations, disciplinary measures or corrective actions?</a:t>
            </a:r>
            <a:endParaRPr lang="en-GB"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'Cross-country Q14 (2)'!$A$2</c:f>
              <c:strCache>
                <c:ptCount val="1"/>
                <c:pt idx="0">
                  <c:v>Yes</c:v>
                </c:pt>
              </c:strCache>
            </c:strRef>
          </c:tx>
          <c:spPr>
            <a:solidFill>
              <a:srgbClr val="005B5F"/>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0-CC24-4347-8AB9-8C1C61EBCC5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'Cross-country Q14 (2)'!$B$1:$F$1</c:f>
              <c:strCache>
                <c:ptCount val="5"/>
                <c:pt idx="0">
                  <c:v>France </c:v>
                </c:pt>
                <c:pt idx="1">
                  <c:v>Denmark</c:v>
                </c:pt>
                <c:pt idx="2">
                  <c:v>Italy</c:v>
                </c:pt>
                <c:pt idx="3">
                  <c:v>Latvia</c:v>
                </c:pt>
                <c:pt idx="4">
                  <c:v>Romania</c:v>
                </c:pt>
              </c:strCache>
            </c:strRef>
          </c:cat>
          <c:val>
            <c:numRef>
              <c:f>'Cross-country Q14 (2)'!$B$2:$F$2</c:f>
              <c:numCache>
                <c:formatCode>0%</c:formatCode>
                <c:ptCount val="5"/>
                <c:pt idx="0">
                  <c:v>0.55555555555555558</c:v>
                </c:pt>
                <c:pt idx="1">
                  <c:v>0.41666666666666674</c:v>
                </c:pt>
                <c:pt idx="2">
                  <c:v>0.625</c:v>
                </c:pt>
                <c:pt idx="3">
                  <c:v>0.5714285714285714</c:v>
                </c:pt>
                <c:pt idx="4">
                  <c:v>0</c:v>
                </c:pt>
              </c:numCache>
            </c:numRef>
          </c:val>
          <c:extLst>
            <c:ext xmlns:c16="http://schemas.microsoft.com/office/drawing/2014/chart" uri="{C3380CC4-5D6E-409C-BE32-E72D297353CC}">
              <c16:uniqueId val="{00000001-CC24-4347-8AB9-8C1C61EBCC5C}"/>
            </c:ext>
          </c:extLst>
        </c:ser>
        <c:ser>
          <c:idx val="1"/>
          <c:order val="1"/>
          <c:tx>
            <c:strRef>
              <c:f>'Cross-country Q14 (2)'!$A$3</c:f>
              <c:strCache>
                <c:ptCount val="1"/>
                <c:pt idx="0">
                  <c:v>No</c:v>
                </c:pt>
              </c:strCache>
            </c:strRef>
          </c:tx>
          <c:spPr>
            <a:solidFill>
              <a:srgbClr val="D83F29"/>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2-CC24-4347-8AB9-8C1C61EBCC5C}"/>
                </c:ext>
              </c:extLst>
            </c:dLbl>
            <c:dLbl>
              <c:idx val="2"/>
              <c:delete val="1"/>
              <c:extLst>
                <c:ext xmlns:c15="http://schemas.microsoft.com/office/drawing/2012/chart" uri="{CE6537A1-D6FC-4f65-9D91-7224C49458BB}"/>
                <c:ext xmlns:c16="http://schemas.microsoft.com/office/drawing/2014/chart" uri="{C3380CC4-5D6E-409C-BE32-E72D297353CC}">
                  <c16:uniqueId val="{00000003-CC24-4347-8AB9-8C1C61EBCC5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'Cross-country Q14 (2)'!$B$1:$F$1</c:f>
              <c:strCache>
                <c:ptCount val="5"/>
                <c:pt idx="0">
                  <c:v>France </c:v>
                </c:pt>
                <c:pt idx="1">
                  <c:v>Denmark</c:v>
                </c:pt>
                <c:pt idx="2">
                  <c:v>Italy</c:v>
                </c:pt>
                <c:pt idx="3">
                  <c:v>Latvia</c:v>
                </c:pt>
                <c:pt idx="4">
                  <c:v>Romania</c:v>
                </c:pt>
              </c:strCache>
            </c:strRef>
          </c:cat>
          <c:val>
            <c:numRef>
              <c:f>'Cross-country Q14 (2)'!$B$3:$F$3</c:f>
              <c:numCache>
                <c:formatCode>0%</c:formatCode>
                <c:ptCount val="5"/>
                <c:pt idx="0">
                  <c:v>0</c:v>
                </c:pt>
                <c:pt idx="1">
                  <c:v>0.16666666666666663</c:v>
                </c:pt>
                <c:pt idx="2">
                  <c:v>0</c:v>
                </c:pt>
                <c:pt idx="3">
                  <c:v>0.14285714285714285</c:v>
                </c:pt>
                <c:pt idx="4">
                  <c:v>0.25</c:v>
                </c:pt>
              </c:numCache>
            </c:numRef>
          </c:val>
          <c:extLst>
            <c:ext xmlns:c16="http://schemas.microsoft.com/office/drawing/2014/chart" uri="{C3380CC4-5D6E-409C-BE32-E72D297353CC}">
              <c16:uniqueId val="{00000004-CC24-4347-8AB9-8C1C61EBCC5C}"/>
            </c:ext>
          </c:extLst>
        </c:ser>
        <c:ser>
          <c:idx val="2"/>
          <c:order val="2"/>
          <c:tx>
            <c:strRef>
              <c:f>'Cross-country Q14 (2)'!$A$4</c:f>
              <c:strCache>
                <c:ptCount val="1"/>
                <c:pt idx="0">
                  <c:v>I don't know</c:v>
                </c:pt>
              </c:strCache>
            </c:strRef>
          </c:tx>
          <c:spPr>
            <a:solidFill>
              <a:srgbClr val="6F6B6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'Cross-country Q14 (2)'!$B$1:$F$1</c:f>
              <c:strCache>
                <c:ptCount val="5"/>
                <c:pt idx="0">
                  <c:v>France </c:v>
                </c:pt>
                <c:pt idx="1">
                  <c:v>Denmark</c:v>
                </c:pt>
                <c:pt idx="2">
                  <c:v>Italy</c:v>
                </c:pt>
                <c:pt idx="3">
                  <c:v>Latvia</c:v>
                </c:pt>
                <c:pt idx="4">
                  <c:v>Romania</c:v>
                </c:pt>
              </c:strCache>
            </c:strRef>
          </c:cat>
          <c:val>
            <c:numRef>
              <c:f>'Cross-country Q14 (2)'!$B$4:$F$4</c:f>
              <c:numCache>
                <c:formatCode>0%</c:formatCode>
                <c:ptCount val="5"/>
                <c:pt idx="0">
                  <c:v>0.44444444444444442</c:v>
                </c:pt>
                <c:pt idx="1">
                  <c:v>0.41666666666666674</c:v>
                </c:pt>
                <c:pt idx="2">
                  <c:v>0.375</c:v>
                </c:pt>
                <c:pt idx="3">
                  <c:v>0.2857142857142857</c:v>
                </c:pt>
                <c:pt idx="4">
                  <c:v>0.75</c:v>
                </c:pt>
              </c:numCache>
            </c:numRef>
          </c:val>
          <c:extLst>
            <c:ext xmlns:c16="http://schemas.microsoft.com/office/drawing/2014/chart" uri="{C3380CC4-5D6E-409C-BE32-E72D297353CC}">
              <c16:uniqueId val="{00000005-CC24-4347-8AB9-8C1C61EBCC5C}"/>
            </c:ext>
          </c:extLst>
        </c:ser>
        <c:ser>
          <c:idx val="3"/>
          <c:order val="3"/>
          <c:tx>
            <c:strRef>
              <c:f>'Cross-country Q14 (2)'!$A$5</c:f>
              <c:strCache>
                <c:ptCount val="1"/>
                <c:pt idx="0">
                  <c:v>No Answer</c:v>
                </c:pt>
              </c:strCache>
            </c:strRef>
          </c:tx>
          <c:spPr>
            <a:solidFill>
              <a:schemeClr val="accent4"/>
            </a:solidFill>
            <a:ln>
              <a:noFill/>
            </a:ln>
            <a:effectLst/>
          </c:spPr>
          <c:invertIfNegative val="0"/>
          <c:cat>
            <c:strRef>
              <c:f>'Cross-country Q14 (2)'!$B$1:$F$1</c:f>
              <c:strCache>
                <c:ptCount val="5"/>
                <c:pt idx="0">
                  <c:v>France </c:v>
                </c:pt>
                <c:pt idx="1">
                  <c:v>Denmark</c:v>
                </c:pt>
                <c:pt idx="2">
                  <c:v>Italy</c:v>
                </c:pt>
                <c:pt idx="3">
                  <c:v>Latvia</c:v>
                </c:pt>
                <c:pt idx="4">
                  <c:v>Romania</c:v>
                </c:pt>
              </c:strCache>
            </c:strRef>
          </c:cat>
          <c:val>
            <c:numRef>
              <c:f>'Cross-country Q14 (2)'!$B$5:$F$5</c:f>
              <c:numCache>
                <c:formatCode>0%</c:formatCode>
                <c:ptCount val="5"/>
                <c:pt idx="0">
                  <c:v>0</c:v>
                </c:pt>
                <c:pt idx="1">
                  <c:v>0</c:v>
                </c:pt>
                <c:pt idx="2">
                  <c:v>0</c:v>
                </c:pt>
                <c:pt idx="3">
                  <c:v>0</c:v>
                </c:pt>
                <c:pt idx="4">
                  <c:v>0</c:v>
                </c:pt>
              </c:numCache>
            </c:numRef>
          </c:val>
          <c:extLst>
            <c:ext xmlns:c16="http://schemas.microsoft.com/office/drawing/2014/chart" uri="{C3380CC4-5D6E-409C-BE32-E72D297353CC}">
              <c16:uniqueId val="{00000006-CC24-4347-8AB9-8C1C61EBCC5C}"/>
            </c:ext>
          </c:extLst>
        </c:ser>
        <c:dLbls>
          <c:showLegendKey val="0"/>
          <c:showVal val="0"/>
          <c:showCatName val="0"/>
          <c:showSerName val="0"/>
          <c:showPercent val="0"/>
          <c:showBubbleSize val="0"/>
        </c:dLbls>
        <c:gapWidth val="150"/>
        <c:overlap val="100"/>
        <c:axId val="888068272"/>
        <c:axId val="888066832"/>
      </c:barChart>
      <c:catAx>
        <c:axId val="8880682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8066832"/>
        <c:crosses val="autoZero"/>
        <c:auto val="1"/>
        <c:lblAlgn val="ctr"/>
        <c:lblOffset val="100"/>
        <c:noMultiLvlLbl val="0"/>
      </c:catAx>
      <c:valAx>
        <c:axId val="888066832"/>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8068272"/>
        <c:crosses val="autoZero"/>
        <c:crossBetween val="between"/>
      </c:valAx>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a:latin typeface="Times New Roman" panose="02020603050405020304" pitchFamily="18" charset="0"/>
                <a:cs typeface="Times New Roman" panose="02020603050405020304" pitchFamily="18" charset="0"/>
              </a:rPr>
              <a:t>Are</a:t>
            </a:r>
            <a:r>
              <a:rPr lang="en-GB" sz="1200" baseline="0">
                <a:latin typeface="Times New Roman" panose="02020603050405020304" pitchFamily="18" charset="0"/>
                <a:cs typeface="Times New Roman" panose="02020603050405020304" pitchFamily="18" charset="0"/>
              </a:rPr>
              <a:t> you aware of the reporting tools set up by EU institutions under the Directive?</a:t>
            </a:r>
            <a:endParaRPr lang="en-GB"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General!$C$133</c:f>
              <c:strCache>
                <c:ptCount val="1"/>
                <c:pt idx="0">
                  <c:v>Answers</c:v>
                </c:pt>
              </c:strCache>
            </c:strRef>
          </c:tx>
          <c:dPt>
            <c:idx val="0"/>
            <c:bubble3D val="0"/>
            <c:spPr>
              <a:solidFill>
                <a:srgbClr val="005B5F"/>
              </a:solidFill>
              <a:ln w="19050">
                <a:solidFill>
                  <a:schemeClr val="lt1"/>
                </a:solidFill>
              </a:ln>
              <a:effectLst/>
            </c:spPr>
            <c:extLst>
              <c:ext xmlns:c16="http://schemas.microsoft.com/office/drawing/2014/chart" uri="{C3380CC4-5D6E-409C-BE32-E72D297353CC}">
                <c16:uniqueId val="{00000001-3352-40D2-A672-9486BD5F6CED}"/>
              </c:ext>
            </c:extLst>
          </c:dPt>
          <c:dPt>
            <c:idx val="1"/>
            <c:bubble3D val="0"/>
            <c:spPr>
              <a:solidFill>
                <a:srgbClr val="D83F29"/>
              </a:solidFill>
              <a:ln w="19050">
                <a:solidFill>
                  <a:schemeClr val="lt1"/>
                </a:solidFill>
              </a:ln>
              <a:effectLst/>
            </c:spPr>
            <c:extLst>
              <c:ext xmlns:c16="http://schemas.microsoft.com/office/drawing/2014/chart" uri="{C3380CC4-5D6E-409C-BE32-E72D297353CC}">
                <c16:uniqueId val="{00000003-3352-40D2-A672-9486BD5F6CED}"/>
              </c:ext>
            </c:extLst>
          </c:dPt>
          <c:dPt>
            <c:idx val="2"/>
            <c:bubble3D val="0"/>
            <c:spPr>
              <a:solidFill>
                <a:srgbClr val="6F6B6C"/>
              </a:solidFill>
              <a:ln w="19050">
                <a:solidFill>
                  <a:schemeClr val="lt1"/>
                </a:solidFill>
              </a:ln>
              <a:effectLst/>
            </c:spPr>
            <c:extLst>
              <c:ext xmlns:c16="http://schemas.microsoft.com/office/drawing/2014/chart" uri="{C3380CC4-5D6E-409C-BE32-E72D297353CC}">
                <c16:uniqueId val="{00000005-3352-40D2-A672-9486BD5F6CED}"/>
              </c:ext>
            </c:extLst>
          </c:dPt>
          <c:dLbls>
            <c:dLbl>
              <c:idx val="0"/>
              <c:layout>
                <c:manualLayout>
                  <c:x val="-8.7388123359580058E-2"/>
                  <c:y val="5.193095654709827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352-40D2-A672-9486BD5F6CED}"/>
                </c:ext>
              </c:extLst>
            </c:dLbl>
            <c:dLbl>
              <c:idx val="1"/>
              <c:layout>
                <c:manualLayout>
                  <c:x val="5.381758530183732E-2"/>
                  <c:y val="-0.1435101341498979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352-40D2-A672-9486BD5F6CED}"/>
                </c:ext>
              </c:extLst>
            </c:dLbl>
            <c:dLbl>
              <c:idx val="2"/>
              <c:layout>
                <c:manualLayout>
                  <c:x val="7.9760170603674588E-2"/>
                  <c:y val="0.10190835520559929"/>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352-40D2-A672-9486BD5F6CE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General!$A$134:$B$136</c:f>
              <c:strCache>
                <c:ptCount val="3"/>
                <c:pt idx="0">
                  <c:v>Yes</c:v>
                </c:pt>
                <c:pt idx="1">
                  <c:v>No</c:v>
                </c:pt>
                <c:pt idx="2">
                  <c:v>I don't know</c:v>
                </c:pt>
              </c:strCache>
            </c:strRef>
          </c:cat>
          <c:val>
            <c:numRef>
              <c:f>General!$C$134:$C$136</c:f>
              <c:numCache>
                <c:formatCode>General</c:formatCode>
                <c:ptCount val="3"/>
                <c:pt idx="0">
                  <c:v>15</c:v>
                </c:pt>
                <c:pt idx="1">
                  <c:v>16</c:v>
                </c:pt>
                <c:pt idx="2">
                  <c:v>9</c:v>
                </c:pt>
              </c:numCache>
            </c:numRef>
          </c:val>
          <c:extLst>
            <c:ext xmlns:c16="http://schemas.microsoft.com/office/drawing/2014/chart" uri="{C3380CC4-5D6E-409C-BE32-E72D297353CC}">
              <c16:uniqueId val="{00000006-3352-40D2-A672-9486BD5F6CED}"/>
            </c:ext>
          </c:extLst>
        </c:ser>
        <c:ser>
          <c:idx val="1"/>
          <c:order val="1"/>
          <c:tx>
            <c:strRef>
              <c:f>General!$D$133</c:f>
              <c:strCache>
                <c:ptCount val="1"/>
                <c:pt idx="0">
                  <c:v>Ratio</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8-3352-40D2-A672-9486BD5F6CE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A-3352-40D2-A672-9486BD5F6CE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C-3352-40D2-A672-9486BD5F6CED}"/>
              </c:ext>
            </c:extLst>
          </c:dPt>
          <c:cat>
            <c:strRef>
              <c:f>General!$A$134:$B$136</c:f>
              <c:strCache>
                <c:ptCount val="3"/>
                <c:pt idx="0">
                  <c:v>Yes</c:v>
                </c:pt>
                <c:pt idx="1">
                  <c:v>No</c:v>
                </c:pt>
                <c:pt idx="2">
                  <c:v>I don't know</c:v>
                </c:pt>
              </c:strCache>
            </c:strRef>
          </c:cat>
          <c:val>
            <c:numRef>
              <c:f>General!$D$134:$D$136</c:f>
              <c:numCache>
                <c:formatCode>0%</c:formatCode>
                <c:ptCount val="3"/>
                <c:pt idx="0">
                  <c:v>0.375</c:v>
                </c:pt>
                <c:pt idx="1">
                  <c:v>0.4</c:v>
                </c:pt>
                <c:pt idx="2">
                  <c:v>0.22500000000000001</c:v>
                </c:pt>
              </c:numCache>
            </c:numRef>
          </c:val>
          <c:extLst>
            <c:ext xmlns:c16="http://schemas.microsoft.com/office/drawing/2014/chart" uri="{C3380CC4-5D6E-409C-BE32-E72D297353CC}">
              <c16:uniqueId val="{0000000D-3352-40D2-A672-9486BD5F6CE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u="none" strike="noStrike" baseline="0">
                <a:effectLst/>
                <a:latin typeface="Times New Roman" panose="02020603050405020304" pitchFamily="18" charset="0"/>
                <a:cs typeface="Times New Roman" panose="02020603050405020304" pitchFamily="18" charset="0"/>
              </a:rPr>
              <a:t>In your opinion, to what extent are anti-retaliation measures (e.g., reinstatement, interim relief, compensation) effectively enforced by authorities and courts?</a:t>
            </a:r>
            <a:endParaRPr lang="en-GB" sz="1200" b="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'Cross-country Q14 (2)'!$A$2</c:f>
              <c:strCache>
                <c:ptCount val="1"/>
                <c:pt idx="0">
                  <c:v>To a large extent</c:v>
                </c:pt>
              </c:strCache>
            </c:strRef>
          </c:tx>
          <c:spPr>
            <a:solidFill>
              <a:srgbClr val="005B5F"/>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0361-4938-AFC2-04BB70D43F66}"/>
                </c:ext>
              </c:extLst>
            </c:dLbl>
            <c:dLbl>
              <c:idx val="1"/>
              <c:delete val="1"/>
              <c:extLst>
                <c:ext xmlns:c15="http://schemas.microsoft.com/office/drawing/2012/chart" uri="{CE6537A1-D6FC-4f65-9D91-7224C49458BB}"/>
                <c:ext xmlns:c16="http://schemas.microsoft.com/office/drawing/2014/chart" uri="{C3380CC4-5D6E-409C-BE32-E72D297353CC}">
                  <c16:uniqueId val="{00000001-0361-4938-AFC2-04BB70D43F66}"/>
                </c:ext>
              </c:extLst>
            </c:dLbl>
            <c:dLbl>
              <c:idx val="4"/>
              <c:delete val="1"/>
              <c:extLst>
                <c:ext xmlns:c15="http://schemas.microsoft.com/office/drawing/2012/chart" uri="{CE6537A1-D6FC-4f65-9D91-7224C49458BB}"/>
                <c:ext xmlns:c16="http://schemas.microsoft.com/office/drawing/2014/chart" uri="{C3380CC4-5D6E-409C-BE32-E72D297353CC}">
                  <c16:uniqueId val="{00000002-0361-4938-AFC2-04BB70D43F6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'Cross-country Q14 (2)'!$B$1:$F$1</c:f>
              <c:strCache>
                <c:ptCount val="5"/>
                <c:pt idx="0">
                  <c:v>France </c:v>
                </c:pt>
                <c:pt idx="1">
                  <c:v>Denmark</c:v>
                </c:pt>
                <c:pt idx="2">
                  <c:v>Italy</c:v>
                </c:pt>
                <c:pt idx="3">
                  <c:v>Latvia</c:v>
                </c:pt>
                <c:pt idx="4">
                  <c:v>Romania</c:v>
                </c:pt>
              </c:strCache>
            </c:strRef>
          </c:cat>
          <c:val>
            <c:numRef>
              <c:f>'Cross-country Q14 (2)'!$B$2:$F$2</c:f>
              <c:numCache>
                <c:formatCode>0%</c:formatCode>
                <c:ptCount val="5"/>
                <c:pt idx="0">
                  <c:v>0</c:v>
                </c:pt>
                <c:pt idx="1">
                  <c:v>0</c:v>
                </c:pt>
                <c:pt idx="2">
                  <c:v>0.375</c:v>
                </c:pt>
                <c:pt idx="3">
                  <c:v>0.14285714285714285</c:v>
                </c:pt>
                <c:pt idx="4">
                  <c:v>0</c:v>
                </c:pt>
              </c:numCache>
            </c:numRef>
          </c:val>
          <c:extLst>
            <c:ext xmlns:c16="http://schemas.microsoft.com/office/drawing/2014/chart" uri="{C3380CC4-5D6E-409C-BE32-E72D297353CC}">
              <c16:uniqueId val="{00000003-0361-4938-AFC2-04BB70D43F66}"/>
            </c:ext>
          </c:extLst>
        </c:ser>
        <c:ser>
          <c:idx val="1"/>
          <c:order val="1"/>
          <c:tx>
            <c:strRef>
              <c:f>'Cross-country Q14 (2)'!$A$3</c:f>
              <c:strCache>
                <c:ptCount val="1"/>
                <c:pt idx="0">
                  <c:v>To a moderate extent</c:v>
                </c:pt>
              </c:strCache>
            </c:strRef>
          </c:tx>
          <c:spPr>
            <a:solidFill>
              <a:srgbClr val="57C3A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'Cross-country Q14 (2)'!$B$1:$F$1</c:f>
              <c:strCache>
                <c:ptCount val="5"/>
                <c:pt idx="0">
                  <c:v>France </c:v>
                </c:pt>
                <c:pt idx="1">
                  <c:v>Denmark</c:v>
                </c:pt>
                <c:pt idx="2">
                  <c:v>Italy</c:v>
                </c:pt>
                <c:pt idx="3">
                  <c:v>Latvia</c:v>
                </c:pt>
                <c:pt idx="4">
                  <c:v>Romania</c:v>
                </c:pt>
              </c:strCache>
            </c:strRef>
          </c:cat>
          <c:val>
            <c:numRef>
              <c:f>'Cross-country Q14 (2)'!$B$3:$F$3</c:f>
              <c:numCache>
                <c:formatCode>0%</c:formatCode>
                <c:ptCount val="5"/>
                <c:pt idx="0">
                  <c:v>0.1111111111111111</c:v>
                </c:pt>
                <c:pt idx="1">
                  <c:v>0.16666666666666663</c:v>
                </c:pt>
                <c:pt idx="2">
                  <c:v>0.125</c:v>
                </c:pt>
                <c:pt idx="3">
                  <c:v>0.2857142857142857</c:v>
                </c:pt>
                <c:pt idx="4">
                  <c:v>0.25</c:v>
                </c:pt>
              </c:numCache>
            </c:numRef>
          </c:val>
          <c:extLst>
            <c:ext xmlns:c16="http://schemas.microsoft.com/office/drawing/2014/chart" uri="{C3380CC4-5D6E-409C-BE32-E72D297353CC}">
              <c16:uniqueId val="{00000004-0361-4938-AFC2-04BB70D43F66}"/>
            </c:ext>
          </c:extLst>
        </c:ser>
        <c:ser>
          <c:idx val="2"/>
          <c:order val="2"/>
          <c:tx>
            <c:strRef>
              <c:f>'Cross-country Q14 (2)'!$A$4</c:f>
              <c:strCache>
                <c:ptCount val="1"/>
                <c:pt idx="0">
                  <c:v>To some extent</c:v>
                </c:pt>
              </c:strCache>
            </c:strRef>
          </c:tx>
          <c:spPr>
            <a:solidFill>
              <a:srgbClr val="EEA14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'Cross-country Q14 (2)'!$B$1:$F$1</c:f>
              <c:strCache>
                <c:ptCount val="5"/>
                <c:pt idx="0">
                  <c:v>France </c:v>
                </c:pt>
                <c:pt idx="1">
                  <c:v>Denmark</c:v>
                </c:pt>
                <c:pt idx="2">
                  <c:v>Italy</c:v>
                </c:pt>
                <c:pt idx="3">
                  <c:v>Latvia</c:v>
                </c:pt>
                <c:pt idx="4">
                  <c:v>Romania</c:v>
                </c:pt>
              </c:strCache>
            </c:strRef>
          </c:cat>
          <c:val>
            <c:numRef>
              <c:f>'Cross-country Q14 (2)'!$B$4:$F$4</c:f>
              <c:numCache>
                <c:formatCode>0%</c:formatCode>
                <c:ptCount val="5"/>
                <c:pt idx="0">
                  <c:v>0.7777777777777779</c:v>
                </c:pt>
                <c:pt idx="1">
                  <c:v>0.16666666666666663</c:v>
                </c:pt>
                <c:pt idx="2">
                  <c:v>0.25</c:v>
                </c:pt>
                <c:pt idx="3">
                  <c:v>0.14285714285714285</c:v>
                </c:pt>
                <c:pt idx="4">
                  <c:v>0.5</c:v>
                </c:pt>
              </c:numCache>
            </c:numRef>
          </c:val>
          <c:extLst>
            <c:ext xmlns:c16="http://schemas.microsoft.com/office/drawing/2014/chart" uri="{C3380CC4-5D6E-409C-BE32-E72D297353CC}">
              <c16:uniqueId val="{00000005-0361-4938-AFC2-04BB70D43F66}"/>
            </c:ext>
          </c:extLst>
        </c:ser>
        <c:ser>
          <c:idx val="3"/>
          <c:order val="3"/>
          <c:tx>
            <c:strRef>
              <c:f>'Cross-country Q14 (2)'!$A$5</c:f>
              <c:strCache>
                <c:ptCount val="1"/>
                <c:pt idx="0">
                  <c:v>Not at all</c:v>
                </c:pt>
              </c:strCache>
            </c:strRef>
          </c:tx>
          <c:spPr>
            <a:solidFill>
              <a:srgbClr val="D83F29"/>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6-0361-4938-AFC2-04BB70D43F66}"/>
                </c:ext>
              </c:extLst>
            </c:dLbl>
            <c:dLbl>
              <c:idx val="3"/>
              <c:delete val="1"/>
              <c:extLst>
                <c:ext xmlns:c15="http://schemas.microsoft.com/office/drawing/2012/chart" uri="{CE6537A1-D6FC-4f65-9D91-7224C49458BB}"/>
                <c:ext xmlns:c16="http://schemas.microsoft.com/office/drawing/2014/chart" uri="{C3380CC4-5D6E-409C-BE32-E72D297353CC}">
                  <c16:uniqueId val="{00000007-0361-4938-AFC2-04BB70D43F66}"/>
                </c:ext>
              </c:extLst>
            </c:dLbl>
            <c:dLbl>
              <c:idx val="4"/>
              <c:delete val="1"/>
              <c:extLst>
                <c:ext xmlns:c15="http://schemas.microsoft.com/office/drawing/2012/chart" uri="{CE6537A1-D6FC-4f65-9D91-7224C49458BB}"/>
                <c:ext xmlns:c16="http://schemas.microsoft.com/office/drawing/2014/chart" uri="{C3380CC4-5D6E-409C-BE32-E72D297353CC}">
                  <c16:uniqueId val="{00000008-0361-4938-AFC2-04BB70D43F6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'Cross-country Q14 (2)'!$B$1:$F$1</c:f>
              <c:strCache>
                <c:ptCount val="5"/>
                <c:pt idx="0">
                  <c:v>France </c:v>
                </c:pt>
                <c:pt idx="1">
                  <c:v>Denmark</c:v>
                </c:pt>
                <c:pt idx="2">
                  <c:v>Italy</c:v>
                </c:pt>
                <c:pt idx="3">
                  <c:v>Latvia</c:v>
                </c:pt>
                <c:pt idx="4">
                  <c:v>Romania</c:v>
                </c:pt>
              </c:strCache>
            </c:strRef>
          </c:cat>
          <c:val>
            <c:numRef>
              <c:f>'Cross-country Q14 (2)'!$B$5:$F$5</c:f>
              <c:numCache>
                <c:formatCode>0%</c:formatCode>
                <c:ptCount val="5"/>
                <c:pt idx="0">
                  <c:v>0.1111111111111111</c:v>
                </c:pt>
                <c:pt idx="1">
                  <c:v>8.3333333333333315E-2</c:v>
                </c:pt>
                <c:pt idx="2">
                  <c:v>0</c:v>
                </c:pt>
                <c:pt idx="3">
                  <c:v>0</c:v>
                </c:pt>
                <c:pt idx="4">
                  <c:v>0</c:v>
                </c:pt>
              </c:numCache>
            </c:numRef>
          </c:val>
          <c:extLst>
            <c:ext xmlns:c16="http://schemas.microsoft.com/office/drawing/2014/chart" uri="{C3380CC4-5D6E-409C-BE32-E72D297353CC}">
              <c16:uniqueId val="{00000009-0361-4938-AFC2-04BB70D43F66}"/>
            </c:ext>
          </c:extLst>
        </c:ser>
        <c:ser>
          <c:idx val="4"/>
          <c:order val="4"/>
          <c:tx>
            <c:strRef>
              <c:f>'Cross-country Q14 (2)'!$A$6</c:f>
              <c:strCache>
                <c:ptCount val="1"/>
                <c:pt idx="0">
                  <c:v>I do not know</c:v>
                </c:pt>
              </c:strCache>
            </c:strRef>
          </c:tx>
          <c:spPr>
            <a:solidFill>
              <a:srgbClr val="6F6B6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'Cross-country Q14 (2)'!$B$1:$F$1</c:f>
              <c:strCache>
                <c:ptCount val="5"/>
                <c:pt idx="0">
                  <c:v>France </c:v>
                </c:pt>
                <c:pt idx="1">
                  <c:v>Denmark</c:v>
                </c:pt>
                <c:pt idx="2">
                  <c:v>Italy</c:v>
                </c:pt>
                <c:pt idx="3">
                  <c:v>Latvia</c:v>
                </c:pt>
                <c:pt idx="4">
                  <c:v>Romania</c:v>
                </c:pt>
              </c:strCache>
            </c:strRef>
          </c:cat>
          <c:val>
            <c:numRef>
              <c:f>'Cross-country Q14 (2)'!$B$6:$F$6</c:f>
              <c:numCache>
                <c:formatCode>0%</c:formatCode>
                <c:ptCount val="5"/>
                <c:pt idx="0">
                  <c:v>0</c:v>
                </c:pt>
                <c:pt idx="1">
                  <c:v>0.58333333333333337</c:v>
                </c:pt>
                <c:pt idx="2">
                  <c:v>0.25</c:v>
                </c:pt>
                <c:pt idx="3">
                  <c:v>0.42857142857142855</c:v>
                </c:pt>
                <c:pt idx="4">
                  <c:v>0.25</c:v>
                </c:pt>
              </c:numCache>
            </c:numRef>
          </c:val>
          <c:extLst>
            <c:ext xmlns:c16="http://schemas.microsoft.com/office/drawing/2014/chart" uri="{C3380CC4-5D6E-409C-BE32-E72D297353CC}">
              <c16:uniqueId val="{0000000A-0361-4938-AFC2-04BB70D43F66}"/>
            </c:ext>
          </c:extLst>
        </c:ser>
        <c:dLbls>
          <c:showLegendKey val="0"/>
          <c:showVal val="0"/>
          <c:showCatName val="0"/>
          <c:showSerName val="0"/>
          <c:showPercent val="0"/>
          <c:showBubbleSize val="0"/>
        </c:dLbls>
        <c:gapWidth val="150"/>
        <c:overlap val="100"/>
        <c:axId val="1282169248"/>
        <c:axId val="1282168288"/>
        <c:extLst>
          <c:ext xmlns:c15="http://schemas.microsoft.com/office/drawing/2012/chart" uri="{02D57815-91ED-43cb-92C2-25804820EDAC}">
            <c15:filteredBarSeries>
              <c15:ser>
                <c:idx val="5"/>
                <c:order val="5"/>
                <c:tx>
                  <c:strRef>
                    <c:extLst>
                      <c:ext uri="{02D57815-91ED-43cb-92C2-25804820EDAC}">
                        <c15:formulaRef>
                          <c15:sqref>'Cross-country Q14 (2)'!$A$7</c15:sqref>
                        </c15:formulaRef>
                      </c:ext>
                    </c:extLst>
                    <c:strCache>
                      <c:ptCount val="1"/>
                      <c:pt idx="0">
                        <c:v>No Answer</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'Cross-country Q14 (2)'!$B$1:$F$1</c15:sqref>
                        </c15:formulaRef>
                      </c:ext>
                    </c:extLst>
                    <c:strCache>
                      <c:ptCount val="5"/>
                      <c:pt idx="0">
                        <c:v>France </c:v>
                      </c:pt>
                      <c:pt idx="1">
                        <c:v>Denmark</c:v>
                      </c:pt>
                      <c:pt idx="2">
                        <c:v>Italy</c:v>
                      </c:pt>
                      <c:pt idx="3">
                        <c:v>Latvia</c:v>
                      </c:pt>
                      <c:pt idx="4">
                        <c:v>Romania</c:v>
                      </c:pt>
                    </c:strCache>
                  </c:strRef>
                </c:cat>
                <c:val>
                  <c:numRef>
                    <c:extLst>
                      <c:ext uri="{02D57815-91ED-43cb-92C2-25804820EDAC}">
                        <c15:formulaRef>
                          <c15:sqref>'Cross-country Q14 (2)'!$B$7:$F$7</c15:sqref>
                        </c15:formulaRef>
                      </c:ext>
                    </c:extLst>
                    <c:numCache>
                      <c:formatCode>0%</c:formatCode>
                      <c:ptCount val="5"/>
                      <c:pt idx="0">
                        <c:v>0</c:v>
                      </c:pt>
                      <c:pt idx="1">
                        <c:v>0</c:v>
                      </c:pt>
                      <c:pt idx="2">
                        <c:v>0</c:v>
                      </c:pt>
                      <c:pt idx="3">
                        <c:v>0</c:v>
                      </c:pt>
                      <c:pt idx="4">
                        <c:v>0</c:v>
                      </c:pt>
                    </c:numCache>
                  </c:numRef>
                </c:val>
                <c:extLst>
                  <c:ext xmlns:c16="http://schemas.microsoft.com/office/drawing/2014/chart" uri="{C3380CC4-5D6E-409C-BE32-E72D297353CC}">
                    <c16:uniqueId val="{0000000B-0361-4938-AFC2-04BB70D43F66}"/>
                  </c:ext>
                </c:extLst>
              </c15:ser>
            </c15:filteredBarSeries>
          </c:ext>
        </c:extLst>
      </c:barChart>
      <c:catAx>
        <c:axId val="12821692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2168288"/>
        <c:crosses val="autoZero"/>
        <c:auto val="1"/>
        <c:lblAlgn val="ctr"/>
        <c:lblOffset val="100"/>
        <c:noMultiLvlLbl val="0"/>
      </c:catAx>
      <c:valAx>
        <c:axId val="128216828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2169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In</a:t>
            </a:r>
            <a:r>
              <a:rPr lang="en-US" sz="1200" baseline="0">
                <a:latin typeface="Times New Roman" panose="02020603050405020304" pitchFamily="18" charset="0"/>
                <a:cs typeface="Times New Roman" panose="02020603050405020304" pitchFamily="18" charset="0"/>
              </a:rPr>
              <a:t> your opinion, are competent authorities and courts adequately resourced to enforce protections?</a:t>
            </a:r>
            <a:endParaRPr lang="en-US"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6900888083916539"/>
          <c:y val="0.25153055806724611"/>
          <c:w val="0.3526609847192223"/>
          <c:h val="0.54037693592346714"/>
        </c:manualLayout>
      </c:layout>
      <c:pieChart>
        <c:varyColors val="1"/>
        <c:ser>
          <c:idx val="0"/>
          <c:order val="0"/>
          <c:tx>
            <c:strRef>
              <c:f>General!$C$156</c:f>
              <c:strCache>
                <c:ptCount val="1"/>
                <c:pt idx="0">
                  <c:v>Answers</c:v>
                </c:pt>
              </c:strCache>
            </c:strRef>
          </c:tx>
          <c:dPt>
            <c:idx val="0"/>
            <c:bubble3D val="0"/>
            <c:spPr>
              <a:solidFill>
                <a:srgbClr val="005B5F"/>
              </a:solidFill>
              <a:ln w="19050">
                <a:solidFill>
                  <a:schemeClr val="lt1"/>
                </a:solidFill>
              </a:ln>
              <a:effectLst/>
            </c:spPr>
            <c:extLst>
              <c:ext xmlns:c16="http://schemas.microsoft.com/office/drawing/2014/chart" uri="{C3380CC4-5D6E-409C-BE32-E72D297353CC}">
                <c16:uniqueId val="{00000001-2A3B-40FE-A3E1-FA0D47C17DAD}"/>
              </c:ext>
            </c:extLst>
          </c:dPt>
          <c:dPt>
            <c:idx val="1"/>
            <c:bubble3D val="0"/>
            <c:spPr>
              <a:solidFill>
                <a:srgbClr val="D83F29"/>
              </a:solidFill>
              <a:ln w="19050">
                <a:solidFill>
                  <a:schemeClr val="lt1"/>
                </a:solidFill>
              </a:ln>
              <a:effectLst/>
            </c:spPr>
            <c:extLst>
              <c:ext xmlns:c16="http://schemas.microsoft.com/office/drawing/2014/chart" uri="{C3380CC4-5D6E-409C-BE32-E72D297353CC}">
                <c16:uniqueId val="{00000003-2A3B-40FE-A3E1-FA0D47C17DAD}"/>
              </c:ext>
            </c:extLst>
          </c:dPt>
          <c:dPt>
            <c:idx val="2"/>
            <c:bubble3D val="0"/>
            <c:spPr>
              <a:solidFill>
                <a:srgbClr val="6F6B6C"/>
              </a:solidFill>
              <a:ln w="19050">
                <a:solidFill>
                  <a:schemeClr val="lt1"/>
                </a:solidFill>
              </a:ln>
              <a:effectLst/>
            </c:spPr>
            <c:extLst>
              <c:ext xmlns:c16="http://schemas.microsoft.com/office/drawing/2014/chart" uri="{C3380CC4-5D6E-409C-BE32-E72D297353CC}">
                <c16:uniqueId val="{00000005-2A3B-40FE-A3E1-FA0D47C17DA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General!$A$157:$B$159</c:f>
              <c:strCache>
                <c:ptCount val="3"/>
                <c:pt idx="0">
                  <c:v>Yes</c:v>
                </c:pt>
                <c:pt idx="1">
                  <c:v>No</c:v>
                </c:pt>
                <c:pt idx="2">
                  <c:v>I don't know</c:v>
                </c:pt>
              </c:strCache>
            </c:strRef>
          </c:cat>
          <c:val>
            <c:numRef>
              <c:f>General!$C$157:$C$159</c:f>
              <c:numCache>
                <c:formatCode>General</c:formatCode>
                <c:ptCount val="3"/>
                <c:pt idx="0">
                  <c:v>13</c:v>
                </c:pt>
                <c:pt idx="1">
                  <c:v>14</c:v>
                </c:pt>
                <c:pt idx="2">
                  <c:v>13</c:v>
                </c:pt>
              </c:numCache>
            </c:numRef>
          </c:val>
          <c:extLst>
            <c:ext xmlns:c16="http://schemas.microsoft.com/office/drawing/2014/chart" uri="{C3380CC4-5D6E-409C-BE32-E72D297353CC}">
              <c16:uniqueId val="{00000006-2A3B-40FE-A3E1-FA0D47C17DAD}"/>
            </c:ext>
          </c:extLst>
        </c:ser>
        <c:ser>
          <c:idx val="1"/>
          <c:order val="1"/>
          <c:tx>
            <c:strRef>
              <c:f>General!$D$156</c:f>
              <c:strCache>
                <c:ptCount val="1"/>
                <c:pt idx="0">
                  <c:v>Ratio</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8-2A3B-40FE-A3E1-FA0D47C17DA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A-2A3B-40FE-A3E1-FA0D47C17DA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C-2A3B-40FE-A3E1-FA0D47C17DAD}"/>
              </c:ext>
            </c:extLst>
          </c:dPt>
          <c:cat>
            <c:strRef>
              <c:f>General!$A$157:$B$159</c:f>
              <c:strCache>
                <c:ptCount val="3"/>
                <c:pt idx="0">
                  <c:v>Yes</c:v>
                </c:pt>
                <c:pt idx="1">
                  <c:v>No</c:v>
                </c:pt>
                <c:pt idx="2">
                  <c:v>I don't know</c:v>
                </c:pt>
              </c:strCache>
            </c:strRef>
          </c:cat>
          <c:val>
            <c:numRef>
              <c:f>General!$D$157:$D$159</c:f>
              <c:numCache>
                <c:formatCode>0%</c:formatCode>
                <c:ptCount val="3"/>
                <c:pt idx="0">
                  <c:v>0.32500000000000001</c:v>
                </c:pt>
                <c:pt idx="1">
                  <c:v>0.35</c:v>
                </c:pt>
                <c:pt idx="2">
                  <c:v>0.32500000000000001</c:v>
                </c:pt>
              </c:numCache>
            </c:numRef>
          </c:val>
          <c:extLst>
            <c:ext xmlns:c16="http://schemas.microsoft.com/office/drawing/2014/chart" uri="{C3380CC4-5D6E-409C-BE32-E72D297353CC}">
              <c16:uniqueId val="{0000000D-2A3B-40FE-A3E1-FA0D47C17DA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a:latin typeface="Times New Roman" panose="02020603050405020304" pitchFamily="18" charset="0"/>
                <a:cs typeface="Times New Roman" panose="02020603050405020304" pitchFamily="18" charset="0"/>
              </a:rPr>
              <a:t>In your</a:t>
            </a:r>
            <a:r>
              <a:rPr lang="en-GB" sz="1200" baseline="0">
                <a:latin typeface="Times New Roman" panose="02020603050405020304" pitchFamily="18" charset="0"/>
                <a:cs typeface="Times New Roman" panose="02020603050405020304" pitchFamily="18" charset="0"/>
              </a:rPr>
              <a:t> opinion, are competent authorities and courts adequately resourced to enforce protections? </a:t>
            </a:r>
            <a:endParaRPr lang="en-GB"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'Cross-country Q14 (2)'!$A$2</c:f>
              <c:strCache>
                <c:ptCount val="1"/>
                <c:pt idx="0">
                  <c:v>Yes</c:v>
                </c:pt>
              </c:strCache>
            </c:strRef>
          </c:tx>
          <c:spPr>
            <a:solidFill>
              <a:srgbClr val="005B5F"/>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E12A-4BA9-AD42-8923610F941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'Cross-country Q14 (2)'!$B$1:$F$1</c:f>
              <c:strCache>
                <c:ptCount val="5"/>
                <c:pt idx="0">
                  <c:v>France </c:v>
                </c:pt>
                <c:pt idx="1">
                  <c:v>Denmark</c:v>
                </c:pt>
                <c:pt idx="2">
                  <c:v>Italy</c:v>
                </c:pt>
                <c:pt idx="3">
                  <c:v>Latvia</c:v>
                </c:pt>
                <c:pt idx="4">
                  <c:v>Romania</c:v>
                </c:pt>
              </c:strCache>
            </c:strRef>
          </c:cat>
          <c:val>
            <c:numRef>
              <c:f>'Cross-country Q14 (2)'!$B$2:$F$2</c:f>
              <c:numCache>
                <c:formatCode>0%</c:formatCode>
                <c:ptCount val="5"/>
                <c:pt idx="0">
                  <c:v>0</c:v>
                </c:pt>
                <c:pt idx="1">
                  <c:v>0.5</c:v>
                </c:pt>
                <c:pt idx="2">
                  <c:v>0.5</c:v>
                </c:pt>
                <c:pt idx="3">
                  <c:v>0.2857142857142857</c:v>
                </c:pt>
                <c:pt idx="4">
                  <c:v>0.25</c:v>
                </c:pt>
              </c:numCache>
            </c:numRef>
          </c:val>
          <c:extLst>
            <c:ext xmlns:c16="http://schemas.microsoft.com/office/drawing/2014/chart" uri="{C3380CC4-5D6E-409C-BE32-E72D297353CC}">
              <c16:uniqueId val="{00000001-E12A-4BA9-AD42-8923610F941B}"/>
            </c:ext>
          </c:extLst>
        </c:ser>
        <c:ser>
          <c:idx val="1"/>
          <c:order val="1"/>
          <c:tx>
            <c:strRef>
              <c:f>'Cross-country Q14 (2)'!$A$3</c:f>
              <c:strCache>
                <c:ptCount val="1"/>
                <c:pt idx="0">
                  <c:v>No</c:v>
                </c:pt>
              </c:strCache>
            </c:strRef>
          </c:tx>
          <c:spPr>
            <a:solidFill>
              <a:srgbClr val="D83F29"/>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2-E12A-4BA9-AD42-8923610F941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'Cross-country Q14 (2)'!$B$1:$F$1</c:f>
              <c:strCache>
                <c:ptCount val="5"/>
                <c:pt idx="0">
                  <c:v>France </c:v>
                </c:pt>
                <c:pt idx="1">
                  <c:v>Denmark</c:v>
                </c:pt>
                <c:pt idx="2">
                  <c:v>Italy</c:v>
                </c:pt>
                <c:pt idx="3">
                  <c:v>Latvia</c:v>
                </c:pt>
                <c:pt idx="4">
                  <c:v>Romania</c:v>
                </c:pt>
              </c:strCache>
            </c:strRef>
          </c:cat>
          <c:val>
            <c:numRef>
              <c:f>'Cross-country Q14 (2)'!$B$3:$F$3</c:f>
              <c:numCache>
                <c:formatCode>0%</c:formatCode>
                <c:ptCount val="5"/>
                <c:pt idx="0">
                  <c:v>1</c:v>
                </c:pt>
                <c:pt idx="1">
                  <c:v>8.3333333333333315E-2</c:v>
                </c:pt>
                <c:pt idx="2">
                  <c:v>0</c:v>
                </c:pt>
                <c:pt idx="3">
                  <c:v>0.14285714285714285</c:v>
                </c:pt>
                <c:pt idx="4">
                  <c:v>0.75</c:v>
                </c:pt>
              </c:numCache>
            </c:numRef>
          </c:val>
          <c:extLst>
            <c:ext xmlns:c16="http://schemas.microsoft.com/office/drawing/2014/chart" uri="{C3380CC4-5D6E-409C-BE32-E72D297353CC}">
              <c16:uniqueId val="{00000003-E12A-4BA9-AD42-8923610F941B}"/>
            </c:ext>
          </c:extLst>
        </c:ser>
        <c:ser>
          <c:idx val="2"/>
          <c:order val="2"/>
          <c:tx>
            <c:strRef>
              <c:f>'Cross-country Q14 (2)'!$A$4</c:f>
              <c:strCache>
                <c:ptCount val="1"/>
                <c:pt idx="0">
                  <c:v>I don't know</c:v>
                </c:pt>
              </c:strCache>
            </c:strRef>
          </c:tx>
          <c:spPr>
            <a:solidFill>
              <a:schemeClr val="accent3"/>
            </a:solidFill>
            <a:ln>
              <a:noFill/>
            </a:ln>
            <a:effectLst/>
          </c:spPr>
          <c:invertIfNegative val="0"/>
          <c:dPt>
            <c:idx val="1"/>
            <c:invertIfNegative val="0"/>
            <c:bubble3D val="0"/>
            <c:spPr>
              <a:solidFill>
                <a:srgbClr val="6F6B6C"/>
              </a:solidFill>
              <a:ln>
                <a:noFill/>
              </a:ln>
              <a:effectLst/>
            </c:spPr>
            <c:extLst>
              <c:ext xmlns:c16="http://schemas.microsoft.com/office/drawing/2014/chart" uri="{C3380CC4-5D6E-409C-BE32-E72D297353CC}">
                <c16:uniqueId val="{00000005-E12A-4BA9-AD42-8923610F941B}"/>
              </c:ext>
            </c:extLst>
          </c:dPt>
          <c:dPt>
            <c:idx val="2"/>
            <c:invertIfNegative val="0"/>
            <c:bubble3D val="0"/>
            <c:spPr>
              <a:solidFill>
                <a:srgbClr val="6F6B6C"/>
              </a:solidFill>
              <a:ln>
                <a:noFill/>
              </a:ln>
              <a:effectLst/>
            </c:spPr>
            <c:extLst>
              <c:ext xmlns:c16="http://schemas.microsoft.com/office/drawing/2014/chart" uri="{C3380CC4-5D6E-409C-BE32-E72D297353CC}">
                <c16:uniqueId val="{00000007-E12A-4BA9-AD42-8923610F941B}"/>
              </c:ext>
            </c:extLst>
          </c:dPt>
          <c:dPt>
            <c:idx val="3"/>
            <c:invertIfNegative val="0"/>
            <c:bubble3D val="0"/>
            <c:spPr>
              <a:solidFill>
                <a:srgbClr val="6F6B6C"/>
              </a:solidFill>
              <a:ln>
                <a:noFill/>
              </a:ln>
              <a:effectLst/>
            </c:spPr>
            <c:extLst>
              <c:ext xmlns:c16="http://schemas.microsoft.com/office/drawing/2014/chart" uri="{C3380CC4-5D6E-409C-BE32-E72D297353CC}">
                <c16:uniqueId val="{00000009-E12A-4BA9-AD42-8923610F941B}"/>
              </c:ext>
            </c:extLst>
          </c:dPt>
          <c:dLbls>
            <c:dLbl>
              <c:idx val="0"/>
              <c:delete val="1"/>
              <c:extLst>
                <c:ext xmlns:c15="http://schemas.microsoft.com/office/drawing/2012/chart" uri="{CE6537A1-D6FC-4f65-9D91-7224C49458BB}"/>
                <c:ext xmlns:c16="http://schemas.microsoft.com/office/drawing/2014/chart" uri="{C3380CC4-5D6E-409C-BE32-E72D297353CC}">
                  <c16:uniqueId val="{0000000A-E12A-4BA9-AD42-8923610F941B}"/>
                </c:ext>
              </c:extLst>
            </c:dLbl>
            <c:dLbl>
              <c:idx val="4"/>
              <c:delete val="1"/>
              <c:extLst>
                <c:ext xmlns:c15="http://schemas.microsoft.com/office/drawing/2012/chart" uri="{CE6537A1-D6FC-4f65-9D91-7224C49458BB}"/>
                <c:ext xmlns:c16="http://schemas.microsoft.com/office/drawing/2014/chart" uri="{C3380CC4-5D6E-409C-BE32-E72D297353CC}">
                  <c16:uniqueId val="{0000000B-E12A-4BA9-AD42-8923610F941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'Cross-country Q14 (2)'!$B$1:$F$1</c:f>
              <c:strCache>
                <c:ptCount val="5"/>
                <c:pt idx="0">
                  <c:v>France </c:v>
                </c:pt>
                <c:pt idx="1">
                  <c:v>Denmark</c:v>
                </c:pt>
                <c:pt idx="2">
                  <c:v>Italy</c:v>
                </c:pt>
                <c:pt idx="3">
                  <c:v>Latvia</c:v>
                </c:pt>
                <c:pt idx="4">
                  <c:v>Romania</c:v>
                </c:pt>
              </c:strCache>
            </c:strRef>
          </c:cat>
          <c:val>
            <c:numRef>
              <c:f>'Cross-country Q14 (2)'!$B$4:$F$4</c:f>
              <c:numCache>
                <c:formatCode>0%</c:formatCode>
                <c:ptCount val="5"/>
                <c:pt idx="0">
                  <c:v>0</c:v>
                </c:pt>
                <c:pt idx="1">
                  <c:v>0.41666666666666674</c:v>
                </c:pt>
                <c:pt idx="2">
                  <c:v>0.5</c:v>
                </c:pt>
                <c:pt idx="3">
                  <c:v>0.5714285714285714</c:v>
                </c:pt>
                <c:pt idx="4">
                  <c:v>0</c:v>
                </c:pt>
              </c:numCache>
            </c:numRef>
          </c:val>
          <c:extLst>
            <c:ext xmlns:c16="http://schemas.microsoft.com/office/drawing/2014/chart" uri="{C3380CC4-5D6E-409C-BE32-E72D297353CC}">
              <c16:uniqueId val="{0000000C-E12A-4BA9-AD42-8923610F941B}"/>
            </c:ext>
          </c:extLst>
        </c:ser>
        <c:ser>
          <c:idx val="3"/>
          <c:order val="3"/>
          <c:tx>
            <c:strRef>
              <c:f>'Cross-country Q14 (2)'!$A$5</c:f>
              <c:strCache>
                <c:ptCount val="1"/>
                <c:pt idx="0">
                  <c:v>No answer</c:v>
                </c:pt>
              </c:strCache>
            </c:strRef>
          </c:tx>
          <c:spPr>
            <a:solidFill>
              <a:schemeClr val="accent4"/>
            </a:solidFill>
            <a:ln>
              <a:noFill/>
            </a:ln>
            <a:effectLst/>
          </c:spPr>
          <c:invertIfNegative val="0"/>
          <c:cat>
            <c:strRef>
              <c:f>'Cross-country Q14 (2)'!$B$1:$F$1</c:f>
              <c:strCache>
                <c:ptCount val="5"/>
                <c:pt idx="0">
                  <c:v>France </c:v>
                </c:pt>
                <c:pt idx="1">
                  <c:v>Denmark</c:v>
                </c:pt>
                <c:pt idx="2">
                  <c:v>Italy</c:v>
                </c:pt>
                <c:pt idx="3">
                  <c:v>Latvia</c:v>
                </c:pt>
                <c:pt idx="4">
                  <c:v>Romania</c:v>
                </c:pt>
              </c:strCache>
            </c:strRef>
          </c:cat>
          <c:val>
            <c:numRef>
              <c:f>'Cross-country Q14 (2)'!$B$5:$F$5</c:f>
              <c:numCache>
                <c:formatCode>0%</c:formatCode>
                <c:ptCount val="5"/>
                <c:pt idx="0">
                  <c:v>0</c:v>
                </c:pt>
                <c:pt idx="1">
                  <c:v>0</c:v>
                </c:pt>
                <c:pt idx="2">
                  <c:v>0</c:v>
                </c:pt>
                <c:pt idx="3">
                  <c:v>0</c:v>
                </c:pt>
                <c:pt idx="4">
                  <c:v>0</c:v>
                </c:pt>
              </c:numCache>
            </c:numRef>
          </c:val>
          <c:extLst>
            <c:ext xmlns:c16="http://schemas.microsoft.com/office/drawing/2014/chart" uri="{C3380CC4-5D6E-409C-BE32-E72D297353CC}">
              <c16:uniqueId val="{0000000D-E12A-4BA9-AD42-8923610F941B}"/>
            </c:ext>
          </c:extLst>
        </c:ser>
        <c:dLbls>
          <c:showLegendKey val="0"/>
          <c:showVal val="0"/>
          <c:showCatName val="0"/>
          <c:showSerName val="0"/>
          <c:showPercent val="0"/>
          <c:showBubbleSize val="0"/>
        </c:dLbls>
        <c:gapWidth val="150"/>
        <c:overlap val="100"/>
        <c:axId val="1282169248"/>
        <c:axId val="1282168288"/>
        <c:extLst>
          <c:ext xmlns:c15="http://schemas.microsoft.com/office/drawing/2012/chart" uri="{02D57815-91ED-43cb-92C2-25804820EDAC}">
            <c15:filteredBarSeries>
              <c15:ser>
                <c:idx val="4"/>
                <c:order val="4"/>
                <c:tx>
                  <c:strRef>
                    <c:extLst>
                      <c:ext uri="{02D57815-91ED-43cb-92C2-25804820EDAC}">
                        <c15:formulaRef>
                          <c15:sqref>'Cross-country Q14 (2)'!$A$6</c15:sqref>
                        </c15:formulaRef>
                      </c:ext>
                    </c:extLst>
                    <c:strCache>
                      <c:ptCount val="1"/>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'Cross-country Q14 (2)'!$B$1:$F$1</c15:sqref>
                        </c15:formulaRef>
                      </c:ext>
                    </c:extLst>
                    <c:strCache>
                      <c:ptCount val="5"/>
                      <c:pt idx="0">
                        <c:v>France </c:v>
                      </c:pt>
                      <c:pt idx="1">
                        <c:v>Denmark</c:v>
                      </c:pt>
                      <c:pt idx="2">
                        <c:v>Italy</c:v>
                      </c:pt>
                      <c:pt idx="3">
                        <c:v>Latvia</c:v>
                      </c:pt>
                      <c:pt idx="4">
                        <c:v>Romania</c:v>
                      </c:pt>
                    </c:strCache>
                  </c:strRef>
                </c:cat>
                <c:val>
                  <c:numRef>
                    <c:extLst>
                      <c:ext uri="{02D57815-91ED-43cb-92C2-25804820EDAC}">
                        <c15:formulaRef>
                          <c15:sqref>'Cross-country Q14 (2)'!$B$6:$F$6</c15:sqref>
                        </c15:formulaRef>
                      </c:ext>
                    </c:extLst>
                    <c:numCache>
                      <c:formatCode>General</c:formatCode>
                      <c:ptCount val="5"/>
                    </c:numCache>
                  </c:numRef>
                </c:val>
                <c:extLst>
                  <c:ext xmlns:c16="http://schemas.microsoft.com/office/drawing/2014/chart" uri="{C3380CC4-5D6E-409C-BE32-E72D297353CC}">
                    <c16:uniqueId val="{0000000E-E12A-4BA9-AD42-8923610F941B}"/>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'Cross-country Q14 (2)'!$A$7</c15:sqref>
                        </c15:formulaRef>
                      </c:ext>
                    </c:extLst>
                    <c:strCache>
                      <c:ptCount val="1"/>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'Cross-country Q14 (2)'!$B$1:$F$1</c15:sqref>
                        </c15:formulaRef>
                      </c:ext>
                    </c:extLst>
                    <c:strCache>
                      <c:ptCount val="5"/>
                      <c:pt idx="0">
                        <c:v>France </c:v>
                      </c:pt>
                      <c:pt idx="1">
                        <c:v>Denmark</c:v>
                      </c:pt>
                      <c:pt idx="2">
                        <c:v>Italy</c:v>
                      </c:pt>
                      <c:pt idx="3">
                        <c:v>Latvia</c:v>
                      </c:pt>
                      <c:pt idx="4">
                        <c:v>Romania</c:v>
                      </c:pt>
                    </c:strCache>
                  </c:strRef>
                </c:cat>
                <c:val>
                  <c:numRef>
                    <c:extLst xmlns:c15="http://schemas.microsoft.com/office/drawing/2012/chart">
                      <c:ext xmlns:c15="http://schemas.microsoft.com/office/drawing/2012/chart" uri="{02D57815-91ED-43cb-92C2-25804820EDAC}">
                        <c15:formulaRef>
                          <c15:sqref>'Cross-country Q14 (2)'!$B$7:$F$7</c15:sqref>
                        </c15:formulaRef>
                      </c:ext>
                    </c:extLst>
                    <c:numCache>
                      <c:formatCode>General</c:formatCode>
                      <c:ptCount val="5"/>
                    </c:numCache>
                  </c:numRef>
                </c:val>
                <c:extLst xmlns:c15="http://schemas.microsoft.com/office/drawing/2012/chart">
                  <c:ext xmlns:c16="http://schemas.microsoft.com/office/drawing/2014/chart" uri="{C3380CC4-5D6E-409C-BE32-E72D297353CC}">
                    <c16:uniqueId val="{0000000F-E12A-4BA9-AD42-8923610F941B}"/>
                  </c:ext>
                </c:extLst>
              </c15:ser>
            </c15:filteredBarSeries>
          </c:ext>
        </c:extLst>
      </c:barChart>
      <c:catAx>
        <c:axId val="12821692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2168288"/>
        <c:crosses val="autoZero"/>
        <c:auto val="1"/>
        <c:lblAlgn val="ctr"/>
        <c:lblOffset val="100"/>
        <c:noMultiLvlLbl val="0"/>
      </c:catAx>
      <c:valAx>
        <c:axId val="128216828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2169248"/>
        <c:crosses val="autoZero"/>
        <c:crossBetween val="between"/>
      </c:valAx>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To your knowledge, are support measures available</a:t>
            </a:r>
            <a:r>
              <a:rPr lang="en-US" sz="1200" baseline="0">
                <a:latin typeface="Times New Roman" panose="02020603050405020304" pitchFamily="18" charset="0"/>
                <a:cs typeface="Times New Roman" panose="02020603050405020304" pitchFamily="18" charset="0"/>
              </a:rPr>
              <a:t> to all reporting persons and facilitators?</a:t>
            </a:r>
            <a:endParaRPr lang="en-US"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286326353055764"/>
          <c:y val="0.17634259259259263"/>
          <c:w val="0.40315464041629961"/>
          <c:h val="0.6714577865266842"/>
        </c:manualLayout>
      </c:layout>
      <c:pieChart>
        <c:varyColors val="1"/>
        <c:ser>
          <c:idx val="0"/>
          <c:order val="0"/>
          <c:tx>
            <c:strRef>
              <c:f>General!$C$163</c:f>
              <c:strCache>
                <c:ptCount val="1"/>
                <c:pt idx="0">
                  <c:v>Answers</c:v>
                </c:pt>
              </c:strCache>
            </c:strRef>
          </c:tx>
          <c:dPt>
            <c:idx val="0"/>
            <c:bubble3D val="0"/>
            <c:spPr>
              <a:solidFill>
                <a:srgbClr val="005B5F"/>
              </a:solidFill>
              <a:ln w="19050">
                <a:solidFill>
                  <a:schemeClr val="lt1"/>
                </a:solidFill>
              </a:ln>
              <a:effectLst/>
            </c:spPr>
            <c:extLst>
              <c:ext xmlns:c16="http://schemas.microsoft.com/office/drawing/2014/chart" uri="{C3380CC4-5D6E-409C-BE32-E72D297353CC}">
                <c16:uniqueId val="{00000001-256C-40A4-B0EF-C74BE59FA854}"/>
              </c:ext>
            </c:extLst>
          </c:dPt>
          <c:dPt>
            <c:idx val="1"/>
            <c:bubble3D val="0"/>
            <c:spPr>
              <a:solidFill>
                <a:srgbClr val="D83F29"/>
              </a:solidFill>
              <a:ln w="19050">
                <a:solidFill>
                  <a:schemeClr val="lt1"/>
                </a:solidFill>
              </a:ln>
              <a:effectLst/>
            </c:spPr>
            <c:extLst>
              <c:ext xmlns:c16="http://schemas.microsoft.com/office/drawing/2014/chart" uri="{C3380CC4-5D6E-409C-BE32-E72D297353CC}">
                <c16:uniqueId val="{00000003-256C-40A4-B0EF-C74BE59FA854}"/>
              </c:ext>
            </c:extLst>
          </c:dPt>
          <c:dPt>
            <c:idx val="2"/>
            <c:bubble3D val="0"/>
            <c:spPr>
              <a:solidFill>
                <a:srgbClr val="6F6B6C"/>
              </a:solidFill>
              <a:ln w="19050">
                <a:solidFill>
                  <a:schemeClr val="lt1"/>
                </a:solidFill>
              </a:ln>
              <a:effectLst/>
            </c:spPr>
            <c:extLst>
              <c:ext xmlns:c16="http://schemas.microsoft.com/office/drawing/2014/chart" uri="{C3380CC4-5D6E-409C-BE32-E72D297353CC}">
                <c16:uniqueId val="{00000005-256C-40A4-B0EF-C74BE59FA854}"/>
              </c:ext>
            </c:extLst>
          </c:dPt>
          <c:dLbls>
            <c:dLbl>
              <c:idx val="0"/>
              <c:layout>
                <c:manualLayout>
                  <c:x val="-0.10244535433070866"/>
                  <c:y val="6.278472183983994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56C-40A4-B0EF-C74BE59FA854}"/>
                </c:ext>
              </c:extLst>
            </c:dLbl>
            <c:dLbl>
              <c:idx val="1"/>
              <c:layout>
                <c:manualLayout>
                  <c:x val="1.0110446194225721E-2"/>
                  <c:y val="-0.19115540627351651"/>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56C-40A4-B0EF-C74BE59FA854}"/>
                </c:ext>
              </c:extLst>
            </c:dLbl>
            <c:dLbl>
              <c:idx val="2"/>
              <c:layout>
                <c:manualLayout>
                  <c:x val="0.10848734908136483"/>
                  <c:y val="5.860323403630490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56C-40A4-B0EF-C74BE59FA85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General!$A$164:$B$166</c:f>
              <c:strCache>
                <c:ptCount val="3"/>
                <c:pt idx="0">
                  <c:v>Yes</c:v>
                </c:pt>
                <c:pt idx="1">
                  <c:v>No</c:v>
                </c:pt>
                <c:pt idx="2">
                  <c:v>I don't know</c:v>
                </c:pt>
              </c:strCache>
            </c:strRef>
          </c:cat>
          <c:val>
            <c:numRef>
              <c:f>General!$C$164:$C$166</c:f>
              <c:numCache>
                <c:formatCode>General</c:formatCode>
                <c:ptCount val="3"/>
                <c:pt idx="0">
                  <c:v>14</c:v>
                </c:pt>
                <c:pt idx="1">
                  <c:v>13</c:v>
                </c:pt>
                <c:pt idx="2">
                  <c:v>13</c:v>
                </c:pt>
              </c:numCache>
            </c:numRef>
          </c:val>
          <c:extLst>
            <c:ext xmlns:c16="http://schemas.microsoft.com/office/drawing/2014/chart" uri="{C3380CC4-5D6E-409C-BE32-E72D297353CC}">
              <c16:uniqueId val="{00000006-256C-40A4-B0EF-C74BE59FA854}"/>
            </c:ext>
          </c:extLst>
        </c:ser>
        <c:ser>
          <c:idx val="1"/>
          <c:order val="1"/>
          <c:tx>
            <c:strRef>
              <c:f>General!$D$163</c:f>
              <c:strCache>
                <c:ptCount val="1"/>
                <c:pt idx="0">
                  <c:v>Ratio</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8-256C-40A4-B0EF-C74BE59FA85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A-256C-40A4-B0EF-C74BE59FA85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C-256C-40A4-B0EF-C74BE59FA854}"/>
              </c:ext>
            </c:extLst>
          </c:dPt>
          <c:cat>
            <c:strRef>
              <c:f>General!$A$164:$B$166</c:f>
              <c:strCache>
                <c:ptCount val="3"/>
                <c:pt idx="0">
                  <c:v>Yes</c:v>
                </c:pt>
                <c:pt idx="1">
                  <c:v>No</c:v>
                </c:pt>
                <c:pt idx="2">
                  <c:v>I don't know</c:v>
                </c:pt>
              </c:strCache>
            </c:strRef>
          </c:cat>
          <c:val>
            <c:numRef>
              <c:f>General!$D$164:$D$166</c:f>
              <c:numCache>
                <c:formatCode>0%</c:formatCode>
                <c:ptCount val="3"/>
                <c:pt idx="0">
                  <c:v>0.35</c:v>
                </c:pt>
                <c:pt idx="1">
                  <c:v>0.32500000000000001</c:v>
                </c:pt>
                <c:pt idx="2">
                  <c:v>0.32500000000000001</c:v>
                </c:pt>
              </c:numCache>
            </c:numRef>
          </c:val>
          <c:extLst>
            <c:ext xmlns:c16="http://schemas.microsoft.com/office/drawing/2014/chart" uri="{C3380CC4-5D6E-409C-BE32-E72D297353CC}">
              <c16:uniqueId val="{0000000D-256C-40A4-B0EF-C74BE59FA85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u="none" strike="noStrike" kern="1200" spc="0" baseline="0">
                <a:solidFill>
                  <a:sysClr val="windowText" lastClr="000000">
                    <a:lumMod val="65000"/>
                    <a:lumOff val="35000"/>
                  </a:sysClr>
                </a:solidFill>
                <a:latin typeface="Times New Roman" panose="02020603050405020304" pitchFamily="18" charset="0"/>
                <a:cs typeface="Times New Roman" panose="02020603050405020304" pitchFamily="18" charset="0"/>
              </a:rPr>
              <a:t>To your knowledge, are support measures available to all reporting persons and facilitators?</a:t>
            </a:r>
            <a:endParaRPr lang="hu-HU" sz="1200" b="0" i="0" u="none" strike="noStrike" kern="1200" spc="0" baseline="0">
              <a:solidFill>
                <a:sysClr val="windowText" lastClr="000000">
                  <a:lumMod val="65000"/>
                  <a:lumOff val="35000"/>
                </a:sysClr>
              </a:solidFill>
              <a:latin typeface="Times New Roman" panose="02020603050405020304" pitchFamily="18" charset="0"/>
              <a:cs typeface="Times New Roman" panose="02020603050405020304" pitchFamily="18" charset="0"/>
            </a:endParaRPr>
          </a:p>
          <a:p>
            <a:pPr>
              <a:defRPr/>
            </a:pPr>
            <a:r>
              <a:rPr lang="hu-HU" sz="1200" b="0" i="0" u="none" strike="noStrike" kern="1200" spc="0" baseline="0">
                <a:solidFill>
                  <a:sysClr val="windowText" lastClr="000000">
                    <a:lumMod val="65000"/>
                    <a:lumOff val="35000"/>
                  </a:sysClr>
                </a:solidFill>
                <a:latin typeface="Times New Roman" panose="02020603050405020304" pitchFamily="18" charset="0"/>
                <a:cs typeface="Times New Roman" panose="02020603050405020304" pitchFamily="18" charset="0"/>
              </a:rPr>
              <a:t>By country</a:t>
            </a:r>
            <a:endParaRPr lang="en-US" sz="1200" b="0" i="0" u="none" strike="noStrike" kern="1200" spc="0" baseline="0">
              <a:solidFill>
                <a:sysClr val="windowText" lastClr="000000">
                  <a:lumMod val="65000"/>
                  <a:lumOff val="35000"/>
                </a:sysClr>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'Cross-country Q14 (2)'!$A$2</c:f>
              <c:strCache>
                <c:ptCount val="1"/>
                <c:pt idx="0">
                  <c:v>Yes</c:v>
                </c:pt>
              </c:strCache>
            </c:strRef>
          </c:tx>
          <c:spPr>
            <a:solidFill>
              <a:srgbClr val="005B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'Cross-country Q14 (2)'!$B$1:$F$1</c:f>
              <c:strCache>
                <c:ptCount val="5"/>
                <c:pt idx="0">
                  <c:v>France </c:v>
                </c:pt>
                <c:pt idx="1">
                  <c:v>Denmark</c:v>
                </c:pt>
                <c:pt idx="2">
                  <c:v>Italy</c:v>
                </c:pt>
                <c:pt idx="3">
                  <c:v>Latvia</c:v>
                </c:pt>
                <c:pt idx="4">
                  <c:v>Romania</c:v>
                </c:pt>
              </c:strCache>
            </c:strRef>
          </c:cat>
          <c:val>
            <c:numRef>
              <c:f>'Cross-country Q14 (2)'!$B$2:$F$2</c:f>
              <c:numCache>
                <c:formatCode>0%</c:formatCode>
                <c:ptCount val="5"/>
                <c:pt idx="0">
                  <c:v>0.1111111111111111</c:v>
                </c:pt>
                <c:pt idx="1">
                  <c:v>0.16666666666666663</c:v>
                </c:pt>
                <c:pt idx="2">
                  <c:v>0.625</c:v>
                </c:pt>
                <c:pt idx="3">
                  <c:v>0.7142857142857143</c:v>
                </c:pt>
                <c:pt idx="4">
                  <c:v>0.25</c:v>
                </c:pt>
              </c:numCache>
            </c:numRef>
          </c:val>
          <c:extLst>
            <c:ext xmlns:c16="http://schemas.microsoft.com/office/drawing/2014/chart" uri="{C3380CC4-5D6E-409C-BE32-E72D297353CC}">
              <c16:uniqueId val="{00000000-F61F-4E81-9755-D2F5F525AB1D}"/>
            </c:ext>
          </c:extLst>
        </c:ser>
        <c:ser>
          <c:idx val="1"/>
          <c:order val="1"/>
          <c:tx>
            <c:strRef>
              <c:f>'Cross-country Q14 (2)'!$A$3</c:f>
              <c:strCache>
                <c:ptCount val="1"/>
                <c:pt idx="0">
                  <c:v>No</c:v>
                </c:pt>
              </c:strCache>
            </c:strRef>
          </c:tx>
          <c:spPr>
            <a:solidFill>
              <a:srgbClr val="D83F29"/>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1-F61F-4E81-9755-D2F5F525AB1D}"/>
                </c:ext>
              </c:extLst>
            </c:dLbl>
            <c:dLbl>
              <c:idx val="3"/>
              <c:delete val="1"/>
              <c:extLst>
                <c:ext xmlns:c15="http://schemas.microsoft.com/office/drawing/2012/chart" uri="{CE6537A1-D6FC-4f65-9D91-7224C49458BB}"/>
                <c:ext xmlns:c16="http://schemas.microsoft.com/office/drawing/2014/chart" uri="{C3380CC4-5D6E-409C-BE32-E72D297353CC}">
                  <c16:uniqueId val="{00000002-F61F-4E81-9755-D2F5F525AB1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'Cross-country Q14 (2)'!$B$1:$F$1</c:f>
              <c:strCache>
                <c:ptCount val="5"/>
                <c:pt idx="0">
                  <c:v>France </c:v>
                </c:pt>
                <c:pt idx="1">
                  <c:v>Denmark</c:v>
                </c:pt>
                <c:pt idx="2">
                  <c:v>Italy</c:v>
                </c:pt>
                <c:pt idx="3">
                  <c:v>Latvia</c:v>
                </c:pt>
                <c:pt idx="4">
                  <c:v>Romania</c:v>
                </c:pt>
              </c:strCache>
            </c:strRef>
          </c:cat>
          <c:val>
            <c:numRef>
              <c:f>'Cross-country Q14 (2)'!$B$3:$F$3</c:f>
              <c:numCache>
                <c:formatCode>0%</c:formatCode>
                <c:ptCount val="5"/>
                <c:pt idx="0">
                  <c:v>0.88888888888888884</c:v>
                </c:pt>
                <c:pt idx="1">
                  <c:v>0.25</c:v>
                </c:pt>
                <c:pt idx="2">
                  <c:v>0</c:v>
                </c:pt>
                <c:pt idx="3">
                  <c:v>0</c:v>
                </c:pt>
                <c:pt idx="4">
                  <c:v>0.5</c:v>
                </c:pt>
              </c:numCache>
            </c:numRef>
          </c:val>
          <c:extLst>
            <c:ext xmlns:c16="http://schemas.microsoft.com/office/drawing/2014/chart" uri="{C3380CC4-5D6E-409C-BE32-E72D297353CC}">
              <c16:uniqueId val="{00000003-F61F-4E81-9755-D2F5F525AB1D}"/>
            </c:ext>
          </c:extLst>
        </c:ser>
        <c:ser>
          <c:idx val="2"/>
          <c:order val="2"/>
          <c:tx>
            <c:strRef>
              <c:f>'Cross-country Q14 (2)'!$A$4</c:f>
              <c:strCache>
                <c:ptCount val="1"/>
                <c:pt idx="0">
                  <c:v>I don't know</c:v>
                </c:pt>
              </c:strCache>
            </c:strRef>
          </c:tx>
          <c:spPr>
            <a:solidFill>
              <a:srgbClr val="6F6B6C"/>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4-F61F-4E81-9755-D2F5F525AB1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'Cross-country Q14 (2)'!$B$1:$F$1</c:f>
              <c:strCache>
                <c:ptCount val="5"/>
                <c:pt idx="0">
                  <c:v>France </c:v>
                </c:pt>
                <c:pt idx="1">
                  <c:v>Denmark</c:v>
                </c:pt>
                <c:pt idx="2">
                  <c:v>Italy</c:v>
                </c:pt>
                <c:pt idx="3">
                  <c:v>Latvia</c:v>
                </c:pt>
                <c:pt idx="4">
                  <c:v>Romania</c:v>
                </c:pt>
              </c:strCache>
            </c:strRef>
          </c:cat>
          <c:val>
            <c:numRef>
              <c:f>'Cross-country Q14 (2)'!$B$4:$F$4</c:f>
              <c:numCache>
                <c:formatCode>0%</c:formatCode>
                <c:ptCount val="5"/>
                <c:pt idx="0">
                  <c:v>0</c:v>
                </c:pt>
                <c:pt idx="1">
                  <c:v>0.58333333333333337</c:v>
                </c:pt>
                <c:pt idx="2">
                  <c:v>0.375</c:v>
                </c:pt>
                <c:pt idx="3">
                  <c:v>0.2857142857142857</c:v>
                </c:pt>
                <c:pt idx="4">
                  <c:v>0.25</c:v>
                </c:pt>
              </c:numCache>
            </c:numRef>
          </c:val>
          <c:extLst>
            <c:ext xmlns:c16="http://schemas.microsoft.com/office/drawing/2014/chart" uri="{C3380CC4-5D6E-409C-BE32-E72D297353CC}">
              <c16:uniqueId val="{00000005-F61F-4E81-9755-D2F5F525AB1D}"/>
            </c:ext>
          </c:extLst>
        </c:ser>
        <c:ser>
          <c:idx val="3"/>
          <c:order val="3"/>
          <c:tx>
            <c:strRef>
              <c:f>'Cross-country Q14 (2)'!$A$5</c:f>
              <c:strCache>
                <c:ptCount val="1"/>
                <c:pt idx="0">
                  <c:v>No answer</c:v>
                </c:pt>
              </c:strCache>
            </c:strRef>
          </c:tx>
          <c:spPr>
            <a:solidFill>
              <a:schemeClr val="accent4"/>
            </a:solidFill>
            <a:ln>
              <a:noFill/>
            </a:ln>
            <a:effectLst/>
          </c:spPr>
          <c:invertIfNegative val="0"/>
          <c:cat>
            <c:strRef>
              <c:f>'Cross-country Q14 (2)'!$B$1:$F$1</c:f>
              <c:strCache>
                <c:ptCount val="5"/>
                <c:pt idx="0">
                  <c:v>France </c:v>
                </c:pt>
                <c:pt idx="1">
                  <c:v>Denmark</c:v>
                </c:pt>
                <c:pt idx="2">
                  <c:v>Italy</c:v>
                </c:pt>
                <c:pt idx="3">
                  <c:v>Latvia</c:v>
                </c:pt>
                <c:pt idx="4">
                  <c:v>Romania</c:v>
                </c:pt>
              </c:strCache>
            </c:strRef>
          </c:cat>
          <c:val>
            <c:numRef>
              <c:f>'Cross-country Q14 (2)'!$B$5:$F$5</c:f>
              <c:numCache>
                <c:formatCode>0%</c:formatCode>
                <c:ptCount val="5"/>
                <c:pt idx="0">
                  <c:v>0</c:v>
                </c:pt>
                <c:pt idx="1">
                  <c:v>0</c:v>
                </c:pt>
                <c:pt idx="2">
                  <c:v>0</c:v>
                </c:pt>
                <c:pt idx="3">
                  <c:v>0</c:v>
                </c:pt>
                <c:pt idx="4">
                  <c:v>0</c:v>
                </c:pt>
              </c:numCache>
            </c:numRef>
          </c:val>
          <c:extLst>
            <c:ext xmlns:c16="http://schemas.microsoft.com/office/drawing/2014/chart" uri="{C3380CC4-5D6E-409C-BE32-E72D297353CC}">
              <c16:uniqueId val="{00000006-F61F-4E81-9755-D2F5F525AB1D}"/>
            </c:ext>
          </c:extLst>
        </c:ser>
        <c:dLbls>
          <c:showLegendKey val="0"/>
          <c:showVal val="0"/>
          <c:showCatName val="0"/>
          <c:showSerName val="0"/>
          <c:showPercent val="0"/>
          <c:showBubbleSize val="0"/>
        </c:dLbls>
        <c:gapWidth val="150"/>
        <c:overlap val="100"/>
        <c:axId val="1282169248"/>
        <c:axId val="1282168288"/>
        <c:extLst>
          <c:ext xmlns:c15="http://schemas.microsoft.com/office/drawing/2012/chart" uri="{02D57815-91ED-43cb-92C2-25804820EDAC}">
            <c15:filteredBarSeries>
              <c15:ser>
                <c:idx val="4"/>
                <c:order val="4"/>
                <c:tx>
                  <c:strRef>
                    <c:extLst>
                      <c:ext uri="{02D57815-91ED-43cb-92C2-25804820EDAC}">
                        <c15:formulaRef>
                          <c15:sqref>'Cross-country Q14 (2)'!$A$6</c15:sqref>
                        </c15:formulaRef>
                      </c:ext>
                    </c:extLst>
                    <c:strCache>
                      <c:ptCount val="1"/>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'Cross-country Q14 (2)'!$B$1:$F$1</c15:sqref>
                        </c15:formulaRef>
                      </c:ext>
                    </c:extLst>
                    <c:strCache>
                      <c:ptCount val="5"/>
                      <c:pt idx="0">
                        <c:v>France </c:v>
                      </c:pt>
                      <c:pt idx="1">
                        <c:v>Denmark</c:v>
                      </c:pt>
                      <c:pt idx="2">
                        <c:v>Italy</c:v>
                      </c:pt>
                      <c:pt idx="3">
                        <c:v>Latvia</c:v>
                      </c:pt>
                      <c:pt idx="4">
                        <c:v>Romania</c:v>
                      </c:pt>
                    </c:strCache>
                  </c:strRef>
                </c:cat>
                <c:val>
                  <c:numRef>
                    <c:extLst>
                      <c:ext uri="{02D57815-91ED-43cb-92C2-25804820EDAC}">
                        <c15:formulaRef>
                          <c15:sqref>'Cross-country Q14 (2)'!$B$6:$F$6</c15:sqref>
                        </c15:formulaRef>
                      </c:ext>
                    </c:extLst>
                    <c:numCache>
                      <c:formatCode>General</c:formatCode>
                      <c:ptCount val="5"/>
                    </c:numCache>
                  </c:numRef>
                </c:val>
                <c:extLst>
                  <c:ext xmlns:c16="http://schemas.microsoft.com/office/drawing/2014/chart" uri="{C3380CC4-5D6E-409C-BE32-E72D297353CC}">
                    <c16:uniqueId val="{00000007-F61F-4E81-9755-D2F5F525AB1D}"/>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'Cross-country Q14 (2)'!$A$7</c15:sqref>
                        </c15:formulaRef>
                      </c:ext>
                    </c:extLst>
                    <c:strCache>
                      <c:ptCount val="1"/>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'Cross-country Q14 (2)'!$B$1:$F$1</c15:sqref>
                        </c15:formulaRef>
                      </c:ext>
                    </c:extLst>
                    <c:strCache>
                      <c:ptCount val="5"/>
                      <c:pt idx="0">
                        <c:v>France </c:v>
                      </c:pt>
                      <c:pt idx="1">
                        <c:v>Denmark</c:v>
                      </c:pt>
                      <c:pt idx="2">
                        <c:v>Italy</c:v>
                      </c:pt>
                      <c:pt idx="3">
                        <c:v>Latvia</c:v>
                      </c:pt>
                      <c:pt idx="4">
                        <c:v>Romania</c:v>
                      </c:pt>
                    </c:strCache>
                  </c:strRef>
                </c:cat>
                <c:val>
                  <c:numRef>
                    <c:extLst xmlns:c15="http://schemas.microsoft.com/office/drawing/2012/chart">
                      <c:ext xmlns:c15="http://schemas.microsoft.com/office/drawing/2012/chart" uri="{02D57815-91ED-43cb-92C2-25804820EDAC}">
                        <c15:formulaRef>
                          <c15:sqref>'Cross-country Q14 (2)'!$B$7:$F$7</c15:sqref>
                        </c15:formulaRef>
                      </c:ext>
                    </c:extLst>
                    <c:numCache>
                      <c:formatCode>General</c:formatCode>
                      <c:ptCount val="5"/>
                    </c:numCache>
                  </c:numRef>
                </c:val>
                <c:extLst xmlns:c15="http://schemas.microsoft.com/office/drawing/2012/chart">
                  <c:ext xmlns:c16="http://schemas.microsoft.com/office/drawing/2014/chart" uri="{C3380CC4-5D6E-409C-BE32-E72D297353CC}">
                    <c16:uniqueId val="{00000008-F61F-4E81-9755-D2F5F525AB1D}"/>
                  </c:ext>
                </c:extLst>
              </c15:ser>
            </c15:filteredBarSeries>
          </c:ext>
        </c:extLst>
      </c:barChart>
      <c:catAx>
        <c:axId val="12821692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2168288"/>
        <c:crosses val="autoZero"/>
        <c:auto val="1"/>
        <c:lblAlgn val="ctr"/>
        <c:lblOffset val="100"/>
        <c:noMultiLvlLbl val="0"/>
      </c:catAx>
      <c:valAx>
        <c:axId val="128216828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2169248"/>
        <c:crosses val="autoZero"/>
        <c:crossBetween val="between"/>
      </c:valAx>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Do sectoral or professional confidentiality</a:t>
            </a:r>
            <a:r>
              <a:rPr lang="en-US" sz="1200" baseline="0">
                <a:latin typeface="Times New Roman" panose="02020603050405020304" pitchFamily="18" charset="0"/>
                <a:cs typeface="Times New Roman" panose="02020603050405020304" pitchFamily="18" charset="0"/>
              </a:rPr>
              <a:t> rules (e.g. in banking, defence, healthcare) complement or conflict with whistleblower protections in practice?</a:t>
            </a:r>
            <a:endParaRPr lang="en-US"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General!$C$170</c:f>
              <c:strCache>
                <c:ptCount val="1"/>
                <c:pt idx="0">
                  <c:v>Answers</c:v>
                </c:pt>
              </c:strCache>
            </c:strRef>
          </c:tx>
          <c:dPt>
            <c:idx val="0"/>
            <c:bubble3D val="0"/>
            <c:spPr>
              <a:solidFill>
                <a:srgbClr val="CC79A7"/>
              </a:solidFill>
              <a:ln w="19050">
                <a:solidFill>
                  <a:schemeClr val="lt1"/>
                </a:solidFill>
              </a:ln>
              <a:effectLst/>
            </c:spPr>
            <c:extLst>
              <c:ext xmlns:c16="http://schemas.microsoft.com/office/drawing/2014/chart" uri="{C3380CC4-5D6E-409C-BE32-E72D297353CC}">
                <c16:uniqueId val="{00000001-7D6C-4A17-BE1B-0C4955D61A5D}"/>
              </c:ext>
            </c:extLst>
          </c:dPt>
          <c:dPt>
            <c:idx val="1"/>
            <c:bubble3D val="0"/>
            <c:spPr>
              <a:solidFill>
                <a:srgbClr val="009E73"/>
              </a:solidFill>
              <a:ln w="19050">
                <a:solidFill>
                  <a:schemeClr val="lt1"/>
                </a:solidFill>
              </a:ln>
              <a:effectLst/>
            </c:spPr>
            <c:extLst>
              <c:ext xmlns:c16="http://schemas.microsoft.com/office/drawing/2014/chart" uri="{C3380CC4-5D6E-409C-BE32-E72D297353CC}">
                <c16:uniqueId val="{00000003-7D6C-4A17-BE1B-0C4955D61A5D}"/>
              </c:ext>
            </c:extLst>
          </c:dPt>
          <c:dPt>
            <c:idx val="2"/>
            <c:bubble3D val="0"/>
            <c:spPr>
              <a:solidFill>
                <a:srgbClr val="E69F00"/>
              </a:solidFill>
              <a:ln w="19050">
                <a:solidFill>
                  <a:schemeClr val="lt1"/>
                </a:solidFill>
              </a:ln>
              <a:effectLst/>
            </c:spPr>
            <c:extLst>
              <c:ext xmlns:c16="http://schemas.microsoft.com/office/drawing/2014/chart" uri="{C3380CC4-5D6E-409C-BE32-E72D297353CC}">
                <c16:uniqueId val="{00000005-7D6C-4A17-BE1B-0C4955D61A5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D6C-4A17-BE1B-0C4955D61A5D}"/>
              </c:ext>
            </c:extLst>
          </c:dPt>
          <c:dPt>
            <c:idx val="4"/>
            <c:bubble3D val="0"/>
            <c:spPr>
              <a:solidFill>
                <a:srgbClr val="6F6B6C"/>
              </a:solidFill>
              <a:ln w="19050">
                <a:solidFill>
                  <a:schemeClr val="lt1"/>
                </a:solidFill>
              </a:ln>
              <a:effectLst/>
            </c:spPr>
            <c:extLst>
              <c:ext xmlns:c16="http://schemas.microsoft.com/office/drawing/2014/chart" uri="{C3380CC4-5D6E-409C-BE32-E72D297353CC}">
                <c16:uniqueId val="{00000009-7D6C-4A17-BE1B-0C4955D61A5D}"/>
              </c:ext>
            </c:extLst>
          </c:dPt>
          <c:dLbls>
            <c:dLbl>
              <c:idx val="3"/>
              <c:layout>
                <c:manualLayout>
                  <c:x val="5.404340385391624E-2"/>
                  <c:y val="-1.461176727909011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D6C-4A17-BE1B-0C4955D61A5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General!$A$171:$B$175</c:f>
              <c:strCache>
                <c:ptCount val="5"/>
                <c:pt idx="0">
                  <c:v>Complement</c:v>
                </c:pt>
                <c:pt idx="1">
                  <c:v>Conflict</c:v>
                </c:pt>
                <c:pt idx="2">
                  <c:v>Both</c:v>
                </c:pt>
                <c:pt idx="3">
                  <c:v>Neither</c:v>
                </c:pt>
                <c:pt idx="4">
                  <c:v>I do not know</c:v>
                </c:pt>
              </c:strCache>
            </c:strRef>
          </c:cat>
          <c:val>
            <c:numRef>
              <c:f>General!$C$171:$C$175</c:f>
              <c:numCache>
                <c:formatCode>General</c:formatCode>
                <c:ptCount val="5"/>
                <c:pt idx="0">
                  <c:v>13</c:v>
                </c:pt>
                <c:pt idx="1">
                  <c:v>7</c:v>
                </c:pt>
                <c:pt idx="2">
                  <c:v>8</c:v>
                </c:pt>
                <c:pt idx="3">
                  <c:v>2</c:v>
                </c:pt>
                <c:pt idx="4">
                  <c:v>10</c:v>
                </c:pt>
              </c:numCache>
            </c:numRef>
          </c:val>
          <c:extLst>
            <c:ext xmlns:c16="http://schemas.microsoft.com/office/drawing/2014/chart" uri="{C3380CC4-5D6E-409C-BE32-E72D297353CC}">
              <c16:uniqueId val="{0000000A-7D6C-4A17-BE1B-0C4955D61A5D}"/>
            </c:ext>
          </c:extLst>
        </c:ser>
        <c:ser>
          <c:idx val="1"/>
          <c:order val="1"/>
          <c:tx>
            <c:strRef>
              <c:f>General!$D$170</c:f>
              <c:strCache>
                <c:ptCount val="1"/>
                <c:pt idx="0">
                  <c:v>Ratio</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C-7D6C-4A17-BE1B-0C4955D61A5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E-7D6C-4A17-BE1B-0C4955D61A5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0-7D6C-4A17-BE1B-0C4955D61A5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2-7D6C-4A17-BE1B-0C4955D61A5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4-7D6C-4A17-BE1B-0C4955D61A5D}"/>
              </c:ext>
            </c:extLst>
          </c:dPt>
          <c:cat>
            <c:strRef>
              <c:f>General!$A$171:$B$175</c:f>
              <c:strCache>
                <c:ptCount val="5"/>
                <c:pt idx="0">
                  <c:v>Complement</c:v>
                </c:pt>
                <c:pt idx="1">
                  <c:v>Conflict</c:v>
                </c:pt>
                <c:pt idx="2">
                  <c:v>Both</c:v>
                </c:pt>
                <c:pt idx="3">
                  <c:v>Neither</c:v>
                </c:pt>
                <c:pt idx="4">
                  <c:v>I do not know</c:v>
                </c:pt>
              </c:strCache>
            </c:strRef>
          </c:cat>
          <c:val>
            <c:numRef>
              <c:f>General!$D$171:$D$175</c:f>
              <c:numCache>
                <c:formatCode>0%</c:formatCode>
                <c:ptCount val="5"/>
                <c:pt idx="0">
                  <c:v>0.32500000000000001</c:v>
                </c:pt>
                <c:pt idx="1">
                  <c:v>0.17499999999999999</c:v>
                </c:pt>
                <c:pt idx="2">
                  <c:v>0.2</c:v>
                </c:pt>
                <c:pt idx="3">
                  <c:v>0.05</c:v>
                </c:pt>
                <c:pt idx="4">
                  <c:v>0.25</c:v>
                </c:pt>
              </c:numCache>
            </c:numRef>
          </c:val>
          <c:extLst>
            <c:ext xmlns:c16="http://schemas.microsoft.com/office/drawing/2014/chart" uri="{C3380CC4-5D6E-409C-BE32-E72D297353CC}">
              <c16:uniqueId val="{00000015-7D6C-4A17-BE1B-0C4955D61A5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a:latin typeface="Times New Roman" panose="02020603050405020304" pitchFamily="18" charset="0"/>
                <a:cs typeface="Times New Roman" panose="02020603050405020304" pitchFamily="18" charset="0"/>
              </a:rPr>
              <a:t>Do sectoral</a:t>
            </a:r>
            <a:r>
              <a:rPr lang="en-GB" sz="1200" baseline="0">
                <a:latin typeface="Times New Roman" panose="02020603050405020304" pitchFamily="18" charset="0"/>
                <a:cs typeface="Times New Roman" panose="02020603050405020304" pitchFamily="18" charset="0"/>
              </a:rPr>
              <a:t> or professional confidentiality rules (e.g., in banking, defence, healthcare) complement or conflict with whistleblower protections in practice?</a:t>
            </a:r>
            <a:endParaRPr lang="hu-HU" sz="1200" baseline="0">
              <a:latin typeface="Times New Roman" panose="02020603050405020304" pitchFamily="18" charset="0"/>
              <a:cs typeface="Times New Roman" panose="02020603050405020304" pitchFamily="18" charset="0"/>
            </a:endParaRPr>
          </a:p>
          <a:p>
            <a:pPr>
              <a:defRPr/>
            </a:pPr>
            <a:r>
              <a:rPr lang="hu-HU" sz="1200" baseline="0">
                <a:latin typeface="Times New Roman" panose="02020603050405020304" pitchFamily="18" charset="0"/>
                <a:cs typeface="Times New Roman" panose="02020603050405020304" pitchFamily="18" charset="0"/>
              </a:rPr>
              <a:t>By country</a:t>
            </a:r>
            <a:endParaRPr lang="en-GB"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'Cross-country Q14 (2)'!$A$2</c:f>
              <c:strCache>
                <c:ptCount val="1"/>
                <c:pt idx="0">
                  <c:v>Complement</c:v>
                </c:pt>
              </c:strCache>
            </c:strRef>
          </c:tx>
          <c:spPr>
            <a:solidFill>
              <a:srgbClr val="56B4E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'Cross-country Q14 (2)'!$B$1:$F$1</c:f>
              <c:strCache>
                <c:ptCount val="5"/>
                <c:pt idx="0">
                  <c:v>France </c:v>
                </c:pt>
                <c:pt idx="1">
                  <c:v>Denmark</c:v>
                </c:pt>
                <c:pt idx="2">
                  <c:v>Italy</c:v>
                </c:pt>
                <c:pt idx="3">
                  <c:v>Latvia</c:v>
                </c:pt>
                <c:pt idx="4">
                  <c:v>Romania</c:v>
                </c:pt>
              </c:strCache>
            </c:strRef>
          </c:cat>
          <c:val>
            <c:numRef>
              <c:f>'Cross-country Q14 (2)'!$B$2:$F$2</c:f>
              <c:numCache>
                <c:formatCode>0%</c:formatCode>
                <c:ptCount val="5"/>
                <c:pt idx="0">
                  <c:v>0.22222222222222221</c:v>
                </c:pt>
                <c:pt idx="1">
                  <c:v>0.25</c:v>
                </c:pt>
                <c:pt idx="2">
                  <c:v>0.625</c:v>
                </c:pt>
                <c:pt idx="3">
                  <c:v>0.2857142857142857</c:v>
                </c:pt>
                <c:pt idx="4">
                  <c:v>0.25</c:v>
                </c:pt>
              </c:numCache>
            </c:numRef>
          </c:val>
          <c:extLst>
            <c:ext xmlns:c16="http://schemas.microsoft.com/office/drawing/2014/chart" uri="{C3380CC4-5D6E-409C-BE32-E72D297353CC}">
              <c16:uniqueId val="{00000000-53A7-4075-9467-B776ED8E8839}"/>
            </c:ext>
          </c:extLst>
        </c:ser>
        <c:ser>
          <c:idx val="1"/>
          <c:order val="1"/>
          <c:tx>
            <c:strRef>
              <c:f>'Cross-country Q14 (2)'!$A$3</c:f>
              <c:strCache>
                <c:ptCount val="1"/>
                <c:pt idx="0">
                  <c:v>Conflict</c:v>
                </c:pt>
              </c:strCache>
            </c:strRef>
          </c:tx>
          <c:spPr>
            <a:solidFill>
              <a:srgbClr val="E69F00"/>
            </a:solidFill>
            <a:ln>
              <a:no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1-53A7-4075-9467-B776ED8E8839}"/>
                </c:ext>
              </c:extLst>
            </c:dLbl>
            <c:dLbl>
              <c:idx val="4"/>
              <c:delete val="1"/>
              <c:extLst>
                <c:ext xmlns:c15="http://schemas.microsoft.com/office/drawing/2012/chart" uri="{CE6537A1-D6FC-4f65-9D91-7224C49458BB}"/>
                <c:ext xmlns:c16="http://schemas.microsoft.com/office/drawing/2014/chart" uri="{C3380CC4-5D6E-409C-BE32-E72D297353CC}">
                  <c16:uniqueId val="{00000002-53A7-4075-9467-B776ED8E883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'Cross-country Q14 (2)'!$B$1:$F$1</c:f>
              <c:strCache>
                <c:ptCount val="5"/>
                <c:pt idx="0">
                  <c:v>France </c:v>
                </c:pt>
                <c:pt idx="1">
                  <c:v>Denmark</c:v>
                </c:pt>
                <c:pt idx="2">
                  <c:v>Italy</c:v>
                </c:pt>
                <c:pt idx="3">
                  <c:v>Latvia</c:v>
                </c:pt>
                <c:pt idx="4">
                  <c:v>Romania</c:v>
                </c:pt>
              </c:strCache>
            </c:strRef>
          </c:cat>
          <c:val>
            <c:numRef>
              <c:f>'Cross-country Q14 (2)'!$B$3:$F$3</c:f>
              <c:numCache>
                <c:formatCode>0%</c:formatCode>
                <c:ptCount val="5"/>
                <c:pt idx="0">
                  <c:v>0.33333333333333326</c:v>
                </c:pt>
                <c:pt idx="1">
                  <c:v>0.25</c:v>
                </c:pt>
                <c:pt idx="2">
                  <c:v>0.125</c:v>
                </c:pt>
                <c:pt idx="3">
                  <c:v>0</c:v>
                </c:pt>
                <c:pt idx="4">
                  <c:v>0</c:v>
                </c:pt>
              </c:numCache>
            </c:numRef>
          </c:val>
          <c:extLst>
            <c:ext xmlns:c16="http://schemas.microsoft.com/office/drawing/2014/chart" uri="{C3380CC4-5D6E-409C-BE32-E72D297353CC}">
              <c16:uniqueId val="{00000003-53A7-4075-9467-B776ED8E8839}"/>
            </c:ext>
          </c:extLst>
        </c:ser>
        <c:ser>
          <c:idx val="2"/>
          <c:order val="2"/>
          <c:tx>
            <c:strRef>
              <c:f>'Cross-country Q14 (2)'!$A$4</c:f>
              <c:strCache>
                <c:ptCount val="1"/>
                <c:pt idx="0">
                  <c:v>Both</c:v>
                </c:pt>
              </c:strCache>
            </c:strRef>
          </c:tx>
          <c:spPr>
            <a:solidFill>
              <a:srgbClr val="009E73"/>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4-53A7-4075-9467-B776ED8E8839}"/>
                </c:ext>
              </c:extLst>
            </c:dLbl>
            <c:dLbl>
              <c:idx val="2"/>
              <c:delete val="1"/>
              <c:extLst>
                <c:ext xmlns:c15="http://schemas.microsoft.com/office/drawing/2012/chart" uri="{CE6537A1-D6FC-4f65-9D91-7224C49458BB}"/>
                <c:ext xmlns:c16="http://schemas.microsoft.com/office/drawing/2014/chart" uri="{C3380CC4-5D6E-409C-BE32-E72D297353CC}">
                  <c16:uniqueId val="{00000005-53A7-4075-9467-B776ED8E883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'Cross-country Q14 (2)'!$B$1:$F$1</c:f>
              <c:strCache>
                <c:ptCount val="5"/>
                <c:pt idx="0">
                  <c:v>France </c:v>
                </c:pt>
                <c:pt idx="1">
                  <c:v>Denmark</c:v>
                </c:pt>
                <c:pt idx="2">
                  <c:v>Italy</c:v>
                </c:pt>
                <c:pt idx="3">
                  <c:v>Latvia</c:v>
                </c:pt>
                <c:pt idx="4">
                  <c:v>Romania</c:v>
                </c:pt>
              </c:strCache>
            </c:strRef>
          </c:cat>
          <c:val>
            <c:numRef>
              <c:f>'Cross-country Q14 (2)'!$B$4:$F$4</c:f>
              <c:numCache>
                <c:formatCode>0%</c:formatCode>
                <c:ptCount val="5"/>
                <c:pt idx="0">
                  <c:v>0.33333333333333326</c:v>
                </c:pt>
                <c:pt idx="1">
                  <c:v>0</c:v>
                </c:pt>
                <c:pt idx="2">
                  <c:v>0</c:v>
                </c:pt>
                <c:pt idx="3">
                  <c:v>0.2857142857142857</c:v>
                </c:pt>
                <c:pt idx="4">
                  <c:v>0.75</c:v>
                </c:pt>
              </c:numCache>
            </c:numRef>
          </c:val>
          <c:extLst>
            <c:ext xmlns:c16="http://schemas.microsoft.com/office/drawing/2014/chart" uri="{C3380CC4-5D6E-409C-BE32-E72D297353CC}">
              <c16:uniqueId val="{00000006-53A7-4075-9467-B776ED8E8839}"/>
            </c:ext>
          </c:extLst>
        </c:ser>
        <c:ser>
          <c:idx val="3"/>
          <c:order val="3"/>
          <c:tx>
            <c:strRef>
              <c:f>'Cross-country Q14 (2)'!$A$5</c:f>
              <c:strCache>
                <c:ptCount val="1"/>
                <c:pt idx="0">
                  <c:v>Neither</c:v>
                </c:pt>
              </c:strCache>
            </c:strRef>
          </c:tx>
          <c:spPr>
            <a:solidFill>
              <a:srgbClr val="CC79A7"/>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7-53A7-4075-9467-B776ED8E8839}"/>
                </c:ext>
              </c:extLst>
            </c:dLbl>
            <c:dLbl>
              <c:idx val="2"/>
              <c:delete val="1"/>
              <c:extLst>
                <c:ext xmlns:c15="http://schemas.microsoft.com/office/drawing/2012/chart" uri="{CE6537A1-D6FC-4f65-9D91-7224C49458BB}"/>
                <c:ext xmlns:c16="http://schemas.microsoft.com/office/drawing/2014/chart" uri="{C3380CC4-5D6E-409C-BE32-E72D297353CC}">
                  <c16:uniqueId val="{00000008-53A7-4075-9467-B776ED8E8839}"/>
                </c:ext>
              </c:extLst>
            </c:dLbl>
            <c:dLbl>
              <c:idx val="4"/>
              <c:delete val="1"/>
              <c:extLst>
                <c:ext xmlns:c15="http://schemas.microsoft.com/office/drawing/2012/chart" uri="{CE6537A1-D6FC-4f65-9D91-7224C49458BB}"/>
                <c:ext xmlns:c16="http://schemas.microsoft.com/office/drawing/2014/chart" uri="{C3380CC4-5D6E-409C-BE32-E72D297353CC}">
                  <c16:uniqueId val="{00000009-53A7-4075-9467-B776ED8E883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'Cross-country Q14 (2)'!$B$1:$F$1</c:f>
              <c:strCache>
                <c:ptCount val="5"/>
                <c:pt idx="0">
                  <c:v>France </c:v>
                </c:pt>
                <c:pt idx="1">
                  <c:v>Denmark</c:v>
                </c:pt>
                <c:pt idx="2">
                  <c:v>Italy</c:v>
                </c:pt>
                <c:pt idx="3">
                  <c:v>Latvia</c:v>
                </c:pt>
                <c:pt idx="4">
                  <c:v>Romania</c:v>
                </c:pt>
              </c:strCache>
            </c:strRef>
          </c:cat>
          <c:val>
            <c:numRef>
              <c:f>'Cross-country Q14 (2)'!$B$5:$F$5</c:f>
              <c:numCache>
                <c:formatCode>0%</c:formatCode>
                <c:ptCount val="5"/>
                <c:pt idx="0">
                  <c:v>0.1111111111111111</c:v>
                </c:pt>
                <c:pt idx="1">
                  <c:v>0</c:v>
                </c:pt>
                <c:pt idx="2">
                  <c:v>0</c:v>
                </c:pt>
                <c:pt idx="3">
                  <c:v>0.14285714285714285</c:v>
                </c:pt>
                <c:pt idx="4">
                  <c:v>0</c:v>
                </c:pt>
              </c:numCache>
            </c:numRef>
          </c:val>
          <c:extLst>
            <c:ext xmlns:c16="http://schemas.microsoft.com/office/drawing/2014/chart" uri="{C3380CC4-5D6E-409C-BE32-E72D297353CC}">
              <c16:uniqueId val="{0000000A-53A7-4075-9467-B776ED8E8839}"/>
            </c:ext>
          </c:extLst>
        </c:ser>
        <c:ser>
          <c:idx val="4"/>
          <c:order val="4"/>
          <c:tx>
            <c:strRef>
              <c:f>'Cross-country Q14 (2)'!$A$6</c:f>
              <c:strCache>
                <c:ptCount val="1"/>
                <c:pt idx="0">
                  <c:v>I do not know</c:v>
                </c:pt>
              </c:strCache>
            </c:strRef>
          </c:tx>
          <c:spPr>
            <a:solidFill>
              <a:srgbClr val="6F6B6C"/>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B-53A7-4075-9467-B776ED8E8839}"/>
                </c:ext>
              </c:extLst>
            </c:dLbl>
            <c:dLbl>
              <c:idx val="4"/>
              <c:delete val="1"/>
              <c:extLst>
                <c:ext xmlns:c15="http://schemas.microsoft.com/office/drawing/2012/chart" uri="{CE6537A1-D6FC-4f65-9D91-7224C49458BB}"/>
                <c:ext xmlns:c16="http://schemas.microsoft.com/office/drawing/2014/chart" uri="{C3380CC4-5D6E-409C-BE32-E72D297353CC}">
                  <c16:uniqueId val="{0000000C-53A7-4075-9467-B776ED8E883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'Cross-country Q14 (2)'!$B$1:$F$1</c:f>
              <c:strCache>
                <c:ptCount val="5"/>
                <c:pt idx="0">
                  <c:v>France </c:v>
                </c:pt>
                <c:pt idx="1">
                  <c:v>Denmark</c:v>
                </c:pt>
                <c:pt idx="2">
                  <c:v>Italy</c:v>
                </c:pt>
                <c:pt idx="3">
                  <c:v>Latvia</c:v>
                </c:pt>
                <c:pt idx="4">
                  <c:v>Romania</c:v>
                </c:pt>
              </c:strCache>
            </c:strRef>
          </c:cat>
          <c:val>
            <c:numRef>
              <c:f>'Cross-country Q14 (2)'!$B$6:$F$6</c:f>
              <c:numCache>
                <c:formatCode>0%</c:formatCode>
                <c:ptCount val="5"/>
                <c:pt idx="0">
                  <c:v>0</c:v>
                </c:pt>
                <c:pt idx="1">
                  <c:v>0.5</c:v>
                </c:pt>
                <c:pt idx="2">
                  <c:v>0.25</c:v>
                </c:pt>
                <c:pt idx="3">
                  <c:v>0.2857142857142857</c:v>
                </c:pt>
                <c:pt idx="4">
                  <c:v>0</c:v>
                </c:pt>
              </c:numCache>
            </c:numRef>
          </c:val>
          <c:extLst>
            <c:ext xmlns:c16="http://schemas.microsoft.com/office/drawing/2014/chart" uri="{C3380CC4-5D6E-409C-BE32-E72D297353CC}">
              <c16:uniqueId val="{0000000D-53A7-4075-9467-B776ED8E8839}"/>
            </c:ext>
          </c:extLst>
        </c:ser>
        <c:ser>
          <c:idx val="5"/>
          <c:order val="5"/>
          <c:tx>
            <c:strRef>
              <c:f>'Cross-country Q14 (2)'!$A$7</c:f>
              <c:strCache>
                <c:ptCount val="1"/>
                <c:pt idx="0">
                  <c:v>No Answer</c:v>
                </c:pt>
              </c:strCache>
            </c:strRef>
          </c:tx>
          <c:spPr>
            <a:solidFill>
              <a:schemeClr val="accent6"/>
            </a:solidFill>
            <a:ln>
              <a:noFill/>
            </a:ln>
            <a:effectLst/>
          </c:spPr>
          <c:invertIfNegative val="0"/>
          <c:cat>
            <c:strRef>
              <c:f>'Cross-country Q14 (2)'!$B$1:$F$1</c:f>
              <c:strCache>
                <c:ptCount val="5"/>
                <c:pt idx="0">
                  <c:v>France </c:v>
                </c:pt>
                <c:pt idx="1">
                  <c:v>Denmark</c:v>
                </c:pt>
                <c:pt idx="2">
                  <c:v>Italy</c:v>
                </c:pt>
                <c:pt idx="3">
                  <c:v>Latvia</c:v>
                </c:pt>
                <c:pt idx="4">
                  <c:v>Romania</c:v>
                </c:pt>
              </c:strCache>
            </c:strRef>
          </c:cat>
          <c:val>
            <c:numRef>
              <c:f>'Cross-country Q14 (2)'!$B$7:$F$7</c:f>
              <c:numCache>
                <c:formatCode>0%</c:formatCode>
                <c:ptCount val="5"/>
                <c:pt idx="0">
                  <c:v>0</c:v>
                </c:pt>
                <c:pt idx="1">
                  <c:v>0</c:v>
                </c:pt>
                <c:pt idx="2">
                  <c:v>0</c:v>
                </c:pt>
                <c:pt idx="3">
                  <c:v>0</c:v>
                </c:pt>
                <c:pt idx="4">
                  <c:v>0</c:v>
                </c:pt>
              </c:numCache>
            </c:numRef>
          </c:val>
          <c:extLst>
            <c:ext xmlns:c16="http://schemas.microsoft.com/office/drawing/2014/chart" uri="{C3380CC4-5D6E-409C-BE32-E72D297353CC}">
              <c16:uniqueId val="{0000000E-53A7-4075-9467-B776ED8E8839}"/>
            </c:ext>
          </c:extLst>
        </c:ser>
        <c:dLbls>
          <c:showLegendKey val="0"/>
          <c:showVal val="0"/>
          <c:showCatName val="0"/>
          <c:showSerName val="0"/>
          <c:showPercent val="0"/>
          <c:showBubbleSize val="0"/>
        </c:dLbls>
        <c:gapWidth val="150"/>
        <c:overlap val="100"/>
        <c:axId val="1282169248"/>
        <c:axId val="1282168288"/>
        <c:extLst/>
      </c:barChart>
      <c:catAx>
        <c:axId val="12821692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2168288"/>
        <c:crosses val="autoZero"/>
        <c:auto val="1"/>
        <c:lblAlgn val="ctr"/>
        <c:lblOffset val="100"/>
        <c:noMultiLvlLbl val="0"/>
      </c:catAx>
      <c:valAx>
        <c:axId val="128216828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2169248"/>
        <c:crosses val="autoZero"/>
        <c:crossBetween val="between"/>
      </c:valAx>
      <c:spPr>
        <a:noFill/>
        <a:ln>
          <a:noFill/>
        </a:ln>
        <a:effectLst/>
      </c:spPr>
    </c:plotArea>
    <c:legend>
      <c:legendPos val="b"/>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Do</a:t>
            </a:r>
            <a:r>
              <a:rPr lang="en-US" sz="1200" baseline="0">
                <a:latin typeface="Times New Roman" panose="02020603050405020304" pitchFamily="18" charset="0"/>
                <a:cs typeface="Times New Roman" panose="02020603050405020304" pitchFamily="18" charset="0"/>
              </a:rPr>
              <a:t> you have experience working on cases of whistleblowing which have developed after the transposition of the Directive?</a:t>
            </a:r>
            <a:endParaRPr lang="en-US"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General!$C$20</c:f>
              <c:strCache>
                <c:ptCount val="1"/>
                <c:pt idx="0">
                  <c:v>Answers</c:v>
                </c:pt>
              </c:strCache>
            </c:strRef>
          </c:tx>
          <c:dPt>
            <c:idx val="0"/>
            <c:bubble3D val="0"/>
            <c:spPr>
              <a:solidFill>
                <a:srgbClr val="005B5F"/>
              </a:solidFill>
              <a:ln w="19050">
                <a:solidFill>
                  <a:schemeClr val="lt1"/>
                </a:solidFill>
              </a:ln>
              <a:effectLst/>
            </c:spPr>
            <c:extLst>
              <c:ext xmlns:c16="http://schemas.microsoft.com/office/drawing/2014/chart" uri="{C3380CC4-5D6E-409C-BE32-E72D297353CC}">
                <c16:uniqueId val="{00000001-A8C4-47B2-B2AA-DE505B84E2D8}"/>
              </c:ext>
            </c:extLst>
          </c:dPt>
          <c:dPt>
            <c:idx val="1"/>
            <c:bubble3D val="0"/>
            <c:spPr>
              <a:solidFill>
                <a:srgbClr val="D83F29"/>
              </a:solidFill>
              <a:ln w="19050">
                <a:solidFill>
                  <a:schemeClr val="lt1"/>
                </a:solidFill>
              </a:ln>
              <a:effectLst/>
            </c:spPr>
            <c:extLst>
              <c:ext xmlns:c16="http://schemas.microsoft.com/office/drawing/2014/chart" uri="{C3380CC4-5D6E-409C-BE32-E72D297353CC}">
                <c16:uniqueId val="{00000003-A8C4-47B2-B2AA-DE505B84E2D8}"/>
              </c:ext>
            </c:extLst>
          </c:dPt>
          <c:dPt>
            <c:idx val="2"/>
            <c:bubble3D val="0"/>
            <c:spPr>
              <a:solidFill>
                <a:srgbClr val="6F6B6C"/>
              </a:solidFill>
              <a:ln w="19050">
                <a:solidFill>
                  <a:schemeClr val="lt1"/>
                </a:solidFill>
              </a:ln>
              <a:effectLst/>
            </c:spPr>
            <c:extLst>
              <c:ext xmlns:c16="http://schemas.microsoft.com/office/drawing/2014/chart" uri="{C3380CC4-5D6E-409C-BE32-E72D297353CC}">
                <c16:uniqueId val="{00000005-A8C4-47B2-B2AA-DE505B84E2D8}"/>
              </c:ext>
            </c:extLst>
          </c:dPt>
          <c:dLbls>
            <c:dLbl>
              <c:idx val="0"/>
              <c:layout>
                <c:manualLayout>
                  <c:x val="-9.8188265035320993E-2"/>
                  <c:y val="-0.11119094488188977"/>
                </c:manualLayout>
              </c:layout>
              <c:tx>
                <c:rich>
                  <a:bodyPr/>
                  <a:lstStyle/>
                  <a:p>
                    <a:r>
                      <a:rPr lang="en-US">
                        <a:solidFill>
                          <a:schemeClr val="bg1"/>
                        </a:solidFill>
                      </a:rPr>
                      <a:t>65%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8C4-47B2-B2AA-DE505B84E2D8}"/>
                </c:ext>
              </c:extLst>
            </c:dLbl>
            <c:dLbl>
              <c:idx val="1"/>
              <c:tx>
                <c:rich>
                  <a:bodyPr/>
                  <a:lstStyle/>
                  <a:p>
                    <a:r>
                      <a:rPr lang="en-US">
                        <a:solidFill>
                          <a:schemeClr val="bg1"/>
                        </a:solidFill>
                      </a:rPr>
                      <a:t>25%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8C4-47B2-B2AA-DE505B84E2D8}"/>
                </c:ext>
              </c:extLst>
            </c:dLbl>
            <c:dLbl>
              <c:idx val="2"/>
              <c:tx>
                <c:rich>
                  <a:bodyPr/>
                  <a:lstStyle/>
                  <a:p>
                    <a:r>
                      <a:rPr lang="en-US">
                        <a:solidFill>
                          <a:schemeClr val="bg1"/>
                        </a:solidFill>
                      </a:rPr>
                      <a:t>10%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8C4-47B2-B2AA-DE505B84E2D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General!$A$21:$B$23</c:f>
              <c:strCache>
                <c:ptCount val="3"/>
                <c:pt idx="0">
                  <c:v>Yes</c:v>
                </c:pt>
                <c:pt idx="1">
                  <c:v>No</c:v>
                </c:pt>
                <c:pt idx="2">
                  <c:v>No Answer</c:v>
                </c:pt>
              </c:strCache>
            </c:strRef>
          </c:cat>
          <c:val>
            <c:numRef>
              <c:f>General!$C$21:$C$23</c:f>
              <c:numCache>
                <c:formatCode>General</c:formatCode>
                <c:ptCount val="3"/>
                <c:pt idx="0">
                  <c:v>26</c:v>
                </c:pt>
                <c:pt idx="1">
                  <c:v>10</c:v>
                </c:pt>
                <c:pt idx="2">
                  <c:v>4</c:v>
                </c:pt>
              </c:numCache>
            </c:numRef>
          </c:val>
          <c:extLst>
            <c:ext xmlns:c16="http://schemas.microsoft.com/office/drawing/2014/chart" uri="{C3380CC4-5D6E-409C-BE32-E72D297353CC}">
              <c16:uniqueId val="{00000006-A8C4-47B2-B2AA-DE505B84E2D8}"/>
            </c:ext>
          </c:extLst>
        </c:ser>
        <c:ser>
          <c:idx val="1"/>
          <c:order val="1"/>
          <c:tx>
            <c:strRef>
              <c:f>General!$D$20</c:f>
              <c:strCache>
                <c:ptCount val="1"/>
                <c:pt idx="0">
                  <c:v>Ratio</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8-A8C4-47B2-B2AA-DE505B84E2D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A-A8C4-47B2-B2AA-DE505B84E2D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C-A8C4-47B2-B2AA-DE505B84E2D8}"/>
              </c:ext>
            </c:extLst>
          </c:dPt>
          <c:cat>
            <c:strRef>
              <c:f>General!$A$21:$B$23</c:f>
              <c:strCache>
                <c:ptCount val="3"/>
                <c:pt idx="0">
                  <c:v>Yes</c:v>
                </c:pt>
                <c:pt idx="1">
                  <c:v>No</c:v>
                </c:pt>
                <c:pt idx="2">
                  <c:v>No Answer</c:v>
                </c:pt>
              </c:strCache>
            </c:strRef>
          </c:cat>
          <c:val>
            <c:numRef>
              <c:f>General!$D$21:$D$23</c:f>
              <c:numCache>
                <c:formatCode>0%</c:formatCode>
                <c:ptCount val="3"/>
                <c:pt idx="0">
                  <c:v>0.65</c:v>
                </c:pt>
                <c:pt idx="1">
                  <c:v>0.25</c:v>
                </c:pt>
                <c:pt idx="2">
                  <c:v>0.1</c:v>
                </c:pt>
              </c:numCache>
            </c:numRef>
          </c:val>
          <c:extLst>
            <c:ext xmlns:c16="http://schemas.microsoft.com/office/drawing/2014/chart" uri="{C3380CC4-5D6E-409C-BE32-E72D297353CC}">
              <c16:uniqueId val="{0000000D-A8C4-47B2-B2AA-DE505B84E2D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E" sz="1200">
                <a:latin typeface="Times New Roman" panose="02020603050405020304" pitchFamily="18" charset="0"/>
                <a:cs typeface="Times New Roman" panose="02020603050405020304" pitchFamily="18" charset="0"/>
              </a:rPr>
              <a:t> In your view, is the current material scope of the Directive correctly designed to achieve its objectives?</a:t>
            </a:r>
            <a:endParaRPr lang="hu-HU" sz="1200">
              <a:latin typeface="Times New Roman" panose="02020603050405020304" pitchFamily="18" charset="0"/>
              <a:cs typeface="Times New Roman" panose="02020603050405020304" pitchFamily="18" charset="0"/>
            </a:endParaRPr>
          </a:p>
          <a:p>
            <a:pPr>
              <a:defRPr/>
            </a:pPr>
            <a:r>
              <a:rPr lang="hu-HU" sz="1200">
                <a:latin typeface="Times New Roman" panose="02020603050405020304" pitchFamily="18" charset="0"/>
                <a:cs typeface="Times New Roman" panose="02020603050405020304" pitchFamily="18" charset="0"/>
              </a:rPr>
              <a:t>By country</a:t>
            </a:r>
            <a:endParaRPr lang="en-IE"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'17'!$A$2</c:f>
              <c:strCache>
                <c:ptCount val="1"/>
                <c:pt idx="0">
                  <c:v>Yes, it should be kept as is</c:v>
                </c:pt>
              </c:strCache>
            </c:strRef>
          </c:tx>
          <c:spPr>
            <a:solidFill>
              <a:srgbClr val="005B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'17'!$B$1:$F$1</c:f>
              <c:strCache>
                <c:ptCount val="5"/>
                <c:pt idx="0">
                  <c:v>France</c:v>
                </c:pt>
                <c:pt idx="1">
                  <c:v>Romania</c:v>
                </c:pt>
                <c:pt idx="2">
                  <c:v>Denmark</c:v>
                </c:pt>
                <c:pt idx="3">
                  <c:v>Italy</c:v>
                </c:pt>
                <c:pt idx="4">
                  <c:v>Latvia</c:v>
                </c:pt>
              </c:strCache>
            </c:strRef>
          </c:cat>
          <c:val>
            <c:numRef>
              <c:f>'17'!$B$2:$F$2</c:f>
              <c:numCache>
                <c:formatCode>0%</c:formatCode>
                <c:ptCount val="5"/>
                <c:pt idx="0">
                  <c:v>0.1111111111111111</c:v>
                </c:pt>
                <c:pt idx="1">
                  <c:v>0.25</c:v>
                </c:pt>
                <c:pt idx="2">
                  <c:v>0.5</c:v>
                </c:pt>
                <c:pt idx="3">
                  <c:v>0.625</c:v>
                </c:pt>
                <c:pt idx="4">
                  <c:v>0.7142857142857143</c:v>
                </c:pt>
              </c:numCache>
            </c:numRef>
          </c:val>
          <c:extLst>
            <c:ext xmlns:c16="http://schemas.microsoft.com/office/drawing/2014/chart" uri="{C3380CC4-5D6E-409C-BE32-E72D297353CC}">
              <c16:uniqueId val="{00000000-6F2E-4AE7-963D-3A1551BC60D7}"/>
            </c:ext>
          </c:extLst>
        </c:ser>
        <c:ser>
          <c:idx val="1"/>
          <c:order val="1"/>
          <c:tx>
            <c:strRef>
              <c:f>'17'!$A$3</c:f>
              <c:strCache>
                <c:ptCount val="1"/>
                <c:pt idx="0">
                  <c:v>No, it should be expanded</c:v>
                </c:pt>
              </c:strCache>
            </c:strRef>
          </c:tx>
          <c:spPr>
            <a:solidFill>
              <a:srgbClr val="EEA14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'17'!$B$1:$F$1</c:f>
              <c:strCache>
                <c:ptCount val="5"/>
                <c:pt idx="0">
                  <c:v>France</c:v>
                </c:pt>
                <c:pt idx="1">
                  <c:v>Romania</c:v>
                </c:pt>
                <c:pt idx="2">
                  <c:v>Denmark</c:v>
                </c:pt>
                <c:pt idx="3">
                  <c:v>Italy</c:v>
                </c:pt>
                <c:pt idx="4">
                  <c:v>Latvia</c:v>
                </c:pt>
              </c:strCache>
            </c:strRef>
          </c:cat>
          <c:val>
            <c:numRef>
              <c:f>'17'!$B$3:$F$3</c:f>
              <c:numCache>
                <c:formatCode>0%</c:formatCode>
                <c:ptCount val="5"/>
                <c:pt idx="0">
                  <c:v>0.55555555555555558</c:v>
                </c:pt>
                <c:pt idx="1">
                  <c:v>0.75</c:v>
                </c:pt>
                <c:pt idx="2">
                  <c:v>0.25</c:v>
                </c:pt>
                <c:pt idx="3">
                  <c:v>0.25</c:v>
                </c:pt>
                <c:pt idx="4">
                  <c:v>0.14285714285714285</c:v>
                </c:pt>
              </c:numCache>
            </c:numRef>
          </c:val>
          <c:extLst>
            <c:ext xmlns:c16="http://schemas.microsoft.com/office/drawing/2014/chart" uri="{C3380CC4-5D6E-409C-BE32-E72D297353CC}">
              <c16:uniqueId val="{00000001-6F2E-4AE7-963D-3A1551BC60D7}"/>
            </c:ext>
          </c:extLst>
        </c:ser>
        <c:ser>
          <c:idx val="2"/>
          <c:order val="2"/>
          <c:tx>
            <c:strRef>
              <c:f>'17'!$A$4</c:f>
              <c:strCache>
                <c:ptCount val="1"/>
                <c:pt idx="0">
                  <c:v>No, it should be narrowed</c:v>
                </c:pt>
              </c:strCache>
            </c:strRef>
          </c:tx>
          <c:spPr>
            <a:solidFill>
              <a:srgbClr val="D83F2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'17'!$B$1:$F$1</c:f>
              <c:strCache>
                <c:ptCount val="5"/>
                <c:pt idx="0">
                  <c:v>France</c:v>
                </c:pt>
                <c:pt idx="1">
                  <c:v>Romania</c:v>
                </c:pt>
                <c:pt idx="2">
                  <c:v>Denmark</c:v>
                </c:pt>
                <c:pt idx="3">
                  <c:v>Italy</c:v>
                </c:pt>
                <c:pt idx="4">
                  <c:v>Latvia</c:v>
                </c:pt>
              </c:strCache>
            </c:strRef>
          </c:cat>
          <c:val>
            <c:numRef>
              <c:f>'17'!$B$4:$F$4</c:f>
              <c:numCache>
                <c:formatCode>General</c:formatCode>
                <c:ptCount val="5"/>
              </c:numCache>
            </c:numRef>
          </c:val>
          <c:extLst>
            <c:ext xmlns:c16="http://schemas.microsoft.com/office/drawing/2014/chart" uri="{C3380CC4-5D6E-409C-BE32-E72D297353CC}">
              <c16:uniqueId val="{00000002-6F2E-4AE7-963D-3A1551BC60D7}"/>
            </c:ext>
          </c:extLst>
        </c:ser>
        <c:ser>
          <c:idx val="3"/>
          <c:order val="3"/>
          <c:tx>
            <c:strRef>
              <c:f>'17'!$A$5</c:f>
              <c:strCache>
                <c:ptCount val="1"/>
                <c:pt idx="0">
                  <c:v>I don't know</c:v>
                </c:pt>
              </c:strCache>
            </c:strRef>
          </c:tx>
          <c:spPr>
            <a:solidFill>
              <a:srgbClr val="6F6B6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'17'!$B$1:$F$1</c:f>
              <c:strCache>
                <c:ptCount val="5"/>
                <c:pt idx="0">
                  <c:v>France</c:v>
                </c:pt>
                <c:pt idx="1">
                  <c:v>Romania</c:v>
                </c:pt>
                <c:pt idx="2">
                  <c:v>Denmark</c:v>
                </c:pt>
                <c:pt idx="3">
                  <c:v>Italy</c:v>
                </c:pt>
                <c:pt idx="4">
                  <c:v>Latvia</c:v>
                </c:pt>
              </c:strCache>
            </c:strRef>
          </c:cat>
          <c:val>
            <c:numRef>
              <c:f>'17'!$B$5:$F$5</c:f>
              <c:numCache>
                <c:formatCode>General</c:formatCode>
                <c:ptCount val="5"/>
                <c:pt idx="0" formatCode="0%">
                  <c:v>0.33333333333333326</c:v>
                </c:pt>
                <c:pt idx="2" formatCode="0%">
                  <c:v>0.25</c:v>
                </c:pt>
                <c:pt idx="4" formatCode="0%">
                  <c:v>0.14285714285714285</c:v>
                </c:pt>
              </c:numCache>
            </c:numRef>
          </c:val>
          <c:extLst>
            <c:ext xmlns:c16="http://schemas.microsoft.com/office/drawing/2014/chart" uri="{C3380CC4-5D6E-409C-BE32-E72D297353CC}">
              <c16:uniqueId val="{00000003-6F2E-4AE7-963D-3A1551BC60D7}"/>
            </c:ext>
          </c:extLst>
        </c:ser>
        <c:ser>
          <c:idx val="4"/>
          <c:order val="4"/>
          <c:tx>
            <c:strRef>
              <c:f>'17'!$A$6</c:f>
              <c:strCache>
                <c:ptCount val="1"/>
                <c:pt idx="0">
                  <c:v>No Answer</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'17'!$B$1:$F$1</c:f>
              <c:strCache>
                <c:ptCount val="5"/>
                <c:pt idx="0">
                  <c:v>France</c:v>
                </c:pt>
                <c:pt idx="1">
                  <c:v>Romania</c:v>
                </c:pt>
                <c:pt idx="2">
                  <c:v>Denmark</c:v>
                </c:pt>
                <c:pt idx="3">
                  <c:v>Italy</c:v>
                </c:pt>
                <c:pt idx="4">
                  <c:v>Latvia</c:v>
                </c:pt>
              </c:strCache>
            </c:strRef>
          </c:cat>
          <c:val>
            <c:numRef>
              <c:f>'17'!$B$6:$F$6</c:f>
              <c:numCache>
                <c:formatCode>General</c:formatCode>
                <c:ptCount val="5"/>
                <c:pt idx="3" formatCode="0%">
                  <c:v>0.125</c:v>
                </c:pt>
              </c:numCache>
            </c:numRef>
          </c:val>
          <c:extLst>
            <c:ext xmlns:c16="http://schemas.microsoft.com/office/drawing/2014/chart" uri="{C3380CC4-5D6E-409C-BE32-E72D297353CC}">
              <c16:uniqueId val="{00000004-6F2E-4AE7-963D-3A1551BC60D7}"/>
            </c:ext>
          </c:extLst>
        </c:ser>
        <c:dLbls>
          <c:dLblPos val="ctr"/>
          <c:showLegendKey val="0"/>
          <c:showVal val="1"/>
          <c:showCatName val="0"/>
          <c:showSerName val="0"/>
          <c:showPercent val="0"/>
          <c:showBubbleSize val="0"/>
        </c:dLbls>
        <c:gapWidth val="150"/>
        <c:overlap val="100"/>
        <c:axId val="840101824"/>
        <c:axId val="840114304"/>
      </c:barChart>
      <c:catAx>
        <c:axId val="8401018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0114304"/>
        <c:crosses val="autoZero"/>
        <c:auto val="1"/>
        <c:lblAlgn val="ctr"/>
        <c:lblOffset val="100"/>
        <c:noMultiLvlLbl val="0"/>
      </c:catAx>
      <c:valAx>
        <c:axId val="84011430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0101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Should protection extend beyond</a:t>
            </a:r>
            <a:r>
              <a:rPr lang="en-US" sz="1200" baseline="0">
                <a:latin typeface="Times New Roman" panose="02020603050405020304" pitchFamily="18" charset="0"/>
                <a:cs typeface="Times New Roman" panose="02020603050405020304" pitchFamily="18" charset="0"/>
              </a:rPr>
              <a:t> the current scope to include social-domain issues, such as workplace harassment, discrimination, or health and safety, that cause harm to public interest?</a:t>
            </a:r>
            <a:endParaRPr lang="en-US"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General!$C$202</c:f>
              <c:strCache>
                <c:ptCount val="1"/>
                <c:pt idx="0">
                  <c:v>Answers</c:v>
                </c:pt>
              </c:strCache>
            </c:strRef>
          </c:tx>
          <c:dPt>
            <c:idx val="0"/>
            <c:bubble3D val="0"/>
            <c:spPr>
              <a:solidFill>
                <a:srgbClr val="005B5F"/>
              </a:solidFill>
              <a:ln w="19050">
                <a:solidFill>
                  <a:schemeClr val="lt1"/>
                </a:solidFill>
              </a:ln>
              <a:effectLst/>
            </c:spPr>
            <c:extLst>
              <c:ext xmlns:c16="http://schemas.microsoft.com/office/drawing/2014/chart" uri="{C3380CC4-5D6E-409C-BE32-E72D297353CC}">
                <c16:uniqueId val="{00000001-B084-40D0-A108-8A6165F2FDBA}"/>
              </c:ext>
            </c:extLst>
          </c:dPt>
          <c:dPt>
            <c:idx val="1"/>
            <c:bubble3D val="0"/>
            <c:spPr>
              <a:solidFill>
                <a:srgbClr val="D83F29"/>
              </a:solidFill>
              <a:ln w="19050">
                <a:solidFill>
                  <a:schemeClr val="lt1"/>
                </a:solidFill>
              </a:ln>
              <a:effectLst/>
            </c:spPr>
            <c:extLst>
              <c:ext xmlns:c16="http://schemas.microsoft.com/office/drawing/2014/chart" uri="{C3380CC4-5D6E-409C-BE32-E72D297353CC}">
                <c16:uniqueId val="{00000003-B084-40D0-A108-8A6165F2FDBA}"/>
              </c:ext>
            </c:extLst>
          </c:dPt>
          <c:dPt>
            <c:idx val="2"/>
            <c:bubble3D val="0"/>
            <c:spPr>
              <a:solidFill>
                <a:srgbClr val="6F6B6C"/>
              </a:solidFill>
              <a:ln w="19050">
                <a:solidFill>
                  <a:schemeClr val="lt1"/>
                </a:solidFill>
              </a:ln>
              <a:effectLst/>
            </c:spPr>
            <c:extLst>
              <c:ext xmlns:c16="http://schemas.microsoft.com/office/drawing/2014/chart" uri="{C3380CC4-5D6E-409C-BE32-E72D297353CC}">
                <c16:uniqueId val="{00000005-B084-40D0-A108-8A6165F2FDB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General!$A$203:$B$205</c:f>
              <c:strCache>
                <c:ptCount val="3"/>
                <c:pt idx="0">
                  <c:v>Yes</c:v>
                </c:pt>
                <c:pt idx="1">
                  <c:v>No</c:v>
                </c:pt>
                <c:pt idx="2">
                  <c:v>I don't know</c:v>
                </c:pt>
              </c:strCache>
            </c:strRef>
          </c:cat>
          <c:val>
            <c:numRef>
              <c:f>General!$C$203:$C$205</c:f>
              <c:numCache>
                <c:formatCode>General</c:formatCode>
                <c:ptCount val="3"/>
                <c:pt idx="0">
                  <c:v>17</c:v>
                </c:pt>
                <c:pt idx="1">
                  <c:v>16</c:v>
                </c:pt>
                <c:pt idx="2">
                  <c:v>7</c:v>
                </c:pt>
              </c:numCache>
            </c:numRef>
          </c:val>
          <c:extLst>
            <c:ext xmlns:c16="http://schemas.microsoft.com/office/drawing/2014/chart" uri="{C3380CC4-5D6E-409C-BE32-E72D297353CC}">
              <c16:uniqueId val="{00000006-B084-40D0-A108-8A6165F2FDBA}"/>
            </c:ext>
          </c:extLst>
        </c:ser>
        <c:ser>
          <c:idx val="1"/>
          <c:order val="1"/>
          <c:tx>
            <c:strRef>
              <c:f>General!$D$202</c:f>
              <c:strCache>
                <c:ptCount val="1"/>
                <c:pt idx="0">
                  <c:v>Ratio</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8-B084-40D0-A108-8A6165F2FDB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A-B084-40D0-A108-8A6165F2FDB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C-B084-40D0-A108-8A6165F2FDBA}"/>
              </c:ext>
            </c:extLst>
          </c:dPt>
          <c:cat>
            <c:strRef>
              <c:f>General!$A$203:$B$205</c:f>
              <c:strCache>
                <c:ptCount val="3"/>
                <c:pt idx="0">
                  <c:v>Yes</c:v>
                </c:pt>
                <c:pt idx="1">
                  <c:v>No</c:v>
                </c:pt>
                <c:pt idx="2">
                  <c:v>I don't know</c:v>
                </c:pt>
              </c:strCache>
            </c:strRef>
          </c:cat>
          <c:val>
            <c:numRef>
              <c:f>General!$D$203:$D$205</c:f>
              <c:numCache>
                <c:formatCode>0%</c:formatCode>
                <c:ptCount val="3"/>
                <c:pt idx="0">
                  <c:v>0.42499999999999999</c:v>
                </c:pt>
                <c:pt idx="1">
                  <c:v>0.4</c:v>
                </c:pt>
                <c:pt idx="2">
                  <c:v>0.17499999999999999</c:v>
                </c:pt>
              </c:numCache>
            </c:numRef>
          </c:val>
          <c:extLst>
            <c:ext xmlns:c16="http://schemas.microsoft.com/office/drawing/2014/chart" uri="{C3380CC4-5D6E-409C-BE32-E72D297353CC}">
              <c16:uniqueId val="{0000000D-B084-40D0-A108-8A6165F2FDB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E" sz="1200">
                <a:latin typeface="Times New Roman" panose="02020603050405020304" pitchFamily="18" charset="0"/>
                <a:cs typeface="Times New Roman" panose="02020603050405020304" pitchFamily="18" charset="0"/>
              </a:rPr>
              <a:t>Should protection extend beyond the current scope to include social-domain issues, such as workplace harassment, discrimination, or health and safety, that cause harm to public interest?</a:t>
            </a:r>
            <a:endParaRPr lang="hu-HU" sz="1200">
              <a:latin typeface="Times New Roman" panose="02020603050405020304" pitchFamily="18" charset="0"/>
              <a:cs typeface="Times New Roman" panose="02020603050405020304" pitchFamily="18" charset="0"/>
            </a:endParaRPr>
          </a:p>
          <a:p>
            <a:pPr>
              <a:defRPr/>
            </a:pPr>
            <a:r>
              <a:rPr lang="hu-HU" sz="1200">
                <a:latin typeface="Times New Roman" panose="02020603050405020304" pitchFamily="18" charset="0"/>
                <a:cs typeface="Times New Roman" panose="02020603050405020304" pitchFamily="18" charset="0"/>
              </a:rPr>
              <a:t>By country</a:t>
            </a:r>
            <a:endParaRPr lang="en-IE"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'18'!$A$2</c:f>
              <c:strCache>
                <c:ptCount val="1"/>
                <c:pt idx="0">
                  <c:v>Yes</c:v>
                </c:pt>
              </c:strCache>
            </c:strRef>
          </c:tx>
          <c:spPr>
            <a:solidFill>
              <a:srgbClr val="005B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'18'!$B$1:$F$1</c:f>
              <c:strCache>
                <c:ptCount val="5"/>
                <c:pt idx="0">
                  <c:v>Denmark</c:v>
                </c:pt>
                <c:pt idx="1">
                  <c:v>Italy</c:v>
                </c:pt>
                <c:pt idx="2">
                  <c:v>Latvia</c:v>
                </c:pt>
                <c:pt idx="3">
                  <c:v>France</c:v>
                </c:pt>
                <c:pt idx="4">
                  <c:v>Romania</c:v>
                </c:pt>
              </c:strCache>
            </c:strRef>
          </c:cat>
          <c:val>
            <c:numRef>
              <c:f>'18'!$B$2:$F$2</c:f>
              <c:numCache>
                <c:formatCode>0%</c:formatCode>
                <c:ptCount val="5"/>
                <c:pt idx="0">
                  <c:v>0.16666666666666663</c:v>
                </c:pt>
                <c:pt idx="1">
                  <c:v>0.25</c:v>
                </c:pt>
                <c:pt idx="2">
                  <c:v>0.42857142857142855</c:v>
                </c:pt>
                <c:pt idx="3">
                  <c:v>0.66666666666666652</c:v>
                </c:pt>
                <c:pt idx="4">
                  <c:v>1</c:v>
                </c:pt>
              </c:numCache>
            </c:numRef>
          </c:val>
          <c:extLst>
            <c:ext xmlns:c16="http://schemas.microsoft.com/office/drawing/2014/chart" uri="{C3380CC4-5D6E-409C-BE32-E72D297353CC}">
              <c16:uniqueId val="{00000000-2B05-4DB8-9C2B-F68FC169E8E3}"/>
            </c:ext>
          </c:extLst>
        </c:ser>
        <c:ser>
          <c:idx val="1"/>
          <c:order val="1"/>
          <c:tx>
            <c:strRef>
              <c:f>'18'!$A$3</c:f>
              <c:strCache>
                <c:ptCount val="1"/>
                <c:pt idx="0">
                  <c:v>No</c:v>
                </c:pt>
              </c:strCache>
            </c:strRef>
          </c:tx>
          <c:spPr>
            <a:solidFill>
              <a:srgbClr val="D83F2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'18'!$B$1:$F$1</c:f>
              <c:strCache>
                <c:ptCount val="5"/>
                <c:pt idx="0">
                  <c:v>Denmark</c:v>
                </c:pt>
                <c:pt idx="1">
                  <c:v>Italy</c:v>
                </c:pt>
                <c:pt idx="2">
                  <c:v>Latvia</c:v>
                </c:pt>
                <c:pt idx="3">
                  <c:v>France</c:v>
                </c:pt>
                <c:pt idx="4">
                  <c:v>Romania</c:v>
                </c:pt>
              </c:strCache>
            </c:strRef>
          </c:cat>
          <c:val>
            <c:numRef>
              <c:f>'18'!$B$3:$F$3</c:f>
              <c:numCache>
                <c:formatCode>0%</c:formatCode>
                <c:ptCount val="5"/>
                <c:pt idx="0">
                  <c:v>0.41666666666666674</c:v>
                </c:pt>
                <c:pt idx="1">
                  <c:v>0.5</c:v>
                </c:pt>
                <c:pt idx="2">
                  <c:v>0.5714285714285714</c:v>
                </c:pt>
                <c:pt idx="3">
                  <c:v>0.33333333333333326</c:v>
                </c:pt>
              </c:numCache>
            </c:numRef>
          </c:val>
          <c:extLst>
            <c:ext xmlns:c16="http://schemas.microsoft.com/office/drawing/2014/chart" uri="{C3380CC4-5D6E-409C-BE32-E72D297353CC}">
              <c16:uniqueId val="{00000001-2B05-4DB8-9C2B-F68FC169E8E3}"/>
            </c:ext>
          </c:extLst>
        </c:ser>
        <c:ser>
          <c:idx val="2"/>
          <c:order val="2"/>
          <c:tx>
            <c:strRef>
              <c:f>'18'!$A$4</c:f>
              <c:strCache>
                <c:ptCount val="1"/>
                <c:pt idx="0">
                  <c:v>I don't know</c:v>
                </c:pt>
              </c:strCache>
            </c:strRef>
          </c:tx>
          <c:spPr>
            <a:solidFill>
              <a:srgbClr val="6F6B6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'18'!$B$1:$F$1</c:f>
              <c:strCache>
                <c:ptCount val="5"/>
                <c:pt idx="0">
                  <c:v>Denmark</c:v>
                </c:pt>
                <c:pt idx="1">
                  <c:v>Italy</c:v>
                </c:pt>
                <c:pt idx="2">
                  <c:v>Latvia</c:v>
                </c:pt>
                <c:pt idx="3">
                  <c:v>France</c:v>
                </c:pt>
                <c:pt idx="4">
                  <c:v>Romania</c:v>
                </c:pt>
              </c:strCache>
            </c:strRef>
          </c:cat>
          <c:val>
            <c:numRef>
              <c:f>'18'!$B$4:$F$4</c:f>
              <c:numCache>
                <c:formatCode>0%</c:formatCode>
                <c:ptCount val="5"/>
                <c:pt idx="0">
                  <c:v>0.41666666666666674</c:v>
                </c:pt>
                <c:pt idx="1">
                  <c:v>0.25</c:v>
                </c:pt>
              </c:numCache>
            </c:numRef>
          </c:val>
          <c:extLst>
            <c:ext xmlns:c16="http://schemas.microsoft.com/office/drawing/2014/chart" uri="{C3380CC4-5D6E-409C-BE32-E72D297353CC}">
              <c16:uniqueId val="{00000002-2B05-4DB8-9C2B-F68FC169E8E3}"/>
            </c:ext>
          </c:extLst>
        </c:ser>
        <c:dLbls>
          <c:dLblPos val="ctr"/>
          <c:showLegendKey val="0"/>
          <c:showVal val="1"/>
          <c:showCatName val="0"/>
          <c:showSerName val="0"/>
          <c:showPercent val="0"/>
          <c:showBubbleSize val="0"/>
        </c:dLbls>
        <c:gapWidth val="150"/>
        <c:overlap val="100"/>
        <c:axId val="1106174832"/>
        <c:axId val="1106193552"/>
      </c:barChart>
      <c:catAx>
        <c:axId val="11061748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06193552"/>
        <c:crosses val="autoZero"/>
        <c:auto val="1"/>
        <c:lblAlgn val="ctr"/>
        <c:lblOffset val="100"/>
        <c:noMultiLvlLbl val="0"/>
      </c:catAx>
      <c:valAx>
        <c:axId val="1106193552"/>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6174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a:latin typeface="Times New Roman" panose="02020603050405020304" pitchFamily="18" charset="0"/>
                <a:cs typeface="Times New Roman" panose="02020603050405020304" pitchFamily="18" charset="0"/>
              </a:rPr>
              <a:t>Has the fact</a:t>
            </a:r>
            <a:r>
              <a:rPr lang="en-GB" sz="1200" baseline="0">
                <a:latin typeface="Times New Roman" panose="02020603050405020304" pitchFamily="18" charset="0"/>
                <a:cs typeface="Times New Roman" panose="02020603050405020304" pitchFamily="18" charset="0"/>
              </a:rPr>
              <a:t> that the Directive does not cover harm to public interest linked to work-related issues created gaps or inconsistencies in national protection frameworks?</a:t>
            </a:r>
            <a:endParaRPr lang="en-GB"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General!$C$209</c:f>
              <c:strCache>
                <c:ptCount val="1"/>
                <c:pt idx="0">
                  <c:v>Answers</c:v>
                </c:pt>
              </c:strCache>
            </c:strRef>
          </c:tx>
          <c:dPt>
            <c:idx val="0"/>
            <c:bubble3D val="0"/>
            <c:spPr>
              <a:solidFill>
                <a:srgbClr val="005B5F"/>
              </a:solidFill>
              <a:ln w="19050">
                <a:solidFill>
                  <a:schemeClr val="lt1"/>
                </a:solidFill>
              </a:ln>
              <a:effectLst/>
            </c:spPr>
            <c:extLst>
              <c:ext xmlns:c16="http://schemas.microsoft.com/office/drawing/2014/chart" uri="{C3380CC4-5D6E-409C-BE32-E72D297353CC}">
                <c16:uniqueId val="{00000001-9050-451C-8CD3-31DCA86C7E83}"/>
              </c:ext>
            </c:extLst>
          </c:dPt>
          <c:dPt>
            <c:idx val="1"/>
            <c:bubble3D val="0"/>
            <c:spPr>
              <a:solidFill>
                <a:srgbClr val="D83F29"/>
              </a:solidFill>
              <a:ln w="19050">
                <a:solidFill>
                  <a:schemeClr val="lt1"/>
                </a:solidFill>
              </a:ln>
              <a:effectLst/>
            </c:spPr>
            <c:extLst>
              <c:ext xmlns:c16="http://schemas.microsoft.com/office/drawing/2014/chart" uri="{C3380CC4-5D6E-409C-BE32-E72D297353CC}">
                <c16:uniqueId val="{00000003-9050-451C-8CD3-31DCA86C7E83}"/>
              </c:ext>
            </c:extLst>
          </c:dPt>
          <c:dPt>
            <c:idx val="2"/>
            <c:bubble3D val="0"/>
            <c:spPr>
              <a:solidFill>
                <a:srgbClr val="6F6B6C"/>
              </a:solidFill>
              <a:ln w="19050">
                <a:solidFill>
                  <a:schemeClr val="lt1"/>
                </a:solidFill>
              </a:ln>
              <a:effectLst/>
            </c:spPr>
            <c:extLst>
              <c:ext xmlns:c16="http://schemas.microsoft.com/office/drawing/2014/chart" uri="{C3380CC4-5D6E-409C-BE32-E72D297353CC}">
                <c16:uniqueId val="{00000005-9050-451C-8CD3-31DCA86C7E8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General!$A$210:$B$212</c:f>
              <c:strCache>
                <c:ptCount val="3"/>
                <c:pt idx="0">
                  <c:v>Yes</c:v>
                </c:pt>
                <c:pt idx="1">
                  <c:v>No</c:v>
                </c:pt>
                <c:pt idx="2">
                  <c:v>I don't know</c:v>
                </c:pt>
              </c:strCache>
            </c:strRef>
          </c:cat>
          <c:val>
            <c:numRef>
              <c:f>General!$C$210:$C$212</c:f>
              <c:numCache>
                <c:formatCode>General</c:formatCode>
                <c:ptCount val="3"/>
                <c:pt idx="0">
                  <c:v>6</c:v>
                </c:pt>
                <c:pt idx="1">
                  <c:v>11</c:v>
                </c:pt>
                <c:pt idx="2">
                  <c:v>23</c:v>
                </c:pt>
              </c:numCache>
            </c:numRef>
          </c:val>
          <c:extLst>
            <c:ext xmlns:c16="http://schemas.microsoft.com/office/drawing/2014/chart" uri="{C3380CC4-5D6E-409C-BE32-E72D297353CC}">
              <c16:uniqueId val="{00000006-9050-451C-8CD3-31DCA86C7E83}"/>
            </c:ext>
          </c:extLst>
        </c:ser>
        <c:ser>
          <c:idx val="1"/>
          <c:order val="1"/>
          <c:tx>
            <c:strRef>
              <c:f>General!$D$209</c:f>
              <c:strCache>
                <c:ptCount val="1"/>
                <c:pt idx="0">
                  <c:v>Ratio</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8-9050-451C-8CD3-31DCA86C7E8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A-9050-451C-8CD3-31DCA86C7E8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C-9050-451C-8CD3-31DCA86C7E83}"/>
              </c:ext>
            </c:extLst>
          </c:dPt>
          <c:cat>
            <c:strRef>
              <c:f>General!$A$210:$B$212</c:f>
              <c:strCache>
                <c:ptCount val="3"/>
                <c:pt idx="0">
                  <c:v>Yes</c:v>
                </c:pt>
                <c:pt idx="1">
                  <c:v>No</c:v>
                </c:pt>
                <c:pt idx="2">
                  <c:v>I don't know</c:v>
                </c:pt>
              </c:strCache>
            </c:strRef>
          </c:cat>
          <c:val>
            <c:numRef>
              <c:f>General!$D$210:$D$212</c:f>
              <c:numCache>
                <c:formatCode>0%</c:formatCode>
                <c:ptCount val="3"/>
                <c:pt idx="0">
                  <c:v>0.15</c:v>
                </c:pt>
                <c:pt idx="1">
                  <c:v>0.27500000000000002</c:v>
                </c:pt>
                <c:pt idx="2">
                  <c:v>0.57499999999999996</c:v>
                </c:pt>
              </c:numCache>
            </c:numRef>
          </c:val>
          <c:extLst>
            <c:ext xmlns:c16="http://schemas.microsoft.com/office/drawing/2014/chart" uri="{C3380CC4-5D6E-409C-BE32-E72D297353CC}">
              <c16:uniqueId val="{0000000D-9050-451C-8CD3-31DCA86C7E8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To</a:t>
            </a:r>
            <a:r>
              <a:rPr lang="en-US" sz="1200" baseline="0">
                <a:latin typeface="Times New Roman" panose="02020603050405020304" pitchFamily="18" charset="0"/>
                <a:cs typeface="Times New Roman" panose="02020603050405020304" pitchFamily="18" charset="0"/>
              </a:rPr>
              <a:t> your knowledge, have trade unions, professional associations or civil society organisations gained a role in supporting whistleblowers or monitoring implementation?</a:t>
            </a:r>
            <a:endParaRPr lang="en-US"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General!$C$216</c:f>
              <c:strCache>
                <c:ptCount val="1"/>
                <c:pt idx="0">
                  <c:v>Answers</c:v>
                </c:pt>
              </c:strCache>
            </c:strRef>
          </c:tx>
          <c:dPt>
            <c:idx val="0"/>
            <c:bubble3D val="0"/>
            <c:spPr>
              <a:solidFill>
                <a:srgbClr val="005B5F"/>
              </a:solidFill>
              <a:ln w="19050">
                <a:solidFill>
                  <a:schemeClr val="lt1"/>
                </a:solidFill>
              </a:ln>
              <a:effectLst/>
            </c:spPr>
            <c:extLst>
              <c:ext xmlns:c16="http://schemas.microsoft.com/office/drawing/2014/chart" uri="{C3380CC4-5D6E-409C-BE32-E72D297353CC}">
                <c16:uniqueId val="{00000001-AC91-4EA1-A9E6-B3EB868163B3}"/>
              </c:ext>
            </c:extLst>
          </c:dPt>
          <c:dPt>
            <c:idx val="1"/>
            <c:bubble3D val="0"/>
            <c:spPr>
              <a:solidFill>
                <a:srgbClr val="D83F29"/>
              </a:solidFill>
              <a:ln w="19050">
                <a:solidFill>
                  <a:schemeClr val="lt1"/>
                </a:solidFill>
              </a:ln>
              <a:effectLst/>
            </c:spPr>
            <c:extLst>
              <c:ext xmlns:c16="http://schemas.microsoft.com/office/drawing/2014/chart" uri="{C3380CC4-5D6E-409C-BE32-E72D297353CC}">
                <c16:uniqueId val="{00000003-AC91-4EA1-A9E6-B3EB868163B3}"/>
              </c:ext>
            </c:extLst>
          </c:dPt>
          <c:dPt>
            <c:idx val="2"/>
            <c:bubble3D val="0"/>
            <c:spPr>
              <a:solidFill>
                <a:srgbClr val="6F6B6C"/>
              </a:solidFill>
              <a:ln w="19050">
                <a:solidFill>
                  <a:schemeClr val="lt1"/>
                </a:solidFill>
              </a:ln>
              <a:effectLst/>
            </c:spPr>
            <c:extLst>
              <c:ext xmlns:c16="http://schemas.microsoft.com/office/drawing/2014/chart" uri="{C3380CC4-5D6E-409C-BE32-E72D297353CC}">
                <c16:uniqueId val="{00000005-AC91-4EA1-A9E6-B3EB868163B3}"/>
              </c:ext>
            </c:extLst>
          </c:dPt>
          <c:dLbls>
            <c:dLbl>
              <c:idx val="1"/>
              <c:layout>
                <c:manualLayout>
                  <c:x val="5.8001893265773971E-2"/>
                  <c:y val="-2.396070282881306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C91-4EA1-A9E6-B3EB868163B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General!$A$217:$B$219</c:f>
              <c:strCache>
                <c:ptCount val="3"/>
                <c:pt idx="0">
                  <c:v>Yes</c:v>
                </c:pt>
                <c:pt idx="1">
                  <c:v>No</c:v>
                </c:pt>
                <c:pt idx="2">
                  <c:v>I don't know</c:v>
                </c:pt>
              </c:strCache>
            </c:strRef>
          </c:cat>
          <c:val>
            <c:numRef>
              <c:f>General!$C$217:$C$219</c:f>
              <c:numCache>
                <c:formatCode>General</c:formatCode>
                <c:ptCount val="3"/>
                <c:pt idx="0">
                  <c:v>26</c:v>
                </c:pt>
                <c:pt idx="1">
                  <c:v>3</c:v>
                </c:pt>
                <c:pt idx="2">
                  <c:v>11</c:v>
                </c:pt>
              </c:numCache>
            </c:numRef>
          </c:val>
          <c:extLst>
            <c:ext xmlns:c16="http://schemas.microsoft.com/office/drawing/2014/chart" uri="{C3380CC4-5D6E-409C-BE32-E72D297353CC}">
              <c16:uniqueId val="{00000006-AC91-4EA1-A9E6-B3EB868163B3}"/>
            </c:ext>
          </c:extLst>
        </c:ser>
        <c:ser>
          <c:idx val="1"/>
          <c:order val="1"/>
          <c:tx>
            <c:strRef>
              <c:f>General!$D$216</c:f>
              <c:strCache>
                <c:ptCount val="1"/>
                <c:pt idx="0">
                  <c:v>Ratio</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8-AC91-4EA1-A9E6-B3EB868163B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A-AC91-4EA1-A9E6-B3EB868163B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C-AC91-4EA1-A9E6-B3EB868163B3}"/>
              </c:ext>
            </c:extLst>
          </c:dPt>
          <c:cat>
            <c:strRef>
              <c:f>General!$A$217:$B$219</c:f>
              <c:strCache>
                <c:ptCount val="3"/>
                <c:pt idx="0">
                  <c:v>Yes</c:v>
                </c:pt>
                <c:pt idx="1">
                  <c:v>No</c:v>
                </c:pt>
                <c:pt idx="2">
                  <c:v>I don't know</c:v>
                </c:pt>
              </c:strCache>
            </c:strRef>
          </c:cat>
          <c:val>
            <c:numRef>
              <c:f>General!$D$217:$D$219</c:f>
              <c:numCache>
                <c:formatCode>0%</c:formatCode>
                <c:ptCount val="3"/>
                <c:pt idx="0">
                  <c:v>0.65</c:v>
                </c:pt>
                <c:pt idx="1">
                  <c:v>7.4999999999999997E-2</c:v>
                </c:pt>
                <c:pt idx="2">
                  <c:v>0.27500000000000002</c:v>
                </c:pt>
              </c:numCache>
            </c:numRef>
          </c:val>
          <c:extLst>
            <c:ext xmlns:c16="http://schemas.microsoft.com/office/drawing/2014/chart" uri="{C3380CC4-5D6E-409C-BE32-E72D297353CC}">
              <c16:uniqueId val="{0000000D-AC91-4EA1-A9E6-B3EB868163B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E" sz="1200">
                <a:latin typeface="Times New Roman" panose="02020603050405020304" pitchFamily="18" charset="0"/>
                <a:cs typeface="Times New Roman" panose="02020603050405020304" pitchFamily="18" charset="0"/>
              </a:rPr>
              <a:t> To your knowledge, have trade unions, professional associations or civil society organisations gained a role in supporting whistleblowers or monitoring implementation?</a:t>
            </a:r>
            <a:endParaRPr lang="hu-HU" sz="1200">
              <a:latin typeface="Times New Roman" panose="02020603050405020304" pitchFamily="18" charset="0"/>
              <a:cs typeface="Times New Roman" panose="02020603050405020304" pitchFamily="18" charset="0"/>
            </a:endParaRPr>
          </a:p>
          <a:p>
            <a:pPr>
              <a:defRPr/>
            </a:pPr>
            <a:r>
              <a:rPr lang="hu-HU" sz="1200">
                <a:latin typeface="Times New Roman" panose="02020603050405020304" pitchFamily="18" charset="0"/>
                <a:cs typeface="Times New Roman" panose="02020603050405020304" pitchFamily="18" charset="0"/>
              </a:rPr>
              <a:t>By country</a:t>
            </a:r>
            <a:endParaRPr lang="en-IE"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'21'!$A$2</c:f>
              <c:strCache>
                <c:ptCount val="1"/>
                <c:pt idx="0">
                  <c:v>Yes</c:v>
                </c:pt>
              </c:strCache>
            </c:strRef>
          </c:tx>
          <c:spPr>
            <a:solidFill>
              <a:srgbClr val="005B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'21'!$B$1:$F$1</c:f>
              <c:strCache>
                <c:ptCount val="5"/>
                <c:pt idx="0">
                  <c:v>Italy</c:v>
                </c:pt>
                <c:pt idx="1">
                  <c:v>Denmark</c:v>
                </c:pt>
                <c:pt idx="2">
                  <c:v>Latvia</c:v>
                </c:pt>
                <c:pt idx="3">
                  <c:v>Romania</c:v>
                </c:pt>
                <c:pt idx="4">
                  <c:v>France</c:v>
                </c:pt>
              </c:strCache>
            </c:strRef>
          </c:cat>
          <c:val>
            <c:numRef>
              <c:f>'21'!$B$2:$F$2</c:f>
              <c:numCache>
                <c:formatCode>0%</c:formatCode>
                <c:ptCount val="5"/>
                <c:pt idx="0">
                  <c:v>0.375</c:v>
                </c:pt>
                <c:pt idx="1">
                  <c:v>0.5</c:v>
                </c:pt>
                <c:pt idx="2">
                  <c:v>0.7142857142857143</c:v>
                </c:pt>
                <c:pt idx="3">
                  <c:v>0.75</c:v>
                </c:pt>
                <c:pt idx="4">
                  <c:v>1</c:v>
                </c:pt>
              </c:numCache>
            </c:numRef>
          </c:val>
          <c:extLst>
            <c:ext xmlns:c16="http://schemas.microsoft.com/office/drawing/2014/chart" uri="{C3380CC4-5D6E-409C-BE32-E72D297353CC}">
              <c16:uniqueId val="{00000000-59EB-4D35-A57F-A517BD727881}"/>
            </c:ext>
          </c:extLst>
        </c:ser>
        <c:ser>
          <c:idx val="1"/>
          <c:order val="1"/>
          <c:tx>
            <c:strRef>
              <c:f>'21'!$A$3</c:f>
              <c:strCache>
                <c:ptCount val="1"/>
                <c:pt idx="0">
                  <c:v>No</c:v>
                </c:pt>
              </c:strCache>
            </c:strRef>
          </c:tx>
          <c:spPr>
            <a:solidFill>
              <a:srgbClr val="D83F2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'21'!$B$1:$F$1</c:f>
              <c:strCache>
                <c:ptCount val="5"/>
                <c:pt idx="0">
                  <c:v>Italy</c:v>
                </c:pt>
                <c:pt idx="1">
                  <c:v>Denmark</c:v>
                </c:pt>
                <c:pt idx="2">
                  <c:v>Latvia</c:v>
                </c:pt>
                <c:pt idx="3">
                  <c:v>Romania</c:v>
                </c:pt>
                <c:pt idx="4">
                  <c:v>France</c:v>
                </c:pt>
              </c:strCache>
            </c:strRef>
          </c:cat>
          <c:val>
            <c:numRef>
              <c:f>'21'!$B$3:$F$3</c:f>
              <c:numCache>
                <c:formatCode>0%</c:formatCode>
                <c:ptCount val="5"/>
                <c:pt idx="0">
                  <c:v>0.125</c:v>
                </c:pt>
                <c:pt idx="1">
                  <c:v>8.3333333333333315E-2</c:v>
                </c:pt>
                <c:pt idx="3">
                  <c:v>0.25</c:v>
                </c:pt>
              </c:numCache>
            </c:numRef>
          </c:val>
          <c:extLst>
            <c:ext xmlns:c16="http://schemas.microsoft.com/office/drawing/2014/chart" uri="{C3380CC4-5D6E-409C-BE32-E72D297353CC}">
              <c16:uniqueId val="{00000001-59EB-4D35-A57F-A517BD727881}"/>
            </c:ext>
          </c:extLst>
        </c:ser>
        <c:ser>
          <c:idx val="2"/>
          <c:order val="2"/>
          <c:tx>
            <c:strRef>
              <c:f>'21'!$A$4</c:f>
              <c:strCache>
                <c:ptCount val="1"/>
                <c:pt idx="0">
                  <c:v>I don't know</c:v>
                </c:pt>
              </c:strCache>
            </c:strRef>
          </c:tx>
          <c:spPr>
            <a:solidFill>
              <a:srgbClr val="6F6B6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'21'!$B$1:$F$1</c:f>
              <c:strCache>
                <c:ptCount val="5"/>
                <c:pt idx="0">
                  <c:v>Italy</c:v>
                </c:pt>
                <c:pt idx="1">
                  <c:v>Denmark</c:v>
                </c:pt>
                <c:pt idx="2">
                  <c:v>Latvia</c:v>
                </c:pt>
                <c:pt idx="3">
                  <c:v>Romania</c:v>
                </c:pt>
                <c:pt idx="4">
                  <c:v>France</c:v>
                </c:pt>
              </c:strCache>
            </c:strRef>
          </c:cat>
          <c:val>
            <c:numRef>
              <c:f>'21'!$B$4:$F$4</c:f>
              <c:numCache>
                <c:formatCode>0%</c:formatCode>
                <c:ptCount val="5"/>
                <c:pt idx="0">
                  <c:v>0.5</c:v>
                </c:pt>
                <c:pt idx="1">
                  <c:v>0.41666666666666674</c:v>
                </c:pt>
                <c:pt idx="2">
                  <c:v>0.2857142857142857</c:v>
                </c:pt>
              </c:numCache>
            </c:numRef>
          </c:val>
          <c:extLst>
            <c:ext xmlns:c16="http://schemas.microsoft.com/office/drawing/2014/chart" uri="{C3380CC4-5D6E-409C-BE32-E72D297353CC}">
              <c16:uniqueId val="{00000002-59EB-4D35-A57F-A517BD727881}"/>
            </c:ext>
          </c:extLst>
        </c:ser>
        <c:dLbls>
          <c:dLblPos val="ctr"/>
          <c:showLegendKey val="0"/>
          <c:showVal val="1"/>
          <c:showCatName val="0"/>
          <c:showSerName val="0"/>
          <c:showPercent val="0"/>
          <c:showBubbleSize val="0"/>
        </c:dLbls>
        <c:gapWidth val="150"/>
        <c:overlap val="100"/>
        <c:axId val="1106239632"/>
        <c:axId val="1106250672"/>
      </c:barChart>
      <c:catAx>
        <c:axId val="11062396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6250672"/>
        <c:crosses val="autoZero"/>
        <c:auto val="1"/>
        <c:lblAlgn val="ctr"/>
        <c:lblOffset val="100"/>
        <c:noMultiLvlLbl val="0"/>
      </c:catAx>
      <c:valAx>
        <c:axId val="1106250672"/>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6239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To</a:t>
            </a:r>
            <a:r>
              <a:rPr lang="en-US" sz="1200" baseline="0">
                <a:latin typeface="Times New Roman" panose="02020603050405020304" pitchFamily="18" charset="0"/>
                <a:cs typeface="Times New Roman" panose="02020603050405020304" pitchFamily="18" charset="0"/>
              </a:rPr>
              <a:t> your knowledge, are third-party reports by such organisations accepted under national rules?</a:t>
            </a:r>
            <a:endParaRPr lang="en-US"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General!$C$223</c:f>
              <c:strCache>
                <c:ptCount val="1"/>
                <c:pt idx="0">
                  <c:v>Answers</c:v>
                </c:pt>
              </c:strCache>
            </c:strRef>
          </c:tx>
          <c:dPt>
            <c:idx val="0"/>
            <c:bubble3D val="0"/>
            <c:spPr>
              <a:solidFill>
                <a:srgbClr val="005B5F"/>
              </a:solidFill>
              <a:ln w="19050">
                <a:solidFill>
                  <a:schemeClr val="lt1"/>
                </a:solidFill>
              </a:ln>
              <a:effectLst/>
            </c:spPr>
            <c:extLst>
              <c:ext xmlns:c16="http://schemas.microsoft.com/office/drawing/2014/chart" uri="{C3380CC4-5D6E-409C-BE32-E72D297353CC}">
                <c16:uniqueId val="{00000001-B251-4AC1-AC72-B46C3D940AD8}"/>
              </c:ext>
            </c:extLst>
          </c:dPt>
          <c:dPt>
            <c:idx val="1"/>
            <c:bubble3D val="0"/>
            <c:spPr>
              <a:solidFill>
                <a:srgbClr val="D83F29"/>
              </a:solidFill>
              <a:ln w="19050">
                <a:solidFill>
                  <a:schemeClr val="lt1"/>
                </a:solidFill>
              </a:ln>
              <a:effectLst/>
            </c:spPr>
            <c:extLst>
              <c:ext xmlns:c16="http://schemas.microsoft.com/office/drawing/2014/chart" uri="{C3380CC4-5D6E-409C-BE32-E72D297353CC}">
                <c16:uniqueId val="{00000003-B251-4AC1-AC72-B46C3D940AD8}"/>
              </c:ext>
            </c:extLst>
          </c:dPt>
          <c:dPt>
            <c:idx val="2"/>
            <c:bubble3D val="0"/>
            <c:spPr>
              <a:solidFill>
                <a:srgbClr val="6F6B6C"/>
              </a:solidFill>
              <a:ln w="19050">
                <a:solidFill>
                  <a:schemeClr val="lt1"/>
                </a:solidFill>
              </a:ln>
              <a:effectLst/>
            </c:spPr>
            <c:extLst>
              <c:ext xmlns:c16="http://schemas.microsoft.com/office/drawing/2014/chart" uri="{C3380CC4-5D6E-409C-BE32-E72D297353CC}">
                <c16:uniqueId val="{00000005-B251-4AC1-AC72-B46C3D940AD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General!$A$224:$B$226</c:f>
              <c:strCache>
                <c:ptCount val="3"/>
                <c:pt idx="0">
                  <c:v>Yes</c:v>
                </c:pt>
                <c:pt idx="1">
                  <c:v>No</c:v>
                </c:pt>
                <c:pt idx="2">
                  <c:v>I don't know</c:v>
                </c:pt>
              </c:strCache>
            </c:strRef>
          </c:cat>
          <c:val>
            <c:numRef>
              <c:f>General!$C$224:$C$226</c:f>
              <c:numCache>
                <c:formatCode>General</c:formatCode>
                <c:ptCount val="3"/>
                <c:pt idx="0">
                  <c:v>13</c:v>
                </c:pt>
                <c:pt idx="1">
                  <c:v>9</c:v>
                </c:pt>
                <c:pt idx="2">
                  <c:v>18</c:v>
                </c:pt>
              </c:numCache>
            </c:numRef>
          </c:val>
          <c:extLst>
            <c:ext xmlns:c16="http://schemas.microsoft.com/office/drawing/2014/chart" uri="{C3380CC4-5D6E-409C-BE32-E72D297353CC}">
              <c16:uniqueId val="{00000006-B251-4AC1-AC72-B46C3D940AD8}"/>
            </c:ext>
          </c:extLst>
        </c:ser>
        <c:ser>
          <c:idx val="1"/>
          <c:order val="1"/>
          <c:tx>
            <c:strRef>
              <c:f>General!$D$223</c:f>
              <c:strCache>
                <c:ptCount val="1"/>
                <c:pt idx="0">
                  <c:v>Ratio</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8-B251-4AC1-AC72-B46C3D940AD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A-B251-4AC1-AC72-B46C3D940AD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C-B251-4AC1-AC72-B46C3D940AD8}"/>
              </c:ext>
            </c:extLst>
          </c:dPt>
          <c:cat>
            <c:strRef>
              <c:f>General!$A$224:$B$226</c:f>
              <c:strCache>
                <c:ptCount val="3"/>
                <c:pt idx="0">
                  <c:v>Yes</c:v>
                </c:pt>
                <c:pt idx="1">
                  <c:v>No</c:v>
                </c:pt>
                <c:pt idx="2">
                  <c:v>I don't know</c:v>
                </c:pt>
              </c:strCache>
            </c:strRef>
          </c:cat>
          <c:val>
            <c:numRef>
              <c:f>General!$D$224:$D$226</c:f>
              <c:numCache>
                <c:formatCode>0%</c:formatCode>
                <c:ptCount val="3"/>
                <c:pt idx="0">
                  <c:v>0.32500000000000001</c:v>
                </c:pt>
                <c:pt idx="1">
                  <c:v>0.22500000000000001</c:v>
                </c:pt>
                <c:pt idx="2">
                  <c:v>0.45</c:v>
                </c:pt>
              </c:numCache>
            </c:numRef>
          </c:val>
          <c:extLst>
            <c:ext xmlns:c16="http://schemas.microsoft.com/office/drawing/2014/chart" uri="{C3380CC4-5D6E-409C-BE32-E72D297353CC}">
              <c16:uniqueId val="{0000000D-B251-4AC1-AC72-B46C3D940AD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E" sz="1200">
                <a:latin typeface="Times New Roman" panose="02020603050405020304" pitchFamily="18" charset="0"/>
                <a:cs typeface="Times New Roman" panose="02020603050405020304" pitchFamily="18" charset="0"/>
              </a:rPr>
              <a:t>To your knowledge, are third-party reports by such organisations accepted under national rules?</a:t>
            </a:r>
            <a:endParaRPr lang="hu-HU" sz="1200">
              <a:latin typeface="Times New Roman" panose="02020603050405020304" pitchFamily="18" charset="0"/>
              <a:cs typeface="Times New Roman" panose="02020603050405020304" pitchFamily="18" charset="0"/>
            </a:endParaRPr>
          </a:p>
          <a:p>
            <a:pPr>
              <a:defRPr/>
            </a:pPr>
            <a:r>
              <a:rPr lang="hu-HU" sz="1200">
                <a:latin typeface="Times New Roman" panose="02020603050405020304" pitchFamily="18" charset="0"/>
                <a:cs typeface="Times New Roman" panose="02020603050405020304" pitchFamily="18" charset="0"/>
              </a:rPr>
              <a:t>By country</a:t>
            </a:r>
            <a:endParaRPr lang="en-IE"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'22'!$A$2</c:f>
              <c:strCache>
                <c:ptCount val="1"/>
                <c:pt idx="0">
                  <c:v>Yes</c:v>
                </c:pt>
              </c:strCache>
            </c:strRef>
          </c:tx>
          <c:spPr>
            <a:solidFill>
              <a:srgbClr val="005B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'22'!$B$1:$F$1</c:f>
              <c:strCache>
                <c:ptCount val="5"/>
                <c:pt idx="0">
                  <c:v>Denmark</c:v>
                </c:pt>
                <c:pt idx="1">
                  <c:v>Italy</c:v>
                </c:pt>
                <c:pt idx="2">
                  <c:v>Latvia</c:v>
                </c:pt>
                <c:pt idx="3">
                  <c:v>Romania</c:v>
                </c:pt>
                <c:pt idx="4">
                  <c:v>France</c:v>
                </c:pt>
              </c:strCache>
            </c:strRef>
          </c:cat>
          <c:val>
            <c:numRef>
              <c:f>'22'!$B$2:$F$2</c:f>
              <c:numCache>
                <c:formatCode>0%</c:formatCode>
                <c:ptCount val="5"/>
                <c:pt idx="1">
                  <c:v>0.25</c:v>
                </c:pt>
                <c:pt idx="2">
                  <c:v>0.42857142857142855</c:v>
                </c:pt>
                <c:pt idx="3">
                  <c:v>0.5</c:v>
                </c:pt>
                <c:pt idx="4">
                  <c:v>0.66666666666666652</c:v>
                </c:pt>
              </c:numCache>
            </c:numRef>
          </c:val>
          <c:extLst>
            <c:ext xmlns:c16="http://schemas.microsoft.com/office/drawing/2014/chart" uri="{C3380CC4-5D6E-409C-BE32-E72D297353CC}">
              <c16:uniqueId val="{00000000-E58E-42D2-8F9B-8460980454A5}"/>
            </c:ext>
          </c:extLst>
        </c:ser>
        <c:ser>
          <c:idx val="1"/>
          <c:order val="1"/>
          <c:tx>
            <c:strRef>
              <c:f>'22'!$A$3</c:f>
              <c:strCache>
                <c:ptCount val="1"/>
                <c:pt idx="0">
                  <c:v>No</c:v>
                </c:pt>
              </c:strCache>
            </c:strRef>
          </c:tx>
          <c:spPr>
            <a:solidFill>
              <a:srgbClr val="D83F2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'22'!$B$1:$F$1</c:f>
              <c:strCache>
                <c:ptCount val="5"/>
                <c:pt idx="0">
                  <c:v>Denmark</c:v>
                </c:pt>
                <c:pt idx="1">
                  <c:v>Italy</c:v>
                </c:pt>
                <c:pt idx="2">
                  <c:v>Latvia</c:v>
                </c:pt>
                <c:pt idx="3">
                  <c:v>Romania</c:v>
                </c:pt>
                <c:pt idx="4">
                  <c:v>France</c:v>
                </c:pt>
              </c:strCache>
            </c:strRef>
          </c:cat>
          <c:val>
            <c:numRef>
              <c:f>'22'!$B$3:$F$3</c:f>
              <c:numCache>
                <c:formatCode>0%</c:formatCode>
                <c:ptCount val="5"/>
                <c:pt idx="0">
                  <c:v>0.16666666666666663</c:v>
                </c:pt>
                <c:pt idx="1">
                  <c:v>0.125</c:v>
                </c:pt>
                <c:pt idx="2">
                  <c:v>0.2857142857142857</c:v>
                </c:pt>
                <c:pt idx="3">
                  <c:v>0.25</c:v>
                </c:pt>
                <c:pt idx="4">
                  <c:v>0.33333333333333326</c:v>
                </c:pt>
              </c:numCache>
            </c:numRef>
          </c:val>
          <c:extLst>
            <c:ext xmlns:c16="http://schemas.microsoft.com/office/drawing/2014/chart" uri="{C3380CC4-5D6E-409C-BE32-E72D297353CC}">
              <c16:uniqueId val="{00000001-E58E-42D2-8F9B-8460980454A5}"/>
            </c:ext>
          </c:extLst>
        </c:ser>
        <c:ser>
          <c:idx val="2"/>
          <c:order val="2"/>
          <c:tx>
            <c:strRef>
              <c:f>'22'!$A$4</c:f>
              <c:strCache>
                <c:ptCount val="1"/>
                <c:pt idx="0">
                  <c:v>I don't know</c:v>
                </c:pt>
              </c:strCache>
            </c:strRef>
          </c:tx>
          <c:spPr>
            <a:solidFill>
              <a:srgbClr val="6F6B6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'22'!$B$1:$F$1</c:f>
              <c:strCache>
                <c:ptCount val="5"/>
                <c:pt idx="0">
                  <c:v>Denmark</c:v>
                </c:pt>
                <c:pt idx="1">
                  <c:v>Italy</c:v>
                </c:pt>
                <c:pt idx="2">
                  <c:v>Latvia</c:v>
                </c:pt>
                <c:pt idx="3">
                  <c:v>Romania</c:v>
                </c:pt>
                <c:pt idx="4">
                  <c:v>France</c:v>
                </c:pt>
              </c:strCache>
            </c:strRef>
          </c:cat>
          <c:val>
            <c:numRef>
              <c:f>'22'!$B$4:$F$4</c:f>
              <c:numCache>
                <c:formatCode>0%</c:formatCode>
                <c:ptCount val="5"/>
                <c:pt idx="0">
                  <c:v>0.83333333333333348</c:v>
                </c:pt>
                <c:pt idx="1">
                  <c:v>0.625</c:v>
                </c:pt>
                <c:pt idx="2">
                  <c:v>0.2857142857142857</c:v>
                </c:pt>
                <c:pt idx="3">
                  <c:v>0.25</c:v>
                </c:pt>
              </c:numCache>
            </c:numRef>
          </c:val>
          <c:extLst>
            <c:ext xmlns:c16="http://schemas.microsoft.com/office/drawing/2014/chart" uri="{C3380CC4-5D6E-409C-BE32-E72D297353CC}">
              <c16:uniqueId val="{00000002-E58E-42D2-8F9B-8460980454A5}"/>
            </c:ext>
          </c:extLst>
        </c:ser>
        <c:dLbls>
          <c:dLblPos val="ctr"/>
          <c:showLegendKey val="0"/>
          <c:showVal val="1"/>
          <c:showCatName val="0"/>
          <c:showSerName val="0"/>
          <c:showPercent val="0"/>
          <c:showBubbleSize val="0"/>
        </c:dLbls>
        <c:gapWidth val="150"/>
        <c:overlap val="100"/>
        <c:axId val="1106191152"/>
        <c:axId val="1106175312"/>
      </c:barChart>
      <c:catAx>
        <c:axId val="11061911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06175312"/>
        <c:crosses val="autoZero"/>
        <c:auto val="1"/>
        <c:lblAlgn val="ctr"/>
        <c:lblOffset val="100"/>
        <c:noMultiLvlLbl val="0"/>
      </c:catAx>
      <c:valAx>
        <c:axId val="1106175312"/>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6191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a:latin typeface="Times New Roman" panose="02020603050405020304" pitchFamily="18" charset="0"/>
                <a:cs typeface="Times New Roman" panose="02020603050405020304" pitchFamily="18" charset="0"/>
              </a:rPr>
              <a:t>T</a:t>
            </a:r>
            <a:r>
              <a:rPr lang="en-IE" sz="1200">
                <a:latin typeface="Times New Roman" panose="02020603050405020304" pitchFamily="18" charset="0"/>
                <a:cs typeface="Times New Roman" panose="02020603050405020304" pitchFamily="18" charset="0"/>
              </a:rPr>
              <a:t>o your knowledge, have social partners been involved in the implementation of the Directive in your country?</a:t>
            </a:r>
            <a:endParaRPr lang="hu-HU" sz="1200">
              <a:latin typeface="Times New Roman" panose="02020603050405020304" pitchFamily="18" charset="0"/>
              <a:cs typeface="Times New Roman" panose="02020603050405020304" pitchFamily="18" charset="0"/>
            </a:endParaRPr>
          </a:p>
          <a:p>
            <a:pPr>
              <a:defRPr/>
            </a:pPr>
            <a:r>
              <a:rPr lang="hu-HU" sz="1200">
                <a:latin typeface="Times New Roman" panose="02020603050405020304" pitchFamily="18" charset="0"/>
                <a:cs typeface="Times New Roman" panose="02020603050405020304" pitchFamily="18" charset="0"/>
              </a:rPr>
              <a:t>By</a:t>
            </a:r>
            <a:r>
              <a:rPr lang="hu-HU" sz="1200" baseline="0">
                <a:latin typeface="Times New Roman" panose="02020603050405020304" pitchFamily="18" charset="0"/>
                <a:cs typeface="Times New Roman" panose="02020603050405020304" pitchFamily="18" charset="0"/>
              </a:rPr>
              <a:t> country</a:t>
            </a:r>
            <a:endParaRPr lang="en-IE"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'23'!$A$2</c:f>
              <c:strCache>
                <c:ptCount val="1"/>
                <c:pt idx="0">
                  <c:v>Yes</c:v>
                </c:pt>
              </c:strCache>
            </c:strRef>
          </c:tx>
          <c:spPr>
            <a:solidFill>
              <a:srgbClr val="005B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'23'!$B$1:$F$1</c:f>
              <c:strCache>
                <c:ptCount val="5"/>
                <c:pt idx="0">
                  <c:v>Romania</c:v>
                </c:pt>
                <c:pt idx="1">
                  <c:v>France</c:v>
                </c:pt>
                <c:pt idx="2">
                  <c:v>Denmark</c:v>
                </c:pt>
                <c:pt idx="3">
                  <c:v>Italy</c:v>
                </c:pt>
                <c:pt idx="4">
                  <c:v>Latvia</c:v>
                </c:pt>
              </c:strCache>
            </c:strRef>
          </c:cat>
          <c:val>
            <c:numRef>
              <c:f>'23'!$B$2:$F$2</c:f>
              <c:numCache>
                <c:formatCode>0%</c:formatCode>
                <c:ptCount val="5"/>
                <c:pt idx="1">
                  <c:v>0.44444444444444442</c:v>
                </c:pt>
                <c:pt idx="2">
                  <c:v>0.58333333333333337</c:v>
                </c:pt>
                <c:pt idx="3">
                  <c:v>0.625</c:v>
                </c:pt>
                <c:pt idx="4">
                  <c:v>1</c:v>
                </c:pt>
              </c:numCache>
            </c:numRef>
          </c:val>
          <c:extLst>
            <c:ext xmlns:c16="http://schemas.microsoft.com/office/drawing/2014/chart" uri="{C3380CC4-5D6E-409C-BE32-E72D297353CC}">
              <c16:uniqueId val="{00000000-9B10-4B8F-8E0A-C17CF3FC14E8}"/>
            </c:ext>
          </c:extLst>
        </c:ser>
        <c:ser>
          <c:idx val="1"/>
          <c:order val="1"/>
          <c:tx>
            <c:strRef>
              <c:f>'23'!$A$3</c:f>
              <c:strCache>
                <c:ptCount val="1"/>
                <c:pt idx="0">
                  <c:v>No</c:v>
                </c:pt>
              </c:strCache>
            </c:strRef>
          </c:tx>
          <c:spPr>
            <a:solidFill>
              <a:srgbClr val="D83F2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'23'!$B$1:$F$1</c:f>
              <c:strCache>
                <c:ptCount val="5"/>
                <c:pt idx="0">
                  <c:v>Romania</c:v>
                </c:pt>
                <c:pt idx="1">
                  <c:v>France</c:v>
                </c:pt>
                <c:pt idx="2">
                  <c:v>Denmark</c:v>
                </c:pt>
                <c:pt idx="3">
                  <c:v>Italy</c:v>
                </c:pt>
                <c:pt idx="4">
                  <c:v>Latvia</c:v>
                </c:pt>
              </c:strCache>
            </c:strRef>
          </c:cat>
          <c:val>
            <c:numRef>
              <c:f>'23'!$B$3:$F$3</c:f>
              <c:numCache>
                <c:formatCode>0%</c:formatCode>
                <c:ptCount val="5"/>
                <c:pt idx="1">
                  <c:v>0.33333333333333326</c:v>
                </c:pt>
                <c:pt idx="2">
                  <c:v>8.3333333333333315E-2</c:v>
                </c:pt>
                <c:pt idx="3">
                  <c:v>0.25</c:v>
                </c:pt>
              </c:numCache>
            </c:numRef>
          </c:val>
          <c:extLst>
            <c:ext xmlns:c16="http://schemas.microsoft.com/office/drawing/2014/chart" uri="{C3380CC4-5D6E-409C-BE32-E72D297353CC}">
              <c16:uniqueId val="{00000001-9B10-4B8F-8E0A-C17CF3FC14E8}"/>
            </c:ext>
          </c:extLst>
        </c:ser>
        <c:ser>
          <c:idx val="2"/>
          <c:order val="2"/>
          <c:tx>
            <c:strRef>
              <c:f>'23'!$A$4</c:f>
              <c:strCache>
                <c:ptCount val="1"/>
                <c:pt idx="0">
                  <c:v>I don't know</c:v>
                </c:pt>
              </c:strCache>
            </c:strRef>
          </c:tx>
          <c:spPr>
            <a:solidFill>
              <a:srgbClr val="6F6B6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'23'!$B$1:$F$1</c:f>
              <c:strCache>
                <c:ptCount val="5"/>
                <c:pt idx="0">
                  <c:v>Romania</c:v>
                </c:pt>
                <c:pt idx="1">
                  <c:v>France</c:v>
                </c:pt>
                <c:pt idx="2">
                  <c:v>Denmark</c:v>
                </c:pt>
                <c:pt idx="3">
                  <c:v>Italy</c:v>
                </c:pt>
                <c:pt idx="4">
                  <c:v>Latvia</c:v>
                </c:pt>
              </c:strCache>
            </c:strRef>
          </c:cat>
          <c:val>
            <c:numRef>
              <c:f>'23'!$B$4:$F$4</c:f>
              <c:numCache>
                <c:formatCode>0%</c:formatCode>
                <c:ptCount val="5"/>
                <c:pt idx="0">
                  <c:v>1</c:v>
                </c:pt>
                <c:pt idx="1">
                  <c:v>0.22222222222222221</c:v>
                </c:pt>
                <c:pt idx="2">
                  <c:v>0.33333333333333326</c:v>
                </c:pt>
                <c:pt idx="3">
                  <c:v>0.125</c:v>
                </c:pt>
              </c:numCache>
            </c:numRef>
          </c:val>
          <c:extLst>
            <c:ext xmlns:c16="http://schemas.microsoft.com/office/drawing/2014/chart" uri="{C3380CC4-5D6E-409C-BE32-E72D297353CC}">
              <c16:uniqueId val="{00000002-9B10-4B8F-8E0A-C17CF3FC14E8}"/>
            </c:ext>
          </c:extLst>
        </c:ser>
        <c:dLbls>
          <c:dLblPos val="ctr"/>
          <c:showLegendKey val="0"/>
          <c:showVal val="1"/>
          <c:showCatName val="0"/>
          <c:showSerName val="0"/>
          <c:showPercent val="0"/>
          <c:showBubbleSize val="0"/>
        </c:dLbls>
        <c:gapWidth val="150"/>
        <c:overlap val="100"/>
        <c:axId val="1106218512"/>
        <c:axId val="1106225232"/>
      </c:barChart>
      <c:catAx>
        <c:axId val="1106218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06225232"/>
        <c:crosses val="autoZero"/>
        <c:auto val="1"/>
        <c:lblAlgn val="ctr"/>
        <c:lblOffset val="100"/>
        <c:noMultiLvlLbl val="0"/>
      </c:catAx>
      <c:valAx>
        <c:axId val="1106225232"/>
        <c:scaling>
          <c:orientation val="minMax"/>
          <c:max val="1"/>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106218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E" sz="1200">
                <a:latin typeface="Times New Roman" panose="02020603050405020304" pitchFamily="18" charset="0"/>
                <a:cs typeface="Times New Roman" panose="02020603050405020304" pitchFamily="18" charset="0"/>
              </a:rPr>
              <a:t>In your opinion, to what extent has public trust increased that individuals can safely report wrongdoing falling within the scope of the Directive or national legislation without fear of retaliation?</a:t>
            </a:r>
            <a:endParaRPr lang="hu-HU" sz="1200">
              <a:latin typeface="Times New Roman" panose="02020603050405020304" pitchFamily="18" charset="0"/>
              <a:cs typeface="Times New Roman" panose="02020603050405020304" pitchFamily="18" charset="0"/>
            </a:endParaRPr>
          </a:p>
          <a:p>
            <a:pPr>
              <a:defRPr/>
            </a:pPr>
            <a:r>
              <a:rPr lang="hu-HU" sz="1200">
                <a:latin typeface="Times New Roman" panose="02020603050405020304" pitchFamily="18" charset="0"/>
                <a:cs typeface="Times New Roman" panose="02020603050405020304" pitchFamily="18" charset="0"/>
              </a:rPr>
              <a:t>By country</a:t>
            </a:r>
            <a:endParaRPr lang="en-IE"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'24'!$A$2</c:f>
              <c:strCache>
                <c:ptCount val="1"/>
                <c:pt idx="0">
                  <c:v>To a large extent</c:v>
                </c:pt>
              </c:strCache>
            </c:strRef>
          </c:tx>
          <c:spPr>
            <a:solidFill>
              <a:srgbClr val="005B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'24'!$B$1:$F$1</c:f>
              <c:strCache>
                <c:ptCount val="5"/>
                <c:pt idx="0">
                  <c:v>France</c:v>
                </c:pt>
                <c:pt idx="1">
                  <c:v>Romania</c:v>
                </c:pt>
                <c:pt idx="2">
                  <c:v>Denmark</c:v>
                </c:pt>
                <c:pt idx="3">
                  <c:v>Italy</c:v>
                </c:pt>
                <c:pt idx="4">
                  <c:v>Latvia</c:v>
                </c:pt>
              </c:strCache>
            </c:strRef>
          </c:cat>
          <c:val>
            <c:numRef>
              <c:f>'24'!$B$2:$F$2</c:f>
              <c:numCache>
                <c:formatCode>General</c:formatCode>
                <c:ptCount val="5"/>
                <c:pt idx="0" formatCode="0%">
                  <c:v>0.1111111111111111</c:v>
                </c:pt>
                <c:pt idx="3" formatCode="0%">
                  <c:v>0.125</c:v>
                </c:pt>
              </c:numCache>
            </c:numRef>
          </c:val>
          <c:extLst>
            <c:ext xmlns:c16="http://schemas.microsoft.com/office/drawing/2014/chart" uri="{C3380CC4-5D6E-409C-BE32-E72D297353CC}">
              <c16:uniqueId val="{00000000-A62A-4123-A168-C5BF8D1CC92E}"/>
            </c:ext>
          </c:extLst>
        </c:ser>
        <c:ser>
          <c:idx val="1"/>
          <c:order val="1"/>
          <c:tx>
            <c:strRef>
              <c:f>'24'!$A$3</c:f>
              <c:strCache>
                <c:ptCount val="1"/>
                <c:pt idx="0">
                  <c:v>To a moderate extent</c:v>
                </c:pt>
              </c:strCache>
            </c:strRef>
          </c:tx>
          <c:spPr>
            <a:solidFill>
              <a:srgbClr val="57C3A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'24'!$B$1:$F$1</c:f>
              <c:strCache>
                <c:ptCount val="5"/>
                <c:pt idx="0">
                  <c:v>France</c:v>
                </c:pt>
                <c:pt idx="1">
                  <c:v>Romania</c:v>
                </c:pt>
                <c:pt idx="2">
                  <c:v>Denmark</c:v>
                </c:pt>
                <c:pt idx="3">
                  <c:v>Italy</c:v>
                </c:pt>
                <c:pt idx="4">
                  <c:v>Latvia</c:v>
                </c:pt>
              </c:strCache>
            </c:strRef>
          </c:cat>
          <c:val>
            <c:numRef>
              <c:f>'24'!$B$3:$F$3</c:f>
              <c:numCache>
                <c:formatCode>0%</c:formatCode>
                <c:ptCount val="5"/>
                <c:pt idx="1">
                  <c:v>0.25</c:v>
                </c:pt>
                <c:pt idx="2">
                  <c:v>0.33333333333333326</c:v>
                </c:pt>
                <c:pt idx="3">
                  <c:v>0.375</c:v>
                </c:pt>
                <c:pt idx="4">
                  <c:v>0.5714285714285714</c:v>
                </c:pt>
              </c:numCache>
            </c:numRef>
          </c:val>
          <c:extLst>
            <c:ext xmlns:c16="http://schemas.microsoft.com/office/drawing/2014/chart" uri="{C3380CC4-5D6E-409C-BE32-E72D297353CC}">
              <c16:uniqueId val="{00000001-A62A-4123-A168-C5BF8D1CC92E}"/>
            </c:ext>
          </c:extLst>
        </c:ser>
        <c:ser>
          <c:idx val="2"/>
          <c:order val="2"/>
          <c:tx>
            <c:strRef>
              <c:f>'24'!$A$4</c:f>
              <c:strCache>
                <c:ptCount val="1"/>
                <c:pt idx="0">
                  <c:v>To some extent</c:v>
                </c:pt>
              </c:strCache>
            </c:strRef>
          </c:tx>
          <c:spPr>
            <a:solidFill>
              <a:srgbClr val="EEA14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'24'!$B$1:$F$1</c:f>
              <c:strCache>
                <c:ptCount val="5"/>
                <c:pt idx="0">
                  <c:v>France</c:v>
                </c:pt>
                <c:pt idx="1">
                  <c:v>Romania</c:v>
                </c:pt>
                <c:pt idx="2">
                  <c:v>Denmark</c:v>
                </c:pt>
                <c:pt idx="3">
                  <c:v>Italy</c:v>
                </c:pt>
                <c:pt idx="4">
                  <c:v>Latvia</c:v>
                </c:pt>
              </c:strCache>
            </c:strRef>
          </c:cat>
          <c:val>
            <c:numRef>
              <c:f>'24'!$B$4:$F$4</c:f>
              <c:numCache>
                <c:formatCode>0%</c:formatCode>
                <c:ptCount val="5"/>
                <c:pt idx="0">
                  <c:v>0.55555555555555558</c:v>
                </c:pt>
                <c:pt idx="1">
                  <c:v>0.25</c:v>
                </c:pt>
                <c:pt idx="2">
                  <c:v>0.25</c:v>
                </c:pt>
                <c:pt idx="3">
                  <c:v>0.375</c:v>
                </c:pt>
                <c:pt idx="4">
                  <c:v>0.2857142857142857</c:v>
                </c:pt>
              </c:numCache>
            </c:numRef>
          </c:val>
          <c:extLst>
            <c:ext xmlns:c16="http://schemas.microsoft.com/office/drawing/2014/chart" uri="{C3380CC4-5D6E-409C-BE32-E72D297353CC}">
              <c16:uniqueId val="{00000002-A62A-4123-A168-C5BF8D1CC92E}"/>
            </c:ext>
          </c:extLst>
        </c:ser>
        <c:ser>
          <c:idx val="3"/>
          <c:order val="3"/>
          <c:tx>
            <c:strRef>
              <c:f>'24'!$A$5</c:f>
              <c:strCache>
                <c:ptCount val="1"/>
                <c:pt idx="0">
                  <c:v>Not at all</c:v>
                </c:pt>
              </c:strCache>
            </c:strRef>
          </c:tx>
          <c:spPr>
            <a:solidFill>
              <a:srgbClr val="D83F2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'24'!$B$1:$F$1</c:f>
              <c:strCache>
                <c:ptCount val="5"/>
                <c:pt idx="0">
                  <c:v>France</c:v>
                </c:pt>
                <c:pt idx="1">
                  <c:v>Romania</c:v>
                </c:pt>
                <c:pt idx="2">
                  <c:v>Denmark</c:v>
                </c:pt>
                <c:pt idx="3">
                  <c:v>Italy</c:v>
                </c:pt>
                <c:pt idx="4">
                  <c:v>Latvia</c:v>
                </c:pt>
              </c:strCache>
            </c:strRef>
          </c:cat>
          <c:val>
            <c:numRef>
              <c:f>'24'!$B$5:$F$5</c:f>
              <c:numCache>
                <c:formatCode>0%</c:formatCode>
                <c:ptCount val="5"/>
                <c:pt idx="0">
                  <c:v>0.33333333333333326</c:v>
                </c:pt>
                <c:pt idx="1">
                  <c:v>0.5</c:v>
                </c:pt>
                <c:pt idx="2">
                  <c:v>8.3333333333333315E-2</c:v>
                </c:pt>
              </c:numCache>
            </c:numRef>
          </c:val>
          <c:extLst>
            <c:ext xmlns:c16="http://schemas.microsoft.com/office/drawing/2014/chart" uri="{C3380CC4-5D6E-409C-BE32-E72D297353CC}">
              <c16:uniqueId val="{00000003-A62A-4123-A168-C5BF8D1CC92E}"/>
            </c:ext>
          </c:extLst>
        </c:ser>
        <c:ser>
          <c:idx val="4"/>
          <c:order val="4"/>
          <c:tx>
            <c:strRef>
              <c:f>'24'!$A$6</c:f>
              <c:strCache>
                <c:ptCount val="1"/>
                <c:pt idx="0">
                  <c:v>I do not know</c:v>
                </c:pt>
              </c:strCache>
            </c:strRef>
          </c:tx>
          <c:spPr>
            <a:solidFill>
              <a:srgbClr val="6F6B6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'24'!$B$1:$F$1</c:f>
              <c:strCache>
                <c:ptCount val="5"/>
                <c:pt idx="0">
                  <c:v>France</c:v>
                </c:pt>
                <c:pt idx="1">
                  <c:v>Romania</c:v>
                </c:pt>
                <c:pt idx="2">
                  <c:v>Denmark</c:v>
                </c:pt>
                <c:pt idx="3">
                  <c:v>Italy</c:v>
                </c:pt>
                <c:pt idx="4">
                  <c:v>Latvia</c:v>
                </c:pt>
              </c:strCache>
            </c:strRef>
          </c:cat>
          <c:val>
            <c:numRef>
              <c:f>'24'!$B$6:$F$6</c:f>
              <c:numCache>
                <c:formatCode>General</c:formatCode>
                <c:ptCount val="5"/>
                <c:pt idx="2" formatCode="0%">
                  <c:v>0.33333333333333326</c:v>
                </c:pt>
                <c:pt idx="3" formatCode="0%">
                  <c:v>0.125</c:v>
                </c:pt>
                <c:pt idx="4" formatCode="0%">
                  <c:v>0.14285714285714285</c:v>
                </c:pt>
              </c:numCache>
            </c:numRef>
          </c:val>
          <c:extLst>
            <c:ext xmlns:c16="http://schemas.microsoft.com/office/drawing/2014/chart" uri="{C3380CC4-5D6E-409C-BE32-E72D297353CC}">
              <c16:uniqueId val="{00000004-A62A-4123-A168-C5BF8D1CC92E}"/>
            </c:ext>
          </c:extLst>
        </c:ser>
        <c:dLbls>
          <c:dLblPos val="ctr"/>
          <c:showLegendKey val="0"/>
          <c:showVal val="1"/>
          <c:showCatName val="0"/>
          <c:showSerName val="0"/>
          <c:showPercent val="0"/>
          <c:showBubbleSize val="0"/>
        </c:dLbls>
        <c:gapWidth val="150"/>
        <c:overlap val="100"/>
        <c:axId val="1106170992"/>
        <c:axId val="1106185872"/>
      </c:barChart>
      <c:catAx>
        <c:axId val="1106170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06185872"/>
        <c:crosses val="autoZero"/>
        <c:auto val="1"/>
        <c:lblAlgn val="ctr"/>
        <c:lblOffset val="100"/>
        <c:noMultiLvlLbl val="0"/>
      </c:catAx>
      <c:valAx>
        <c:axId val="1106185872"/>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06170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a:latin typeface="Times New Roman" panose="02020603050405020304" pitchFamily="18" charset="0"/>
                <a:cs typeface="Times New Roman" panose="02020603050405020304" pitchFamily="18" charset="0"/>
              </a:rPr>
              <a:t>Has the</a:t>
            </a:r>
            <a:r>
              <a:rPr lang="en-GB" sz="1200" baseline="0">
                <a:latin typeface="Times New Roman" panose="02020603050405020304" pitchFamily="18" charset="0"/>
                <a:cs typeface="Times New Roman" panose="02020603050405020304" pitchFamily="18" charset="0"/>
              </a:rPr>
              <a:t> national law implementing the Directive extended its scope beyond the material scope areas listed in its material scope? </a:t>
            </a:r>
            <a:endParaRPr lang="en-GB"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General!$C$26</c:f>
              <c:strCache>
                <c:ptCount val="1"/>
                <c:pt idx="0">
                  <c:v>Answers</c:v>
                </c:pt>
              </c:strCache>
            </c:strRef>
          </c:tx>
          <c:dPt>
            <c:idx val="0"/>
            <c:bubble3D val="0"/>
            <c:spPr>
              <a:solidFill>
                <a:srgbClr val="005B5F"/>
              </a:solidFill>
              <a:ln w="19050">
                <a:solidFill>
                  <a:schemeClr val="lt1"/>
                </a:solidFill>
              </a:ln>
              <a:effectLst/>
            </c:spPr>
            <c:extLst>
              <c:ext xmlns:c16="http://schemas.microsoft.com/office/drawing/2014/chart" uri="{C3380CC4-5D6E-409C-BE32-E72D297353CC}">
                <c16:uniqueId val="{00000001-26EC-4E48-A66F-BFF97EE27CCF}"/>
              </c:ext>
            </c:extLst>
          </c:dPt>
          <c:dPt>
            <c:idx val="1"/>
            <c:bubble3D val="0"/>
            <c:spPr>
              <a:solidFill>
                <a:srgbClr val="D83F29"/>
              </a:solidFill>
              <a:ln w="19050">
                <a:solidFill>
                  <a:schemeClr val="lt1"/>
                </a:solidFill>
              </a:ln>
              <a:effectLst/>
            </c:spPr>
            <c:extLst>
              <c:ext xmlns:c16="http://schemas.microsoft.com/office/drawing/2014/chart" uri="{C3380CC4-5D6E-409C-BE32-E72D297353CC}">
                <c16:uniqueId val="{00000003-26EC-4E48-A66F-BFF97EE27CCF}"/>
              </c:ext>
            </c:extLst>
          </c:dPt>
          <c:dPt>
            <c:idx val="2"/>
            <c:bubble3D val="0"/>
            <c:spPr>
              <a:solidFill>
                <a:srgbClr val="6F6B6C"/>
              </a:solidFill>
              <a:ln w="19050">
                <a:solidFill>
                  <a:schemeClr val="lt1"/>
                </a:solidFill>
              </a:ln>
              <a:effectLst/>
            </c:spPr>
            <c:extLst>
              <c:ext xmlns:c16="http://schemas.microsoft.com/office/drawing/2014/chart" uri="{C3380CC4-5D6E-409C-BE32-E72D297353CC}">
                <c16:uniqueId val="{00000005-26EC-4E48-A66F-BFF97EE27CC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6EC-4E48-A66F-BFF97EE27CCF}"/>
              </c:ext>
            </c:extLst>
          </c:dPt>
          <c:dLbls>
            <c:dLbl>
              <c:idx val="0"/>
              <c:tx>
                <c:rich>
                  <a:bodyPr/>
                  <a:lstStyle/>
                  <a:p>
                    <a:r>
                      <a:rPr lang="en-US"/>
                      <a:t>65%</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6EC-4E48-A66F-BFF97EE27CCF}"/>
                </c:ext>
              </c:extLst>
            </c:dLbl>
            <c:dLbl>
              <c:idx val="1"/>
              <c:layout>
                <c:manualLayout>
                  <c:x val="8.4724846894138187E-2"/>
                  <c:y val="-2.4843248760572445E-3"/>
                </c:manualLayout>
              </c:layout>
              <c:tx>
                <c:rich>
                  <a:bodyPr/>
                  <a:lstStyle/>
                  <a:p>
                    <a:r>
                      <a:rPr lang="en-US"/>
                      <a:t>18%</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6EC-4E48-A66F-BFF97EE27CCF}"/>
                </c:ext>
              </c:extLst>
            </c:dLbl>
            <c:dLbl>
              <c:idx val="2"/>
              <c:layout>
                <c:manualLayout>
                  <c:x val="6.1805993000874894E-2"/>
                  <c:y val="0.11378900554097404"/>
                </c:manualLayout>
              </c:layout>
              <c:tx>
                <c:rich>
                  <a:bodyPr/>
                  <a:lstStyle/>
                  <a:p>
                    <a:r>
                      <a:rPr lang="en-US"/>
                      <a:t>18%</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6EC-4E48-A66F-BFF97EE27CCF}"/>
                </c:ext>
              </c:extLst>
            </c:dLbl>
            <c:dLbl>
              <c:idx val="3"/>
              <c:delete val="1"/>
              <c:extLst>
                <c:ext xmlns:c15="http://schemas.microsoft.com/office/drawing/2012/chart" uri="{CE6537A1-D6FC-4f65-9D91-7224C49458BB}"/>
                <c:ext xmlns:c16="http://schemas.microsoft.com/office/drawing/2014/chart" uri="{C3380CC4-5D6E-409C-BE32-E72D297353CC}">
                  <c16:uniqueId val="{00000007-26EC-4E48-A66F-BFF97EE27CC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General!$A$27:$B$30</c:f>
              <c:strCache>
                <c:ptCount val="4"/>
                <c:pt idx="0">
                  <c:v>Yes</c:v>
                </c:pt>
                <c:pt idx="1">
                  <c:v>No</c:v>
                </c:pt>
                <c:pt idx="2">
                  <c:v>I don't know</c:v>
                </c:pt>
                <c:pt idx="3">
                  <c:v>No Answer</c:v>
                </c:pt>
              </c:strCache>
            </c:strRef>
          </c:cat>
          <c:val>
            <c:numRef>
              <c:f>General!$C$27:$C$30</c:f>
              <c:numCache>
                <c:formatCode>General</c:formatCode>
                <c:ptCount val="4"/>
                <c:pt idx="0">
                  <c:v>26</c:v>
                </c:pt>
                <c:pt idx="1">
                  <c:v>7</c:v>
                </c:pt>
                <c:pt idx="2">
                  <c:v>7</c:v>
                </c:pt>
                <c:pt idx="3">
                  <c:v>0</c:v>
                </c:pt>
              </c:numCache>
            </c:numRef>
          </c:val>
          <c:extLst>
            <c:ext xmlns:c16="http://schemas.microsoft.com/office/drawing/2014/chart" uri="{C3380CC4-5D6E-409C-BE32-E72D297353CC}">
              <c16:uniqueId val="{00000008-26EC-4E48-A66F-BFF97EE27CCF}"/>
            </c:ext>
          </c:extLst>
        </c:ser>
        <c:ser>
          <c:idx val="1"/>
          <c:order val="1"/>
          <c:tx>
            <c:strRef>
              <c:f>General!$D$26</c:f>
              <c:strCache>
                <c:ptCount val="1"/>
                <c:pt idx="0">
                  <c:v>Ratio</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A-26EC-4E48-A66F-BFF97EE27CC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C-26EC-4E48-A66F-BFF97EE27CC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E-26EC-4E48-A66F-BFF97EE27CC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0-26EC-4E48-A66F-BFF97EE27CCF}"/>
              </c:ext>
            </c:extLst>
          </c:dPt>
          <c:cat>
            <c:strRef>
              <c:f>General!$A$27:$B$30</c:f>
              <c:strCache>
                <c:ptCount val="4"/>
                <c:pt idx="0">
                  <c:v>Yes</c:v>
                </c:pt>
                <c:pt idx="1">
                  <c:v>No</c:v>
                </c:pt>
                <c:pt idx="2">
                  <c:v>I don't know</c:v>
                </c:pt>
                <c:pt idx="3">
                  <c:v>No Answer</c:v>
                </c:pt>
              </c:strCache>
            </c:strRef>
          </c:cat>
          <c:val>
            <c:numRef>
              <c:f>General!$D$27:$D$30</c:f>
              <c:numCache>
                <c:formatCode>0%</c:formatCode>
                <c:ptCount val="4"/>
                <c:pt idx="0">
                  <c:v>0.65</c:v>
                </c:pt>
                <c:pt idx="1">
                  <c:v>0.17499999999999999</c:v>
                </c:pt>
                <c:pt idx="2">
                  <c:v>0.17499999999999999</c:v>
                </c:pt>
                <c:pt idx="3">
                  <c:v>0</c:v>
                </c:pt>
              </c:numCache>
            </c:numRef>
          </c:val>
          <c:extLst>
            <c:ext xmlns:c16="http://schemas.microsoft.com/office/drawing/2014/chart" uri="{C3380CC4-5D6E-409C-BE32-E72D297353CC}">
              <c16:uniqueId val="{00000011-26EC-4E48-A66F-BFF97EE27CCF}"/>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E" sz="1200">
                <a:latin typeface="Times New Roman" panose="02020603050405020304" pitchFamily="18" charset="0"/>
                <a:cs typeface="Times New Roman" panose="02020603050405020304" pitchFamily="18" charset="0"/>
              </a:rPr>
              <a:t>Have national authorities or social partners launched awareness-raising or information campaigns to change cultural perceptions of whistleblowing and inform citizens about their rights?</a:t>
            </a:r>
            <a:endParaRPr lang="hu-HU" sz="1200">
              <a:latin typeface="Times New Roman" panose="02020603050405020304" pitchFamily="18" charset="0"/>
              <a:cs typeface="Times New Roman" panose="02020603050405020304" pitchFamily="18" charset="0"/>
            </a:endParaRPr>
          </a:p>
          <a:p>
            <a:pPr>
              <a:defRPr/>
            </a:pPr>
            <a:r>
              <a:rPr lang="hu-HU" sz="1200">
                <a:latin typeface="Times New Roman" panose="02020603050405020304" pitchFamily="18" charset="0"/>
                <a:cs typeface="Times New Roman" panose="02020603050405020304" pitchFamily="18" charset="0"/>
              </a:rPr>
              <a:t>By country</a:t>
            </a:r>
            <a:endParaRPr lang="en-IE"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'25'!$A$2</c:f>
              <c:strCache>
                <c:ptCount val="1"/>
                <c:pt idx="0">
                  <c:v>Yes</c:v>
                </c:pt>
              </c:strCache>
            </c:strRef>
          </c:tx>
          <c:spPr>
            <a:solidFill>
              <a:srgbClr val="005B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'25'!$B$1:$F$1</c:f>
              <c:strCache>
                <c:ptCount val="5"/>
                <c:pt idx="0">
                  <c:v>Denmark</c:v>
                </c:pt>
                <c:pt idx="1">
                  <c:v>Italy</c:v>
                </c:pt>
                <c:pt idx="2">
                  <c:v>France</c:v>
                </c:pt>
                <c:pt idx="3">
                  <c:v>Romania</c:v>
                </c:pt>
                <c:pt idx="4">
                  <c:v>Latvia</c:v>
                </c:pt>
              </c:strCache>
            </c:strRef>
          </c:cat>
          <c:val>
            <c:numRef>
              <c:f>'25'!$B$2:$F$2</c:f>
              <c:numCache>
                <c:formatCode>0%</c:formatCode>
                <c:ptCount val="5"/>
                <c:pt idx="0">
                  <c:v>0.33333333333333326</c:v>
                </c:pt>
                <c:pt idx="1">
                  <c:v>0.375</c:v>
                </c:pt>
                <c:pt idx="2">
                  <c:v>0.55555555555555558</c:v>
                </c:pt>
                <c:pt idx="3">
                  <c:v>0.75</c:v>
                </c:pt>
                <c:pt idx="4">
                  <c:v>0.8571428571428571</c:v>
                </c:pt>
              </c:numCache>
            </c:numRef>
          </c:val>
          <c:extLst>
            <c:ext xmlns:c16="http://schemas.microsoft.com/office/drawing/2014/chart" uri="{C3380CC4-5D6E-409C-BE32-E72D297353CC}">
              <c16:uniqueId val="{00000000-45B2-4950-AF26-8532AC8BB539}"/>
            </c:ext>
          </c:extLst>
        </c:ser>
        <c:ser>
          <c:idx val="1"/>
          <c:order val="1"/>
          <c:tx>
            <c:strRef>
              <c:f>'25'!$A$3</c:f>
              <c:strCache>
                <c:ptCount val="1"/>
                <c:pt idx="0">
                  <c:v>No</c:v>
                </c:pt>
              </c:strCache>
            </c:strRef>
          </c:tx>
          <c:spPr>
            <a:solidFill>
              <a:srgbClr val="D83F29"/>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1-45B2-4950-AF26-8532AC8BB53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'25'!$B$1:$F$1</c:f>
              <c:strCache>
                <c:ptCount val="5"/>
                <c:pt idx="0">
                  <c:v>Denmark</c:v>
                </c:pt>
                <c:pt idx="1">
                  <c:v>Italy</c:v>
                </c:pt>
                <c:pt idx="2">
                  <c:v>France</c:v>
                </c:pt>
                <c:pt idx="3">
                  <c:v>Romania</c:v>
                </c:pt>
                <c:pt idx="4">
                  <c:v>Latvia</c:v>
                </c:pt>
              </c:strCache>
            </c:strRef>
          </c:cat>
          <c:val>
            <c:numRef>
              <c:f>'25'!$B$3:$F$3</c:f>
              <c:numCache>
                <c:formatCode>0%</c:formatCode>
                <c:ptCount val="5"/>
                <c:pt idx="0">
                  <c:v>0.25</c:v>
                </c:pt>
                <c:pt idx="1">
                  <c:v>0.25</c:v>
                </c:pt>
                <c:pt idx="2">
                  <c:v>0.44444444444444442</c:v>
                </c:pt>
                <c:pt idx="3">
                  <c:v>0.25</c:v>
                </c:pt>
                <c:pt idx="4">
                  <c:v>0</c:v>
                </c:pt>
              </c:numCache>
            </c:numRef>
          </c:val>
          <c:extLst>
            <c:ext xmlns:c16="http://schemas.microsoft.com/office/drawing/2014/chart" uri="{C3380CC4-5D6E-409C-BE32-E72D297353CC}">
              <c16:uniqueId val="{00000002-45B2-4950-AF26-8532AC8BB539}"/>
            </c:ext>
          </c:extLst>
        </c:ser>
        <c:ser>
          <c:idx val="2"/>
          <c:order val="2"/>
          <c:tx>
            <c:strRef>
              <c:f>'25'!$A$4</c:f>
              <c:strCache>
                <c:ptCount val="1"/>
                <c:pt idx="0">
                  <c:v>I don't know</c:v>
                </c:pt>
              </c:strCache>
            </c:strRef>
          </c:tx>
          <c:spPr>
            <a:solidFill>
              <a:srgbClr val="6F6B6C"/>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3-45B2-4950-AF26-8532AC8BB539}"/>
                </c:ext>
              </c:extLst>
            </c:dLbl>
            <c:dLbl>
              <c:idx val="3"/>
              <c:delete val="1"/>
              <c:extLst>
                <c:ext xmlns:c15="http://schemas.microsoft.com/office/drawing/2012/chart" uri="{CE6537A1-D6FC-4f65-9D91-7224C49458BB}"/>
                <c:ext xmlns:c16="http://schemas.microsoft.com/office/drawing/2014/chart" uri="{C3380CC4-5D6E-409C-BE32-E72D297353CC}">
                  <c16:uniqueId val="{00000004-45B2-4950-AF26-8532AC8BB53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'25'!$B$1:$F$1</c:f>
              <c:strCache>
                <c:ptCount val="5"/>
                <c:pt idx="0">
                  <c:v>Denmark</c:v>
                </c:pt>
                <c:pt idx="1">
                  <c:v>Italy</c:v>
                </c:pt>
                <c:pt idx="2">
                  <c:v>France</c:v>
                </c:pt>
                <c:pt idx="3">
                  <c:v>Romania</c:v>
                </c:pt>
                <c:pt idx="4">
                  <c:v>Latvia</c:v>
                </c:pt>
              </c:strCache>
            </c:strRef>
          </c:cat>
          <c:val>
            <c:numRef>
              <c:f>'25'!$B$4:$F$4</c:f>
              <c:numCache>
                <c:formatCode>0%</c:formatCode>
                <c:ptCount val="5"/>
                <c:pt idx="0">
                  <c:v>0.41666666666666674</c:v>
                </c:pt>
                <c:pt idx="1">
                  <c:v>0.375</c:v>
                </c:pt>
                <c:pt idx="2">
                  <c:v>0</c:v>
                </c:pt>
                <c:pt idx="3" formatCode="0.000%">
                  <c:v>0</c:v>
                </c:pt>
                <c:pt idx="4">
                  <c:v>0.14285714285714285</c:v>
                </c:pt>
              </c:numCache>
            </c:numRef>
          </c:val>
          <c:extLst>
            <c:ext xmlns:c16="http://schemas.microsoft.com/office/drawing/2014/chart" uri="{C3380CC4-5D6E-409C-BE32-E72D297353CC}">
              <c16:uniqueId val="{00000005-45B2-4950-AF26-8532AC8BB539}"/>
            </c:ext>
          </c:extLst>
        </c:ser>
        <c:dLbls>
          <c:dLblPos val="ctr"/>
          <c:showLegendKey val="0"/>
          <c:showVal val="1"/>
          <c:showCatName val="0"/>
          <c:showSerName val="0"/>
          <c:showPercent val="0"/>
          <c:showBubbleSize val="0"/>
        </c:dLbls>
        <c:gapWidth val="150"/>
        <c:overlap val="100"/>
        <c:axId val="1106250192"/>
        <c:axId val="1106233872"/>
      </c:barChart>
      <c:catAx>
        <c:axId val="11062501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06233872"/>
        <c:crosses val="autoZero"/>
        <c:auto val="1"/>
        <c:lblAlgn val="ctr"/>
        <c:lblOffset val="100"/>
        <c:noMultiLvlLbl val="0"/>
      </c:catAx>
      <c:valAx>
        <c:axId val="1106233872"/>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6250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What is the role of the media concerning</a:t>
            </a:r>
            <a:r>
              <a:rPr lang="en-US" sz="1200" baseline="0">
                <a:latin typeface="Times New Roman" panose="02020603050405020304" pitchFamily="18" charset="0"/>
                <a:cs typeface="Times New Roman" panose="02020603050405020304" pitchFamily="18" charset="0"/>
              </a:rPr>
              <a:t> whistleblowing?</a:t>
            </a:r>
            <a:endParaRPr lang="en-US"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1"/>
          <c:order val="1"/>
          <c:tx>
            <c:strRef>
              <c:f>General!$C$259</c:f>
              <c:strCache>
                <c:ptCount val="1"/>
                <c:pt idx="0">
                  <c:v>Answers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General!$A$261:$A$265</c:f>
              <c:strCache>
                <c:ptCount val="5"/>
                <c:pt idx="0">
                  <c:v>Media reports the cases of whistleblowing but does not collaborate with whistleblowers and facilitators</c:v>
                </c:pt>
                <c:pt idx="1">
                  <c:v>Media usually do not deal with whistleblowing issues</c:v>
                </c:pt>
                <c:pt idx="2">
                  <c:v>Whistleblowers and facilitators regularly collaborate with Media</c:v>
                </c:pt>
                <c:pt idx="3">
                  <c:v>I do not know</c:v>
                </c:pt>
                <c:pt idx="4">
                  <c:v>Media provide for a moderate coverage of these issues</c:v>
                </c:pt>
              </c:strCache>
              <c:extLst/>
            </c:strRef>
          </c:cat>
          <c:val>
            <c:numRef>
              <c:f>General!$C$261:$C$265</c:f>
              <c:numCache>
                <c:formatCode>General</c:formatCode>
                <c:ptCount val="5"/>
                <c:pt idx="0">
                  <c:v>2</c:v>
                </c:pt>
                <c:pt idx="1">
                  <c:v>4</c:v>
                </c:pt>
                <c:pt idx="2">
                  <c:v>5</c:v>
                </c:pt>
                <c:pt idx="3">
                  <c:v>10</c:v>
                </c:pt>
                <c:pt idx="4">
                  <c:v>19</c:v>
                </c:pt>
              </c:numCache>
              <c:extLst/>
            </c:numRef>
          </c:val>
          <c:extLst>
            <c:ext xmlns:c16="http://schemas.microsoft.com/office/drawing/2014/chart" uri="{C3380CC4-5D6E-409C-BE32-E72D297353CC}">
              <c16:uniqueId val="{00000000-E7A2-4A41-9F8D-4A0943DB359B}"/>
            </c:ext>
          </c:extLst>
        </c:ser>
        <c:dLbls>
          <c:showLegendKey val="0"/>
          <c:showVal val="0"/>
          <c:showCatName val="0"/>
          <c:showSerName val="0"/>
          <c:showPercent val="0"/>
          <c:showBubbleSize val="0"/>
        </c:dLbls>
        <c:gapWidth val="182"/>
        <c:axId val="1542756144"/>
        <c:axId val="1542758544"/>
        <c:extLst>
          <c:ext xmlns:c15="http://schemas.microsoft.com/office/drawing/2012/chart" uri="{02D57815-91ED-43cb-92C2-25804820EDAC}">
            <c15:filteredBarSeries>
              <c15:ser>
                <c:idx val="0"/>
                <c:order val="0"/>
                <c:tx>
                  <c:strRef>
                    <c:extLst>
                      <c:ext uri="{02D57815-91ED-43cb-92C2-25804820EDAC}">
                        <c15:formulaRef>
                          <c15:sqref>General!$B$259</c15:sqref>
                        </c15:formulaRef>
                      </c:ext>
                    </c:extLst>
                    <c:strCache>
                      <c:ptCount val="1"/>
                    </c:strCache>
                  </c:strRef>
                </c:tx>
                <c:spPr>
                  <a:solidFill>
                    <a:schemeClr val="accent1"/>
                  </a:solidFill>
                  <a:ln>
                    <a:noFill/>
                  </a:ln>
                  <a:effectLst/>
                </c:spPr>
                <c:invertIfNegative val="0"/>
                <c:cat>
                  <c:strRef>
                    <c:extLst>
                      <c:ext uri="{02D57815-91ED-43cb-92C2-25804820EDAC}">
                        <c15:formulaRef>
                          <c15:sqref>General!$A$261:$A$265</c15:sqref>
                        </c15:formulaRef>
                      </c:ext>
                    </c:extLst>
                    <c:strCache>
                      <c:ptCount val="5"/>
                      <c:pt idx="0">
                        <c:v>Media reports the cases of whistleblowing but does not collaborate with whistleblowers and facilitators</c:v>
                      </c:pt>
                      <c:pt idx="1">
                        <c:v>Media usually do not deal with whistleblowing issues</c:v>
                      </c:pt>
                      <c:pt idx="2">
                        <c:v>Whistleblowers and facilitators regularly collaborate with Media</c:v>
                      </c:pt>
                      <c:pt idx="3">
                        <c:v>I do not know</c:v>
                      </c:pt>
                      <c:pt idx="4">
                        <c:v>Media provide for a moderate coverage of these issues</c:v>
                      </c:pt>
                    </c:strCache>
                  </c:strRef>
                </c:cat>
                <c:val>
                  <c:numRef>
                    <c:extLst>
                      <c:ext uri="{02D57815-91ED-43cb-92C2-25804820EDAC}">
                        <c15:formulaRef>
                          <c15:sqref>General!$B$261:$B$265</c15:sqref>
                        </c15:formulaRef>
                      </c:ext>
                    </c:extLst>
                    <c:numCache>
                      <c:formatCode>General</c:formatCode>
                      <c:ptCount val="5"/>
                    </c:numCache>
                  </c:numRef>
                </c:val>
                <c:extLst>
                  <c:ext xmlns:c16="http://schemas.microsoft.com/office/drawing/2014/chart" uri="{C3380CC4-5D6E-409C-BE32-E72D297353CC}">
                    <c16:uniqueId val="{00000001-E7A2-4A41-9F8D-4A0943DB359B}"/>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General!$D$259</c15:sqref>
                        </c15:formulaRef>
                      </c:ext>
                    </c:extLst>
                    <c:strCache>
                      <c:ptCount val="1"/>
                      <c:pt idx="0">
                        <c:v>Ratio</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General!$A$261:$A$265</c15:sqref>
                        </c15:formulaRef>
                      </c:ext>
                    </c:extLst>
                    <c:strCache>
                      <c:ptCount val="5"/>
                      <c:pt idx="0">
                        <c:v>Media reports the cases of whistleblowing but does not collaborate with whistleblowers and facilitators</c:v>
                      </c:pt>
                      <c:pt idx="1">
                        <c:v>Media usually do not deal with whistleblowing issues</c:v>
                      </c:pt>
                      <c:pt idx="2">
                        <c:v>Whistleblowers and facilitators regularly collaborate with Media</c:v>
                      </c:pt>
                      <c:pt idx="3">
                        <c:v>I do not know</c:v>
                      </c:pt>
                      <c:pt idx="4">
                        <c:v>Media provide for a moderate coverage of these issues</c:v>
                      </c:pt>
                    </c:strCache>
                  </c:strRef>
                </c:cat>
                <c:val>
                  <c:numRef>
                    <c:extLst xmlns:c15="http://schemas.microsoft.com/office/drawing/2012/chart">
                      <c:ext xmlns:c15="http://schemas.microsoft.com/office/drawing/2012/chart" uri="{02D57815-91ED-43cb-92C2-25804820EDAC}">
                        <c15:formulaRef>
                          <c15:sqref>General!$D$261:$D$265</c15:sqref>
                        </c15:formulaRef>
                      </c:ext>
                    </c:extLst>
                    <c:numCache>
                      <c:formatCode>0%</c:formatCode>
                      <c:ptCount val="5"/>
                      <c:pt idx="0">
                        <c:v>0.05</c:v>
                      </c:pt>
                      <c:pt idx="1">
                        <c:v>0.1</c:v>
                      </c:pt>
                      <c:pt idx="2">
                        <c:v>0.125</c:v>
                      </c:pt>
                      <c:pt idx="3">
                        <c:v>0.25</c:v>
                      </c:pt>
                      <c:pt idx="4">
                        <c:v>0.47499999999999998</c:v>
                      </c:pt>
                    </c:numCache>
                  </c:numRef>
                </c:val>
                <c:extLst xmlns:c15="http://schemas.microsoft.com/office/drawing/2012/chart">
                  <c:ext xmlns:c16="http://schemas.microsoft.com/office/drawing/2014/chart" uri="{C3380CC4-5D6E-409C-BE32-E72D297353CC}">
                    <c16:uniqueId val="{00000002-E7A2-4A41-9F8D-4A0943DB359B}"/>
                  </c:ext>
                </c:extLst>
              </c15:ser>
            </c15:filteredBarSeries>
          </c:ext>
        </c:extLst>
      </c:barChart>
      <c:catAx>
        <c:axId val="15427561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2758544"/>
        <c:crosses val="autoZero"/>
        <c:auto val="1"/>
        <c:lblAlgn val="ctr"/>
        <c:lblOffset val="100"/>
        <c:noMultiLvlLbl val="0"/>
      </c:catAx>
      <c:valAx>
        <c:axId val="15427585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2756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IE" sz="1200">
                <a:latin typeface="Times New Roman" panose="02020603050405020304" pitchFamily="18" charset="0"/>
                <a:cs typeface="Times New Roman" panose="02020603050405020304" pitchFamily="18" charset="0"/>
              </a:rPr>
              <a:t>Has the national law implementing the Directive extended its scope beyond the material scope areas listed in its material scope?</a:t>
            </a:r>
            <a:endParaRPr lang="hu-HU" sz="1200">
              <a:latin typeface="Times New Roman" panose="02020603050405020304" pitchFamily="18" charset="0"/>
              <a:cs typeface="Times New Roman" panose="02020603050405020304" pitchFamily="18" charset="0"/>
            </a:endParaRPr>
          </a:p>
          <a:p>
            <a:pPr algn="ctr">
              <a:defRPr/>
            </a:pPr>
            <a:r>
              <a:rPr lang="hu-HU" sz="1200">
                <a:latin typeface="Times New Roman" panose="02020603050405020304" pitchFamily="18" charset="0"/>
                <a:cs typeface="Times New Roman" panose="02020603050405020304" pitchFamily="18" charset="0"/>
              </a:rPr>
              <a:t>By country</a:t>
            </a:r>
            <a:endParaRPr lang="en-IE"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France!$K$27</c:f>
              <c:strCache>
                <c:ptCount val="1"/>
                <c:pt idx="0">
                  <c:v>Yes</c:v>
                </c:pt>
              </c:strCache>
            </c:strRef>
          </c:tx>
          <c:spPr>
            <a:solidFill>
              <a:srgbClr val="005B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France!$L$26:$P$26</c:f>
              <c:strCache>
                <c:ptCount val="5"/>
                <c:pt idx="0">
                  <c:v>France</c:v>
                </c:pt>
                <c:pt idx="1">
                  <c:v>Denmark</c:v>
                </c:pt>
                <c:pt idx="2">
                  <c:v>Italy</c:v>
                </c:pt>
                <c:pt idx="3">
                  <c:v>Latvia</c:v>
                </c:pt>
                <c:pt idx="4">
                  <c:v>Romania</c:v>
                </c:pt>
              </c:strCache>
            </c:strRef>
          </c:cat>
          <c:val>
            <c:numRef>
              <c:f>France!$L$27:$P$27</c:f>
              <c:numCache>
                <c:formatCode>0%</c:formatCode>
                <c:ptCount val="5"/>
                <c:pt idx="0">
                  <c:v>0.7777777777777779</c:v>
                </c:pt>
                <c:pt idx="1">
                  <c:v>0.66666666666666652</c:v>
                </c:pt>
                <c:pt idx="2">
                  <c:v>0.625</c:v>
                </c:pt>
                <c:pt idx="3">
                  <c:v>0.5714285714285714</c:v>
                </c:pt>
                <c:pt idx="4">
                  <c:v>0.5</c:v>
                </c:pt>
              </c:numCache>
            </c:numRef>
          </c:val>
          <c:extLst>
            <c:ext xmlns:c16="http://schemas.microsoft.com/office/drawing/2014/chart" uri="{C3380CC4-5D6E-409C-BE32-E72D297353CC}">
              <c16:uniqueId val="{00000000-6C9C-40B4-8DF1-6DA449BEBAF7}"/>
            </c:ext>
          </c:extLst>
        </c:ser>
        <c:ser>
          <c:idx val="1"/>
          <c:order val="1"/>
          <c:tx>
            <c:strRef>
              <c:f>France!$K$28</c:f>
              <c:strCache>
                <c:ptCount val="1"/>
                <c:pt idx="0">
                  <c:v>No</c:v>
                </c:pt>
              </c:strCache>
            </c:strRef>
          </c:tx>
          <c:spPr>
            <a:solidFill>
              <a:srgbClr val="D83F29"/>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1-6C9C-40B4-8DF1-6DA449BEBAF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France!$L$26:$P$26</c:f>
              <c:strCache>
                <c:ptCount val="5"/>
                <c:pt idx="0">
                  <c:v>France</c:v>
                </c:pt>
                <c:pt idx="1">
                  <c:v>Denmark</c:v>
                </c:pt>
                <c:pt idx="2">
                  <c:v>Italy</c:v>
                </c:pt>
                <c:pt idx="3">
                  <c:v>Latvia</c:v>
                </c:pt>
                <c:pt idx="4">
                  <c:v>Romania</c:v>
                </c:pt>
              </c:strCache>
            </c:strRef>
          </c:cat>
          <c:val>
            <c:numRef>
              <c:f>France!$L$28:$P$28</c:f>
              <c:numCache>
                <c:formatCode>0%</c:formatCode>
                <c:ptCount val="5"/>
                <c:pt idx="0">
                  <c:v>0.1111111111111111</c:v>
                </c:pt>
                <c:pt idx="1">
                  <c:v>0</c:v>
                </c:pt>
                <c:pt idx="2">
                  <c:v>0.25</c:v>
                </c:pt>
                <c:pt idx="3">
                  <c:v>0.2857142857142857</c:v>
                </c:pt>
                <c:pt idx="4">
                  <c:v>0.5</c:v>
                </c:pt>
              </c:numCache>
            </c:numRef>
          </c:val>
          <c:extLst>
            <c:ext xmlns:c16="http://schemas.microsoft.com/office/drawing/2014/chart" uri="{C3380CC4-5D6E-409C-BE32-E72D297353CC}">
              <c16:uniqueId val="{00000002-6C9C-40B4-8DF1-6DA449BEBAF7}"/>
            </c:ext>
          </c:extLst>
        </c:ser>
        <c:ser>
          <c:idx val="2"/>
          <c:order val="2"/>
          <c:tx>
            <c:strRef>
              <c:f>France!$K$29</c:f>
              <c:strCache>
                <c:ptCount val="1"/>
                <c:pt idx="0">
                  <c:v>I don't know</c:v>
                </c:pt>
              </c:strCache>
            </c:strRef>
          </c:tx>
          <c:spPr>
            <a:solidFill>
              <a:srgbClr val="6F6B6C"/>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3-6C9C-40B4-8DF1-6DA449BEBAF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France!$L$26:$P$26</c:f>
              <c:strCache>
                <c:ptCount val="5"/>
                <c:pt idx="0">
                  <c:v>France</c:v>
                </c:pt>
                <c:pt idx="1">
                  <c:v>Denmark</c:v>
                </c:pt>
                <c:pt idx="2">
                  <c:v>Italy</c:v>
                </c:pt>
                <c:pt idx="3">
                  <c:v>Latvia</c:v>
                </c:pt>
                <c:pt idx="4">
                  <c:v>Romania</c:v>
                </c:pt>
              </c:strCache>
            </c:strRef>
          </c:cat>
          <c:val>
            <c:numRef>
              <c:f>France!$L$29:$P$29</c:f>
              <c:numCache>
                <c:formatCode>0%</c:formatCode>
                <c:ptCount val="5"/>
                <c:pt idx="0">
                  <c:v>0.1111111111111111</c:v>
                </c:pt>
                <c:pt idx="1">
                  <c:v>0.33333333333333326</c:v>
                </c:pt>
                <c:pt idx="2">
                  <c:v>0.125</c:v>
                </c:pt>
                <c:pt idx="3">
                  <c:v>0.14285714285714285</c:v>
                </c:pt>
                <c:pt idx="4">
                  <c:v>0</c:v>
                </c:pt>
              </c:numCache>
            </c:numRef>
          </c:val>
          <c:extLst>
            <c:ext xmlns:c16="http://schemas.microsoft.com/office/drawing/2014/chart" uri="{C3380CC4-5D6E-409C-BE32-E72D297353CC}">
              <c16:uniqueId val="{00000004-6C9C-40B4-8DF1-6DA449BEBAF7}"/>
            </c:ext>
          </c:extLst>
        </c:ser>
        <c:dLbls>
          <c:showLegendKey val="0"/>
          <c:showVal val="0"/>
          <c:showCatName val="0"/>
          <c:showSerName val="0"/>
          <c:showPercent val="0"/>
          <c:showBubbleSize val="0"/>
        </c:dLbls>
        <c:gapWidth val="150"/>
        <c:overlap val="100"/>
        <c:axId val="840138304"/>
        <c:axId val="840130144"/>
      </c:barChart>
      <c:catAx>
        <c:axId val="8401383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40130144"/>
        <c:crosses val="autoZero"/>
        <c:auto val="1"/>
        <c:lblAlgn val="ctr"/>
        <c:lblOffset val="100"/>
        <c:noMultiLvlLbl val="0"/>
      </c:catAx>
      <c:valAx>
        <c:axId val="84013014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40138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a:latin typeface="Times New Roman" panose="02020603050405020304" pitchFamily="18" charset="0"/>
                <a:cs typeface="Times New Roman" panose="02020603050405020304" pitchFamily="18" charset="0"/>
              </a:rPr>
              <a:t>Does</a:t>
            </a:r>
            <a:r>
              <a:rPr lang="en-GB" sz="1200" baseline="0">
                <a:latin typeface="Times New Roman" panose="02020603050405020304" pitchFamily="18" charset="0"/>
                <a:cs typeface="Times New Roman" panose="02020603050405020304" pitchFamily="18" charset="0"/>
              </a:rPr>
              <a:t> the current material scope limitation in the Directive hamper its effectiveness? </a:t>
            </a:r>
            <a:endParaRPr lang="en-GB"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General!$C$33</c:f>
              <c:strCache>
                <c:ptCount val="1"/>
                <c:pt idx="0">
                  <c:v>Answers</c:v>
                </c:pt>
              </c:strCache>
            </c:strRef>
          </c:tx>
          <c:dPt>
            <c:idx val="0"/>
            <c:bubble3D val="0"/>
            <c:spPr>
              <a:solidFill>
                <a:srgbClr val="005B5F"/>
              </a:solidFill>
              <a:ln w="19050">
                <a:solidFill>
                  <a:schemeClr val="lt1"/>
                </a:solidFill>
              </a:ln>
              <a:effectLst/>
            </c:spPr>
            <c:extLst>
              <c:ext xmlns:c16="http://schemas.microsoft.com/office/drawing/2014/chart" uri="{C3380CC4-5D6E-409C-BE32-E72D297353CC}">
                <c16:uniqueId val="{00000001-51A6-496C-AE05-1DA0B9AE487F}"/>
              </c:ext>
            </c:extLst>
          </c:dPt>
          <c:dPt>
            <c:idx val="1"/>
            <c:bubble3D val="0"/>
            <c:spPr>
              <a:solidFill>
                <a:srgbClr val="D83F29"/>
              </a:solidFill>
              <a:ln w="19050">
                <a:solidFill>
                  <a:schemeClr val="lt1"/>
                </a:solidFill>
              </a:ln>
              <a:effectLst/>
            </c:spPr>
            <c:extLst>
              <c:ext xmlns:c16="http://schemas.microsoft.com/office/drawing/2014/chart" uri="{C3380CC4-5D6E-409C-BE32-E72D297353CC}">
                <c16:uniqueId val="{00000003-51A6-496C-AE05-1DA0B9AE487F}"/>
              </c:ext>
            </c:extLst>
          </c:dPt>
          <c:dPt>
            <c:idx val="2"/>
            <c:bubble3D val="0"/>
            <c:spPr>
              <a:solidFill>
                <a:srgbClr val="6F6B6C"/>
              </a:solidFill>
              <a:ln w="19050">
                <a:solidFill>
                  <a:schemeClr val="lt1"/>
                </a:solidFill>
              </a:ln>
              <a:effectLst/>
            </c:spPr>
            <c:extLst>
              <c:ext xmlns:c16="http://schemas.microsoft.com/office/drawing/2014/chart" uri="{C3380CC4-5D6E-409C-BE32-E72D297353CC}">
                <c16:uniqueId val="{00000005-51A6-496C-AE05-1DA0B9AE487F}"/>
              </c:ext>
            </c:extLst>
          </c:dPt>
          <c:dLbls>
            <c:dLbl>
              <c:idx val="0"/>
              <c:layout>
                <c:manualLayout>
                  <c:x val="-9.4910617062373803E-2"/>
                  <c:y val="4.4720399533391658E-2"/>
                </c:manualLayout>
              </c:layout>
              <c:tx>
                <c:rich>
                  <a:bodyPr/>
                  <a:lstStyle/>
                  <a:p>
                    <a:fld id="{8605F15D-66B1-4A32-BFB7-34127D68C559}" type="PERCENTAGE">
                      <a:rPr lang="en-US">
                        <a:solidFill>
                          <a:schemeClr val="bg1"/>
                        </a:solidFill>
                      </a:rPr>
                      <a:pPr/>
                      <a:t>[PERCENTAGE]</a:t>
                    </a:fld>
                    <a:endParaRPr lang="en-US"/>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1A6-496C-AE05-1DA0B9AE487F}"/>
                </c:ext>
              </c:extLst>
            </c:dLbl>
            <c:dLbl>
              <c:idx val="1"/>
              <c:layout>
                <c:manualLayout>
                  <c:x val="4.9405919465070343E-2"/>
                  <c:y val="-0.1176301399825021"/>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1A6-496C-AE05-1DA0B9AE487F}"/>
                </c:ext>
              </c:extLst>
            </c:dLbl>
            <c:dLbl>
              <c:idx val="2"/>
              <c:layout>
                <c:manualLayout>
                  <c:x val="8.5111708152533744E-2"/>
                  <c:y val="9.2814231554389032E-2"/>
                </c:manualLayout>
              </c:layout>
              <c:tx>
                <c:rich>
                  <a:bodyPr/>
                  <a:lstStyle/>
                  <a:p>
                    <a:fld id="{42CC327C-DA15-461A-A505-5AB918DDE0FF}" type="PERCENTAGE">
                      <a:rPr lang="en-US">
                        <a:solidFill>
                          <a:schemeClr val="bg1"/>
                        </a:solidFill>
                      </a:rPr>
                      <a:pPr/>
                      <a:t>[PERCENTAGE]</a:t>
                    </a:fld>
                    <a:endParaRPr lang="en-US"/>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1A6-496C-AE05-1DA0B9AE487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General!$A$34:$B$36</c:f>
              <c:strCache>
                <c:ptCount val="3"/>
                <c:pt idx="0">
                  <c:v>Yes</c:v>
                </c:pt>
                <c:pt idx="1">
                  <c:v>No</c:v>
                </c:pt>
                <c:pt idx="2">
                  <c:v>I don't know</c:v>
                </c:pt>
              </c:strCache>
            </c:strRef>
          </c:cat>
          <c:val>
            <c:numRef>
              <c:f>General!$C$34:$C$36</c:f>
              <c:numCache>
                <c:formatCode>General</c:formatCode>
                <c:ptCount val="3"/>
                <c:pt idx="0">
                  <c:v>16</c:v>
                </c:pt>
                <c:pt idx="1">
                  <c:v>12</c:v>
                </c:pt>
                <c:pt idx="2">
                  <c:v>12</c:v>
                </c:pt>
              </c:numCache>
            </c:numRef>
          </c:val>
          <c:extLst>
            <c:ext xmlns:c16="http://schemas.microsoft.com/office/drawing/2014/chart" uri="{C3380CC4-5D6E-409C-BE32-E72D297353CC}">
              <c16:uniqueId val="{00000006-51A6-496C-AE05-1DA0B9AE487F}"/>
            </c:ext>
          </c:extLst>
        </c:ser>
        <c:ser>
          <c:idx val="1"/>
          <c:order val="1"/>
          <c:tx>
            <c:strRef>
              <c:f>General!$D$33</c:f>
              <c:strCache>
                <c:ptCount val="1"/>
                <c:pt idx="0">
                  <c:v>Ratio</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8-51A6-496C-AE05-1DA0B9AE487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A-51A6-496C-AE05-1DA0B9AE487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C-51A6-496C-AE05-1DA0B9AE487F}"/>
              </c:ext>
            </c:extLst>
          </c:dPt>
          <c:cat>
            <c:strRef>
              <c:f>General!$A$34:$B$36</c:f>
              <c:strCache>
                <c:ptCount val="3"/>
                <c:pt idx="0">
                  <c:v>Yes</c:v>
                </c:pt>
                <c:pt idx="1">
                  <c:v>No</c:v>
                </c:pt>
                <c:pt idx="2">
                  <c:v>I don't know</c:v>
                </c:pt>
              </c:strCache>
            </c:strRef>
          </c:cat>
          <c:val>
            <c:numRef>
              <c:f>General!$D$34:$D$36</c:f>
              <c:numCache>
                <c:formatCode>0%</c:formatCode>
                <c:ptCount val="3"/>
                <c:pt idx="0">
                  <c:v>0.4</c:v>
                </c:pt>
                <c:pt idx="1">
                  <c:v>0.3</c:v>
                </c:pt>
                <c:pt idx="2">
                  <c:v>0.3</c:v>
                </c:pt>
              </c:numCache>
            </c:numRef>
          </c:val>
          <c:extLst>
            <c:ext xmlns:c16="http://schemas.microsoft.com/office/drawing/2014/chart" uri="{C3380CC4-5D6E-409C-BE32-E72D297353CC}">
              <c16:uniqueId val="{0000000D-51A6-496C-AE05-1DA0B9AE487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E" sz="1200">
                <a:latin typeface="Times New Roman" panose="02020603050405020304" pitchFamily="18" charset="0"/>
                <a:cs typeface="Times New Roman" panose="02020603050405020304" pitchFamily="18" charset="0"/>
              </a:rPr>
              <a:t>Does the current material scope limitation in the Directive hamper its effectiveness (e.g. because the potential reporting persons are not sure when the breach enters the scope of the Directive)?</a:t>
            </a:r>
            <a:endParaRPr lang="hu-HU" sz="1200">
              <a:latin typeface="Times New Roman" panose="02020603050405020304" pitchFamily="18" charset="0"/>
              <a:cs typeface="Times New Roman" panose="02020603050405020304" pitchFamily="18" charset="0"/>
            </a:endParaRPr>
          </a:p>
          <a:p>
            <a:pPr>
              <a:defRPr/>
            </a:pPr>
            <a:r>
              <a:rPr lang="hu-HU" sz="1200">
                <a:latin typeface="Times New Roman" panose="02020603050405020304" pitchFamily="18" charset="0"/>
                <a:cs typeface="Times New Roman" panose="02020603050405020304" pitchFamily="18" charset="0"/>
              </a:rPr>
              <a:t>By country</a:t>
            </a:r>
            <a:endParaRPr lang="en-IE"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'3'!$A$2</c:f>
              <c:strCache>
                <c:ptCount val="1"/>
                <c:pt idx="0">
                  <c:v>Yes</c:v>
                </c:pt>
              </c:strCache>
            </c:strRef>
          </c:tx>
          <c:spPr>
            <a:solidFill>
              <a:srgbClr val="005B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'3'!$B$1:$F$1</c:f>
              <c:strCache>
                <c:ptCount val="5"/>
                <c:pt idx="0">
                  <c:v>Denmark</c:v>
                </c:pt>
                <c:pt idx="1">
                  <c:v>Italy</c:v>
                </c:pt>
                <c:pt idx="2">
                  <c:v>Latvia</c:v>
                </c:pt>
                <c:pt idx="3">
                  <c:v>France</c:v>
                </c:pt>
                <c:pt idx="4">
                  <c:v>Romania</c:v>
                </c:pt>
              </c:strCache>
            </c:strRef>
          </c:cat>
          <c:val>
            <c:numRef>
              <c:f>'3'!$B$2:$F$2</c:f>
              <c:numCache>
                <c:formatCode>0%</c:formatCode>
                <c:ptCount val="5"/>
                <c:pt idx="1">
                  <c:v>0.375</c:v>
                </c:pt>
                <c:pt idx="2">
                  <c:v>0.5714285714285714</c:v>
                </c:pt>
                <c:pt idx="3">
                  <c:v>0.66666666666666652</c:v>
                </c:pt>
                <c:pt idx="4">
                  <c:v>0.75</c:v>
                </c:pt>
              </c:numCache>
            </c:numRef>
          </c:val>
          <c:extLst>
            <c:ext xmlns:c16="http://schemas.microsoft.com/office/drawing/2014/chart" uri="{C3380CC4-5D6E-409C-BE32-E72D297353CC}">
              <c16:uniqueId val="{00000000-5A8A-4524-B491-7AFDF53356FB}"/>
            </c:ext>
          </c:extLst>
        </c:ser>
        <c:ser>
          <c:idx val="1"/>
          <c:order val="1"/>
          <c:tx>
            <c:strRef>
              <c:f>'3'!$A$3</c:f>
              <c:strCache>
                <c:ptCount val="1"/>
                <c:pt idx="0">
                  <c:v>No</c:v>
                </c:pt>
              </c:strCache>
            </c:strRef>
          </c:tx>
          <c:spPr>
            <a:solidFill>
              <a:srgbClr val="D83F2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'3'!$B$1:$F$1</c:f>
              <c:strCache>
                <c:ptCount val="5"/>
                <c:pt idx="0">
                  <c:v>Denmark</c:v>
                </c:pt>
                <c:pt idx="1">
                  <c:v>Italy</c:v>
                </c:pt>
                <c:pt idx="2">
                  <c:v>Latvia</c:v>
                </c:pt>
                <c:pt idx="3">
                  <c:v>France</c:v>
                </c:pt>
                <c:pt idx="4">
                  <c:v>Romania</c:v>
                </c:pt>
              </c:strCache>
            </c:strRef>
          </c:cat>
          <c:val>
            <c:numRef>
              <c:f>'3'!$B$3:$F$3</c:f>
              <c:numCache>
                <c:formatCode>0%</c:formatCode>
                <c:ptCount val="5"/>
                <c:pt idx="0">
                  <c:v>0.33333333333333326</c:v>
                </c:pt>
                <c:pt idx="1">
                  <c:v>0.25</c:v>
                </c:pt>
                <c:pt idx="2">
                  <c:v>0.2857142857142857</c:v>
                </c:pt>
                <c:pt idx="3">
                  <c:v>0.33333333333333326</c:v>
                </c:pt>
                <c:pt idx="4">
                  <c:v>0.25</c:v>
                </c:pt>
              </c:numCache>
            </c:numRef>
          </c:val>
          <c:extLst>
            <c:ext xmlns:c16="http://schemas.microsoft.com/office/drawing/2014/chart" uri="{C3380CC4-5D6E-409C-BE32-E72D297353CC}">
              <c16:uniqueId val="{00000001-5A8A-4524-B491-7AFDF53356FB}"/>
            </c:ext>
          </c:extLst>
        </c:ser>
        <c:ser>
          <c:idx val="2"/>
          <c:order val="2"/>
          <c:tx>
            <c:strRef>
              <c:f>'3'!$A$4</c:f>
              <c:strCache>
                <c:ptCount val="1"/>
                <c:pt idx="0">
                  <c:v>I don't know</c:v>
                </c:pt>
              </c:strCache>
            </c:strRef>
          </c:tx>
          <c:spPr>
            <a:solidFill>
              <a:srgbClr val="6F6B6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'3'!$B$1:$F$1</c:f>
              <c:strCache>
                <c:ptCount val="5"/>
                <c:pt idx="0">
                  <c:v>Denmark</c:v>
                </c:pt>
                <c:pt idx="1">
                  <c:v>Italy</c:v>
                </c:pt>
                <c:pt idx="2">
                  <c:v>Latvia</c:v>
                </c:pt>
                <c:pt idx="3">
                  <c:v>France</c:v>
                </c:pt>
                <c:pt idx="4">
                  <c:v>Romania</c:v>
                </c:pt>
              </c:strCache>
            </c:strRef>
          </c:cat>
          <c:val>
            <c:numRef>
              <c:f>'3'!$B$4:$F$4</c:f>
              <c:numCache>
                <c:formatCode>0%</c:formatCode>
                <c:ptCount val="5"/>
                <c:pt idx="0">
                  <c:v>0.66666666666666652</c:v>
                </c:pt>
                <c:pt idx="1">
                  <c:v>0.375</c:v>
                </c:pt>
                <c:pt idx="2">
                  <c:v>0.14285714285714285</c:v>
                </c:pt>
              </c:numCache>
            </c:numRef>
          </c:val>
          <c:extLst>
            <c:ext xmlns:c16="http://schemas.microsoft.com/office/drawing/2014/chart" uri="{C3380CC4-5D6E-409C-BE32-E72D297353CC}">
              <c16:uniqueId val="{00000002-5A8A-4524-B491-7AFDF53356FB}"/>
            </c:ext>
          </c:extLst>
        </c:ser>
        <c:dLbls>
          <c:dLblPos val="ctr"/>
          <c:showLegendKey val="0"/>
          <c:showVal val="1"/>
          <c:showCatName val="0"/>
          <c:showSerName val="0"/>
          <c:showPercent val="0"/>
          <c:showBubbleSize val="0"/>
        </c:dLbls>
        <c:gapWidth val="150"/>
        <c:overlap val="100"/>
        <c:axId val="1106218992"/>
        <c:axId val="1106230992"/>
      </c:barChart>
      <c:catAx>
        <c:axId val="1106218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06230992"/>
        <c:crosses val="autoZero"/>
        <c:auto val="1"/>
        <c:lblAlgn val="ctr"/>
        <c:lblOffset val="100"/>
        <c:noMultiLvlLbl val="0"/>
      </c:catAx>
      <c:valAx>
        <c:axId val="1106230992"/>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6218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Does the</a:t>
            </a:r>
            <a:r>
              <a:rPr lang="en-US" sz="1200" baseline="0">
                <a:latin typeface="Times New Roman" panose="02020603050405020304" pitchFamily="18" charset="0"/>
                <a:cs typeface="Times New Roman" panose="02020603050405020304" pitchFamily="18" charset="0"/>
              </a:rPr>
              <a:t> national legislation transposing the Directive provide effective protection to the persons listed by Article 4 of the Directive?</a:t>
            </a:r>
            <a:endParaRPr lang="en-US"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General!$C$40</c:f>
              <c:strCache>
                <c:ptCount val="1"/>
                <c:pt idx="0">
                  <c:v>Answers</c:v>
                </c:pt>
              </c:strCache>
            </c:strRef>
          </c:tx>
          <c:dPt>
            <c:idx val="0"/>
            <c:bubble3D val="0"/>
            <c:spPr>
              <a:solidFill>
                <a:srgbClr val="005B5F"/>
              </a:solidFill>
              <a:ln w="19050">
                <a:solidFill>
                  <a:schemeClr val="lt1"/>
                </a:solidFill>
              </a:ln>
              <a:effectLst/>
            </c:spPr>
            <c:extLst>
              <c:ext xmlns:c16="http://schemas.microsoft.com/office/drawing/2014/chart" uri="{C3380CC4-5D6E-409C-BE32-E72D297353CC}">
                <c16:uniqueId val="{00000001-4D05-448F-98BE-DF1785442CDF}"/>
              </c:ext>
            </c:extLst>
          </c:dPt>
          <c:dPt>
            <c:idx val="1"/>
            <c:bubble3D val="0"/>
            <c:spPr>
              <a:solidFill>
                <a:srgbClr val="D83F29"/>
              </a:solidFill>
              <a:ln w="19050">
                <a:solidFill>
                  <a:schemeClr val="lt1"/>
                </a:solidFill>
              </a:ln>
              <a:effectLst/>
            </c:spPr>
            <c:extLst>
              <c:ext xmlns:c16="http://schemas.microsoft.com/office/drawing/2014/chart" uri="{C3380CC4-5D6E-409C-BE32-E72D297353CC}">
                <c16:uniqueId val="{00000003-4D05-448F-98BE-DF1785442CDF}"/>
              </c:ext>
            </c:extLst>
          </c:dPt>
          <c:dPt>
            <c:idx val="2"/>
            <c:bubble3D val="0"/>
            <c:spPr>
              <a:solidFill>
                <a:srgbClr val="6F6B6C"/>
              </a:solidFill>
              <a:ln w="19050">
                <a:solidFill>
                  <a:schemeClr val="lt1"/>
                </a:solidFill>
              </a:ln>
              <a:effectLst/>
            </c:spPr>
            <c:extLst>
              <c:ext xmlns:c16="http://schemas.microsoft.com/office/drawing/2014/chart" uri="{C3380CC4-5D6E-409C-BE32-E72D297353CC}">
                <c16:uniqueId val="{00000005-4D05-448F-98BE-DF1785442CDF}"/>
              </c:ext>
            </c:extLst>
          </c:dPt>
          <c:dLbls>
            <c:dLbl>
              <c:idx val="0"/>
              <c:layout>
                <c:manualLayout>
                  <c:x val="-9.5408556904674716E-2"/>
                  <c:y val="-7.415390784485272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D05-448F-98BE-DF1785442CD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General!$A$41:$B$43</c:f>
              <c:strCache>
                <c:ptCount val="3"/>
                <c:pt idx="0">
                  <c:v>Yes</c:v>
                </c:pt>
                <c:pt idx="1">
                  <c:v>No</c:v>
                </c:pt>
                <c:pt idx="2">
                  <c:v>I don't know</c:v>
                </c:pt>
              </c:strCache>
            </c:strRef>
          </c:cat>
          <c:val>
            <c:numRef>
              <c:f>General!$C$41:$C$43</c:f>
              <c:numCache>
                <c:formatCode>General</c:formatCode>
                <c:ptCount val="3"/>
                <c:pt idx="0">
                  <c:v>26</c:v>
                </c:pt>
                <c:pt idx="1">
                  <c:v>7</c:v>
                </c:pt>
                <c:pt idx="2">
                  <c:v>7</c:v>
                </c:pt>
              </c:numCache>
            </c:numRef>
          </c:val>
          <c:extLst>
            <c:ext xmlns:c16="http://schemas.microsoft.com/office/drawing/2014/chart" uri="{C3380CC4-5D6E-409C-BE32-E72D297353CC}">
              <c16:uniqueId val="{00000006-4D05-448F-98BE-DF1785442CDF}"/>
            </c:ext>
          </c:extLst>
        </c:ser>
        <c:ser>
          <c:idx val="1"/>
          <c:order val="1"/>
          <c:tx>
            <c:strRef>
              <c:f>General!$D$40</c:f>
              <c:strCache>
                <c:ptCount val="1"/>
                <c:pt idx="0">
                  <c:v>Ratio</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8-4D05-448F-98BE-DF1785442CD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A-4D05-448F-98BE-DF1785442CD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C-4D05-448F-98BE-DF1785442CDF}"/>
              </c:ext>
            </c:extLst>
          </c:dPt>
          <c:cat>
            <c:strRef>
              <c:f>General!$A$41:$B$43</c:f>
              <c:strCache>
                <c:ptCount val="3"/>
                <c:pt idx="0">
                  <c:v>Yes</c:v>
                </c:pt>
                <c:pt idx="1">
                  <c:v>No</c:v>
                </c:pt>
                <c:pt idx="2">
                  <c:v>I don't know</c:v>
                </c:pt>
              </c:strCache>
            </c:strRef>
          </c:cat>
          <c:val>
            <c:numRef>
              <c:f>General!$D$41:$D$43</c:f>
              <c:numCache>
                <c:formatCode>0%</c:formatCode>
                <c:ptCount val="3"/>
                <c:pt idx="0">
                  <c:v>0.65</c:v>
                </c:pt>
                <c:pt idx="1">
                  <c:v>0.17499999999999999</c:v>
                </c:pt>
                <c:pt idx="2">
                  <c:v>0.17499999999999999</c:v>
                </c:pt>
              </c:numCache>
            </c:numRef>
          </c:val>
          <c:extLst>
            <c:ext xmlns:c16="http://schemas.microsoft.com/office/drawing/2014/chart" uri="{C3380CC4-5D6E-409C-BE32-E72D297353CC}">
              <c16:uniqueId val="{0000000D-4D05-448F-98BE-DF1785442CD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u="none" strike="noStrike" kern="1200" spc="0" baseline="0">
                <a:solidFill>
                  <a:sysClr val="windowText" lastClr="000000">
                    <a:lumMod val="65000"/>
                    <a:lumOff val="35000"/>
                  </a:sysClr>
                </a:solidFill>
                <a:latin typeface="Times New Roman" panose="02020603050405020304" pitchFamily="18" charset="0"/>
                <a:cs typeface="Times New Roman" panose="02020603050405020304" pitchFamily="18" charset="0"/>
              </a:rPr>
              <a:t>Does the national legislation transposing the Directive provide effective protection to the persons listed by Article 4 of the Directive?</a:t>
            </a:r>
            <a:endParaRPr lang="hu-HU" sz="1200" b="0" i="0" u="none" strike="noStrike" kern="1200" spc="0" baseline="0">
              <a:solidFill>
                <a:sysClr val="windowText" lastClr="000000">
                  <a:lumMod val="65000"/>
                  <a:lumOff val="35000"/>
                </a:sysClr>
              </a:solidFill>
              <a:latin typeface="Times New Roman" panose="02020603050405020304" pitchFamily="18" charset="0"/>
              <a:cs typeface="Times New Roman" panose="02020603050405020304" pitchFamily="18" charset="0"/>
            </a:endParaRPr>
          </a:p>
          <a:p>
            <a:pPr>
              <a:defRPr/>
            </a:pPr>
            <a:r>
              <a:rPr lang="hu-HU" sz="1200" b="0" i="0" u="none" strike="noStrike" kern="1200" spc="0" baseline="0">
                <a:solidFill>
                  <a:sysClr val="windowText" lastClr="000000">
                    <a:lumMod val="65000"/>
                    <a:lumOff val="35000"/>
                  </a:sysClr>
                </a:solidFill>
                <a:latin typeface="Times New Roman" panose="02020603050405020304" pitchFamily="18" charset="0"/>
                <a:cs typeface="Times New Roman" panose="02020603050405020304" pitchFamily="18" charset="0"/>
              </a:rPr>
              <a:t>By country</a:t>
            </a:r>
            <a:endParaRPr lang="en-US" sz="1200" b="0" i="0" u="none" strike="noStrike" kern="1200" spc="0" baseline="0">
              <a:solidFill>
                <a:sysClr val="windowText" lastClr="000000">
                  <a:lumMod val="65000"/>
                  <a:lumOff val="35000"/>
                </a:sysClr>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'Cross-country Q14 (2)'!$A$2</c:f>
              <c:strCache>
                <c:ptCount val="1"/>
                <c:pt idx="0">
                  <c:v>Yes</c:v>
                </c:pt>
              </c:strCache>
            </c:strRef>
          </c:tx>
          <c:spPr>
            <a:solidFill>
              <a:srgbClr val="005B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'Cross-country Q14 (2)'!$B$1:$F$1</c:f>
              <c:strCache>
                <c:ptCount val="5"/>
                <c:pt idx="0">
                  <c:v>France </c:v>
                </c:pt>
                <c:pt idx="1">
                  <c:v>Denmark</c:v>
                </c:pt>
                <c:pt idx="2">
                  <c:v>Italy</c:v>
                </c:pt>
                <c:pt idx="3">
                  <c:v>Latvia</c:v>
                </c:pt>
                <c:pt idx="4">
                  <c:v>Romania</c:v>
                </c:pt>
              </c:strCache>
            </c:strRef>
          </c:cat>
          <c:val>
            <c:numRef>
              <c:f>'Cross-country Q14 (2)'!$B$2:$F$2</c:f>
              <c:numCache>
                <c:formatCode>0%</c:formatCode>
                <c:ptCount val="5"/>
                <c:pt idx="0">
                  <c:v>0.55555555555555558</c:v>
                </c:pt>
                <c:pt idx="1">
                  <c:v>0.5</c:v>
                </c:pt>
                <c:pt idx="2">
                  <c:v>0.875</c:v>
                </c:pt>
                <c:pt idx="3">
                  <c:v>0.7142857142857143</c:v>
                </c:pt>
                <c:pt idx="4">
                  <c:v>0.75</c:v>
                </c:pt>
              </c:numCache>
            </c:numRef>
          </c:val>
          <c:extLst>
            <c:ext xmlns:c16="http://schemas.microsoft.com/office/drawing/2014/chart" uri="{C3380CC4-5D6E-409C-BE32-E72D297353CC}">
              <c16:uniqueId val="{00000000-6F67-4138-A3EF-9E64EB28C2B5}"/>
            </c:ext>
          </c:extLst>
        </c:ser>
        <c:ser>
          <c:idx val="1"/>
          <c:order val="1"/>
          <c:tx>
            <c:strRef>
              <c:f>'Cross-country Q14 (2)'!$A$3</c:f>
              <c:strCache>
                <c:ptCount val="1"/>
                <c:pt idx="0">
                  <c:v>No</c:v>
                </c:pt>
              </c:strCache>
            </c:strRef>
          </c:tx>
          <c:spPr>
            <a:solidFill>
              <a:srgbClr val="D83F29"/>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1-6F67-4138-A3EF-9E64EB28C2B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'Cross-country Q14 (2)'!$B$1:$F$1</c:f>
              <c:strCache>
                <c:ptCount val="5"/>
                <c:pt idx="0">
                  <c:v>France </c:v>
                </c:pt>
                <c:pt idx="1">
                  <c:v>Denmark</c:v>
                </c:pt>
                <c:pt idx="2">
                  <c:v>Italy</c:v>
                </c:pt>
                <c:pt idx="3">
                  <c:v>Latvia</c:v>
                </c:pt>
                <c:pt idx="4">
                  <c:v>Romania</c:v>
                </c:pt>
              </c:strCache>
            </c:strRef>
          </c:cat>
          <c:val>
            <c:numRef>
              <c:f>'Cross-country Q14 (2)'!$B$3:$F$3</c:f>
              <c:numCache>
                <c:formatCode>0%</c:formatCode>
                <c:ptCount val="5"/>
                <c:pt idx="0">
                  <c:v>0.33333333333333326</c:v>
                </c:pt>
                <c:pt idx="1">
                  <c:v>0.16666666666666663</c:v>
                </c:pt>
                <c:pt idx="2">
                  <c:v>0</c:v>
                </c:pt>
                <c:pt idx="3">
                  <c:v>0.14285714285714285</c:v>
                </c:pt>
                <c:pt idx="4">
                  <c:v>0.25</c:v>
                </c:pt>
              </c:numCache>
            </c:numRef>
          </c:val>
          <c:extLst>
            <c:ext xmlns:c16="http://schemas.microsoft.com/office/drawing/2014/chart" uri="{C3380CC4-5D6E-409C-BE32-E72D297353CC}">
              <c16:uniqueId val="{00000002-6F67-4138-A3EF-9E64EB28C2B5}"/>
            </c:ext>
          </c:extLst>
        </c:ser>
        <c:ser>
          <c:idx val="2"/>
          <c:order val="2"/>
          <c:tx>
            <c:strRef>
              <c:f>'Cross-country Q14 (2)'!$A$4</c:f>
              <c:strCache>
                <c:ptCount val="1"/>
                <c:pt idx="0">
                  <c:v>I don't know</c:v>
                </c:pt>
              </c:strCache>
            </c:strRef>
          </c:tx>
          <c:spPr>
            <a:solidFill>
              <a:srgbClr val="6F6B6C"/>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3-6F67-4138-A3EF-9E64EB28C2B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'Cross-country Q14 (2)'!$B$1:$F$1</c:f>
              <c:strCache>
                <c:ptCount val="5"/>
                <c:pt idx="0">
                  <c:v>France </c:v>
                </c:pt>
                <c:pt idx="1">
                  <c:v>Denmark</c:v>
                </c:pt>
                <c:pt idx="2">
                  <c:v>Italy</c:v>
                </c:pt>
                <c:pt idx="3">
                  <c:v>Latvia</c:v>
                </c:pt>
                <c:pt idx="4">
                  <c:v>Romania</c:v>
                </c:pt>
              </c:strCache>
            </c:strRef>
          </c:cat>
          <c:val>
            <c:numRef>
              <c:f>'Cross-country Q14 (2)'!$B$4:$F$4</c:f>
              <c:numCache>
                <c:formatCode>0%</c:formatCode>
                <c:ptCount val="5"/>
                <c:pt idx="0">
                  <c:v>0.1111111111111111</c:v>
                </c:pt>
                <c:pt idx="1">
                  <c:v>0.33333333333333326</c:v>
                </c:pt>
                <c:pt idx="2">
                  <c:v>0.125</c:v>
                </c:pt>
                <c:pt idx="3">
                  <c:v>0.14285714285714285</c:v>
                </c:pt>
                <c:pt idx="4">
                  <c:v>0</c:v>
                </c:pt>
              </c:numCache>
            </c:numRef>
          </c:val>
          <c:extLst>
            <c:ext xmlns:c16="http://schemas.microsoft.com/office/drawing/2014/chart" uri="{C3380CC4-5D6E-409C-BE32-E72D297353CC}">
              <c16:uniqueId val="{00000004-6F67-4138-A3EF-9E64EB28C2B5}"/>
            </c:ext>
          </c:extLst>
        </c:ser>
        <c:ser>
          <c:idx val="3"/>
          <c:order val="3"/>
          <c:tx>
            <c:strRef>
              <c:f>'Cross-country Q14 (2)'!$A$5</c:f>
              <c:strCache>
                <c:ptCount val="1"/>
                <c:pt idx="0">
                  <c:v>No Answer</c:v>
                </c:pt>
              </c:strCache>
            </c:strRef>
          </c:tx>
          <c:spPr>
            <a:solidFill>
              <a:schemeClr val="accent4"/>
            </a:solidFill>
            <a:ln>
              <a:noFill/>
            </a:ln>
            <a:effectLst/>
          </c:spPr>
          <c:invertIfNegative val="0"/>
          <c:cat>
            <c:strRef>
              <c:f>'Cross-country Q14 (2)'!$B$1:$F$1</c:f>
              <c:strCache>
                <c:ptCount val="5"/>
                <c:pt idx="0">
                  <c:v>France </c:v>
                </c:pt>
                <c:pt idx="1">
                  <c:v>Denmark</c:v>
                </c:pt>
                <c:pt idx="2">
                  <c:v>Italy</c:v>
                </c:pt>
                <c:pt idx="3">
                  <c:v>Latvia</c:v>
                </c:pt>
                <c:pt idx="4">
                  <c:v>Romania</c:v>
                </c:pt>
              </c:strCache>
            </c:strRef>
          </c:cat>
          <c:val>
            <c:numRef>
              <c:f>'Cross-country Q14 (2)'!$B$5:$F$5</c:f>
              <c:numCache>
                <c:formatCode>0%</c:formatCode>
                <c:ptCount val="5"/>
                <c:pt idx="0">
                  <c:v>0</c:v>
                </c:pt>
                <c:pt idx="1">
                  <c:v>0</c:v>
                </c:pt>
                <c:pt idx="2">
                  <c:v>0</c:v>
                </c:pt>
                <c:pt idx="3">
                  <c:v>0</c:v>
                </c:pt>
                <c:pt idx="4">
                  <c:v>0</c:v>
                </c:pt>
              </c:numCache>
            </c:numRef>
          </c:val>
          <c:extLst>
            <c:ext xmlns:c16="http://schemas.microsoft.com/office/drawing/2014/chart" uri="{C3380CC4-5D6E-409C-BE32-E72D297353CC}">
              <c16:uniqueId val="{00000005-6F67-4138-A3EF-9E64EB28C2B5}"/>
            </c:ext>
          </c:extLst>
        </c:ser>
        <c:dLbls>
          <c:showLegendKey val="0"/>
          <c:showVal val="0"/>
          <c:showCatName val="0"/>
          <c:showSerName val="0"/>
          <c:showPercent val="0"/>
          <c:showBubbleSize val="0"/>
        </c:dLbls>
        <c:gapWidth val="150"/>
        <c:overlap val="100"/>
        <c:axId val="888068272"/>
        <c:axId val="888066832"/>
      </c:barChart>
      <c:catAx>
        <c:axId val="8880682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8066832"/>
        <c:crosses val="autoZero"/>
        <c:auto val="1"/>
        <c:lblAlgn val="ctr"/>
        <c:lblOffset val="100"/>
        <c:noMultiLvlLbl val="0"/>
      </c:catAx>
      <c:valAx>
        <c:axId val="888066832"/>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8068272"/>
        <c:crosses val="autoZero"/>
        <c:crossBetween val="between"/>
      </c:valAx>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M Document" ma:contentTypeID="0x010100EA97B91038054C99906057A708A1480A007FAFB00F4882C04A82CD69E07FC3C83E" ma:contentTypeVersion="4" ma:contentTypeDescription="Defines the documents for Document Manager V2" ma:contentTypeScope="" ma:versionID="e1f91dccb3ac38b965a7df337298240c">
  <xsd:schema xmlns:xsd="http://www.w3.org/2001/XMLSchema" xmlns:xs="http://www.w3.org/2001/XMLSchema" xmlns:p="http://schemas.microsoft.com/office/2006/metadata/properties" xmlns:ns2="1a33af13-4045-4f88-9d7b-618e30f79918" xmlns:ns3="http://schemas.microsoft.com/sharepoint/v3/fields" xmlns:ns4="03db1768-8e83-4c4e-a8fb-1eb1d05ab6cf" targetNamespace="http://schemas.microsoft.com/office/2006/metadata/properties" ma:root="true" ma:fieldsID="729eb5977a1faeb1512aca3b9df79d2e" ns2:_="" ns3:_="" ns4:_="">
    <xsd:import namespace="1a33af13-4045-4f88-9d7b-618e30f79918"/>
    <xsd:import namespace="http://schemas.microsoft.com/sharepoint/v3/fields"/>
    <xsd:import namespace="03db1768-8e83-4c4e-a8fb-1eb1d05ab6cf"/>
    <xsd:element name="properties">
      <xsd:complexType>
        <xsd:sequence>
          <xsd:element name="documentManagement">
            <xsd:complexType>
              <xsd:all>
                <xsd:element ref="ns2:_dlc_DocId" minOccurs="0"/>
                <xsd:element ref="ns2:_dlc_DocIdUrl" minOccurs="0"/>
                <xsd:element ref="ns2:_dlc_DocIdPersistId" minOccurs="0"/>
                <xsd:element ref="ns2:ProductionDate" minOccurs="0"/>
                <xsd:element ref="ns2:OriginalSender" minOccurs="0"/>
                <xsd:element ref="ns3:DocumentLanguage_0" minOccurs="0"/>
                <xsd:element ref="ns2:DossierNumber" minOccurs="0"/>
                <xsd:element ref="ns4:MeetingNumber" minOccurs="0"/>
                <xsd:element ref="ns2:Rapporteur" minOccurs="0"/>
                <xsd:element ref="ns2:AdoptionDate" minOccurs="0"/>
                <xsd:element ref="ns3:Confidentiality_0" minOccurs="0"/>
                <xsd:element ref="ns2:TaxCatchAll" minOccurs="0"/>
                <xsd:element ref="ns2:TaxCatchAllLabel" minOccurs="0"/>
                <xsd:element ref="ns3:DocumentSource_0" minOccurs="0"/>
                <xsd:element ref="ns4:DocumentNumber" minOccurs="0"/>
                <xsd:element ref="ns2:MeetingDate" minOccurs="0"/>
                <xsd:element ref="ns3:OriginalLanguage_0" minOccurs="0"/>
                <xsd:element ref="ns2:Procedure" minOccurs="0"/>
                <xsd:element ref="ns3:VersionStatus_0" minOccurs="0"/>
                <xsd:element ref="ns3:DocumentStatus_0" minOccurs="0"/>
                <xsd:element ref="ns2:DocumentYear"/>
                <xsd:element ref="ns3:DocumentType_0" minOccurs="0"/>
                <xsd:element ref="ns2:DocumentPart" minOccurs="0"/>
                <xsd:element ref="ns3:MeetingName_0" minOccurs="0"/>
                <xsd:element ref="ns3:AvailableTranslations_0" minOccurs="0"/>
                <xsd:element ref="ns2:FicheYear" minOccurs="0"/>
                <xsd:element ref="ns2:RequestingService" minOccurs="0"/>
                <xsd:element ref="ns2:FicheNumber" minOccurs="0"/>
                <xsd:element ref="ns3:DossierName_0" minOccurs="0"/>
                <xsd:element ref="ns2:Document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33af13-4045-4f88-9d7b-618e30f7991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ProductionDate" ma:index="12" nillable="true" ma:displayName="Production Date" ma:format="DateOnly" ma:internalName="ProductionDate">
      <xsd:simpleType>
        <xsd:restriction base="dms:DateTime"/>
      </xsd:simpleType>
    </xsd:element>
    <xsd:element name="OriginalSender" ma:index="13" nillable="true" ma:displayName="Original Sender" ma:internalName="OriginalSend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ssierNumber" ma:index="15" nillable="true" ma:displayName="Dossier Number" ma:decimals="0" ma:internalName="DossierNumber">
      <xsd:simpleType>
        <xsd:restriction base="dms:Unknown"/>
      </xsd:simpleType>
    </xsd:element>
    <xsd:element name="Rapporteur" ma:index="17" nillable="true" ma:displayName="Rapporteur" ma:internalName="Rapporteur">
      <xsd:simpleType>
        <xsd:restriction base="dms:Text"/>
      </xsd:simpleType>
    </xsd:element>
    <xsd:element name="AdoptionDate" ma:index="18" nillable="true" ma:displayName="Adoption Date" ma:format="DateOnly" ma:internalName="AdoptionDate">
      <xsd:simpleType>
        <xsd:restriction base="dms:DateTime"/>
      </xsd:simpleType>
    </xsd:element>
    <xsd:element name="TaxCatchAll" ma:index="20" nillable="true" ma:displayName="Taxonomy Catch All Column" ma:hidden="true" ma:list="{c795c8aa-ad9d-4177-b7c3-7e58e1f2dfdf}" ma:internalName="TaxCatchAll" ma:showField="CatchAllData" ma:web="1a33af13-4045-4f88-9d7b-618e30f79918">
      <xsd:complexType>
        <xsd:complexContent>
          <xsd:extension base="dms:MultiChoiceLookup">
            <xsd:sequence>
              <xsd:element name="Value" type="dms:Lookup" maxOccurs="unbounded" minOccurs="0" nillable="true"/>
            </xsd:sequence>
          </xsd:extension>
        </xsd:complexContent>
      </xsd:complexType>
    </xsd:element>
    <xsd:element name="TaxCatchAllLabel" ma:index="21" nillable="true" ma:displayName="Taxonomy Catch All Column1" ma:hidden="true" ma:list="{c795c8aa-ad9d-4177-b7c3-7e58e1f2dfdf}" ma:internalName="TaxCatchAllLabel" ma:readOnly="true" ma:showField="CatchAllDataLabel" ma:web="1a33af13-4045-4f88-9d7b-618e30f79918">
      <xsd:complexType>
        <xsd:complexContent>
          <xsd:extension base="dms:MultiChoiceLookup">
            <xsd:sequence>
              <xsd:element name="Value" type="dms:Lookup" maxOccurs="unbounded" minOccurs="0" nillable="true"/>
            </xsd:sequence>
          </xsd:extension>
        </xsd:complexContent>
      </xsd:complexType>
    </xsd:element>
    <xsd:element name="MeetingDate" ma:index="26" nillable="true" ma:displayName="Meeting Date" ma:format="DateOnly" ma:internalName="MeetingDate">
      <xsd:simpleType>
        <xsd:restriction base="dms:DateTime"/>
      </xsd:simpleType>
    </xsd:element>
    <xsd:element name="Procedure" ma:index="29" nillable="true" ma:displayName="Procedure" ma:internalName="Procedure">
      <xsd:simpleType>
        <xsd:restriction base="dms:Text"/>
      </xsd:simpleType>
    </xsd:element>
    <xsd:element name="DocumentYear" ma:index="34" ma:displayName="Document Year" ma:decimals="0" ma:internalName="DocumentYear">
      <xsd:simpleType>
        <xsd:restriction base="dms:Unknown"/>
      </xsd:simpleType>
    </xsd:element>
    <xsd:element name="DocumentPart" ma:index="37" nillable="true" ma:displayName="Document Part" ma:decimals="0" ma:internalName="DocumentPart">
      <xsd:simpleType>
        <xsd:restriction base="dms:Unknown"/>
      </xsd:simpleType>
    </xsd:element>
    <xsd:element name="FicheYear" ma:index="42" nillable="true" ma:displayName="Fiche Year" ma:decimals="0" ma:internalName="FicheYear">
      <xsd:simpleType>
        <xsd:restriction base="dms:Unknown"/>
      </xsd:simpleType>
    </xsd:element>
    <xsd:element name="RequestingService" ma:index="43" nillable="true" ma:displayName="Requesting Service" ma:internalName="RequestingService">
      <xsd:simpleType>
        <xsd:restriction base="dms:Text"/>
      </xsd:simpleType>
    </xsd:element>
    <xsd:element name="FicheNumber" ma:index="44" nillable="true" ma:displayName="Fiche Number" ma:decimals="0" ma:internalName="FicheNumber">
      <xsd:simpleType>
        <xsd:restriction base="dms:Unknown"/>
      </xsd:simpleType>
    </xsd:element>
    <xsd:element name="DocumentVersion" ma:index="47" nillable="true" ma:displayName="Document Version" ma:decimals="0" ma:internalName="DocumentVersion">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DocumentLanguage_0" ma:index="14" nillable="true" ma:taxonomy="true" ma:internalName="DocumentLanguage_0" ma:taxonomyFieldName="DocumentLanguage" ma:displayName="Document Language" ma:fieldId="{ee5c55ab-e8dd-441f-8840-fdce66906fe3}" ma:sspId="5004ddca-ed1a-45fa-b2df-508b3c5dfc98" ma:termSetId="3e8d1f59-71f7-428c-bd68-e1e655ad5441" ma:anchorId="00000000-0000-0000-0000-000000000000" ma:open="false" ma:isKeyword="false">
      <xsd:complexType>
        <xsd:sequence>
          <xsd:element ref="pc:Terms" minOccurs="0" maxOccurs="1"/>
        </xsd:sequence>
      </xsd:complexType>
    </xsd:element>
    <xsd:element name="Confidentiality_0" ma:index="19" nillable="true" ma:taxonomy="true" ma:internalName="Confidentiality_0" ma:taxonomyFieldName="Confidentiality" ma:displayName="Confidentiality" ma:fieldId="{ee5c4bfe-2b62-4831-9131-22edf8f3665c}" ma:sspId="5004ddca-ed1a-45fa-b2df-508b3c5dfc98" ma:termSetId="11d040ac-3a9a-4d4c-b9cf-922342a701d6" ma:anchorId="00000000-0000-0000-0000-000000000000" ma:open="false" ma:isKeyword="false">
      <xsd:complexType>
        <xsd:sequence>
          <xsd:element ref="pc:Terms" minOccurs="0" maxOccurs="1"/>
        </xsd:sequence>
      </xsd:complexType>
    </xsd:element>
    <xsd:element name="DocumentSource_0" ma:index="23" ma:taxonomy="true" ma:internalName="DocumentSource_0" ma:taxonomyFieldName="DocumentSource" ma:displayName="Document Source" ma:fieldId="{ee5c1c29-f257-4aae-8e5e-529c0040e17a}" ma:sspId="5004ddca-ed1a-45fa-b2df-508b3c5dfc98" ma:termSetId="ca143256-a90d-4d26-b249-02646b17c0c5" ma:anchorId="00000000-0000-0000-0000-000000000000" ma:open="false" ma:isKeyword="false">
      <xsd:complexType>
        <xsd:sequence>
          <xsd:element ref="pc:Terms" minOccurs="0" maxOccurs="1"/>
        </xsd:sequence>
      </xsd:complexType>
    </xsd:element>
    <xsd:element name="OriginalLanguage_0" ma:index="27" nillable="true" ma:taxonomy="true" ma:internalName="OriginalLanguage_0" ma:taxonomyFieldName="OriginalLanguage" ma:displayName="Original Language" ma:fieldId="{ee5ce750-ff6c-4875-8192-ef11fb51efba}" ma:taxonomyMulti="true" ma:sspId="5004ddca-ed1a-45fa-b2df-508b3c5dfc98" ma:termSetId="3e8d1f59-71f7-428c-bd68-e1e655ad5441" ma:anchorId="00000000-0000-0000-0000-000000000000" ma:open="false" ma:isKeyword="false">
      <xsd:complexType>
        <xsd:sequence>
          <xsd:element ref="pc:Terms" minOccurs="0" maxOccurs="1"/>
        </xsd:sequence>
      </xsd:complexType>
    </xsd:element>
    <xsd:element name="VersionStatus_0" ma:index="30" ma:taxonomy="true" ma:internalName="VersionStatus_0" ma:taxonomyFieldName="VersionStatus" ma:displayName="Version Status" ma:indexed="true" ma:fieldId="{ee5cb94b-3df1-4df3-b49b-6e47ce2a7e87}" ma:sspId="5004ddca-ed1a-45fa-b2df-508b3c5dfc98" ma:termSetId="adeca67b-2bdd-4d0f-b3af-a690b4c6d95d" ma:anchorId="00000000-0000-0000-0000-000000000000" ma:open="false" ma:isKeyword="false">
      <xsd:complexType>
        <xsd:sequence>
          <xsd:element ref="pc:Terms" minOccurs="0" maxOccurs="1"/>
        </xsd:sequence>
      </xsd:complexType>
    </xsd:element>
    <xsd:element name="DocumentStatus_0" ma:index="32" nillable="true" ma:taxonomy="true" ma:internalName="DocumentStatus_0" ma:taxonomyFieldName="DocumentStatus" ma:displayName="Document Status" ma:fieldId="{ee5cab93-ac4d-4e2f-b298-e5342324388c}" ma:sspId="5004ddca-ed1a-45fa-b2df-508b3c5dfc98" ma:termSetId="54b85ca4-9023-4cbf-8e96-81af7735228f" ma:anchorId="00000000-0000-0000-0000-000000000000" ma:open="false" ma:isKeyword="false">
      <xsd:complexType>
        <xsd:sequence>
          <xsd:element ref="pc:Terms" minOccurs="0" maxOccurs="1"/>
        </xsd:sequence>
      </xsd:complexType>
    </xsd:element>
    <xsd:element name="DocumentType_0" ma:index="35" nillable="true" ma:taxonomy="true" ma:internalName="DocumentType_0" ma:taxonomyFieldName="DocumentType" ma:displayName="Document Type" ma:indexed="true" ma:fieldId="{ee5cf431-2d10-41e6-bd88-1b6bd5b84f5f}" ma:sspId="5004ddca-ed1a-45fa-b2df-508b3c5dfc98" ma:termSetId="67a76952-94e0-437b-9a60-5085083dde02" ma:anchorId="00000000-0000-0000-0000-000000000000" ma:open="false" ma:isKeyword="false">
      <xsd:complexType>
        <xsd:sequence>
          <xsd:element ref="pc:Terms" minOccurs="0" maxOccurs="1"/>
        </xsd:sequence>
      </xsd:complexType>
    </xsd:element>
    <xsd:element name="MeetingName_0" ma:index="38" nillable="true" ma:taxonomy="true" ma:internalName="MeetingName_0" ma:taxonomyFieldName="MeetingName" ma:displayName="Meeting Name" ma:indexed="true" ma:fieldId="{ee5c9b55-8403-4f9e-a156-b6ce5b7b9456}" ma:sspId="5004ddca-ed1a-45fa-b2df-508b3c5dfc98" ma:termSetId="a04e9634-de73-4a41-8cb5-e1efdb89060c" ma:anchorId="00000000-0000-0000-0000-000000000000" ma:open="false" ma:isKeyword="false">
      <xsd:complexType>
        <xsd:sequence>
          <xsd:element ref="pc:Terms" minOccurs="0" maxOccurs="1"/>
        </xsd:sequence>
      </xsd:complexType>
    </xsd:element>
    <xsd:element name="AvailableTranslations_0" ma:index="40" nillable="true" ma:taxonomy="true" ma:internalName="AvailableTranslations_0" ma:taxonomyFieldName="AvailableTranslations" ma:displayName="Available Translations" ma:fieldId="{ee5c7c01-1a65-4138-aa64-80e01e34d799}" ma:taxonomyMulti="true" ma:sspId="5004ddca-ed1a-45fa-b2df-508b3c5dfc98" ma:termSetId="3e8d1f59-71f7-428c-bd68-e1e655ad5441" ma:anchorId="00000000-0000-0000-0000-000000000000" ma:open="false" ma:isKeyword="false">
      <xsd:complexType>
        <xsd:sequence>
          <xsd:element ref="pc:Terms" minOccurs="0" maxOccurs="1"/>
        </xsd:sequence>
      </xsd:complexType>
    </xsd:element>
    <xsd:element name="DossierName_0" ma:index="45" nillable="true" ma:taxonomy="true" ma:internalName="DossierName_0" ma:taxonomyFieldName="DossierName" ma:displayName="Dossier Name" ma:fieldId="{ee5cf7da-503b-4593-8db2-4f0e09c901fd}" ma:sspId="5004ddca-ed1a-45fa-b2df-508b3c5dfc98" ma:termSetId="2b392f04-1222-4352-87c1-6fd60ec33b6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3db1768-8e83-4c4e-a8fb-1eb1d05ab6cf" elementFormDefault="qualified">
    <xsd:import namespace="http://schemas.microsoft.com/office/2006/documentManagement/types"/>
    <xsd:import namespace="http://schemas.microsoft.com/office/infopath/2007/PartnerControls"/>
    <xsd:element name="MeetingNumber" ma:index="16" nillable="true" ma:displayName="Meeting Number" ma:decimals="0" ma:indexed="true" ma:internalName="MeetingNumber">
      <xsd:simpleType>
        <xsd:restriction base="dms:Unknown"/>
      </xsd:simpleType>
    </xsd:element>
    <xsd:element name="DocumentNumber" ma:index="25" nillable="true" ma:displayName="Document Number" ma:decimals="0" ma:indexed="true" ma:internalName="DocumentNumber">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1a33af13-4045-4f88-9d7b-618e30f79918">A6WAAD5KZT2Q-1415362569-8535</_dlc_DocId>
    <_dlc_DocIdUrl xmlns="1a33af13-4045-4f88-9d7b-618e30f79918">
      <Url>http://dm/eesc/2025/_layouts/15/DocIdRedir.aspx?ID=A6WAAD5KZT2Q-1415362569-8535</Url>
      <Description>A6WAAD5KZT2Q-1415362569-8535</Description>
    </_dlc_DocIdUrl>
    <DocumentType_0 xmlns="http://schemas.microsoft.com/sharepoint/v3/fields">
      <Terms xmlns="http://schemas.microsoft.com/office/infopath/2007/PartnerControls">
        <TermInfo xmlns="http://schemas.microsoft.com/office/infopath/2007/PartnerControls">
          <TermName xmlns="http://schemas.microsoft.com/office/infopath/2007/PartnerControls">ANN</TermName>
          <TermId xmlns="http://schemas.microsoft.com/office/infopath/2007/PartnerControls">77e6295a-5435-4751-8cb4-ca5555443730</TermId>
        </TermInfo>
      </Terms>
    </DocumentType_0>
    <Procedure xmlns="1a33af13-4045-4f88-9d7b-618e30f79918" xsi:nil="true"/>
    <DocumentSource_0 xmlns="http://schemas.microsoft.com/sharepoint/v3/fields">
      <Terms xmlns="http://schemas.microsoft.com/office/infopath/2007/PartnerControls">
        <TermInfo xmlns="http://schemas.microsoft.com/office/infopath/2007/PartnerControls">
          <TermName xmlns="http://schemas.microsoft.com/office/infopath/2007/PartnerControls">EESC</TermName>
          <TermId xmlns="http://schemas.microsoft.com/office/infopath/2007/PartnerControls">422833ec-8d7e-4e65-8e4e-8bed07ffb729</TermId>
        </TermInfo>
      </Terms>
    </DocumentSource_0>
    <ProductionDate xmlns="1a33af13-4045-4f88-9d7b-618e30f79918">2026-05-22T12:00:00+00:00</ProductionDate>
    <FicheYear xmlns="1a33af13-4045-4f88-9d7b-618e30f79918">2025</FicheYear>
    <DocumentNumber xmlns="03db1768-8e83-4c4e-a8fb-1eb1d05ab6cf">4143</DocumentNumber>
    <DocumentVersion xmlns="1a33af13-4045-4f88-9d7b-618e30f79918">1</DocumentVersion>
    <DossierNumber xmlns="1a33af13-4045-4f88-9d7b-618e30f79918">847</DossierNumber>
    <Confidentiality_0 xmlns="http://schemas.microsoft.com/sharepoint/v3/fields">
      <Terms xmlns="http://schemas.microsoft.com/office/infopath/2007/PartnerControls">
        <TermInfo xmlns="http://schemas.microsoft.com/office/infopath/2007/PartnerControls">
          <TermName xmlns="http://schemas.microsoft.com/office/infopath/2007/PartnerControls">Internal</TermName>
          <TermId xmlns="http://schemas.microsoft.com/office/infopath/2007/PartnerControls">2451815e-8241-4bbf-a22e-1ab710712bf2</TermId>
        </TermInfo>
      </Terms>
    </Confidentiality_0>
    <MeetingDate xmlns="1a33af13-4045-4f88-9d7b-618e30f79918">2026-05-27T12:00:00+00:00</MeetingDate>
    <TaxCatchAll xmlns="1a33af13-4045-4f88-9d7b-618e30f79918">
      <Value>81</Value>
      <Value>60</Value>
      <Value>8</Value>
      <Value>75</Value>
      <Value>6</Value>
      <Value>5</Value>
      <Value>3</Value>
      <Value>1</Value>
    </TaxCatchAll>
    <DocumentLanguage_0 xmlns="http://schemas.microsoft.com/sharepoint/v3/fields">
      <Terms xmlns="http://schemas.microsoft.com/office/infopath/2007/PartnerControls">
        <TermInfo xmlns="http://schemas.microsoft.com/office/infopath/2007/PartnerControls">
          <TermName xmlns="http://schemas.microsoft.com/office/infopath/2007/PartnerControls">EN</TermName>
          <TermId xmlns="http://schemas.microsoft.com/office/infopath/2007/PartnerControls">f2175f21-25d7-44a3-96da-d6a61b075e1b</TermId>
        </TermInfo>
      </Terms>
    </DocumentLanguage_0>
    <Rapporteur xmlns="1a33af13-4045-4f88-9d7b-618e30f79918">BARBUCCI</Rapporteur>
    <VersionStatus_0 xmlns="http://schemas.microsoft.com/sharepoint/v3/fields">
      <Terms xmlns="http://schemas.microsoft.com/office/infopath/2007/PartnerControls">
        <TermInfo xmlns="http://schemas.microsoft.com/office/infopath/2007/PartnerControls">
          <TermName xmlns="http://schemas.microsoft.com/office/infopath/2007/PartnerControls">Final</TermName>
          <TermId xmlns="http://schemas.microsoft.com/office/infopath/2007/PartnerControls">ea5e6674-7b27-4bac-b091-73adbb394efe</TermId>
        </TermInfo>
      </Terms>
    </VersionStatus_0>
    <DocumentYear xmlns="1a33af13-4045-4f88-9d7b-618e30f79918">2025</DocumentYear>
    <FicheNumber xmlns="1a33af13-4045-4f88-9d7b-618e30f79918">5403</FicheNumber>
    <OriginalSender xmlns="1a33af13-4045-4f88-9d7b-618e30f79918">
      <UserInfo>
        <DisplayName>TDriveSVCUserProd</DisplayName>
        <AccountId>1358</AccountId>
        <AccountType/>
      </UserInfo>
    </OriginalSender>
    <DocumentPart xmlns="1a33af13-4045-4f88-9d7b-618e30f79918">1</DocumentPart>
    <AdoptionDate xmlns="1a33af13-4045-4f88-9d7b-618e30f79918" xsi:nil="true"/>
    <RequestingService xmlns="1a33af13-4045-4f88-9d7b-618e30f79918">Emploi, affaires sociales, citoyenneté</RequestingService>
    <MeetingName_0 xmlns="http://schemas.microsoft.com/sharepoint/v3/fields">
      <Terms xmlns="http://schemas.microsoft.com/office/infopath/2007/PartnerControls">
        <TermInfo xmlns="http://schemas.microsoft.com/office/infopath/2007/PartnerControls">
          <TermName xmlns="http://schemas.microsoft.com/office/infopath/2007/PartnerControls">SOC</TermName>
          <TermId xmlns="http://schemas.microsoft.com/office/infopath/2007/PartnerControls">baa75797-8ce5-40f0-b0ad-6cadb965217d</TermId>
        </TermInfo>
      </Terms>
    </MeetingName_0>
    <AvailableTranslations_0 xmlns="http://schemas.microsoft.com/sharepoint/v3/fields">
      <Terms xmlns="http://schemas.microsoft.com/office/infopath/2007/PartnerControls">
        <TermInfo xmlns="http://schemas.microsoft.com/office/infopath/2007/PartnerControls">
          <TermName xmlns="http://schemas.microsoft.com/office/infopath/2007/PartnerControls">EN</TermName>
          <TermId xmlns="http://schemas.microsoft.com/office/infopath/2007/PartnerControls">f2175f21-25d7-44a3-96da-d6a61b075e1b</TermId>
        </TermInfo>
      </Terms>
    </AvailableTranslations_0>
    <DocumentStatus_0 xmlns="http://schemas.microsoft.com/sharepoint/v3/fields">
      <Terms xmlns="http://schemas.microsoft.com/office/infopath/2007/PartnerControls">
        <TermInfo xmlns="http://schemas.microsoft.com/office/infopath/2007/PartnerControls">
          <TermName xmlns="http://schemas.microsoft.com/office/infopath/2007/PartnerControls">REF</TermName>
          <TermId xmlns="http://schemas.microsoft.com/office/infopath/2007/PartnerControls">722611fd-7eaf-44e3-8780-a3226646f5f0</TermId>
        </TermInfo>
      </Terms>
    </DocumentStatus_0>
    <OriginalLanguage_0 xmlns="http://schemas.microsoft.com/sharepoint/v3/fields">
      <Terms xmlns="http://schemas.microsoft.com/office/infopath/2007/PartnerControls">
        <TermInfo xmlns="http://schemas.microsoft.com/office/infopath/2007/PartnerControls">
          <TermName xmlns="http://schemas.microsoft.com/office/infopath/2007/PartnerControls">EN</TermName>
          <TermId xmlns="http://schemas.microsoft.com/office/infopath/2007/PartnerControls">f2175f21-25d7-44a3-96da-d6a61b075e1b</TermId>
        </TermInfo>
      </Terms>
    </OriginalLanguage_0>
    <MeetingNumber xmlns="03db1768-8e83-4c4e-a8fb-1eb1d05ab6cf">251</MeetingNumber>
    <DossierName_0 xmlns="http://schemas.microsoft.com/sharepoint/v3/fields">
      <Terms xmlns="http://schemas.microsoft.com/office/infopath/2007/PartnerControls">
        <TermInfo xmlns="http://schemas.microsoft.com/office/infopath/2007/PartnerControls">
          <TermName xmlns="http://schemas.microsoft.com/office/infopath/2007/PartnerControls">SOC</TermName>
          <TermId xmlns="http://schemas.microsoft.com/office/infopath/2007/PartnerControls">13795804-ecbd-4ce5-9693-9b8be1981b20</TermId>
        </TermInfo>
      </Terms>
    </DossierName_0>
  </documentManagement>
</p:properties>
</file>

<file path=customXml/itemProps1.xml><?xml version="1.0" encoding="utf-8"?>
<ds:datastoreItem xmlns:ds="http://schemas.openxmlformats.org/officeDocument/2006/customXml" ds:itemID="{D27C4F7C-92F7-4D17-8D27-6F0FE72CFAF3}"/>
</file>

<file path=customXml/itemProps2.xml><?xml version="1.0" encoding="utf-8"?>
<ds:datastoreItem xmlns:ds="http://schemas.openxmlformats.org/officeDocument/2006/customXml" ds:itemID="{C97D68BE-1799-4C8B-991E-EF37A6AF43BF}"/>
</file>

<file path=customXml/itemProps3.xml><?xml version="1.0" encoding="utf-8"?>
<ds:datastoreItem xmlns:ds="http://schemas.openxmlformats.org/officeDocument/2006/customXml" ds:itemID="{F0401EB2-8266-45D6-A6E5-672F50EAEB1B}"/>
</file>

<file path=customXml/itemProps4.xml><?xml version="1.0" encoding="utf-8"?>
<ds:datastoreItem xmlns:ds="http://schemas.openxmlformats.org/officeDocument/2006/customXml" ds:itemID="{66A4F554-7B9F-4F48-918A-D209B190B2F2}"/>
</file>

<file path=docProps/app.xml><?xml version="1.0" encoding="utf-8"?>
<Properties xmlns="http://schemas.openxmlformats.org/officeDocument/2006/extended-properties" xmlns:vt="http://schemas.openxmlformats.org/officeDocument/2006/docPropsVTypes">
  <Template>Normal</Template>
  <TotalTime>0</TotalTime>
  <Pages>2</Pages>
  <Words>47842</Words>
  <Characters>272704</Characters>
  <Application>Microsoft Office Word</Application>
  <DocSecurity>0</DocSecurity>
  <Lines>2272</Lines>
  <Paragraphs>639</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SOC/847 - Draft Technical Annex</vt:lpstr>
      <vt:lpstr/>
    </vt:vector>
  </TitlesOfParts>
  <Company/>
  <LinksUpToDate>false</LinksUpToDate>
  <CharactersWithSpaces>319907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SOC/847 -  Technical annex to the evaluation report on Whistleblower Protection Directive</dc:title>
  <dc:subject>Appendix</dc:subject>
  <dc:creator>Szabo Lilla</dc:creator>
  <cp:keywords>EESC-2025-04143-01-01-ANN-TRA-EN</cp:keywords>
  <dc:description>Rapporteur: - BARBUCCI Original language: - EN Date of document: - 22/05/2026 Date of meeting: - 27/05/2026 External documents: -  Administrator responsible: - MME BEDATON June</dc:description>
  <cp:lastModifiedBy>TDriveSVCUserProd</cp:lastModifiedBy>
  <cp:revision>6</cp:revision>
  <cp:lastPrinted>2026-05-05T07:42:00Z</cp:lastPrinted>
  <dcterms:created xsi:type="dcterms:W3CDTF">2026-05-11T12:17:00Z</dcterms:created>
  <dcterms:modified xsi:type="dcterms:W3CDTF">2026-05-22T14:27:00Z</dcterms:modified>
  <cp:category>SOC/847</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0x010100EA97B91038054C99906057A708A1480A007FAFB00F4882C04A82CD69E07FC3C83E</vt:lpwstr>
  </property>
  <property fmtid="{D5CDD505-2E9C-101B-9397-08002B2CF9AE}" pid="3" name="_dlc_DocIdItemGuid">
    <vt:lpwstr>5c632244-4405-4181-83a4-e33e7b870cdd</vt:lpwstr>
  </property>
  <property fmtid="{D5CDD505-2E9C-101B-9397-08002B2CF9AE}" pid="4" name="AvailableTranslations">
    <vt:lpwstr>5;#EN|f2175f21-25d7-44a3-96da-d6a61b075e1b</vt:lpwstr>
  </property>
  <property fmtid="{D5CDD505-2E9C-101B-9397-08002B2CF9AE}" pid="5" name="DocumentType_0">
    <vt:lpwstr>ANN|77e6295a-5435-4751-8cb4-ca5555443730</vt:lpwstr>
  </property>
  <property fmtid="{D5CDD505-2E9C-101B-9397-08002B2CF9AE}" pid="6" name="MeetingNumber">
    <vt:i4>251</vt:i4>
  </property>
  <property fmtid="{D5CDD505-2E9C-101B-9397-08002B2CF9AE}" pid="7" name="DossierName_0">
    <vt:lpwstr>SOC|13795804-ecbd-4ce5-9693-9b8be1981b20</vt:lpwstr>
  </property>
  <property fmtid="{D5CDD505-2E9C-101B-9397-08002B2CF9AE}" pid="8" name="DocumentSource_0">
    <vt:lpwstr>EESC|422833ec-8d7e-4e65-8e4e-8bed07ffb729</vt:lpwstr>
  </property>
  <property fmtid="{D5CDD505-2E9C-101B-9397-08002B2CF9AE}" pid="9" name="DocumentNumber">
    <vt:i4>4143</vt:i4>
  </property>
  <property fmtid="{D5CDD505-2E9C-101B-9397-08002B2CF9AE}" pid="10" name="FicheYear">
    <vt:i4>2025</vt:i4>
  </property>
  <property fmtid="{D5CDD505-2E9C-101B-9397-08002B2CF9AE}" pid="11" name="DocumentVersion">
    <vt:i4>1</vt:i4>
  </property>
  <property fmtid="{D5CDD505-2E9C-101B-9397-08002B2CF9AE}" pid="12" name="DossierNumber">
    <vt:i4>847</vt:i4>
  </property>
  <property fmtid="{D5CDD505-2E9C-101B-9397-08002B2CF9AE}" pid="13" name="DocumentStatus">
    <vt:lpwstr>3;#REF|722611fd-7eaf-44e3-8780-a3226646f5f0</vt:lpwstr>
  </property>
  <property fmtid="{D5CDD505-2E9C-101B-9397-08002B2CF9AE}" pid="14" name="DocumentPart">
    <vt:i4>1</vt:i4>
  </property>
  <property fmtid="{D5CDD505-2E9C-101B-9397-08002B2CF9AE}" pid="15" name="DossierName">
    <vt:lpwstr>75;#SOC|13795804-ecbd-4ce5-9693-9b8be1981b20</vt:lpwstr>
  </property>
  <property fmtid="{D5CDD505-2E9C-101B-9397-08002B2CF9AE}" pid="16" name="DocumentSource">
    <vt:lpwstr>1;#EESC|422833ec-8d7e-4e65-8e4e-8bed07ffb729</vt:lpwstr>
  </property>
  <property fmtid="{D5CDD505-2E9C-101B-9397-08002B2CF9AE}" pid="18" name="DocumentType">
    <vt:lpwstr>60;#ANN|77e6295a-5435-4751-8cb4-ca5555443730</vt:lpwstr>
  </property>
  <property fmtid="{D5CDD505-2E9C-101B-9397-08002B2CF9AE}" pid="19" name="RequestingService">
    <vt:lpwstr>Emploi, affaires sociales, citoyenneté</vt:lpwstr>
  </property>
  <property fmtid="{D5CDD505-2E9C-101B-9397-08002B2CF9AE}" pid="20" name="Confidentiality">
    <vt:lpwstr>6;#Internal|2451815e-8241-4bbf-a22e-1ab710712bf2</vt:lpwstr>
  </property>
  <property fmtid="{D5CDD505-2E9C-101B-9397-08002B2CF9AE}" pid="21" name="MeetingName_0">
    <vt:lpwstr>SOC|baa75797-8ce5-40f0-b0ad-6cadb965217d</vt:lpwstr>
  </property>
  <property fmtid="{D5CDD505-2E9C-101B-9397-08002B2CF9AE}" pid="22" name="Confidentiality_0">
    <vt:lpwstr>Internal|2451815e-8241-4bbf-a22e-1ab710712bf2</vt:lpwstr>
  </property>
  <property fmtid="{D5CDD505-2E9C-101B-9397-08002B2CF9AE}" pid="23" name="OriginalLanguage">
    <vt:lpwstr>5;#EN|f2175f21-25d7-44a3-96da-d6a61b075e1b</vt:lpwstr>
  </property>
  <property fmtid="{D5CDD505-2E9C-101B-9397-08002B2CF9AE}" pid="24" name="MeetingName">
    <vt:lpwstr>81;#SOC|baa75797-8ce5-40f0-b0ad-6cadb965217d</vt:lpwstr>
  </property>
  <property fmtid="{D5CDD505-2E9C-101B-9397-08002B2CF9AE}" pid="25" name="MeetingDate">
    <vt:filetime>2026-05-27T12:00:00Z</vt:filetime>
  </property>
  <property fmtid="{D5CDD505-2E9C-101B-9397-08002B2CF9AE}" pid="26" name="AvailableTranslations_0">
    <vt:lpwstr/>
  </property>
  <property fmtid="{D5CDD505-2E9C-101B-9397-08002B2CF9AE}" pid="27" name="DocumentStatus_0">
    <vt:lpwstr>REF|722611fd-7eaf-44e3-8780-a3226646f5f0</vt:lpwstr>
  </property>
  <property fmtid="{D5CDD505-2E9C-101B-9397-08002B2CF9AE}" pid="28" name="OriginalLanguage_0">
    <vt:lpwstr>EN|f2175f21-25d7-44a3-96da-d6a61b075e1b</vt:lpwstr>
  </property>
  <property fmtid="{D5CDD505-2E9C-101B-9397-08002B2CF9AE}" pid="29" name="TaxCatchAll">
    <vt:lpwstr>81;#SOC|baa75797-8ce5-40f0-b0ad-6cadb965217d;#60;#ANN|77e6295a-5435-4751-8cb4-ca5555443730;#8;#Final|ea5e6674-7b27-4bac-b091-73adbb394efe;#75;#SOC|13795804-ecbd-4ce5-9693-9b8be1981b20;#6;#Internal|2451815e-8241-4bbf-a22e-1ab710712bf2;#5;#EN|f2175f21-25d7-44a3-96da-d6a61b075e1b;#3;#REF|722611fd-7eaf-44e3-8780-a3226646f5f0;#1;#EESC|422833ec-8d7e-4e65-8e4e-8bed07ffb729</vt:lpwstr>
  </property>
  <property fmtid="{D5CDD505-2E9C-101B-9397-08002B2CF9AE}" pid="30" name="Rapporteur">
    <vt:lpwstr>BARBUCCI</vt:lpwstr>
  </property>
  <property fmtid="{D5CDD505-2E9C-101B-9397-08002B2CF9AE}" pid="31" name="VersionStatus_0">
    <vt:lpwstr>Final|ea5e6674-7b27-4bac-b091-73adbb394efe</vt:lpwstr>
  </property>
  <property fmtid="{D5CDD505-2E9C-101B-9397-08002B2CF9AE}" pid="32" name="VersionStatus">
    <vt:lpwstr>8;#Final|ea5e6674-7b27-4bac-b091-73adbb394efe</vt:lpwstr>
  </property>
  <property fmtid="{D5CDD505-2E9C-101B-9397-08002B2CF9AE}" pid="33" name="DocumentYear">
    <vt:i4>2025</vt:i4>
  </property>
  <property fmtid="{D5CDD505-2E9C-101B-9397-08002B2CF9AE}" pid="34" name="FicheNumber">
    <vt:i4>5403</vt:i4>
  </property>
  <property fmtid="{D5CDD505-2E9C-101B-9397-08002B2CF9AE}" pid="35" name="DocumentLanguage">
    <vt:lpwstr>5;#EN|f2175f21-25d7-44a3-96da-d6a61b075e1b</vt:lpwstr>
  </property>
  <property fmtid="{D5CDD505-2E9C-101B-9397-08002B2CF9AE}" pid="36" name="_docset_NoMedatataSyncRequired">
    <vt:lpwstr>False</vt:lpwstr>
  </property>
</Properties>
</file>