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7232A0" w14:textId="77777777" w:rsidR="00077C4F" w:rsidRPr="00554137" w:rsidRDefault="00077C4F" w:rsidP="00554137">
      <w:pPr>
        <w:spacing w:after="0" w:line="240" w:lineRule="auto"/>
        <w:ind w:left="-709"/>
        <w:rPr>
          <w:rFonts w:ascii="Times New Roman" w:hAnsi="Times New Roman"/>
          <w:bCs/>
          <w:sz w:val="4"/>
          <w:szCs w:val="4"/>
        </w:rPr>
      </w:pPr>
    </w:p>
    <w:tbl>
      <w:tblPr>
        <w:tblW w:w="10243" w:type="dxa"/>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10243"/>
      </w:tblGrid>
      <w:tr w:rsidR="001C4138" w:rsidRPr="00442552" w14:paraId="7E6372DC" w14:textId="77777777" w:rsidTr="00C37BDD">
        <w:trPr>
          <w:jc w:val="center"/>
        </w:trPr>
        <w:tc>
          <w:tcPr>
            <w:tcW w:w="10243" w:type="dxa"/>
          </w:tcPr>
          <w:p w14:paraId="3A4EDC3A" w14:textId="635184D4" w:rsidR="001C4138" w:rsidRPr="002E347B" w:rsidRDefault="00195D9F" w:rsidP="001C4138">
            <w:pPr>
              <w:spacing w:before="120" w:after="120"/>
              <w:rPr>
                <w:rFonts w:ascii="Times New Roman" w:hAnsi="Times New Roman"/>
                <w:b/>
                <w:sz w:val="24"/>
                <w:szCs w:val="24"/>
              </w:rPr>
            </w:pPr>
            <w:r w:rsidRPr="002E347B">
              <w:rPr>
                <w:rFonts w:ascii="Times New Roman" w:hAnsi="Times New Roman"/>
                <w:b/>
                <w:sz w:val="24"/>
                <w:szCs w:val="24"/>
              </w:rPr>
              <w:t>European defence industry transformation roadmap</w:t>
            </w:r>
            <w:r w:rsidR="00554137" w:rsidRPr="002E347B">
              <w:rPr>
                <w:rFonts w:ascii="Times New Roman" w:hAnsi="Times New Roman"/>
                <w:b/>
                <w:sz w:val="24"/>
                <w:szCs w:val="24"/>
              </w:rPr>
              <w:br/>
            </w:r>
            <w:r w:rsidR="00554137" w:rsidRPr="002E347B">
              <w:rPr>
                <w:rFonts w:ascii="Times New Roman" w:hAnsi="Times New Roman"/>
                <w:b/>
                <w:sz w:val="24"/>
                <w:szCs w:val="24"/>
                <w:lang w:val="en-IE"/>
              </w:rPr>
              <w:t>(</w:t>
            </w:r>
            <w:r w:rsidRPr="002E347B">
              <w:rPr>
                <w:rFonts w:ascii="Times New Roman" w:hAnsi="Times New Roman"/>
                <w:b/>
                <w:sz w:val="24"/>
                <w:szCs w:val="24"/>
                <w:lang w:val="en-IE"/>
              </w:rPr>
              <w:t>optional referral</w:t>
            </w:r>
            <w:r w:rsidR="002E347B">
              <w:rPr>
                <w:rFonts w:ascii="Times New Roman" w:hAnsi="Times New Roman"/>
                <w:b/>
                <w:sz w:val="24"/>
                <w:szCs w:val="24"/>
              </w:rPr>
              <w:t>)</w:t>
            </w:r>
            <w:r w:rsidR="001C4138" w:rsidRPr="002E347B">
              <w:rPr>
                <w:rFonts w:ascii="Times New Roman" w:hAnsi="Times New Roman"/>
                <w:b/>
                <w:sz w:val="24"/>
                <w:szCs w:val="24"/>
                <w:lang w:val="en-IE"/>
              </w:rPr>
              <w:br/>
            </w:r>
            <w:proofErr w:type="gramStart"/>
            <w:r w:rsidR="001C4138" w:rsidRPr="002E347B">
              <w:rPr>
                <w:rFonts w:ascii="Times New Roman" w:hAnsi="Times New Roman"/>
                <w:b/>
                <w:sz w:val="24"/>
                <w:szCs w:val="24"/>
                <w:lang w:val="en-IE"/>
              </w:rPr>
              <w:t>COM(</w:t>
            </w:r>
            <w:proofErr w:type="gramEnd"/>
            <w:r w:rsidRPr="002E347B">
              <w:rPr>
                <w:rFonts w:ascii="Times New Roman" w:hAnsi="Times New Roman"/>
                <w:b/>
                <w:sz w:val="24"/>
                <w:szCs w:val="24"/>
                <w:lang w:val="en-IE"/>
              </w:rPr>
              <w:t>2025</w:t>
            </w:r>
            <w:r w:rsidR="001C4138" w:rsidRPr="002E347B">
              <w:rPr>
                <w:rFonts w:ascii="Times New Roman" w:hAnsi="Times New Roman"/>
                <w:b/>
                <w:sz w:val="24"/>
                <w:szCs w:val="24"/>
                <w:lang w:val="en-IE"/>
              </w:rPr>
              <w:t xml:space="preserve">) </w:t>
            </w:r>
            <w:r w:rsidRPr="002E347B">
              <w:rPr>
                <w:rFonts w:ascii="Times New Roman" w:hAnsi="Times New Roman"/>
                <w:b/>
                <w:sz w:val="24"/>
                <w:szCs w:val="24"/>
                <w:lang w:val="en-IE"/>
              </w:rPr>
              <w:t xml:space="preserve">845 </w:t>
            </w:r>
            <w:r w:rsidR="001C4138" w:rsidRPr="002E347B">
              <w:rPr>
                <w:rFonts w:ascii="Times New Roman" w:hAnsi="Times New Roman"/>
                <w:b/>
                <w:sz w:val="24"/>
                <w:szCs w:val="24"/>
                <w:lang w:val="en-IE"/>
              </w:rPr>
              <w:t>final</w:t>
            </w:r>
            <w:r w:rsidR="001C4138" w:rsidRPr="002E347B">
              <w:rPr>
                <w:rFonts w:ascii="Times New Roman" w:hAnsi="Times New Roman"/>
                <w:b/>
                <w:sz w:val="24"/>
                <w:szCs w:val="24"/>
                <w:lang w:val="en-IE"/>
              </w:rPr>
              <w:br/>
              <w:t>EESC-202</w:t>
            </w:r>
            <w:r w:rsidRPr="002E347B">
              <w:rPr>
                <w:rFonts w:ascii="Times New Roman" w:hAnsi="Times New Roman"/>
                <w:b/>
                <w:sz w:val="24"/>
                <w:szCs w:val="24"/>
                <w:lang w:val="en-IE"/>
              </w:rPr>
              <w:t>6</w:t>
            </w:r>
            <w:r w:rsidR="001C4138" w:rsidRPr="002E347B">
              <w:rPr>
                <w:rFonts w:ascii="Times New Roman" w:hAnsi="Times New Roman"/>
                <w:b/>
                <w:sz w:val="24"/>
                <w:szCs w:val="24"/>
                <w:lang w:val="en-IE"/>
              </w:rPr>
              <w:t>-</w:t>
            </w:r>
            <w:r w:rsidRPr="002E347B">
              <w:rPr>
                <w:rFonts w:ascii="Times New Roman" w:hAnsi="Times New Roman"/>
                <w:b/>
                <w:sz w:val="24"/>
                <w:szCs w:val="24"/>
                <w:lang w:val="en-IE"/>
              </w:rPr>
              <w:t>00134</w:t>
            </w:r>
            <w:r w:rsidR="001C4138" w:rsidRPr="002E347B">
              <w:rPr>
                <w:rFonts w:ascii="Times New Roman" w:hAnsi="Times New Roman"/>
                <w:b/>
                <w:sz w:val="24"/>
                <w:szCs w:val="24"/>
                <w:lang w:val="en-IE"/>
              </w:rPr>
              <w:t xml:space="preserve"> </w:t>
            </w:r>
            <w:r w:rsidR="001C4138" w:rsidRPr="002E347B">
              <w:rPr>
                <w:rFonts w:ascii="Times New Roman" w:hAnsi="Times New Roman"/>
                <w:b/>
                <w:sz w:val="24"/>
                <w:szCs w:val="24"/>
              </w:rPr>
              <w:t xml:space="preserve">‒ </w:t>
            </w:r>
            <w:r w:rsidRPr="002E347B">
              <w:rPr>
                <w:rFonts w:ascii="Times New Roman" w:hAnsi="Times New Roman"/>
                <w:b/>
                <w:sz w:val="24"/>
                <w:szCs w:val="24"/>
              </w:rPr>
              <w:t>CCMI</w:t>
            </w:r>
            <w:r w:rsidR="001C4138" w:rsidRPr="002E347B">
              <w:rPr>
                <w:rFonts w:ascii="Times New Roman" w:hAnsi="Times New Roman"/>
                <w:b/>
                <w:sz w:val="24"/>
                <w:szCs w:val="24"/>
              </w:rPr>
              <w:t>/</w:t>
            </w:r>
            <w:r w:rsidR="002E347B">
              <w:rPr>
                <w:rFonts w:ascii="Times New Roman" w:hAnsi="Times New Roman"/>
                <w:b/>
                <w:sz w:val="24"/>
                <w:szCs w:val="24"/>
              </w:rPr>
              <w:t>2</w:t>
            </w:r>
            <w:r w:rsidRPr="002E347B">
              <w:rPr>
                <w:rFonts w:ascii="Times New Roman" w:hAnsi="Times New Roman"/>
                <w:b/>
                <w:sz w:val="24"/>
                <w:szCs w:val="24"/>
              </w:rPr>
              <w:t>56</w:t>
            </w:r>
            <w:r w:rsidR="001C4138" w:rsidRPr="002E347B">
              <w:rPr>
                <w:rFonts w:ascii="Times New Roman" w:hAnsi="Times New Roman"/>
                <w:b/>
                <w:sz w:val="24"/>
                <w:szCs w:val="24"/>
              </w:rPr>
              <w:br/>
            </w:r>
            <w:r w:rsidRPr="002E347B">
              <w:rPr>
                <w:rFonts w:ascii="Times New Roman" w:hAnsi="Times New Roman"/>
                <w:b/>
                <w:sz w:val="24"/>
                <w:szCs w:val="24"/>
              </w:rPr>
              <w:t>604</w:t>
            </w:r>
            <w:r w:rsidR="001C4138" w:rsidRPr="002E347B">
              <w:rPr>
                <w:rFonts w:ascii="Times New Roman" w:hAnsi="Times New Roman"/>
                <w:b/>
                <w:sz w:val="24"/>
                <w:szCs w:val="24"/>
                <w:vertAlign w:val="superscript"/>
                <w:lang w:val="en-IE"/>
              </w:rPr>
              <w:t>th</w:t>
            </w:r>
            <w:r w:rsidR="001C4138" w:rsidRPr="002E347B">
              <w:rPr>
                <w:rFonts w:ascii="Times New Roman" w:hAnsi="Times New Roman"/>
                <w:b/>
                <w:sz w:val="24"/>
                <w:szCs w:val="24"/>
                <w:lang w:val="en-IE"/>
              </w:rPr>
              <w:t xml:space="preserve"> </w:t>
            </w:r>
            <w:r w:rsidR="001C4138" w:rsidRPr="002E347B">
              <w:rPr>
                <w:rFonts w:ascii="Times New Roman" w:hAnsi="Times New Roman"/>
                <w:b/>
                <w:sz w:val="24"/>
                <w:szCs w:val="24"/>
              </w:rPr>
              <w:t xml:space="preserve">Plenary Session – </w:t>
            </w:r>
            <w:r w:rsidRPr="002E347B">
              <w:rPr>
                <w:rFonts w:ascii="Times New Roman" w:hAnsi="Times New Roman"/>
                <w:b/>
                <w:sz w:val="24"/>
                <w:szCs w:val="24"/>
              </w:rPr>
              <w:t>March 2026</w:t>
            </w:r>
            <w:r w:rsidR="001C4138" w:rsidRPr="002E347B">
              <w:rPr>
                <w:rFonts w:ascii="Times New Roman" w:hAnsi="Times New Roman"/>
                <w:b/>
                <w:sz w:val="24"/>
                <w:szCs w:val="24"/>
              </w:rPr>
              <w:br/>
              <w:t xml:space="preserve">Rapporteur: </w:t>
            </w:r>
            <w:r w:rsidRPr="002E347B">
              <w:rPr>
                <w:rFonts w:ascii="Times New Roman" w:hAnsi="Times New Roman"/>
                <w:b/>
                <w:sz w:val="24"/>
                <w:szCs w:val="24"/>
              </w:rPr>
              <w:t>Maurizio MENSI (IT</w:t>
            </w:r>
            <w:r w:rsidR="002E347B">
              <w:rPr>
                <w:rFonts w:ascii="Times New Roman" w:hAnsi="Times New Roman"/>
                <w:b/>
                <w:sz w:val="24"/>
                <w:szCs w:val="24"/>
              </w:rPr>
              <w:t>-</w:t>
            </w:r>
            <w:r w:rsidRPr="002E347B">
              <w:rPr>
                <w:rFonts w:ascii="Times New Roman" w:hAnsi="Times New Roman"/>
                <w:b/>
                <w:sz w:val="24"/>
                <w:szCs w:val="24"/>
              </w:rPr>
              <w:t>III)</w:t>
            </w:r>
            <w:r w:rsidR="002E347B">
              <w:rPr>
                <w:rFonts w:ascii="Times New Roman" w:hAnsi="Times New Roman"/>
                <w:b/>
                <w:sz w:val="24"/>
                <w:szCs w:val="24"/>
              </w:rPr>
              <w:br/>
            </w:r>
            <w:r w:rsidR="002E347B" w:rsidRPr="003F65E2">
              <w:rPr>
                <w:rFonts w:ascii="Times New Roman" w:hAnsi="Times New Roman"/>
                <w:b/>
                <w:bCs/>
              </w:rPr>
              <w:t>Co-rapporteur: Christophe TYTGAT (BE-I)</w:t>
            </w:r>
            <w:r w:rsidR="001C4138" w:rsidRPr="002E347B">
              <w:rPr>
                <w:rFonts w:ascii="Times New Roman" w:hAnsi="Times New Roman"/>
                <w:b/>
                <w:sz w:val="24"/>
                <w:szCs w:val="24"/>
              </w:rPr>
              <w:br/>
              <w:t xml:space="preserve">DG </w:t>
            </w:r>
            <w:r w:rsidRPr="002E347B">
              <w:rPr>
                <w:rFonts w:ascii="Times New Roman" w:hAnsi="Times New Roman"/>
                <w:b/>
                <w:sz w:val="24"/>
                <w:szCs w:val="24"/>
              </w:rPr>
              <w:t>DEFIS</w:t>
            </w:r>
            <w:r w:rsidR="001C4138" w:rsidRPr="002E347B">
              <w:rPr>
                <w:rFonts w:ascii="Times New Roman" w:hAnsi="Times New Roman"/>
                <w:b/>
                <w:sz w:val="24"/>
                <w:szCs w:val="24"/>
              </w:rPr>
              <w:t xml:space="preserve"> – Commissioner</w:t>
            </w:r>
            <w:r w:rsidRPr="002E347B">
              <w:rPr>
                <w:rFonts w:ascii="Times New Roman" w:hAnsi="Times New Roman"/>
                <w:b/>
                <w:sz w:val="24"/>
                <w:szCs w:val="24"/>
              </w:rPr>
              <w:t xml:space="preserve"> </w:t>
            </w:r>
            <w:r w:rsidR="002E347B" w:rsidRPr="002E347B">
              <w:rPr>
                <w:rFonts w:ascii="Times New Roman" w:hAnsi="Times New Roman"/>
                <w:b/>
                <w:sz w:val="24"/>
                <w:szCs w:val="24"/>
              </w:rPr>
              <w:t>KUBILIUS</w:t>
            </w:r>
          </w:p>
        </w:tc>
      </w:tr>
      <w:tr w:rsidR="00734613" w:rsidRPr="00442552" w14:paraId="1937071F" w14:textId="77777777" w:rsidTr="00C37BDD">
        <w:trPr>
          <w:jc w:val="center"/>
        </w:trPr>
        <w:tc>
          <w:tcPr>
            <w:tcW w:w="10243" w:type="dxa"/>
          </w:tcPr>
          <w:p w14:paraId="1E50B4DB" w14:textId="6054FC70" w:rsidR="00734613" w:rsidRPr="002E347B" w:rsidRDefault="004F6117" w:rsidP="004F6117">
            <w:pPr>
              <w:spacing w:before="120" w:after="120"/>
              <w:jc w:val="center"/>
              <w:rPr>
                <w:rFonts w:ascii="Times New Roman" w:hAnsi="Times New Roman"/>
                <w:b/>
                <w:sz w:val="24"/>
                <w:szCs w:val="24"/>
              </w:rPr>
            </w:pPr>
            <w:r w:rsidRPr="002E347B">
              <w:rPr>
                <w:rFonts w:ascii="Times New Roman" w:hAnsi="Times New Roman"/>
                <w:b/>
                <w:sz w:val="24"/>
                <w:szCs w:val="24"/>
              </w:rPr>
              <w:t>European Commission position on points</w:t>
            </w:r>
            <w:r w:rsidRPr="002E347B">
              <w:rPr>
                <w:rFonts w:ascii="Times New Roman" w:hAnsi="Times New Roman"/>
                <w:b/>
                <w:sz w:val="24"/>
                <w:szCs w:val="24"/>
              </w:rPr>
              <w:br/>
              <w:t xml:space="preserve">of the European Economic and Social Committee </w:t>
            </w:r>
            <w:r w:rsidR="00554137" w:rsidRPr="002E347B">
              <w:rPr>
                <w:rFonts w:ascii="Times New Roman" w:hAnsi="Times New Roman"/>
                <w:b/>
                <w:sz w:val="24"/>
                <w:szCs w:val="24"/>
              </w:rPr>
              <w:t xml:space="preserve">(EESC) </w:t>
            </w:r>
            <w:r w:rsidRPr="002E347B">
              <w:rPr>
                <w:rFonts w:ascii="Times New Roman" w:hAnsi="Times New Roman"/>
                <w:b/>
                <w:sz w:val="24"/>
                <w:szCs w:val="24"/>
              </w:rPr>
              <w:t>opinion</w:t>
            </w:r>
            <w:r w:rsidR="00E83C12" w:rsidRPr="002E347B">
              <w:rPr>
                <w:rFonts w:ascii="Times New Roman" w:hAnsi="Times New Roman"/>
                <w:b/>
                <w:sz w:val="24"/>
                <w:szCs w:val="24"/>
              </w:rPr>
              <w:t xml:space="preserve"> considered as essential</w:t>
            </w:r>
          </w:p>
        </w:tc>
      </w:tr>
      <w:tr w:rsidR="00734613" w:rsidRPr="004F6117" w14:paraId="673DDC1B" w14:textId="77777777" w:rsidTr="00C37BDD">
        <w:trPr>
          <w:jc w:val="center"/>
        </w:trPr>
        <w:tc>
          <w:tcPr>
            <w:tcW w:w="10243" w:type="dxa"/>
          </w:tcPr>
          <w:p w14:paraId="24E99A4D" w14:textId="44A723BC" w:rsidR="00734613" w:rsidRDefault="00195D9F" w:rsidP="00BF35DF">
            <w:pPr>
              <w:spacing w:before="120" w:after="120"/>
              <w:jc w:val="both"/>
              <w:rPr>
                <w:rFonts w:ascii="Times New Roman" w:hAnsi="Times New Roman"/>
                <w:sz w:val="24"/>
                <w:szCs w:val="24"/>
              </w:rPr>
            </w:pPr>
            <w:r>
              <w:rPr>
                <w:rFonts w:ascii="Times New Roman" w:hAnsi="Times New Roman"/>
                <w:sz w:val="24"/>
                <w:szCs w:val="24"/>
              </w:rPr>
              <w:t xml:space="preserve">The Commission </w:t>
            </w:r>
            <w:r w:rsidR="00A262A3">
              <w:rPr>
                <w:rFonts w:ascii="Times New Roman" w:hAnsi="Times New Roman"/>
                <w:sz w:val="24"/>
                <w:szCs w:val="24"/>
              </w:rPr>
              <w:t xml:space="preserve">welcomes the </w:t>
            </w:r>
            <w:r w:rsidR="00845463">
              <w:rPr>
                <w:rFonts w:ascii="Times New Roman" w:hAnsi="Times New Roman"/>
                <w:sz w:val="24"/>
                <w:szCs w:val="24"/>
              </w:rPr>
              <w:t xml:space="preserve">positive </w:t>
            </w:r>
            <w:r w:rsidR="00A262A3">
              <w:rPr>
                <w:rFonts w:ascii="Times New Roman" w:hAnsi="Times New Roman"/>
                <w:sz w:val="24"/>
                <w:szCs w:val="24"/>
              </w:rPr>
              <w:t xml:space="preserve">opinion of the </w:t>
            </w:r>
            <w:r>
              <w:rPr>
                <w:rFonts w:ascii="Times New Roman" w:hAnsi="Times New Roman"/>
                <w:sz w:val="24"/>
                <w:szCs w:val="24"/>
              </w:rPr>
              <w:t xml:space="preserve">Committee on the Communication on the </w:t>
            </w:r>
            <w:r w:rsidR="00F15212">
              <w:rPr>
                <w:rFonts w:ascii="Times New Roman" w:hAnsi="Times New Roman"/>
                <w:sz w:val="24"/>
                <w:szCs w:val="24"/>
              </w:rPr>
              <w:t>European Union (EU)</w:t>
            </w:r>
            <w:r w:rsidRPr="00195D9F">
              <w:rPr>
                <w:rFonts w:ascii="Times New Roman" w:hAnsi="Times New Roman"/>
                <w:sz w:val="24"/>
                <w:szCs w:val="24"/>
              </w:rPr>
              <w:t xml:space="preserve"> </w:t>
            </w:r>
            <w:r w:rsidR="00845463">
              <w:rPr>
                <w:rFonts w:ascii="Times New Roman" w:hAnsi="Times New Roman"/>
                <w:sz w:val="24"/>
                <w:szCs w:val="24"/>
              </w:rPr>
              <w:t>Defence</w:t>
            </w:r>
            <w:r w:rsidRPr="00195D9F">
              <w:rPr>
                <w:rFonts w:ascii="Times New Roman" w:hAnsi="Times New Roman"/>
                <w:sz w:val="24"/>
                <w:szCs w:val="24"/>
              </w:rPr>
              <w:t xml:space="preserve"> </w:t>
            </w:r>
            <w:r w:rsidR="00845463">
              <w:rPr>
                <w:rFonts w:ascii="Times New Roman" w:hAnsi="Times New Roman"/>
                <w:sz w:val="24"/>
                <w:szCs w:val="24"/>
              </w:rPr>
              <w:t>I</w:t>
            </w:r>
            <w:r w:rsidRPr="00195D9F">
              <w:rPr>
                <w:rFonts w:ascii="Times New Roman" w:hAnsi="Times New Roman"/>
                <w:sz w:val="24"/>
                <w:szCs w:val="24"/>
              </w:rPr>
              <w:t xml:space="preserve">ndustry </w:t>
            </w:r>
            <w:r w:rsidR="00845463">
              <w:rPr>
                <w:rFonts w:ascii="Times New Roman" w:hAnsi="Times New Roman"/>
                <w:sz w:val="24"/>
                <w:szCs w:val="24"/>
              </w:rPr>
              <w:t>T</w:t>
            </w:r>
            <w:r w:rsidRPr="00195D9F">
              <w:rPr>
                <w:rFonts w:ascii="Times New Roman" w:hAnsi="Times New Roman"/>
                <w:sz w:val="24"/>
                <w:szCs w:val="24"/>
              </w:rPr>
              <w:t xml:space="preserve">ransformation </w:t>
            </w:r>
            <w:r w:rsidR="00845463">
              <w:rPr>
                <w:rFonts w:ascii="Times New Roman" w:hAnsi="Times New Roman"/>
                <w:sz w:val="24"/>
                <w:szCs w:val="24"/>
              </w:rPr>
              <w:t>R</w:t>
            </w:r>
            <w:r w:rsidRPr="00195D9F">
              <w:rPr>
                <w:rFonts w:ascii="Times New Roman" w:hAnsi="Times New Roman"/>
                <w:sz w:val="24"/>
                <w:szCs w:val="24"/>
              </w:rPr>
              <w:t>oadmap</w:t>
            </w:r>
            <w:r w:rsidR="002E347B">
              <w:rPr>
                <w:rStyle w:val="FootnoteReference"/>
                <w:rFonts w:ascii="Times New Roman" w:hAnsi="Times New Roman"/>
                <w:sz w:val="24"/>
                <w:szCs w:val="24"/>
              </w:rPr>
              <w:footnoteReference w:id="1"/>
            </w:r>
            <w:r w:rsidR="00845463">
              <w:rPr>
                <w:rFonts w:ascii="Times New Roman" w:hAnsi="Times New Roman"/>
                <w:sz w:val="24"/>
                <w:szCs w:val="24"/>
              </w:rPr>
              <w:t>.</w:t>
            </w:r>
          </w:p>
          <w:p w14:paraId="774EB28F" w14:textId="557441B0" w:rsidR="001B476C" w:rsidRDefault="001B476C" w:rsidP="00BF35DF">
            <w:pPr>
              <w:spacing w:before="120" w:after="120"/>
              <w:jc w:val="both"/>
              <w:rPr>
                <w:rFonts w:ascii="Times New Roman" w:hAnsi="Times New Roman"/>
                <w:sz w:val="24"/>
                <w:szCs w:val="24"/>
              </w:rPr>
            </w:pPr>
            <w:r w:rsidRPr="001B476C">
              <w:rPr>
                <w:rFonts w:ascii="Times New Roman" w:hAnsi="Times New Roman"/>
                <w:sz w:val="24"/>
                <w:szCs w:val="24"/>
              </w:rPr>
              <w:t xml:space="preserve">The Commission fully </w:t>
            </w:r>
            <w:r w:rsidR="00EF76CC">
              <w:rPr>
                <w:rFonts w:ascii="Times New Roman" w:hAnsi="Times New Roman"/>
                <w:sz w:val="24"/>
                <w:szCs w:val="24"/>
              </w:rPr>
              <w:t>share</w:t>
            </w:r>
            <w:r w:rsidR="00EA35AB">
              <w:rPr>
                <w:rFonts w:ascii="Times New Roman" w:hAnsi="Times New Roman"/>
                <w:sz w:val="24"/>
                <w:szCs w:val="24"/>
              </w:rPr>
              <w:t>s</w:t>
            </w:r>
            <w:r w:rsidR="00EF76CC" w:rsidRPr="001B476C">
              <w:rPr>
                <w:rFonts w:ascii="Times New Roman" w:hAnsi="Times New Roman"/>
                <w:sz w:val="24"/>
                <w:szCs w:val="24"/>
              </w:rPr>
              <w:t xml:space="preserve"> </w:t>
            </w:r>
            <w:r w:rsidRPr="001B476C">
              <w:rPr>
                <w:rFonts w:ascii="Times New Roman" w:hAnsi="Times New Roman"/>
                <w:sz w:val="24"/>
                <w:szCs w:val="24"/>
              </w:rPr>
              <w:t xml:space="preserve">the view that the </w:t>
            </w:r>
            <w:r>
              <w:rPr>
                <w:rFonts w:ascii="Times New Roman" w:hAnsi="Times New Roman"/>
                <w:sz w:val="24"/>
                <w:szCs w:val="24"/>
              </w:rPr>
              <w:t>transformation</w:t>
            </w:r>
            <w:r w:rsidRPr="001B476C">
              <w:rPr>
                <w:rFonts w:ascii="Times New Roman" w:hAnsi="Times New Roman"/>
                <w:sz w:val="24"/>
                <w:szCs w:val="24"/>
              </w:rPr>
              <w:t xml:space="preserve"> of the EU’s defence industry must also </w:t>
            </w:r>
            <w:r>
              <w:rPr>
                <w:rFonts w:ascii="Times New Roman" w:hAnsi="Times New Roman"/>
                <w:sz w:val="24"/>
                <w:szCs w:val="24"/>
              </w:rPr>
              <w:t>strengthen</w:t>
            </w:r>
            <w:r w:rsidRPr="001B476C">
              <w:rPr>
                <w:rFonts w:ascii="Times New Roman" w:hAnsi="Times New Roman"/>
                <w:sz w:val="24"/>
                <w:szCs w:val="24"/>
              </w:rPr>
              <w:t xml:space="preserve"> the Union’s industrial strategic autonomy (as outlined in </w:t>
            </w:r>
            <w:r w:rsidR="002E347B">
              <w:rPr>
                <w:rFonts w:ascii="Times New Roman" w:hAnsi="Times New Roman"/>
                <w:sz w:val="24"/>
                <w:szCs w:val="24"/>
                <w:u w:val="single"/>
              </w:rPr>
              <w:t>point </w:t>
            </w:r>
            <w:r w:rsidRPr="003F65E2">
              <w:rPr>
                <w:rFonts w:ascii="Times New Roman" w:hAnsi="Times New Roman"/>
                <w:sz w:val="24"/>
                <w:szCs w:val="24"/>
                <w:u w:val="single"/>
              </w:rPr>
              <w:t>1.2</w:t>
            </w:r>
            <w:r w:rsidRPr="001B476C">
              <w:rPr>
                <w:rFonts w:ascii="Times New Roman" w:hAnsi="Times New Roman"/>
                <w:sz w:val="24"/>
                <w:szCs w:val="24"/>
              </w:rPr>
              <w:t xml:space="preserve"> of </w:t>
            </w:r>
            <w:r w:rsidR="00BF1B2E">
              <w:rPr>
                <w:rFonts w:ascii="Times New Roman" w:hAnsi="Times New Roman"/>
                <w:sz w:val="24"/>
                <w:szCs w:val="24"/>
              </w:rPr>
              <w:t>the opinion</w:t>
            </w:r>
            <w:r w:rsidRPr="001B476C">
              <w:rPr>
                <w:rFonts w:ascii="Times New Roman" w:hAnsi="Times New Roman"/>
                <w:sz w:val="24"/>
                <w:szCs w:val="24"/>
              </w:rPr>
              <w:t>). The</w:t>
            </w:r>
            <w:r w:rsidR="002E347B">
              <w:rPr>
                <w:rFonts w:ascii="Times New Roman" w:hAnsi="Times New Roman"/>
                <w:sz w:val="24"/>
                <w:szCs w:val="24"/>
              </w:rPr>
              <w:t> </w:t>
            </w:r>
            <w:proofErr w:type="gramStart"/>
            <w:r w:rsidRPr="001B476C">
              <w:rPr>
                <w:rFonts w:ascii="Times New Roman" w:hAnsi="Times New Roman"/>
                <w:sz w:val="24"/>
                <w:szCs w:val="24"/>
              </w:rPr>
              <w:t>Roadmap</w:t>
            </w:r>
            <w:proofErr w:type="gramEnd"/>
            <w:r w:rsidRPr="001B476C">
              <w:rPr>
                <w:rFonts w:ascii="Times New Roman" w:hAnsi="Times New Roman"/>
                <w:sz w:val="24"/>
                <w:szCs w:val="24"/>
              </w:rPr>
              <w:t xml:space="preserve"> sets out a series of tangible </w:t>
            </w:r>
            <w:r>
              <w:rPr>
                <w:rFonts w:ascii="Times New Roman" w:hAnsi="Times New Roman"/>
                <w:sz w:val="24"/>
                <w:szCs w:val="24"/>
              </w:rPr>
              <w:t xml:space="preserve">actions – such as the </w:t>
            </w:r>
            <w:r w:rsidRPr="001B476C">
              <w:rPr>
                <w:rFonts w:ascii="Times New Roman" w:hAnsi="Times New Roman"/>
                <w:sz w:val="24"/>
                <w:szCs w:val="24"/>
              </w:rPr>
              <w:t>defence-</w:t>
            </w:r>
            <w:r>
              <w:rPr>
                <w:rFonts w:ascii="Times New Roman" w:hAnsi="Times New Roman"/>
                <w:sz w:val="24"/>
                <w:szCs w:val="24"/>
              </w:rPr>
              <w:t>focused</w:t>
            </w:r>
            <w:r w:rsidRPr="001B476C">
              <w:rPr>
                <w:rFonts w:ascii="Times New Roman" w:hAnsi="Times New Roman"/>
                <w:sz w:val="24"/>
                <w:szCs w:val="24"/>
              </w:rPr>
              <w:t xml:space="preserve"> fund-of-funds</w:t>
            </w:r>
            <w:r w:rsidR="00054821">
              <w:rPr>
                <w:rFonts w:ascii="Times New Roman" w:hAnsi="Times New Roman"/>
                <w:sz w:val="24"/>
                <w:szCs w:val="24"/>
              </w:rPr>
              <w:t xml:space="preserve"> or </w:t>
            </w:r>
            <w:r w:rsidR="00BF1B2E">
              <w:rPr>
                <w:rFonts w:ascii="Times New Roman" w:hAnsi="Times New Roman"/>
                <w:sz w:val="24"/>
                <w:szCs w:val="24"/>
              </w:rPr>
              <w:t>the</w:t>
            </w:r>
            <w:r w:rsidR="002E347B">
              <w:rPr>
                <w:rFonts w:ascii="Times New Roman" w:hAnsi="Times New Roman"/>
                <w:sz w:val="24"/>
                <w:szCs w:val="24"/>
              </w:rPr>
              <w:t> </w:t>
            </w:r>
            <w:r w:rsidR="00BF1B2E">
              <w:rPr>
                <w:rFonts w:ascii="Times New Roman" w:hAnsi="Times New Roman"/>
                <w:sz w:val="24"/>
                <w:szCs w:val="24"/>
              </w:rPr>
              <w:t xml:space="preserve">proposal for a </w:t>
            </w:r>
            <w:r w:rsidR="00BF1B2E" w:rsidRPr="00BF1B2E">
              <w:rPr>
                <w:rFonts w:ascii="Times New Roman" w:hAnsi="Times New Roman"/>
                <w:sz w:val="24"/>
                <w:szCs w:val="24"/>
              </w:rPr>
              <w:t>Programme for agile and rapid defence innovation</w:t>
            </w:r>
            <w:r w:rsidR="002E347B">
              <w:rPr>
                <w:rFonts w:ascii="Times New Roman" w:hAnsi="Times New Roman"/>
                <w:sz w:val="24"/>
                <w:szCs w:val="24"/>
              </w:rPr>
              <w:t> </w:t>
            </w:r>
            <w:r w:rsidR="00BF1B2E">
              <w:rPr>
                <w:rFonts w:ascii="Times New Roman" w:hAnsi="Times New Roman"/>
                <w:sz w:val="24"/>
                <w:szCs w:val="24"/>
              </w:rPr>
              <w:t>(</w:t>
            </w:r>
            <w:r w:rsidRPr="001B476C">
              <w:rPr>
                <w:rFonts w:ascii="Times New Roman" w:hAnsi="Times New Roman"/>
                <w:sz w:val="24"/>
                <w:szCs w:val="24"/>
              </w:rPr>
              <w:t>AGILE</w:t>
            </w:r>
            <w:r w:rsidR="00BF1B2E">
              <w:rPr>
                <w:rFonts w:ascii="Times New Roman" w:hAnsi="Times New Roman"/>
                <w:sz w:val="24"/>
                <w:szCs w:val="24"/>
              </w:rPr>
              <w:t>)</w:t>
            </w:r>
            <w:r w:rsidR="00BF1B2E">
              <w:rPr>
                <w:rStyle w:val="FootnoteReference"/>
                <w:rFonts w:ascii="Times New Roman" w:hAnsi="Times New Roman"/>
                <w:sz w:val="24"/>
                <w:szCs w:val="24"/>
              </w:rPr>
              <w:footnoteReference w:id="2"/>
            </w:r>
            <w:r w:rsidR="00054821">
              <w:rPr>
                <w:rFonts w:ascii="Times New Roman" w:hAnsi="Times New Roman"/>
                <w:sz w:val="24"/>
                <w:szCs w:val="24"/>
              </w:rPr>
              <w:t xml:space="preserve"> </w:t>
            </w:r>
            <w:r>
              <w:rPr>
                <w:rFonts w:ascii="Times New Roman" w:hAnsi="Times New Roman"/>
                <w:sz w:val="24"/>
                <w:szCs w:val="24"/>
              </w:rPr>
              <w:t xml:space="preserve">– which will contribute </w:t>
            </w:r>
            <w:r w:rsidRPr="001B476C">
              <w:rPr>
                <w:rFonts w:ascii="Times New Roman" w:hAnsi="Times New Roman"/>
                <w:sz w:val="24"/>
                <w:szCs w:val="24"/>
              </w:rPr>
              <w:t>to reinforc</w:t>
            </w:r>
            <w:r>
              <w:rPr>
                <w:rFonts w:ascii="Times New Roman" w:hAnsi="Times New Roman"/>
                <w:sz w:val="24"/>
                <w:szCs w:val="24"/>
              </w:rPr>
              <w:t>ing</w:t>
            </w:r>
            <w:r w:rsidRPr="001B476C">
              <w:rPr>
                <w:rFonts w:ascii="Times New Roman" w:hAnsi="Times New Roman"/>
                <w:sz w:val="24"/>
                <w:szCs w:val="24"/>
              </w:rPr>
              <w:t xml:space="preserve"> this autonomy</w:t>
            </w:r>
            <w:r w:rsidR="00344660">
              <w:rPr>
                <w:rFonts w:ascii="Times New Roman" w:hAnsi="Times New Roman"/>
                <w:sz w:val="24"/>
                <w:szCs w:val="24"/>
              </w:rPr>
              <w:t>.</w:t>
            </w:r>
            <w:r w:rsidR="00EF76CC">
              <w:rPr>
                <w:rFonts w:ascii="Times New Roman" w:hAnsi="Times New Roman"/>
                <w:sz w:val="24"/>
                <w:szCs w:val="24"/>
              </w:rPr>
              <w:t xml:space="preserve"> </w:t>
            </w:r>
            <w:r w:rsidR="00344660">
              <w:rPr>
                <w:rFonts w:ascii="Times New Roman" w:hAnsi="Times New Roman"/>
                <w:sz w:val="24"/>
                <w:szCs w:val="24"/>
              </w:rPr>
              <w:t xml:space="preserve">However, </w:t>
            </w:r>
            <w:r w:rsidRPr="001B476C">
              <w:rPr>
                <w:rFonts w:ascii="Times New Roman" w:hAnsi="Times New Roman"/>
                <w:sz w:val="24"/>
                <w:szCs w:val="24"/>
              </w:rPr>
              <w:t xml:space="preserve">the Roadmap’s </w:t>
            </w:r>
            <w:r>
              <w:rPr>
                <w:rFonts w:ascii="Times New Roman" w:hAnsi="Times New Roman"/>
                <w:sz w:val="24"/>
                <w:szCs w:val="24"/>
              </w:rPr>
              <w:t>objectives</w:t>
            </w:r>
            <w:r w:rsidRPr="001B476C">
              <w:rPr>
                <w:rFonts w:ascii="Times New Roman" w:hAnsi="Times New Roman"/>
                <w:sz w:val="24"/>
                <w:szCs w:val="24"/>
              </w:rPr>
              <w:t xml:space="preserve"> extend beyond </w:t>
            </w:r>
            <w:r>
              <w:rPr>
                <w:rFonts w:ascii="Times New Roman" w:hAnsi="Times New Roman"/>
                <w:sz w:val="24"/>
                <w:szCs w:val="24"/>
              </w:rPr>
              <w:t>industrial strategic autonomy</w:t>
            </w:r>
            <w:r w:rsidR="00A40D3F">
              <w:rPr>
                <w:rFonts w:ascii="Times New Roman" w:hAnsi="Times New Roman"/>
                <w:sz w:val="24"/>
                <w:szCs w:val="24"/>
              </w:rPr>
              <w:t>, and include</w:t>
            </w:r>
            <w:r w:rsidR="00DD26F3">
              <w:rPr>
                <w:rFonts w:ascii="Times New Roman" w:hAnsi="Times New Roman"/>
                <w:sz w:val="24"/>
                <w:szCs w:val="24"/>
              </w:rPr>
              <w:t xml:space="preserve"> </w:t>
            </w:r>
            <w:r w:rsidR="00344660">
              <w:rPr>
                <w:rFonts w:ascii="Times New Roman" w:hAnsi="Times New Roman"/>
                <w:sz w:val="24"/>
                <w:szCs w:val="24"/>
              </w:rPr>
              <w:t xml:space="preserve">also leveraging the EU’s whole innovation ecosystem </w:t>
            </w:r>
            <w:r w:rsidR="00A40D3F">
              <w:rPr>
                <w:rFonts w:ascii="Times New Roman" w:hAnsi="Times New Roman"/>
                <w:sz w:val="24"/>
                <w:szCs w:val="24"/>
              </w:rPr>
              <w:t xml:space="preserve">in support of </w:t>
            </w:r>
            <w:r w:rsidR="00344660">
              <w:rPr>
                <w:rFonts w:ascii="Times New Roman" w:hAnsi="Times New Roman"/>
                <w:sz w:val="24"/>
                <w:szCs w:val="24"/>
              </w:rPr>
              <w:t>defence</w:t>
            </w:r>
            <w:r>
              <w:rPr>
                <w:rFonts w:ascii="Times New Roman" w:hAnsi="Times New Roman"/>
                <w:sz w:val="24"/>
                <w:szCs w:val="24"/>
              </w:rPr>
              <w:t>.</w:t>
            </w:r>
          </w:p>
          <w:p w14:paraId="4D2B7645" w14:textId="6808E0F7" w:rsidR="001B476C" w:rsidRDefault="00FC365D" w:rsidP="00BF35DF">
            <w:pPr>
              <w:spacing w:before="120" w:after="120"/>
              <w:jc w:val="both"/>
              <w:rPr>
                <w:rFonts w:ascii="Times New Roman" w:hAnsi="Times New Roman"/>
                <w:sz w:val="24"/>
                <w:szCs w:val="24"/>
              </w:rPr>
            </w:pPr>
            <w:r>
              <w:rPr>
                <w:rFonts w:ascii="Times New Roman" w:hAnsi="Times New Roman"/>
                <w:sz w:val="24"/>
                <w:szCs w:val="24"/>
              </w:rPr>
              <w:t xml:space="preserve">As </w:t>
            </w:r>
            <w:r w:rsidR="00350B57">
              <w:rPr>
                <w:rFonts w:ascii="Times New Roman" w:hAnsi="Times New Roman"/>
                <w:sz w:val="24"/>
                <w:szCs w:val="24"/>
              </w:rPr>
              <w:t>set out</w:t>
            </w:r>
            <w:r>
              <w:rPr>
                <w:rFonts w:ascii="Times New Roman" w:hAnsi="Times New Roman"/>
                <w:sz w:val="24"/>
                <w:szCs w:val="24"/>
              </w:rPr>
              <w:t xml:space="preserve"> in </w:t>
            </w:r>
            <w:r w:rsidR="002E347B">
              <w:rPr>
                <w:rFonts w:ascii="Times New Roman" w:hAnsi="Times New Roman"/>
                <w:sz w:val="24"/>
                <w:szCs w:val="24"/>
                <w:u w:val="single"/>
              </w:rPr>
              <w:t>point </w:t>
            </w:r>
            <w:r w:rsidRPr="003F65E2">
              <w:rPr>
                <w:rFonts w:ascii="Times New Roman" w:hAnsi="Times New Roman"/>
                <w:sz w:val="24"/>
                <w:szCs w:val="24"/>
                <w:u w:val="single"/>
              </w:rPr>
              <w:t>1.3</w:t>
            </w:r>
            <w:r>
              <w:rPr>
                <w:rFonts w:ascii="Times New Roman" w:hAnsi="Times New Roman"/>
                <w:sz w:val="24"/>
                <w:szCs w:val="24"/>
              </w:rPr>
              <w:t xml:space="preserve"> of </w:t>
            </w:r>
            <w:r w:rsidR="00BF1B2E">
              <w:rPr>
                <w:rFonts w:ascii="Times New Roman" w:hAnsi="Times New Roman"/>
                <w:sz w:val="24"/>
                <w:szCs w:val="24"/>
              </w:rPr>
              <w:t>the opinion</w:t>
            </w:r>
            <w:r>
              <w:rPr>
                <w:rFonts w:ascii="Times New Roman" w:hAnsi="Times New Roman"/>
                <w:sz w:val="24"/>
                <w:szCs w:val="24"/>
              </w:rPr>
              <w:t xml:space="preserve">, technological sovereignty is crucial for the </w:t>
            </w:r>
            <w:r w:rsidR="00BF1B2E">
              <w:rPr>
                <w:rFonts w:ascii="Times New Roman" w:hAnsi="Times New Roman"/>
                <w:sz w:val="24"/>
                <w:szCs w:val="24"/>
              </w:rPr>
              <w:t>EU</w:t>
            </w:r>
            <w:r>
              <w:rPr>
                <w:rFonts w:ascii="Times New Roman" w:hAnsi="Times New Roman"/>
                <w:sz w:val="24"/>
                <w:szCs w:val="24"/>
              </w:rPr>
              <w:t xml:space="preserve">, </w:t>
            </w:r>
            <w:r w:rsidR="00054821">
              <w:rPr>
                <w:rFonts w:ascii="Times New Roman" w:hAnsi="Times New Roman"/>
                <w:sz w:val="24"/>
                <w:szCs w:val="24"/>
              </w:rPr>
              <w:t xml:space="preserve">especially in the field of defence. </w:t>
            </w:r>
            <w:r w:rsidR="00350B57">
              <w:rPr>
                <w:rFonts w:ascii="Times New Roman" w:hAnsi="Times New Roman"/>
                <w:sz w:val="24"/>
                <w:szCs w:val="24"/>
              </w:rPr>
              <w:t xml:space="preserve">While the </w:t>
            </w:r>
            <w:r w:rsidR="00EF76CC">
              <w:rPr>
                <w:rFonts w:ascii="Times New Roman" w:hAnsi="Times New Roman"/>
                <w:sz w:val="24"/>
                <w:szCs w:val="24"/>
              </w:rPr>
              <w:t xml:space="preserve">scope of the </w:t>
            </w:r>
            <w:r w:rsidR="00350B57">
              <w:rPr>
                <w:rFonts w:ascii="Times New Roman" w:hAnsi="Times New Roman"/>
                <w:sz w:val="24"/>
                <w:szCs w:val="24"/>
              </w:rPr>
              <w:t>Roadmap reaches beyond technological sovereignty, it nevertheless contributes to advancing it</w:t>
            </w:r>
            <w:r w:rsidR="00054821">
              <w:rPr>
                <w:rFonts w:ascii="Times New Roman" w:hAnsi="Times New Roman"/>
                <w:sz w:val="24"/>
                <w:szCs w:val="24"/>
              </w:rPr>
              <w:t xml:space="preserve">. </w:t>
            </w:r>
            <w:r w:rsidR="00EF76CC">
              <w:rPr>
                <w:rFonts w:ascii="Times New Roman" w:hAnsi="Times New Roman"/>
                <w:sz w:val="24"/>
                <w:szCs w:val="24"/>
              </w:rPr>
              <w:t>Several</w:t>
            </w:r>
            <w:r w:rsidR="00350B57">
              <w:rPr>
                <w:rFonts w:ascii="Times New Roman" w:hAnsi="Times New Roman"/>
                <w:sz w:val="24"/>
                <w:szCs w:val="24"/>
              </w:rPr>
              <w:t xml:space="preserve"> actions proposed in the </w:t>
            </w:r>
            <w:proofErr w:type="gramStart"/>
            <w:r w:rsidR="00350B57">
              <w:rPr>
                <w:rFonts w:ascii="Times New Roman" w:hAnsi="Times New Roman"/>
                <w:sz w:val="24"/>
                <w:szCs w:val="24"/>
              </w:rPr>
              <w:t>Roadmap</w:t>
            </w:r>
            <w:proofErr w:type="gramEnd"/>
            <w:r w:rsidR="00054821">
              <w:rPr>
                <w:rFonts w:ascii="Times New Roman" w:hAnsi="Times New Roman"/>
                <w:sz w:val="24"/>
                <w:szCs w:val="24"/>
              </w:rPr>
              <w:t xml:space="preserve"> will </w:t>
            </w:r>
            <w:r w:rsidR="00350B57">
              <w:rPr>
                <w:rFonts w:ascii="Times New Roman" w:hAnsi="Times New Roman"/>
                <w:sz w:val="24"/>
                <w:szCs w:val="24"/>
              </w:rPr>
              <w:t>help</w:t>
            </w:r>
            <w:r w:rsidR="00054821">
              <w:rPr>
                <w:rFonts w:ascii="Times New Roman" w:hAnsi="Times New Roman"/>
                <w:sz w:val="24"/>
                <w:szCs w:val="24"/>
              </w:rPr>
              <w:t xml:space="preserve"> </w:t>
            </w:r>
            <w:r w:rsidR="00350B57">
              <w:rPr>
                <w:rFonts w:ascii="Times New Roman" w:hAnsi="Times New Roman"/>
                <w:sz w:val="24"/>
                <w:szCs w:val="24"/>
              </w:rPr>
              <w:t>strengthen</w:t>
            </w:r>
            <w:r w:rsidR="00054821">
              <w:rPr>
                <w:rFonts w:ascii="Times New Roman" w:hAnsi="Times New Roman"/>
                <w:sz w:val="24"/>
                <w:szCs w:val="24"/>
              </w:rPr>
              <w:t xml:space="preserve"> the EU’s strategic autonomy, across a wide range of areas</w:t>
            </w:r>
            <w:r w:rsidR="00350B57">
              <w:rPr>
                <w:rFonts w:ascii="Times New Roman" w:hAnsi="Times New Roman"/>
                <w:sz w:val="24"/>
                <w:szCs w:val="24"/>
              </w:rPr>
              <w:t xml:space="preserve"> – </w:t>
            </w:r>
            <w:r w:rsidR="00054821">
              <w:rPr>
                <w:rFonts w:ascii="Times New Roman" w:hAnsi="Times New Roman"/>
                <w:sz w:val="24"/>
                <w:szCs w:val="24"/>
              </w:rPr>
              <w:t>including access to finance, testing infrastructure, manufacturing capacity, or access to skills and talent</w:t>
            </w:r>
            <w:r w:rsidR="00350B57">
              <w:rPr>
                <w:rFonts w:ascii="Times New Roman" w:hAnsi="Times New Roman"/>
                <w:sz w:val="24"/>
                <w:szCs w:val="24"/>
              </w:rPr>
              <w:t xml:space="preserve"> – </w:t>
            </w:r>
            <w:r w:rsidR="00EF76CC">
              <w:rPr>
                <w:rFonts w:ascii="Times New Roman" w:hAnsi="Times New Roman"/>
                <w:sz w:val="24"/>
                <w:szCs w:val="24"/>
              </w:rPr>
              <w:t xml:space="preserve">all of which </w:t>
            </w:r>
            <w:r w:rsidR="00350B57">
              <w:rPr>
                <w:rFonts w:ascii="Times New Roman" w:hAnsi="Times New Roman"/>
                <w:sz w:val="24"/>
                <w:szCs w:val="24"/>
              </w:rPr>
              <w:t>key to advancing technological sovereignty for defence products and technology.</w:t>
            </w:r>
          </w:p>
          <w:p w14:paraId="7186DFA0" w14:textId="61B04C64" w:rsidR="00BF1B2E" w:rsidRDefault="00BF1B2E" w:rsidP="00BF35DF">
            <w:pPr>
              <w:spacing w:before="120" w:after="120"/>
              <w:jc w:val="both"/>
              <w:rPr>
                <w:rFonts w:ascii="Times New Roman" w:hAnsi="Times New Roman"/>
                <w:sz w:val="24"/>
                <w:szCs w:val="24"/>
              </w:rPr>
            </w:pPr>
            <w:r>
              <w:rPr>
                <w:rFonts w:ascii="Times New Roman" w:hAnsi="Times New Roman"/>
                <w:sz w:val="24"/>
                <w:szCs w:val="24"/>
              </w:rPr>
              <w:t xml:space="preserve">The Commission </w:t>
            </w:r>
            <w:r w:rsidR="00EA35AB">
              <w:rPr>
                <w:rFonts w:ascii="Times New Roman" w:hAnsi="Times New Roman"/>
                <w:sz w:val="24"/>
                <w:szCs w:val="24"/>
              </w:rPr>
              <w:t xml:space="preserve">would like to </w:t>
            </w:r>
            <w:r>
              <w:rPr>
                <w:rFonts w:ascii="Times New Roman" w:hAnsi="Times New Roman"/>
                <w:sz w:val="24"/>
                <w:szCs w:val="24"/>
              </w:rPr>
              <w:t>clarif</w:t>
            </w:r>
            <w:r w:rsidR="00EA35AB">
              <w:rPr>
                <w:rFonts w:ascii="Times New Roman" w:hAnsi="Times New Roman"/>
                <w:sz w:val="24"/>
                <w:szCs w:val="24"/>
              </w:rPr>
              <w:t>y</w:t>
            </w:r>
            <w:r>
              <w:rPr>
                <w:rFonts w:ascii="Times New Roman" w:hAnsi="Times New Roman"/>
                <w:sz w:val="24"/>
                <w:szCs w:val="24"/>
              </w:rPr>
              <w:t xml:space="preserve"> that n</w:t>
            </w:r>
            <w:r w:rsidR="001B476C">
              <w:rPr>
                <w:rFonts w:ascii="Times New Roman" w:hAnsi="Times New Roman"/>
                <w:sz w:val="24"/>
                <w:szCs w:val="24"/>
              </w:rPr>
              <w:t xml:space="preserve">one of the actions </w:t>
            </w:r>
            <w:r w:rsidR="009D5B97">
              <w:rPr>
                <w:rFonts w:ascii="Times New Roman" w:hAnsi="Times New Roman"/>
                <w:sz w:val="24"/>
                <w:szCs w:val="24"/>
              </w:rPr>
              <w:t xml:space="preserve">included in the </w:t>
            </w:r>
            <w:proofErr w:type="gramStart"/>
            <w:r w:rsidR="009D5B97">
              <w:rPr>
                <w:rFonts w:ascii="Times New Roman" w:hAnsi="Times New Roman"/>
                <w:sz w:val="24"/>
                <w:szCs w:val="24"/>
              </w:rPr>
              <w:t>Roadmap</w:t>
            </w:r>
            <w:proofErr w:type="gramEnd"/>
            <w:r w:rsidR="009D5B97">
              <w:rPr>
                <w:rFonts w:ascii="Times New Roman" w:hAnsi="Times New Roman"/>
                <w:sz w:val="24"/>
                <w:szCs w:val="24"/>
              </w:rPr>
              <w:t xml:space="preserve"> </w:t>
            </w:r>
            <w:r w:rsidR="001B476C">
              <w:rPr>
                <w:rFonts w:ascii="Times New Roman" w:hAnsi="Times New Roman"/>
                <w:sz w:val="24"/>
                <w:szCs w:val="24"/>
              </w:rPr>
              <w:t>will have a</w:t>
            </w:r>
            <w:r w:rsidR="00A34B95">
              <w:rPr>
                <w:rFonts w:ascii="Times New Roman" w:hAnsi="Times New Roman"/>
                <w:sz w:val="24"/>
                <w:szCs w:val="24"/>
              </w:rPr>
              <w:t> </w:t>
            </w:r>
            <w:r w:rsidR="001B476C">
              <w:rPr>
                <w:rFonts w:ascii="Times New Roman" w:hAnsi="Times New Roman"/>
                <w:sz w:val="24"/>
                <w:szCs w:val="24"/>
              </w:rPr>
              <w:t xml:space="preserve">significant impact on </w:t>
            </w:r>
            <w:r w:rsidR="00FC365D">
              <w:rPr>
                <w:rFonts w:ascii="Times New Roman" w:hAnsi="Times New Roman"/>
                <w:sz w:val="24"/>
                <w:szCs w:val="24"/>
              </w:rPr>
              <w:t>the budget of</w:t>
            </w:r>
            <w:r w:rsidR="001B476C">
              <w:rPr>
                <w:rFonts w:ascii="Times New Roman" w:hAnsi="Times New Roman"/>
                <w:sz w:val="24"/>
                <w:szCs w:val="24"/>
              </w:rPr>
              <w:t xml:space="preserve"> existing defence industry programmes</w:t>
            </w:r>
            <w:r w:rsidR="00FC365D">
              <w:rPr>
                <w:rFonts w:ascii="Times New Roman" w:hAnsi="Times New Roman"/>
                <w:sz w:val="24"/>
                <w:szCs w:val="24"/>
              </w:rPr>
              <w:t>, or undermine social, digital and environmental transition objectives (</w:t>
            </w:r>
            <w:r w:rsidR="0020554D" w:rsidRPr="0020554D">
              <w:rPr>
                <w:rFonts w:ascii="Times New Roman" w:hAnsi="Times New Roman"/>
                <w:sz w:val="24"/>
                <w:szCs w:val="24"/>
                <w:u w:val="single"/>
              </w:rPr>
              <w:t>point </w:t>
            </w:r>
            <w:r w:rsidR="00FC365D" w:rsidRPr="003F65E2">
              <w:rPr>
                <w:rFonts w:ascii="Times New Roman" w:hAnsi="Times New Roman"/>
                <w:sz w:val="24"/>
                <w:szCs w:val="24"/>
                <w:u w:val="single"/>
              </w:rPr>
              <w:t>1.4</w:t>
            </w:r>
            <w:r w:rsidR="00FC365D">
              <w:rPr>
                <w:rFonts w:ascii="Times New Roman" w:hAnsi="Times New Roman"/>
                <w:sz w:val="24"/>
                <w:szCs w:val="24"/>
              </w:rPr>
              <w:t xml:space="preserve"> of </w:t>
            </w:r>
            <w:r>
              <w:rPr>
                <w:rFonts w:ascii="Times New Roman" w:hAnsi="Times New Roman"/>
                <w:sz w:val="24"/>
                <w:szCs w:val="24"/>
              </w:rPr>
              <w:t>the opinion</w:t>
            </w:r>
            <w:r w:rsidR="00FC365D">
              <w:rPr>
                <w:rFonts w:ascii="Times New Roman" w:hAnsi="Times New Roman"/>
                <w:sz w:val="24"/>
                <w:szCs w:val="24"/>
              </w:rPr>
              <w:t>).</w:t>
            </w:r>
          </w:p>
          <w:p w14:paraId="1E6AEE07" w14:textId="07C8225A" w:rsidR="00C159B9" w:rsidRDefault="002E347B" w:rsidP="00BF35DF">
            <w:pPr>
              <w:spacing w:before="120" w:after="120"/>
              <w:jc w:val="both"/>
              <w:rPr>
                <w:rFonts w:ascii="Times New Roman" w:hAnsi="Times New Roman"/>
                <w:sz w:val="24"/>
                <w:szCs w:val="24"/>
              </w:rPr>
            </w:pPr>
            <w:r w:rsidRPr="0020554D">
              <w:rPr>
                <w:rFonts w:ascii="Times New Roman" w:hAnsi="Times New Roman"/>
                <w:sz w:val="24"/>
                <w:szCs w:val="24"/>
                <w:u w:val="single"/>
              </w:rPr>
              <w:t>Point </w:t>
            </w:r>
            <w:r w:rsidR="00C159B9" w:rsidRPr="003F65E2">
              <w:rPr>
                <w:rFonts w:ascii="Times New Roman" w:hAnsi="Times New Roman"/>
                <w:sz w:val="24"/>
                <w:szCs w:val="24"/>
                <w:u w:val="single"/>
              </w:rPr>
              <w:t>1.5</w:t>
            </w:r>
            <w:r w:rsidR="00C159B9" w:rsidRPr="00C159B9">
              <w:rPr>
                <w:rFonts w:ascii="Times New Roman" w:hAnsi="Times New Roman"/>
                <w:sz w:val="24"/>
                <w:szCs w:val="24"/>
              </w:rPr>
              <w:t xml:space="preserve"> of </w:t>
            </w:r>
            <w:r w:rsidR="00BF1B2E">
              <w:rPr>
                <w:rFonts w:ascii="Times New Roman" w:hAnsi="Times New Roman"/>
                <w:sz w:val="24"/>
                <w:szCs w:val="24"/>
              </w:rPr>
              <w:t>the opinion</w:t>
            </w:r>
            <w:r w:rsidR="00C159B9" w:rsidRPr="00C159B9">
              <w:rPr>
                <w:rFonts w:ascii="Times New Roman" w:hAnsi="Times New Roman"/>
                <w:sz w:val="24"/>
                <w:szCs w:val="24"/>
              </w:rPr>
              <w:t xml:space="preserve"> emphasises that the </w:t>
            </w:r>
            <w:proofErr w:type="gramStart"/>
            <w:r w:rsidR="00C159B9" w:rsidRPr="00C159B9">
              <w:rPr>
                <w:rFonts w:ascii="Times New Roman" w:hAnsi="Times New Roman"/>
                <w:sz w:val="24"/>
                <w:szCs w:val="24"/>
              </w:rPr>
              <w:t>Roadmap’s</w:t>
            </w:r>
            <w:proofErr w:type="gramEnd"/>
            <w:r w:rsidR="00C159B9" w:rsidRPr="00C159B9">
              <w:rPr>
                <w:rFonts w:ascii="Times New Roman" w:hAnsi="Times New Roman"/>
                <w:sz w:val="24"/>
                <w:szCs w:val="24"/>
              </w:rPr>
              <w:t xml:space="preserve"> proposed actions must be implemented in synergy with existing EU and NATO initiative</w:t>
            </w:r>
            <w:r w:rsidR="00C159B9">
              <w:rPr>
                <w:rFonts w:ascii="Times New Roman" w:hAnsi="Times New Roman"/>
                <w:sz w:val="24"/>
                <w:szCs w:val="24"/>
              </w:rPr>
              <w:t xml:space="preserve">s, </w:t>
            </w:r>
            <w:r w:rsidR="00C159B9" w:rsidRPr="00C159B9">
              <w:rPr>
                <w:rFonts w:ascii="Times New Roman" w:hAnsi="Times New Roman"/>
                <w:sz w:val="24"/>
                <w:szCs w:val="24"/>
              </w:rPr>
              <w:t xml:space="preserve">a principle </w:t>
            </w:r>
            <w:r w:rsidR="00EF76CC">
              <w:rPr>
                <w:rFonts w:ascii="Times New Roman" w:hAnsi="Times New Roman"/>
                <w:sz w:val="24"/>
                <w:szCs w:val="24"/>
              </w:rPr>
              <w:t xml:space="preserve">which </w:t>
            </w:r>
            <w:r w:rsidR="00C159B9" w:rsidRPr="00C159B9">
              <w:rPr>
                <w:rFonts w:ascii="Times New Roman" w:hAnsi="Times New Roman"/>
                <w:sz w:val="24"/>
                <w:szCs w:val="24"/>
              </w:rPr>
              <w:t xml:space="preserve">the Commission fully </w:t>
            </w:r>
            <w:r w:rsidR="00EF76CC">
              <w:rPr>
                <w:rFonts w:ascii="Times New Roman" w:hAnsi="Times New Roman"/>
                <w:sz w:val="24"/>
                <w:szCs w:val="24"/>
              </w:rPr>
              <w:t>shares</w:t>
            </w:r>
            <w:r w:rsidR="00EF76CC" w:rsidRPr="00C159B9">
              <w:rPr>
                <w:rFonts w:ascii="Times New Roman" w:hAnsi="Times New Roman"/>
                <w:sz w:val="24"/>
                <w:szCs w:val="24"/>
              </w:rPr>
              <w:t xml:space="preserve"> </w:t>
            </w:r>
            <w:r w:rsidR="00C159B9" w:rsidRPr="00C159B9">
              <w:rPr>
                <w:rFonts w:ascii="Times New Roman" w:hAnsi="Times New Roman"/>
                <w:sz w:val="24"/>
                <w:szCs w:val="24"/>
              </w:rPr>
              <w:t xml:space="preserve">and applies in </w:t>
            </w:r>
            <w:r w:rsidR="00C159B9">
              <w:rPr>
                <w:rFonts w:ascii="Times New Roman" w:hAnsi="Times New Roman"/>
                <w:sz w:val="24"/>
                <w:szCs w:val="24"/>
              </w:rPr>
              <w:t>the</w:t>
            </w:r>
            <w:r w:rsidR="00C159B9" w:rsidRPr="00C159B9">
              <w:rPr>
                <w:rFonts w:ascii="Times New Roman" w:hAnsi="Times New Roman"/>
                <w:sz w:val="24"/>
                <w:szCs w:val="24"/>
              </w:rPr>
              <w:t xml:space="preserve"> </w:t>
            </w:r>
            <w:r w:rsidR="00C159B9">
              <w:rPr>
                <w:rFonts w:ascii="Times New Roman" w:hAnsi="Times New Roman"/>
                <w:sz w:val="24"/>
                <w:szCs w:val="24"/>
              </w:rPr>
              <w:t>Roadmap’s implementation</w:t>
            </w:r>
            <w:r w:rsidR="00C159B9" w:rsidRPr="00C159B9">
              <w:rPr>
                <w:rFonts w:ascii="Times New Roman" w:hAnsi="Times New Roman"/>
                <w:sz w:val="24"/>
                <w:szCs w:val="24"/>
              </w:rPr>
              <w:t xml:space="preserve">. </w:t>
            </w:r>
            <w:r w:rsidR="009D5B97">
              <w:rPr>
                <w:rFonts w:ascii="Times New Roman" w:hAnsi="Times New Roman"/>
                <w:sz w:val="24"/>
                <w:szCs w:val="24"/>
              </w:rPr>
              <w:t>Regarding the call for tailored approaches for the</w:t>
            </w:r>
            <w:r w:rsidR="00C159B9" w:rsidRPr="00C159B9">
              <w:rPr>
                <w:rFonts w:ascii="Times New Roman" w:hAnsi="Times New Roman"/>
                <w:sz w:val="24"/>
                <w:szCs w:val="24"/>
              </w:rPr>
              <w:t xml:space="preserve"> </w:t>
            </w:r>
            <w:r w:rsidR="00C159B9">
              <w:rPr>
                <w:rFonts w:ascii="Times New Roman" w:hAnsi="Times New Roman"/>
                <w:sz w:val="24"/>
                <w:szCs w:val="24"/>
              </w:rPr>
              <w:t>specificities</w:t>
            </w:r>
            <w:r w:rsidR="00C159B9" w:rsidRPr="00C159B9">
              <w:rPr>
                <w:rFonts w:ascii="Times New Roman" w:hAnsi="Times New Roman"/>
                <w:sz w:val="24"/>
                <w:szCs w:val="24"/>
              </w:rPr>
              <w:t xml:space="preserve"> of the maritime domain, </w:t>
            </w:r>
            <w:r w:rsidR="00C159B9">
              <w:rPr>
                <w:rFonts w:ascii="Times New Roman" w:hAnsi="Times New Roman"/>
                <w:sz w:val="24"/>
                <w:szCs w:val="24"/>
              </w:rPr>
              <w:t xml:space="preserve">including </w:t>
            </w:r>
            <w:r w:rsidR="00C159B9" w:rsidRPr="00C159B9">
              <w:rPr>
                <w:rFonts w:ascii="Times New Roman" w:hAnsi="Times New Roman"/>
                <w:sz w:val="24"/>
                <w:szCs w:val="24"/>
              </w:rPr>
              <w:t xml:space="preserve">tailored pathways for the rapid but secure </w:t>
            </w:r>
            <w:r w:rsidR="00FC4586">
              <w:rPr>
                <w:rFonts w:ascii="Times New Roman" w:hAnsi="Times New Roman"/>
                <w:sz w:val="24"/>
                <w:szCs w:val="24"/>
              </w:rPr>
              <w:t>and safe</w:t>
            </w:r>
            <w:r w:rsidR="00C159B9" w:rsidRPr="00C159B9">
              <w:rPr>
                <w:rFonts w:ascii="Times New Roman" w:hAnsi="Times New Roman"/>
                <w:sz w:val="24"/>
                <w:szCs w:val="24"/>
              </w:rPr>
              <w:t xml:space="preserve"> integration of innovative technologies into naval force</w:t>
            </w:r>
            <w:r w:rsidR="009D5B97">
              <w:rPr>
                <w:rFonts w:ascii="Times New Roman" w:hAnsi="Times New Roman"/>
                <w:sz w:val="24"/>
                <w:szCs w:val="24"/>
              </w:rPr>
              <w:t>s, the</w:t>
            </w:r>
            <w:r w:rsidR="00C159B9" w:rsidRPr="00C159B9">
              <w:rPr>
                <w:rFonts w:ascii="Times New Roman" w:hAnsi="Times New Roman"/>
                <w:sz w:val="24"/>
                <w:szCs w:val="24"/>
              </w:rPr>
              <w:t xml:space="preserve"> Commission </w:t>
            </w:r>
            <w:r w:rsidR="009D5B97">
              <w:rPr>
                <w:rFonts w:ascii="Times New Roman" w:hAnsi="Times New Roman"/>
                <w:sz w:val="24"/>
                <w:szCs w:val="24"/>
              </w:rPr>
              <w:t>recalls</w:t>
            </w:r>
            <w:r w:rsidR="009D5B97" w:rsidRPr="00C159B9">
              <w:rPr>
                <w:rFonts w:ascii="Times New Roman" w:hAnsi="Times New Roman"/>
                <w:sz w:val="24"/>
                <w:szCs w:val="24"/>
              </w:rPr>
              <w:t xml:space="preserve"> </w:t>
            </w:r>
            <w:r w:rsidR="00C159B9" w:rsidRPr="00C159B9">
              <w:rPr>
                <w:rFonts w:ascii="Times New Roman" w:hAnsi="Times New Roman"/>
                <w:sz w:val="24"/>
                <w:szCs w:val="24"/>
              </w:rPr>
              <w:t xml:space="preserve">that </w:t>
            </w:r>
            <w:r w:rsidR="009D5B97">
              <w:rPr>
                <w:rFonts w:ascii="Times New Roman" w:hAnsi="Times New Roman"/>
                <w:sz w:val="24"/>
                <w:szCs w:val="24"/>
              </w:rPr>
              <w:t xml:space="preserve">the Roadmap aims to be </w:t>
            </w:r>
            <w:r w:rsidR="00C159B9" w:rsidRPr="00C159B9">
              <w:rPr>
                <w:rFonts w:ascii="Times New Roman" w:hAnsi="Times New Roman"/>
                <w:sz w:val="24"/>
                <w:szCs w:val="24"/>
              </w:rPr>
              <w:t>technology</w:t>
            </w:r>
            <w:r w:rsidR="009D5B97">
              <w:rPr>
                <w:rFonts w:ascii="Times New Roman" w:hAnsi="Times New Roman"/>
                <w:sz w:val="24"/>
                <w:szCs w:val="24"/>
              </w:rPr>
              <w:t xml:space="preserve"> and domain </w:t>
            </w:r>
            <w:r w:rsidR="00C159B9" w:rsidRPr="00C159B9">
              <w:rPr>
                <w:rFonts w:ascii="Times New Roman" w:hAnsi="Times New Roman"/>
                <w:sz w:val="24"/>
                <w:szCs w:val="24"/>
              </w:rPr>
              <w:t xml:space="preserve">neutral. </w:t>
            </w:r>
            <w:r w:rsidR="009D5B97">
              <w:rPr>
                <w:rFonts w:ascii="Times New Roman" w:hAnsi="Times New Roman"/>
                <w:sz w:val="24"/>
                <w:szCs w:val="24"/>
              </w:rPr>
              <w:t xml:space="preserve">Its main objective is to </w:t>
            </w:r>
            <w:r w:rsidR="009D5B97" w:rsidRPr="009D5B97">
              <w:rPr>
                <w:rFonts w:ascii="Times New Roman" w:hAnsi="Times New Roman"/>
                <w:sz w:val="24"/>
                <w:szCs w:val="24"/>
              </w:rPr>
              <w:t>foster the conditions necessary for cutting-edge defence technologies and emerging defence actors to thrive.</w:t>
            </w:r>
          </w:p>
          <w:p w14:paraId="6EE68BFB" w14:textId="436F88CC" w:rsidR="00626129" w:rsidRDefault="00CD59C1" w:rsidP="00BF35DF">
            <w:pPr>
              <w:spacing w:before="120" w:after="120"/>
              <w:jc w:val="both"/>
              <w:rPr>
                <w:rFonts w:ascii="Times New Roman" w:hAnsi="Times New Roman"/>
                <w:sz w:val="24"/>
                <w:szCs w:val="24"/>
              </w:rPr>
            </w:pPr>
            <w:r>
              <w:rPr>
                <w:rFonts w:ascii="Times New Roman" w:hAnsi="Times New Roman"/>
                <w:sz w:val="24"/>
                <w:szCs w:val="24"/>
              </w:rPr>
              <w:t>The</w:t>
            </w:r>
            <w:r w:rsidR="00C159B9">
              <w:rPr>
                <w:rFonts w:ascii="Times New Roman" w:hAnsi="Times New Roman"/>
                <w:sz w:val="24"/>
                <w:szCs w:val="24"/>
              </w:rPr>
              <w:t xml:space="preserve"> majority of the </w:t>
            </w:r>
            <w:proofErr w:type="gramStart"/>
            <w:r w:rsidR="00C159B9">
              <w:rPr>
                <w:rFonts w:ascii="Times New Roman" w:hAnsi="Times New Roman"/>
                <w:sz w:val="24"/>
                <w:szCs w:val="24"/>
              </w:rPr>
              <w:t>Roadmap</w:t>
            </w:r>
            <w:proofErr w:type="gramEnd"/>
            <w:r w:rsidR="00C159B9">
              <w:rPr>
                <w:rFonts w:ascii="Times New Roman" w:hAnsi="Times New Roman"/>
                <w:sz w:val="24"/>
                <w:szCs w:val="24"/>
              </w:rPr>
              <w:t xml:space="preserve"> actions are designed to support </w:t>
            </w:r>
            <w:r w:rsidR="00EF76CC">
              <w:rPr>
                <w:rFonts w:ascii="Times New Roman" w:hAnsi="Times New Roman"/>
                <w:sz w:val="24"/>
                <w:szCs w:val="24"/>
              </w:rPr>
              <w:t xml:space="preserve">non-traditional </w:t>
            </w:r>
            <w:proofErr w:type="spellStart"/>
            <w:r w:rsidR="002E347B">
              <w:rPr>
                <w:rFonts w:ascii="Times New Roman" w:hAnsi="Times New Roman"/>
                <w:sz w:val="24"/>
                <w:szCs w:val="24"/>
              </w:rPr>
              <w:t>ʻ</w:t>
            </w:r>
            <w:r w:rsidR="00626129">
              <w:rPr>
                <w:rFonts w:ascii="Times New Roman" w:hAnsi="Times New Roman"/>
                <w:sz w:val="24"/>
                <w:szCs w:val="24"/>
              </w:rPr>
              <w:t>New</w:t>
            </w:r>
            <w:proofErr w:type="spellEnd"/>
            <w:r w:rsidR="00626129">
              <w:rPr>
                <w:rFonts w:ascii="Times New Roman" w:hAnsi="Times New Roman"/>
                <w:sz w:val="24"/>
                <w:szCs w:val="24"/>
              </w:rPr>
              <w:t xml:space="preserve"> Defence</w:t>
            </w:r>
            <w:r w:rsidR="002E347B">
              <w:rPr>
                <w:rFonts w:ascii="Times New Roman" w:hAnsi="Times New Roman"/>
                <w:sz w:val="24"/>
                <w:szCs w:val="24"/>
              </w:rPr>
              <w:t>’</w:t>
            </w:r>
            <w:r w:rsidR="00626129">
              <w:rPr>
                <w:rFonts w:ascii="Times New Roman" w:hAnsi="Times New Roman"/>
                <w:sz w:val="24"/>
                <w:szCs w:val="24"/>
              </w:rPr>
              <w:t xml:space="preserve"> players</w:t>
            </w:r>
            <w:r>
              <w:rPr>
                <w:rFonts w:ascii="Times New Roman" w:hAnsi="Times New Roman"/>
                <w:sz w:val="24"/>
                <w:szCs w:val="24"/>
              </w:rPr>
              <w:t xml:space="preserve"> – such</w:t>
            </w:r>
            <w:r w:rsidR="00626129">
              <w:rPr>
                <w:rFonts w:ascii="Times New Roman" w:hAnsi="Times New Roman"/>
                <w:sz w:val="24"/>
                <w:szCs w:val="24"/>
              </w:rPr>
              <w:t xml:space="preserve"> as start-ups and scale-ups, some originating from </w:t>
            </w:r>
            <w:r w:rsidR="00344660">
              <w:rPr>
                <w:rFonts w:ascii="Times New Roman" w:hAnsi="Times New Roman"/>
                <w:sz w:val="24"/>
                <w:szCs w:val="24"/>
              </w:rPr>
              <w:t xml:space="preserve">civilian </w:t>
            </w:r>
            <w:r w:rsidR="00626129">
              <w:rPr>
                <w:rFonts w:ascii="Times New Roman" w:hAnsi="Times New Roman"/>
                <w:sz w:val="24"/>
                <w:szCs w:val="24"/>
              </w:rPr>
              <w:t>sectors</w:t>
            </w:r>
            <w:r>
              <w:rPr>
                <w:rFonts w:ascii="Times New Roman" w:hAnsi="Times New Roman"/>
                <w:sz w:val="24"/>
                <w:szCs w:val="24"/>
              </w:rPr>
              <w:t xml:space="preserve"> – rather than focusing solely on traditional prime contractors</w:t>
            </w:r>
            <w:r w:rsidR="00C159B9">
              <w:rPr>
                <w:rFonts w:ascii="Times New Roman" w:hAnsi="Times New Roman"/>
                <w:sz w:val="24"/>
                <w:szCs w:val="24"/>
              </w:rPr>
              <w:t>.</w:t>
            </w:r>
            <w:r w:rsidR="00626129">
              <w:rPr>
                <w:rFonts w:ascii="Times New Roman" w:hAnsi="Times New Roman"/>
                <w:sz w:val="24"/>
                <w:szCs w:val="24"/>
              </w:rPr>
              <w:t xml:space="preserve"> Hence</w:t>
            </w:r>
            <w:r w:rsidR="00C159B9">
              <w:rPr>
                <w:rFonts w:ascii="Times New Roman" w:hAnsi="Times New Roman"/>
                <w:sz w:val="24"/>
                <w:szCs w:val="24"/>
              </w:rPr>
              <w:t xml:space="preserve">, the Roadmap is fully </w:t>
            </w:r>
            <w:r w:rsidR="00EF76CC">
              <w:rPr>
                <w:rFonts w:ascii="Times New Roman" w:hAnsi="Times New Roman"/>
                <w:sz w:val="24"/>
                <w:szCs w:val="24"/>
              </w:rPr>
              <w:t>aligned</w:t>
            </w:r>
            <w:r w:rsidR="00626129">
              <w:rPr>
                <w:rFonts w:ascii="Times New Roman" w:hAnsi="Times New Roman"/>
                <w:sz w:val="24"/>
                <w:szCs w:val="24"/>
              </w:rPr>
              <w:t xml:space="preserve"> with </w:t>
            </w:r>
            <w:r w:rsidR="002E347B" w:rsidRPr="0020554D">
              <w:rPr>
                <w:rFonts w:ascii="Times New Roman" w:hAnsi="Times New Roman"/>
                <w:sz w:val="24"/>
                <w:szCs w:val="24"/>
                <w:u w:val="single"/>
              </w:rPr>
              <w:t>point </w:t>
            </w:r>
            <w:r w:rsidR="00626129" w:rsidRPr="003F65E2">
              <w:rPr>
                <w:rFonts w:ascii="Times New Roman" w:hAnsi="Times New Roman"/>
                <w:sz w:val="24"/>
                <w:szCs w:val="24"/>
                <w:u w:val="single"/>
              </w:rPr>
              <w:t>1.6</w:t>
            </w:r>
            <w:r w:rsidR="00626129">
              <w:rPr>
                <w:rFonts w:ascii="Times New Roman" w:hAnsi="Times New Roman"/>
                <w:sz w:val="24"/>
                <w:szCs w:val="24"/>
              </w:rPr>
              <w:t xml:space="preserve"> of </w:t>
            </w:r>
            <w:r w:rsidR="00BF1B2E">
              <w:rPr>
                <w:rFonts w:ascii="Times New Roman" w:hAnsi="Times New Roman"/>
                <w:sz w:val="24"/>
                <w:szCs w:val="24"/>
              </w:rPr>
              <w:t>the</w:t>
            </w:r>
            <w:r w:rsidR="00FC1DB1">
              <w:rPr>
                <w:rFonts w:ascii="Times New Roman" w:hAnsi="Times New Roman"/>
                <w:sz w:val="24"/>
                <w:szCs w:val="24"/>
              </w:rPr>
              <w:t> </w:t>
            </w:r>
            <w:r w:rsidR="00BF1B2E">
              <w:rPr>
                <w:rFonts w:ascii="Times New Roman" w:hAnsi="Times New Roman"/>
                <w:sz w:val="24"/>
                <w:szCs w:val="24"/>
              </w:rPr>
              <w:t>opinion</w:t>
            </w:r>
            <w:r w:rsidR="00626129">
              <w:rPr>
                <w:rFonts w:ascii="Times New Roman" w:hAnsi="Times New Roman"/>
                <w:sz w:val="24"/>
                <w:szCs w:val="24"/>
              </w:rPr>
              <w:t>.</w:t>
            </w:r>
            <w:r>
              <w:rPr>
                <w:rFonts w:ascii="Times New Roman" w:hAnsi="Times New Roman"/>
                <w:sz w:val="24"/>
                <w:szCs w:val="24"/>
              </w:rPr>
              <w:t xml:space="preserve"> </w:t>
            </w:r>
            <w:r w:rsidR="009D5B97" w:rsidRPr="009D5B97">
              <w:rPr>
                <w:rFonts w:ascii="Times New Roman" w:hAnsi="Times New Roman"/>
                <w:sz w:val="24"/>
                <w:szCs w:val="24"/>
              </w:rPr>
              <w:t xml:space="preserve">At the </w:t>
            </w:r>
            <w:r w:rsidR="009D5B97" w:rsidRPr="009D5B97">
              <w:rPr>
                <w:rFonts w:ascii="Times New Roman" w:hAnsi="Times New Roman"/>
                <w:sz w:val="24"/>
                <w:szCs w:val="24"/>
              </w:rPr>
              <w:lastRenderedPageBreak/>
              <w:t xml:space="preserve">same time, the Commission recognises that new and established players are complementary rather than </w:t>
            </w:r>
            <w:r w:rsidR="009D5B97">
              <w:rPr>
                <w:rFonts w:ascii="Times New Roman" w:hAnsi="Times New Roman"/>
                <w:sz w:val="24"/>
                <w:szCs w:val="24"/>
              </w:rPr>
              <w:t>in competition</w:t>
            </w:r>
            <w:r w:rsidR="00EF76CC">
              <w:rPr>
                <w:rFonts w:ascii="Times New Roman" w:hAnsi="Times New Roman"/>
                <w:sz w:val="24"/>
                <w:szCs w:val="24"/>
              </w:rPr>
              <w:t xml:space="preserve"> with big prime contractors</w:t>
            </w:r>
            <w:r w:rsidR="009D5B97" w:rsidRPr="009D5B97">
              <w:rPr>
                <w:rFonts w:ascii="Times New Roman" w:hAnsi="Times New Roman"/>
                <w:sz w:val="24"/>
                <w:szCs w:val="24"/>
              </w:rPr>
              <w:t>. Both bring distinct capabilities that are essential to strengthening EU defence readiness</w:t>
            </w:r>
            <w:r w:rsidR="009D5B97">
              <w:rPr>
                <w:rFonts w:ascii="Times New Roman" w:hAnsi="Times New Roman"/>
                <w:sz w:val="24"/>
                <w:szCs w:val="24"/>
              </w:rPr>
              <w:t xml:space="preserve">. The </w:t>
            </w:r>
            <w:r w:rsidR="009D5B97" w:rsidRPr="009D5B97">
              <w:rPr>
                <w:rFonts w:ascii="Times New Roman" w:hAnsi="Times New Roman"/>
                <w:sz w:val="24"/>
                <w:szCs w:val="24"/>
              </w:rPr>
              <w:t xml:space="preserve">Roadmap is designed </w:t>
            </w:r>
            <w:r w:rsidR="00BF1B2E">
              <w:rPr>
                <w:rFonts w:ascii="Times New Roman" w:hAnsi="Times New Roman"/>
                <w:sz w:val="24"/>
                <w:szCs w:val="24"/>
              </w:rPr>
              <w:t xml:space="preserve">both </w:t>
            </w:r>
            <w:r w:rsidR="009D5B97" w:rsidRPr="009D5B97">
              <w:rPr>
                <w:rFonts w:ascii="Times New Roman" w:hAnsi="Times New Roman"/>
                <w:sz w:val="24"/>
                <w:szCs w:val="24"/>
              </w:rPr>
              <w:t>to support and to foster an</w:t>
            </w:r>
            <w:r w:rsidR="00A34B95">
              <w:rPr>
                <w:rFonts w:ascii="Times New Roman" w:hAnsi="Times New Roman"/>
                <w:sz w:val="24"/>
                <w:szCs w:val="24"/>
              </w:rPr>
              <w:t> </w:t>
            </w:r>
            <w:r w:rsidR="009D5B97" w:rsidRPr="009D5B97">
              <w:rPr>
                <w:rFonts w:ascii="Times New Roman" w:hAnsi="Times New Roman"/>
                <w:sz w:val="24"/>
                <w:szCs w:val="24"/>
              </w:rPr>
              <w:t>ecosystem in which their respective strengths reinforce one another</w:t>
            </w:r>
            <w:r w:rsidR="0093447D">
              <w:rPr>
                <w:rFonts w:ascii="Times New Roman" w:hAnsi="Times New Roman"/>
                <w:sz w:val="24"/>
                <w:szCs w:val="24"/>
              </w:rPr>
              <w:t xml:space="preserve">, </w:t>
            </w:r>
            <w:r w:rsidR="0093447D" w:rsidRPr="0093447D">
              <w:rPr>
                <w:rFonts w:ascii="Times New Roman" w:hAnsi="Times New Roman"/>
                <w:sz w:val="24"/>
                <w:szCs w:val="24"/>
              </w:rPr>
              <w:t>strengthening the</w:t>
            </w:r>
            <w:r w:rsidR="00FC1DB1">
              <w:rPr>
                <w:rFonts w:ascii="Times New Roman" w:hAnsi="Times New Roman"/>
                <w:sz w:val="24"/>
                <w:szCs w:val="24"/>
              </w:rPr>
              <w:t> </w:t>
            </w:r>
            <w:r w:rsidR="0093447D" w:rsidRPr="0093447D">
              <w:rPr>
                <w:rFonts w:ascii="Times New Roman" w:hAnsi="Times New Roman"/>
                <w:sz w:val="24"/>
                <w:szCs w:val="24"/>
              </w:rPr>
              <w:t>competitiveness and resilience of the EU defence industrial base as a whole.</w:t>
            </w:r>
          </w:p>
          <w:p w14:paraId="3080DDB3" w14:textId="0691904C" w:rsidR="00D93680" w:rsidRDefault="00D93680" w:rsidP="00BF35DF">
            <w:pPr>
              <w:spacing w:before="120" w:after="120"/>
              <w:jc w:val="both"/>
              <w:rPr>
                <w:rFonts w:ascii="Times New Roman" w:hAnsi="Times New Roman"/>
                <w:sz w:val="24"/>
                <w:szCs w:val="24"/>
              </w:rPr>
            </w:pPr>
            <w:r>
              <w:rPr>
                <w:rFonts w:ascii="Times New Roman" w:hAnsi="Times New Roman"/>
                <w:sz w:val="24"/>
                <w:szCs w:val="24"/>
              </w:rPr>
              <w:t xml:space="preserve">The Commission welcomes </w:t>
            </w:r>
            <w:r w:rsidR="002E347B" w:rsidRPr="0020554D">
              <w:rPr>
                <w:rFonts w:ascii="Times New Roman" w:hAnsi="Times New Roman"/>
                <w:sz w:val="24"/>
                <w:szCs w:val="24"/>
                <w:u w:val="single"/>
              </w:rPr>
              <w:t>point </w:t>
            </w:r>
            <w:r w:rsidRPr="003F65E2">
              <w:rPr>
                <w:rFonts w:ascii="Times New Roman" w:hAnsi="Times New Roman"/>
                <w:sz w:val="24"/>
                <w:szCs w:val="24"/>
                <w:u w:val="single"/>
              </w:rPr>
              <w:t>1.7</w:t>
            </w:r>
            <w:r>
              <w:rPr>
                <w:rFonts w:ascii="Times New Roman" w:hAnsi="Times New Roman"/>
                <w:sz w:val="24"/>
                <w:szCs w:val="24"/>
              </w:rPr>
              <w:t xml:space="preserve"> of </w:t>
            </w:r>
            <w:r w:rsidR="005D094B">
              <w:rPr>
                <w:rFonts w:ascii="Times New Roman" w:hAnsi="Times New Roman"/>
                <w:sz w:val="24"/>
                <w:szCs w:val="24"/>
              </w:rPr>
              <w:t>the opinion</w:t>
            </w:r>
            <w:r>
              <w:rPr>
                <w:rFonts w:ascii="Times New Roman" w:hAnsi="Times New Roman"/>
                <w:sz w:val="24"/>
                <w:szCs w:val="24"/>
              </w:rPr>
              <w:t>, highlighting that the support of Member States is essential for the successful implementation of the EU Defence Industry Transformation Roadmap.</w:t>
            </w:r>
          </w:p>
          <w:p w14:paraId="5AC5D74B" w14:textId="15B4EA17" w:rsidR="00D93680" w:rsidRDefault="00D93680" w:rsidP="00BF35DF">
            <w:pPr>
              <w:spacing w:before="120" w:after="120"/>
              <w:jc w:val="both"/>
              <w:rPr>
                <w:rFonts w:ascii="Times New Roman" w:hAnsi="Times New Roman"/>
                <w:sz w:val="24"/>
                <w:szCs w:val="24"/>
              </w:rPr>
            </w:pPr>
            <w:r>
              <w:rPr>
                <w:rFonts w:ascii="Times New Roman" w:hAnsi="Times New Roman"/>
                <w:sz w:val="24"/>
                <w:szCs w:val="24"/>
              </w:rPr>
              <w:t xml:space="preserve">The Commission welcomes </w:t>
            </w:r>
            <w:r w:rsidR="002E347B" w:rsidRPr="0020554D">
              <w:rPr>
                <w:rFonts w:ascii="Times New Roman" w:hAnsi="Times New Roman"/>
                <w:sz w:val="24"/>
                <w:szCs w:val="24"/>
                <w:u w:val="single"/>
              </w:rPr>
              <w:t>point </w:t>
            </w:r>
            <w:r w:rsidRPr="003F65E2">
              <w:rPr>
                <w:rFonts w:ascii="Times New Roman" w:hAnsi="Times New Roman"/>
                <w:sz w:val="24"/>
                <w:szCs w:val="24"/>
                <w:u w:val="single"/>
              </w:rPr>
              <w:t>1.8</w:t>
            </w:r>
            <w:r>
              <w:rPr>
                <w:rFonts w:ascii="Times New Roman" w:hAnsi="Times New Roman"/>
                <w:sz w:val="24"/>
                <w:szCs w:val="24"/>
              </w:rPr>
              <w:t xml:space="preserve"> of </w:t>
            </w:r>
            <w:r w:rsidR="005D094B">
              <w:rPr>
                <w:rFonts w:ascii="Times New Roman" w:hAnsi="Times New Roman"/>
                <w:sz w:val="24"/>
                <w:szCs w:val="24"/>
              </w:rPr>
              <w:t>the opinion</w:t>
            </w:r>
            <w:r>
              <w:rPr>
                <w:rFonts w:ascii="Times New Roman" w:hAnsi="Times New Roman"/>
                <w:sz w:val="24"/>
                <w:szCs w:val="24"/>
              </w:rPr>
              <w:t>. As stated in the Roadmap, the</w:t>
            </w:r>
            <w:r w:rsidR="00FC1DB1">
              <w:rPr>
                <w:rFonts w:ascii="Times New Roman" w:hAnsi="Times New Roman"/>
                <w:sz w:val="24"/>
                <w:szCs w:val="24"/>
              </w:rPr>
              <w:t> </w:t>
            </w:r>
            <w:r>
              <w:rPr>
                <w:rFonts w:ascii="Times New Roman" w:hAnsi="Times New Roman"/>
                <w:sz w:val="24"/>
                <w:szCs w:val="24"/>
              </w:rPr>
              <w:t>Commission strongly believes that integrating the capabilities of New Defence players with those of established industry players will be essential for the transformation of the EU defence industry and accelerating the development of disruptive defence solutions</w:t>
            </w:r>
            <w:r w:rsidR="00974FC3">
              <w:rPr>
                <w:rFonts w:ascii="Times New Roman" w:hAnsi="Times New Roman"/>
                <w:sz w:val="24"/>
                <w:szCs w:val="24"/>
              </w:rPr>
              <w:t xml:space="preserve">. </w:t>
            </w:r>
            <w:r w:rsidR="001A5F82">
              <w:rPr>
                <w:rFonts w:ascii="Times New Roman" w:hAnsi="Times New Roman"/>
                <w:sz w:val="24"/>
                <w:szCs w:val="24"/>
              </w:rPr>
              <w:t>E</w:t>
            </w:r>
            <w:r w:rsidR="00FC4586">
              <w:rPr>
                <w:rFonts w:ascii="Times New Roman" w:hAnsi="Times New Roman"/>
                <w:sz w:val="24"/>
                <w:szCs w:val="24"/>
              </w:rPr>
              <w:t>merging disruptive technologies are fundamentally changing modern warfare</w:t>
            </w:r>
            <w:r w:rsidR="00DA5B53">
              <w:rPr>
                <w:rFonts w:ascii="Times New Roman" w:hAnsi="Times New Roman"/>
                <w:sz w:val="24"/>
                <w:szCs w:val="24"/>
              </w:rPr>
              <w:t xml:space="preserve">, and the Roadmap reaffirms that it is paramount to integrate </w:t>
            </w:r>
            <w:r w:rsidR="00974FC3">
              <w:rPr>
                <w:rFonts w:ascii="Times New Roman" w:hAnsi="Times New Roman"/>
                <w:sz w:val="24"/>
                <w:szCs w:val="24"/>
              </w:rPr>
              <w:t xml:space="preserve">technologies such as </w:t>
            </w:r>
            <w:r w:rsidR="00FC1DB1">
              <w:rPr>
                <w:rFonts w:ascii="Times New Roman" w:hAnsi="Times New Roman"/>
                <w:sz w:val="24"/>
                <w:szCs w:val="24"/>
              </w:rPr>
              <w:t>artificial intelligence (</w:t>
            </w:r>
            <w:r w:rsidR="00DA5B53">
              <w:rPr>
                <w:rFonts w:ascii="Times New Roman" w:hAnsi="Times New Roman"/>
                <w:sz w:val="24"/>
                <w:szCs w:val="24"/>
              </w:rPr>
              <w:t>AI</w:t>
            </w:r>
            <w:r w:rsidR="00FC1DB1">
              <w:rPr>
                <w:rFonts w:ascii="Times New Roman" w:hAnsi="Times New Roman"/>
                <w:sz w:val="24"/>
                <w:szCs w:val="24"/>
              </w:rPr>
              <w:t>)</w:t>
            </w:r>
            <w:r w:rsidR="00DA5B53">
              <w:rPr>
                <w:rFonts w:ascii="Times New Roman" w:hAnsi="Times New Roman"/>
                <w:sz w:val="24"/>
                <w:szCs w:val="24"/>
              </w:rPr>
              <w:t>, quantum, space-based and cyber</w:t>
            </w:r>
            <w:r w:rsidR="00DD26F3">
              <w:rPr>
                <w:rFonts w:ascii="Times New Roman" w:hAnsi="Times New Roman"/>
                <w:sz w:val="24"/>
                <w:szCs w:val="24"/>
              </w:rPr>
              <w:t xml:space="preserve"> </w:t>
            </w:r>
            <w:r w:rsidR="00DA5B53">
              <w:rPr>
                <w:rFonts w:ascii="Times New Roman" w:hAnsi="Times New Roman"/>
                <w:sz w:val="24"/>
                <w:szCs w:val="24"/>
              </w:rPr>
              <w:t xml:space="preserve">into </w:t>
            </w:r>
            <w:r w:rsidR="00344660">
              <w:rPr>
                <w:rFonts w:ascii="Times New Roman" w:hAnsi="Times New Roman"/>
                <w:sz w:val="24"/>
                <w:szCs w:val="24"/>
              </w:rPr>
              <w:t>defence</w:t>
            </w:r>
            <w:r w:rsidR="00DA5B53">
              <w:rPr>
                <w:rFonts w:ascii="Times New Roman" w:hAnsi="Times New Roman"/>
                <w:sz w:val="24"/>
                <w:szCs w:val="24"/>
              </w:rPr>
              <w:t xml:space="preserve"> capabilities.</w:t>
            </w:r>
            <w:r w:rsidR="001A5F82">
              <w:rPr>
                <w:rFonts w:ascii="Times New Roman" w:hAnsi="Times New Roman"/>
                <w:sz w:val="24"/>
                <w:szCs w:val="24"/>
              </w:rPr>
              <w:t xml:space="preserve"> </w:t>
            </w:r>
            <w:r w:rsidR="00974FC3">
              <w:rPr>
                <w:rFonts w:ascii="Times New Roman" w:hAnsi="Times New Roman"/>
                <w:sz w:val="24"/>
                <w:szCs w:val="24"/>
              </w:rPr>
              <w:t>It has also proposed a new programme (</w:t>
            </w:r>
            <w:r w:rsidR="001A5F82">
              <w:rPr>
                <w:rFonts w:ascii="Times New Roman" w:hAnsi="Times New Roman"/>
                <w:sz w:val="24"/>
                <w:szCs w:val="24"/>
              </w:rPr>
              <w:t>AGILE</w:t>
            </w:r>
            <w:r w:rsidR="00974FC3">
              <w:rPr>
                <w:rFonts w:ascii="Times New Roman" w:hAnsi="Times New Roman"/>
                <w:sz w:val="24"/>
                <w:szCs w:val="24"/>
              </w:rPr>
              <w:t xml:space="preserve">) to support </w:t>
            </w:r>
            <w:r w:rsidR="00FC1DB1">
              <w:rPr>
                <w:rFonts w:ascii="Times New Roman" w:hAnsi="Times New Roman"/>
                <w:sz w:val="24"/>
                <w:szCs w:val="24"/>
              </w:rPr>
              <w:t>s</w:t>
            </w:r>
            <w:r w:rsidR="00FC1DB1" w:rsidRPr="003F65E2">
              <w:rPr>
                <w:rFonts w:ascii="Times New Roman" w:hAnsi="Times New Roman"/>
                <w:sz w:val="24"/>
                <w:szCs w:val="24"/>
              </w:rPr>
              <w:t>mall and medium-sized enterprises</w:t>
            </w:r>
            <w:r w:rsidR="00FC1DB1" w:rsidRPr="00FC1DB1">
              <w:rPr>
                <w:rFonts w:ascii="Times New Roman" w:hAnsi="Times New Roman"/>
                <w:sz w:val="24"/>
                <w:szCs w:val="24"/>
              </w:rPr>
              <w:t> (</w:t>
            </w:r>
            <w:r w:rsidR="00974FC3" w:rsidRPr="00FC1DB1">
              <w:rPr>
                <w:rFonts w:ascii="Times New Roman" w:hAnsi="Times New Roman"/>
                <w:sz w:val="24"/>
                <w:szCs w:val="24"/>
              </w:rPr>
              <w:t>SMEs</w:t>
            </w:r>
            <w:r w:rsidR="00FC1DB1" w:rsidRPr="00FC1DB1">
              <w:rPr>
                <w:rFonts w:ascii="Times New Roman" w:hAnsi="Times New Roman"/>
                <w:sz w:val="24"/>
                <w:szCs w:val="24"/>
              </w:rPr>
              <w:t>)</w:t>
            </w:r>
            <w:r w:rsidR="00974FC3" w:rsidRPr="00FC1DB1">
              <w:rPr>
                <w:rFonts w:ascii="Times New Roman" w:hAnsi="Times New Roman"/>
                <w:sz w:val="24"/>
                <w:szCs w:val="24"/>
              </w:rPr>
              <w:t xml:space="preserve"> developing emerging and disruptive defence products a</w:t>
            </w:r>
            <w:r w:rsidR="00974FC3">
              <w:rPr>
                <w:rFonts w:ascii="Times New Roman" w:hAnsi="Times New Roman"/>
                <w:sz w:val="24"/>
                <w:szCs w:val="24"/>
              </w:rPr>
              <w:t>nd technologies.</w:t>
            </w:r>
          </w:p>
          <w:p w14:paraId="55BC366D" w14:textId="084FFCCE" w:rsidR="00D93680" w:rsidRDefault="00D93680" w:rsidP="00BF35DF">
            <w:pPr>
              <w:spacing w:before="120" w:after="120"/>
              <w:jc w:val="both"/>
              <w:rPr>
                <w:rFonts w:ascii="Times New Roman" w:hAnsi="Times New Roman"/>
                <w:sz w:val="24"/>
                <w:szCs w:val="24"/>
              </w:rPr>
            </w:pPr>
            <w:r>
              <w:rPr>
                <w:rFonts w:ascii="Times New Roman" w:hAnsi="Times New Roman"/>
                <w:sz w:val="24"/>
                <w:szCs w:val="24"/>
              </w:rPr>
              <w:t>The Commission agrees that the fundamental principles of transparency, equal treatment and sound financial management should not be undermined in the name of agility and speed (</w:t>
            </w:r>
            <w:r w:rsidR="002E347B" w:rsidRPr="0020554D">
              <w:rPr>
                <w:rFonts w:ascii="Times New Roman" w:hAnsi="Times New Roman"/>
                <w:sz w:val="24"/>
                <w:szCs w:val="24"/>
                <w:u w:val="single"/>
              </w:rPr>
              <w:t>point </w:t>
            </w:r>
            <w:r w:rsidRPr="003F65E2">
              <w:rPr>
                <w:rFonts w:ascii="Times New Roman" w:hAnsi="Times New Roman"/>
                <w:sz w:val="24"/>
                <w:szCs w:val="24"/>
                <w:u w:val="single"/>
              </w:rPr>
              <w:t>1.9</w:t>
            </w:r>
            <w:r>
              <w:rPr>
                <w:rFonts w:ascii="Times New Roman" w:hAnsi="Times New Roman"/>
                <w:sz w:val="24"/>
                <w:szCs w:val="24"/>
              </w:rPr>
              <w:t xml:space="preserve"> of </w:t>
            </w:r>
            <w:r w:rsidR="005D094B">
              <w:rPr>
                <w:rFonts w:ascii="Times New Roman" w:hAnsi="Times New Roman"/>
                <w:sz w:val="24"/>
                <w:szCs w:val="24"/>
              </w:rPr>
              <w:t>the</w:t>
            </w:r>
            <w:r w:rsidR="00FC1DB1">
              <w:rPr>
                <w:rFonts w:ascii="Times New Roman" w:hAnsi="Times New Roman"/>
                <w:sz w:val="24"/>
                <w:szCs w:val="24"/>
              </w:rPr>
              <w:t> </w:t>
            </w:r>
            <w:r w:rsidR="005D094B">
              <w:rPr>
                <w:rFonts w:ascii="Times New Roman" w:hAnsi="Times New Roman"/>
                <w:sz w:val="24"/>
                <w:szCs w:val="24"/>
              </w:rPr>
              <w:t>opinion</w:t>
            </w:r>
            <w:r>
              <w:rPr>
                <w:rFonts w:ascii="Times New Roman" w:hAnsi="Times New Roman"/>
                <w:sz w:val="24"/>
                <w:szCs w:val="24"/>
              </w:rPr>
              <w:t xml:space="preserve">). That said, as stated in the Roadmap, the Commission also considers that EU defence readiness requires a fundamental change of mindset and procedures inherited from peace time, </w:t>
            </w:r>
            <w:r w:rsidR="00EA35AB">
              <w:rPr>
                <w:rFonts w:ascii="Times New Roman" w:hAnsi="Times New Roman"/>
                <w:sz w:val="24"/>
                <w:szCs w:val="24"/>
              </w:rPr>
              <w:t xml:space="preserve">now </w:t>
            </w:r>
            <w:r>
              <w:rPr>
                <w:rFonts w:ascii="Times New Roman" w:hAnsi="Times New Roman"/>
                <w:sz w:val="24"/>
                <w:szCs w:val="24"/>
              </w:rPr>
              <w:t>focusing on agility, speed, and higher risk-acceptance</w:t>
            </w:r>
            <w:r w:rsidR="00974FC3">
              <w:rPr>
                <w:rFonts w:ascii="Times New Roman" w:hAnsi="Times New Roman"/>
                <w:sz w:val="24"/>
                <w:szCs w:val="24"/>
              </w:rPr>
              <w:t>.</w:t>
            </w:r>
          </w:p>
          <w:p w14:paraId="122C8E0D" w14:textId="5C6BDDED" w:rsidR="009464EE" w:rsidRDefault="009464EE" w:rsidP="00BF35DF">
            <w:pPr>
              <w:spacing w:before="120" w:after="120"/>
              <w:jc w:val="both"/>
              <w:rPr>
                <w:rFonts w:ascii="Times New Roman" w:hAnsi="Times New Roman"/>
                <w:sz w:val="24"/>
                <w:szCs w:val="24"/>
              </w:rPr>
            </w:pPr>
            <w:r>
              <w:rPr>
                <w:rFonts w:ascii="Times New Roman" w:hAnsi="Times New Roman"/>
                <w:sz w:val="24"/>
                <w:szCs w:val="24"/>
              </w:rPr>
              <w:t xml:space="preserve">On </w:t>
            </w:r>
            <w:r w:rsidR="002E347B" w:rsidRPr="0020554D">
              <w:rPr>
                <w:rFonts w:ascii="Times New Roman" w:hAnsi="Times New Roman"/>
                <w:sz w:val="24"/>
                <w:szCs w:val="24"/>
                <w:u w:val="single"/>
              </w:rPr>
              <w:t>point </w:t>
            </w:r>
            <w:r w:rsidRPr="003F65E2">
              <w:rPr>
                <w:rFonts w:ascii="Times New Roman" w:hAnsi="Times New Roman"/>
                <w:sz w:val="24"/>
                <w:szCs w:val="24"/>
                <w:u w:val="single"/>
              </w:rPr>
              <w:t>1.10</w:t>
            </w:r>
            <w:r>
              <w:rPr>
                <w:rFonts w:ascii="Times New Roman" w:hAnsi="Times New Roman"/>
                <w:sz w:val="24"/>
                <w:szCs w:val="24"/>
              </w:rPr>
              <w:t>, t</w:t>
            </w:r>
            <w:r w:rsidRPr="009464EE">
              <w:rPr>
                <w:rFonts w:ascii="Times New Roman" w:hAnsi="Times New Roman"/>
                <w:sz w:val="24"/>
                <w:szCs w:val="24"/>
              </w:rPr>
              <w:t>he Commission shares the EESC's view that regulatory simplification is a</w:t>
            </w:r>
            <w:r w:rsidR="00FC1DB1">
              <w:rPr>
                <w:rFonts w:ascii="Times New Roman" w:hAnsi="Times New Roman"/>
                <w:sz w:val="24"/>
                <w:szCs w:val="24"/>
              </w:rPr>
              <w:t> </w:t>
            </w:r>
            <w:r w:rsidRPr="009464EE">
              <w:rPr>
                <w:rFonts w:ascii="Times New Roman" w:hAnsi="Times New Roman"/>
                <w:sz w:val="24"/>
                <w:szCs w:val="24"/>
              </w:rPr>
              <w:t>key enabler for the defence industry. In this regard, the Commission recalls the Defence Readiness Omnibus Package</w:t>
            </w:r>
            <w:r w:rsidR="005D094B">
              <w:rPr>
                <w:rStyle w:val="FootnoteReference"/>
                <w:rFonts w:ascii="Times New Roman" w:hAnsi="Times New Roman"/>
                <w:sz w:val="24"/>
                <w:szCs w:val="24"/>
              </w:rPr>
              <w:footnoteReference w:id="3"/>
            </w:r>
            <w:r w:rsidRPr="009464EE">
              <w:rPr>
                <w:rFonts w:ascii="Times New Roman" w:hAnsi="Times New Roman"/>
                <w:sz w:val="24"/>
                <w:szCs w:val="24"/>
              </w:rPr>
              <w:t>, proposed in June 2025 and currently under negotiation</w:t>
            </w:r>
            <w:r w:rsidR="005D094B">
              <w:rPr>
                <w:rFonts w:ascii="Times New Roman" w:hAnsi="Times New Roman"/>
                <w:sz w:val="24"/>
                <w:szCs w:val="24"/>
              </w:rPr>
              <w:t>s</w:t>
            </w:r>
            <w:r w:rsidRPr="009464EE">
              <w:rPr>
                <w:rFonts w:ascii="Times New Roman" w:hAnsi="Times New Roman"/>
                <w:sz w:val="24"/>
                <w:szCs w:val="24"/>
              </w:rPr>
              <w:t>, which introduces significant regulatory simplifications for the EU defence industry. The upcoming revision of the</w:t>
            </w:r>
            <w:r w:rsidR="00FC1DB1">
              <w:rPr>
                <w:rFonts w:ascii="Times New Roman" w:hAnsi="Times New Roman"/>
                <w:sz w:val="24"/>
                <w:szCs w:val="24"/>
              </w:rPr>
              <w:t> </w:t>
            </w:r>
            <w:r w:rsidRPr="009464EE">
              <w:rPr>
                <w:rFonts w:ascii="Times New Roman" w:hAnsi="Times New Roman"/>
                <w:sz w:val="24"/>
                <w:szCs w:val="24"/>
              </w:rPr>
              <w:t xml:space="preserve">defence procurement directive, expected </w:t>
            </w:r>
            <w:r>
              <w:rPr>
                <w:rFonts w:ascii="Times New Roman" w:hAnsi="Times New Roman"/>
                <w:sz w:val="24"/>
                <w:szCs w:val="24"/>
              </w:rPr>
              <w:t xml:space="preserve">later in </w:t>
            </w:r>
            <w:r w:rsidRPr="009464EE">
              <w:rPr>
                <w:rFonts w:ascii="Times New Roman" w:hAnsi="Times New Roman"/>
                <w:sz w:val="24"/>
                <w:szCs w:val="24"/>
              </w:rPr>
              <w:t xml:space="preserve">2026, will further contribute to a more streamlined and harmonised regulatory framework. In addition, the AGILE proposal tabled on 25 March 2026 aims to establish a new programme </w:t>
            </w:r>
            <w:r w:rsidR="00EF76CC">
              <w:rPr>
                <w:rFonts w:ascii="Times New Roman" w:hAnsi="Times New Roman"/>
                <w:sz w:val="24"/>
                <w:szCs w:val="24"/>
              </w:rPr>
              <w:t>putting</w:t>
            </w:r>
            <w:r w:rsidR="00EF76CC" w:rsidRPr="009464EE">
              <w:rPr>
                <w:rFonts w:ascii="Times New Roman" w:hAnsi="Times New Roman"/>
                <w:sz w:val="24"/>
                <w:szCs w:val="24"/>
              </w:rPr>
              <w:t xml:space="preserve"> </w:t>
            </w:r>
            <w:r w:rsidRPr="009464EE">
              <w:rPr>
                <w:rFonts w:ascii="Times New Roman" w:hAnsi="Times New Roman"/>
                <w:sz w:val="24"/>
                <w:szCs w:val="24"/>
              </w:rPr>
              <w:t>speed and simplification at the heart of defence innovation support.</w:t>
            </w:r>
          </w:p>
          <w:p w14:paraId="6509B6F7" w14:textId="65A47929" w:rsidR="009464EE" w:rsidRDefault="009464EE" w:rsidP="00BF35DF">
            <w:pPr>
              <w:spacing w:before="120" w:after="120"/>
              <w:jc w:val="both"/>
              <w:rPr>
                <w:rFonts w:ascii="Times New Roman" w:hAnsi="Times New Roman"/>
                <w:sz w:val="24"/>
                <w:szCs w:val="24"/>
              </w:rPr>
            </w:pPr>
            <w:r w:rsidRPr="009464EE">
              <w:rPr>
                <w:rFonts w:ascii="Times New Roman" w:hAnsi="Times New Roman"/>
                <w:sz w:val="24"/>
                <w:szCs w:val="24"/>
              </w:rPr>
              <w:t>The Commission welcomes the EESC's support for actions facilitating professional transitions towards the defence industry</w:t>
            </w:r>
            <w:r w:rsidR="00F0732E">
              <w:rPr>
                <w:rFonts w:ascii="Times New Roman" w:hAnsi="Times New Roman"/>
                <w:sz w:val="24"/>
                <w:szCs w:val="24"/>
              </w:rPr>
              <w:t xml:space="preserve"> (</w:t>
            </w:r>
            <w:r w:rsidR="002E347B" w:rsidRPr="0020554D">
              <w:rPr>
                <w:rFonts w:ascii="Times New Roman" w:hAnsi="Times New Roman"/>
                <w:sz w:val="24"/>
                <w:szCs w:val="24"/>
                <w:u w:val="single"/>
              </w:rPr>
              <w:t>point </w:t>
            </w:r>
            <w:r w:rsidR="00F0732E" w:rsidRPr="003F65E2">
              <w:rPr>
                <w:rFonts w:ascii="Times New Roman" w:hAnsi="Times New Roman"/>
                <w:sz w:val="24"/>
                <w:szCs w:val="24"/>
                <w:u w:val="single"/>
              </w:rPr>
              <w:t>1.11</w:t>
            </w:r>
            <w:r w:rsidR="00F0732E">
              <w:rPr>
                <w:rFonts w:ascii="Times New Roman" w:hAnsi="Times New Roman"/>
                <w:sz w:val="24"/>
                <w:szCs w:val="24"/>
              </w:rPr>
              <w:t xml:space="preserve"> of </w:t>
            </w:r>
            <w:r w:rsidR="005D094B">
              <w:rPr>
                <w:rFonts w:ascii="Times New Roman" w:hAnsi="Times New Roman"/>
                <w:sz w:val="24"/>
                <w:szCs w:val="24"/>
              </w:rPr>
              <w:t>the opinion</w:t>
            </w:r>
            <w:r w:rsidR="00F0732E">
              <w:rPr>
                <w:rFonts w:ascii="Times New Roman" w:hAnsi="Times New Roman"/>
                <w:sz w:val="24"/>
                <w:szCs w:val="24"/>
              </w:rPr>
              <w:t>)</w:t>
            </w:r>
            <w:r w:rsidRPr="009464EE">
              <w:rPr>
                <w:rFonts w:ascii="Times New Roman" w:hAnsi="Times New Roman"/>
                <w:sz w:val="24"/>
                <w:szCs w:val="24"/>
              </w:rPr>
              <w:t xml:space="preserve">. It shares the view that fostering a broad learning and innovation ecosystem </w:t>
            </w:r>
            <w:r w:rsidR="00F0732E">
              <w:rPr>
                <w:rFonts w:ascii="Times New Roman" w:hAnsi="Times New Roman"/>
                <w:sz w:val="24"/>
                <w:szCs w:val="24"/>
              </w:rPr>
              <w:t xml:space="preserve">is essential. </w:t>
            </w:r>
            <w:r w:rsidRPr="009464EE">
              <w:rPr>
                <w:rFonts w:ascii="Times New Roman" w:hAnsi="Times New Roman"/>
                <w:sz w:val="24"/>
                <w:szCs w:val="24"/>
              </w:rPr>
              <w:t>In this context, the Commission underlines the</w:t>
            </w:r>
            <w:r w:rsidR="00C57375">
              <w:rPr>
                <w:rFonts w:ascii="Times New Roman" w:hAnsi="Times New Roman"/>
                <w:sz w:val="24"/>
                <w:szCs w:val="24"/>
              </w:rPr>
              <w:t> </w:t>
            </w:r>
            <w:r w:rsidRPr="009464EE">
              <w:rPr>
                <w:rFonts w:ascii="Times New Roman" w:hAnsi="Times New Roman"/>
                <w:sz w:val="24"/>
                <w:szCs w:val="24"/>
              </w:rPr>
              <w:t xml:space="preserve">importance of skills transfer from adjacent sectors, such as automotive </w:t>
            </w:r>
            <w:r w:rsidR="00BE0006">
              <w:rPr>
                <w:rFonts w:ascii="Times New Roman" w:hAnsi="Times New Roman"/>
                <w:sz w:val="24"/>
                <w:szCs w:val="24"/>
              </w:rPr>
              <w:t>or</w:t>
            </w:r>
            <w:r w:rsidR="00BE0006" w:rsidRPr="009464EE">
              <w:rPr>
                <w:rFonts w:ascii="Times New Roman" w:hAnsi="Times New Roman"/>
                <w:sz w:val="24"/>
                <w:szCs w:val="24"/>
              </w:rPr>
              <w:t xml:space="preserve"> </w:t>
            </w:r>
            <w:r w:rsidRPr="009464EE">
              <w:rPr>
                <w:rFonts w:ascii="Times New Roman" w:hAnsi="Times New Roman"/>
                <w:sz w:val="24"/>
                <w:szCs w:val="24"/>
              </w:rPr>
              <w:t xml:space="preserve">aviation, where significant workforce expertise is directly relevant to defence. The Skills Guarantee pilot, </w:t>
            </w:r>
            <w:r w:rsidR="00F0732E">
              <w:rPr>
                <w:rFonts w:ascii="Times New Roman" w:hAnsi="Times New Roman"/>
                <w:sz w:val="24"/>
                <w:szCs w:val="24"/>
              </w:rPr>
              <w:t xml:space="preserve">included in the Roadmap and </w:t>
            </w:r>
            <w:r w:rsidRPr="009464EE">
              <w:rPr>
                <w:rFonts w:ascii="Times New Roman" w:hAnsi="Times New Roman"/>
                <w:sz w:val="24"/>
                <w:szCs w:val="24"/>
              </w:rPr>
              <w:t xml:space="preserve">launched </w:t>
            </w:r>
            <w:proofErr w:type="gramStart"/>
            <w:r w:rsidRPr="009464EE">
              <w:rPr>
                <w:rFonts w:ascii="Times New Roman" w:hAnsi="Times New Roman"/>
                <w:sz w:val="24"/>
                <w:szCs w:val="24"/>
              </w:rPr>
              <w:t xml:space="preserve">earlier  </w:t>
            </w:r>
            <w:r w:rsidR="00C57375">
              <w:rPr>
                <w:rFonts w:ascii="Times New Roman" w:hAnsi="Times New Roman"/>
                <w:sz w:val="24"/>
                <w:szCs w:val="24"/>
              </w:rPr>
              <w:t>in</w:t>
            </w:r>
            <w:proofErr w:type="gramEnd"/>
            <w:r w:rsidR="00C57375">
              <w:rPr>
                <w:rFonts w:ascii="Times New Roman" w:hAnsi="Times New Roman"/>
                <w:sz w:val="24"/>
                <w:szCs w:val="24"/>
              </w:rPr>
              <w:t xml:space="preserve"> 2026 </w:t>
            </w:r>
            <w:r w:rsidRPr="009464EE">
              <w:rPr>
                <w:rFonts w:ascii="Times New Roman" w:hAnsi="Times New Roman"/>
                <w:sz w:val="24"/>
                <w:szCs w:val="24"/>
              </w:rPr>
              <w:t>under the Union of Skills</w:t>
            </w:r>
            <w:r w:rsidR="00C57375">
              <w:rPr>
                <w:rStyle w:val="FootnoteReference"/>
                <w:rFonts w:ascii="Times New Roman" w:hAnsi="Times New Roman"/>
                <w:sz w:val="24"/>
                <w:szCs w:val="24"/>
              </w:rPr>
              <w:footnoteReference w:id="4"/>
            </w:r>
            <w:r w:rsidRPr="009464EE">
              <w:rPr>
                <w:rFonts w:ascii="Times New Roman" w:hAnsi="Times New Roman"/>
                <w:sz w:val="24"/>
                <w:szCs w:val="24"/>
              </w:rPr>
              <w:t>, represents a concrete step in this direction</w:t>
            </w:r>
            <w:r w:rsidR="00F0732E">
              <w:rPr>
                <w:rFonts w:ascii="Times New Roman" w:hAnsi="Times New Roman"/>
                <w:sz w:val="24"/>
                <w:szCs w:val="24"/>
              </w:rPr>
              <w:t>.</w:t>
            </w:r>
          </w:p>
          <w:p w14:paraId="2132C7C0" w14:textId="71C8FFF2" w:rsidR="009464EE" w:rsidRDefault="009464EE" w:rsidP="00BF35DF">
            <w:pPr>
              <w:spacing w:before="120" w:after="120"/>
              <w:jc w:val="both"/>
              <w:rPr>
                <w:rFonts w:ascii="Times New Roman" w:hAnsi="Times New Roman"/>
                <w:sz w:val="24"/>
                <w:szCs w:val="24"/>
              </w:rPr>
            </w:pPr>
            <w:r w:rsidRPr="009464EE">
              <w:rPr>
                <w:rFonts w:ascii="Times New Roman" w:hAnsi="Times New Roman"/>
                <w:sz w:val="24"/>
                <w:szCs w:val="24"/>
              </w:rPr>
              <w:t xml:space="preserve">The Commission welcomes the EESC's call for a whole-of-society approach and fully shares the view that civil society engagement and public trust are fundamental </w:t>
            </w:r>
            <w:r>
              <w:rPr>
                <w:rFonts w:ascii="Times New Roman" w:hAnsi="Times New Roman"/>
                <w:sz w:val="24"/>
                <w:szCs w:val="24"/>
              </w:rPr>
              <w:t xml:space="preserve">to ensure defence readiness. </w:t>
            </w:r>
            <w:r w:rsidRPr="009464EE">
              <w:rPr>
                <w:rFonts w:ascii="Times New Roman" w:hAnsi="Times New Roman"/>
                <w:sz w:val="24"/>
                <w:szCs w:val="24"/>
              </w:rPr>
              <w:t>The</w:t>
            </w:r>
            <w:r w:rsidR="00977B94">
              <w:rPr>
                <w:rFonts w:ascii="Times New Roman" w:hAnsi="Times New Roman"/>
                <w:sz w:val="24"/>
                <w:szCs w:val="24"/>
              </w:rPr>
              <w:t> </w:t>
            </w:r>
            <w:proofErr w:type="gramStart"/>
            <w:r w:rsidRPr="009464EE">
              <w:rPr>
                <w:rFonts w:ascii="Times New Roman" w:hAnsi="Times New Roman"/>
                <w:sz w:val="24"/>
                <w:szCs w:val="24"/>
              </w:rPr>
              <w:t>Roadmap</w:t>
            </w:r>
            <w:proofErr w:type="gramEnd"/>
            <w:r w:rsidRPr="009464EE">
              <w:rPr>
                <w:rFonts w:ascii="Times New Roman" w:hAnsi="Times New Roman"/>
                <w:sz w:val="24"/>
                <w:szCs w:val="24"/>
              </w:rPr>
              <w:t xml:space="preserve"> itself emphasises synergies across defence and civilian sectors, including through initiatives such as EU online academies for defence, which help broaden access to defence-related knowledge and skills across society.</w:t>
            </w:r>
            <w:r w:rsidR="00BC0862">
              <w:rPr>
                <w:rFonts w:ascii="Times New Roman" w:hAnsi="Times New Roman"/>
                <w:sz w:val="24"/>
                <w:szCs w:val="24"/>
              </w:rPr>
              <w:t xml:space="preserve"> Furthermore, the EU promotes military and civil resilience through the EU Preparedness Union Strategy</w:t>
            </w:r>
            <w:r w:rsidR="00DC007F">
              <w:rPr>
                <w:rFonts w:ascii="Times New Roman" w:hAnsi="Times New Roman"/>
                <w:sz w:val="24"/>
                <w:szCs w:val="24"/>
              </w:rPr>
              <w:t xml:space="preserve"> to support a whole-of-society approach that includes population </w:t>
            </w:r>
            <w:r w:rsidR="00DC007F">
              <w:rPr>
                <w:rFonts w:ascii="Times New Roman" w:hAnsi="Times New Roman"/>
                <w:sz w:val="24"/>
                <w:szCs w:val="24"/>
              </w:rPr>
              <w:lastRenderedPageBreak/>
              <w:t>preparedness, public-private cooperation, civil-military cooperation and addresses hybrid threats and risks arising from geopolitical tensions.</w:t>
            </w:r>
          </w:p>
          <w:p w14:paraId="30D14481" w14:textId="470FCFE3" w:rsidR="0049246C" w:rsidRPr="002E347B" w:rsidRDefault="009464EE" w:rsidP="002E347B">
            <w:pPr>
              <w:spacing w:before="120" w:after="120"/>
              <w:jc w:val="both"/>
              <w:rPr>
                <w:rFonts w:ascii="Times New Roman" w:hAnsi="Times New Roman"/>
                <w:sz w:val="24"/>
                <w:szCs w:val="24"/>
              </w:rPr>
            </w:pPr>
            <w:r w:rsidRPr="009464EE">
              <w:rPr>
                <w:rFonts w:ascii="Times New Roman" w:hAnsi="Times New Roman"/>
                <w:sz w:val="24"/>
                <w:szCs w:val="24"/>
              </w:rPr>
              <w:t>The Commission is fully aware of the distinct circumstances arising from the situation in Ukraine</w:t>
            </w:r>
            <w:r w:rsidR="00F0732E">
              <w:rPr>
                <w:rFonts w:ascii="Times New Roman" w:hAnsi="Times New Roman"/>
                <w:sz w:val="24"/>
                <w:szCs w:val="24"/>
              </w:rPr>
              <w:t xml:space="preserve">, as noted in </w:t>
            </w:r>
            <w:r w:rsidR="002E347B" w:rsidRPr="0020554D">
              <w:rPr>
                <w:rFonts w:ascii="Times New Roman" w:hAnsi="Times New Roman"/>
                <w:sz w:val="24"/>
                <w:szCs w:val="24"/>
                <w:u w:val="single"/>
              </w:rPr>
              <w:t>point </w:t>
            </w:r>
            <w:r w:rsidR="00F0732E" w:rsidRPr="003F65E2">
              <w:rPr>
                <w:rFonts w:ascii="Times New Roman" w:hAnsi="Times New Roman"/>
                <w:sz w:val="24"/>
                <w:szCs w:val="24"/>
                <w:u w:val="single"/>
              </w:rPr>
              <w:t>1.13</w:t>
            </w:r>
            <w:r w:rsidR="005D094B">
              <w:rPr>
                <w:rFonts w:ascii="Times New Roman" w:hAnsi="Times New Roman"/>
                <w:sz w:val="24"/>
                <w:szCs w:val="24"/>
              </w:rPr>
              <w:t xml:space="preserve"> of the opinion</w:t>
            </w:r>
            <w:r w:rsidR="00F0732E">
              <w:rPr>
                <w:rFonts w:ascii="Times New Roman" w:hAnsi="Times New Roman"/>
                <w:sz w:val="24"/>
                <w:szCs w:val="24"/>
              </w:rPr>
              <w:t>,</w:t>
            </w:r>
            <w:r w:rsidRPr="009464EE">
              <w:rPr>
                <w:rFonts w:ascii="Times New Roman" w:hAnsi="Times New Roman"/>
                <w:sz w:val="24"/>
                <w:szCs w:val="24"/>
              </w:rPr>
              <w:t xml:space="preserve"> and does not advocate a direct transposition to the EU context. The aim </w:t>
            </w:r>
            <w:r w:rsidR="00F0732E">
              <w:rPr>
                <w:rFonts w:ascii="Times New Roman" w:hAnsi="Times New Roman"/>
                <w:sz w:val="24"/>
                <w:szCs w:val="24"/>
              </w:rPr>
              <w:t xml:space="preserve">of the Roadmap </w:t>
            </w:r>
            <w:r w:rsidRPr="009464EE">
              <w:rPr>
                <w:rFonts w:ascii="Times New Roman" w:hAnsi="Times New Roman"/>
                <w:sz w:val="24"/>
                <w:szCs w:val="24"/>
              </w:rPr>
              <w:t>is rather to draw relevant lessons</w:t>
            </w:r>
            <w:r w:rsidR="00BE0006">
              <w:rPr>
                <w:rFonts w:ascii="Times New Roman" w:hAnsi="Times New Roman"/>
                <w:sz w:val="24"/>
                <w:szCs w:val="24"/>
              </w:rPr>
              <w:t xml:space="preserve"> from the Ukraine experience (</w:t>
            </w:r>
            <w:r>
              <w:rPr>
                <w:rFonts w:ascii="Times New Roman" w:hAnsi="Times New Roman"/>
                <w:sz w:val="24"/>
                <w:szCs w:val="24"/>
              </w:rPr>
              <w:t>e.g.</w:t>
            </w:r>
            <w:r w:rsidRPr="009464EE">
              <w:rPr>
                <w:rFonts w:ascii="Times New Roman" w:hAnsi="Times New Roman"/>
                <w:sz w:val="24"/>
                <w:szCs w:val="24"/>
              </w:rPr>
              <w:t xml:space="preserve"> </w:t>
            </w:r>
            <w:r w:rsidR="00BE0006">
              <w:rPr>
                <w:rFonts w:ascii="Times New Roman" w:hAnsi="Times New Roman"/>
                <w:sz w:val="24"/>
                <w:szCs w:val="24"/>
              </w:rPr>
              <w:t>in terms of</w:t>
            </w:r>
            <w:r w:rsidR="00BE0006" w:rsidRPr="009464EE">
              <w:rPr>
                <w:rFonts w:ascii="Times New Roman" w:hAnsi="Times New Roman"/>
                <w:sz w:val="24"/>
                <w:szCs w:val="24"/>
              </w:rPr>
              <w:t xml:space="preserve"> </w:t>
            </w:r>
            <w:r w:rsidRPr="009464EE">
              <w:rPr>
                <w:rFonts w:ascii="Times New Roman" w:hAnsi="Times New Roman"/>
                <w:sz w:val="24"/>
                <w:szCs w:val="24"/>
              </w:rPr>
              <w:t>supporting new players, improving agility, and bringing dual-use and deep tech closer to defence</w:t>
            </w:r>
            <w:r w:rsidR="00BE0006">
              <w:rPr>
                <w:rFonts w:ascii="Times New Roman" w:hAnsi="Times New Roman"/>
                <w:sz w:val="24"/>
                <w:szCs w:val="24"/>
              </w:rPr>
              <w:t>)</w:t>
            </w:r>
            <w:r>
              <w:rPr>
                <w:rFonts w:ascii="Times New Roman" w:hAnsi="Times New Roman"/>
                <w:sz w:val="24"/>
                <w:szCs w:val="24"/>
              </w:rPr>
              <w:t xml:space="preserve"> </w:t>
            </w:r>
            <w:r w:rsidRPr="009464EE">
              <w:rPr>
                <w:rFonts w:ascii="Times New Roman" w:hAnsi="Times New Roman"/>
                <w:sz w:val="24"/>
                <w:szCs w:val="24"/>
              </w:rPr>
              <w:t xml:space="preserve">and adapt them where appropriate to the </w:t>
            </w:r>
            <w:r>
              <w:rPr>
                <w:rFonts w:ascii="Times New Roman" w:hAnsi="Times New Roman"/>
                <w:sz w:val="24"/>
                <w:szCs w:val="24"/>
              </w:rPr>
              <w:t>EU</w:t>
            </w:r>
            <w:r w:rsidRPr="009464EE">
              <w:rPr>
                <w:rFonts w:ascii="Times New Roman" w:hAnsi="Times New Roman"/>
                <w:sz w:val="24"/>
                <w:szCs w:val="24"/>
              </w:rPr>
              <w:t xml:space="preserve"> </w:t>
            </w:r>
            <w:r>
              <w:rPr>
                <w:rFonts w:ascii="Times New Roman" w:hAnsi="Times New Roman"/>
                <w:sz w:val="24"/>
                <w:szCs w:val="24"/>
              </w:rPr>
              <w:t>and Member States</w:t>
            </w:r>
            <w:r w:rsidR="00BE0006">
              <w:rPr>
                <w:rFonts w:ascii="Times New Roman" w:hAnsi="Times New Roman"/>
                <w:sz w:val="24"/>
                <w:szCs w:val="24"/>
              </w:rPr>
              <w:t>’</w:t>
            </w:r>
            <w:r>
              <w:rPr>
                <w:rFonts w:ascii="Times New Roman" w:hAnsi="Times New Roman"/>
                <w:sz w:val="24"/>
                <w:szCs w:val="24"/>
              </w:rPr>
              <w:t xml:space="preserve"> circumstances and legal and institutional frameworks</w:t>
            </w:r>
            <w:r w:rsidR="00974FC3">
              <w:rPr>
                <w:rFonts w:ascii="Times New Roman" w:hAnsi="Times New Roman"/>
                <w:sz w:val="24"/>
                <w:szCs w:val="24"/>
              </w:rPr>
              <w:t>.</w:t>
            </w:r>
          </w:p>
        </w:tc>
      </w:tr>
    </w:tbl>
    <w:p w14:paraId="41D86A3C" w14:textId="77777777" w:rsidR="00554137" w:rsidRPr="002E347B" w:rsidRDefault="00554137" w:rsidP="002E347B">
      <w:pPr>
        <w:spacing w:after="0" w:line="240" w:lineRule="auto"/>
        <w:ind w:left="-567"/>
        <w:rPr>
          <w:rFonts w:ascii="Times New Roman" w:hAnsi="Times New Roman"/>
          <w:bCs/>
          <w:sz w:val="16"/>
          <w:szCs w:val="16"/>
        </w:rPr>
      </w:pPr>
    </w:p>
    <w:sectPr w:rsidR="00554137" w:rsidRPr="002E347B">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4969FA" w14:textId="77777777" w:rsidR="00C11D08" w:rsidRDefault="00C11D08" w:rsidP="00FF63EA">
      <w:pPr>
        <w:spacing w:after="0" w:line="240" w:lineRule="auto"/>
      </w:pPr>
      <w:r>
        <w:separator/>
      </w:r>
    </w:p>
  </w:endnote>
  <w:endnote w:type="continuationSeparator" w:id="0">
    <w:p w14:paraId="5306E730" w14:textId="77777777" w:rsidR="00C11D08" w:rsidRDefault="00C11D08" w:rsidP="00FF63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9513BC" w14:textId="77777777" w:rsidR="002E68E4" w:rsidRDefault="002E68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4204D5" w14:textId="77777777" w:rsidR="00C11D08" w:rsidRDefault="00C11D08" w:rsidP="00FF63EA">
      <w:pPr>
        <w:spacing w:after="0" w:line="240" w:lineRule="auto"/>
      </w:pPr>
      <w:r>
        <w:separator/>
      </w:r>
    </w:p>
  </w:footnote>
  <w:footnote w:type="continuationSeparator" w:id="0">
    <w:p w14:paraId="13EF2206" w14:textId="77777777" w:rsidR="00C11D08" w:rsidRDefault="00C11D08" w:rsidP="00FF63EA">
      <w:pPr>
        <w:spacing w:after="0" w:line="240" w:lineRule="auto"/>
      </w:pPr>
      <w:r>
        <w:continuationSeparator/>
      </w:r>
    </w:p>
  </w:footnote>
  <w:footnote w:id="1">
    <w:p w14:paraId="22598827" w14:textId="2EEBDF84" w:rsidR="002E347B" w:rsidRPr="003F65E2" w:rsidRDefault="00BF1B2E" w:rsidP="003F65E2">
      <w:pPr>
        <w:pStyle w:val="FootnoteText"/>
        <w:spacing w:after="0" w:line="240" w:lineRule="auto"/>
        <w:ind w:left="-141" w:right="-567" w:hanging="284"/>
        <w:jc w:val="both"/>
        <w:rPr>
          <w:rFonts w:ascii="Times New Roman" w:hAnsi="Times New Roman"/>
          <w:lang w:val="pt-PT"/>
        </w:rPr>
      </w:pPr>
      <w:r w:rsidRPr="003F65E2">
        <w:rPr>
          <w:rStyle w:val="FootnoteReference"/>
          <w:rFonts w:ascii="Times New Roman" w:hAnsi="Times New Roman"/>
        </w:rPr>
        <w:footnoteRef/>
      </w:r>
      <w:r w:rsidRPr="003F65E2">
        <w:rPr>
          <w:rFonts w:ascii="Times New Roman" w:hAnsi="Times New Roman"/>
          <w:lang w:val="pt-PT"/>
        </w:rPr>
        <w:t xml:space="preserve"> </w:t>
      </w:r>
      <w:r w:rsidR="002E347B" w:rsidRPr="003F65E2">
        <w:rPr>
          <w:rFonts w:ascii="Times New Roman" w:hAnsi="Times New Roman"/>
          <w:lang w:val="pt-PT"/>
        </w:rPr>
        <w:tab/>
      </w:r>
      <w:r w:rsidR="00C57375" w:rsidRPr="003F65E2">
        <w:rPr>
          <w:rFonts w:ascii="Times New Roman" w:hAnsi="Times New Roman"/>
          <w:lang w:val="pt-PT"/>
        </w:rPr>
        <w:t xml:space="preserve">COM(2025) 845 final </w:t>
      </w:r>
      <w:r w:rsidR="00C57375" w:rsidRPr="00977B94">
        <w:rPr>
          <w:rFonts w:ascii="Times New Roman" w:hAnsi="Times New Roman"/>
          <w:lang w:val="pt-PT"/>
        </w:rPr>
        <w:t>(</w:t>
      </w:r>
      <w:r w:rsidR="00C57375" w:rsidRPr="003F65E2">
        <w:rPr>
          <w:rFonts w:ascii="Times New Roman" w:hAnsi="Times New Roman"/>
          <w:lang w:val="pt-PT"/>
        </w:rPr>
        <w:t>https://eur-lex.europa.eu/legal-content/EN/TXT/?uri=celex:52025DC0845)</w:t>
      </w:r>
      <w:r w:rsidR="002E347B" w:rsidRPr="003F65E2">
        <w:rPr>
          <w:rFonts w:ascii="Times New Roman" w:hAnsi="Times New Roman"/>
          <w:lang w:val="pt-PT"/>
        </w:rPr>
        <w:t>.</w:t>
      </w:r>
    </w:p>
  </w:footnote>
  <w:footnote w:id="2">
    <w:p w14:paraId="113B0B38" w14:textId="4A5D5626" w:rsidR="00BF1B2E" w:rsidRPr="003F65E2" w:rsidRDefault="00BF1B2E" w:rsidP="003F65E2">
      <w:pPr>
        <w:pStyle w:val="FootnoteText"/>
        <w:spacing w:after="0" w:line="240" w:lineRule="auto"/>
        <w:ind w:left="-141" w:right="-567" w:hanging="284"/>
        <w:jc w:val="both"/>
        <w:rPr>
          <w:rFonts w:ascii="Times New Roman" w:hAnsi="Times New Roman"/>
          <w:lang w:val="pt-PT"/>
        </w:rPr>
      </w:pPr>
      <w:r w:rsidRPr="003F65E2">
        <w:rPr>
          <w:rStyle w:val="FootnoteReference"/>
          <w:rFonts w:ascii="Times New Roman" w:hAnsi="Times New Roman"/>
        </w:rPr>
        <w:footnoteRef/>
      </w:r>
      <w:r w:rsidRPr="003F65E2">
        <w:rPr>
          <w:rFonts w:ascii="Times New Roman" w:hAnsi="Times New Roman"/>
          <w:lang w:val="pt-PT"/>
        </w:rPr>
        <w:t xml:space="preserve"> </w:t>
      </w:r>
      <w:r w:rsidR="002E347B" w:rsidRPr="003F65E2">
        <w:rPr>
          <w:rFonts w:ascii="Times New Roman" w:hAnsi="Times New Roman"/>
          <w:lang w:val="pt-PT"/>
        </w:rPr>
        <w:tab/>
      </w:r>
      <w:proofErr w:type="gramStart"/>
      <w:r w:rsidR="00C57375" w:rsidRPr="003F65E2">
        <w:rPr>
          <w:rFonts w:ascii="Times New Roman" w:hAnsi="Times New Roman"/>
          <w:lang w:val="pt-PT"/>
        </w:rPr>
        <w:t>COM(</w:t>
      </w:r>
      <w:proofErr w:type="gramEnd"/>
      <w:r w:rsidR="00C57375" w:rsidRPr="003F65E2">
        <w:rPr>
          <w:rFonts w:ascii="Times New Roman" w:hAnsi="Times New Roman"/>
          <w:lang w:val="pt-PT"/>
        </w:rPr>
        <w:t>2026) 135 final (</w:t>
      </w:r>
      <w:hyperlink r:id="rId1" w:history="1">
        <w:r w:rsidR="00C57375" w:rsidRPr="003F65E2">
          <w:rPr>
            <w:rStyle w:val="Hyperlink"/>
            <w:rFonts w:ascii="Times New Roman" w:hAnsi="Times New Roman"/>
            <w:lang w:val="pt-PT"/>
          </w:rPr>
          <w:t>https://eur-lex.europa.eu/legal-content/EN/TXT/?uri=celex:52026PC0135</w:t>
        </w:r>
      </w:hyperlink>
      <w:r w:rsidR="00C57375" w:rsidRPr="00977B94">
        <w:rPr>
          <w:rFonts w:ascii="Times New Roman" w:hAnsi="Times New Roman"/>
          <w:lang w:val="pt-PT"/>
        </w:rPr>
        <w:t>)</w:t>
      </w:r>
      <w:r w:rsidR="002E347B" w:rsidRPr="003F65E2">
        <w:rPr>
          <w:rFonts w:ascii="Times New Roman" w:hAnsi="Times New Roman"/>
          <w:lang w:val="pt-PT"/>
        </w:rPr>
        <w:t>.</w:t>
      </w:r>
    </w:p>
  </w:footnote>
  <w:footnote w:id="3">
    <w:p w14:paraId="2AFAFB9E" w14:textId="2ACBC51D" w:rsidR="005D094B" w:rsidRPr="003F65E2" w:rsidRDefault="005D094B" w:rsidP="003F65E2">
      <w:pPr>
        <w:pStyle w:val="FootnoteText"/>
        <w:spacing w:after="0" w:line="240" w:lineRule="auto"/>
        <w:ind w:left="-141" w:right="-567" w:hanging="284"/>
        <w:jc w:val="both"/>
        <w:rPr>
          <w:rFonts w:ascii="Times New Roman" w:hAnsi="Times New Roman"/>
          <w:lang w:val="pt-PT"/>
        </w:rPr>
      </w:pPr>
      <w:r w:rsidRPr="003F65E2">
        <w:rPr>
          <w:rStyle w:val="FootnoteReference"/>
          <w:rFonts w:ascii="Times New Roman" w:hAnsi="Times New Roman"/>
        </w:rPr>
        <w:footnoteRef/>
      </w:r>
      <w:r w:rsidRPr="003F65E2">
        <w:rPr>
          <w:rFonts w:ascii="Times New Roman" w:hAnsi="Times New Roman"/>
          <w:lang w:val="pt-PT"/>
        </w:rPr>
        <w:t xml:space="preserve"> </w:t>
      </w:r>
      <w:r w:rsidR="002E347B" w:rsidRPr="003F65E2">
        <w:rPr>
          <w:rFonts w:ascii="Times New Roman" w:hAnsi="Times New Roman"/>
          <w:lang w:val="pt-PT"/>
        </w:rPr>
        <w:tab/>
      </w:r>
      <w:proofErr w:type="gramStart"/>
      <w:r w:rsidR="00977B94" w:rsidRPr="003F65E2">
        <w:rPr>
          <w:rFonts w:ascii="Times New Roman" w:hAnsi="Times New Roman"/>
          <w:lang w:val="pt-PT"/>
        </w:rPr>
        <w:t>COM(</w:t>
      </w:r>
      <w:proofErr w:type="gramEnd"/>
      <w:r w:rsidR="00977B94" w:rsidRPr="003F65E2">
        <w:rPr>
          <w:rFonts w:ascii="Times New Roman" w:hAnsi="Times New Roman"/>
          <w:lang w:val="pt-PT"/>
        </w:rPr>
        <w:t>2025) 820 final</w:t>
      </w:r>
      <w:r w:rsidR="00977B94" w:rsidRPr="00977B94">
        <w:rPr>
          <w:rFonts w:ascii="Times New Roman" w:hAnsi="Times New Roman"/>
          <w:lang w:val="pt-PT"/>
        </w:rPr>
        <w:t xml:space="preserve"> </w:t>
      </w:r>
      <w:r w:rsidR="00977B94" w:rsidRPr="003F65E2">
        <w:rPr>
          <w:rFonts w:ascii="Times New Roman" w:hAnsi="Times New Roman"/>
          <w:lang w:val="pt-PT"/>
        </w:rPr>
        <w:t>(</w:t>
      </w:r>
      <w:hyperlink r:id="rId2" w:history="1">
        <w:r w:rsidR="00977B94" w:rsidRPr="003F65E2">
          <w:rPr>
            <w:rStyle w:val="Hyperlink"/>
            <w:rFonts w:ascii="Times New Roman" w:hAnsi="Times New Roman"/>
            <w:lang w:val="pt-PT"/>
          </w:rPr>
          <w:t>https://eur-lex.europa.eu/legal-content/EN/TXT/HTML/?uri=CELEX:52025DC0820</w:t>
        </w:r>
      </w:hyperlink>
      <w:r w:rsidR="00977B94" w:rsidRPr="003F65E2">
        <w:rPr>
          <w:rFonts w:ascii="Times New Roman" w:hAnsi="Times New Roman"/>
          <w:lang w:val="pt-PT"/>
        </w:rPr>
        <w:t>)</w:t>
      </w:r>
      <w:r w:rsidR="002E347B" w:rsidRPr="003F65E2">
        <w:rPr>
          <w:rFonts w:ascii="Times New Roman" w:hAnsi="Times New Roman"/>
          <w:lang w:val="pt-PT"/>
        </w:rPr>
        <w:t>.</w:t>
      </w:r>
    </w:p>
  </w:footnote>
  <w:footnote w:id="4">
    <w:p w14:paraId="5439BF58" w14:textId="46E2CD1E" w:rsidR="00C57375" w:rsidRPr="003F65E2" w:rsidRDefault="00C57375" w:rsidP="003F65E2">
      <w:pPr>
        <w:pStyle w:val="FootnoteText"/>
        <w:spacing w:after="0" w:line="240" w:lineRule="auto"/>
        <w:ind w:left="-141" w:hanging="284"/>
        <w:jc w:val="both"/>
        <w:rPr>
          <w:rFonts w:ascii="Times New Roman" w:hAnsi="Times New Roman"/>
          <w:lang w:val="fr-BE"/>
        </w:rPr>
      </w:pPr>
      <w:r w:rsidRPr="003F65E2">
        <w:rPr>
          <w:rStyle w:val="FootnoteReference"/>
          <w:rFonts w:ascii="Times New Roman" w:hAnsi="Times New Roman"/>
        </w:rPr>
        <w:footnoteRef/>
      </w:r>
      <w:r w:rsidRPr="003F65E2">
        <w:rPr>
          <w:rFonts w:ascii="Times New Roman" w:hAnsi="Times New Roman"/>
          <w:lang w:val="fr-BE"/>
        </w:rPr>
        <w:t xml:space="preserve"> </w:t>
      </w:r>
      <w:r w:rsidRPr="003F65E2">
        <w:rPr>
          <w:rFonts w:ascii="Times New Roman" w:hAnsi="Times New Roman"/>
          <w:lang w:val="fr-BE"/>
        </w:rPr>
        <w:tab/>
      </w:r>
      <w:r w:rsidRPr="003F65E2">
        <w:rPr>
          <w:rFonts w:ascii="Times New Roman" w:hAnsi="Times New Roman"/>
        </w:rPr>
        <w:t>COM(2025) 90 final</w:t>
      </w:r>
      <w:r w:rsidRPr="003F65E2">
        <w:rPr>
          <w:rFonts w:ascii="Times New Roman" w:hAnsi="Times New Roman"/>
          <w:lang w:val="fr-BE"/>
        </w:rPr>
        <w:t xml:space="preserve"> (</w:t>
      </w:r>
      <w:hyperlink r:id="rId3" w:history="1">
        <w:r w:rsidRPr="003F65E2">
          <w:rPr>
            <w:rStyle w:val="Hyperlink"/>
            <w:rFonts w:ascii="Times New Roman" w:hAnsi="Times New Roman"/>
            <w:lang w:val="fr-BE"/>
          </w:rPr>
          <w:t>eur-lex.europa.eu/legal-content/EN/TXT/PDF/?uri=CELEX%3A52025DC0090</w:t>
        </w:r>
      </w:hyperlink>
      <w:r w:rsidRPr="003F65E2">
        <w:rPr>
          <w:rFonts w:ascii="Times New Roman" w:hAnsi="Times New Roman"/>
          <w:lang w:val="fr-BE"/>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D5365E" w14:textId="77777777" w:rsidR="002E68E4" w:rsidRDefault="002E68E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5A5CA0"/>
    <w:multiLevelType w:val="hybridMultilevel"/>
    <w:tmpl w:val="7A6288B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1C6E633E"/>
    <w:multiLevelType w:val="hybridMultilevel"/>
    <w:tmpl w:val="123619EE"/>
    <w:lvl w:ilvl="0" w:tplc="3906E7EE">
      <w:numFmt w:val="bullet"/>
      <w:lvlText w:val="-"/>
      <w:lvlJc w:val="left"/>
      <w:pPr>
        <w:ind w:left="720" w:hanging="360"/>
      </w:pPr>
      <w:rPr>
        <w:rFonts w:ascii="Times New Roman" w:eastAsia="Calibri" w:hAnsi="Times New Roman"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3A964DFF"/>
    <w:multiLevelType w:val="hybridMultilevel"/>
    <w:tmpl w:val="D546832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1873180527">
    <w:abstractNumId w:val="1"/>
  </w:num>
  <w:num w:numId="2" w16cid:durableId="1239097689">
    <w:abstractNumId w:val="0"/>
  </w:num>
  <w:num w:numId="3" w16cid:durableId="119118310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proofState w:spelling="clean" w:grammar="clean"/>
  <w:doNotTrackMoves/>
  <w:defaultTabStop w:val="720"/>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docVars>
    <w:docVar w:name="LW_DocType" w:val="NORMAL"/>
  </w:docVars>
  <w:rsids>
    <w:rsidRoot w:val="00077C4F"/>
    <w:rsid w:val="00012A37"/>
    <w:rsid w:val="00046B15"/>
    <w:rsid w:val="00050DC7"/>
    <w:rsid w:val="00054821"/>
    <w:rsid w:val="00073DF2"/>
    <w:rsid w:val="00073E11"/>
    <w:rsid w:val="00076109"/>
    <w:rsid w:val="00077C4F"/>
    <w:rsid w:val="00096AC4"/>
    <w:rsid w:val="000E0155"/>
    <w:rsid w:val="000F0274"/>
    <w:rsid w:val="000F5FD8"/>
    <w:rsid w:val="001167C0"/>
    <w:rsid w:val="001245E6"/>
    <w:rsid w:val="00135C2A"/>
    <w:rsid w:val="001369AE"/>
    <w:rsid w:val="00143EEB"/>
    <w:rsid w:val="00186735"/>
    <w:rsid w:val="00186BD7"/>
    <w:rsid w:val="00195D9F"/>
    <w:rsid w:val="001A5F82"/>
    <w:rsid w:val="001B0E0B"/>
    <w:rsid w:val="001B476C"/>
    <w:rsid w:val="001C4138"/>
    <w:rsid w:val="001F2EC6"/>
    <w:rsid w:val="001F65D0"/>
    <w:rsid w:val="0020554D"/>
    <w:rsid w:val="002178F2"/>
    <w:rsid w:val="00217E59"/>
    <w:rsid w:val="002D393A"/>
    <w:rsid w:val="002E347B"/>
    <w:rsid w:val="002E68E4"/>
    <w:rsid w:val="002F03FA"/>
    <w:rsid w:val="002F6440"/>
    <w:rsid w:val="003004D2"/>
    <w:rsid w:val="003220E7"/>
    <w:rsid w:val="003349A3"/>
    <w:rsid w:val="00344660"/>
    <w:rsid w:val="00350B57"/>
    <w:rsid w:val="00374DA7"/>
    <w:rsid w:val="00377967"/>
    <w:rsid w:val="00386143"/>
    <w:rsid w:val="003B58DC"/>
    <w:rsid w:val="003F65E2"/>
    <w:rsid w:val="003F686E"/>
    <w:rsid w:val="00442552"/>
    <w:rsid w:val="00455A1C"/>
    <w:rsid w:val="004675B5"/>
    <w:rsid w:val="004770D6"/>
    <w:rsid w:val="004814ED"/>
    <w:rsid w:val="004853BB"/>
    <w:rsid w:val="0049246C"/>
    <w:rsid w:val="004A7932"/>
    <w:rsid w:val="004B622C"/>
    <w:rsid w:val="004C7604"/>
    <w:rsid w:val="004F1B74"/>
    <w:rsid w:val="004F4D38"/>
    <w:rsid w:val="004F6117"/>
    <w:rsid w:val="004F63F1"/>
    <w:rsid w:val="004F651E"/>
    <w:rsid w:val="005015BE"/>
    <w:rsid w:val="005027DF"/>
    <w:rsid w:val="005243B2"/>
    <w:rsid w:val="0052596B"/>
    <w:rsid w:val="005517DA"/>
    <w:rsid w:val="00554137"/>
    <w:rsid w:val="00554D8D"/>
    <w:rsid w:val="00557322"/>
    <w:rsid w:val="00573835"/>
    <w:rsid w:val="00581306"/>
    <w:rsid w:val="005C3105"/>
    <w:rsid w:val="005D094B"/>
    <w:rsid w:val="005D70A6"/>
    <w:rsid w:val="00626129"/>
    <w:rsid w:val="00631558"/>
    <w:rsid w:val="00631D37"/>
    <w:rsid w:val="00643E1A"/>
    <w:rsid w:val="00692C2F"/>
    <w:rsid w:val="00695797"/>
    <w:rsid w:val="00696A5E"/>
    <w:rsid w:val="006A3218"/>
    <w:rsid w:val="006B3B69"/>
    <w:rsid w:val="00731145"/>
    <w:rsid w:val="00731AD9"/>
    <w:rsid w:val="00734613"/>
    <w:rsid w:val="00751910"/>
    <w:rsid w:val="00751E60"/>
    <w:rsid w:val="007547B5"/>
    <w:rsid w:val="00755E90"/>
    <w:rsid w:val="00756E4D"/>
    <w:rsid w:val="007663E2"/>
    <w:rsid w:val="00795A9E"/>
    <w:rsid w:val="007A606D"/>
    <w:rsid w:val="007B03AD"/>
    <w:rsid w:val="007C2214"/>
    <w:rsid w:val="007C3AD2"/>
    <w:rsid w:val="00807B48"/>
    <w:rsid w:val="008135CA"/>
    <w:rsid w:val="0081584F"/>
    <w:rsid w:val="00845463"/>
    <w:rsid w:val="008703BF"/>
    <w:rsid w:val="008750B3"/>
    <w:rsid w:val="008839F7"/>
    <w:rsid w:val="00887528"/>
    <w:rsid w:val="008925CE"/>
    <w:rsid w:val="008C2B7C"/>
    <w:rsid w:val="008C4D41"/>
    <w:rsid w:val="008F4E10"/>
    <w:rsid w:val="00905DA7"/>
    <w:rsid w:val="009175C1"/>
    <w:rsid w:val="0093447D"/>
    <w:rsid w:val="00937EE7"/>
    <w:rsid w:val="009455B1"/>
    <w:rsid w:val="009464EE"/>
    <w:rsid w:val="00974FC3"/>
    <w:rsid w:val="00977B94"/>
    <w:rsid w:val="00981F45"/>
    <w:rsid w:val="00994D12"/>
    <w:rsid w:val="009A3524"/>
    <w:rsid w:val="009A3D02"/>
    <w:rsid w:val="009B128B"/>
    <w:rsid w:val="009C211E"/>
    <w:rsid w:val="009D5B97"/>
    <w:rsid w:val="009E6C7D"/>
    <w:rsid w:val="00A16F07"/>
    <w:rsid w:val="00A262A3"/>
    <w:rsid w:val="00A34B95"/>
    <w:rsid w:val="00A40D3F"/>
    <w:rsid w:val="00A53EF9"/>
    <w:rsid w:val="00A62C7B"/>
    <w:rsid w:val="00A7709A"/>
    <w:rsid w:val="00A83F16"/>
    <w:rsid w:val="00AA0D0B"/>
    <w:rsid w:val="00AE1842"/>
    <w:rsid w:val="00AE3C7C"/>
    <w:rsid w:val="00B31306"/>
    <w:rsid w:val="00B42814"/>
    <w:rsid w:val="00B67223"/>
    <w:rsid w:val="00B83936"/>
    <w:rsid w:val="00BC0862"/>
    <w:rsid w:val="00BC69CB"/>
    <w:rsid w:val="00BC6AD6"/>
    <w:rsid w:val="00BD6EB7"/>
    <w:rsid w:val="00BE0006"/>
    <w:rsid w:val="00BF1B2E"/>
    <w:rsid w:val="00BF35DF"/>
    <w:rsid w:val="00C06B41"/>
    <w:rsid w:val="00C11D08"/>
    <w:rsid w:val="00C159B9"/>
    <w:rsid w:val="00C37BDD"/>
    <w:rsid w:val="00C54D27"/>
    <w:rsid w:val="00C57375"/>
    <w:rsid w:val="00C63513"/>
    <w:rsid w:val="00C71F18"/>
    <w:rsid w:val="00C76EEB"/>
    <w:rsid w:val="00CA228C"/>
    <w:rsid w:val="00CD59C1"/>
    <w:rsid w:val="00CF69BA"/>
    <w:rsid w:val="00D01F5A"/>
    <w:rsid w:val="00D1323B"/>
    <w:rsid w:val="00D1716E"/>
    <w:rsid w:val="00D30580"/>
    <w:rsid w:val="00D40445"/>
    <w:rsid w:val="00D64E05"/>
    <w:rsid w:val="00D92FD3"/>
    <w:rsid w:val="00D93680"/>
    <w:rsid w:val="00DA05A0"/>
    <w:rsid w:val="00DA3B6E"/>
    <w:rsid w:val="00DA5B53"/>
    <w:rsid w:val="00DB7581"/>
    <w:rsid w:val="00DC007F"/>
    <w:rsid w:val="00DC70C1"/>
    <w:rsid w:val="00DD26F3"/>
    <w:rsid w:val="00E12674"/>
    <w:rsid w:val="00E5774E"/>
    <w:rsid w:val="00E755D8"/>
    <w:rsid w:val="00E83C12"/>
    <w:rsid w:val="00E904C8"/>
    <w:rsid w:val="00EA1BBF"/>
    <w:rsid w:val="00EA35AB"/>
    <w:rsid w:val="00EB29A9"/>
    <w:rsid w:val="00EB77D2"/>
    <w:rsid w:val="00ED7E0D"/>
    <w:rsid w:val="00ED7E63"/>
    <w:rsid w:val="00EF76CC"/>
    <w:rsid w:val="00F0732E"/>
    <w:rsid w:val="00F15212"/>
    <w:rsid w:val="00F2639E"/>
    <w:rsid w:val="00F316C8"/>
    <w:rsid w:val="00F632DE"/>
    <w:rsid w:val="00F735E4"/>
    <w:rsid w:val="00FA1B16"/>
    <w:rsid w:val="00FB7834"/>
    <w:rsid w:val="00FC1DB1"/>
    <w:rsid w:val="00FC365D"/>
    <w:rsid w:val="00FC4586"/>
    <w:rsid w:val="00FD0254"/>
    <w:rsid w:val="00FD0793"/>
    <w:rsid w:val="00FD4B6A"/>
    <w:rsid w:val="00FF03A8"/>
    <w:rsid w:val="00FF09D7"/>
    <w:rsid w:val="00FF63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EDBEE9"/>
  <w15:chartTrackingRefBased/>
  <w15:docId w15:val="{8250BCC8-4D0F-43C9-A9FB-5B735BFFB2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E" w:eastAsia="en-I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9D5B97"/>
    <w:rPr>
      <w:sz w:val="22"/>
      <w:szCs w:val="22"/>
      <w:lang w:val="en-GB" w:eastAsia="en-US"/>
    </w:rPr>
  </w:style>
  <w:style w:type="paragraph" w:styleId="FootnoteText">
    <w:name w:val="footnote text"/>
    <w:basedOn w:val="Normal"/>
    <w:link w:val="FootnoteTextChar"/>
    <w:uiPriority w:val="99"/>
    <w:semiHidden/>
    <w:unhideWhenUsed/>
    <w:rsid w:val="00BF1B2E"/>
    <w:rPr>
      <w:sz w:val="20"/>
      <w:szCs w:val="20"/>
    </w:rPr>
  </w:style>
  <w:style w:type="character" w:customStyle="1" w:styleId="FootnoteTextChar">
    <w:name w:val="Footnote Text Char"/>
    <w:link w:val="FootnoteText"/>
    <w:uiPriority w:val="99"/>
    <w:semiHidden/>
    <w:rsid w:val="00BF1B2E"/>
    <w:rPr>
      <w:lang w:val="en-GB" w:eastAsia="en-US"/>
    </w:rPr>
  </w:style>
  <w:style w:type="character" w:styleId="FootnoteReference">
    <w:name w:val="footnote reference"/>
    <w:uiPriority w:val="99"/>
    <w:semiHidden/>
    <w:unhideWhenUsed/>
    <w:rsid w:val="00BF1B2E"/>
    <w:rPr>
      <w:vertAlign w:val="superscript"/>
    </w:rPr>
  </w:style>
  <w:style w:type="character" w:styleId="CommentReference">
    <w:name w:val="annotation reference"/>
    <w:basedOn w:val="DefaultParagraphFont"/>
    <w:uiPriority w:val="99"/>
    <w:semiHidden/>
    <w:unhideWhenUsed/>
    <w:rsid w:val="002E68E4"/>
    <w:rPr>
      <w:sz w:val="16"/>
      <w:szCs w:val="16"/>
    </w:rPr>
  </w:style>
  <w:style w:type="paragraph" w:styleId="CommentText">
    <w:name w:val="annotation text"/>
    <w:basedOn w:val="Normal"/>
    <w:link w:val="CommentTextChar"/>
    <w:uiPriority w:val="99"/>
    <w:unhideWhenUsed/>
    <w:rsid w:val="002E68E4"/>
    <w:rPr>
      <w:sz w:val="20"/>
      <w:szCs w:val="20"/>
    </w:rPr>
  </w:style>
  <w:style w:type="character" w:customStyle="1" w:styleId="CommentTextChar">
    <w:name w:val="Comment Text Char"/>
    <w:basedOn w:val="DefaultParagraphFont"/>
    <w:link w:val="CommentText"/>
    <w:uiPriority w:val="99"/>
    <w:rsid w:val="002E68E4"/>
    <w:rPr>
      <w:lang w:val="en-GB" w:eastAsia="en-US"/>
    </w:rPr>
  </w:style>
  <w:style w:type="paragraph" w:styleId="CommentSubject">
    <w:name w:val="annotation subject"/>
    <w:basedOn w:val="CommentText"/>
    <w:next w:val="CommentText"/>
    <w:link w:val="CommentSubjectChar"/>
    <w:uiPriority w:val="99"/>
    <w:semiHidden/>
    <w:unhideWhenUsed/>
    <w:rsid w:val="002E68E4"/>
    <w:rPr>
      <w:b/>
      <w:bCs/>
    </w:rPr>
  </w:style>
  <w:style w:type="character" w:customStyle="1" w:styleId="CommentSubjectChar">
    <w:name w:val="Comment Subject Char"/>
    <w:basedOn w:val="CommentTextChar"/>
    <w:link w:val="CommentSubject"/>
    <w:uiPriority w:val="99"/>
    <w:semiHidden/>
    <w:rsid w:val="002E68E4"/>
    <w:rPr>
      <w:b/>
      <w:bCs/>
      <w:lang w:val="en-GB" w:eastAsia="en-US"/>
    </w:rPr>
  </w:style>
  <w:style w:type="paragraph" w:styleId="Header">
    <w:name w:val="header"/>
    <w:basedOn w:val="Normal"/>
    <w:link w:val="HeaderChar"/>
    <w:uiPriority w:val="99"/>
    <w:unhideWhenUsed/>
    <w:rsid w:val="002E68E4"/>
    <w:pPr>
      <w:tabs>
        <w:tab w:val="center" w:pos="4513"/>
        <w:tab w:val="right" w:pos="9026"/>
      </w:tabs>
      <w:spacing w:after="0" w:line="240" w:lineRule="auto"/>
    </w:pPr>
  </w:style>
  <w:style w:type="character" w:customStyle="1" w:styleId="HeaderChar">
    <w:name w:val="Header Char"/>
    <w:basedOn w:val="DefaultParagraphFont"/>
    <w:link w:val="Header"/>
    <w:uiPriority w:val="99"/>
    <w:rsid w:val="002E68E4"/>
    <w:rPr>
      <w:sz w:val="22"/>
      <w:szCs w:val="22"/>
      <w:lang w:val="en-GB" w:eastAsia="en-US"/>
    </w:rPr>
  </w:style>
  <w:style w:type="paragraph" w:styleId="Footer">
    <w:name w:val="footer"/>
    <w:basedOn w:val="Normal"/>
    <w:link w:val="FooterChar"/>
    <w:uiPriority w:val="99"/>
    <w:unhideWhenUsed/>
    <w:rsid w:val="002E68E4"/>
    <w:pPr>
      <w:tabs>
        <w:tab w:val="center" w:pos="4513"/>
        <w:tab w:val="right" w:pos="9026"/>
      </w:tabs>
      <w:spacing w:after="0" w:line="240" w:lineRule="auto"/>
    </w:pPr>
  </w:style>
  <w:style w:type="character" w:customStyle="1" w:styleId="FooterChar">
    <w:name w:val="Footer Char"/>
    <w:basedOn w:val="DefaultParagraphFont"/>
    <w:link w:val="Footer"/>
    <w:uiPriority w:val="99"/>
    <w:rsid w:val="002E68E4"/>
    <w:rPr>
      <w:sz w:val="22"/>
      <w:szCs w:val="22"/>
      <w:lang w:val="en-GB" w:eastAsia="en-US"/>
    </w:rPr>
  </w:style>
  <w:style w:type="character" w:styleId="Hyperlink">
    <w:name w:val="Hyperlink"/>
    <w:basedOn w:val="DefaultParagraphFont"/>
    <w:uiPriority w:val="99"/>
    <w:unhideWhenUsed/>
    <w:rsid w:val="002E347B"/>
    <w:rPr>
      <w:color w:val="0563C1" w:themeColor="hyperlink"/>
      <w:u w:val="single"/>
    </w:rPr>
  </w:style>
  <w:style w:type="character" w:styleId="UnresolvedMention">
    <w:name w:val="Unresolved Mention"/>
    <w:basedOn w:val="DefaultParagraphFont"/>
    <w:uiPriority w:val="99"/>
    <w:semiHidden/>
    <w:unhideWhenUsed/>
    <w:rsid w:val="002E347B"/>
    <w:rPr>
      <w:color w:val="605E5C"/>
      <w:shd w:val="clear" w:color="auto" w:fill="E1DFDD"/>
    </w:rPr>
  </w:style>
  <w:style w:type="character" w:styleId="FollowedHyperlink">
    <w:name w:val="FollowedHyperlink"/>
    <w:basedOn w:val="DefaultParagraphFont"/>
    <w:uiPriority w:val="99"/>
    <w:semiHidden/>
    <w:unhideWhenUsed/>
    <w:rsid w:val="00FC1DB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7401998">
      <w:bodyDiv w:val="1"/>
      <w:marLeft w:val="0"/>
      <w:marRight w:val="0"/>
      <w:marTop w:val="0"/>
      <w:marBottom w:val="0"/>
      <w:divBdr>
        <w:top w:val="none" w:sz="0" w:space="0" w:color="auto"/>
        <w:left w:val="none" w:sz="0" w:space="0" w:color="auto"/>
        <w:bottom w:val="none" w:sz="0" w:space="0" w:color="auto"/>
        <w:right w:val="none" w:sz="0" w:space="0" w:color="auto"/>
      </w:divBdr>
    </w:div>
    <w:div w:id="228468852">
      <w:bodyDiv w:val="1"/>
      <w:marLeft w:val="0"/>
      <w:marRight w:val="0"/>
      <w:marTop w:val="0"/>
      <w:marBottom w:val="0"/>
      <w:divBdr>
        <w:top w:val="none" w:sz="0" w:space="0" w:color="auto"/>
        <w:left w:val="none" w:sz="0" w:space="0" w:color="auto"/>
        <w:bottom w:val="none" w:sz="0" w:space="0" w:color="auto"/>
        <w:right w:val="none" w:sz="0" w:space="0" w:color="auto"/>
      </w:divBdr>
    </w:div>
    <w:div w:id="245652615">
      <w:bodyDiv w:val="1"/>
      <w:marLeft w:val="0"/>
      <w:marRight w:val="0"/>
      <w:marTop w:val="0"/>
      <w:marBottom w:val="0"/>
      <w:divBdr>
        <w:top w:val="none" w:sz="0" w:space="0" w:color="auto"/>
        <w:left w:val="none" w:sz="0" w:space="0" w:color="auto"/>
        <w:bottom w:val="none" w:sz="0" w:space="0" w:color="auto"/>
        <w:right w:val="none" w:sz="0" w:space="0" w:color="auto"/>
      </w:divBdr>
    </w:div>
    <w:div w:id="870535466">
      <w:bodyDiv w:val="1"/>
      <w:marLeft w:val="0"/>
      <w:marRight w:val="0"/>
      <w:marTop w:val="0"/>
      <w:marBottom w:val="0"/>
      <w:divBdr>
        <w:top w:val="none" w:sz="0" w:space="0" w:color="auto"/>
        <w:left w:val="none" w:sz="0" w:space="0" w:color="auto"/>
        <w:bottom w:val="none" w:sz="0" w:space="0" w:color="auto"/>
        <w:right w:val="none" w:sz="0" w:space="0" w:color="auto"/>
      </w:divBdr>
    </w:div>
    <w:div w:id="1014069068">
      <w:bodyDiv w:val="1"/>
      <w:marLeft w:val="0"/>
      <w:marRight w:val="0"/>
      <w:marTop w:val="0"/>
      <w:marBottom w:val="0"/>
      <w:divBdr>
        <w:top w:val="none" w:sz="0" w:space="0" w:color="auto"/>
        <w:left w:val="none" w:sz="0" w:space="0" w:color="auto"/>
        <w:bottom w:val="none" w:sz="0" w:space="0" w:color="auto"/>
        <w:right w:val="none" w:sz="0" w:space="0" w:color="auto"/>
      </w:divBdr>
    </w:div>
    <w:div w:id="1076978275">
      <w:bodyDiv w:val="1"/>
      <w:marLeft w:val="0"/>
      <w:marRight w:val="0"/>
      <w:marTop w:val="0"/>
      <w:marBottom w:val="0"/>
      <w:divBdr>
        <w:top w:val="none" w:sz="0" w:space="0" w:color="auto"/>
        <w:left w:val="none" w:sz="0" w:space="0" w:color="auto"/>
        <w:bottom w:val="none" w:sz="0" w:space="0" w:color="auto"/>
        <w:right w:val="none" w:sz="0" w:space="0" w:color="auto"/>
      </w:divBdr>
    </w:div>
    <w:div w:id="1305740712">
      <w:bodyDiv w:val="1"/>
      <w:marLeft w:val="0"/>
      <w:marRight w:val="0"/>
      <w:marTop w:val="0"/>
      <w:marBottom w:val="0"/>
      <w:divBdr>
        <w:top w:val="none" w:sz="0" w:space="0" w:color="auto"/>
        <w:left w:val="none" w:sz="0" w:space="0" w:color="auto"/>
        <w:bottom w:val="none" w:sz="0" w:space="0" w:color="auto"/>
        <w:right w:val="none" w:sz="0" w:space="0" w:color="auto"/>
      </w:divBdr>
    </w:div>
    <w:div w:id="1949700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ur-lex.europa.eu/legal-content/EN/TXT/PDF/?uri=CELEX%3A52025DC0090" TargetMode="External"/><Relationship Id="rId2" Type="http://schemas.openxmlformats.org/officeDocument/2006/relationships/hyperlink" Target="https://eur-lex.europa.eu/legal-content/EN/TXT/HTML/?uri=CELEX:52025DC0820" TargetMode="External"/><Relationship Id="rId1" Type="http://schemas.openxmlformats.org/officeDocument/2006/relationships/hyperlink" Target="https://eur-lex.europa.eu/legal-content/EN/TXT/?uri=celex:52026PC013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B171932C7DE7B41B675ECB3C9728969" ma:contentTypeVersion="15" ma:contentTypeDescription="Create a new document." ma:contentTypeScope="" ma:versionID="7f7a4a73791738f46c89b5cee8ab865d">
  <xsd:schema xmlns:xsd="http://www.w3.org/2001/XMLSchema" xmlns:xs="http://www.w3.org/2001/XMLSchema" xmlns:p="http://schemas.microsoft.com/office/2006/metadata/properties" xmlns:ns2="eaef27fb-1ce2-4270-8fda-7ea6197091af" xmlns:ns3="3bc1743f-498b-4759-88c9-b625b578c3d4" targetNamespace="http://schemas.microsoft.com/office/2006/metadata/properties" ma:root="true" ma:fieldsID="795c281c6805266f6d7e360ece18035c" ns2:_="" ns3:_="">
    <xsd:import namespace="eaef27fb-1ce2-4270-8fda-7ea6197091af"/>
    <xsd:import namespace="3bc1743f-498b-4759-88c9-b625b578c3d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ef27fb-1ce2-4270-8fda-7ea6197091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bc1743f-498b-4759-88c9-b625b578c3d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585fc922-9ac7-4d56-943f-91612ea5e3c7}" ma:internalName="TaxCatchAll" ma:showField="CatchAllData" ma:web="3bc1743f-498b-4759-88c9-b625b578c3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aef27fb-1ce2-4270-8fda-7ea6197091af">
      <Terms xmlns="http://schemas.microsoft.com/office/infopath/2007/PartnerControls"/>
    </lcf76f155ced4ddcb4097134ff3c332f>
    <TaxCatchAll xmlns="3bc1743f-498b-4759-88c9-b625b578c3d4"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9E19B8D-3437-4289-ABC2-A6D0AE3CFBBC}">
  <ds:schemaRefs>
    <ds:schemaRef ds:uri="http://schemas.openxmlformats.org/officeDocument/2006/bibliography"/>
  </ds:schemaRefs>
</ds:datastoreItem>
</file>

<file path=customXml/itemProps2.xml><?xml version="1.0" encoding="utf-8"?>
<ds:datastoreItem xmlns:ds="http://schemas.openxmlformats.org/officeDocument/2006/customXml" ds:itemID="{CB0BB89F-F933-40A3-82A3-138523E5FE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ef27fb-1ce2-4270-8fda-7ea6197091af"/>
    <ds:schemaRef ds:uri="3bc1743f-498b-4759-88c9-b625b578c3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70EE697-A8CF-4D69-8F93-997935B4A323}">
  <ds:schemaRefs>
    <ds:schemaRef ds:uri="http://schemas.microsoft.com/office/2006/metadata/properties"/>
    <ds:schemaRef ds:uri="http://schemas.microsoft.com/office/infopath/2007/PartnerControls"/>
    <ds:schemaRef ds:uri="eaef27fb-1ce2-4270-8fda-7ea6197091af"/>
    <ds:schemaRef ds:uri="3bc1743f-498b-4759-88c9-b625b578c3d4"/>
  </ds:schemaRefs>
</ds:datastoreItem>
</file>

<file path=customXml/itemProps4.xml><?xml version="1.0" encoding="utf-8"?>
<ds:datastoreItem xmlns:ds="http://schemas.openxmlformats.org/officeDocument/2006/customXml" ds:itemID="{A11D9CD6-D3BC-48D3-A7FB-295975C4D2E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1056</Words>
  <Characters>6256</Characters>
  <Application>Microsoft Office Word</Application>
  <DocSecurity>0</DocSecurity>
  <Lines>85</Lines>
  <Paragraphs>17</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7295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PUIA Manuela Morena (SG)</dc:creator>
  <cp:keywords/>
  <cp:lastModifiedBy>ROSSI Simona (SG)</cp:lastModifiedBy>
  <cp:revision>2</cp:revision>
  <cp:lastPrinted>2013-02-27T18:02:00Z</cp:lastPrinted>
  <dcterms:created xsi:type="dcterms:W3CDTF">2026-05-27T15:35:00Z</dcterms:created>
  <dcterms:modified xsi:type="dcterms:W3CDTF">2026-05-27T15:35:00Z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2023-04-12T12:31:59Z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633b4ac4-9ed9-4135-981c-e588276a87bc</vt:lpwstr>
  </property>
  <property fmtid="{D5CDD505-2E9C-101B-9397-08002B2CF9AE}" pid="8" name="MSIP_Label_6bd9ddd1-4d20-43f6-abfa-fc3c07406f94_ContentBits">
    <vt:lpwstr>0</vt:lpwstr>
  </property>
  <property fmtid="{D5CDD505-2E9C-101B-9397-08002B2CF9AE}" pid="9" name="ContentTypeId">
    <vt:lpwstr>0x0101008B171932C7DE7B41B675ECB3C9728969</vt:lpwstr>
  </property>
</Properties>
</file>