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1C4138" w:rsidRPr="00442552" w14:paraId="7E6372DC" w14:textId="77777777" w:rsidTr="065448E7">
        <w:trPr>
          <w:jc w:val="center"/>
        </w:trPr>
        <w:tc>
          <w:tcPr>
            <w:tcW w:w="10243" w:type="dxa"/>
          </w:tcPr>
          <w:p w14:paraId="3A4EDC3A" w14:textId="7B16AEEE" w:rsidR="001C4138" w:rsidRPr="000E4FA1" w:rsidRDefault="000E4FA1" w:rsidP="001C4138">
            <w:pPr>
              <w:spacing w:before="120" w:after="120"/>
              <w:rPr>
                <w:rFonts w:ascii="Times New Roman" w:hAnsi="Times New Roman"/>
                <w:b/>
                <w:sz w:val="24"/>
                <w:szCs w:val="24"/>
                <w:lang w:val="en-IE"/>
              </w:rPr>
            </w:pPr>
            <w:r>
              <w:rPr>
                <w:rFonts w:ascii="Times New Roman" w:hAnsi="Times New Roman"/>
                <w:b/>
                <w:sz w:val="24"/>
                <w:szCs w:val="24"/>
              </w:rPr>
              <w:t>E</w:t>
            </w:r>
            <w:r w:rsidRPr="000E4FA1">
              <w:rPr>
                <w:rFonts w:ascii="Times New Roman" w:hAnsi="Times New Roman"/>
                <w:b/>
                <w:sz w:val="24"/>
                <w:szCs w:val="24"/>
              </w:rPr>
              <w:t>uropean business wallets</w:t>
            </w:r>
            <w:r w:rsidR="00554137">
              <w:rPr>
                <w:rFonts w:ascii="Times New Roman" w:hAnsi="Times New Roman"/>
                <w:b/>
                <w:sz w:val="24"/>
                <w:szCs w:val="24"/>
              </w:rPr>
              <w:br/>
            </w:r>
            <w:r w:rsidR="00C640C3">
              <w:rPr>
                <w:rFonts w:ascii="Times New Roman" w:hAnsi="Times New Roman"/>
                <w:b/>
                <w:sz w:val="24"/>
                <w:szCs w:val="24"/>
                <w:lang w:val="en-IE"/>
              </w:rPr>
              <w:t>(mandatory opinion)</w:t>
            </w:r>
            <w:r w:rsidR="00C640C3">
              <w:rPr>
                <w:rFonts w:ascii="Times New Roman" w:hAnsi="Times New Roman"/>
                <w:b/>
                <w:sz w:val="24"/>
                <w:szCs w:val="24"/>
                <w:lang w:val="en-IE"/>
              </w:rPr>
              <w:br/>
            </w:r>
            <w:r w:rsidR="003E0A11" w:rsidRPr="00554137">
              <w:rPr>
                <w:rFonts w:ascii="Times New Roman" w:hAnsi="Times New Roman"/>
                <w:b/>
                <w:sz w:val="24"/>
                <w:szCs w:val="24"/>
                <w:lang w:val="en-IE"/>
              </w:rPr>
              <w:t>COM</w:t>
            </w:r>
            <w:r w:rsidR="003E0A11" w:rsidRPr="000E4FA1">
              <w:rPr>
                <w:rFonts w:ascii="Times New Roman" w:hAnsi="Times New Roman"/>
                <w:b/>
                <w:sz w:val="24"/>
                <w:szCs w:val="24"/>
              </w:rPr>
              <w:t xml:space="preserve"> (</w:t>
            </w:r>
            <w:r w:rsidRPr="000E4FA1">
              <w:rPr>
                <w:rFonts w:ascii="Times New Roman" w:hAnsi="Times New Roman"/>
                <w:b/>
                <w:sz w:val="24"/>
                <w:szCs w:val="24"/>
              </w:rPr>
              <w:t>2025) 838 final</w:t>
            </w:r>
            <w:r w:rsidR="00170067">
              <w:rPr>
                <w:rFonts w:ascii="Times New Roman" w:hAnsi="Times New Roman"/>
                <w:b/>
                <w:sz w:val="24"/>
                <w:szCs w:val="24"/>
              </w:rPr>
              <w:br/>
            </w:r>
            <w:r w:rsidR="001C4138" w:rsidRPr="00554137">
              <w:rPr>
                <w:rFonts w:ascii="Times New Roman" w:hAnsi="Times New Roman"/>
                <w:b/>
                <w:sz w:val="24"/>
                <w:szCs w:val="24"/>
                <w:lang w:val="en-IE"/>
              </w:rPr>
              <w:t>EESC</w:t>
            </w:r>
            <w:r w:rsidRPr="000E4FA1">
              <w:rPr>
                <w:rFonts w:ascii="Times New Roman" w:hAnsi="Times New Roman"/>
                <w:b/>
                <w:sz w:val="24"/>
                <w:szCs w:val="24"/>
              </w:rPr>
              <w:t>-2025-03899</w:t>
            </w:r>
            <w:r w:rsidR="001C4138" w:rsidRPr="00807B48">
              <w:rPr>
                <w:rFonts w:ascii="Times New Roman" w:hAnsi="Times New Roman"/>
                <w:b/>
                <w:sz w:val="24"/>
                <w:szCs w:val="24"/>
              </w:rPr>
              <w:t xml:space="preserve">‒ </w:t>
            </w:r>
            <w:r w:rsidR="008B6533" w:rsidRPr="008B6533">
              <w:rPr>
                <w:rFonts w:ascii="Times New Roman" w:hAnsi="Times New Roman"/>
                <w:b/>
                <w:sz w:val="24"/>
                <w:szCs w:val="24"/>
              </w:rPr>
              <w:t>INT/1110</w:t>
            </w:r>
            <w:r w:rsidR="001C4138" w:rsidRPr="00807B48">
              <w:rPr>
                <w:rFonts w:ascii="Times New Roman" w:hAnsi="Times New Roman"/>
                <w:b/>
                <w:sz w:val="24"/>
                <w:szCs w:val="24"/>
              </w:rPr>
              <w:br/>
            </w:r>
            <w:r w:rsidR="008B6533" w:rsidRPr="00124EA4">
              <w:rPr>
                <w:rFonts w:ascii="Times New Roman" w:hAnsi="Times New Roman"/>
                <w:b/>
                <w:sz w:val="24"/>
                <w:szCs w:val="24"/>
              </w:rPr>
              <w:t>604</w:t>
            </w:r>
            <w:proofErr w:type="spellStart"/>
            <w:r w:rsidR="008B6533" w:rsidRPr="00124EA4">
              <w:rPr>
                <w:b/>
                <w:vertAlign w:val="superscript"/>
                <w:lang w:val="en-IE"/>
              </w:rPr>
              <w:t>th</w:t>
            </w:r>
            <w:proofErr w:type="spellEnd"/>
            <w:r w:rsidR="008B6533" w:rsidRPr="00124EA4">
              <w:rPr>
                <w:b/>
                <w:lang w:val="en-IE"/>
              </w:rPr>
              <w:t xml:space="preserve"> </w:t>
            </w:r>
            <w:r w:rsidR="008B6533" w:rsidRPr="00124EA4">
              <w:rPr>
                <w:rFonts w:ascii="Times New Roman" w:hAnsi="Times New Roman"/>
                <w:b/>
                <w:sz w:val="24"/>
                <w:szCs w:val="24"/>
              </w:rPr>
              <w:t xml:space="preserve">Plenary Session – </w:t>
            </w:r>
            <w:r w:rsidR="008B6533">
              <w:rPr>
                <w:rFonts w:ascii="Times New Roman" w:hAnsi="Times New Roman"/>
                <w:b/>
                <w:sz w:val="24"/>
                <w:szCs w:val="24"/>
              </w:rPr>
              <w:t>March 2026</w:t>
            </w:r>
            <w:r w:rsidR="001C4138" w:rsidRPr="00807B48">
              <w:rPr>
                <w:rFonts w:ascii="Times New Roman" w:hAnsi="Times New Roman"/>
                <w:b/>
                <w:sz w:val="24"/>
                <w:szCs w:val="24"/>
              </w:rPr>
              <w:br/>
              <w:t xml:space="preserve">Rapporteur: </w:t>
            </w:r>
            <w:r w:rsidR="008B6533" w:rsidRPr="008B6533">
              <w:rPr>
                <w:rFonts w:ascii="Times New Roman" w:hAnsi="Times New Roman"/>
                <w:b/>
                <w:sz w:val="24"/>
                <w:szCs w:val="24"/>
              </w:rPr>
              <w:t>Philip VON BROCKDORFF (MT-II</w:t>
            </w:r>
            <w:r w:rsidR="008B6533">
              <w:rPr>
                <w:rFonts w:ascii="Times New Roman" w:hAnsi="Times New Roman"/>
                <w:b/>
                <w:sz w:val="24"/>
                <w:szCs w:val="24"/>
              </w:rPr>
              <w:t>)</w:t>
            </w:r>
            <w:r w:rsidR="00C640C3">
              <w:rPr>
                <w:rFonts w:ascii="Times New Roman" w:hAnsi="Times New Roman"/>
                <w:b/>
                <w:sz w:val="24"/>
                <w:szCs w:val="24"/>
                <w:lang w:val="en-IE"/>
              </w:rPr>
              <w:br/>
            </w:r>
            <w:r w:rsidR="001C4138" w:rsidRPr="00807B48">
              <w:rPr>
                <w:rFonts w:ascii="Times New Roman" w:hAnsi="Times New Roman"/>
                <w:b/>
                <w:sz w:val="24"/>
                <w:szCs w:val="24"/>
              </w:rPr>
              <w:t xml:space="preserve">DG </w:t>
            </w:r>
            <w:r w:rsidR="008B6533">
              <w:rPr>
                <w:rFonts w:ascii="Times New Roman" w:hAnsi="Times New Roman"/>
                <w:b/>
                <w:sz w:val="24"/>
                <w:szCs w:val="24"/>
              </w:rPr>
              <w:t>CNECT</w:t>
            </w:r>
            <w:r w:rsidR="001C4138" w:rsidRPr="00807B48">
              <w:rPr>
                <w:rFonts w:ascii="Times New Roman" w:hAnsi="Times New Roman"/>
                <w:b/>
                <w:sz w:val="24"/>
                <w:szCs w:val="24"/>
              </w:rPr>
              <w:t>–</w:t>
            </w:r>
            <w:r w:rsidR="004A7932" w:rsidRPr="009C6EAD">
              <w:rPr>
                <w:rFonts w:ascii="Times New Roman" w:hAnsi="Times New Roman"/>
                <w:b/>
                <w:bCs/>
                <w:kern w:val="28"/>
                <w:sz w:val="24"/>
                <w:szCs w:val="24"/>
              </w:rPr>
              <w:t>Executive Vice-President</w:t>
            </w:r>
            <w:r w:rsidR="001C4138" w:rsidRPr="00807B48">
              <w:rPr>
                <w:rFonts w:ascii="Times New Roman" w:hAnsi="Times New Roman"/>
                <w:b/>
                <w:sz w:val="24"/>
                <w:szCs w:val="24"/>
              </w:rPr>
              <w:t xml:space="preserve"> </w:t>
            </w:r>
            <w:r w:rsidR="00C640C3">
              <w:rPr>
                <w:rFonts w:ascii="Times New Roman" w:hAnsi="Times New Roman"/>
                <w:b/>
                <w:sz w:val="24"/>
                <w:szCs w:val="24"/>
              </w:rPr>
              <w:t>VIRKKUNEN</w:t>
            </w:r>
          </w:p>
        </w:tc>
      </w:tr>
      <w:tr w:rsidR="00734613" w:rsidRPr="00442552" w14:paraId="1937071F" w14:textId="77777777" w:rsidTr="065448E7">
        <w:trPr>
          <w:jc w:val="center"/>
        </w:trPr>
        <w:tc>
          <w:tcPr>
            <w:tcW w:w="10243" w:type="dxa"/>
          </w:tcPr>
          <w:p w14:paraId="1E50B4DB" w14:textId="6210B328"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65448E7">
        <w:trPr>
          <w:jc w:val="center"/>
        </w:trPr>
        <w:tc>
          <w:tcPr>
            <w:tcW w:w="10243" w:type="dxa"/>
          </w:tcPr>
          <w:p w14:paraId="0C57EB80" w14:textId="501ECE95" w:rsidR="0049246C" w:rsidRDefault="56B7E713" w:rsidP="300F74EA">
            <w:pPr>
              <w:spacing w:line="27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Commission welcomes the Committee’s opinion on the Proposal for a Regulation on the establishment of European Business Wallets adopted on 19 November 2025</w:t>
            </w:r>
            <w:r w:rsidR="009A504A">
              <w:rPr>
                <w:rStyle w:val="FootnoteReference"/>
                <w:rFonts w:ascii="Times New Roman" w:eastAsia="Times New Roman" w:hAnsi="Times New Roman"/>
                <w:color w:val="000000"/>
                <w:sz w:val="24"/>
                <w:szCs w:val="24"/>
              </w:rPr>
              <w:footnoteReference w:id="1"/>
            </w:r>
            <w:r>
              <w:rPr>
                <w:rFonts w:ascii="Times New Roman" w:eastAsia="Times New Roman" w:hAnsi="Times New Roman"/>
                <w:color w:val="000000"/>
                <w:sz w:val="24"/>
                <w:szCs w:val="24"/>
              </w:rPr>
              <w:t>. The Proposal is designed to reduce administrative burden, enable secure cross-border digital interactions and provide a</w:t>
            </w:r>
            <w:r w:rsidR="00E45086">
              <w:rPr>
                <w:rFonts w:ascii="Times New Roman" w:eastAsia="Times New Roman" w:hAnsi="Times New Roman"/>
                <w:color w:val="000000"/>
                <w:sz w:val="24"/>
                <w:szCs w:val="24"/>
              </w:rPr>
              <w:t> </w:t>
            </w:r>
            <w:r>
              <w:rPr>
                <w:rFonts w:ascii="Times New Roman" w:eastAsia="Times New Roman" w:hAnsi="Times New Roman"/>
                <w:color w:val="000000"/>
                <w:sz w:val="24"/>
                <w:szCs w:val="24"/>
              </w:rPr>
              <w:t xml:space="preserve">harmonised framework for the identity of economic operators across the EU. </w:t>
            </w:r>
          </w:p>
          <w:p w14:paraId="6AC3442D" w14:textId="46372BD6" w:rsidR="0049246C" w:rsidRDefault="56B7E713" w:rsidP="300F74EA">
            <w:pPr>
              <w:spacing w:line="278"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 xml:space="preserve">The Commission shares the Committee’s view that the lack of a harmonised approach on digital identification of economic operators in the EU has limited the Digital Single Market’s effectiveness. The Commission welcomes the Committee’s support over the potential of the initiative and shares its view on the need for effective implementation and delivery. </w:t>
            </w:r>
          </w:p>
          <w:p w14:paraId="4334DF6D" w14:textId="4623A0FB" w:rsidR="0049246C" w:rsidRDefault="56B7E713" w:rsidP="300F74EA">
            <w:pPr>
              <w:spacing w:before="240" w:after="24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 xml:space="preserve">The Commission underlines that the Proposal is anchored in the </w:t>
            </w:r>
            <w:r w:rsidR="007646A4">
              <w:rPr>
                <w:rFonts w:ascii="Times New Roman" w:eastAsia="Times New Roman" w:hAnsi="Times New Roman"/>
                <w:color w:val="000000"/>
                <w:sz w:val="24"/>
                <w:szCs w:val="24"/>
              </w:rPr>
              <w:t>‘</w:t>
            </w:r>
            <w:r>
              <w:rPr>
                <w:rFonts w:ascii="Times New Roman" w:eastAsia="Times New Roman" w:hAnsi="Times New Roman"/>
                <w:color w:val="000000"/>
                <w:sz w:val="24"/>
                <w:szCs w:val="24"/>
              </w:rPr>
              <w:t>once-only</w:t>
            </w:r>
            <w:r w:rsidR="007646A4">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principle and aims to minimise administrative burden by enabling the reuse of verifiable credentials across borders and procedures. To that effect, the Commission considers that the Proposal already ensures a business-centric approach without introducing additional obligations beyond the digitalisation of existing requirements. The European Business Wallets will further empower </w:t>
            </w:r>
            <w:r w:rsidR="009A504A">
              <w:rPr>
                <w:rFonts w:ascii="Times New Roman" w:eastAsia="Times New Roman" w:hAnsi="Times New Roman"/>
                <w:color w:val="000000"/>
                <w:sz w:val="24"/>
                <w:szCs w:val="24"/>
              </w:rPr>
              <w:t>small and medium-sized enterprises (</w:t>
            </w:r>
            <w:r>
              <w:rPr>
                <w:rFonts w:ascii="Times New Roman" w:eastAsia="Times New Roman" w:hAnsi="Times New Roman"/>
                <w:color w:val="000000"/>
                <w:sz w:val="24"/>
                <w:szCs w:val="24"/>
              </w:rPr>
              <w:t>SMEs</w:t>
            </w:r>
            <w:r w:rsidR="009A504A">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by providing a cost-effective, one-stop digital solution for all administrative procedures significantly reducing their compliance burden and enabling them to focus resources on growth and innovation.</w:t>
            </w:r>
          </w:p>
          <w:p w14:paraId="0B7D10C2" w14:textId="6C96009B" w:rsidR="0049246C" w:rsidRDefault="56B7E713" w:rsidP="300F74EA">
            <w:pPr>
              <w:spacing w:line="27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Commission welcomes the Committee’s support for the initiative and its connection to the EU Digital Identity Wallet and agrees that legal and functional clarity between the two frameworks is essential. The Proposal already provides for a distinction between the EU Digital Identity Wallet for citizens and the European Business Wallets, as both </w:t>
            </w:r>
            <w:r w:rsidR="00C516F6">
              <w:rPr>
                <w:rFonts w:ascii="Times New Roman" w:eastAsia="Times New Roman" w:hAnsi="Times New Roman"/>
                <w:color w:val="000000"/>
                <w:sz w:val="24"/>
                <w:szCs w:val="24"/>
              </w:rPr>
              <w:t>forms</w:t>
            </w:r>
            <w:r>
              <w:rPr>
                <w:rFonts w:ascii="Times New Roman" w:eastAsia="Times New Roman" w:hAnsi="Times New Roman"/>
                <w:color w:val="000000"/>
                <w:sz w:val="24"/>
                <w:szCs w:val="24"/>
              </w:rPr>
              <w:t xml:space="preserve"> together a core component of Europe’s Digital Public Infrastructure, enabling seamless and resilient digital interactions across the Union. </w:t>
            </w:r>
          </w:p>
          <w:p w14:paraId="3B9F2D4B" w14:textId="5FE39872" w:rsidR="0049246C" w:rsidRDefault="56B7E713" w:rsidP="300F74EA">
            <w:pPr>
              <w:spacing w:line="278" w:lineRule="auto"/>
              <w:jc w:val="both"/>
              <w:rPr>
                <w:rFonts w:ascii="Times New Roman" w:eastAsia="Times New Roman" w:hAnsi="Times New Roman"/>
                <w:color w:val="000000"/>
                <w:sz w:val="24"/>
                <w:szCs w:val="24"/>
                <w:lang w:val="en-US"/>
              </w:rPr>
            </w:pPr>
            <w:r w:rsidRPr="065448E7">
              <w:rPr>
                <w:rFonts w:ascii="Times New Roman" w:eastAsia="Times New Roman" w:hAnsi="Times New Roman"/>
                <w:color w:val="000000" w:themeColor="text1"/>
                <w:sz w:val="24"/>
                <w:szCs w:val="24"/>
              </w:rPr>
              <w:t xml:space="preserve">The Commission agrees that reliable cross-border identity matching and the recognition of representation powers constitute essential preconditions for the effective functioning of the European Business Wallets. To tackle such issues, the Proposal establishes a framework based on trusted sources and verifiable credentials, expanding and relying on the trusted ecosystem set out in </w:t>
            </w:r>
            <w:r w:rsidR="009A504A">
              <w:rPr>
                <w:rFonts w:ascii="Times New Roman" w:eastAsia="Times New Roman" w:hAnsi="Times New Roman"/>
                <w:color w:val="000000" w:themeColor="text1"/>
                <w:sz w:val="24"/>
                <w:szCs w:val="24"/>
              </w:rPr>
              <w:t xml:space="preserve">the </w:t>
            </w:r>
            <w:r w:rsidRPr="065448E7">
              <w:rPr>
                <w:rFonts w:ascii="Times New Roman" w:eastAsia="Times New Roman" w:hAnsi="Times New Roman"/>
                <w:color w:val="000000" w:themeColor="text1"/>
                <w:sz w:val="24"/>
                <w:szCs w:val="24"/>
              </w:rPr>
              <w:t>Regulation</w:t>
            </w:r>
            <w:r w:rsidR="009A504A" w:rsidRPr="009A504A">
              <w:rPr>
                <w:rFonts w:ascii="Roboto" w:hAnsi="Roboto"/>
                <w:b/>
                <w:bCs/>
                <w:color w:val="333333"/>
                <w:sz w:val="21"/>
                <w:szCs w:val="21"/>
                <w:shd w:val="clear" w:color="auto" w:fill="FFFFFF"/>
              </w:rPr>
              <w:t xml:space="preserve"> </w:t>
            </w:r>
            <w:r w:rsidR="009A504A" w:rsidRPr="00C516F6">
              <w:rPr>
                <w:rFonts w:ascii="Times New Roman" w:eastAsia="Times New Roman" w:hAnsi="Times New Roman"/>
                <w:color w:val="000000" w:themeColor="text1"/>
                <w:sz w:val="24"/>
                <w:szCs w:val="24"/>
              </w:rPr>
              <w:t>on electronic identification and trust services for electronic transactions in the internal market</w:t>
            </w:r>
            <w:r w:rsidR="009A504A">
              <w:rPr>
                <w:rStyle w:val="FootnoteReference"/>
                <w:rFonts w:ascii="Times New Roman" w:eastAsia="Times New Roman" w:hAnsi="Times New Roman"/>
                <w:color w:val="000000" w:themeColor="text1"/>
                <w:sz w:val="24"/>
                <w:szCs w:val="24"/>
              </w:rPr>
              <w:footnoteReference w:id="2"/>
            </w:r>
            <w:r w:rsidRPr="065448E7">
              <w:rPr>
                <w:rFonts w:ascii="Times New Roman" w:eastAsia="Times New Roman" w:hAnsi="Times New Roman"/>
                <w:color w:val="000000" w:themeColor="text1"/>
                <w:sz w:val="24"/>
                <w:szCs w:val="24"/>
              </w:rPr>
              <w:t xml:space="preserve">, and </w:t>
            </w:r>
            <w:r w:rsidRPr="065448E7">
              <w:rPr>
                <w:rFonts w:ascii="Times New Roman" w:eastAsia="Times New Roman" w:hAnsi="Times New Roman"/>
                <w:color w:val="000000" w:themeColor="text1"/>
                <w:sz w:val="24"/>
                <w:szCs w:val="24"/>
              </w:rPr>
              <w:lastRenderedPageBreak/>
              <w:t>provides for the use of harmonised standards. Such</w:t>
            </w:r>
            <w:r w:rsidR="001F5E39" w:rsidRPr="065448E7">
              <w:rPr>
                <w:rFonts w:ascii="Times New Roman" w:eastAsia="Times New Roman" w:hAnsi="Times New Roman"/>
                <w:color w:val="000000" w:themeColor="text1"/>
                <w:sz w:val="24"/>
                <w:szCs w:val="24"/>
              </w:rPr>
              <w:t xml:space="preserve"> framework</w:t>
            </w:r>
            <w:r w:rsidRPr="065448E7">
              <w:rPr>
                <w:rFonts w:ascii="Times New Roman" w:eastAsia="Times New Roman" w:hAnsi="Times New Roman"/>
                <w:color w:val="000000" w:themeColor="text1"/>
                <w:sz w:val="24"/>
                <w:szCs w:val="24"/>
              </w:rPr>
              <w:t xml:space="preserve"> will provide a secure and trusted means for identification, authentication and verification of workers’ and companies’ identities and enable users to store and share digital documents and information within their wallets. At the same time, the Commission considers that full harmonisation of underlying legal concepts would not be appropriate at Union level given that such competences rest with Member States and that, to the extent possible, further specification</w:t>
            </w:r>
            <w:r w:rsidR="008705DB" w:rsidRPr="065448E7">
              <w:rPr>
                <w:rFonts w:ascii="Times New Roman" w:eastAsia="Times New Roman" w:hAnsi="Times New Roman"/>
                <w:color w:val="000000" w:themeColor="text1"/>
                <w:sz w:val="24"/>
                <w:szCs w:val="24"/>
              </w:rPr>
              <w:t>s</w:t>
            </w:r>
            <w:r w:rsidRPr="065448E7">
              <w:rPr>
                <w:rFonts w:ascii="Times New Roman" w:eastAsia="Times New Roman" w:hAnsi="Times New Roman"/>
                <w:color w:val="000000" w:themeColor="text1"/>
                <w:sz w:val="24"/>
                <w:szCs w:val="24"/>
              </w:rPr>
              <w:t xml:space="preserve"> should be ensured through implementing acts and technical specifications.</w:t>
            </w:r>
            <w:r w:rsidR="004A5358" w:rsidRPr="065448E7">
              <w:rPr>
                <w:rFonts w:ascii="Times New Roman" w:eastAsia="Times New Roman" w:hAnsi="Times New Roman"/>
                <w:color w:val="000000" w:themeColor="text1"/>
                <w:sz w:val="24"/>
                <w:szCs w:val="24"/>
              </w:rPr>
              <w:t xml:space="preserve"> </w:t>
            </w:r>
          </w:p>
          <w:p w14:paraId="62D87C9A" w14:textId="395C3065" w:rsidR="0049246C" w:rsidRDefault="56B7E713" w:rsidP="300F74EA">
            <w:pPr>
              <w:spacing w:line="278" w:lineRule="auto"/>
              <w:jc w:val="both"/>
              <w:rPr>
                <w:rFonts w:ascii="Times New Roman" w:eastAsia="Times New Roman" w:hAnsi="Times New Roman"/>
                <w:color w:val="000000"/>
                <w:sz w:val="24"/>
                <w:szCs w:val="24"/>
                <w:lang w:val="en-US"/>
              </w:rPr>
            </w:pPr>
            <w:r w:rsidRPr="065448E7">
              <w:rPr>
                <w:rFonts w:ascii="Times New Roman" w:eastAsia="Times New Roman" w:hAnsi="Times New Roman"/>
                <w:color w:val="000000" w:themeColor="text1"/>
                <w:sz w:val="24"/>
                <w:szCs w:val="24"/>
              </w:rPr>
              <w:t xml:space="preserve">The Commission agrees that global interoperability is vital for EU competitiveness, </w:t>
            </w:r>
            <w:proofErr w:type="gramStart"/>
            <w:r w:rsidRPr="065448E7">
              <w:rPr>
                <w:rFonts w:ascii="Times New Roman" w:eastAsia="Times New Roman" w:hAnsi="Times New Roman"/>
                <w:color w:val="000000" w:themeColor="text1"/>
                <w:sz w:val="24"/>
                <w:szCs w:val="24"/>
              </w:rPr>
              <w:t>in particular in</w:t>
            </w:r>
            <w:proofErr w:type="gramEnd"/>
            <w:r w:rsidRPr="065448E7">
              <w:rPr>
                <w:rFonts w:ascii="Times New Roman" w:eastAsia="Times New Roman" w:hAnsi="Times New Roman"/>
                <w:color w:val="000000" w:themeColor="text1"/>
                <w:sz w:val="24"/>
                <w:szCs w:val="24"/>
              </w:rPr>
              <w:t xml:space="preserve"> the context of cross-border trade and digital service provision. In this regard, the Commission underlines that the Proposal is designed in a manner that is forward-looking and standards-based, thereby facilitating interoperability. More specifically, the Proposal promotes interoperability </w:t>
            </w:r>
            <w:r w:rsidR="009A504A" w:rsidRPr="065448E7">
              <w:rPr>
                <w:rFonts w:ascii="Times New Roman" w:eastAsia="Times New Roman" w:hAnsi="Times New Roman"/>
                <w:color w:val="000000" w:themeColor="text1"/>
                <w:sz w:val="24"/>
                <w:szCs w:val="24"/>
              </w:rPr>
              <w:t>using</w:t>
            </w:r>
            <w:r w:rsidRPr="065448E7">
              <w:rPr>
                <w:rFonts w:ascii="Times New Roman" w:eastAsia="Times New Roman" w:hAnsi="Times New Roman"/>
                <w:color w:val="000000" w:themeColor="text1"/>
                <w:sz w:val="24"/>
                <w:szCs w:val="24"/>
              </w:rPr>
              <w:t xml:space="preserve"> open, transparent and widely recognised technical standards, which will be adopted and set out in </w:t>
            </w:r>
            <w:r w:rsidR="00FB6A8E" w:rsidRPr="065448E7">
              <w:rPr>
                <w:rFonts w:ascii="Times New Roman" w:eastAsia="Times New Roman" w:hAnsi="Times New Roman"/>
                <w:color w:val="000000" w:themeColor="text1"/>
                <w:sz w:val="24"/>
                <w:szCs w:val="24"/>
              </w:rPr>
              <w:t>i</w:t>
            </w:r>
            <w:r w:rsidRPr="065448E7">
              <w:rPr>
                <w:rFonts w:ascii="Times New Roman" w:eastAsia="Times New Roman" w:hAnsi="Times New Roman"/>
                <w:color w:val="000000" w:themeColor="text1"/>
                <w:sz w:val="24"/>
                <w:szCs w:val="24"/>
              </w:rPr>
              <w:t xml:space="preserve">mplementing </w:t>
            </w:r>
            <w:r w:rsidR="00FB6A8E" w:rsidRPr="065448E7">
              <w:rPr>
                <w:rFonts w:ascii="Times New Roman" w:eastAsia="Times New Roman" w:hAnsi="Times New Roman"/>
                <w:color w:val="000000" w:themeColor="text1"/>
                <w:sz w:val="24"/>
                <w:szCs w:val="24"/>
              </w:rPr>
              <w:t>a</w:t>
            </w:r>
            <w:r w:rsidRPr="065448E7">
              <w:rPr>
                <w:rFonts w:ascii="Times New Roman" w:eastAsia="Times New Roman" w:hAnsi="Times New Roman"/>
                <w:color w:val="000000" w:themeColor="text1"/>
                <w:sz w:val="24"/>
                <w:szCs w:val="24"/>
              </w:rPr>
              <w:t>cts, as well as through the development of harmonised specifications capable of supporting future international alignment. This approach is intended to avoid technological lock-in and to ensure that Union solutions remain compatible with evolving global digital ecosystems.</w:t>
            </w:r>
          </w:p>
          <w:p w14:paraId="2F0E196C" w14:textId="48068785" w:rsidR="0049246C" w:rsidRDefault="56B7E713" w:rsidP="300F74EA">
            <w:pPr>
              <w:spacing w:before="240" w:after="240"/>
              <w:jc w:val="both"/>
              <w:rPr>
                <w:rFonts w:ascii="Times New Roman" w:eastAsia="Times New Roman" w:hAnsi="Times New Roman"/>
                <w:color w:val="000000"/>
                <w:sz w:val="24"/>
                <w:szCs w:val="24"/>
                <w:lang w:val="en-US"/>
              </w:rPr>
            </w:pPr>
            <w:r w:rsidRPr="065448E7">
              <w:rPr>
                <w:rFonts w:ascii="Times New Roman" w:eastAsia="Times New Roman" w:hAnsi="Times New Roman"/>
                <w:color w:val="000000" w:themeColor="text1"/>
                <w:sz w:val="24"/>
                <w:szCs w:val="24"/>
              </w:rPr>
              <w:t>At the same time, the Commission emphasises that the primary and immediate objective of the Proposal is to ensure the effective functioning of the European Business Wallets framework within the Single Market. Achieving a high level of interoperability, legal certainty and trust among Member States constitutes a necessary precondition. In this context, the Commission considers that any recognition of, or interoperability with, third-country systems should be pursued in a gradual, controlled and case-by-case analysis approach - subject to a thorough assessment of equivalence</w:t>
            </w:r>
            <w:r w:rsidR="75D1ADD6" w:rsidRPr="065448E7">
              <w:rPr>
                <w:rFonts w:ascii="Times New Roman" w:eastAsia="Times New Roman" w:hAnsi="Times New Roman"/>
                <w:color w:val="000000" w:themeColor="text1"/>
                <w:sz w:val="24"/>
                <w:szCs w:val="24"/>
              </w:rPr>
              <w:t xml:space="preserve">, but also </w:t>
            </w:r>
            <w:proofErr w:type="gramStart"/>
            <w:r w:rsidR="75D1ADD6" w:rsidRPr="065448E7">
              <w:rPr>
                <w:rFonts w:ascii="Times New Roman" w:eastAsia="Times New Roman" w:hAnsi="Times New Roman"/>
                <w:color w:val="000000" w:themeColor="text1"/>
                <w:sz w:val="24"/>
                <w:szCs w:val="24"/>
              </w:rPr>
              <w:t>taking into account</w:t>
            </w:r>
            <w:proofErr w:type="gramEnd"/>
            <w:r w:rsidR="75D1ADD6" w:rsidRPr="065448E7">
              <w:rPr>
                <w:rFonts w:ascii="Times New Roman" w:eastAsia="Times New Roman" w:hAnsi="Times New Roman"/>
                <w:color w:val="000000" w:themeColor="text1"/>
                <w:sz w:val="24"/>
                <w:szCs w:val="24"/>
              </w:rPr>
              <w:t xml:space="preserve"> the Union’s strategic interest (e.g. in terms of economic security)</w:t>
            </w:r>
            <w:r w:rsidRPr="065448E7">
              <w:rPr>
                <w:rFonts w:ascii="Times New Roman" w:eastAsia="Times New Roman" w:hAnsi="Times New Roman"/>
                <w:color w:val="000000" w:themeColor="text1"/>
                <w:sz w:val="24"/>
                <w:szCs w:val="24"/>
              </w:rPr>
              <w:t xml:space="preserve">. Furthermore, the Commission underlines that external interoperability should </w:t>
            </w:r>
            <w:r w:rsidR="6A91A8A1" w:rsidRPr="065448E7">
              <w:rPr>
                <w:rFonts w:ascii="Times New Roman" w:eastAsia="Times New Roman" w:hAnsi="Times New Roman"/>
                <w:color w:val="000000" w:themeColor="text1"/>
                <w:sz w:val="24"/>
                <w:szCs w:val="24"/>
              </w:rPr>
              <w:t xml:space="preserve">enhance </w:t>
            </w:r>
            <w:r w:rsidRPr="065448E7">
              <w:rPr>
                <w:rFonts w:ascii="Times New Roman" w:eastAsia="Times New Roman" w:hAnsi="Times New Roman"/>
                <w:color w:val="000000" w:themeColor="text1"/>
                <w:sz w:val="24"/>
                <w:szCs w:val="24"/>
              </w:rPr>
              <w:t xml:space="preserve">not lower Union standards nor create legal uncertainty for economic operators within the internal market. </w:t>
            </w:r>
          </w:p>
          <w:p w14:paraId="30D14481" w14:textId="42DB45D3" w:rsidR="0049246C" w:rsidRDefault="56B7E713" w:rsidP="300F74EA">
            <w:pPr>
              <w:spacing w:before="240" w:after="24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The Commission emphasises that the Proposal already establishes a robust framework based on the systematic reliance on authentic and authoritative sources at national level, such as national business registers and other legally recognised repositories that would act as the authentic source of required data. This approach ensures that the information made available through European Business Wallets reflects legally valid and up-to-date data, thereby preserving its evidentiary value across jurisdictions.</w:t>
            </w:r>
          </w:p>
        </w:tc>
      </w:tr>
    </w:tbl>
    <w:p w14:paraId="41D86A3C" w14:textId="03F7D5DB" w:rsidR="00554137" w:rsidRPr="009A504A" w:rsidRDefault="00554137" w:rsidP="003E0A11">
      <w:pPr>
        <w:spacing w:after="120"/>
        <w:rPr>
          <w:rFonts w:ascii="Times New Roman" w:hAnsi="Times New Roman"/>
          <w:b/>
          <w:sz w:val="2"/>
          <w:szCs w:val="2"/>
          <w:u w:val="single"/>
        </w:rPr>
      </w:pPr>
    </w:p>
    <w:sectPr w:rsidR="00554137" w:rsidRPr="009A50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607C" w14:textId="77777777" w:rsidR="002D05F3" w:rsidRDefault="002D05F3" w:rsidP="00FF63EA">
      <w:pPr>
        <w:spacing w:after="0" w:line="240" w:lineRule="auto"/>
      </w:pPr>
      <w:r>
        <w:separator/>
      </w:r>
    </w:p>
  </w:endnote>
  <w:endnote w:type="continuationSeparator" w:id="0">
    <w:p w14:paraId="4D71831A" w14:textId="77777777" w:rsidR="002D05F3" w:rsidRDefault="002D05F3"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30A4" w14:textId="77777777" w:rsidR="002D05F3" w:rsidRDefault="002D05F3" w:rsidP="00FF63EA">
      <w:pPr>
        <w:spacing w:after="0" w:line="240" w:lineRule="auto"/>
      </w:pPr>
      <w:r>
        <w:separator/>
      </w:r>
    </w:p>
  </w:footnote>
  <w:footnote w:type="continuationSeparator" w:id="0">
    <w:p w14:paraId="770DC029" w14:textId="77777777" w:rsidR="002D05F3" w:rsidRDefault="002D05F3" w:rsidP="00FF63EA">
      <w:pPr>
        <w:spacing w:after="0" w:line="240" w:lineRule="auto"/>
      </w:pPr>
      <w:r>
        <w:continuationSeparator/>
      </w:r>
    </w:p>
  </w:footnote>
  <w:footnote w:id="1">
    <w:p w14:paraId="138A24DE" w14:textId="497ACA07" w:rsidR="009A504A" w:rsidRPr="00170067" w:rsidRDefault="009A504A" w:rsidP="00C516F6">
      <w:pPr>
        <w:pStyle w:val="FootnoteText"/>
        <w:widowControl w:val="0"/>
        <w:spacing w:after="0" w:line="240" w:lineRule="auto"/>
        <w:jc w:val="both"/>
        <w:rPr>
          <w:rFonts w:ascii="Times New Roman" w:hAnsi="Times New Roman"/>
          <w:lang w:val="en-IE"/>
        </w:rPr>
      </w:pPr>
      <w:r w:rsidRPr="00C516F6">
        <w:rPr>
          <w:rStyle w:val="FootnoteReference"/>
          <w:rFonts w:ascii="Times New Roman" w:hAnsi="Times New Roman"/>
        </w:rPr>
        <w:footnoteRef/>
      </w:r>
      <w:r w:rsidRPr="00170067">
        <w:rPr>
          <w:rFonts w:ascii="Times New Roman" w:hAnsi="Times New Roman"/>
          <w:lang w:val="en-IE"/>
        </w:rPr>
        <w:t xml:space="preserve"> </w:t>
      </w:r>
      <w:r w:rsidRPr="00170067">
        <w:rPr>
          <w:rFonts w:ascii="Times New Roman" w:hAnsi="Times New Roman"/>
          <w:lang w:val="en-IE"/>
        </w:rPr>
        <w:tab/>
        <w:t>COM(2025)838 final (</w:t>
      </w:r>
      <w:hyperlink r:id="rId1" w:history="1">
        <w:r w:rsidRPr="00170067">
          <w:rPr>
            <w:rStyle w:val="Hyperlink"/>
            <w:rFonts w:ascii="Times New Roman" w:hAnsi="Times New Roman"/>
            <w:lang w:val="en-IE"/>
          </w:rPr>
          <w:t>EUR-Lex - 52025PC0838 - EN - EUR-Lex</w:t>
        </w:r>
      </w:hyperlink>
      <w:r w:rsidRPr="00170067">
        <w:rPr>
          <w:rFonts w:ascii="Times New Roman" w:hAnsi="Times New Roman"/>
          <w:lang w:val="en-IE"/>
        </w:rPr>
        <w:t>).</w:t>
      </w:r>
    </w:p>
  </w:footnote>
  <w:footnote w:id="2">
    <w:p w14:paraId="10AB07D8" w14:textId="3041DF2A" w:rsidR="009A504A" w:rsidRPr="00170067" w:rsidRDefault="009A504A" w:rsidP="00C516F6">
      <w:pPr>
        <w:pStyle w:val="FootnoteText"/>
        <w:widowControl w:val="0"/>
        <w:spacing w:after="0" w:line="240" w:lineRule="auto"/>
        <w:jc w:val="both"/>
        <w:rPr>
          <w:rFonts w:ascii="Times New Roman" w:hAnsi="Times New Roman"/>
          <w:lang w:val="en-IE"/>
        </w:rPr>
      </w:pPr>
      <w:r w:rsidRPr="00C516F6">
        <w:rPr>
          <w:rStyle w:val="FootnoteReference"/>
          <w:rFonts w:ascii="Times New Roman" w:hAnsi="Times New Roman"/>
        </w:rPr>
        <w:footnoteRef/>
      </w:r>
      <w:r w:rsidRPr="00C516F6">
        <w:rPr>
          <w:rFonts w:ascii="Times New Roman" w:hAnsi="Times New Roman"/>
        </w:rPr>
        <w:t xml:space="preserve"> </w:t>
      </w:r>
      <w:r w:rsidRPr="00C516F6">
        <w:rPr>
          <w:rFonts w:ascii="Times New Roman" w:hAnsi="Times New Roman"/>
          <w:lang w:val="en-IE"/>
        </w:rPr>
        <w:tab/>
        <w:t>Regulation (EU) No 910/2014 of the European Parliament and of the Council of 23 July 2014 on electronic identification and trust services for electronic transactions in the internal market and repealing</w:t>
      </w:r>
      <w:r w:rsidRPr="009A504A">
        <w:rPr>
          <w:rFonts w:ascii="Times New Roman" w:hAnsi="Times New Roman"/>
          <w:b/>
          <w:bCs/>
          <w:lang w:val="en-IE"/>
        </w:rPr>
        <w:t xml:space="preserve"> </w:t>
      </w:r>
      <w:r w:rsidRPr="00C516F6">
        <w:rPr>
          <w:rFonts w:ascii="Times New Roman" w:hAnsi="Times New Roman"/>
          <w:lang w:val="en-IE"/>
        </w:rPr>
        <w:t>Directive 1999/93/EC (</w:t>
      </w:r>
      <w:hyperlink r:id="rId2" w:tooltip="Gives access to this document through its ELI URI." w:history="1">
        <w:r w:rsidRPr="00C516F6">
          <w:rPr>
            <w:rStyle w:val="Hyperlink"/>
            <w:rFonts w:ascii="Times New Roman" w:hAnsi="Times New Roman"/>
          </w:rPr>
          <w:t>http://data.europa.eu/eli/reg/2014/910/oj</w:t>
        </w:r>
      </w:hyperlink>
      <w:r w:rsidRPr="00C516F6">
        <w:rPr>
          <w:rFonts w:ascii="Times New Roman" w:hAnsi="Times New Roman"/>
          <w:lang w:val="en-I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46B15"/>
    <w:rsid w:val="00050DC7"/>
    <w:rsid w:val="00076109"/>
    <w:rsid w:val="00077C4F"/>
    <w:rsid w:val="000E4FA1"/>
    <w:rsid w:val="000F0274"/>
    <w:rsid w:val="000F5FD8"/>
    <w:rsid w:val="001167C0"/>
    <w:rsid w:val="00135C2A"/>
    <w:rsid w:val="0014093C"/>
    <w:rsid w:val="00170067"/>
    <w:rsid w:val="001B0E0B"/>
    <w:rsid w:val="001C4138"/>
    <w:rsid w:val="001F2EC6"/>
    <w:rsid w:val="001F2F23"/>
    <w:rsid w:val="001F5E39"/>
    <w:rsid w:val="001F65D0"/>
    <w:rsid w:val="00217E59"/>
    <w:rsid w:val="002D05F3"/>
    <w:rsid w:val="002F03FA"/>
    <w:rsid w:val="003004D2"/>
    <w:rsid w:val="003220E7"/>
    <w:rsid w:val="003349A3"/>
    <w:rsid w:val="003561DD"/>
    <w:rsid w:val="00377967"/>
    <w:rsid w:val="00386143"/>
    <w:rsid w:val="003B58DC"/>
    <w:rsid w:val="003E0A11"/>
    <w:rsid w:val="003E1B8C"/>
    <w:rsid w:val="003F686E"/>
    <w:rsid w:val="00442552"/>
    <w:rsid w:val="00455A1C"/>
    <w:rsid w:val="004675B5"/>
    <w:rsid w:val="00475DB1"/>
    <w:rsid w:val="004770D6"/>
    <w:rsid w:val="0049246C"/>
    <w:rsid w:val="004A5358"/>
    <w:rsid w:val="004A7932"/>
    <w:rsid w:val="004C7604"/>
    <w:rsid w:val="004E482E"/>
    <w:rsid w:val="004F6117"/>
    <w:rsid w:val="004F63F1"/>
    <w:rsid w:val="004F651E"/>
    <w:rsid w:val="0052596B"/>
    <w:rsid w:val="00554137"/>
    <w:rsid w:val="00554D8D"/>
    <w:rsid w:val="00573835"/>
    <w:rsid w:val="00581306"/>
    <w:rsid w:val="005C3105"/>
    <w:rsid w:val="005D2D14"/>
    <w:rsid w:val="005D5286"/>
    <w:rsid w:val="006367D6"/>
    <w:rsid w:val="0063765B"/>
    <w:rsid w:val="006474DE"/>
    <w:rsid w:val="00661CB3"/>
    <w:rsid w:val="00692C2F"/>
    <w:rsid w:val="00695797"/>
    <w:rsid w:val="00696A5E"/>
    <w:rsid w:val="006A1010"/>
    <w:rsid w:val="006B3B69"/>
    <w:rsid w:val="00734613"/>
    <w:rsid w:val="00751910"/>
    <w:rsid w:val="00751E60"/>
    <w:rsid w:val="00753CBF"/>
    <w:rsid w:val="007547B5"/>
    <w:rsid w:val="007548FB"/>
    <w:rsid w:val="007646A4"/>
    <w:rsid w:val="00795A9E"/>
    <w:rsid w:val="007A606D"/>
    <w:rsid w:val="007C2214"/>
    <w:rsid w:val="00807B48"/>
    <w:rsid w:val="008135CA"/>
    <w:rsid w:val="0081584F"/>
    <w:rsid w:val="00824CAD"/>
    <w:rsid w:val="008703BF"/>
    <w:rsid w:val="008705DB"/>
    <w:rsid w:val="008750B3"/>
    <w:rsid w:val="008925CE"/>
    <w:rsid w:val="008B6533"/>
    <w:rsid w:val="008C4D41"/>
    <w:rsid w:val="00900EE0"/>
    <w:rsid w:val="009175C1"/>
    <w:rsid w:val="009708D9"/>
    <w:rsid w:val="00981F45"/>
    <w:rsid w:val="00994D12"/>
    <w:rsid w:val="009A3524"/>
    <w:rsid w:val="009A504A"/>
    <w:rsid w:val="009B128B"/>
    <w:rsid w:val="00A16F07"/>
    <w:rsid w:val="00A62C7B"/>
    <w:rsid w:val="00A7709A"/>
    <w:rsid w:val="00A82EE5"/>
    <w:rsid w:val="00A94199"/>
    <w:rsid w:val="00AA0D0B"/>
    <w:rsid w:val="00AE1842"/>
    <w:rsid w:val="00AE3C7C"/>
    <w:rsid w:val="00B31306"/>
    <w:rsid w:val="00B42814"/>
    <w:rsid w:val="00B83936"/>
    <w:rsid w:val="00BA4BA6"/>
    <w:rsid w:val="00BC6AD6"/>
    <w:rsid w:val="00BD6EB7"/>
    <w:rsid w:val="00BE77A9"/>
    <w:rsid w:val="00C37BDD"/>
    <w:rsid w:val="00C516F6"/>
    <w:rsid w:val="00C54D27"/>
    <w:rsid w:val="00C640C3"/>
    <w:rsid w:val="00C76EEB"/>
    <w:rsid w:val="00D01F5A"/>
    <w:rsid w:val="00D04A2F"/>
    <w:rsid w:val="00D1323B"/>
    <w:rsid w:val="00D1716E"/>
    <w:rsid w:val="00D64E05"/>
    <w:rsid w:val="00D92FD3"/>
    <w:rsid w:val="00DA3B6E"/>
    <w:rsid w:val="00DB7581"/>
    <w:rsid w:val="00DC70C1"/>
    <w:rsid w:val="00E45086"/>
    <w:rsid w:val="00E755D8"/>
    <w:rsid w:val="00E83C12"/>
    <w:rsid w:val="00E904C8"/>
    <w:rsid w:val="00EA1BBF"/>
    <w:rsid w:val="00EB29A9"/>
    <w:rsid w:val="00EB77D2"/>
    <w:rsid w:val="00F316C8"/>
    <w:rsid w:val="00F632DE"/>
    <w:rsid w:val="00F707ED"/>
    <w:rsid w:val="00F735E4"/>
    <w:rsid w:val="00FA3201"/>
    <w:rsid w:val="00FB6A8E"/>
    <w:rsid w:val="00FB7834"/>
    <w:rsid w:val="00FD4B6A"/>
    <w:rsid w:val="00FF03A8"/>
    <w:rsid w:val="00FF238E"/>
    <w:rsid w:val="00FF63EA"/>
    <w:rsid w:val="065448E7"/>
    <w:rsid w:val="0EC752DD"/>
    <w:rsid w:val="16906526"/>
    <w:rsid w:val="1FD60260"/>
    <w:rsid w:val="22AD762F"/>
    <w:rsid w:val="29E92AEE"/>
    <w:rsid w:val="2E07D775"/>
    <w:rsid w:val="300F74EA"/>
    <w:rsid w:val="31902A3B"/>
    <w:rsid w:val="31B48CC4"/>
    <w:rsid w:val="56B7E713"/>
    <w:rsid w:val="60DADCB0"/>
    <w:rsid w:val="69FE7B93"/>
    <w:rsid w:val="6A91A8A1"/>
    <w:rsid w:val="72B2266A"/>
    <w:rsid w:val="75D1ADD6"/>
    <w:rsid w:val="768C9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F5E39"/>
    <w:rPr>
      <w:sz w:val="22"/>
      <w:szCs w:val="22"/>
      <w:lang w:val="en-GB" w:eastAsia="en-US"/>
    </w:rPr>
  </w:style>
  <w:style w:type="character" w:styleId="CommentReference">
    <w:name w:val="annotation reference"/>
    <w:basedOn w:val="DefaultParagraphFont"/>
    <w:uiPriority w:val="99"/>
    <w:semiHidden/>
    <w:unhideWhenUsed/>
    <w:rsid w:val="00753CBF"/>
    <w:rPr>
      <w:sz w:val="16"/>
      <w:szCs w:val="16"/>
    </w:rPr>
  </w:style>
  <w:style w:type="paragraph" w:styleId="CommentText">
    <w:name w:val="annotation text"/>
    <w:basedOn w:val="Normal"/>
    <w:link w:val="CommentTextChar"/>
    <w:uiPriority w:val="99"/>
    <w:unhideWhenUsed/>
    <w:rsid w:val="00753CBF"/>
    <w:rPr>
      <w:sz w:val="20"/>
      <w:szCs w:val="20"/>
    </w:rPr>
  </w:style>
  <w:style w:type="character" w:customStyle="1" w:styleId="CommentTextChar">
    <w:name w:val="Comment Text Char"/>
    <w:basedOn w:val="DefaultParagraphFont"/>
    <w:link w:val="CommentText"/>
    <w:uiPriority w:val="99"/>
    <w:rsid w:val="00753CBF"/>
    <w:rPr>
      <w:lang w:val="en-GB" w:eastAsia="en-US"/>
    </w:rPr>
  </w:style>
  <w:style w:type="paragraph" w:styleId="CommentSubject">
    <w:name w:val="annotation subject"/>
    <w:basedOn w:val="CommentText"/>
    <w:next w:val="CommentText"/>
    <w:link w:val="CommentSubjectChar"/>
    <w:uiPriority w:val="99"/>
    <w:semiHidden/>
    <w:unhideWhenUsed/>
    <w:rsid w:val="00753CBF"/>
    <w:rPr>
      <w:b/>
      <w:bCs/>
    </w:rPr>
  </w:style>
  <w:style w:type="character" w:customStyle="1" w:styleId="CommentSubjectChar">
    <w:name w:val="Comment Subject Char"/>
    <w:basedOn w:val="CommentTextChar"/>
    <w:link w:val="CommentSubject"/>
    <w:uiPriority w:val="99"/>
    <w:semiHidden/>
    <w:rsid w:val="00753CBF"/>
    <w:rPr>
      <w:b/>
      <w:bCs/>
      <w:lang w:val="en-GB" w:eastAsia="en-US"/>
    </w:rPr>
  </w:style>
  <w:style w:type="paragraph" w:styleId="FootnoteText">
    <w:name w:val="footnote text"/>
    <w:basedOn w:val="Normal"/>
    <w:link w:val="FootnoteTextChar"/>
    <w:uiPriority w:val="99"/>
    <w:semiHidden/>
    <w:unhideWhenUsed/>
    <w:rsid w:val="009A504A"/>
    <w:rPr>
      <w:sz w:val="20"/>
      <w:szCs w:val="20"/>
    </w:rPr>
  </w:style>
  <w:style w:type="character" w:customStyle="1" w:styleId="FootnoteTextChar">
    <w:name w:val="Footnote Text Char"/>
    <w:basedOn w:val="DefaultParagraphFont"/>
    <w:link w:val="FootnoteText"/>
    <w:uiPriority w:val="99"/>
    <w:semiHidden/>
    <w:rsid w:val="009A504A"/>
    <w:rPr>
      <w:lang w:val="en-GB" w:eastAsia="en-US"/>
    </w:rPr>
  </w:style>
  <w:style w:type="character" w:styleId="FootnoteReference">
    <w:name w:val="footnote reference"/>
    <w:basedOn w:val="DefaultParagraphFont"/>
    <w:uiPriority w:val="99"/>
    <w:semiHidden/>
    <w:unhideWhenUsed/>
    <w:rsid w:val="009A504A"/>
    <w:rPr>
      <w:vertAlign w:val="superscript"/>
    </w:rPr>
  </w:style>
  <w:style w:type="character" w:styleId="Hyperlink">
    <w:name w:val="Hyperlink"/>
    <w:basedOn w:val="DefaultParagraphFont"/>
    <w:uiPriority w:val="99"/>
    <w:unhideWhenUsed/>
    <w:rsid w:val="009A504A"/>
    <w:rPr>
      <w:color w:val="0563C1" w:themeColor="hyperlink"/>
      <w:u w:val="single"/>
    </w:rPr>
  </w:style>
  <w:style w:type="character" w:styleId="UnresolvedMention">
    <w:name w:val="Unresolved Mention"/>
    <w:basedOn w:val="DefaultParagraphFont"/>
    <w:uiPriority w:val="99"/>
    <w:semiHidden/>
    <w:unhideWhenUsed/>
    <w:rsid w:val="009A5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58820">
      <w:bodyDiv w:val="1"/>
      <w:marLeft w:val="0"/>
      <w:marRight w:val="0"/>
      <w:marTop w:val="0"/>
      <w:marBottom w:val="0"/>
      <w:divBdr>
        <w:top w:val="none" w:sz="0" w:space="0" w:color="auto"/>
        <w:left w:val="none" w:sz="0" w:space="0" w:color="auto"/>
        <w:bottom w:val="none" w:sz="0" w:space="0" w:color="auto"/>
        <w:right w:val="none" w:sz="0" w:space="0" w:color="auto"/>
      </w:divBdr>
    </w:div>
    <w:div w:id="402720703">
      <w:bodyDiv w:val="1"/>
      <w:marLeft w:val="0"/>
      <w:marRight w:val="0"/>
      <w:marTop w:val="0"/>
      <w:marBottom w:val="0"/>
      <w:divBdr>
        <w:top w:val="none" w:sz="0" w:space="0" w:color="auto"/>
        <w:left w:val="none" w:sz="0" w:space="0" w:color="auto"/>
        <w:bottom w:val="none" w:sz="0" w:space="0" w:color="auto"/>
        <w:right w:val="none" w:sz="0" w:space="0" w:color="auto"/>
      </w:divBdr>
    </w:div>
    <w:div w:id="1039629178">
      <w:bodyDiv w:val="1"/>
      <w:marLeft w:val="0"/>
      <w:marRight w:val="0"/>
      <w:marTop w:val="0"/>
      <w:marBottom w:val="0"/>
      <w:divBdr>
        <w:top w:val="none" w:sz="0" w:space="0" w:color="auto"/>
        <w:left w:val="none" w:sz="0" w:space="0" w:color="auto"/>
        <w:bottom w:val="none" w:sz="0" w:space="0" w:color="auto"/>
        <w:right w:val="none" w:sz="0" w:space="0" w:color="auto"/>
      </w:divBdr>
      <w:divsChild>
        <w:div w:id="785346736">
          <w:marLeft w:val="0"/>
          <w:marRight w:val="0"/>
          <w:marTop w:val="0"/>
          <w:marBottom w:val="0"/>
          <w:divBdr>
            <w:top w:val="none" w:sz="0" w:space="0" w:color="auto"/>
            <w:left w:val="none" w:sz="0" w:space="0" w:color="auto"/>
            <w:bottom w:val="none" w:sz="0" w:space="0" w:color="auto"/>
            <w:right w:val="none" w:sz="0" w:space="0" w:color="auto"/>
          </w:divBdr>
          <w:divsChild>
            <w:div w:id="6263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9313">
      <w:bodyDiv w:val="1"/>
      <w:marLeft w:val="0"/>
      <w:marRight w:val="0"/>
      <w:marTop w:val="0"/>
      <w:marBottom w:val="0"/>
      <w:divBdr>
        <w:top w:val="none" w:sz="0" w:space="0" w:color="auto"/>
        <w:left w:val="none" w:sz="0" w:space="0" w:color="auto"/>
        <w:bottom w:val="none" w:sz="0" w:space="0" w:color="auto"/>
        <w:right w:val="none" w:sz="0" w:space="0" w:color="auto"/>
      </w:divBdr>
      <w:divsChild>
        <w:div w:id="1347437044">
          <w:marLeft w:val="0"/>
          <w:marRight w:val="0"/>
          <w:marTop w:val="0"/>
          <w:marBottom w:val="0"/>
          <w:divBdr>
            <w:top w:val="none" w:sz="0" w:space="0" w:color="auto"/>
            <w:left w:val="none" w:sz="0" w:space="0" w:color="auto"/>
            <w:bottom w:val="none" w:sz="0" w:space="0" w:color="auto"/>
            <w:right w:val="none" w:sz="0" w:space="0" w:color="auto"/>
          </w:divBdr>
          <w:divsChild>
            <w:div w:id="15637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9508">
      <w:bodyDiv w:val="1"/>
      <w:marLeft w:val="0"/>
      <w:marRight w:val="0"/>
      <w:marTop w:val="0"/>
      <w:marBottom w:val="0"/>
      <w:divBdr>
        <w:top w:val="none" w:sz="0" w:space="0" w:color="auto"/>
        <w:left w:val="none" w:sz="0" w:space="0" w:color="auto"/>
        <w:bottom w:val="none" w:sz="0" w:space="0" w:color="auto"/>
        <w:right w:val="none" w:sz="0" w:space="0" w:color="auto"/>
      </w:divBdr>
      <w:divsChild>
        <w:div w:id="353501711">
          <w:marLeft w:val="0"/>
          <w:marRight w:val="0"/>
          <w:marTop w:val="0"/>
          <w:marBottom w:val="0"/>
          <w:divBdr>
            <w:top w:val="none" w:sz="0" w:space="0" w:color="auto"/>
            <w:left w:val="none" w:sz="0" w:space="0" w:color="auto"/>
            <w:bottom w:val="none" w:sz="0" w:space="0" w:color="auto"/>
            <w:right w:val="none" w:sz="0" w:space="0" w:color="auto"/>
          </w:divBdr>
          <w:divsChild>
            <w:div w:id="9673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9550">
      <w:bodyDiv w:val="1"/>
      <w:marLeft w:val="0"/>
      <w:marRight w:val="0"/>
      <w:marTop w:val="0"/>
      <w:marBottom w:val="0"/>
      <w:divBdr>
        <w:top w:val="none" w:sz="0" w:space="0" w:color="auto"/>
        <w:left w:val="none" w:sz="0" w:space="0" w:color="auto"/>
        <w:bottom w:val="none" w:sz="0" w:space="0" w:color="auto"/>
        <w:right w:val="none" w:sz="0" w:space="0" w:color="auto"/>
      </w:divBdr>
      <w:divsChild>
        <w:div w:id="1004011987">
          <w:marLeft w:val="0"/>
          <w:marRight w:val="0"/>
          <w:marTop w:val="0"/>
          <w:marBottom w:val="0"/>
          <w:divBdr>
            <w:top w:val="none" w:sz="0" w:space="0" w:color="auto"/>
            <w:left w:val="none" w:sz="0" w:space="0" w:color="auto"/>
            <w:bottom w:val="none" w:sz="0" w:space="0" w:color="auto"/>
            <w:right w:val="none" w:sz="0" w:space="0" w:color="auto"/>
          </w:divBdr>
          <w:divsChild>
            <w:div w:id="4383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2014/910/oj" TargetMode="External"/><Relationship Id="rId1" Type="http://schemas.openxmlformats.org/officeDocument/2006/relationships/hyperlink" Target="https://eur-lex.europa.eu/legal-content/EN/TXT/?uri=celex:52025PC0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18D6A216B63D498B67C1FF631BABE7" ma:contentTypeVersion="9" ma:contentTypeDescription="Create a new document." ma:contentTypeScope="" ma:versionID="cab8f1ea3daa96eb6fd48c1faa012da0">
  <xsd:schema xmlns:xsd="http://www.w3.org/2001/XMLSchema" xmlns:xs="http://www.w3.org/2001/XMLSchema" xmlns:p="http://schemas.microsoft.com/office/2006/metadata/properties" xmlns:ns3="f9351531-e2e0-4b63-be47-20ac970a084d" targetNamespace="http://schemas.microsoft.com/office/2006/metadata/properties" ma:root="true" ma:fieldsID="b9b6429db45439f9e535b57991764898" ns3:_="">
    <xsd:import namespace="f9351531-e2e0-4b63-be47-20ac970a08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51531-e2e0-4b63-be47-20ac970a08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9351531-e2e0-4b63-be47-20ac970a08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325F5-2879-4106-AF87-DCDF2DD6656D}">
  <ds:schemaRefs>
    <ds:schemaRef ds:uri="http://schemas.openxmlformats.org/officeDocument/2006/bibliography"/>
  </ds:schemaRefs>
</ds:datastoreItem>
</file>

<file path=customXml/itemProps2.xml><?xml version="1.0" encoding="utf-8"?>
<ds:datastoreItem xmlns:ds="http://schemas.openxmlformats.org/officeDocument/2006/customXml" ds:itemID="{3688065F-FB96-486D-AABD-1FA3B2486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51531-e2e0-4b63-be47-20ac970a0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F9EB7-AD02-4C75-A7B6-0671EACA3B84}">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f9351531-e2e0-4b63-be47-20ac970a084d"/>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E435BDE-3508-40A4-9CBA-120492373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4757</Characters>
  <Application>Microsoft Office Word</Application>
  <DocSecurity>0</DocSecurity>
  <Lines>64</Lines>
  <Paragraphs>11</Paragraphs>
  <ScaleCrop>false</ScaleCrop>
  <Company>European Commission</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2</cp:revision>
  <cp:lastPrinted>2013-02-27T18:02:00Z</cp:lastPrinted>
  <dcterms:created xsi:type="dcterms:W3CDTF">2026-05-27T15:27:00Z</dcterms:created>
  <dcterms:modified xsi:type="dcterms:W3CDTF">2026-05-27T15:27:00Z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0x010100A218D6A216B63D498B67C1FF631BABE7</vt:lpwstr>
  </property>
</Properties>
</file>