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CB2F6C"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676B13BE">
            <wp:extent cx="5739234"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39234" cy="1396800"/>
                    </a:xfrm>
                    <a:prstGeom prst="rect">
                      <a:avLst/>
                    </a:prstGeom>
                  </pic:spPr>
                </pic:pic>
              </a:graphicData>
            </a:graphic>
          </wp:inline>
        </w:drawing>
      </w:r>
    </w:p>
    <w:tbl>
      <w:tblPr>
        <w:tblW w:w="0" w:type="auto"/>
        <w:tblLook w:val="0000" w:firstRow="0" w:lastRow="0" w:firstColumn="0" w:lastColumn="0" w:noHBand="0" w:noVBand="0"/>
      </w:tblPr>
      <w:tblGrid>
        <w:gridCol w:w="5051"/>
        <w:gridCol w:w="4020"/>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N.º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de maio de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footerReference w:type="default" r:id="rId12"/>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21382" w:rsidRDefault="00321382" w14:paraId="6C3A69A6" w14:textId="77777777">
                      <w:pPr>
                        <w:jc w:val="center"/>
                        <w:rPr>
                          <w:b/>
                          <w:bCs/>
                          <w:sz w:val="48"/>
                          <w:rFonts w:ascii="Arial" w:hAnsi="Arial" w:cs="Arial"/>
                        </w:rPr>
                      </w:pPr>
                      <w:r>
                        <w:rPr>
                          <w:b/>
                          <w:sz w:val="48"/>
                          <w:rFonts w:ascii="Arial" w:hAnsi="Arial"/>
                        </w:rPr>
                        <w:t xml:space="preserve">PT</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Dia de Portas Abertas 2026: CESE assinala Dia da Europa (#EuropeDay) com uma oportunidade única para viver em primeira mão o espírito de participação</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O Comité Económico e Social Europeu (CESE) organizou um Dia de Portas Abertas para celebrar a Europa e destacar o importante contributo da sociedade civil organizada para os resultados alcançados pela União Europeia (UE).</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Milhares de pessoas visitaram a sede do CESE, em Bruxelas, no sábado, 9 de maio de 2026, quando o órgão consultivo mais antigo da UE abriu as suas portas para o tradicional</w:t>
      </w:r>
      <w:r>
        <w:t xml:space="preserve"> </w:t>
      </w:r>
      <w:hyperlink r:id="rId13" w:history="1">
        <w:r>
          <w:rPr>
            <w:rStyle w:val="Hyperlink"/>
            <w:rFonts w:ascii="Verdana" w:hAnsi="Verdana"/>
            <w:sz w:val="18"/>
          </w:rPr>
          <w:t>Dia de Portas Abertas</w:t>
        </w:r>
      </w:hyperlink>
      <w:r>
        <w:rPr>
          <w:rFonts w:ascii="Verdana" w:hAnsi="Verdana"/>
          <w:sz w:val="18"/>
        </w:rPr>
        <w:t>.</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O dia 9 de maio, Dia da Europa, assinala o 76.º aniversário da Declaração Schuman, o discurso histórico proferido pelo ministro francês dos Negócios Estrangeiros, Robert Schuman, em 1950, que abriu caminho à integração europeia. O Dia da Europa é uma oportunidade para reconhecer os resultados alcançados pelo projeto europeu e celebrar a comunidade de valores que a UE representa e que nós, enquanto europeus, protegemos e alimentamos todos os dias.</w:t>
      </w:r>
    </w:p>
    <w:p w14:paraId="28566E34" w14:textId="77777777" w:rsidR="00A505E8" w:rsidRDefault="00A505E8" w:rsidP="00A505E8">
      <w:pPr>
        <w:rPr>
          <w:rFonts w:ascii="Verdana" w:hAnsi="Verdana"/>
          <w:sz w:val="18"/>
        </w:rPr>
      </w:pPr>
    </w:p>
    <w:p w14:paraId="384A0B07" w14:textId="2051BFCC" w:rsidR="00A505E8" w:rsidRPr="00A505E8" w:rsidRDefault="00A505E8" w:rsidP="00A505E8">
      <w:pPr>
        <w:rPr>
          <w:rFonts w:ascii="Verdana" w:hAnsi="Verdana"/>
          <w:sz w:val="18"/>
        </w:rPr>
      </w:pPr>
      <w:r>
        <w:rPr>
          <w:rFonts w:ascii="Verdana" w:hAnsi="Verdana"/>
          <w:sz w:val="18"/>
        </w:rPr>
        <w:t xml:space="preserve">«O Dia da Europa é um dia verdadeiramente importante para recordar e celebrar as realizações do projeto europeu, nomeadamente a paz, a democracia e a inclusão», declarou o presidente do CESE, </w:t>
      </w:r>
      <w:r>
        <w:rPr>
          <w:rFonts w:ascii="Verdana" w:hAnsi="Verdana"/>
          <w:b/>
          <w:sz w:val="18"/>
        </w:rPr>
        <w:t>Séamus Boland</w:t>
      </w:r>
      <w:r>
        <w:rPr>
          <w:rFonts w:ascii="Verdana" w:hAnsi="Verdana"/>
          <w:sz w:val="18"/>
        </w:rPr>
        <w:t>. «Foi um autêntico prazer acolher os visitantes ao nosso Dia de Portas Abertas e celebrar este espírito de participação.»</w:t>
      </w:r>
    </w:p>
    <w:p w14:paraId="62C67F5D" w14:textId="77777777" w:rsidR="0023622D" w:rsidRPr="00A505E8" w:rsidRDefault="0023622D" w:rsidP="00810F41">
      <w:pPr>
        <w:rPr>
          <w:rFonts w:ascii="Verdana" w:hAnsi="Verdana"/>
          <w:sz w:val="18"/>
        </w:rPr>
      </w:pPr>
    </w:p>
    <w:p w14:paraId="72FAF28A" w14:textId="036B7D3C" w:rsidR="00DA704C" w:rsidRDefault="0023622D" w:rsidP="002E1371">
      <w:pPr>
        <w:rPr>
          <w:rFonts w:ascii="Verdana" w:hAnsi="Verdana"/>
          <w:sz w:val="18"/>
        </w:rPr>
      </w:pPr>
      <w:r>
        <w:rPr>
          <w:rFonts w:ascii="Verdana" w:hAnsi="Verdana"/>
          <w:sz w:val="18"/>
        </w:rPr>
        <w:t xml:space="preserve">«Congratulo-me com o facto de o CESE poder organizar uma celebração festiva de portas abertas pelo Dia da Europa», acrescentou </w:t>
      </w:r>
      <w:r>
        <w:rPr>
          <w:rFonts w:ascii="Verdana" w:hAnsi="Verdana"/>
          <w:b/>
          <w:sz w:val="18"/>
        </w:rPr>
        <w:t>Marija Hanževački</w:t>
      </w:r>
      <w:r>
        <w:rPr>
          <w:rFonts w:ascii="Verdana" w:hAnsi="Verdana"/>
          <w:sz w:val="18"/>
        </w:rPr>
        <w:t xml:space="preserve">, vice-presidente do CESE responsável pela Comunicação. «O Dia da Europa é uma celebração da alegria e da unidade, </w:t>
      </w:r>
      <w:r w:rsidR="00A70B52">
        <w:rPr>
          <w:rFonts w:ascii="Verdana" w:hAnsi="Verdana"/>
          <w:sz w:val="18"/>
        </w:rPr>
        <w:t xml:space="preserve">que </w:t>
      </w:r>
      <w:r>
        <w:rPr>
          <w:rFonts w:ascii="Verdana" w:hAnsi="Verdana"/>
          <w:sz w:val="18"/>
        </w:rPr>
        <w:t>incentiva os cidadãos de todas as idades a partilharem os valores europeus e a construírem uma Europa para todos. O Dia de Portas Abertas oferece uma oportunidade única para viver em primeira mão o espírito de participação, descobrir o funcionamento do Comité e aprender de que forma os debates complexos se transformam em pareceres.»</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O CESE é a única instituição da UE que representa a sociedade civil organizada. Os seus membros pertencem a todas as categorias sociais e profissionais e possuem um vasto leque de conhecimentos e experiência. Representam associações patronais, a indústria, câmaras de comércio, associações de pequenas e médias empresas (PME), sindicatos, consumidores, agricultores, ativistas pelos direitos das pessoas com deficiência, universidades, grupos de defesa dos direitos das mulheres, ambientalistas, cooperativas, organizações de juventude, organizações de defesa dos direitos humanos, etc.</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t xml:space="preserve">Os membros do CESE são oriundos de todos os Estados-Membros da UE e falam em nome daqueles cuja voz não poderia ser ouvida de outro modo. Contribuem com os seus conhecimentos </w:t>
      </w:r>
      <w:r>
        <w:rPr>
          <w:rFonts w:ascii="Verdana" w:hAnsi="Verdana"/>
          <w:sz w:val="18"/>
        </w:rPr>
        <w:lastRenderedPageBreak/>
        <w:t>especializados e asseguram, ao aconselharem as instituições da UE, que os pareceres do CESE refletem os pontos de vista, as preocupações e as expectativas dos cidadãos.</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Durante o Dia de Portas Abertas do CESE, os visitantes puderam entrar na sede do Comité e descobrir de que forma se dá voz à sociedade civil organizada em toda a UE, contribuindo assim para a democracia europeia. Tiveram a oportunidade de interagir com as pessoas por trás do trabalho, explorar a forma como os pareceres do CESE são elaborados e ficar a conhecer pessoalmente a forma como o diálogo inclusivo ajuda a moldar o futuro da Europa e a construir uma União mais forte.</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Em suma, o Dia de Portas Abertas foi um momento crucial para:</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conhecer os membros e o pessoal do CESE e ver com os seus próprios olhos o impacto da sociedade civil organizada nas políticas da UE;</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saber mais sobre o papel e as atividades do CESE e sobre a forma como contribui para o processo de decisão da UE;</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tomar conhecimento do</w:t>
      </w:r>
      <w:r>
        <w:t xml:space="preserve"> </w:t>
      </w:r>
      <w:hyperlink r:id="rId14" w:history="1">
        <w:r>
          <w:rPr>
            <w:rStyle w:val="Hyperlink"/>
            <w:rFonts w:ascii="Verdana" w:hAnsi="Verdana"/>
            <w:sz w:val="18"/>
          </w:rPr>
          <w:t>programa</w:t>
        </w:r>
      </w:hyperlink>
      <w:r>
        <w:t xml:space="preserve"> </w:t>
      </w:r>
      <w:r>
        <w:rPr>
          <w:rFonts w:ascii="Verdana" w:hAnsi="Verdana"/>
          <w:sz w:val="18"/>
        </w:rPr>
        <w:t>do presidente do CESE, do</w:t>
      </w:r>
      <w:r>
        <w:t xml:space="preserve"> </w:t>
      </w:r>
      <w:hyperlink r:id="rId15" w:history="1">
        <w:r>
          <w:rPr>
            <w:rStyle w:val="Hyperlink"/>
            <w:rFonts w:ascii="Verdana" w:hAnsi="Verdana"/>
            <w:sz w:val="18"/>
          </w:rPr>
          <w:t>trabalho</w:t>
        </w:r>
      </w:hyperlink>
      <w:r>
        <w:t xml:space="preserve"> </w:t>
      </w:r>
      <w:r>
        <w:rPr>
          <w:rFonts w:ascii="Verdana" w:hAnsi="Verdana"/>
          <w:sz w:val="18"/>
        </w:rPr>
        <w:t>em curso do Comité e dos</w:t>
      </w:r>
      <w:r>
        <w:t xml:space="preserve"> </w:t>
      </w:r>
      <w:hyperlink r:id="rId16" w:history="1">
        <w:r>
          <w:rPr>
            <w:rStyle w:val="Hyperlink"/>
            <w:rFonts w:ascii="Verdana" w:hAnsi="Verdana"/>
            <w:sz w:val="18"/>
          </w:rPr>
          <w:t>resultados</w:t>
        </w:r>
      </w:hyperlink>
      <w:r>
        <w:rPr>
          <w:rFonts w:ascii="Verdana" w:hAnsi="Verdana"/>
          <w:sz w:val="18"/>
        </w:rPr>
        <w:t xml:space="preserve"> alcançados no passado.</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 xml:space="preserve">O evento constituiu uma oportunidade de abertura, intercâmbio e celebração para o público, os membros e o pessoal do CESE, e incluiu debates interessantes, experiências interativas, visitas a </w:t>
      </w:r>
      <w:r>
        <w:rPr>
          <w:rFonts w:ascii="Verdana" w:hAnsi="Verdana"/>
          <w:i/>
          <w:sz w:val="18"/>
        </w:rPr>
        <w:t>stands</w:t>
      </w:r>
      <w:r>
        <w:rPr>
          <w:rFonts w:ascii="Verdana" w:hAnsi="Verdana"/>
          <w:sz w:val="18"/>
        </w:rPr>
        <w:t xml:space="preserve"> temáticos e visitas guiadas às instalações do edifício Jacques Delors.</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Para mais informação sobre o CESE, consulte o nosso</w:t>
      </w:r>
      <w:r>
        <w:t xml:space="preserve"> </w:t>
      </w:r>
      <w:hyperlink r:id="rId17" w:history="1">
        <w:r>
          <w:rPr>
            <w:rStyle w:val="Hyperlink"/>
            <w:rFonts w:ascii="Verdana" w:hAnsi="Verdana"/>
            <w:sz w:val="18"/>
          </w:rPr>
          <w:t>sítio Web</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Para mais informações, contactar:</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Unidade de Imprensa do CESE – Marco Pezzani</w:t>
      </w:r>
      <w:r>
        <w:rPr>
          <w:rFonts w:ascii="Verdana" w:hAnsi="Verdana"/>
          <w:sz w:val="18"/>
        </w:rPr>
        <w:br/>
        <w:t>Tel.: +32 (0)2 546 97 93 – Telemóvel: +32 (0)470 881 903</w:t>
      </w:r>
    </w:p>
    <w:p w14:paraId="7E0C5C48" w14:textId="77777777" w:rsidR="00BD7293" w:rsidRPr="00146984" w:rsidRDefault="00D3466C" w:rsidP="00BD7293">
      <w:pPr>
        <w:jc w:val="center"/>
        <w:rPr>
          <w:rFonts w:ascii="Verdana" w:hAnsi="Verdana"/>
          <w:sz w:val="18"/>
          <w:szCs w:val="18"/>
        </w:rPr>
      </w:pPr>
      <w:hyperlink r:id="rId18" w:history="1">
        <w:r w:rsidR="0065511A">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O Comité Económico e Social Europeu representa os diversos setores da vida económica e social da sociedade civil organizada. É um órgão institucional consultivo, instituído pelo Tratado de Roma em 1957. A sua função consultiva permite aos seus membros e, portanto, às organizações que representam, participar no processo de decisão da UE.</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Belliard/Belliardstraat 99 – 1040 Bruxelles/Brussel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2 546 94 06 – Fax +32 2 546 97 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Endereço eletrónico: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Acompanhe o CESE em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2720A"/>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55119"/>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662B1"/>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0B52"/>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pt-PT"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pt-PT"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pt-PT"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pt-PT"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pt-PT"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pt-PT"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pt-PT"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pt-PT"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pt-PT"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pt-PT"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pt-PT"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pt-PT"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pt-PT"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pt-PT"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pt-PT"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pt/agenda/our-events/events/europe-day-2026" TargetMode="External"/><Relationship Id="rId18" Type="http://schemas.openxmlformats.org/officeDocument/2006/relationships/hyperlink" Target="mailto:marco.pezzan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sc.europa.eu/pt" TargetMode="External"/><Relationship Id="rId2" Type="http://schemas.openxmlformats.org/officeDocument/2006/relationships/customXml" Target="../customXml/item2.xml"/><Relationship Id="rId16" Type="http://schemas.openxmlformats.org/officeDocument/2006/relationships/hyperlink" Target="https://www.eesc.europa.eu/pt/our-work/publications-other-work/publications/recent-eesc-achiev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sc.europa.eu/pt/our-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esc.europa.eu/pt/president/priorities/work-programm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VP3JK3XSEPRV-1795132703-1159</_dlc_DocId>
    <_dlc_DocIdUrl xmlns="7d640e6d-779c-472f-a269-6b546787f1c9">
      <Url>http://dm/eesc/2026/_layouts/15/DocIdRedir.aspx?ID=VP3JK3XSEPRV-1795132703-1159</Url>
      <Description>VP3JK3XSEPRV-1795132703-1159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Pomba Ramos Joao</DisplayName>
        <AccountId>1515</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Props1.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2.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3.xml><?xml version="1.0" encoding="utf-8"?>
<ds:datastoreItem xmlns:ds="http://schemas.openxmlformats.org/officeDocument/2006/customXml" ds:itemID="{3130E59E-DF98-44E8-9520-B39B5A53EE0B}"/>
</file>

<file path=customXml/itemProps4.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 de Portas Abertas 2026: CESE assinala Dia da Europa (#EuropeDay) com uma oportunidade única para viver em primeira mão o espírito de participação</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11</cp:revision>
  <cp:lastPrinted>2026-05-05T14:19:00Z</cp:lastPrinted>
  <dcterms:created xsi:type="dcterms:W3CDTF">2026-05-08T14:00:00Z</dcterms:created>
  <dcterms:modified xsi:type="dcterms:W3CDTF">2026-05-08T14:51:00Z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8e35e826-21e6-4706-ad2e-ecaf58a33d32</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FR|d2afafd3-4c81-4f60-8f52-ee33f2f54ff3;EN|f2175f21-25d7-44a3-96da-d6a61b075e1b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9;#TRA|150d2a88-1431-44e6-a8ca-0bb753ab8672;#7;#Final|ea5e6674-7b27-4bac-b091-73adbb394efe;#23;#FR|d2afafd3-4c81-4f60-8f52-ee33f2f54ff3;#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28;#PT|50ccc04a-eadd-42ae-a0cb-acaf45f812ba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