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306C" w14:textId="77777777" w:rsidR="003C2229" w:rsidRPr="00CB2F6C" w:rsidRDefault="00837B82" w:rsidP="00686EC2">
      <w:pPr>
        <w:spacing w:line="240" w:lineRule="auto"/>
        <w:rPr>
          <w:rFonts w:ascii="Verdana" w:hAnsi="Verdana"/>
          <w:sz w:val="20"/>
        </w:rPr>
      </w:pPr>
      <w:r>
        <w:rPr>
          <w:rFonts w:ascii="Verdana" w:hAnsi="Verdana"/>
          <w:noProof/>
          <w:sz w:val="20"/>
        </w:rPr>
        <w:drawing>
          <wp:inline distT="0" distB="0" distL="0" distR="0" wp14:anchorId="149B9ABC" wp14:editId="6F454F37">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55"/>
        <w:gridCol w:w="4016"/>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COMUNICATO STAMPA N. 25/2026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maggio 2026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DC4483">
          <w:footerReference w:type="default" r:id="rId12"/>
          <w:pgSz w:w="11907" w:h="16839" w:code="9"/>
          <w:pgMar w:top="425" w:right="1418" w:bottom="1418" w:left="1418" w:header="709" w:footer="567"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6C3A69A6" w14:textId="77777777" w:rsidR="00321382" w:rsidRPr="00260E65" w:rsidRDefault="00321382">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0480AE52" w14:textId="77777777" w:rsidR="00DC4483" w:rsidRDefault="00CF6EE3" w:rsidP="002E1371">
      <w:pPr>
        <w:jc w:val="center"/>
        <w:rPr>
          <w:rFonts w:ascii="Verdana" w:hAnsi="Verdana"/>
          <w:b/>
          <w:color w:val="0070C0"/>
          <w:sz w:val="28"/>
        </w:rPr>
      </w:pPr>
      <w:r>
        <w:rPr>
          <w:rFonts w:ascii="Verdana" w:hAnsi="Verdana"/>
          <w:b/>
          <w:color w:val="0070C0"/>
          <w:sz w:val="28"/>
        </w:rPr>
        <w:t xml:space="preserve">Giornata Porte aperte 2026: il CESE celebra la Giornata dell'Europa (#EuropeDay) con un'opportunità unica </w:t>
      </w:r>
    </w:p>
    <w:p w14:paraId="5F668562" w14:textId="0D6205AE" w:rsidR="002E1371" w:rsidRPr="00CD47FB" w:rsidRDefault="00CF6EE3" w:rsidP="002E1371">
      <w:pPr>
        <w:jc w:val="center"/>
        <w:rPr>
          <w:rFonts w:ascii="Verdana" w:hAnsi="Verdana"/>
          <w:b/>
          <w:bCs/>
          <w:color w:val="0070C0"/>
          <w:sz w:val="28"/>
          <w:szCs w:val="24"/>
        </w:rPr>
      </w:pPr>
      <w:r>
        <w:rPr>
          <w:rFonts w:ascii="Verdana" w:hAnsi="Verdana"/>
          <w:b/>
          <w:color w:val="0070C0"/>
          <w:sz w:val="28"/>
        </w:rPr>
        <w:t>di vivere lo spirito dell'impegno in prima persona</w:t>
      </w:r>
    </w:p>
    <w:p w14:paraId="4819A101" w14:textId="77777777" w:rsidR="00F50AB8" w:rsidRDefault="00F50AB8" w:rsidP="002E1371">
      <w:pPr>
        <w:rPr>
          <w:rFonts w:ascii="Verdana" w:hAnsi="Verdana"/>
          <w:b/>
          <w:bCs/>
          <w:sz w:val="20"/>
        </w:rPr>
      </w:pPr>
    </w:p>
    <w:p w14:paraId="08B4F747" w14:textId="681D5382" w:rsidR="004F1011" w:rsidRDefault="00185E90" w:rsidP="002E1371">
      <w:pPr>
        <w:rPr>
          <w:rFonts w:ascii="Verdana" w:hAnsi="Verdana"/>
          <w:sz w:val="18"/>
        </w:rPr>
      </w:pPr>
      <w:r>
        <w:rPr>
          <w:rFonts w:ascii="Verdana" w:hAnsi="Verdana"/>
          <w:b/>
          <w:sz w:val="20"/>
        </w:rPr>
        <w:t>Il Comitato economico e sociale europeo (CESE) ha organizzato una giornata Porte aperte per celebrare l'Europa e mettere in risalto il grande contributo della società civile organizzata alle realizzazioni dell'Unione europea.</w:t>
      </w:r>
    </w:p>
    <w:p w14:paraId="261479E7" w14:textId="77777777" w:rsidR="004F1011" w:rsidRDefault="004F1011" w:rsidP="002E1371">
      <w:pPr>
        <w:rPr>
          <w:rFonts w:ascii="Verdana" w:hAnsi="Verdana"/>
          <w:sz w:val="18"/>
        </w:rPr>
      </w:pPr>
    </w:p>
    <w:p w14:paraId="5592B18A" w14:textId="5789EE3C" w:rsidR="00810F41" w:rsidRDefault="00146984" w:rsidP="002E1371">
      <w:pPr>
        <w:rPr>
          <w:rFonts w:ascii="Verdana" w:hAnsi="Verdana"/>
          <w:sz w:val="18"/>
        </w:rPr>
      </w:pPr>
      <w:r>
        <w:rPr>
          <w:rFonts w:ascii="Verdana" w:hAnsi="Verdana"/>
          <w:sz w:val="18"/>
        </w:rPr>
        <w:t xml:space="preserve">Sabato 9 maggio 2026 la sede del CESE a Bruxelles ha accolto migliaia di visitatori, in occasione della tradizionale </w:t>
      </w:r>
      <w:hyperlink r:id="rId13" w:history="1">
        <w:r>
          <w:rPr>
            <w:rStyle w:val="Hyperlink"/>
            <w:rFonts w:ascii="Verdana" w:hAnsi="Verdana"/>
            <w:sz w:val="18"/>
          </w:rPr>
          <w:t>Giornata Porte aperte</w:t>
        </w:r>
      </w:hyperlink>
      <w:r>
        <w:rPr>
          <w:rFonts w:ascii="Verdana" w:hAnsi="Verdana"/>
          <w:sz w:val="18"/>
        </w:rPr>
        <w:t xml:space="preserve"> del più antico organo consultivo dell'UE.</w:t>
      </w:r>
    </w:p>
    <w:p w14:paraId="41A803FA" w14:textId="77777777" w:rsidR="00810F41" w:rsidRDefault="00810F41" w:rsidP="00810F41">
      <w:pPr>
        <w:rPr>
          <w:rFonts w:ascii="Verdana" w:hAnsi="Verdana"/>
          <w:sz w:val="18"/>
        </w:rPr>
      </w:pPr>
    </w:p>
    <w:p w14:paraId="44119809" w14:textId="2A10A7AF" w:rsidR="00C352F3" w:rsidRDefault="00810F41" w:rsidP="00810F41">
      <w:pPr>
        <w:rPr>
          <w:rFonts w:ascii="Verdana" w:hAnsi="Verdana"/>
          <w:sz w:val="18"/>
        </w:rPr>
      </w:pPr>
      <w:r>
        <w:rPr>
          <w:rFonts w:ascii="Verdana" w:hAnsi="Verdana"/>
          <w:sz w:val="18"/>
        </w:rPr>
        <w:t>Il 9 maggio, Giornata dell'Europa, ricorre il 76</w:t>
      </w:r>
      <w:r w:rsidR="00DC4483" w:rsidRPr="00DC4483">
        <w:rPr>
          <w:rFonts w:ascii="Verdana" w:hAnsi="Verdana"/>
          <w:sz w:val="18"/>
        </w:rPr>
        <w:t>º</w:t>
      </w:r>
      <w:r>
        <w:rPr>
          <w:rFonts w:ascii="Verdana" w:hAnsi="Verdana"/>
          <w:sz w:val="18"/>
        </w:rPr>
        <w:t xml:space="preserve"> anniversario della dichiarazione Schuman, lo storico discorso pronunciato nel 1950 dal ministro degli Esteri francese Robert Schuman che ha gettato le basi dell'integrazione europea. La Giornata dell'Europa è un momento per rendere omaggio ai risultati del progetto europeo e celebrare la comunità di valori che l'UE incarna e che noi europei difendiamo e coltiviamo ogni giorno.</w:t>
      </w:r>
    </w:p>
    <w:p w14:paraId="1ADFA197" w14:textId="77777777" w:rsidR="00F26D43" w:rsidRDefault="00F26D43" w:rsidP="00810F41">
      <w:pPr>
        <w:rPr>
          <w:rFonts w:ascii="Verdana" w:hAnsi="Verdana"/>
          <w:sz w:val="18"/>
        </w:rPr>
      </w:pPr>
    </w:p>
    <w:p w14:paraId="07582160" w14:textId="5B050C88" w:rsidR="00F26D43" w:rsidRDefault="00F26D43" w:rsidP="00810F41">
      <w:pPr>
        <w:rPr>
          <w:rFonts w:ascii="Verdana" w:hAnsi="Verdana"/>
          <w:sz w:val="18"/>
        </w:rPr>
      </w:pPr>
      <w:r>
        <w:rPr>
          <w:rFonts w:ascii="Verdana" w:hAnsi="Verdana"/>
          <w:sz w:val="18"/>
        </w:rPr>
        <w:t xml:space="preserve">"La Giornata dell'Europa è un giorno veramente importante per fare il punto del progetto europeo e celebrarne i risultati, come la pace, la democrazia e l'inclusione", ha dichiarato </w:t>
      </w:r>
      <w:r>
        <w:rPr>
          <w:rFonts w:ascii="Verdana" w:hAnsi="Verdana"/>
          <w:b/>
          <w:sz w:val="18"/>
        </w:rPr>
        <w:t>Séamus Boland</w:t>
      </w:r>
      <w:r>
        <w:rPr>
          <w:rFonts w:ascii="Verdana" w:hAnsi="Verdana"/>
          <w:sz w:val="18"/>
        </w:rPr>
        <w:t>, Presidente del CESE, aggiungendo che "è stato un vero piacere dare il benvenuto ai visitatori alla Giornata Porte aperte di oggi e onorare la loro partecipazione in uno spirito di impegno comune".</w:t>
      </w:r>
    </w:p>
    <w:p w14:paraId="62C67F5D" w14:textId="77777777" w:rsidR="0023622D" w:rsidRDefault="0023622D" w:rsidP="00810F41">
      <w:pPr>
        <w:rPr>
          <w:rFonts w:ascii="Verdana" w:hAnsi="Verdana"/>
          <w:sz w:val="18"/>
        </w:rPr>
      </w:pPr>
    </w:p>
    <w:p w14:paraId="72FAF28A" w14:textId="7E874EA3" w:rsidR="00DA704C" w:rsidRDefault="00F26D43" w:rsidP="002E1371">
      <w:pPr>
        <w:rPr>
          <w:rFonts w:ascii="Verdana" w:hAnsi="Verdana"/>
          <w:sz w:val="18"/>
        </w:rPr>
      </w:pPr>
      <w:r>
        <w:rPr>
          <w:rFonts w:ascii="Verdana" w:hAnsi="Verdana"/>
          <w:sz w:val="18"/>
        </w:rPr>
        <w:t xml:space="preserve">"Sono molto lieta che il CESE abbia potuto aprire le sue porte per una celebrazione festosa della Giornata dell'Europa", ha dichiarato a sua volta </w:t>
      </w:r>
      <w:r>
        <w:rPr>
          <w:rFonts w:ascii="Verdana" w:hAnsi="Verdana"/>
          <w:b/>
          <w:sz w:val="18"/>
        </w:rPr>
        <w:t>Marija Hanževački</w:t>
      </w:r>
      <w:r>
        <w:rPr>
          <w:rFonts w:ascii="Verdana" w:hAnsi="Verdana"/>
          <w:sz w:val="18"/>
        </w:rPr>
        <w:t>, vicepresidente del CESE responsabile per la Comunicazione, aggiungendo che "la Giornata dell'Europa è un'occasione di gioia e unità che riunisce cittadini di tutte le età attorno ai valori europei, per costruire insieme un'Europa che non lasci nessuno indietro. La Giornata Porte aperte offre un'opportunità unica per vivere lo spirito dell'impegno in prima persona, scoprire il funzionamento del Comitato e capire come dibattiti complessi si traducono in pareri".</w:t>
      </w:r>
    </w:p>
    <w:p w14:paraId="638427DE" w14:textId="4D54EFBE" w:rsidR="0023622D" w:rsidRDefault="0023622D" w:rsidP="002E1371">
      <w:pPr>
        <w:rPr>
          <w:rFonts w:ascii="Verdana" w:hAnsi="Verdana"/>
          <w:sz w:val="18"/>
        </w:rPr>
      </w:pPr>
    </w:p>
    <w:p w14:paraId="007455E5" w14:textId="5444EF14" w:rsidR="00810F41" w:rsidRDefault="00DA704C" w:rsidP="002E1371">
      <w:pPr>
        <w:rPr>
          <w:rFonts w:ascii="Verdana" w:hAnsi="Verdana"/>
          <w:sz w:val="18"/>
        </w:rPr>
      </w:pPr>
      <w:r>
        <w:rPr>
          <w:rFonts w:ascii="Verdana" w:hAnsi="Verdana"/>
          <w:sz w:val="18"/>
        </w:rPr>
        <w:t>Il CESE è l'unica istituzione dell'UE a rappresentare la società civile organizzata; i suoi membri appartengono a tutte le categorie sociali e professionali e apportano un contributo di competenze ed esperienze estremamente diversificato. Essi rappresentano le associazioni dei datori di lavoro, l'industria, le camere di commercio, le associazioni di piccole e medie imprese (PMI), i sindacati, i consumatori, gli agricoltori, le organizzazioni per i diritti delle persone con disabilità, il mondo accademico, le associazioni per i diritti delle donne, gli ambientalisti, le cooperative, le organizzazioni giovanili, le organizzazioni per i diritti umani e molti altri ancora.</w:t>
      </w:r>
    </w:p>
    <w:p w14:paraId="4AEDD3F2" w14:textId="77777777" w:rsidR="0084570A" w:rsidRPr="0084570A" w:rsidRDefault="0084570A" w:rsidP="0084570A">
      <w:pPr>
        <w:rPr>
          <w:rFonts w:ascii="Verdana" w:hAnsi="Verdana"/>
          <w:sz w:val="18"/>
        </w:rPr>
      </w:pPr>
    </w:p>
    <w:p w14:paraId="229FBC71" w14:textId="3FC7BB98" w:rsidR="0084570A" w:rsidRDefault="0084570A" w:rsidP="00F26D43">
      <w:pPr>
        <w:keepNext/>
        <w:keepLines/>
        <w:rPr>
          <w:rFonts w:ascii="Verdana" w:hAnsi="Verdana"/>
          <w:sz w:val="18"/>
        </w:rPr>
      </w:pPr>
      <w:r>
        <w:rPr>
          <w:rFonts w:ascii="Verdana" w:hAnsi="Verdana"/>
          <w:sz w:val="18"/>
        </w:rPr>
        <w:lastRenderedPageBreak/>
        <w:t>I membri del CESE provengono da tutti gli Stati membri dell'UE e danno voce a coloro che altrimenti potrebbero non essere ascoltati. Contribuiscono, con le loro competenze, a far sì che i pareri del CESE rivolti alle istituzioni dell'UE rispecchino i punti di vista, le preoccupazioni e le aspettative dei cittadini.</w:t>
      </w:r>
    </w:p>
    <w:p w14:paraId="16D1006D" w14:textId="77777777" w:rsidR="0084570A" w:rsidRDefault="0084570A" w:rsidP="00810F41">
      <w:pPr>
        <w:rPr>
          <w:rFonts w:ascii="Verdana" w:hAnsi="Verdana"/>
          <w:sz w:val="18"/>
        </w:rPr>
      </w:pPr>
    </w:p>
    <w:p w14:paraId="4C98A6DA" w14:textId="4F7F58D8" w:rsidR="0023622D" w:rsidRDefault="00DA704C" w:rsidP="00DC4483">
      <w:pPr>
        <w:keepNext/>
        <w:keepLines/>
        <w:rPr>
          <w:rFonts w:ascii="Verdana" w:hAnsi="Verdana"/>
          <w:sz w:val="18"/>
        </w:rPr>
      </w:pPr>
      <w:r>
        <w:rPr>
          <w:rFonts w:ascii="Verdana" w:hAnsi="Verdana"/>
          <w:sz w:val="18"/>
        </w:rPr>
        <w:t>Nella Giornata Porte aperte i visitatori hanno avuto l'opportunità di entrare nella sede del CESE e di scoprire come il Comitato dia voce alla società civile organizzata di tutta l'UE, contribuendo a far vivere la democrazia europea. Hanno potuto incontrare le persone che lavorano all'interno del Comitato, scoprire il processo di elaborazione dei suoi pareri e capire come il dialogo inclusivo contribuisca a plasmare il futuro dell'Europa e a costruire un'Unione più forte.</w:t>
      </w:r>
    </w:p>
    <w:p w14:paraId="774039B1" w14:textId="77777777" w:rsidR="008E3BA2" w:rsidRDefault="008E3BA2"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In sintesi, la Giornata Porte aperte è stata un'occasione cruciale per:</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Pr>
          <w:rFonts w:ascii="Verdana" w:hAnsi="Verdana"/>
          <w:sz w:val="18"/>
        </w:rPr>
        <w:t>incontrare i membri e il personale del CESE e constatare da vicino come la società civile organizzata incida sulle politiche dell'UE;</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conoscere meglio il ruolo e le attività del CESE e il contributo del Comitato al processo decisionale dell'UE;</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 xml:space="preserve">scoprire il </w:t>
      </w:r>
      <w:hyperlink r:id="rId14" w:history="1">
        <w:r>
          <w:rPr>
            <w:rStyle w:val="Hyperlink"/>
            <w:rFonts w:ascii="Verdana" w:hAnsi="Verdana"/>
            <w:sz w:val="18"/>
          </w:rPr>
          <w:t>programma</w:t>
        </w:r>
      </w:hyperlink>
      <w:r>
        <w:rPr>
          <w:rFonts w:ascii="Verdana" w:hAnsi="Verdana"/>
          <w:sz w:val="18"/>
        </w:rPr>
        <w:t xml:space="preserve"> del Presidente del CESE, i </w:t>
      </w:r>
      <w:hyperlink r:id="rId15" w:history="1">
        <w:r>
          <w:rPr>
            <w:rStyle w:val="Hyperlink"/>
            <w:rFonts w:ascii="Verdana" w:hAnsi="Verdana"/>
            <w:sz w:val="18"/>
          </w:rPr>
          <w:t>lavori</w:t>
        </w:r>
      </w:hyperlink>
      <w:r>
        <w:rPr>
          <w:rFonts w:ascii="Verdana" w:hAnsi="Verdana"/>
          <w:sz w:val="18"/>
        </w:rPr>
        <w:t xml:space="preserve"> attualmente in corso e i </w:t>
      </w:r>
      <w:hyperlink r:id="rId16" w:history="1">
        <w:r>
          <w:rPr>
            <w:rStyle w:val="Hyperlink"/>
            <w:rFonts w:ascii="Verdana" w:hAnsi="Verdana"/>
            <w:sz w:val="18"/>
          </w:rPr>
          <w:t>risultati</w:t>
        </w:r>
      </w:hyperlink>
      <w:r>
        <w:rPr>
          <w:rFonts w:ascii="Verdana" w:hAnsi="Verdana"/>
          <w:sz w:val="18"/>
        </w:rPr>
        <w:t xml:space="preserve"> raggiunti negli anni dal Comitato.</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L'evento è stato un momento di apertura, scambio e celebrazione per il pubblico, i membri e il personale del CESE, con dibattiti coinvolgenti, esperienze interattive, stand tematici e visite guidate delle strutture dell'edificio Jacques Delors.</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 xml:space="preserve">Per ulteriori informazioni sul CESE consultare il nostro </w:t>
      </w:r>
      <w:hyperlink r:id="rId17" w:history="1">
        <w:r>
          <w:rPr>
            <w:rStyle w:val="Hyperlink"/>
            <w:rFonts w:ascii="Verdana" w:hAnsi="Verdana"/>
            <w:sz w:val="18"/>
          </w:rPr>
          <w:t>sito web</w:t>
        </w:r>
      </w:hyperlink>
      <w:r>
        <w:rPr>
          <w:rFonts w:ascii="Verdana" w:hAnsi="Verdana"/>
          <w:sz w:val="18"/>
        </w:rPr>
        <w:t>.</w:t>
      </w:r>
    </w:p>
    <w:p w14:paraId="3DED80BF" w14:textId="77777777" w:rsidR="00F90BA1" w:rsidRDefault="00F90BA1" w:rsidP="00177BD4">
      <w:pPr>
        <w:rPr>
          <w:rFonts w:ascii="Verdana" w:hAnsi="Verdana"/>
          <w:sz w:val="18"/>
          <w:szCs w:val="18"/>
        </w:rPr>
      </w:pPr>
    </w:p>
    <w:p w14:paraId="4C4CD39F" w14:textId="77777777" w:rsidR="00172CDD" w:rsidRDefault="00172CDD" w:rsidP="00177BD4">
      <w:pPr>
        <w:rPr>
          <w:rFonts w:ascii="Verdana" w:hAnsi="Verdana"/>
          <w:sz w:val="18"/>
          <w:szCs w:val="18"/>
        </w:rPr>
      </w:pP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Per maggiori informazioni, contattare:</w:t>
      </w:r>
    </w:p>
    <w:p w14:paraId="2BFC0303" w14:textId="4CD13C21"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 xml:space="preserve">Unità Stampa del CESE </w:t>
      </w:r>
      <w:r w:rsidR="00DC4483">
        <w:rPr>
          <w:rFonts w:ascii="Verdana" w:hAnsi="Verdana"/>
          <w:sz w:val="18"/>
        </w:rPr>
        <w:t>-</w:t>
      </w:r>
      <w:r>
        <w:rPr>
          <w:rFonts w:ascii="Verdana" w:hAnsi="Verdana"/>
          <w:sz w:val="18"/>
        </w:rPr>
        <w:t xml:space="preserve"> Marco Pezzani</w:t>
      </w:r>
      <w:r>
        <w:rPr>
          <w:rFonts w:ascii="Verdana" w:hAnsi="Verdana"/>
          <w:sz w:val="18"/>
        </w:rPr>
        <w:br/>
        <w:t>+32 (0)2 546 97 93 · Cell. +32 (0)470 881 903</w:t>
      </w:r>
    </w:p>
    <w:p w14:paraId="7E0C5C48" w14:textId="77777777" w:rsidR="00BD7293" w:rsidRPr="00146984" w:rsidRDefault="0074371D" w:rsidP="00BD7293">
      <w:pPr>
        <w:jc w:val="center"/>
        <w:rPr>
          <w:rFonts w:ascii="Verdana" w:hAnsi="Verdana"/>
          <w:sz w:val="18"/>
          <w:szCs w:val="18"/>
        </w:rPr>
      </w:pPr>
      <w:hyperlink r:id="rId18" w:history="1">
        <w:r>
          <w:rPr>
            <w:rStyle w:val="Hyperlink"/>
            <w:rFonts w:ascii="Verdana" w:hAnsi="Verdana"/>
            <w:sz w:val="18"/>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180845CD" w14:textId="106A8B30" w:rsidR="00F90BA1" w:rsidRPr="00177FE7" w:rsidRDefault="00F90BA1" w:rsidP="00F90BA1">
      <w:pPr>
        <w:rPr>
          <w:rFonts w:ascii="Verdana" w:hAnsi="Verdana"/>
          <w:sz w:val="18"/>
          <w:szCs w:val="18"/>
        </w:rPr>
      </w:pP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Il Comitato economico e sociale europeo (CESE) rappresenta le diverse componenti economiche e sociali della società civile organizzata. È un organo istituzionale consultivo, istituito dal Trattato di Roma del 1957. La funzione consultiva del Comitato permette ai suoi membri, e quindi alle organizzazioni che essi rappresentano, di partecipare al processo decisionale dell'Unione europea.</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DC4483">
      <w:type w:val="continuous"/>
      <w:pgSz w:w="11907" w:h="16839" w:code="9"/>
      <w:pgMar w:top="567" w:right="1418" w:bottom="1418" w:left="1418" w:header="2495"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086E" w14:textId="77777777" w:rsidR="005134C8" w:rsidRDefault="005134C8">
      <w:r>
        <w:separator/>
      </w:r>
    </w:p>
  </w:endnote>
  <w:endnote w:type="continuationSeparator" w:id="0">
    <w:p w14:paraId="05E3E5E7" w14:textId="77777777" w:rsidR="005134C8" w:rsidRDefault="0051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Belliard/Belliardstraat 99 – 1040 Bruxelles/Brussel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1319EDA" w:rsidR="00F83179" w:rsidRPr="0004715C" w:rsidRDefault="00046C01" w:rsidP="00F61167">
    <w:pPr>
      <w:spacing w:line="240" w:lineRule="auto"/>
      <w:jc w:val="center"/>
      <w:rPr>
        <w:rFonts w:ascii="Verdana" w:hAnsi="Verdana"/>
        <w:sz w:val="16"/>
        <w:szCs w:val="16"/>
      </w:rPr>
    </w:pPr>
    <w:r>
      <w:rPr>
        <w:rFonts w:ascii="Verdana" w:hAnsi="Verdana"/>
        <w:sz w:val="16"/>
      </w:rPr>
      <w:t xml:space="preserve">Seguici su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DC4483">
      <w:rPr>
        <w:rFonts w:ascii="Verdana" w:hAnsi="Verdana"/>
        <w:noProof/>
        <w:sz w:val="16"/>
        <w:szCs w:val="16"/>
        <w:lang w:val="en-US"/>
      </w:rPr>
      <w:drawing>
        <wp:inline distT="0" distB="0" distL="0" distR="0" wp14:anchorId="31BA15C1" wp14:editId="189B9035">
          <wp:extent cx="279400" cy="279432"/>
          <wp:effectExtent l="0" t="0" r="6350" b="6350"/>
          <wp:docPr id="2084522531" name="Afbeelding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22531" name="Afbeelding 2">
                    <a:hlinkClick r:id="rId6"/>
                  </pic:cNvPr>
                  <pic:cNvPicPr/>
                </pic:nvPicPr>
                <pic:blipFill>
                  <a:blip r:embed="rId7"/>
                  <a:stretch>
                    <a:fillRect/>
                  </a:stretch>
                </pic:blipFill>
                <pic:spPr>
                  <a:xfrm>
                    <a:off x="0" y="0"/>
                    <a:ext cx="290725" cy="290758"/>
                  </a:xfrm>
                  <a:prstGeom prst="rect">
                    <a:avLst/>
                  </a:prstGeom>
                </pic:spPr>
              </pic:pic>
            </a:graphicData>
          </a:graphic>
        </wp:inline>
      </w:drawing>
    </w:r>
    <w:r>
      <w:rPr>
        <w:noProof/>
      </w:rPr>
      <w:drawing>
        <wp:inline distT="0" distB="0" distL="0" distR="0" wp14:anchorId="1391340A" wp14:editId="17A7F215">
          <wp:extent cx="323850" cy="323850"/>
          <wp:effectExtent l="0" t="0" r="0" b="0"/>
          <wp:docPr id="3" name="Graphic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B85F" w14:textId="77777777" w:rsidR="005134C8" w:rsidRDefault="005134C8">
      <w:r>
        <w:separator/>
      </w:r>
    </w:p>
  </w:footnote>
  <w:footnote w:type="continuationSeparator" w:id="0">
    <w:p w14:paraId="7684F2DD" w14:textId="77777777" w:rsidR="005134C8" w:rsidRDefault="00513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51286397">
    <w:abstractNumId w:val="0"/>
  </w:num>
  <w:num w:numId="2" w16cid:durableId="1364746799">
    <w:abstractNumId w:val="4"/>
  </w:num>
  <w:num w:numId="3" w16cid:durableId="684868355">
    <w:abstractNumId w:val="6"/>
  </w:num>
  <w:num w:numId="4" w16cid:durableId="1333025069">
    <w:abstractNumId w:val="5"/>
  </w:num>
  <w:num w:numId="5" w16cid:durableId="21906171">
    <w:abstractNumId w:val="2"/>
  </w:num>
  <w:num w:numId="6" w16cid:durableId="1938367364">
    <w:abstractNumId w:val="3"/>
  </w:num>
  <w:num w:numId="7" w16cid:durableId="1708994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0BF5"/>
    <w:rsid w:val="00002706"/>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27B2"/>
    <w:rsid w:val="00155ED8"/>
    <w:rsid w:val="00172CDD"/>
    <w:rsid w:val="00177BD4"/>
    <w:rsid w:val="00177FE7"/>
    <w:rsid w:val="00185E90"/>
    <w:rsid w:val="0018613F"/>
    <w:rsid w:val="00197719"/>
    <w:rsid w:val="001B0569"/>
    <w:rsid w:val="001B6B11"/>
    <w:rsid w:val="001C5F46"/>
    <w:rsid w:val="001D404A"/>
    <w:rsid w:val="001D64EA"/>
    <w:rsid w:val="001D73C0"/>
    <w:rsid w:val="001E62BC"/>
    <w:rsid w:val="001F0BE1"/>
    <w:rsid w:val="002150A2"/>
    <w:rsid w:val="00220030"/>
    <w:rsid w:val="00227A31"/>
    <w:rsid w:val="002349A2"/>
    <w:rsid w:val="00235E3D"/>
    <w:rsid w:val="0023622D"/>
    <w:rsid w:val="00253452"/>
    <w:rsid w:val="0026528E"/>
    <w:rsid w:val="0026646E"/>
    <w:rsid w:val="002734F3"/>
    <w:rsid w:val="00274D99"/>
    <w:rsid w:val="00275154"/>
    <w:rsid w:val="002810CA"/>
    <w:rsid w:val="002A2267"/>
    <w:rsid w:val="002B4379"/>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4D81"/>
    <w:rsid w:val="003959F5"/>
    <w:rsid w:val="003A77E7"/>
    <w:rsid w:val="003B714A"/>
    <w:rsid w:val="003C1F6B"/>
    <w:rsid w:val="003C2229"/>
    <w:rsid w:val="003C60BB"/>
    <w:rsid w:val="003D0161"/>
    <w:rsid w:val="003E4E60"/>
    <w:rsid w:val="003E76A5"/>
    <w:rsid w:val="003F110E"/>
    <w:rsid w:val="003F3EA6"/>
    <w:rsid w:val="003F5587"/>
    <w:rsid w:val="00404E22"/>
    <w:rsid w:val="00404E43"/>
    <w:rsid w:val="00405274"/>
    <w:rsid w:val="004138F2"/>
    <w:rsid w:val="00414734"/>
    <w:rsid w:val="00415456"/>
    <w:rsid w:val="0042470A"/>
    <w:rsid w:val="00424928"/>
    <w:rsid w:val="00440A8C"/>
    <w:rsid w:val="004605FD"/>
    <w:rsid w:val="004673DD"/>
    <w:rsid w:val="00474606"/>
    <w:rsid w:val="00486D46"/>
    <w:rsid w:val="004873DA"/>
    <w:rsid w:val="00494573"/>
    <w:rsid w:val="00494BBC"/>
    <w:rsid w:val="004C0408"/>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600CC"/>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570A"/>
    <w:rsid w:val="00853D56"/>
    <w:rsid w:val="00855802"/>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3675C"/>
    <w:rsid w:val="0094444D"/>
    <w:rsid w:val="009449D1"/>
    <w:rsid w:val="00944A83"/>
    <w:rsid w:val="00945B9A"/>
    <w:rsid w:val="009515C5"/>
    <w:rsid w:val="00951761"/>
    <w:rsid w:val="00955D3C"/>
    <w:rsid w:val="009572EA"/>
    <w:rsid w:val="00965AE6"/>
    <w:rsid w:val="009666A2"/>
    <w:rsid w:val="0097211B"/>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4483"/>
    <w:rsid w:val="00DC66B3"/>
    <w:rsid w:val="00DD3BAC"/>
    <w:rsid w:val="00DE0845"/>
    <w:rsid w:val="00DE26A1"/>
    <w:rsid w:val="00DE7713"/>
    <w:rsid w:val="00E00824"/>
    <w:rsid w:val="00E01BEB"/>
    <w:rsid w:val="00E02A60"/>
    <w:rsid w:val="00E179B2"/>
    <w:rsid w:val="00E27017"/>
    <w:rsid w:val="00E27081"/>
    <w:rsid w:val="00E326C0"/>
    <w:rsid w:val="00E45E91"/>
    <w:rsid w:val="00E47ED9"/>
    <w:rsid w:val="00E519C4"/>
    <w:rsid w:val="00E520E0"/>
    <w:rsid w:val="00E52A4F"/>
    <w:rsid w:val="00EA22E5"/>
    <w:rsid w:val="00EB3335"/>
    <w:rsid w:val="00EC55A1"/>
    <w:rsid w:val="00ED0226"/>
    <w:rsid w:val="00ED35AF"/>
    <w:rsid w:val="00ED4759"/>
    <w:rsid w:val="00EE424A"/>
    <w:rsid w:val="00EE6566"/>
    <w:rsid w:val="00EE66AF"/>
    <w:rsid w:val="00F11D6A"/>
    <w:rsid w:val="00F135E2"/>
    <w:rsid w:val="00F17C90"/>
    <w:rsid w:val="00F268D7"/>
    <w:rsid w:val="00F26D43"/>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it-IT"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it-IT"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it-IT"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it-IT"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it-IT"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it-IT"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it-IT"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it-IT"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it-IT"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it-IT"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it-IT"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it-IT"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it-IT"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it-IT"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it-IT" w:eastAsia="en-US"/>
    </w:rPr>
  </w:style>
  <w:style w:type="paragraph" w:styleId="Revision">
    <w:name w:val="Revision"/>
    <w:hidden/>
    <w:uiPriority w:val="99"/>
    <w:semiHidden/>
    <w:rsid w:val="0073691E"/>
    <w:rPr>
      <w:sz w:val="22"/>
      <w:lang w:eastAsia="en-US"/>
    </w:rPr>
  </w:style>
  <w:style w:type="character" w:styleId="UnresolvedMention">
    <w:name w:val="Unresolved Mention"/>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it/agenda/our-events/events/europe-day-2026" TargetMode="External"/><Relationship Id="rId18" Type="http://schemas.openxmlformats.org/officeDocument/2006/relationships/hyperlink" Target="mailto:marco.pezzani@eesc.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esc.europa.eu/it" TargetMode="External"/><Relationship Id="rId2" Type="http://schemas.openxmlformats.org/officeDocument/2006/relationships/customXml" Target="../customXml/item2.xml"/><Relationship Id="rId16" Type="http://schemas.openxmlformats.org/officeDocument/2006/relationships/hyperlink" Target="https://www.eesc.europa.eu/it/our-work/publications-other-work/publications/recent-eesc-achiev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esc.europa.eu/it/our-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esc.europa.eu/it/president/priorities/work-programme"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s://be.linkedin.com/company/european-economic-social-committee" TargetMode="External"/><Relationship Id="rId13" Type="http://schemas.openxmlformats.org/officeDocument/2006/relationships/image" Target="media/image8.sv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image" Target="media/image7.png"/><Relationship Id="rId2" Type="http://schemas.openxmlformats.org/officeDocument/2006/relationships/hyperlink" Target="http://www.eesc.europa.eu" TargetMode="External"/><Relationship Id="rId16" Type="http://schemas.openxmlformats.org/officeDocument/2006/relationships/image" Target="media/image10.sv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hyperlink" Target="https://www.instagram.com/accounts/login/?next=/eu_civilsociety/" TargetMode="External"/><Relationship Id="rId5" Type="http://schemas.openxmlformats.org/officeDocument/2006/relationships/image" Target="media/image3.svg"/><Relationship Id="rId15" Type="http://schemas.openxmlformats.org/officeDocument/2006/relationships/image" Target="media/image9.png"/><Relationship Id="rId10" Type="http://schemas.openxmlformats.org/officeDocument/2006/relationships/image" Target="media/image6.svg"/><Relationship Id="rId4" Type="http://schemas.openxmlformats.org/officeDocument/2006/relationships/image" Target="media/image2.png"/><Relationship Id="rId9" Type="http://schemas.openxmlformats.org/officeDocument/2006/relationships/image" Target="media/image5.png"/><Relationship Id="rId14" Type="http://schemas.openxmlformats.org/officeDocument/2006/relationships/hyperlink" Target="https://www.facebook.com/EuropeanEconomicAndSocial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VP3JK3XSEPRV-1795132703-1161</_dlc_DocId>
    <_dlc_DocIdUrl xmlns="7d640e6d-779c-472f-a269-6b546787f1c9">
      <Url>http://dm/eesc/2026/_layouts/15/DocIdRedir.aspx?ID=VP3JK3XSEPRV-1795132703-1161</Url>
      <Description>VP3JK3XSEPRV-1795132703-1161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Ferro Federica</DisplayName>
        <AccountId>1544</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A265D5-A41E-4936-A7C7-542809E1C2BD}"/>
</file>

<file path=customXml/itemProps2.xml><?xml version="1.0" encoding="utf-8"?>
<ds:datastoreItem xmlns:ds="http://schemas.openxmlformats.org/officeDocument/2006/customXml" ds:itemID="{DAC4CBA1-ED3D-4F89-91E3-BC61EB2316C4}">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d51dc14e-0c05-44bd-9dff-3ae522c33107"/>
  </ds:schemaRefs>
</ds:datastoreItem>
</file>

<file path=customXml/itemProps3.xml><?xml version="1.0" encoding="utf-8"?>
<ds:datastoreItem xmlns:ds="http://schemas.openxmlformats.org/officeDocument/2006/customXml" ds:itemID="{4E009E39-4463-488D-A75D-EAC7A7F63C18}">
  <ds:schemaRefs>
    <ds:schemaRef ds:uri="http://schemas.microsoft.com/sharepoint/v3/contenttype/forms"/>
  </ds:schemaRefs>
</ds:datastoreItem>
</file>

<file path=customXml/itemProps4.xml><?xml version="1.0" encoding="utf-8"?>
<ds:datastoreItem xmlns:ds="http://schemas.openxmlformats.org/officeDocument/2006/customXml" ds:itemID="{4C3E7D9D-4D4C-4AA2-BE47-8884E7DC8A32}">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4284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Giornata Porte aperte 2026: il CESE celebra la Giornata dell'Europa (#EuropeDay) con un'opportunità unica di vivere lo spirito dell'impegno in prima persona</dc:title>
  <dc:creator/>
  <cp:keywords>EESC-2022-01954-00-00-ADMIN-TRA-EN</cp:keywords>
  <dc:description>Rapporteur: -  Original language: - EN Date of document: - 05/04/2022 Date of meeting: -  External documents: -  Administrator responsible: -  SUCIU Serban</dc:description>
  <cp:lastModifiedBy/>
  <cp:revision>3</cp:revision>
  <cp:lastPrinted>2026-05-05T14:19:00Z</cp:lastPrinted>
  <dcterms:created xsi:type="dcterms:W3CDTF">2026-05-08T12:15:00Z</dcterms:created>
  <dcterms:modified xsi:type="dcterms:W3CDTF">2026-05-08T14:53:00Z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d8778822-c36c-4646-aa60-da466d4af53f</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2022</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FR|d2afafd3-4c81-4f60-8f52-ee33f2f54ff3;RO|feb747a2-64cd-4299-af12-4833ddc30497;EN|f2175f21-25d7-44a3-96da-d6a61b075e1b;PT|50ccc04a-eadd-42ae-a0cb-acaf45f812ba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28;#PT|50ccc04a-eadd-42ae-a0cb-acaf45f812ba;#9;#TRA|150d2a88-1431-44e6-a8ca-0bb753ab8672;#55;#RO|feb747a2-64cd-4299-af12-4833ddc30497;#7;#Final|ea5e6674-7b27-4bac-b091-73adbb394efe;#23;#FR|d2afafd3-4c81-4f60-8f52-ee33f2f54ff3;#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13;#IT|0774613c-01ed-4e5d-a25d-11d2388de825</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