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32A0" w14:textId="77777777" w:rsidR="00077C4F" w:rsidRPr="00E97737" w:rsidRDefault="00077C4F" w:rsidP="00442552">
      <w:pPr>
        <w:rPr>
          <w:rFonts w:ascii="Times New Roman" w:hAnsi="Times New Roman"/>
          <w:b/>
          <w:sz w:val="2"/>
          <w:szCs w:val="2"/>
          <w:u w:val="single"/>
        </w:rPr>
      </w:pPr>
    </w:p>
    <w:tbl>
      <w:tblPr>
        <w:tblW w:w="971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1"/>
      </w:tblGrid>
      <w:tr w:rsidR="001C4138" w:rsidRPr="00442552" w14:paraId="7E6372DC" w14:textId="77777777" w:rsidTr="2DF551E5">
        <w:trPr>
          <w:jc w:val="center"/>
        </w:trPr>
        <w:tc>
          <w:tcPr>
            <w:tcW w:w="9711" w:type="dxa"/>
          </w:tcPr>
          <w:p w14:paraId="3A4EDC3A" w14:textId="295B17C5" w:rsidR="001C4138" w:rsidRPr="004F6117" w:rsidRDefault="07BDED95" w:rsidP="59ADD3C9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>Connecting Europe Facility 2028-2034</w:t>
            </w:r>
            <w:r w:rsidR="00E9773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31288946"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>(mandatory opinion)</w:t>
            </w:r>
            <w:r w:rsidR="000A3E76">
              <w:br/>
            </w:r>
            <w:r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>COM(2025) 547 final</w:t>
            </w:r>
            <w:r w:rsidR="000A3E76">
              <w:br/>
            </w:r>
            <w:r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>EESC-2025-03183-</w:t>
            </w:r>
            <w:r w:rsidR="5B888B09"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4BCACD96"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>TEN/85</w:t>
            </w:r>
            <w:r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0A3E76">
              <w:br/>
            </w:r>
            <w:r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>602</w:t>
            </w:r>
            <w:r w:rsidRPr="59ADD3C9">
              <w:rPr>
                <w:b/>
                <w:bCs/>
                <w:vertAlign w:val="superscript"/>
              </w:rPr>
              <w:t>nd</w:t>
            </w:r>
            <w:r w:rsidR="5B888B09" w:rsidRPr="59ADD3C9">
              <w:rPr>
                <w:b/>
                <w:bCs/>
              </w:rPr>
              <w:t xml:space="preserve"> </w:t>
            </w:r>
            <w:r w:rsidR="5B888B09"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Plenary Session – </w:t>
            </w:r>
            <w:r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>January</w:t>
            </w:r>
            <w:r w:rsidR="4BCACD96"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</w:t>
            </w:r>
            <w:r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0A3E76">
              <w:br/>
            </w:r>
            <w:r w:rsidR="5B888B09"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Rapporteur: </w:t>
            </w:r>
            <w:r w:rsidR="762BA598"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Mateusz SZYMAŃSKI </w:t>
            </w:r>
            <w:r w:rsidR="5F067694"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762BA598"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>PL</w:t>
            </w:r>
            <w:r w:rsidR="5F067694"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5B888B09"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5F067694"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II</w:t>
            </w:r>
            <w:r w:rsidR="5B888B09"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="000A3E76">
              <w:br/>
            </w:r>
            <w:r w:rsidR="5B888B09"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>DG</w:t>
            </w:r>
            <w:r w:rsidR="54AD46E9" w:rsidRPr="59ADD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MOVE – Commissioner TZITZIKOSTAS</w:t>
            </w:r>
          </w:p>
        </w:tc>
      </w:tr>
      <w:tr w:rsidR="00734613" w:rsidRPr="00442552" w14:paraId="1937071F" w14:textId="77777777" w:rsidTr="2DF551E5">
        <w:trPr>
          <w:jc w:val="center"/>
        </w:trPr>
        <w:tc>
          <w:tcPr>
            <w:tcW w:w="9711" w:type="dxa"/>
          </w:tcPr>
          <w:p w14:paraId="1E50B4DB" w14:textId="276B528D" w:rsidR="00734613" w:rsidRPr="00695797" w:rsidRDefault="004F6117" w:rsidP="004F611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European Commission position on points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of the European Economic and Social Committee </w:t>
            </w:r>
            <w:r w:rsidR="008F3232">
              <w:rPr>
                <w:rFonts w:ascii="Times New Roman" w:hAnsi="Times New Roman"/>
                <w:b/>
                <w:sz w:val="24"/>
                <w:szCs w:val="24"/>
              </w:rPr>
              <w:t xml:space="preserve">(EESC) </w:t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opinion</w:t>
            </w:r>
            <w:r w:rsidR="00E83C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83C12" w:rsidRPr="00E83C12">
              <w:rPr>
                <w:rFonts w:ascii="Times New Roman" w:hAnsi="Times New Roman"/>
                <w:b/>
                <w:sz w:val="24"/>
                <w:szCs w:val="24"/>
              </w:rPr>
              <w:t>considered as essential</w:t>
            </w:r>
          </w:p>
        </w:tc>
      </w:tr>
      <w:tr w:rsidR="00734613" w:rsidRPr="002201D1" w14:paraId="673DDC1B" w14:textId="77777777" w:rsidTr="2DF551E5">
        <w:trPr>
          <w:jc w:val="center"/>
        </w:trPr>
        <w:tc>
          <w:tcPr>
            <w:tcW w:w="9711" w:type="dxa"/>
          </w:tcPr>
          <w:p w14:paraId="3FA3629D" w14:textId="3A266DC0" w:rsidR="00BF7AA9" w:rsidRDefault="00BF7AA9" w:rsidP="005F6553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EB6FE76">
              <w:rPr>
                <w:rFonts w:ascii="Times New Roman" w:hAnsi="Times New Roman"/>
                <w:sz w:val="24"/>
                <w:szCs w:val="24"/>
              </w:rPr>
              <w:t xml:space="preserve">The Commission welcomes the support of the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Committee </w:t>
            </w:r>
            <w:r w:rsidRPr="0EB6FE76">
              <w:rPr>
                <w:rFonts w:ascii="Times New Roman" w:hAnsi="Times New Roman"/>
                <w:sz w:val="24"/>
                <w:szCs w:val="24"/>
              </w:rPr>
              <w:t>to this proposal.</w:t>
            </w:r>
          </w:p>
          <w:p w14:paraId="23104566" w14:textId="251414B2" w:rsidR="00044AE3" w:rsidRPr="00044AE3" w:rsidRDefault="543B4AE3" w:rsidP="005F6553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72A972D">
              <w:rPr>
                <w:rFonts w:ascii="Times New Roman" w:hAnsi="Times New Roman"/>
                <w:b/>
                <w:bCs/>
                <w:sz w:val="24"/>
                <w:szCs w:val="24"/>
              </w:rPr>
              <w:t>Point 1</w:t>
            </w:r>
            <w:r w:rsidR="37962A81" w:rsidRPr="672A97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.1: </w:t>
            </w:r>
            <w:r w:rsidR="5BACF6F1" w:rsidRPr="672A972D">
              <w:rPr>
                <w:rFonts w:ascii="Times New Roman" w:hAnsi="Times New Roman"/>
                <w:sz w:val="24"/>
                <w:szCs w:val="24"/>
              </w:rPr>
              <w:t xml:space="preserve">The Commission agrees that the </w:t>
            </w:r>
            <w:r w:rsidR="0B5119C4" w:rsidRPr="672A972D">
              <w:rPr>
                <w:rFonts w:ascii="Times New Roman" w:hAnsi="Times New Roman"/>
                <w:sz w:val="24"/>
                <w:szCs w:val="24"/>
              </w:rPr>
              <w:t xml:space="preserve">budget of the current </w:t>
            </w:r>
            <w:r w:rsidR="5BACF6F1" w:rsidRPr="672A972D">
              <w:rPr>
                <w:rFonts w:ascii="Times New Roman" w:hAnsi="Times New Roman"/>
                <w:sz w:val="24"/>
                <w:szCs w:val="24"/>
              </w:rPr>
              <w:t>Connecting Europe Facility</w:t>
            </w:r>
            <w:r w:rsidR="00C853D6">
              <w:rPr>
                <w:rFonts w:ascii="Times New Roman" w:hAnsi="Times New Roman"/>
                <w:sz w:val="24"/>
                <w:szCs w:val="24"/>
              </w:rPr>
              <w:t xml:space="preserve"> (CEF)</w:t>
            </w:r>
            <w:r w:rsidR="5BACF6F1" w:rsidRPr="672A972D">
              <w:rPr>
                <w:rFonts w:ascii="Times New Roman" w:hAnsi="Times New Roman"/>
                <w:sz w:val="24"/>
                <w:szCs w:val="24"/>
              </w:rPr>
              <w:t xml:space="preserve"> needs to </w:t>
            </w:r>
            <w:r w:rsidR="0B5119C4" w:rsidRPr="672A972D">
              <w:rPr>
                <w:rFonts w:ascii="Times New Roman" w:hAnsi="Times New Roman"/>
                <w:sz w:val="24"/>
                <w:szCs w:val="24"/>
              </w:rPr>
              <w:t>be reinforced. Th</w:t>
            </w:r>
            <w:r w:rsidR="5EA08A42" w:rsidRPr="672A972D">
              <w:rPr>
                <w:rFonts w:ascii="Times New Roman" w:hAnsi="Times New Roman"/>
                <w:sz w:val="24"/>
                <w:szCs w:val="24"/>
              </w:rPr>
              <w:t>is i</w:t>
            </w:r>
            <w:r w:rsidR="0B5119C4" w:rsidRPr="672A972D">
              <w:rPr>
                <w:rFonts w:ascii="Times New Roman" w:hAnsi="Times New Roman"/>
                <w:sz w:val="24"/>
                <w:szCs w:val="24"/>
              </w:rPr>
              <w:t>s why the Commission</w:t>
            </w:r>
            <w:r w:rsidR="61861630" w:rsidRPr="672A972D">
              <w:rPr>
                <w:rFonts w:ascii="Times New Roman" w:hAnsi="Times New Roman"/>
                <w:sz w:val="24"/>
                <w:szCs w:val="24"/>
              </w:rPr>
              <w:t xml:space="preserve"> proposal on the Connecting Europe Facility 2028-2034</w:t>
            </w:r>
            <w:r w:rsidR="0B5119C4" w:rsidRPr="672A9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BE9BF44" w:rsidRPr="672A972D">
              <w:rPr>
                <w:rFonts w:ascii="Times New Roman" w:hAnsi="Times New Roman"/>
                <w:sz w:val="24"/>
                <w:szCs w:val="24"/>
              </w:rPr>
              <w:t>puts fo</w:t>
            </w:r>
            <w:r w:rsidR="3F3D2B19" w:rsidRPr="672A972D">
              <w:rPr>
                <w:rFonts w:ascii="Times New Roman" w:hAnsi="Times New Roman"/>
                <w:sz w:val="24"/>
                <w:szCs w:val="24"/>
              </w:rPr>
              <w:t>r</w:t>
            </w:r>
            <w:r w:rsidR="2BE9BF44" w:rsidRPr="672A972D">
              <w:rPr>
                <w:rFonts w:ascii="Times New Roman" w:hAnsi="Times New Roman"/>
                <w:sz w:val="24"/>
                <w:szCs w:val="24"/>
              </w:rPr>
              <w:t>ward</w:t>
            </w:r>
            <w:r w:rsidR="61861630" w:rsidRPr="672A9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B5119C4" w:rsidRPr="672A972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5BACF6F1" w:rsidRPr="672A972D">
              <w:rPr>
                <w:rFonts w:ascii="Times New Roman" w:hAnsi="Times New Roman"/>
                <w:sz w:val="24"/>
                <w:szCs w:val="24"/>
              </w:rPr>
              <w:t>strong</w:t>
            </w:r>
            <w:r w:rsidR="46309C42" w:rsidRPr="672A972D">
              <w:rPr>
                <w:rFonts w:ascii="Times New Roman" w:hAnsi="Times New Roman"/>
                <w:sz w:val="24"/>
                <w:szCs w:val="24"/>
              </w:rPr>
              <w:t>er</w:t>
            </w:r>
            <w:r w:rsidR="5BACF6F1" w:rsidRPr="672A972D">
              <w:rPr>
                <w:rFonts w:ascii="Times New Roman" w:hAnsi="Times New Roman"/>
                <w:sz w:val="24"/>
                <w:szCs w:val="24"/>
              </w:rPr>
              <w:t xml:space="preserve"> budget</w:t>
            </w:r>
            <w:r w:rsidR="0B5119C4" w:rsidRPr="672A972D">
              <w:rPr>
                <w:rFonts w:ascii="Times New Roman" w:hAnsi="Times New Roman"/>
                <w:sz w:val="24"/>
                <w:szCs w:val="24"/>
              </w:rPr>
              <w:t xml:space="preserve"> of EUR </w:t>
            </w:r>
            <w:r w:rsidR="6333FDAD" w:rsidRPr="672A972D">
              <w:rPr>
                <w:rFonts w:ascii="Times New Roman" w:hAnsi="Times New Roman"/>
                <w:sz w:val="24"/>
                <w:szCs w:val="24"/>
              </w:rPr>
              <w:t xml:space="preserve">81.4 billion. This </w:t>
            </w:r>
            <w:r w:rsidR="74C7C35D" w:rsidRPr="672A972D">
              <w:rPr>
                <w:rFonts w:ascii="Times New Roman" w:hAnsi="Times New Roman"/>
                <w:sz w:val="24"/>
                <w:szCs w:val="24"/>
              </w:rPr>
              <w:t>repre</w:t>
            </w:r>
            <w:r w:rsidR="34B3698E" w:rsidRPr="672A972D">
              <w:rPr>
                <w:rFonts w:ascii="Times New Roman" w:hAnsi="Times New Roman"/>
                <w:sz w:val="24"/>
                <w:szCs w:val="24"/>
              </w:rPr>
              <w:t xml:space="preserve">sents </w:t>
            </w:r>
            <w:r w:rsidR="37F9081D" w:rsidRPr="672A972D">
              <w:rPr>
                <w:rFonts w:ascii="Times New Roman" w:hAnsi="Times New Roman"/>
                <w:sz w:val="24"/>
                <w:szCs w:val="24"/>
              </w:rPr>
              <w:t>a</w:t>
            </w:r>
            <w:r w:rsidR="4ED8DA9F" w:rsidRPr="672A972D">
              <w:rPr>
                <w:rFonts w:ascii="Times New Roman" w:hAnsi="Times New Roman"/>
                <w:sz w:val="24"/>
                <w:szCs w:val="24"/>
              </w:rPr>
              <w:t xml:space="preserve"> doubling </w:t>
            </w:r>
            <w:r w:rsidR="1CE55F53" w:rsidRPr="672A972D"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="4ED8DA9F" w:rsidRPr="672A972D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1F6E1096" w:rsidRPr="672A972D">
              <w:rPr>
                <w:rFonts w:ascii="Times New Roman" w:hAnsi="Times New Roman"/>
                <w:sz w:val="24"/>
                <w:szCs w:val="24"/>
              </w:rPr>
              <w:t xml:space="preserve">current </w:t>
            </w:r>
            <w:r w:rsidR="4251F964" w:rsidRPr="672A972D">
              <w:rPr>
                <w:rFonts w:ascii="Times New Roman" w:hAnsi="Times New Roman"/>
                <w:sz w:val="24"/>
                <w:szCs w:val="24"/>
              </w:rPr>
              <w:t>CEF T</w:t>
            </w:r>
            <w:r w:rsidR="4ED8DA9F" w:rsidRPr="672A972D">
              <w:rPr>
                <w:rFonts w:ascii="Times New Roman" w:hAnsi="Times New Roman"/>
                <w:sz w:val="24"/>
                <w:szCs w:val="24"/>
              </w:rPr>
              <w:t xml:space="preserve">ransport budget </w:t>
            </w:r>
            <w:r w:rsidR="6C5FBED9" w:rsidRPr="672A972D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2A3B05" w:rsidRPr="672A972D">
              <w:rPr>
                <w:rFonts w:ascii="Times New Roman" w:hAnsi="Times New Roman"/>
                <w:sz w:val="24"/>
                <w:szCs w:val="24"/>
              </w:rPr>
              <w:t xml:space="preserve">EUR 51.5 billion </w:t>
            </w:r>
            <w:r w:rsidR="6FE5C725" w:rsidRPr="672A972D">
              <w:rPr>
                <w:rFonts w:ascii="Times New Roman" w:hAnsi="Times New Roman"/>
                <w:sz w:val="24"/>
                <w:szCs w:val="24"/>
              </w:rPr>
              <w:t xml:space="preserve">(including Military Mobility) </w:t>
            </w:r>
            <w:r w:rsidR="4ED8DA9F" w:rsidRPr="672A972D">
              <w:rPr>
                <w:rFonts w:ascii="Times New Roman" w:hAnsi="Times New Roman"/>
                <w:sz w:val="24"/>
                <w:szCs w:val="24"/>
              </w:rPr>
              <w:t>and</w:t>
            </w:r>
            <w:r w:rsidR="002A3B05" w:rsidRPr="672A9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4D7AF28D" w:rsidRPr="672A972D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06A597" w:rsidRPr="672A972D">
              <w:rPr>
                <w:rFonts w:ascii="Times New Roman" w:hAnsi="Times New Roman"/>
                <w:sz w:val="24"/>
                <w:szCs w:val="24"/>
              </w:rPr>
              <w:t xml:space="preserve">multiplication </w:t>
            </w:r>
            <w:r w:rsidR="6919FC6D" w:rsidRPr="672A972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4D7AF28D" w:rsidRPr="672A972D">
              <w:rPr>
                <w:rFonts w:ascii="Times New Roman" w:hAnsi="Times New Roman"/>
                <w:sz w:val="24"/>
                <w:szCs w:val="24"/>
              </w:rPr>
              <w:t>CEF E</w:t>
            </w:r>
            <w:r w:rsidR="1CE55F53" w:rsidRPr="672A972D">
              <w:rPr>
                <w:rFonts w:ascii="Times New Roman" w:hAnsi="Times New Roman"/>
                <w:sz w:val="24"/>
                <w:szCs w:val="24"/>
              </w:rPr>
              <w:t xml:space="preserve">nergy budget by </w:t>
            </w:r>
            <w:r w:rsidR="3C4ECE52" w:rsidRPr="672A972D">
              <w:rPr>
                <w:rFonts w:ascii="Times New Roman" w:hAnsi="Times New Roman"/>
                <w:sz w:val="24"/>
                <w:szCs w:val="24"/>
              </w:rPr>
              <w:t>5</w:t>
            </w:r>
            <w:r w:rsidR="1FB252B2" w:rsidRPr="672A9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163BD647" w:rsidRPr="672A972D">
              <w:rPr>
                <w:rFonts w:ascii="Times New Roman" w:hAnsi="Times New Roman"/>
                <w:sz w:val="24"/>
                <w:szCs w:val="24"/>
              </w:rPr>
              <w:t xml:space="preserve">to nearly </w:t>
            </w:r>
            <w:r w:rsidR="1FB252B2" w:rsidRPr="672A972D">
              <w:rPr>
                <w:rFonts w:ascii="Times New Roman" w:hAnsi="Times New Roman"/>
                <w:sz w:val="24"/>
                <w:szCs w:val="24"/>
              </w:rPr>
              <w:t xml:space="preserve">EUR </w:t>
            </w:r>
            <w:r w:rsidR="163BD647" w:rsidRPr="672A972D">
              <w:rPr>
                <w:rFonts w:ascii="Times New Roman" w:hAnsi="Times New Roman"/>
                <w:sz w:val="24"/>
                <w:szCs w:val="24"/>
              </w:rPr>
              <w:t>30 billion</w:t>
            </w:r>
            <w:r w:rsidR="1FB252B2" w:rsidRPr="672A972D">
              <w:rPr>
                <w:rFonts w:ascii="Times New Roman" w:hAnsi="Times New Roman"/>
                <w:sz w:val="24"/>
                <w:szCs w:val="24"/>
              </w:rPr>
              <w:t>.</w:t>
            </w:r>
            <w:r w:rsidR="4D7AF28D" w:rsidRPr="672A9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AE3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="00044AE3" w:rsidRPr="00044AE3">
              <w:rPr>
                <w:rFonts w:ascii="Times New Roman" w:hAnsi="Times New Roman"/>
                <w:bCs/>
                <w:sz w:val="24"/>
                <w:szCs w:val="24"/>
              </w:rPr>
              <w:t xml:space="preserve">he proposed </w:t>
            </w:r>
            <w:r w:rsidR="00044AE3">
              <w:rPr>
                <w:rFonts w:ascii="Times New Roman" w:hAnsi="Times New Roman"/>
                <w:bCs/>
                <w:sz w:val="24"/>
                <w:szCs w:val="24"/>
              </w:rPr>
              <w:t xml:space="preserve">budget </w:t>
            </w:r>
            <w:r w:rsidR="00044AE3" w:rsidRPr="00044AE3">
              <w:rPr>
                <w:rFonts w:ascii="Times New Roman" w:hAnsi="Times New Roman"/>
                <w:bCs/>
                <w:sz w:val="24"/>
                <w:szCs w:val="24"/>
              </w:rPr>
              <w:t xml:space="preserve">for CEF </w:t>
            </w:r>
            <w:r w:rsidR="001B2A5E">
              <w:rPr>
                <w:rFonts w:ascii="Times New Roman" w:hAnsi="Times New Roman"/>
                <w:bCs/>
                <w:sz w:val="24"/>
                <w:szCs w:val="24"/>
              </w:rPr>
              <w:t xml:space="preserve">is not meant </w:t>
            </w:r>
            <w:r w:rsidR="00044AE3" w:rsidRPr="00044AE3">
              <w:rPr>
                <w:rFonts w:ascii="Times New Roman" w:hAnsi="Times New Roman"/>
                <w:bCs/>
                <w:sz w:val="24"/>
                <w:szCs w:val="24"/>
              </w:rPr>
              <w:t xml:space="preserve">to cater for all the needs on the trans-European transport and energy networks. </w:t>
            </w:r>
            <w:r w:rsidR="00044AE3" w:rsidRPr="00044AE3">
              <w:rPr>
                <w:rFonts w:ascii="Times New Roman" w:hAnsi="Times New Roman"/>
                <w:sz w:val="24"/>
                <w:szCs w:val="24"/>
              </w:rPr>
              <w:t>CEF should focus on where Member States are not sufficiently investing, in particular cross-border projects which have the highest EU added value.</w:t>
            </w:r>
          </w:p>
          <w:p w14:paraId="7F018EB7" w14:textId="1BD14979" w:rsidR="00B342EF" w:rsidRDefault="006D324C" w:rsidP="005F6553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64E3BD5">
              <w:rPr>
                <w:rFonts w:ascii="Times New Roman" w:hAnsi="Times New Roman"/>
                <w:b/>
                <w:bCs/>
                <w:sz w:val="24"/>
                <w:szCs w:val="24"/>
              </w:rPr>
              <w:t>Point 1.</w:t>
            </w:r>
            <w:r w:rsidR="00365CC8" w:rsidRPr="464E3BD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464E3BD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365CC8" w:rsidRPr="464E3B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65CC8" w:rsidRPr="464E3BD5">
              <w:rPr>
                <w:rFonts w:ascii="Times New Roman" w:hAnsi="Times New Roman"/>
                <w:sz w:val="24"/>
                <w:szCs w:val="24"/>
              </w:rPr>
              <w:t>On the repartition of resources between</w:t>
            </w:r>
            <w:r w:rsidR="0006019F" w:rsidRPr="464E3BD5">
              <w:rPr>
                <w:rFonts w:ascii="Times New Roman" w:hAnsi="Times New Roman"/>
                <w:sz w:val="24"/>
                <w:szCs w:val="24"/>
              </w:rPr>
              <w:t xml:space="preserve"> projects in Member States and </w:t>
            </w:r>
            <w:r w:rsidR="0003499B" w:rsidRPr="464E3BD5">
              <w:rPr>
                <w:rFonts w:ascii="Times New Roman" w:hAnsi="Times New Roman"/>
                <w:sz w:val="24"/>
                <w:szCs w:val="24"/>
              </w:rPr>
              <w:t xml:space="preserve">third countries </w:t>
            </w:r>
            <w:r w:rsidR="00B03290" w:rsidRPr="464E3BD5">
              <w:rPr>
                <w:rFonts w:ascii="Times New Roman" w:hAnsi="Times New Roman"/>
                <w:sz w:val="24"/>
                <w:szCs w:val="24"/>
              </w:rPr>
              <w:t>for transport, the annex</w:t>
            </w:r>
            <w:r w:rsidR="000268F6" w:rsidRPr="464E3BD5">
              <w:rPr>
                <w:rFonts w:ascii="Times New Roman" w:hAnsi="Times New Roman"/>
                <w:sz w:val="24"/>
                <w:szCs w:val="24"/>
              </w:rPr>
              <w:t xml:space="preserve"> to the </w:t>
            </w:r>
            <w:r w:rsidR="0075759D" w:rsidRPr="464E3BD5">
              <w:rPr>
                <w:rFonts w:ascii="Times New Roman" w:hAnsi="Times New Roman"/>
                <w:sz w:val="24"/>
                <w:szCs w:val="24"/>
              </w:rPr>
              <w:t xml:space="preserve">Commission </w:t>
            </w:r>
            <w:r w:rsidR="000268F6" w:rsidRPr="464E3BD5">
              <w:rPr>
                <w:rFonts w:ascii="Times New Roman" w:hAnsi="Times New Roman"/>
                <w:sz w:val="24"/>
                <w:szCs w:val="24"/>
              </w:rPr>
              <w:t>proposal</w:t>
            </w:r>
            <w:r w:rsidR="006F7C67" w:rsidRPr="464E3BD5">
              <w:rPr>
                <w:rFonts w:ascii="Times New Roman" w:hAnsi="Times New Roman"/>
                <w:sz w:val="24"/>
                <w:szCs w:val="24"/>
              </w:rPr>
              <w:t xml:space="preserve"> includes</w:t>
            </w:r>
            <w:r w:rsidR="23028A93" w:rsidRPr="464E3BD5">
              <w:rPr>
                <w:rFonts w:ascii="Times New Roman" w:hAnsi="Times New Roman"/>
                <w:sz w:val="24"/>
                <w:szCs w:val="24"/>
              </w:rPr>
              <w:t xml:space="preserve"> a list</w:t>
            </w:r>
            <w:r w:rsidR="006F7C67" w:rsidRPr="464E3BD5"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 w:rsidR="009837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290" w:rsidRPr="464E3BD5">
              <w:rPr>
                <w:rFonts w:ascii="Times New Roman" w:hAnsi="Times New Roman"/>
                <w:sz w:val="24"/>
                <w:szCs w:val="24"/>
              </w:rPr>
              <w:t>potential cross-border projects</w:t>
            </w:r>
            <w:r w:rsidR="67BAB87A" w:rsidRPr="464E3BD5"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 w:rsidR="5B82E51D" w:rsidRPr="464E3BD5">
              <w:rPr>
                <w:rFonts w:ascii="Times New Roman" w:hAnsi="Times New Roman"/>
                <w:sz w:val="24"/>
                <w:szCs w:val="24"/>
              </w:rPr>
              <w:t>here the</w:t>
            </w:r>
            <w:r w:rsidR="003F65BD" w:rsidRPr="464E3BD5">
              <w:rPr>
                <w:rFonts w:ascii="Times New Roman" w:hAnsi="Times New Roman"/>
                <w:sz w:val="24"/>
                <w:szCs w:val="24"/>
              </w:rPr>
              <w:t xml:space="preserve"> majority of projects </w:t>
            </w:r>
            <w:r w:rsidR="003C18A5" w:rsidRPr="464E3BD5">
              <w:rPr>
                <w:rFonts w:ascii="Times New Roman" w:hAnsi="Times New Roman"/>
                <w:sz w:val="24"/>
                <w:szCs w:val="24"/>
              </w:rPr>
              <w:t xml:space="preserve">concerns </w:t>
            </w:r>
            <w:r w:rsidR="00F019A4" w:rsidRPr="464E3BD5">
              <w:rPr>
                <w:rFonts w:ascii="Times New Roman" w:hAnsi="Times New Roman"/>
                <w:sz w:val="24"/>
                <w:szCs w:val="24"/>
              </w:rPr>
              <w:t>Member States.</w:t>
            </w:r>
            <w:r w:rsidR="006F17B7">
              <w:rPr>
                <w:rFonts w:ascii="Times New Roman" w:hAnsi="Times New Roman"/>
                <w:sz w:val="24"/>
                <w:szCs w:val="24"/>
              </w:rPr>
              <w:t xml:space="preserve"> CEF intervention will be limited to cross-border connections </w:t>
            </w:r>
            <w:r w:rsidR="00BB607F">
              <w:rPr>
                <w:rFonts w:ascii="Times New Roman" w:hAnsi="Times New Roman"/>
                <w:sz w:val="24"/>
                <w:szCs w:val="24"/>
              </w:rPr>
              <w:t xml:space="preserve">between Member States and </w:t>
            </w:r>
            <w:r w:rsidR="006F17B7">
              <w:rPr>
                <w:rFonts w:ascii="Times New Roman" w:hAnsi="Times New Roman"/>
                <w:sz w:val="24"/>
                <w:szCs w:val="24"/>
              </w:rPr>
              <w:t xml:space="preserve">third countries, while the remaining TEN-T infrastructure in third countries could receive funding via Global Europe. </w:t>
            </w:r>
          </w:p>
          <w:p w14:paraId="73968654" w14:textId="689F59F1" w:rsidR="00707A97" w:rsidRDefault="005A6C73" w:rsidP="005F6553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23C">
              <w:rPr>
                <w:rFonts w:ascii="Times New Roman" w:hAnsi="Times New Roman"/>
                <w:b/>
                <w:bCs/>
                <w:sz w:val="24"/>
                <w:szCs w:val="24"/>
              </w:rPr>
              <w:t>Point 1.3:</w:t>
            </w:r>
            <w:r w:rsidR="00057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72DE" w:rsidRPr="00150B9E">
              <w:rPr>
                <w:rFonts w:ascii="Times New Roman" w:hAnsi="Times New Roman"/>
                <w:sz w:val="24"/>
                <w:szCs w:val="24"/>
              </w:rPr>
              <w:t xml:space="preserve">According to the </w:t>
            </w:r>
            <w:r w:rsidR="004272DE">
              <w:rPr>
                <w:rFonts w:ascii="Times New Roman" w:hAnsi="Times New Roman"/>
                <w:sz w:val="24"/>
                <w:szCs w:val="24"/>
              </w:rPr>
              <w:t xml:space="preserve">structure of the </w:t>
            </w:r>
            <w:r w:rsidR="004272DE" w:rsidRPr="00150B9E">
              <w:rPr>
                <w:rFonts w:ascii="Times New Roman" w:hAnsi="Times New Roman"/>
                <w:sz w:val="24"/>
                <w:szCs w:val="24"/>
              </w:rPr>
              <w:t xml:space="preserve">proposed </w:t>
            </w:r>
            <w:r w:rsidR="008C50F3">
              <w:rPr>
                <w:rFonts w:ascii="Times New Roman" w:hAnsi="Times New Roman"/>
                <w:sz w:val="24"/>
                <w:szCs w:val="24"/>
              </w:rPr>
              <w:t>Multiannual Financial Framework (</w:t>
            </w:r>
            <w:r w:rsidR="004272DE" w:rsidRPr="00150B9E">
              <w:rPr>
                <w:rFonts w:ascii="Times New Roman" w:hAnsi="Times New Roman"/>
                <w:sz w:val="24"/>
                <w:szCs w:val="24"/>
              </w:rPr>
              <w:t>MFF</w:t>
            </w:r>
            <w:r w:rsidR="008C50F3">
              <w:rPr>
                <w:rFonts w:ascii="Times New Roman" w:hAnsi="Times New Roman"/>
                <w:sz w:val="24"/>
                <w:szCs w:val="24"/>
              </w:rPr>
              <w:t>)</w:t>
            </w:r>
            <w:r w:rsidR="006A1550">
              <w:rPr>
                <w:rFonts w:ascii="Times New Roman" w:hAnsi="Times New Roman"/>
                <w:sz w:val="24"/>
                <w:szCs w:val="24"/>
              </w:rPr>
              <w:t xml:space="preserve"> 2028-2034</w:t>
            </w:r>
            <w:r w:rsidR="004272DE" w:rsidRPr="00150B9E">
              <w:rPr>
                <w:rFonts w:ascii="Times New Roman" w:hAnsi="Times New Roman"/>
                <w:sz w:val="24"/>
                <w:szCs w:val="24"/>
              </w:rPr>
              <w:t xml:space="preserve"> package, </w:t>
            </w:r>
            <w:r w:rsidR="00D35AFB" w:rsidRPr="00044AE3">
              <w:rPr>
                <w:rFonts w:ascii="Times New Roman" w:hAnsi="Times New Roman"/>
                <w:sz w:val="24"/>
                <w:szCs w:val="24"/>
              </w:rPr>
              <w:t>CEF should focus on where Member States are not sufficiently investing, in particular cross-border projects</w:t>
            </w:r>
            <w:r w:rsidR="0061050A">
              <w:rPr>
                <w:rFonts w:ascii="Times New Roman" w:hAnsi="Times New Roman"/>
                <w:sz w:val="24"/>
                <w:szCs w:val="24"/>
              </w:rPr>
              <w:t xml:space="preserve"> that are difficult to implement and</w:t>
            </w:r>
            <w:r w:rsidR="006A1550">
              <w:rPr>
                <w:rFonts w:ascii="Times New Roman" w:hAnsi="Times New Roman"/>
                <w:sz w:val="24"/>
                <w:szCs w:val="24"/>
              </w:rPr>
              <w:t xml:space="preserve"> which are</w:t>
            </w:r>
            <w:r w:rsidR="00610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1E90">
              <w:rPr>
                <w:rFonts w:ascii="Times New Roman" w:hAnsi="Times New Roman"/>
                <w:sz w:val="24"/>
                <w:szCs w:val="24"/>
              </w:rPr>
              <w:t>of low</w:t>
            </w:r>
            <w:r w:rsidR="00BB1ADC">
              <w:rPr>
                <w:rFonts w:ascii="Times New Roman" w:hAnsi="Times New Roman"/>
                <w:sz w:val="24"/>
                <w:szCs w:val="24"/>
              </w:rPr>
              <w:t>er</w:t>
            </w:r>
            <w:r w:rsidR="00BB1E90">
              <w:rPr>
                <w:rFonts w:ascii="Times New Roman" w:hAnsi="Times New Roman"/>
                <w:sz w:val="24"/>
                <w:szCs w:val="24"/>
              </w:rPr>
              <w:t xml:space="preserve"> national interest but of high EU added value</w:t>
            </w:r>
            <w:r w:rsidR="00D35AFB" w:rsidRPr="00044AE3">
              <w:rPr>
                <w:rFonts w:ascii="Times New Roman" w:hAnsi="Times New Roman"/>
                <w:sz w:val="24"/>
                <w:szCs w:val="24"/>
              </w:rPr>
              <w:t>.</w:t>
            </w:r>
            <w:r w:rsidR="007E6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7A97" w:rsidRPr="00150B9E">
              <w:rPr>
                <w:rFonts w:ascii="Times New Roman" w:hAnsi="Times New Roman"/>
                <w:sz w:val="24"/>
                <w:szCs w:val="24"/>
              </w:rPr>
              <w:t xml:space="preserve">CEF should be complementary to other instruments like the National and Regional Partnership Plans that </w:t>
            </w:r>
            <w:r w:rsidR="00707A97">
              <w:rPr>
                <w:rFonts w:ascii="Times New Roman" w:hAnsi="Times New Roman"/>
                <w:sz w:val="24"/>
                <w:szCs w:val="24"/>
              </w:rPr>
              <w:t xml:space="preserve">can </w:t>
            </w:r>
            <w:r w:rsidR="00707A97" w:rsidRPr="00150B9E">
              <w:rPr>
                <w:rFonts w:ascii="Times New Roman" w:hAnsi="Times New Roman"/>
                <w:sz w:val="24"/>
                <w:szCs w:val="24"/>
              </w:rPr>
              <w:t xml:space="preserve">support national </w:t>
            </w:r>
            <w:r w:rsidR="00412ADA">
              <w:rPr>
                <w:rFonts w:ascii="Times New Roman" w:hAnsi="Times New Roman"/>
                <w:sz w:val="24"/>
                <w:szCs w:val="24"/>
              </w:rPr>
              <w:t>Trans-European Transport Network (</w:t>
            </w:r>
            <w:r w:rsidR="00707A97" w:rsidRPr="00150B9E">
              <w:rPr>
                <w:rFonts w:ascii="Times New Roman" w:hAnsi="Times New Roman"/>
                <w:sz w:val="24"/>
                <w:szCs w:val="24"/>
              </w:rPr>
              <w:t>TEN-T</w:t>
            </w:r>
            <w:r w:rsidR="00412ADA">
              <w:rPr>
                <w:rFonts w:ascii="Times New Roman" w:hAnsi="Times New Roman"/>
                <w:sz w:val="24"/>
                <w:szCs w:val="24"/>
              </w:rPr>
              <w:t>)</w:t>
            </w:r>
            <w:r w:rsidR="00707A97" w:rsidRPr="00150B9E">
              <w:rPr>
                <w:rFonts w:ascii="Times New Roman" w:hAnsi="Times New Roman"/>
                <w:sz w:val="24"/>
                <w:szCs w:val="24"/>
              </w:rPr>
              <w:t xml:space="preserve"> sections.</w:t>
            </w:r>
            <w:r w:rsidR="00707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68817D" w14:textId="09E8B245" w:rsidR="00C978A9" w:rsidRDefault="005C6D02" w:rsidP="005F6553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However, </w:t>
            </w:r>
            <w:r w:rsidR="00B55367">
              <w:rPr>
                <w:rFonts w:ascii="Times New Roman" w:hAnsi="Times New Roman"/>
                <w:sz w:val="24"/>
                <w:szCs w:val="24"/>
              </w:rPr>
              <w:t xml:space="preserve">other projects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can </w:t>
            </w:r>
            <w:r w:rsidR="0024574A">
              <w:rPr>
                <w:rFonts w:ascii="Times New Roman" w:hAnsi="Times New Roman"/>
                <w:sz w:val="24"/>
                <w:szCs w:val="24"/>
              </w:rPr>
              <w:t xml:space="preserve">have a </w:t>
            </w:r>
            <w:r w:rsidR="00947EBD">
              <w:rPr>
                <w:rFonts w:ascii="Times New Roman" w:hAnsi="Times New Roman"/>
                <w:sz w:val="24"/>
                <w:szCs w:val="24"/>
              </w:rPr>
              <w:t>cross-border dimension</w:t>
            </w:r>
            <w:r w:rsidR="00B55367">
              <w:rPr>
                <w:rFonts w:ascii="Times New Roman" w:hAnsi="Times New Roman"/>
                <w:sz w:val="24"/>
                <w:szCs w:val="24"/>
              </w:rPr>
              <w:t>, beyond those located at a border</w:t>
            </w:r>
            <w:r w:rsidR="0031770C">
              <w:rPr>
                <w:rFonts w:ascii="Times New Roman" w:hAnsi="Times New Roman"/>
                <w:sz w:val="24"/>
                <w:szCs w:val="24"/>
              </w:rPr>
              <w:t>. Those projects</w:t>
            </w:r>
            <w:r w:rsidR="00947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1950">
              <w:rPr>
                <w:rFonts w:ascii="Times New Roman" w:hAnsi="Times New Roman"/>
                <w:sz w:val="24"/>
                <w:szCs w:val="24"/>
              </w:rPr>
              <w:t xml:space="preserve">can demonstrate </w:t>
            </w:r>
            <w:r w:rsidR="0031770C">
              <w:rPr>
                <w:rFonts w:ascii="Times New Roman" w:hAnsi="Times New Roman"/>
                <w:sz w:val="24"/>
                <w:szCs w:val="24"/>
              </w:rPr>
              <w:t xml:space="preserve">their cross-border dimension </w:t>
            </w:r>
            <w:r w:rsidR="00947EBD">
              <w:rPr>
                <w:rFonts w:ascii="Times New Roman" w:hAnsi="Times New Roman"/>
                <w:sz w:val="24"/>
                <w:szCs w:val="24"/>
              </w:rPr>
              <w:t>when applying</w:t>
            </w:r>
            <w:r w:rsidR="00707A97">
              <w:rPr>
                <w:rFonts w:ascii="Times New Roman" w:hAnsi="Times New Roman"/>
                <w:sz w:val="24"/>
                <w:szCs w:val="24"/>
              </w:rPr>
              <w:t xml:space="preserve"> to CEF</w:t>
            </w:r>
            <w:r w:rsidR="001042AB">
              <w:rPr>
                <w:rFonts w:ascii="Times New Roman" w:hAnsi="Times New Roman"/>
                <w:sz w:val="24"/>
                <w:szCs w:val="24"/>
              </w:rPr>
              <w:t xml:space="preserve"> funding</w:t>
            </w:r>
            <w:r w:rsidR="00947EBD">
              <w:rPr>
                <w:rFonts w:ascii="Times New Roman" w:hAnsi="Times New Roman"/>
                <w:sz w:val="24"/>
                <w:szCs w:val="24"/>
              </w:rPr>
              <w:t>.</w:t>
            </w:r>
            <w:r w:rsidR="00707A97">
              <w:rPr>
                <w:rFonts w:ascii="Times New Roman" w:hAnsi="Times New Roman"/>
                <w:sz w:val="24"/>
                <w:szCs w:val="24"/>
              </w:rPr>
              <w:t xml:space="preserve"> Th</w:t>
            </w:r>
            <w:r w:rsidR="00C01950">
              <w:rPr>
                <w:rFonts w:ascii="Times New Roman" w:hAnsi="Times New Roman"/>
                <w:sz w:val="24"/>
                <w:szCs w:val="24"/>
              </w:rPr>
              <w:t xml:space="preserve">is </w:t>
            </w:r>
            <w:r w:rsidR="00707A97">
              <w:rPr>
                <w:rFonts w:ascii="Times New Roman" w:hAnsi="Times New Roman"/>
                <w:sz w:val="24"/>
                <w:szCs w:val="24"/>
              </w:rPr>
              <w:t>applies to urban nodes</w:t>
            </w:r>
            <w:r w:rsidR="00134F99">
              <w:rPr>
                <w:rFonts w:ascii="Times New Roman" w:hAnsi="Times New Roman"/>
                <w:sz w:val="24"/>
                <w:szCs w:val="24"/>
              </w:rPr>
              <w:t xml:space="preserve"> on the TEN-T network, where certain investments </w:t>
            </w:r>
            <w:r w:rsidR="00134F99" w:rsidRPr="00C978A9">
              <w:rPr>
                <w:rFonts w:ascii="Times New Roman" w:hAnsi="Times New Roman"/>
                <w:sz w:val="24"/>
                <w:szCs w:val="24"/>
                <w:lang w:val="en-GB"/>
              </w:rPr>
              <w:t>have a cross-border dimension</w:t>
            </w:r>
            <w:r w:rsidR="00134F9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r w:rsidR="00920FA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infrastructure </w:t>
            </w:r>
            <w:r w:rsidR="00134F99" w:rsidRPr="00C978A9">
              <w:rPr>
                <w:rFonts w:ascii="Times New Roman" w:hAnsi="Times New Roman"/>
                <w:sz w:val="24"/>
                <w:szCs w:val="24"/>
                <w:lang w:val="en-GB"/>
              </w:rPr>
              <w:t>connecting local/regional transport with long-distance transport, rail connections to airports, ports and hinterland connections, infrastructure for alternative fuels or traffic management systems</w:t>
            </w:r>
            <w:r w:rsidR="008A1C3D">
              <w:rPr>
                <w:rFonts w:ascii="Times New Roman" w:hAnsi="Times New Roman"/>
                <w:sz w:val="24"/>
                <w:szCs w:val="24"/>
                <w:lang w:val="en-GB"/>
              </w:rPr>
              <w:t>).</w:t>
            </w:r>
            <w:r w:rsidR="00134F99" w:rsidRPr="00C978A9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  <w:p w14:paraId="3D085DFC" w14:textId="68AF9BC7" w:rsidR="00946D18" w:rsidRDefault="7D915626" w:rsidP="005F6553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672A972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Military mobility projects </w:t>
            </w:r>
            <w:r w:rsidR="4C7999AD" w:rsidRPr="672A972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surely </w:t>
            </w:r>
            <w:r w:rsidR="22CE7AB1" w:rsidRPr="672A972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have a </w:t>
            </w:r>
            <w:r w:rsidRPr="672A972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cross-border </w:t>
            </w:r>
            <w:r w:rsidR="22CE7AB1" w:rsidRPr="672A972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dimension when they are </w:t>
            </w:r>
            <w:r w:rsidRPr="672A972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located </w:t>
            </w:r>
            <w:r w:rsidR="415E2F34" w:rsidRPr="672A972D">
              <w:rPr>
                <w:rFonts w:ascii="Times New Roman" w:hAnsi="Times New Roman"/>
                <w:sz w:val="24"/>
                <w:szCs w:val="24"/>
                <w:lang w:val="en-GB"/>
              </w:rPr>
              <w:t>on a</w:t>
            </w:r>
            <w:r w:rsidR="00722F13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="415E2F34" w:rsidRPr="672A972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5E14CD7" w:rsidRPr="672A972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EU priority </w:t>
            </w:r>
            <w:r w:rsidR="415E2F34" w:rsidRPr="672A972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military mobility </w:t>
            </w:r>
            <w:r w:rsidR="04C8FD60" w:rsidRPr="672A972D">
              <w:rPr>
                <w:rFonts w:ascii="Times New Roman" w:hAnsi="Times New Roman"/>
                <w:sz w:val="24"/>
                <w:szCs w:val="24"/>
                <w:lang w:val="en-GB"/>
              </w:rPr>
              <w:t>corridor t</w:t>
            </w:r>
            <w:r w:rsidR="22CE7AB1" w:rsidRPr="672A972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hat </w:t>
            </w:r>
            <w:r w:rsidR="04C8FD60" w:rsidRPr="672A972D">
              <w:rPr>
                <w:rFonts w:ascii="Times New Roman" w:hAnsi="Times New Roman"/>
                <w:sz w:val="24"/>
                <w:szCs w:val="24"/>
                <w:lang w:val="en-GB"/>
              </w:rPr>
              <w:t>ensure</w:t>
            </w:r>
            <w:r w:rsidR="22CE7AB1" w:rsidRPr="672A972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 </w:t>
            </w:r>
            <w:r w:rsidR="4612E385" w:rsidRPr="672A972D">
              <w:rPr>
                <w:rFonts w:ascii="Times New Roman" w:hAnsi="Times New Roman"/>
                <w:sz w:val="24"/>
                <w:szCs w:val="24"/>
                <w:lang w:val="en-GB"/>
              </w:rPr>
              <w:t>seamless</w:t>
            </w:r>
            <w:r w:rsidR="22CE7AB1" w:rsidRPr="672A972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movement</w:t>
            </w:r>
            <w:r w:rsidR="4612E385" w:rsidRPr="672A972D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22CE7AB1" w:rsidRPr="672A972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 military person</w:t>
            </w:r>
            <w:r w:rsidR="7C179A40" w:rsidRPr="672A972D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="4CC35A48" w:rsidRPr="672A972D">
              <w:rPr>
                <w:rFonts w:ascii="Times New Roman" w:hAnsi="Times New Roman"/>
                <w:sz w:val="24"/>
                <w:szCs w:val="24"/>
                <w:lang w:val="en-GB"/>
              </w:rPr>
              <w:t>e</w:t>
            </w:r>
            <w:r w:rsidR="22CE7AB1" w:rsidRPr="672A972D">
              <w:rPr>
                <w:rFonts w:ascii="Times New Roman" w:hAnsi="Times New Roman"/>
                <w:sz w:val="24"/>
                <w:szCs w:val="24"/>
                <w:lang w:val="en-GB"/>
              </w:rPr>
              <w:t>l and equipment.</w:t>
            </w:r>
            <w:r w:rsidR="04C8FD60" w:rsidRPr="672A972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0B993110" w14:textId="1EDE20E6" w:rsidR="00213537" w:rsidRPr="00A10603" w:rsidRDefault="00213537" w:rsidP="2DF551E5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DF551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 the area of energy, </w:t>
            </w:r>
            <w:r w:rsidR="00DB15EB" w:rsidRPr="2DF551E5">
              <w:rPr>
                <w:rFonts w:ascii="Times New Roman" w:hAnsi="Times New Roman"/>
                <w:sz w:val="24"/>
                <w:szCs w:val="24"/>
              </w:rPr>
              <w:t xml:space="preserve">under the infrastructure pillar </w:t>
            </w:r>
            <w:r w:rsidRPr="2DF551E5">
              <w:rPr>
                <w:rFonts w:ascii="Times New Roman" w:hAnsi="Times New Roman"/>
                <w:sz w:val="24"/>
                <w:szCs w:val="24"/>
              </w:rPr>
              <w:t xml:space="preserve">CEF </w:t>
            </w:r>
            <w:r w:rsidR="00F854AA" w:rsidRPr="2DF551E5">
              <w:rPr>
                <w:rFonts w:ascii="Times New Roman" w:hAnsi="Times New Roman"/>
                <w:sz w:val="24"/>
                <w:szCs w:val="24"/>
              </w:rPr>
              <w:t>provides grants to</w:t>
            </w:r>
            <w:r w:rsidRPr="2DF551E5">
              <w:rPr>
                <w:rFonts w:ascii="Times New Roman" w:hAnsi="Times New Roman"/>
                <w:sz w:val="24"/>
                <w:szCs w:val="24"/>
              </w:rPr>
              <w:t xml:space="preserve"> Projects of Common Interest</w:t>
            </w:r>
            <w:r w:rsidR="00C853D6">
              <w:rPr>
                <w:rFonts w:ascii="Times New Roman" w:hAnsi="Times New Roman"/>
                <w:sz w:val="24"/>
                <w:szCs w:val="24"/>
              </w:rPr>
              <w:t xml:space="preserve"> (PCIs)</w:t>
            </w:r>
            <w:r w:rsidRPr="2DF551E5">
              <w:rPr>
                <w:rFonts w:ascii="Times New Roman" w:hAnsi="Times New Roman"/>
                <w:sz w:val="24"/>
                <w:szCs w:val="24"/>
              </w:rPr>
              <w:t xml:space="preserve"> and Projects of Mutual Interest</w:t>
            </w:r>
            <w:r w:rsidR="00C853D6">
              <w:rPr>
                <w:rFonts w:ascii="Times New Roman" w:hAnsi="Times New Roman"/>
                <w:sz w:val="24"/>
                <w:szCs w:val="24"/>
              </w:rPr>
              <w:t xml:space="preserve"> (PMIs)</w:t>
            </w:r>
            <w:r w:rsidRPr="2DF551E5">
              <w:rPr>
                <w:rFonts w:ascii="Times New Roman" w:hAnsi="Times New Roman"/>
                <w:sz w:val="24"/>
                <w:szCs w:val="24"/>
              </w:rPr>
              <w:t xml:space="preserve"> in line with the TEN-E Regulation. </w:t>
            </w:r>
            <w:r w:rsidR="00042F9D" w:rsidRPr="2DF551E5">
              <w:rPr>
                <w:rFonts w:ascii="Times New Roman" w:hAnsi="Times New Roman"/>
                <w:sz w:val="24"/>
                <w:szCs w:val="24"/>
              </w:rPr>
              <w:t xml:space="preserve">PCIs and PMIs </w:t>
            </w:r>
            <w:r w:rsidR="00381CA6" w:rsidRPr="2DF551E5">
              <w:rPr>
                <w:rFonts w:ascii="Times New Roman" w:hAnsi="Times New Roman"/>
                <w:sz w:val="24"/>
                <w:szCs w:val="24"/>
              </w:rPr>
              <w:t>constitute</w:t>
            </w:r>
            <w:r w:rsidR="00042F9D" w:rsidRPr="2DF551E5">
              <w:rPr>
                <w:rFonts w:ascii="Times New Roman" w:hAnsi="Times New Roman"/>
                <w:sz w:val="24"/>
                <w:szCs w:val="24"/>
              </w:rPr>
              <w:t xml:space="preserve"> cross-border energy infrastructure</w:t>
            </w:r>
            <w:r w:rsidR="0072205C" w:rsidRPr="2DF551E5">
              <w:rPr>
                <w:rFonts w:ascii="Times New Roman" w:hAnsi="Times New Roman"/>
                <w:sz w:val="24"/>
                <w:szCs w:val="24"/>
              </w:rPr>
              <w:t xml:space="preserve">. They </w:t>
            </w:r>
            <w:r w:rsidR="00EF4DA8" w:rsidRPr="2DF551E5">
              <w:rPr>
                <w:rFonts w:ascii="Times New Roman" w:hAnsi="Times New Roman"/>
                <w:sz w:val="24"/>
                <w:szCs w:val="24"/>
              </w:rPr>
              <w:t>either</w:t>
            </w:r>
            <w:r w:rsidR="001D4469" w:rsidRPr="2DF551E5">
              <w:rPr>
                <w:rFonts w:ascii="Times New Roman" w:hAnsi="Times New Roman"/>
                <w:sz w:val="24"/>
                <w:szCs w:val="24"/>
              </w:rPr>
              <w:t xml:space="preserve"> cross a border or</w:t>
            </w:r>
            <w:r w:rsidR="00EF4DA8" w:rsidRPr="2DF551E5">
              <w:rPr>
                <w:rFonts w:ascii="Times New Roman" w:hAnsi="Times New Roman"/>
                <w:sz w:val="24"/>
                <w:szCs w:val="24"/>
              </w:rPr>
              <w:t xml:space="preserve">, if located on the territory of one Member State, </w:t>
            </w:r>
            <w:r w:rsidR="001D4469" w:rsidRPr="2DF551E5">
              <w:rPr>
                <w:rFonts w:ascii="Times New Roman" w:hAnsi="Times New Roman"/>
                <w:sz w:val="24"/>
                <w:szCs w:val="24"/>
              </w:rPr>
              <w:t>have a significant cross-border</w:t>
            </w:r>
            <w:r w:rsidR="005A3DCA" w:rsidRPr="2DF551E5">
              <w:rPr>
                <w:rFonts w:ascii="Times New Roman" w:hAnsi="Times New Roman"/>
                <w:sz w:val="24"/>
                <w:szCs w:val="24"/>
              </w:rPr>
              <w:t xml:space="preserve"> impact, e.g. by removing bottlenecks that enable a better use of interconnections.</w:t>
            </w:r>
            <w:r w:rsidR="00E44DE0" w:rsidRPr="2DF551E5">
              <w:rPr>
                <w:rFonts w:ascii="Times New Roman" w:hAnsi="Times New Roman"/>
                <w:sz w:val="24"/>
                <w:szCs w:val="24"/>
              </w:rPr>
              <w:t xml:space="preserve"> It is important to recall in this context that energy infrastructure investments without a significant cross-border impact are eligible under other EU</w:t>
            </w:r>
            <w:r w:rsidR="001202C5" w:rsidRPr="2DF551E5">
              <w:rPr>
                <w:rFonts w:ascii="Times New Roman" w:hAnsi="Times New Roman"/>
                <w:sz w:val="24"/>
                <w:szCs w:val="24"/>
              </w:rPr>
              <w:t xml:space="preserve"> funds, e.g. the European Competitiveness Fund or </w:t>
            </w:r>
            <w:r w:rsidR="003C5DEB" w:rsidRPr="2DF551E5">
              <w:rPr>
                <w:rFonts w:ascii="Times New Roman" w:hAnsi="Times New Roman"/>
                <w:sz w:val="24"/>
                <w:szCs w:val="24"/>
              </w:rPr>
              <w:t>National and Regional Partnership Plans.</w:t>
            </w:r>
            <w:r w:rsidR="00E44DE0" w:rsidRPr="2DF55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3FE19B13" w:rsidRPr="2DF551E5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="39DC8C62" w:rsidRPr="2DF551E5">
              <w:rPr>
                <w:rFonts w:ascii="Times New Roman" w:hAnsi="Times New Roman"/>
                <w:sz w:val="24"/>
                <w:szCs w:val="24"/>
              </w:rPr>
              <w:t xml:space="preserve">the Cross-Border Renewable Energy (CB-RES) window, </w:t>
            </w:r>
            <w:r w:rsidR="3E77AD66" w:rsidRPr="2DF551E5">
              <w:rPr>
                <w:rFonts w:ascii="Times New Roman" w:hAnsi="Times New Roman"/>
                <w:sz w:val="24"/>
                <w:szCs w:val="24"/>
              </w:rPr>
              <w:t>CEF aims to financially support a cost-efficient deployment of renewable energy by making the most of available sites and resources across borders. It</w:t>
            </w:r>
            <w:r w:rsidR="48B12600" w:rsidRPr="2DF551E5">
              <w:rPr>
                <w:rFonts w:ascii="Times New Roman" w:hAnsi="Times New Roman"/>
                <w:sz w:val="24"/>
                <w:szCs w:val="24"/>
              </w:rPr>
              <w:t xml:space="preserve"> provides grants for works or studies to </w:t>
            </w:r>
            <w:r w:rsidR="19A24E55" w:rsidRPr="2DF551E5">
              <w:rPr>
                <w:rFonts w:ascii="Times New Roman" w:hAnsi="Times New Roman"/>
                <w:sz w:val="24"/>
                <w:szCs w:val="24"/>
              </w:rPr>
              <w:t xml:space="preserve">renewable energy </w:t>
            </w:r>
            <w:r w:rsidR="39DC8C62" w:rsidRPr="2DF551E5">
              <w:rPr>
                <w:rFonts w:ascii="Times New Roman" w:hAnsi="Times New Roman"/>
                <w:sz w:val="24"/>
                <w:szCs w:val="24"/>
              </w:rPr>
              <w:t>projec</w:t>
            </w:r>
            <w:r w:rsidR="42FD90DF" w:rsidRPr="2DF551E5">
              <w:rPr>
                <w:rFonts w:ascii="Times New Roman" w:hAnsi="Times New Roman"/>
                <w:sz w:val="24"/>
                <w:szCs w:val="24"/>
              </w:rPr>
              <w:t>ts</w:t>
            </w:r>
            <w:r w:rsidR="4DE3BA95" w:rsidRPr="2DF551E5">
              <w:rPr>
                <w:rFonts w:ascii="Times New Roman" w:hAnsi="Times New Roman"/>
                <w:sz w:val="24"/>
                <w:szCs w:val="24"/>
              </w:rPr>
              <w:t xml:space="preserve"> with strong EU added value </w:t>
            </w:r>
            <w:r w:rsidR="5447275F" w:rsidRPr="2DF551E5">
              <w:rPr>
                <w:rFonts w:ascii="Times New Roman" w:hAnsi="Times New Roman"/>
                <w:sz w:val="24"/>
                <w:szCs w:val="24"/>
              </w:rPr>
              <w:t xml:space="preserve">that </w:t>
            </w:r>
            <w:r w:rsidR="4DE3BA95" w:rsidRPr="2DF551E5">
              <w:rPr>
                <w:rFonts w:ascii="Times New Roman" w:hAnsi="Times New Roman"/>
                <w:sz w:val="24"/>
                <w:szCs w:val="24"/>
              </w:rPr>
              <w:t>deliver important economic efficiency gains in comparison to a</w:t>
            </w:r>
            <w:r w:rsidR="00AF51B5">
              <w:rPr>
                <w:rFonts w:ascii="Times New Roman" w:hAnsi="Times New Roman"/>
                <w:sz w:val="24"/>
                <w:szCs w:val="24"/>
              </w:rPr>
              <w:t> </w:t>
            </w:r>
            <w:r w:rsidR="4DE3BA95" w:rsidRPr="2DF551E5">
              <w:rPr>
                <w:rFonts w:ascii="Times New Roman" w:hAnsi="Times New Roman"/>
                <w:sz w:val="24"/>
                <w:szCs w:val="24"/>
              </w:rPr>
              <w:t>national approach only</w:t>
            </w:r>
            <w:r w:rsidR="63C77C1D" w:rsidRPr="2DF551E5">
              <w:rPr>
                <w:rFonts w:ascii="Times New Roman" w:hAnsi="Times New Roman"/>
                <w:sz w:val="24"/>
                <w:szCs w:val="24"/>
              </w:rPr>
              <w:t>. A key eligibility requirement is</w:t>
            </w:r>
            <w:r w:rsidR="42FD90DF" w:rsidRPr="2DF551E5">
              <w:rPr>
                <w:rFonts w:ascii="Times New Roman" w:hAnsi="Times New Roman"/>
                <w:sz w:val="24"/>
                <w:szCs w:val="24"/>
              </w:rPr>
              <w:t xml:space="preserve"> that </w:t>
            </w:r>
            <w:r w:rsidR="29788F42" w:rsidRPr="2DF551E5">
              <w:rPr>
                <w:rFonts w:ascii="Times New Roman" w:hAnsi="Times New Roman"/>
                <w:sz w:val="24"/>
                <w:szCs w:val="24"/>
              </w:rPr>
              <w:t xml:space="preserve">they </w:t>
            </w:r>
            <w:r w:rsidR="42FD90DF" w:rsidRPr="2DF551E5">
              <w:rPr>
                <w:rFonts w:ascii="Times New Roman" w:hAnsi="Times New Roman"/>
                <w:sz w:val="24"/>
                <w:szCs w:val="24"/>
              </w:rPr>
              <w:t>are included in one of the cooperation mechanism</w:t>
            </w:r>
            <w:r w:rsidR="5CFCD32A" w:rsidRPr="2DF551E5">
              <w:rPr>
                <w:rFonts w:ascii="Times New Roman" w:hAnsi="Times New Roman"/>
                <w:sz w:val="24"/>
                <w:szCs w:val="24"/>
              </w:rPr>
              <w:t>s</w:t>
            </w:r>
            <w:r w:rsidR="42FD90DF" w:rsidRPr="2DF551E5">
              <w:rPr>
                <w:rFonts w:ascii="Times New Roman" w:hAnsi="Times New Roman"/>
                <w:sz w:val="24"/>
                <w:szCs w:val="24"/>
              </w:rPr>
              <w:t xml:space="preserve"> of the Renewable Energy Direc</w:t>
            </w:r>
            <w:r w:rsidR="5440082D" w:rsidRPr="2DF551E5">
              <w:rPr>
                <w:rFonts w:ascii="Times New Roman" w:hAnsi="Times New Roman"/>
                <w:sz w:val="24"/>
                <w:szCs w:val="24"/>
              </w:rPr>
              <w:t>tive</w:t>
            </w:r>
            <w:r w:rsidR="00D15392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  <w:r w:rsidR="5440082D" w:rsidRPr="2DF551E5">
              <w:rPr>
                <w:rFonts w:ascii="Times New Roman" w:hAnsi="Times New Roman"/>
                <w:sz w:val="24"/>
                <w:szCs w:val="24"/>
              </w:rPr>
              <w:t xml:space="preserve">: statistical transfer, joint project or joint support scheme. </w:t>
            </w:r>
          </w:p>
          <w:p w14:paraId="36F39FF0" w14:textId="481DA66A" w:rsidR="00EA5AA8" w:rsidRDefault="1131A04D" w:rsidP="00EA5AA8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72A972D">
              <w:rPr>
                <w:rFonts w:ascii="Times New Roman" w:hAnsi="Times New Roman"/>
                <w:b/>
                <w:bCs/>
                <w:sz w:val="24"/>
                <w:szCs w:val="24"/>
              </w:rPr>
              <w:t>Point 1.4:</w:t>
            </w:r>
            <w:r w:rsidRPr="672A9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B2C7EA8" w:rsidRPr="672A972D">
              <w:rPr>
                <w:rFonts w:ascii="Times New Roman" w:hAnsi="Times New Roman"/>
                <w:sz w:val="24"/>
                <w:szCs w:val="24"/>
              </w:rPr>
              <w:t xml:space="preserve">The proposed climate </w:t>
            </w:r>
            <w:r w:rsidR="7AD33800" w:rsidRPr="672A972D">
              <w:rPr>
                <w:rFonts w:ascii="Times New Roman" w:hAnsi="Times New Roman"/>
                <w:sz w:val="24"/>
                <w:szCs w:val="24"/>
              </w:rPr>
              <w:t xml:space="preserve">and environment </w:t>
            </w:r>
            <w:r w:rsidR="2B2C7EA8" w:rsidRPr="672A972D">
              <w:rPr>
                <w:rFonts w:ascii="Times New Roman" w:hAnsi="Times New Roman"/>
                <w:sz w:val="24"/>
                <w:szCs w:val="24"/>
              </w:rPr>
              <w:t xml:space="preserve">spending target of </w:t>
            </w:r>
            <w:r w:rsidR="51725791" w:rsidRPr="672A972D">
              <w:rPr>
                <w:rFonts w:ascii="Times New Roman" w:hAnsi="Times New Roman"/>
                <w:sz w:val="24"/>
                <w:szCs w:val="24"/>
              </w:rPr>
              <w:t xml:space="preserve">at least </w:t>
            </w:r>
            <w:r w:rsidR="2B2C7EA8" w:rsidRPr="672A972D">
              <w:rPr>
                <w:rFonts w:ascii="Times New Roman" w:hAnsi="Times New Roman"/>
                <w:sz w:val="24"/>
                <w:szCs w:val="24"/>
              </w:rPr>
              <w:t xml:space="preserve">70% for CEF corresponds to </w:t>
            </w:r>
            <w:r w:rsidR="49773D0A" w:rsidRPr="672A972D">
              <w:rPr>
                <w:rFonts w:ascii="Times New Roman" w:hAnsi="Times New Roman"/>
                <w:sz w:val="24"/>
                <w:szCs w:val="24"/>
              </w:rPr>
              <w:t xml:space="preserve">the Commission’s </w:t>
            </w:r>
            <w:r w:rsidR="2B2C7EA8" w:rsidRPr="672A972D">
              <w:rPr>
                <w:rFonts w:ascii="Times New Roman" w:hAnsi="Times New Roman"/>
                <w:sz w:val="24"/>
                <w:szCs w:val="24"/>
              </w:rPr>
              <w:t xml:space="preserve">estimations </w:t>
            </w:r>
            <w:r w:rsidR="1AB9D6E1" w:rsidRPr="672A972D">
              <w:rPr>
                <w:rFonts w:ascii="Times New Roman" w:hAnsi="Times New Roman"/>
                <w:sz w:val="24"/>
                <w:szCs w:val="24"/>
              </w:rPr>
              <w:t xml:space="preserve">in relation to green </w:t>
            </w:r>
            <w:r w:rsidR="2B2C7EA8" w:rsidRPr="672A972D">
              <w:rPr>
                <w:rFonts w:ascii="Times New Roman" w:hAnsi="Times New Roman"/>
                <w:sz w:val="24"/>
                <w:szCs w:val="24"/>
              </w:rPr>
              <w:t xml:space="preserve">investments </w:t>
            </w:r>
            <w:r w:rsidR="000A705B">
              <w:rPr>
                <w:rFonts w:ascii="Times New Roman" w:hAnsi="Times New Roman"/>
                <w:sz w:val="24"/>
                <w:szCs w:val="24"/>
              </w:rPr>
              <w:t xml:space="preserve">supported by CEF </w:t>
            </w:r>
            <w:r w:rsidR="2B2C7EA8" w:rsidRPr="672A972D">
              <w:rPr>
                <w:rFonts w:ascii="Times New Roman" w:hAnsi="Times New Roman"/>
                <w:sz w:val="24"/>
                <w:szCs w:val="24"/>
              </w:rPr>
              <w:t>under the next MFF</w:t>
            </w:r>
            <w:r w:rsidR="6D489F98" w:rsidRPr="672A97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2B2C7EA8" w:rsidRPr="672A972D">
              <w:rPr>
                <w:rFonts w:ascii="Times New Roman" w:hAnsi="Times New Roman"/>
                <w:sz w:val="24"/>
                <w:szCs w:val="24"/>
              </w:rPr>
              <w:t xml:space="preserve">Today, CEF is </w:t>
            </w:r>
            <w:r w:rsidR="3DC25339" w:rsidRPr="672A972D">
              <w:rPr>
                <w:rFonts w:ascii="Times New Roman" w:hAnsi="Times New Roman"/>
                <w:sz w:val="24"/>
                <w:szCs w:val="24"/>
              </w:rPr>
              <w:t xml:space="preserve">significantly </w:t>
            </w:r>
            <w:r w:rsidR="2B2C7EA8" w:rsidRPr="672A972D">
              <w:rPr>
                <w:rFonts w:ascii="Times New Roman" w:hAnsi="Times New Roman"/>
                <w:sz w:val="24"/>
                <w:szCs w:val="24"/>
              </w:rPr>
              <w:t xml:space="preserve">overachieving its climate </w:t>
            </w:r>
            <w:r w:rsidR="3DC25339" w:rsidRPr="672A972D">
              <w:rPr>
                <w:rFonts w:ascii="Times New Roman" w:hAnsi="Times New Roman"/>
                <w:sz w:val="24"/>
                <w:szCs w:val="24"/>
              </w:rPr>
              <w:t xml:space="preserve">spending </w:t>
            </w:r>
            <w:r w:rsidR="2B2C7EA8" w:rsidRPr="672A972D">
              <w:rPr>
                <w:rFonts w:ascii="Times New Roman" w:hAnsi="Times New Roman"/>
                <w:sz w:val="24"/>
                <w:szCs w:val="24"/>
              </w:rPr>
              <w:t>target of 60%</w:t>
            </w:r>
            <w:r w:rsidR="00097DF1">
              <w:rPr>
                <w:rFonts w:ascii="Times New Roman" w:hAnsi="Times New Roman"/>
                <w:sz w:val="24"/>
                <w:szCs w:val="24"/>
              </w:rPr>
              <w:t xml:space="preserve">. CEF Transport is </w:t>
            </w:r>
            <w:r w:rsidR="2B2C7EA8" w:rsidRPr="672A972D">
              <w:rPr>
                <w:rFonts w:ascii="Times New Roman" w:hAnsi="Times New Roman"/>
                <w:sz w:val="24"/>
                <w:szCs w:val="24"/>
              </w:rPr>
              <w:t>reaching nearly 80%</w:t>
            </w:r>
            <w:r w:rsidR="00097DF1">
              <w:rPr>
                <w:rFonts w:ascii="Times New Roman" w:hAnsi="Times New Roman"/>
                <w:sz w:val="24"/>
                <w:szCs w:val="24"/>
              </w:rPr>
              <w:t xml:space="preserve"> and t</w:t>
            </w:r>
            <w:r w:rsidR="2B2C7EA8" w:rsidRPr="672A972D">
              <w:rPr>
                <w:rFonts w:ascii="Times New Roman" w:hAnsi="Times New Roman"/>
                <w:sz w:val="24"/>
                <w:szCs w:val="24"/>
              </w:rPr>
              <w:t xml:space="preserve">he climate contribution of CEF Energy is </w:t>
            </w:r>
            <w:r w:rsidR="145FB52A" w:rsidRPr="672A972D">
              <w:rPr>
                <w:rFonts w:ascii="Times New Roman" w:hAnsi="Times New Roman"/>
                <w:sz w:val="24"/>
                <w:szCs w:val="24"/>
              </w:rPr>
              <w:t xml:space="preserve">currently </w:t>
            </w:r>
            <w:r w:rsidR="2B2C7EA8" w:rsidRPr="672A972D">
              <w:rPr>
                <w:rFonts w:ascii="Times New Roman" w:hAnsi="Times New Roman"/>
                <w:sz w:val="24"/>
                <w:szCs w:val="24"/>
              </w:rPr>
              <w:t>estimated at over 90%.</w:t>
            </w:r>
          </w:p>
          <w:p w14:paraId="04F85EC0" w14:textId="24A2983D" w:rsidR="002C21C6" w:rsidRDefault="41E31B85" w:rsidP="672A972D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672A972D">
              <w:rPr>
                <w:rFonts w:ascii="Times New Roman" w:hAnsi="Times New Roman"/>
                <w:b/>
                <w:bCs/>
                <w:sz w:val="24"/>
                <w:szCs w:val="24"/>
              </w:rPr>
              <w:t>Point 1.5:</w:t>
            </w:r>
            <w:r w:rsidRPr="672A9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2CBE5F1" w:rsidRPr="672A972D">
              <w:rPr>
                <w:rFonts w:ascii="Times New Roman" w:hAnsi="Times New Roman"/>
                <w:sz w:val="24"/>
                <w:szCs w:val="24"/>
              </w:rPr>
              <w:t xml:space="preserve">The CEF proposal followed the </w:t>
            </w:r>
            <w:r w:rsidR="16D4E330" w:rsidRPr="672A972D">
              <w:rPr>
                <w:rFonts w:ascii="Times New Roman" w:hAnsi="Times New Roman"/>
                <w:sz w:val="24"/>
                <w:szCs w:val="24"/>
              </w:rPr>
              <w:t xml:space="preserve">driving </w:t>
            </w:r>
            <w:r w:rsidR="22CBE5F1" w:rsidRPr="672A972D">
              <w:rPr>
                <w:rFonts w:ascii="Times New Roman" w:hAnsi="Times New Roman"/>
                <w:sz w:val="24"/>
                <w:szCs w:val="24"/>
              </w:rPr>
              <w:t>principles of the next MFF which are flexibility and simplification. T</w:t>
            </w:r>
            <w:r w:rsidR="1A0D770A" w:rsidRPr="672A972D">
              <w:rPr>
                <w:rFonts w:ascii="Times New Roman" w:hAnsi="Times New Roman"/>
                <w:sz w:val="24"/>
                <w:szCs w:val="24"/>
              </w:rPr>
              <w:t>his i</w:t>
            </w:r>
            <w:r w:rsidR="22CBE5F1" w:rsidRPr="672A972D">
              <w:rPr>
                <w:rFonts w:ascii="Times New Roman" w:hAnsi="Times New Roman"/>
                <w:sz w:val="24"/>
                <w:szCs w:val="24"/>
              </w:rPr>
              <w:t xml:space="preserve">s why </w:t>
            </w:r>
            <w:r w:rsidR="0049438E">
              <w:rPr>
                <w:rFonts w:ascii="Times New Roman" w:hAnsi="Times New Roman"/>
                <w:sz w:val="24"/>
                <w:szCs w:val="24"/>
              </w:rPr>
              <w:t xml:space="preserve">in the CEF proposal </w:t>
            </w:r>
            <w:r w:rsidR="22CBE5F1" w:rsidRPr="672A972D">
              <w:rPr>
                <w:rFonts w:ascii="Times New Roman" w:hAnsi="Times New Roman"/>
                <w:sz w:val="24"/>
                <w:szCs w:val="24"/>
              </w:rPr>
              <w:t>no earmarking or ring-fencing of fu</w:t>
            </w:r>
            <w:r w:rsidR="50095DEE" w:rsidRPr="672A972D">
              <w:rPr>
                <w:rFonts w:ascii="Times New Roman" w:hAnsi="Times New Roman"/>
                <w:sz w:val="24"/>
                <w:szCs w:val="24"/>
              </w:rPr>
              <w:t>nds</w:t>
            </w:r>
            <w:r w:rsidR="00B42CBA">
              <w:rPr>
                <w:rFonts w:ascii="Times New Roman" w:hAnsi="Times New Roman"/>
                <w:sz w:val="24"/>
                <w:szCs w:val="24"/>
              </w:rPr>
              <w:t xml:space="preserve"> for specific priorities</w:t>
            </w:r>
            <w:r w:rsidR="00A07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CBA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AE2578">
              <w:rPr>
                <w:rFonts w:ascii="Times New Roman" w:hAnsi="Times New Roman"/>
                <w:sz w:val="24"/>
                <w:szCs w:val="24"/>
              </w:rPr>
              <w:t>Cohesion countries</w:t>
            </w:r>
            <w:r w:rsidR="00B42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50095DEE" w:rsidRPr="672A972D">
              <w:rPr>
                <w:rFonts w:ascii="Times New Roman" w:hAnsi="Times New Roman"/>
                <w:sz w:val="24"/>
                <w:szCs w:val="24"/>
              </w:rPr>
              <w:t>are foreseen</w:t>
            </w:r>
            <w:r w:rsidR="00AE2578">
              <w:rPr>
                <w:rFonts w:ascii="Times New Roman" w:hAnsi="Times New Roman"/>
                <w:sz w:val="24"/>
                <w:szCs w:val="24"/>
              </w:rPr>
              <w:t xml:space="preserve"> as compared to the current CEF</w:t>
            </w:r>
            <w:r w:rsidR="50095DEE" w:rsidRPr="672A972D">
              <w:rPr>
                <w:rFonts w:ascii="Times New Roman" w:hAnsi="Times New Roman"/>
                <w:sz w:val="24"/>
                <w:szCs w:val="24"/>
              </w:rPr>
              <w:t>.</w:t>
            </w:r>
            <w:r w:rsidR="2DABB599" w:rsidRPr="672A9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705B">
              <w:rPr>
                <w:rFonts w:ascii="Times New Roman" w:hAnsi="Times New Roman"/>
                <w:sz w:val="24"/>
                <w:szCs w:val="24"/>
              </w:rPr>
              <w:t xml:space="preserve">The Commission only proposed indicative amounts for CEF Transport and CEF Energy. </w:t>
            </w:r>
            <w:bookmarkStart w:id="0" w:name="_Hlk223026633"/>
            <w:r w:rsidR="0B5F23DC" w:rsidRPr="672A972D">
              <w:rPr>
                <w:rFonts w:ascii="Times New Roman" w:hAnsi="Times New Roman"/>
                <w:sz w:val="24"/>
                <w:szCs w:val="24"/>
              </w:rPr>
              <w:t>T</w:t>
            </w:r>
            <w:r w:rsidR="56190D74" w:rsidRPr="672A972D">
              <w:rPr>
                <w:rFonts w:ascii="Times New Roman" w:hAnsi="Times New Roman"/>
                <w:sz w:val="24"/>
                <w:szCs w:val="24"/>
              </w:rPr>
              <w:t xml:space="preserve">he </w:t>
            </w:r>
            <w:r w:rsidR="0B5F23DC" w:rsidRPr="672A972D">
              <w:rPr>
                <w:rFonts w:ascii="Times New Roman" w:hAnsi="Times New Roman"/>
                <w:sz w:val="24"/>
                <w:szCs w:val="24"/>
              </w:rPr>
              <w:t xml:space="preserve">implementation of the </w:t>
            </w:r>
            <w:r w:rsidR="56190D74" w:rsidRPr="672A972D">
              <w:rPr>
                <w:rFonts w:ascii="Times New Roman" w:hAnsi="Times New Roman"/>
                <w:sz w:val="24"/>
                <w:szCs w:val="24"/>
              </w:rPr>
              <w:t xml:space="preserve">current CEF </w:t>
            </w:r>
            <w:r w:rsidR="0B5F23DC" w:rsidRPr="672A972D">
              <w:rPr>
                <w:rFonts w:ascii="Times New Roman" w:hAnsi="Times New Roman"/>
                <w:sz w:val="24"/>
                <w:szCs w:val="24"/>
              </w:rPr>
              <w:t>has shown</w:t>
            </w:r>
            <w:r w:rsidR="56190D74" w:rsidRPr="672A972D">
              <w:rPr>
                <w:rFonts w:ascii="Times New Roman" w:hAnsi="Times New Roman"/>
                <w:sz w:val="24"/>
                <w:szCs w:val="24"/>
              </w:rPr>
              <w:t xml:space="preserve"> that unforeseen investment needs may arise that </w:t>
            </w:r>
            <w:r w:rsidR="1A0D770A" w:rsidRPr="672A972D">
              <w:rPr>
                <w:rFonts w:ascii="Times New Roman" w:hAnsi="Times New Roman"/>
                <w:sz w:val="24"/>
                <w:szCs w:val="24"/>
              </w:rPr>
              <w:t xml:space="preserve">were </w:t>
            </w:r>
            <w:r w:rsidR="7C966CF7" w:rsidRPr="672A972D">
              <w:rPr>
                <w:rFonts w:ascii="Times New Roman" w:hAnsi="Times New Roman"/>
                <w:sz w:val="24"/>
                <w:szCs w:val="24"/>
              </w:rPr>
              <w:t>not expected</w:t>
            </w:r>
            <w:r w:rsidR="56190D74" w:rsidRPr="672A972D">
              <w:rPr>
                <w:rFonts w:ascii="Times New Roman" w:hAnsi="Times New Roman"/>
                <w:sz w:val="24"/>
                <w:szCs w:val="24"/>
              </w:rPr>
              <w:t xml:space="preserve"> at the time of adoption of the legal act, e.g. the </w:t>
            </w:r>
            <w:r w:rsidR="214A93A2" w:rsidRPr="672A972D">
              <w:rPr>
                <w:rFonts w:ascii="Times New Roman" w:hAnsi="Times New Roman"/>
                <w:sz w:val="24"/>
                <w:szCs w:val="24"/>
              </w:rPr>
              <w:t xml:space="preserve">urgent </w:t>
            </w:r>
            <w:r w:rsidR="56190D74" w:rsidRPr="672A972D">
              <w:rPr>
                <w:rFonts w:ascii="Times New Roman" w:hAnsi="Times New Roman"/>
                <w:sz w:val="24"/>
                <w:szCs w:val="24"/>
              </w:rPr>
              <w:t>need to ensure security of energy supply and finance border-crossing points with Ukraine after Russia’s invasion in 2022. This flexibility is also relevant for military mobility, where evolving security conditions (and/or operational needs) may necessitate rapid adjustments to investment priorities.</w:t>
            </w:r>
            <w:r w:rsidR="000D0142">
              <w:rPr>
                <w:rFonts w:ascii="Times New Roman" w:hAnsi="Times New Roman"/>
                <w:sz w:val="24"/>
                <w:szCs w:val="24"/>
              </w:rPr>
              <w:t xml:space="preserve"> Cohesion countries benefitting today from the CEF Cohesion envelope have in the next MFF funding available under the </w:t>
            </w:r>
            <w:r w:rsidR="000D0142" w:rsidRPr="00150B9E">
              <w:rPr>
                <w:rFonts w:ascii="Times New Roman" w:hAnsi="Times New Roman"/>
                <w:sz w:val="24"/>
                <w:szCs w:val="24"/>
              </w:rPr>
              <w:t>National and Regional Partnership Plans</w:t>
            </w:r>
            <w:r w:rsidR="008F504B">
              <w:rPr>
                <w:rFonts w:ascii="Times New Roman" w:hAnsi="Times New Roman"/>
                <w:sz w:val="24"/>
                <w:szCs w:val="24"/>
              </w:rPr>
              <w:t xml:space="preserve"> and a</w:t>
            </w:r>
            <w:r w:rsidR="000D0142">
              <w:rPr>
                <w:rFonts w:ascii="Times New Roman" w:hAnsi="Times New Roman"/>
                <w:sz w:val="24"/>
                <w:szCs w:val="24"/>
              </w:rPr>
              <w:t xml:space="preserve">ccording to the Commission proposal, all Member States have to include TEN-T projects into their national plans. </w:t>
            </w:r>
          </w:p>
          <w:bookmarkEnd w:id="0"/>
          <w:p w14:paraId="0C918232" w14:textId="32D3D4B7" w:rsidR="00774877" w:rsidRPr="00B16039" w:rsidRDefault="00A81CCC" w:rsidP="00EA5AA8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039">
              <w:rPr>
                <w:rFonts w:ascii="Times New Roman" w:hAnsi="Times New Roman"/>
                <w:sz w:val="24"/>
                <w:szCs w:val="24"/>
              </w:rPr>
              <w:t>CEF has</w:t>
            </w:r>
            <w:r w:rsidR="003B27F2">
              <w:rPr>
                <w:rFonts w:ascii="Times New Roman" w:hAnsi="Times New Roman"/>
                <w:sz w:val="24"/>
                <w:szCs w:val="24"/>
              </w:rPr>
              <w:t xml:space="preserve"> supported</w:t>
            </w:r>
            <w:r w:rsidRPr="00B16039">
              <w:rPr>
                <w:rFonts w:ascii="Times New Roman" w:hAnsi="Times New Roman"/>
                <w:sz w:val="24"/>
                <w:szCs w:val="24"/>
              </w:rPr>
              <w:t xml:space="preserve"> and will </w:t>
            </w:r>
            <w:r w:rsidR="003B27F2">
              <w:rPr>
                <w:rFonts w:ascii="Times New Roman" w:hAnsi="Times New Roman"/>
                <w:sz w:val="24"/>
                <w:szCs w:val="24"/>
              </w:rPr>
              <w:t xml:space="preserve">continue to </w:t>
            </w:r>
            <w:r w:rsidRPr="00B16039">
              <w:rPr>
                <w:rFonts w:ascii="Times New Roman" w:hAnsi="Times New Roman"/>
                <w:sz w:val="24"/>
                <w:szCs w:val="24"/>
              </w:rPr>
              <w:t>support the development of the TEN-T network in all 27 EU Member States and their energy interconnection, including those that are more peripheral and currently less connected. That is exactly where CEF plays a key role — by funding cross-border infrastructure</w:t>
            </w:r>
            <w:r w:rsidR="00A13892">
              <w:rPr>
                <w:rFonts w:ascii="Times New Roman" w:hAnsi="Times New Roman"/>
                <w:sz w:val="24"/>
                <w:szCs w:val="24"/>
              </w:rPr>
              <w:t xml:space="preserve"> to connect Member States</w:t>
            </w:r>
            <w:r w:rsidRPr="00B160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DF74CD5" w14:textId="475C2649" w:rsidR="003D6B95" w:rsidRDefault="4CCAA3F6" w:rsidP="003D6B95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72A972D">
              <w:rPr>
                <w:rFonts w:ascii="Times New Roman" w:hAnsi="Times New Roman"/>
                <w:b/>
                <w:bCs/>
                <w:sz w:val="24"/>
                <w:szCs w:val="24"/>
              </w:rPr>
              <w:t>Point 1.6:</w:t>
            </w:r>
            <w:r w:rsidRPr="672A9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4A433F13" w:rsidRPr="672A972D">
              <w:rPr>
                <w:rFonts w:ascii="Times New Roman" w:hAnsi="Times New Roman"/>
                <w:sz w:val="24"/>
                <w:szCs w:val="24"/>
              </w:rPr>
              <w:t>The provision c</w:t>
            </w:r>
            <w:r w:rsidR="66AA4612" w:rsidRPr="672A972D">
              <w:rPr>
                <w:rFonts w:ascii="Times New Roman" w:hAnsi="Times New Roman"/>
                <w:sz w:val="24"/>
                <w:szCs w:val="24"/>
              </w:rPr>
              <w:t xml:space="preserve">oncerning the </w:t>
            </w:r>
            <w:r w:rsidR="4A433F13" w:rsidRPr="672A972D">
              <w:rPr>
                <w:rFonts w:ascii="Times New Roman" w:hAnsi="Times New Roman"/>
                <w:sz w:val="24"/>
                <w:szCs w:val="24"/>
              </w:rPr>
              <w:t xml:space="preserve">advisory procedure to be used for the approval of the work programme of the </w:t>
            </w:r>
            <w:r w:rsidR="68DB4E95" w:rsidRPr="672A972D">
              <w:rPr>
                <w:rFonts w:ascii="Times New Roman" w:hAnsi="Times New Roman"/>
                <w:sz w:val="24"/>
                <w:szCs w:val="24"/>
              </w:rPr>
              <w:t>CEF C</w:t>
            </w:r>
            <w:r w:rsidR="4EBF178C" w:rsidRPr="672A972D">
              <w:rPr>
                <w:rFonts w:ascii="Times New Roman" w:hAnsi="Times New Roman"/>
                <w:sz w:val="24"/>
                <w:szCs w:val="24"/>
              </w:rPr>
              <w:t>o</w:t>
            </w:r>
            <w:r w:rsidR="68DB4E95" w:rsidRPr="672A972D">
              <w:rPr>
                <w:rFonts w:ascii="Times New Roman" w:hAnsi="Times New Roman"/>
                <w:sz w:val="24"/>
                <w:szCs w:val="24"/>
              </w:rPr>
              <w:t>mmitte</w:t>
            </w:r>
            <w:r w:rsidR="4EBF178C" w:rsidRPr="672A972D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46270B0B" w:rsidRPr="672A972D">
              <w:rPr>
                <w:rFonts w:ascii="Times New Roman" w:hAnsi="Times New Roman"/>
                <w:sz w:val="24"/>
                <w:szCs w:val="24"/>
              </w:rPr>
              <w:t xml:space="preserve">reflects </w:t>
            </w:r>
            <w:r w:rsidR="79754CE0" w:rsidRPr="672A972D">
              <w:rPr>
                <w:rFonts w:ascii="Times New Roman" w:hAnsi="Times New Roman"/>
                <w:sz w:val="24"/>
                <w:szCs w:val="24"/>
              </w:rPr>
              <w:t xml:space="preserve">the simplification tenet of the next MFF, allowing </w:t>
            </w:r>
            <w:r w:rsidR="66AA4612" w:rsidRPr="672A972D">
              <w:rPr>
                <w:rFonts w:ascii="Times New Roman" w:hAnsi="Times New Roman"/>
                <w:sz w:val="24"/>
                <w:szCs w:val="24"/>
              </w:rPr>
              <w:t xml:space="preserve">for a smooth implementation of the programmes and faster allocation of funding to </w:t>
            </w:r>
            <w:r w:rsidR="66AA4612" w:rsidRPr="672A97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beneficiaries. </w:t>
            </w:r>
          </w:p>
          <w:p w14:paraId="78506CCF" w14:textId="72C0263F" w:rsidR="00263ADD" w:rsidRDefault="4B34CB7F" w:rsidP="003D6B95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72A972D">
              <w:rPr>
                <w:rFonts w:ascii="Times New Roman" w:hAnsi="Times New Roman"/>
                <w:b/>
                <w:bCs/>
                <w:sz w:val="24"/>
                <w:szCs w:val="24"/>
              </w:rPr>
              <w:t>Point 1.7</w:t>
            </w:r>
            <w:r w:rsidRPr="672A972D">
              <w:rPr>
                <w:rFonts w:ascii="Times New Roman" w:hAnsi="Times New Roman"/>
                <w:sz w:val="24"/>
                <w:szCs w:val="24"/>
              </w:rPr>
              <w:t xml:space="preserve">: The rules for evaluations and monitoring, as well as many other horizontal provisions, have been streamlined for all programmes across the </w:t>
            </w:r>
            <w:r w:rsidR="1A6E8D76" w:rsidRPr="672A972D">
              <w:rPr>
                <w:rFonts w:ascii="Times New Roman" w:hAnsi="Times New Roman"/>
                <w:sz w:val="24"/>
                <w:szCs w:val="24"/>
              </w:rPr>
              <w:t xml:space="preserve">proposed </w:t>
            </w:r>
            <w:r w:rsidRPr="672A972D">
              <w:rPr>
                <w:rFonts w:ascii="Times New Roman" w:hAnsi="Times New Roman"/>
                <w:sz w:val="24"/>
                <w:szCs w:val="24"/>
              </w:rPr>
              <w:t>MFF in the proposal for the Performance Regulation.</w:t>
            </w:r>
          </w:p>
          <w:p w14:paraId="495A6741" w14:textId="65FE438B" w:rsidR="00B15130" w:rsidRDefault="58B8509E" w:rsidP="672A972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72A972D">
              <w:rPr>
                <w:rFonts w:ascii="Times New Roman" w:hAnsi="Times New Roman"/>
                <w:b/>
                <w:bCs/>
                <w:sz w:val="24"/>
                <w:szCs w:val="24"/>
              </w:rPr>
              <w:t>Point 1.8:</w:t>
            </w:r>
            <w:r w:rsidRPr="672A9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16E">
              <w:rPr>
                <w:rFonts w:ascii="Times New Roman" w:hAnsi="Times New Roman"/>
                <w:sz w:val="24"/>
                <w:szCs w:val="24"/>
              </w:rPr>
              <w:t>In the area of transport, t</w:t>
            </w:r>
            <w:r w:rsidR="77CDCE60" w:rsidRPr="672A972D">
              <w:rPr>
                <w:rFonts w:ascii="Times New Roman" w:hAnsi="Times New Roman"/>
                <w:sz w:val="24"/>
                <w:szCs w:val="24"/>
              </w:rPr>
              <w:t>he Commission proposal does not foresee CEF support</w:t>
            </w:r>
            <w:r w:rsidR="46270B0B" w:rsidRPr="672A972D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 w:rsidR="28E915EF" w:rsidRPr="672A972D">
              <w:rPr>
                <w:rFonts w:ascii="Times New Roman" w:hAnsi="Times New Roman"/>
                <w:sz w:val="24"/>
                <w:szCs w:val="24"/>
              </w:rPr>
              <w:t xml:space="preserve"> the</w:t>
            </w:r>
            <w:r w:rsidR="77CDCE60" w:rsidRPr="672A972D">
              <w:rPr>
                <w:rFonts w:ascii="Times New Roman" w:hAnsi="Times New Roman"/>
                <w:sz w:val="24"/>
                <w:szCs w:val="24"/>
              </w:rPr>
              <w:t xml:space="preserve"> protection of critical infrastructure</w:t>
            </w:r>
            <w:r w:rsidR="1315BFDE" w:rsidRPr="672A972D">
              <w:rPr>
                <w:rFonts w:ascii="Times New Roman" w:hAnsi="Times New Roman"/>
                <w:sz w:val="24"/>
                <w:szCs w:val="24"/>
              </w:rPr>
              <w:t xml:space="preserve"> because</w:t>
            </w:r>
            <w:r w:rsidR="4CFAB889" w:rsidRPr="672A9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77CDCE60" w:rsidRPr="672A972D">
              <w:rPr>
                <w:rFonts w:ascii="Times New Roman" w:hAnsi="Times New Roman"/>
                <w:sz w:val="24"/>
                <w:szCs w:val="24"/>
              </w:rPr>
              <w:t xml:space="preserve">CEF is an instrument to build and upgrade </w:t>
            </w:r>
            <w:r w:rsidR="7E929EDB" w:rsidRPr="672A972D">
              <w:rPr>
                <w:rFonts w:ascii="Times New Roman" w:hAnsi="Times New Roman"/>
                <w:sz w:val="24"/>
                <w:szCs w:val="24"/>
              </w:rPr>
              <w:t xml:space="preserve">TEN-T </w:t>
            </w:r>
            <w:r w:rsidR="77CDCE60" w:rsidRPr="672A972D">
              <w:rPr>
                <w:rFonts w:ascii="Times New Roman" w:hAnsi="Times New Roman"/>
                <w:sz w:val="24"/>
                <w:szCs w:val="24"/>
              </w:rPr>
              <w:t xml:space="preserve">infrastructure. </w:t>
            </w:r>
            <w:r w:rsidR="6E819081" w:rsidRPr="672A972D">
              <w:rPr>
                <w:rFonts w:ascii="Times New Roman" w:hAnsi="Times New Roman"/>
                <w:sz w:val="24"/>
                <w:szCs w:val="24"/>
              </w:rPr>
              <w:t>P</w:t>
            </w:r>
            <w:r w:rsidR="77CDCE60" w:rsidRPr="672A972D">
              <w:rPr>
                <w:rFonts w:ascii="Times New Roman" w:hAnsi="Times New Roman"/>
                <w:sz w:val="24"/>
                <w:szCs w:val="24"/>
              </w:rPr>
              <w:t>hysical construction solution</w:t>
            </w:r>
            <w:r w:rsidR="6E819081" w:rsidRPr="672A972D">
              <w:rPr>
                <w:rFonts w:ascii="Times New Roman" w:hAnsi="Times New Roman"/>
                <w:sz w:val="24"/>
                <w:szCs w:val="24"/>
              </w:rPr>
              <w:t>s</w:t>
            </w:r>
            <w:r w:rsidR="77CDCE60" w:rsidRPr="672A9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6E819081" w:rsidRPr="672A972D">
              <w:rPr>
                <w:rFonts w:ascii="Times New Roman" w:hAnsi="Times New Roman"/>
                <w:sz w:val="24"/>
                <w:szCs w:val="24"/>
              </w:rPr>
              <w:t>increasing protection and resilience</w:t>
            </w:r>
            <w:r w:rsidR="77CDCE60" w:rsidRPr="672A972D">
              <w:rPr>
                <w:rFonts w:ascii="Times New Roman" w:hAnsi="Times New Roman"/>
                <w:sz w:val="24"/>
                <w:szCs w:val="24"/>
              </w:rPr>
              <w:t xml:space="preserve"> that will be part of the project design, could be eligible for CEF support. However, as CEF does not support maintenance, it </w:t>
            </w:r>
            <w:r w:rsidR="159EB5CF" w:rsidRPr="672A972D">
              <w:rPr>
                <w:rFonts w:ascii="Times New Roman" w:hAnsi="Times New Roman"/>
                <w:sz w:val="24"/>
                <w:szCs w:val="24"/>
              </w:rPr>
              <w:t>cannot</w:t>
            </w:r>
            <w:r w:rsidR="77CDCE60" w:rsidRPr="672A972D">
              <w:rPr>
                <w:rFonts w:ascii="Times New Roman" w:hAnsi="Times New Roman"/>
                <w:sz w:val="24"/>
                <w:szCs w:val="24"/>
              </w:rPr>
              <w:t xml:space="preserve"> support critical infrastructure protection on existing </w:t>
            </w:r>
            <w:r w:rsidR="006700C5">
              <w:rPr>
                <w:rFonts w:ascii="Times New Roman" w:hAnsi="Times New Roman"/>
                <w:sz w:val="24"/>
                <w:szCs w:val="24"/>
              </w:rPr>
              <w:t xml:space="preserve">transport </w:t>
            </w:r>
            <w:r w:rsidR="77CDCE60" w:rsidRPr="672A972D">
              <w:rPr>
                <w:rFonts w:ascii="Times New Roman" w:hAnsi="Times New Roman"/>
                <w:sz w:val="24"/>
                <w:szCs w:val="24"/>
              </w:rPr>
              <w:t xml:space="preserve">infrastructure. </w:t>
            </w:r>
            <w:r w:rsidR="00E85DF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T</w:t>
            </w:r>
            <w:r w:rsidR="00664E62">
              <w:rPr>
                <w:rFonts w:ascii="Times New Roman" w:hAnsi="Times New Roman"/>
                <w:sz w:val="24"/>
                <w:szCs w:val="24"/>
              </w:rPr>
              <w:t xml:space="preserve">he protection of strategic infrastructure for military mobility, especially on the military mobility corridors, is explicitly included in the proposal for the European Competitiveness Fund (Article 49(f)). </w:t>
            </w:r>
            <w:r w:rsidR="3BABCAE4" w:rsidRPr="672A972D">
              <w:rPr>
                <w:rFonts w:ascii="Times New Roman" w:hAnsi="Times New Roman"/>
                <w:sz w:val="24"/>
                <w:szCs w:val="24"/>
              </w:rPr>
              <w:t>The protection of critical infrastructure</w:t>
            </w:r>
            <w:r w:rsidR="77CDCE60" w:rsidRPr="672A972D">
              <w:rPr>
                <w:rFonts w:ascii="Times New Roman" w:hAnsi="Times New Roman"/>
                <w:sz w:val="24"/>
                <w:szCs w:val="24"/>
              </w:rPr>
              <w:t xml:space="preserve"> could </w:t>
            </w:r>
            <w:r w:rsidR="00664E62">
              <w:rPr>
                <w:rFonts w:ascii="Times New Roman" w:hAnsi="Times New Roman"/>
                <w:sz w:val="24"/>
                <w:szCs w:val="24"/>
              </w:rPr>
              <w:t xml:space="preserve">also </w:t>
            </w:r>
            <w:r w:rsidR="77CDCE60" w:rsidRPr="672A972D">
              <w:rPr>
                <w:rFonts w:ascii="Times New Roman" w:hAnsi="Times New Roman"/>
                <w:sz w:val="24"/>
                <w:szCs w:val="24"/>
              </w:rPr>
              <w:t xml:space="preserve">be supported </w:t>
            </w:r>
            <w:r w:rsidR="13865D02" w:rsidRPr="672A972D">
              <w:rPr>
                <w:rFonts w:ascii="Times New Roman" w:hAnsi="Times New Roman"/>
                <w:sz w:val="24"/>
                <w:szCs w:val="24"/>
              </w:rPr>
              <w:t xml:space="preserve">by </w:t>
            </w:r>
            <w:r w:rsidR="77CDCE60" w:rsidRPr="672A972D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4167E980" w:rsidRPr="672A972D">
              <w:rPr>
                <w:rFonts w:ascii="Times New Roman" w:hAnsi="Times New Roman"/>
                <w:sz w:val="24"/>
                <w:szCs w:val="24"/>
              </w:rPr>
              <w:t>N</w:t>
            </w:r>
            <w:r w:rsidR="77CDCE60" w:rsidRPr="672A972D">
              <w:rPr>
                <w:rFonts w:ascii="Times New Roman" w:hAnsi="Times New Roman"/>
                <w:sz w:val="24"/>
                <w:szCs w:val="24"/>
              </w:rPr>
              <w:t xml:space="preserve">ational and </w:t>
            </w:r>
            <w:r w:rsidR="4167E980" w:rsidRPr="672A972D">
              <w:rPr>
                <w:rFonts w:ascii="Times New Roman" w:hAnsi="Times New Roman"/>
                <w:sz w:val="24"/>
                <w:szCs w:val="24"/>
              </w:rPr>
              <w:t>R</w:t>
            </w:r>
            <w:r w:rsidR="77CDCE60" w:rsidRPr="672A972D">
              <w:rPr>
                <w:rFonts w:ascii="Times New Roman" w:hAnsi="Times New Roman"/>
                <w:sz w:val="24"/>
                <w:szCs w:val="24"/>
              </w:rPr>
              <w:t xml:space="preserve">egional </w:t>
            </w:r>
            <w:r w:rsidR="4167E980" w:rsidRPr="672A972D">
              <w:rPr>
                <w:rFonts w:ascii="Times New Roman" w:hAnsi="Times New Roman"/>
                <w:sz w:val="24"/>
                <w:szCs w:val="24"/>
              </w:rPr>
              <w:t>Partnership P</w:t>
            </w:r>
            <w:r w:rsidR="77CDCE60" w:rsidRPr="672A972D">
              <w:rPr>
                <w:rFonts w:ascii="Times New Roman" w:hAnsi="Times New Roman"/>
                <w:sz w:val="24"/>
                <w:szCs w:val="24"/>
              </w:rPr>
              <w:t xml:space="preserve">lans. </w:t>
            </w:r>
          </w:p>
          <w:p w14:paraId="5A4E9B1F" w14:textId="10DF0313" w:rsidR="00DE216E" w:rsidRPr="006700C5" w:rsidRDefault="00DE216E" w:rsidP="006700C5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0C5">
              <w:rPr>
                <w:rFonts w:ascii="Times New Roman" w:hAnsi="Times New Roman"/>
                <w:sz w:val="24"/>
                <w:szCs w:val="24"/>
              </w:rPr>
              <w:t xml:space="preserve">In the area of energy, </w:t>
            </w:r>
            <w:r w:rsidR="004E531E" w:rsidRPr="006700C5">
              <w:rPr>
                <w:rFonts w:ascii="Times New Roman" w:hAnsi="Times New Roman"/>
                <w:sz w:val="24"/>
                <w:szCs w:val="24"/>
              </w:rPr>
              <w:t xml:space="preserve">CEF </w:t>
            </w:r>
            <w:r w:rsidR="00F255C9" w:rsidRPr="006700C5">
              <w:rPr>
                <w:rFonts w:ascii="Times New Roman" w:hAnsi="Times New Roman"/>
                <w:sz w:val="24"/>
                <w:szCs w:val="24"/>
              </w:rPr>
              <w:t>support</w:t>
            </w:r>
            <w:r w:rsidR="00763F15" w:rsidRPr="006700C5">
              <w:rPr>
                <w:rFonts w:ascii="Times New Roman" w:hAnsi="Times New Roman"/>
                <w:sz w:val="24"/>
                <w:szCs w:val="24"/>
              </w:rPr>
              <w:t>s measures to enhance</w:t>
            </w:r>
            <w:r w:rsidR="0001382D" w:rsidRPr="006700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5C9" w:rsidRPr="006700C5">
              <w:rPr>
                <w:rFonts w:ascii="Times New Roman" w:hAnsi="Times New Roman"/>
                <w:sz w:val="24"/>
                <w:szCs w:val="24"/>
              </w:rPr>
              <w:t>protection and resilience</w:t>
            </w:r>
            <w:r w:rsidR="009802F5" w:rsidRPr="006700C5">
              <w:rPr>
                <w:rFonts w:ascii="Times New Roman" w:hAnsi="Times New Roman"/>
                <w:sz w:val="24"/>
                <w:szCs w:val="24"/>
              </w:rPr>
              <w:t xml:space="preserve"> of energy infrastructure in line with the TEN-E Regulation</w:t>
            </w:r>
            <w:r w:rsidR="00D15392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  <w:r w:rsidR="009802F5" w:rsidRPr="006700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442C9" w:rsidRPr="006700C5">
              <w:rPr>
                <w:rFonts w:ascii="Times New Roman" w:hAnsi="Times New Roman"/>
                <w:sz w:val="24"/>
                <w:szCs w:val="24"/>
              </w:rPr>
              <w:t>E</w:t>
            </w:r>
            <w:r w:rsidR="009802F5" w:rsidRPr="006700C5">
              <w:rPr>
                <w:rFonts w:ascii="Times New Roman" w:hAnsi="Times New Roman"/>
                <w:sz w:val="24"/>
                <w:szCs w:val="24"/>
              </w:rPr>
              <w:t>quipment to ensure</w:t>
            </w:r>
            <w:r w:rsidR="006442C9" w:rsidRPr="006700C5">
              <w:rPr>
                <w:rFonts w:ascii="Times New Roman" w:hAnsi="Times New Roman"/>
                <w:sz w:val="24"/>
                <w:szCs w:val="24"/>
              </w:rPr>
              <w:t xml:space="preserve"> the</w:t>
            </w:r>
            <w:r w:rsidR="009802F5" w:rsidRPr="006700C5">
              <w:rPr>
                <w:rFonts w:ascii="Times New Roman" w:hAnsi="Times New Roman"/>
                <w:sz w:val="24"/>
                <w:szCs w:val="24"/>
              </w:rPr>
              <w:t xml:space="preserve"> resilience or protection of a particular PCI/PMI</w:t>
            </w:r>
            <w:r w:rsidR="006442C9" w:rsidRPr="006700C5">
              <w:rPr>
                <w:rFonts w:ascii="Times New Roman" w:hAnsi="Times New Roman"/>
                <w:sz w:val="24"/>
                <w:szCs w:val="24"/>
              </w:rPr>
              <w:t xml:space="preserve"> may be included under the PCI/PMI status</w:t>
            </w:r>
            <w:r w:rsidR="009802F5" w:rsidRPr="006700C5">
              <w:rPr>
                <w:rFonts w:ascii="Times New Roman" w:hAnsi="Times New Roman"/>
                <w:sz w:val="24"/>
                <w:szCs w:val="24"/>
              </w:rPr>
              <w:t xml:space="preserve"> and is eligible for CEF funding. </w:t>
            </w:r>
            <w:r w:rsidR="006442C9" w:rsidRPr="006700C5">
              <w:rPr>
                <w:rFonts w:ascii="Times New Roman" w:hAnsi="Times New Roman"/>
                <w:sz w:val="24"/>
                <w:szCs w:val="24"/>
              </w:rPr>
              <w:t xml:space="preserve">With the Grids Package, the Commission has proposed to further strengthen </w:t>
            </w:r>
            <w:r w:rsidR="007F1B02" w:rsidRPr="006700C5">
              <w:rPr>
                <w:rFonts w:ascii="Times New Roman" w:hAnsi="Times New Roman"/>
                <w:sz w:val="24"/>
                <w:szCs w:val="24"/>
              </w:rPr>
              <w:t xml:space="preserve">the contribution </w:t>
            </w:r>
            <w:r w:rsidR="0041230A" w:rsidRPr="006700C5">
              <w:rPr>
                <w:rFonts w:ascii="Times New Roman" w:hAnsi="Times New Roman"/>
                <w:sz w:val="24"/>
                <w:szCs w:val="24"/>
              </w:rPr>
              <w:t xml:space="preserve">of CEF to the protection and resilience of energy infrastructure. </w:t>
            </w:r>
            <w:r w:rsidR="00F255C9" w:rsidRPr="006700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877DFC" w14:textId="77EFDD52" w:rsidR="006042B2" w:rsidRDefault="00FC2283" w:rsidP="005F6553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433">
              <w:rPr>
                <w:rFonts w:ascii="Times New Roman" w:hAnsi="Times New Roman"/>
                <w:b/>
                <w:bCs/>
                <w:sz w:val="24"/>
                <w:szCs w:val="24"/>
              </w:rPr>
              <w:t>Point 1.11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C1506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="00DB6D88">
              <w:rPr>
                <w:rFonts w:ascii="Times New Roman" w:hAnsi="Times New Roman"/>
                <w:sz w:val="24"/>
                <w:szCs w:val="24"/>
              </w:rPr>
              <w:t xml:space="preserve">large scale infrastructure projects </w:t>
            </w:r>
            <w:r w:rsidR="00802CEE">
              <w:rPr>
                <w:rFonts w:ascii="Times New Roman" w:hAnsi="Times New Roman"/>
                <w:sz w:val="24"/>
                <w:szCs w:val="24"/>
              </w:rPr>
              <w:t xml:space="preserve">covering several MFFs, CEF aims to </w:t>
            </w:r>
            <w:r w:rsidR="001C447A">
              <w:rPr>
                <w:rFonts w:ascii="Times New Roman" w:hAnsi="Times New Roman"/>
                <w:sz w:val="24"/>
                <w:szCs w:val="24"/>
              </w:rPr>
              <w:t xml:space="preserve">support </w:t>
            </w:r>
            <w:r w:rsidR="00143F77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790B4C">
              <w:rPr>
                <w:rFonts w:ascii="Times New Roman" w:hAnsi="Times New Roman"/>
                <w:sz w:val="24"/>
                <w:szCs w:val="24"/>
              </w:rPr>
              <w:t xml:space="preserve">projects </w:t>
            </w:r>
            <w:r w:rsidR="00143F77">
              <w:rPr>
                <w:rFonts w:ascii="Times New Roman" w:hAnsi="Times New Roman"/>
                <w:sz w:val="24"/>
                <w:szCs w:val="24"/>
              </w:rPr>
              <w:t>throughout the whole project cycle</w:t>
            </w:r>
            <w:r w:rsidR="00027283">
              <w:rPr>
                <w:rFonts w:ascii="Times New Roman" w:hAnsi="Times New Roman"/>
                <w:sz w:val="24"/>
                <w:szCs w:val="24"/>
              </w:rPr>
              <w:t xml:space="preserve">, starting with </w:t>
            </w:r>
            <w:r w:rsidR="00D974E8">
              <w:rPr>
                <w:rFonts w:ascii="Times New Roman" w:hAnsi="Times New Roman"/>
                <w:sz w:val="24"/>
                <w:szCs w:val="24"/>
              </w:rPr>
              <w:t>project preparations (</w:t>
            </w:r>
            <w:r w:rsidR="003B27F2">
              <w:rPr>
                <w:rFonts w:ascii="Times New Roman" w:hAnsi="Times New Roman"/>
                <w:sz w:val="24"/>
                <w:szCs w:val="24"/>
              </w:rPr>
              <w:t xml:space="preserve">including </w:t>
            </w:r>
            <w:r w:rsidR="00D974E8">
              <w:rPr>
                <w:rFonts w:ascii="Times New Roman" w:hAnsi="Times New Roman"/>
                <w:sz w:val="24"/>
                <w:szCs w:val="24"/>
              </w:rPr>
              <w:t>studies</w:t>
            </w:r>
            <w:r w:rsidR="003B27F2">
              <w:rPr>
                <w:rFonts w:ascii="Times New Roman" w:hAnsi="Times New Roman"/>
                <w:sz w:val="24"/>
                <w:szCs w:val="24"/>
              </w:rPr>
              <w:t xml:space="preserve"> and the</w:t>
            </w:r>
            <w:r w:rsidR="008C59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3A0A">
              <w:rPr>
                <w:rFonts w:ascii="Times New Roman" w:hAnsi="Times New Roman"/>
                <w:sz w:val="24"/>
                <w:szCs w:val="24"/>
              </w:rPr>
              <w:t xml:space="preserve">elaboration of </w:t>
            </w:r>
            <w:r w:rsidR="003B27F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103C56">
              <w:rPr>
                <w:rFonts w:ascii="Times New Roman" w:hAnsi="Times New Roman"/>
                <w:sz w:val="24"/>
                <w:szCs w:val="24"/>
              </w:rPr>
              <w:t>financial package</w:t>
            </w:r>
            <w:r w:rsidR="00F34E08">
              <w:rPr>
                <w:rFonts w:ascii="Times New Roman" w:hAnsi="Times New Roman"/>
                <w:sz w:val="24"/>
                <w:szCs w:val="24"/>
              </w:rPr>
              <w:t xml:space="preserve">) through the </w:t>
            </w:r>
            <w:r w:rsidR="002000CD">
              <w:rPr>
                <w:rFonts w:ascii="Times New Roman" w:hAnsi="Times New Roman"/>
                <w:sz w:val="24"/>
                <w:szCs w:val="24"/>
              </w:rPr>
              <w:t xml:space="preserve">subsequent </w:t>
            </w:r>
            <w:r w:rsidR="00F34E08">
              <w:rPr>
                <w:rFonts w:ascii="Times New Roman" w:hAnsi="Times New Roman"/>
                <w:sz w:val="24"/>
                <w:szCs w:val="24"/>
              </w:rPr>
              <w:t>work packages</w:t>
            </w:r>
            <w:r w:rsidR="002000CD">
              <w:rPr>
                <w:rFonts w:ascii="Times New Roman" w:hAnsi="Times New Roman"/>
                <w:sz w:val="24"/>
                <w:szCs w:val="24"/>
              </w:rPr>
              <w:t xml:space="preserve"> until completion</w:t>
            </w:r>
            <w:r w:rsidR="00F34E08">
              <w:rPr>
                <w:rFonts w:ascii="Times New Roman" w:hAnsi="Times New Roman"/>
                <w:sz w:val="24"/>
                <w:szCs w:val="24"/>
              </w:rPr>
              <w:t xml:space="preserve">. However, CEF </w:t>
            </w:r>
            <w:r w:rsidR="00CC315F">
              <w:rPr>
                <w:rFonts w:ascii="Times New Roman" w:hAnsi="Times New Roman"/>
                <w:sz w:val="24"/>
                <w:szCs w:val="24"/>
              </w:rPr>
              <w:t xml:space="preserve">follows the principle of excellence </w:t>
            </w:r>
            <w:r w:rsidR="00B5042B">
              <w:rPr>
                <w:rFonts w:ascii="Times New Roman" w:hAnsi="Times New Roman"/>
                <w:sz w:val="24"/>
                <w:szCs w:val="24"/>
              </w:rPr>
              <w:t>and only selects projects</w:t>
            </w:r>
            <w:r w:rsidR="00E316E3">
              <w:rPr>
                <w:rFonts w:ascii="Times New Roman" w:hAnsi="Times New Roman"/>
                <w:sz w:val="24"/>
                <w:szCs w:val="24"/>
              </w:rPr>
              <w:t>/work packages</w:t>
            </w:r>
            <w:r w:rsidR="00B5042B">
              <w:rPr>
                <w:rFonts w:ascii="Times New Roman" w:hAnsi="Times New Roman"/>
                <w:sz w:val="24"/>
                <w:szCs w:val="24"/>
              </w:rPr>
              <w:t xml:space="preserve"> that prove to be </w:t>
            </w:r>
            <w:r w:rsidR="001B50AC">
              <w:rPr>
                <w:rFonts w:ascii="Times New Roman" w:hAnsi="Times New Roman"/>
                <w:sz w:val="24"/>
                <w:szCs w:val="24"/>
              </w:rPr>
              <w:t xml:space="preserve">well prepared and </w:t>
            </w:r>
            <w:r w:rsidR="00B5042B">
              <w:rPr>
                <w:rFonts w:ascii="Times New Roman" w:hAnsi="Times New Roman"/>
                <w:sz w:val="24"/>
                <w:szCs w:val="24"/>
              </w:rPr>
              <w:t xml:space="preserve">mature enough </w:t>
            </w:r>
            <w:r w:rsidR="0072199B">
              <w:rPr>
                <w:rFonts w:ascii="Times New Roman" w:hAnsi="Times New Roman"/>
                <w:sz w:val="24"/>
                <w:szCs w:val="24"/>
              </w:rPr>
              <w:t xml:space="preserve">to effectively absorb the CEF funds allocated in the given timeframe. </w:t>
            </w:r>
            <w:r w:rsidR="00E4384E">
              <w:rPr>
                <w:rFonts w:ascii="Times New Roman" w:hAnsi="Times New Roman"/>
                <w:sz w:val="24"/>
                <w:szCs w:val="24"/>
              </w:rPr>
              <w:t xml:space="preserve">A new provision for </w:t>
            </w:r>
            <w:r w:rsidR="00AF51B5">
              <w:rPr>
                <w:rFonts w:ascii="Times New Roman" w:hAnsi="Times New Roman"/>
                <w:sz w:val="24"/>
                <w:szCs w:val="24"/>
              </w:rPr>
              <w:t>‘</w:t>
            </w:r>
            <w:r w:rsidR="00E4384E">
              <w:rPr>
                <w:rFonts w:ascii="Times New Roman" w:hAnsi="Times New Roman"/>
                <w:sz w:val="24"/>
                <w:szCs w:val="24"/>
              </w:rPr>
              <w:t>global projects</w:t>
            </w:r>
            <w:r w:rsidR="00AF51B5">
              <w:rPr>
                <w:rFonts w:ascii="Times New Roman" w:hAnsi="Times New Roman"/>
                <w:sz w:val="24"/>
                <w:szCs w:val="24"/>
              </w:rPr>
              <w:t>’</w:t>
            </w:r>
            <w:r w:rsidR="00E4384E">
              <w:rPr>
                <w:rFonts w:ascii="Times New Roman" w:hAnsi="Times New Roman"/>
                <w:sz w:val="24"/>
                <w:szCs w:val="24"/>
              </w:rPr>
              <w:t xml:space="preserve"> should </w:t>
            </w:r>
            <w:r w:rsidR="00153FCA">
              <w:rPr>
                <w:rFonts w:ascii="Times New Roman" w:hAnsi="Times New Roman"/>
                <w:sz w:val="24"/>
                <w:szCs w:val="24"/>
              </w:rPr>
              <w:t>help</w:t>
            </w:r>
            <w:r w:rsidR="00E4384E">
              <w:rPr>
                <w:rFonts w:ascii="Times New Roman" w:hAnsi="Times New Roman"/>
                <w:sz w:val="24"/>
                <w:szCs w:val="24"/>
              </w:rPr>
              <w:t xml:space="preserve"> the</w:t>
            </w:r>
            <w:r w:rsidR="006924D1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r w:rsidR="00E53146">
              <w:rPr>
                <w:rFonts w:ascii="Times New Roman" w:hAnsi="Times New Roman"/>
                <w:sz w:val="24"/>
                <w:szCs w:val="24"/>
              </w:rPr>
              <w:t>large</w:t>
            </w:r>
            <w:r w:rsidR="006924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84E">
              <w:rPr>
                <w:rFonts w:ascii="Times New Roman" w:hAnsi="Times New Roman"/>
                <w:sz w:val="24"/>
                <w:szCs w:val="24"/>
              </w:rPr>
              <w:t xml:space="preserve">projects </w:t>
            </w:r>
            <w:r w:rsidR="006924D1">
              <w:rPr>
                <w:rFonts w:ascii="Times New Roman" w:hAnsi="Times New Roman"/>
                <w:sz w:val="24"/>
                <w:szCs w:val="24"/>
              </w:rPr>
              <w:t xml:space="preserve">having several grant agreements to shift funds between those </w:t>
            </w:r>
            <w:r w:rsidR="00153FCA">
              <w:rPr>
                <w:rFonts w:ascii="Times New Roman" w:hAnsi="Times New Roman"/>
                <w:sz w:val="24"/>
                <w:szCs w:val="24"/>
              </w:rPr>
              <w:t xml:space="preserve">grant </w:t>
            </w:r>
            <w:r w:rsidR="006924D1">
              <w:rPr>
                <w:rFonts w:ascii="Times New Roman" w:hAnsi="Times New Roman"/>
                <w:sz w:val="24"/>
                <w:szCs w:val="24"/>
              </w:rPr>
              <w:t>agreements.</w:t>
            </w:r>
          </w:p>
          <w:p w14:paraId="34B4FAC6" w14:textId="19C5DAD9" w:rsidR="00C85D22" w:rsidRDefault="006042B2" w:rsidP="005F6553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D22">
              <w:rPr>
                <w:rFonts w:ascii="Times New Roman" w:hAnsi="Times New Roman"/>
                <w:b/>
                <w:bCs/>
                <w:sz w:val="24"/>
                <w:szCs w:val="24"/>
              </w:rPr>
              <w:t>Point 1.1</w:t>
            </w:r>
            <w:r w:rsidR="001F6C0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85D2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According to the Commission proposal</w:t>
            </w:r>
            <w:r w:rsidR="00B651F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safe and secure parking</w:t>
            </w:r>
            <w:r w:rsidR="005B52C9">
              <w:rPr>
                <w:rFonts w:ascii="Times New Roman" w:hAnsi="Times New Roman"/>
                <w:sz w:val="24"/>
                <w:szCs w:val="24"/>
              </w:rPr>
              <w:t xml:space="preserve"> area</w:t>
            </w:r>
            <w:r w:rsidR="003F1735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can still be supported </w:t>
            </w:r>
            <w:r w:rsidR="001B2366">
              <w:rPr>
                <w:rFonts w:ascii="Times New Roman" w:hAnsi="Times New Roman"/>
                <w:sz w:val="24"/>
                <w:szCs w:val="24"/>
              </w:rPr>
              <w:t xml:space="preserve">by the future CEF </w:t>
            </w:r>
            <w:r w:rsidR="003F1735">
              <w:rPr>
                <w:rFonts w:ascii="Times New Roman" w:hAnsi="Times New Roman"/>
                <w:sz w:val="24"/>
                <w:szCs w:val="24"/>
              </w:rPr>
              <w:t xml:space="preserve">since the </w:t>
            </w:r>
            <w:r w:rsidR="001B2366">
              <w:rPr>
                <w:rFonts w:ascii="Times New Roman" w:hAnsi="Times New Roman"/>
                <w:sz w:val="24"/>
                <w:szCs w:val="24"/>
              </w:rPr>
              <w:t xml:space="preserve">objective </w:t>
            </w:r>
            <w:r w:rsidR="00B22260">
              <w:rPr>
                <w:rFonts w:ascii="Times New Roman" w:hAnsi="Times New Roman"/>
                <w:sz w:val="24"/>
                <w:szCs w:val="24"/>
              </w:rPr>
              <w:t>for transport includes</w:t>
            </w:r>
            <w:r w:rsidR="00651F13">
              <w:rPr>
                <w:rFonts w:ascii="Times New Roman" w:hAnsi="Times New Roman"/>
                <w:sz w:val="24"/>
                <w:szCs w:val="24"/>
              </w:rPr>
              <w:t xml:space="preserve"> investments in a </w:t>
            </w:r>
            <w:r w:rsidR="00AF51B5">
              <w:rPr>
                <w:rFonts w:ascii="Times New Roman" w:hAnsi="Times New Roman"/>
                <w:sz w:val="24"/>
                <w:szCs w:val="24"/>
              </w:rPr>
              <w:t>‘</w:t>
            </w:r>
            <w:r w:rsidR="00B22260">
              <w:rPr>
                <w:rFonts w:ascii="Times New Roman" w:hAnsi="Times New Roman"/>
                <w:sz w:val="24"/>
                <w:szCs w:val="24"/>
              </w:rPr>
              <w:t>safe</w:t>
            </w:r>
            <w:r w:rsidR="00AF51B5">
              <w:rPr>
                <w:rFonts w:ascii="Times New Roman" w:hAnsi="Times New Roman"/>
                <w:sz w:val="24"/>
                <w:szCs w:val="24"/>
              </w:rPr>
              <w:t>’</w:t>
            </w:r>
            <w:r w:rsidR="00B22260">
              <w:rPr>
                <w:rFonts w:ascii="Times New Roman" w:hAnsi="Times New Roman"/>
                <w:sz w:val="24"/>
                <w:szCs w:val="24"/>
              </w:rPr>
              <w:t xml:space="preserve"> TEN-T network.</w:t>
            </w:r>
          </w:p>
          <w:p w14:paraId="30D14481" w14:textId="1475B84E" w:rsidR="0049246C" w:rsidRPr="00DD7168" w:rsidRDefault="00C85D22" w:rsidP="00DD7168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D22">
              <w:rPr>
                <w:rFonts w:ascii="Times New Roman" w:hAnsi="Times New Roman"/>
                <w:b/>
                <w:bCs/>
                <w:sz w:val="24"/>
                <w:szCs w:val="24"/>
              </w:rPr>
              <w:t>Point 1.14: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70FE">
              <w:rPr>
                <w:rFonts w:ascii="Times New Roman" w:hAnsi="Times New Roman"/>
                <w:sz w:val="24"/>
                <w:szCs w:val="24"/>
              </w:rPr>
              <w:t xml:space="preserve">In line with the TEN-E Regulation, hydrogen projects are eligible for the PCI/PMI status and hence can apply for CEF </w:t>
            </w:r>
            <w:r w:rsidR="00356EF3">
              <w:rPr>
                <w:rFonts w:ascii="Times New Roman" w:hAnsi="Times New Roman"/>
                <w:sz w:val="24"/>
                <w:szCs w:val="24"/>
              </w:rPr>
              <w:t xml:space="preserve">grant financing. </w:t>
            </w:r>
            <w:r w:rsidR="0072140F">
              <w:rPr>
                <w:rFonts w:ascii="Times New Roman" w:hAnsi="Times New Roman"/>
                <w:sz w:val="24"/>
                <w:szCs w:val="24"/>
              </w:rPr>
              <w:t xml:space="preserve">This notably includes hydrogen storage projects. </w:t>
            </w:r>
            <w:r w:rsidR="00BA7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B31F071" w14:textId="77777777" w:rsidR="00077C4F" w:rsidRPr="00AF51B5" w:rsidRDefault="00077C4F" w:rsidP="00077C4F">
      <w:pPr>
        <w:rPr>
          <w:rFonts w:ascii="Times New Roman" w:hAnsi="Times New Roman"/>
          <w:sz w:val="2"/>
          <w:szCs w:val="2"/>
        </w:rPr>
      </w:pPr>
    </w:p>
    <w:sectPr w:rsidR="00077C4F" w:rsidRPr="00AF5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32A0D" w14:textId="77777777" w:rsidR="003645FC" w:rsidRDefault="003645FC" w:rsidP="00FF63EA">
      <w:pPr>
        <w:spacing w:after="0" w:line="240" w:lineRule="auto"/>
      </w:pPr>
      <w:r>
        <w:separator/>
      </w:r>
    </w:p>
  </w:endnote>
  <w:endnote w:type="continuationSeparator" w:id="0">
    <w:p w14:paraId="6DB64400" w14:textId="77777777" w:rsidR="003645FC" w:rsidRDefault="003645FC" w:rsidP="00FF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C23C" w14:textId="77777777" w:rsidR="003645FC" w:rsidRDefault="003645FC" w:rsidP="00FF63EA">
      <w:pPr>
        <w:spacing w:after="0" w:line="240" w:lineRule="auto"/>
      </w:pPr>
      <w:r>
        <w:separator/>
      </w:r>
    </w:p>
  </w:footnote>
  <w:footnote w:type="continuationSeparator" w:id="0">
    <w:p w14:paraId="1ACA2A39" w14:textId="77777777" w:rsidR="003645FC" w:rsidRDefault="003645FC" w:rsidP="00FF63EA">
      <w:pPr>
        <w:spacing w:after="0" w:line="240" w:lineRule="auto"/>
      </w:pPr>
      <w:r>
        <w:continuationSeparator/>
      </w:r>
    </w:p>
  </w:footnote>
  <w:footnote w:id="1">
    <w:p w14:paraId="00F5FD35" w14:textId="0AF8DD87" w:rsidR="00D15392" w:rsidRPr="007B2212" w:rsidRDefault="00D15392" w:rsidP="007B2212">
      <w:pPr>
        <w:pStyle w:val="FootnoteText"/>
        <w:widowControl w:val="0"/>
        <w:spacing w:after="0" w:line="240" w:lineRule="auto"/>
        <w:ind w:left="142" w:hanging="284"/>
        <w:jc w:val="both"/>
        <w:rPr>
          <w:rFonts w:ascii="Times New Roman" w:hAnsi="Times New Roman"/>
        </w:rPr>
      </w:pPr>
      <w:r w:rsidRPr="007B2212">
        <w:rPr>
          <w:rStyle w:val="FootnoteReference"/>
          <w:rFonts w:ascii="Times New Roman" w:hAnsi="Times New Roman"/>
        </w:rPr>
        <w:footnoteRef/>
      </w:r>
      <w:r w:rsidRPr="007B2212">
        <w:rPr>
          <w:rFonts w:ascii="Times New Roman" w:hAnsi="Times New Roman"/>
        </w:rPr>
        <w:t xml:space="preserve"> </w:t>
      </w:r>
      <w:r w:rsidRPr="007B2212">
        <w:rPr>
          <w:rFonts w:ascii="Times New Roman" w:hAnsi="Times New Roman"/>
        </w:rPr>
        <w:tab/>
        <w:t xml:space="preserve">Directive (EU) 2023/2413 of the European Parliament and of the Council of 18 October 2023 amending Directive (EU) 2018/2001, Regulation (EU) 2018/1999 and Directive 98/70/EC as regards the promotion of energy from renewable </w:t>
      </w:r>
      <w:r w:rsidR="00761844" w:rsidRPr="007B2212">
        <w:rPr>
          <w:rFonts w:ascii="Times New Roman" w:hAnsi="Times New Roman"/>
        </w:rPr>
        <w:t>sources and</w:t>
      </w:r>
      <w:r w:rsidRPr="007B2212">
        <w:rPr>
          <w:rFonts w:ascii="Times New Roman" w:hAnsi="Times New Roman"/>
        </w:rPr>
        <w:t xml:space="preserve"> repealing Council Directive (EU) 2015/652 (http://data.europa.eu/eli/dir/2023/2413/oj).</w:t>
      </w:r>
    </w:p>
  </w:footnote>
  <w:footnote w:id="2">
    <w:p w14:paraId="5685973D" w14:textId="17D89B5F" w:rsidR="00D15392" w:rsidRPr="002428FE" w:rsidRDefault="00D15392" w:rsidP="007B2212">
      <w:pPr>
        <w:pStyle w:val="FootnoteText"/>
        <w:widowControl w:val="0"/>
        <w:spacing w:after="0" w:line="240" w:lineRule="auto"/>
        <w:ind w:left="142" w:hanging="284"/>
        <w:jc w:val="both"/>
        <w:rPr>
          <w:rFonts w:ascii="Times New Roman" w:hAnsi="Times New Roman"/>
          <w:lang w:val="en"/>
        </w:rPr>
      </w:pPr>
      <w:r w:rsidRPr="007B2212">
        <w:rPr>
          <w:rStyle w:val="FootnoteReference"/>
          <w:rFonts w:ascii="Times New Roman" w:hAnsi="Times New Roman"/>
        </w:rPr>
        <w:footnoteRef/>
      </w:r>
      <w:r w:rsidRPr="007B2212">
        <w:rPr>
          <w:rFonts w:ascii="Times New Roman" w:hAnsi="Times New Roman"/>
        </w:rPr>
        <w:t xml:space="preserve"> </w:t>
      </w:r>
      <w:r w:rsidRPr="007B2212">
        <w:rPr>
          <w:rFonts w:ascii="Times New Roman" w:hAnsi="Times New Roman"/>
        </w:rPr>
        <w:tab/>
        <w:t>Regulation (EU) 2022/869 of the European Parliament and of the Council of 30 May 2022 on guidelines for trans-European energy infrastructure, amending Regulations (EC) No 715/2009, (EU) 2019/942 and (EU) 2019/943 and Directives 2009/73/EC and (EU) 2019/944, and repealing Regulation (EU) No 347/2013 (</w:t>
      </w:r>
      <w:hyperlink r:id="rId1" w:tooltip="Gives access to this document through its ELI URI." w:history="1">
        <w:r w:rsidRPr="007B2212">
          <w:rPr>
            <w:rStyle w:val="Hyperlink"/>
            <w:rFonts w:ascii="Times New Roman" w:hAnsi="Times New Roman"/>
            <w:lang w:val="en"/>
          </w:rPr>
          <w:t>http://data.europa.eu/eli/reg/2022/869/oj</w:t>
        </w:r>
      </w:hyperlink>
      <w:r w:rsidRPr="007B2212">
        <w:rPr>
          <w:rFonts w:ascii="Times New Roman" w:hAnsi="Times New Roman"/>
          <w:lang w:val="en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626"/>
    <w:multiLevelType w:val="hybridMultilevel"/>
    <w:tmpl w:val="167E1E8A"/>
    <w:lvl w:ilvl="0" w:tplc="1F961EDC">
      <w:start w:val="1"/>
      <w:numFmt w:val="bullet"/>
      <w:pStyle w:val="Briefinglis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C410F"/>
    <w:multiLevelType w:val="hybridMultilevel"/>
    <w:tmpl w:val="283A7EFA"/>
    <w:lvl w:ilvl="0" w:tplc="6E32E8C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720D9"/>
    <w:multiLevelType w:val="hybridMultilevel"/>
    <w:tmpl w:val="D4A8EC0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292D9A"/>
    <w:multiLevelType w:val="hybridMultilevel"/>
    <w:tmpl w:val="7DC451C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8F0182"/>
    <w:multiLevelType w:val="hybridMultilevel"/>
    <w:tmpl w:val="1DEC25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1557A"/>
    <w:multiLevelType w:val="hybridMultilevel"/>
    <w:tmpl w:val="24624CF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416463">
    <w:abstractNumId w:val="4"/>
  </w:num>
  <w:num w:numId="2" w16cid:durableId="607930313">
    <w:abstractNumId w:val="2"/>
  </w:num>
  <w:num w:numId="3" w16cid:durableId="1816020039">
    <w:abstractNumId w:val="5"/>
  </w:num>
  <w:num w:numId="4" w16cid:durableId="2013987749">
    <w:abstractNumId w:val="0"/>
  </w:num>
  <w:num w:numId="5" w16cid:durableId="1018502049">
    <w:abstractNumId w:val="3"/>
  </w:num>
  <w:num w:numId="6" w16cid:durableId="128754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77C4F"/>
    <w:rsid w:val="00003D68"/>
    <w:rsid w:val="000102AE"/>
    <w:rsid w:val="00012A37"/>
    <w:rsid w:val="0001382D"/>
    <w:rsid w:val="00013BB6"/>
    <w:rsid w:val="00023A0A"/>
    <w:rsid w:val="00024198"/>
    <w:rsid w:val="000268F6"/>
    <w:rsid w:val="00027283"/>
    <w:rsid w:val="0003499B"/>
    <w:rsid w:val="000422C2"/>
    <w:rsid w:val="000423A5"/>
    <w:rsid w:val="00042F9D"/>
    <w:rsid w:val="00044AE3"/>
    <w:rsid w:val="00046B15"/>
    <w:rsid w:val="00050DC7"/>
    <w:rsid w:val="000546F0"/>
    <w:rsid w:val="0005723C"/>
    <w:rsid w:val="0006019F"/>
    <w:rsid w:val="00061940"/>
    <w:rsid w:val="000625FC"/>
    <w:rsid w:val="00065015"/>
    <w:rsid w:val="0006A597"/>
    <w:rsid w:val="000712F5"/>
    <w:rsid w:val="0007340D"/>
    <w:rsid w:val="00076109"/>
    <w:rsid w:val="00077C4F"/>
    <w:rsid w:val="00087534"/>
    <w:rsid w:val="00094AA0"/>
    <w:rsid w:val="00097DF1"/>
    <w:rsid w:val="000A2251"/>
    <w:rsid w:val="000A3E76"/>
    <w:rsid w:val="000A672A"/>
    <w:rsid w:val="000A705B"/>
    <w:rsid w:val="000B470B"/>
    <w:rsid w:val="000B4D56"/>
    <w:rsid w:val="000B7CBB"/>
    <w:rsid w:val="000C1506"/>
    <w:rsid w:val="000C43AD"/>
    <w:rsid w:val="000D0142"/>
    <w:rsid w:val="000D144A"/>
    <w:rsid w:val="000D25E4"/>
    <w:rsid w:val="000D4249"/>
    <w:rsid w:val="000D4274"/>
    <w:rsid w:val="000D4B4C"/>
    <w:rsid w:val="000E063F"/>
    <w:rsid w:val="000F42BB"/>
    <w:rsid w:val="000F5FD8"/>
    <w:rsid w:val="00103C56"/>
    <w:rsid w:val="001042AB"/>
    <w:rsid w:val="00105785"/>
    <w:rsid w:val="00106F42"/>
    <w:rsid w:val="001167C0"/>
    <w:rsid w:val="00117116"/>
    <w:rsid w:val="00117B37"/>
    <w:rsid w:val="001202C5"/>
    <w:rsid w:val="00122F95"/>
    <w:rsid w:val="001238A1"/>
    <w:rsid w:val="00124376"/>
    <w:rsid w:val="001273DC"/>
    <w:rsid w:val="0013060A"/>
    <w:rsid w:val="00130C96"/>
    <w:rsid w:val="00134792"/>
    <w:rsid w:val="00134F99"/>
    <w:rsid w:val="00135C2A"/>
    <w:rsid w:val="00136AB9"/>
    <w:rsid w:val="00136ED5"/>
    <w:rsid w:val="00143F77"/>
    <w:rsid w:val="00145F8B"/>
    <w:rsid w:val="00150B9E"/>
    <w:rsid w:val="00153FCA"/>
    <w:rsid w:val="001548F2"/>
    <w:rsid w:val="00170F48"/>
    <w:rsid w:val="00171BCE"/>
    <w:rsid w:val="00185BB6"/>
    <w:rsid w:val="00186A8B"/>
    <w:rsid w:val="00187C20"/>
    <w:rsid w:val="00190210"/>
    <w:rsid w:val="00191033"/>
    <w:rsid w:val="00197382"/>
    <w:rsid w:val="001A37C9"/>
    <w:rsid w:val="001A47D0"/>
    <w:rsid w:val="001B01BF"/>
    <w:rsid w:val="001B0E0B"/>
    <w:rsid w:val="001B2366"/>
    <w:rsid w:val="001B252F"/>
    <w:rsid w:val="001B2A5E"/>
    <w:rsid w:val="001B380A"/>
    <w:rsid w:val="001B50AC"/>
    <w:rsid w:val="001B6E13"/>
    <w:rsid w:val="001C06F8"/>
    <w:rsid w:val="001C2E6C"/>
    <w:rsid w:val="001C4138"/>
    <w:rsid w:val="001C447A"/>
    <w:rsid w:val="001D0520"/>
    <w:rsid w:val="001D4469"/>
    <w:rsid w:val="001E101E"/>
    <w:rsid w:val="001E240C"/>
    <w:rsid w:val="001E57EC"/>
    <w:rsid w:val="001E626D"/>
    <w:rsid w:val="001E6734"/>
    <w:rsid w:val="001F2EC6"/>
    <w:rsid w:val="001F565F"/>
    <w:rsid w:val="001F65D0"/>
    <w:rsid w:val="001F6C01"/>
    <w:rsid w:val="002000CD"/>
    <w:rsid w:val="00203B7F"/>
    <w:rsid w:val="00213537"/>
    <w:rsid w:val="002166D8"/>
    <w:rsid w:val="00217E59"/>
    <w:rsid w:val="002201D1"/>
    <w:rsid w:val="002227CA"/>
    <w:rsid w:val="0022515B"/>
    <w:rsid w:val="00227C9B"/>
    <w:rsid w:val="00230826"/>
    <w:rsid w:val="0023171F"/>
    <w:rsid w:val="00231D54"/>
    <w:rsid w:val="00232574"/>
    <w:rsid w:val="0023275E"/>
    <w:rsid w:val="00233E5B"/>
    <w:rsid w:val="00237CAA"/>
    <w:rsid w:val="00240336"/>
    <w:rsid w:val="002428FE"/>
    <w:rsid w:val="00242B52"/>
    <w:rsid w:val="0024574A"/>
    <w:rsid w:val="00247FC2"/>
    <w:rsid w:val="002576B4"/>
    <w:rsid w:val="002623F5"/>
    <w:rsid w:val="00263ADD"/>
    <w:rsid w:val="00264B97"/>
    <w:rsid w:val="00267804"/>
    <w:rsid w:val="0028433C"/>
    <w:rsid w:val="00284D5A"/>
    <w:rsid w:val="0028677C"/>
    <w:rsid w:val="00294A3F"/>
    <w:rsid w:val="002A248D"/>
    <w:rsid w:val="002A3B05"/>
    <w:rsid w:val="002B0992"/>
    <w:rsid w:val="002B2945"/>
    <w:rsid w:val="002B46A3"/>
    <w:rsid w:val="002C107A"/>
    <w:rsid w:val="002C21C6"/>
    <w:rsid w:val="002C46DF"/>
    <w:rsid w:val="002C607A"/>
    <w:rsid w:val="002D6F01"/>
    <w:rsid w:val="002E3697"/>
    <w:rsid w:val="002E450A"/>
    <w:rsid w:val="002E6E84"/>
    <w:rsid w:val="002F03FA"/>
    <w:rsid w:val="003004D2"/>
    <w:rsid w:val="00302CB7"/>
    <w:rsid w:val="00306F5D"/>
    <w:rsid w:val="00310026"/>
    <w:rsid w:val="0031074A"/>
    <w:rsid w:val="00311DC4"/>
    <w:rsid w:val="0031538C"/>
    <w:rsid w:val="0031770C"/>
    <w:rsid w:val="003229BC"/>
    <w:rsid w:val="003261E1"/>
    <w:rsid w:val="00327845"/>
    <w:rsid w:val="003349A3"/>
    <w:rsid w:val="00335330"/>
    <w:rsid w:val="00337DCE"/>
    <w:rsid w:val="00340182"/>
    <w:rsid w:val="003461FE"/>
    <w:rsid w:val="00350745"/>
    <w:rsid w:val="00356EF3"/>
    <w:rsid w:val="003615D9"/>
    <w:rsid w:val="003645FC"/>
    <w:rsid w:val="00365CC8"/>
    <w:rsid w:val="00370DAD"/>
    <w:rsid w:val="00377967"/>
    <w:rsid w:val="00381CA6"/>
    <w:rsid w:val="00386143"/>
    <w:rsid w:val="0038778C"/>
    <w:rsid w:val="00394421"/>
    <w:rsid w:val="003A0B15"/>
    <w:rsid w:val="003A24EA"/>
    <w:rsid w:val="003A6BD1"/>
    <w:rsid w:val="003B000F"/>
    <w:rsid w:val="003B27F2"/>
    <w:rsid w:val="003B3BD3"/>
    <w:rsid w:val="003B58DC"/>
    <w:rsid w:val="003C18A5"/>
    <w:rsid w:val="003C1C16"/>
    <w:rsid w:val="003C1EA8"/>
    <w:rsid w:val="003C33A3"/>
    <w:rsid w:val="003C5DEB"/>
    <w:rsid w:val="003C78B7"/>
    <w:rsid w:val="003D1817"/>
    <w:rsid w:val="003D4139"/>
    <w:rsid w:val="003D6B95"/>
    <w:rsid w:val="003E10A2"/>
    <w:rsid w:val="003E1E62"/>
    <w:rsid w:val="003E4D95"/>
    <w:rsid w:val="003E5792"/>
    <w:rsid w:val="003E7A3F"/>
    <w:rsid w:val="003F1735"/>
    <w:rsid w:val="003F2F4F"/>
    <w:rsid w:val="003F385E"/>
    <w:rsid w:val="003F4E0D"/>
    <w:rsid w:val="003F65BD"/>
    <w:rsid w:val="003F686E"/>
    <w:rsid w:val="0040147A"/>
    <w:rsid w:val="00401A41"/>
    <w:rsid w:val="00404B81"/>
    <w:rsid w:val="004054FB"/>
    <w:rsid w:val="004071BF"/>
    <w:rsid w:val="0041230A"/>
    <w:rsid w:val="00412ADA"/>
    <w:rsid w:val="00415754"/>
    <w:rsid w:val="00416FC1"/>
    <w:rsid w:val="0041754E"/>
    <w:rsid w:val="004272DE"/>
    <w:rsid w:val="004279DE"/>
    <w:rsid w:val="00435BEF"/>
    <w:rsid w:val="00441553"/>
    <w:rsid w:val="00442552"/>
    <w:rsid w:val="00447428"/>
    <w:rsid w:val="00450F2A"/>
    <w:rsid w:val="004546EA"/>
    <w:rsid w:val="004556AA"/>
    <w:rsid w:val="00455A1C"/>
    <w:rsid w:val="004612E2"/>
    <w:rsid w:val="00466E3A"/>
    <w:rsid w:val="004675B5"/>
    <w:rsid w:val="00471ABC"/>
    <w:rsid w:val="00473DB2"/>
    <w:rsid w:val="004770D6"/>
    <w:rsid w:val="004828A4"/>
    <w:rsid w:val="0049091E"/>
    <w:rsid w:val="0049246C"/>
    <w:rsid w:val="0049438E"/>
    <w:rsid w:val="004948AD"/>
    <w:rsid w:val="00496EAF"/>
    <w:rsid w:val="004A3A4D"/>
    <w:rsid w:val="004B5556"/>
    <w:rsid w:val="004B7A9D"/>
    <w:rsid w:val="004C0999"/>
    <w:rsid w:val="004C2354"/>
    <w:rsid w:val="004D0704"/>
    <w:rsid w:val="004D2F49"/>
    <w:rsid w:val="004E048E"/>
    <w:rsid w:val="004E531E"/>
    <w:rsid w:val="004F5FED"/>
    <w:rsid w:val="004F6117"/>
    <w:rsid w:val="004F63F1"/>
    <w:rsid w:val="004F651E"/>
    <w:rsid w:val="00506BFB"/>
    <w:rsid w:val="00510D99"/>
    <w:rsid w:val="005234AE"/>
    <w:rsid w:val="00524D74"/>
    <w:rsid w:val="0052596B"/>
    <w:rsid w:val="00525EC2"/>
    <w:rsid w:val="005406FE"/>
    <w:rsid w:val="00541098"/>
    <w:rsid w:val="00544A1E"/>
    <w:rsid w:val="005516BE"/>
    <w:rsid w:val="00554286"/>
    <w:rsid w:val="00554D8D"/>
    <w:rsid w:val="00555059"/>
    <w:rsid w:val="00557B06"/>
    <w:rsid w:val="00557B3E"/>
    <w:rsid w:val="00557F12"/>
    <w:rsid w:val="00561594"/>
    <w:rsid w:val="00565DD9"/>
    <w:rsid w:val="00567F3A"/>
    <w:rsid w:val="00573436"/>
    <w:rsid w:val="00573835"/>
    <w:rsid w:val="005757ED"/>
    <w:rsid w:val="00581306"/>
    <w:rsid w:val="00587169"/>
    <w:rsid w:val="005A0EB7"/>
    <w:rsid w:val="005A1176"/>
    <w:rsid w:val="005A16BA"/>
    <w:rsid w:val="005A2C0D"/>
    <w:rsid w:val="005A3DCA"/>
    <w:rsid w:val="005A6C73"/>
    <w:rsid w:val="005B52C9"/>
    <w:rsid w:val="005C2985"/>
    <w:rsid w:val="005C3105"/>
    <w:rsid w:val="005C6D02"/>
    <w:rsid w:val="005D1567"/>
    <w:rsid w:val="005D4293"/>
    <w:rsid w:val="005D77E9"/>
    <w:rsid w:val="005E0192"/>
    <w:rsid w:val="005E2138"/>
    <w:rsid w:val="005E2BFA"/>
    <w:rsid w:val="005E2CCE"/>
    <w:rsid w:val="005E39C4"/>
    <w:rsid w:val="005E768D"/>
    <w:rsid w:val="005F0236"/>
    <w:rsid w:val="005F15BF"/>
    <w:rsid w:val="005F6553"/>
    <w:rsid w:val="0060147D"/>
    <w:rsid w:val="00603F35"/>
    <w:rsid w:val="006042B2"/>
    <w:rsid w:val="0060765D"/>
    <w:rsid w:val="0061050A"/>
    <w:rsid w:val="0061093D"/>
    <w:rsid w:val="0063050E"/>
    <w:rsid w:val="00630747"/>
    <w:rsid w:val="0064152F"/>
    <w:rsid w:val="006442C9"/>
    <w:rsid w:val="00650554"/>
    <w:rsid w:val="00651F13"/>
    <w:rsid w:val="00653567"/>
    <w:rsid w:val="006551F0"/>
    <w:rsid w:val="00657306"/>
    <w:rsid w:val="00657DCC"/>
    <w:rsid w:val="00660A9E"/>
    <w:rsid w:val="0066145D"/>
    <w:rsid w:val="006631E4"/>
    <w:rsid w:val="00664E62"/>
    <w:rsid w:val="00666537"/>
    <w:rsid w:val="00666D0D"/>
    <w:rsid w:val="00666FB9"/>
    <w:rsid w:val="006700C5"/>
    <w:rsid w:val="00670D33"/>
    <w:rsid w:val="00671285"/>
    <w:rsid w:val="006761E8"/>
    <w:rsid w:val="00684758"/>
    <w:rsid w:val="00686437"/>
    <w:rsid w:val="006924D1"/>
    <w:rsid w:val="00692C2F"/>
    <w:rsid w:val="00693029"/>
    <w:rsid w:val="00695797"/>
    <w:rsid w:val="00696A5E"/>
    <w:rsid w:val="006A1550"/>
    <w:rsid w:val="006A2C8C"/>
    <w:rsid w:val="006A30D3"/>
    <w:rsid w:val="006A3502"/>
    <w:rsid w:val="006B19D4"/>
    <w:rsid w:val="006B3B69"/>
    <w:rsid w:val="006B4D8F"/>
    <w:rsid w:val="006B6D87"/>
    <w:rsid w:val="006B6DA6"/>
    <w:rsid w:val="006C1C03"/>
    <w:rsid w:val="006C739D"/>
    <w:rsid w:val="006D2581"/>
    <w:rsid w:val="006D324C"/>
    <w:rsid w:val="006D3E86"/>
    <w:rsid w:val="006D4FC1"/>
    <w:rsid w:val="006D597B"/>
    <w:rsid w:val="006E07E6"/>
    <w:rsid w:val="006F17B7"/>
    <w:rsid w:val="006F4B74"/>
    <w:rsid w:val="006F7777"/>
    <w:rsid w:val="006F7C67"/>
    <w:rsid w:val="0070210F"/>
    <w:rsid w:val="00702E72"/>
    <w:rsid w:val="00703730"/>
    <w:rsid w:val="00707A97"/>
    <w:rsid w:val="00717035"/>
    <w:rsid w:val="0072140F"/>
    <w:rsid w:val="0072199B"/>
    <w:rsid w:val="0072205C"/>
    <w:rsid w:val="00722F13"/>
    <w:rsid w:val="00725992"/>
    <w:rsid w:val="00730601"/>
    <w:rsid w:val="00732DAC"/>
    <w:rsid w:val="00734613"/>
    <w:rsid w:val="00734A81"/>
    <w:rsid w:val="00735144"/>
    <w:rsid w:val="0073527C"/>
    <w:rsid w:val="00740DBB"/>
    <w:rsid w:val="00741AC7"/>
    <w:rsid w:val="00745038"/>
    <w:rsid w:val="007454D1"/>
    <w:rsid w:val="00751774"/>
    <w:rsid w:val="00751910"/>
    <w:rsid w:val="00751E60"/>
    <w:rsid w:val="00753321"/>
    <w:rsid w:val="007547B5"/>
    <w:rsid w:val="00754CF0"/>
    <w:rsid w:val="00756F4B"/>
    <w:rsid w:val="0075759D"/>
    <w:rsid w:val="00761844"/>
    <w:rsid w:val="00763F15"/>
    <w:rsid w:val="0076650E"/>
    <w:rsid w:val="00767688"/>
    <w:rsid w:val="00770547"/>
    <w:rsid w:val="00770C1D"/>
    <w:rsid w:val="00774355"/>
    <w:rsid w:val="00774877"/>
    <w:rsid w:val="007813B5"/>
    <w:rsid w:val="00781E33"/>
    <w:rsid w:val="007853CD"/>
    <w:rsid w:val="00790B4C"/>
    <w:rsid w:val="00790F2E"/>
    <w:rsid w:val="00790FDA"/>
    <w:rsid w:val="00792022"/>
    <w:rsid w:val="00795A9E"/>
    <w:rsid w:val="00797DC4"/>
    <w:rsid w:val="007A606D"/>
    <w:rsid w:val="007A6D03"/>
    <w:rsid w:val="007A70E8"/>
    <w:rsid w:val="007B20B2"/>
    <w:rsid w:val="007B2212"/>
    <w:rsid w:val="007B24B2"/>
    <w:rsid w:val="007C2214"/>
    <w:rsid w:val="007D4439"/>
    <w:rsid w:val="007D4C59"/>
    <w:rsid w:val="007E0396"/>
    <w:rsid w:val="007E11C5"/>
    <w:rsid w:val="007E3242"/>
    <w:rsid w:val="007E67CB"/>
    <w:rsid w:val="007F1B02"/>
    <w:rsid w:val="007F27D5"/>
    <w:rsid w:val="007F3204"/>
    <w:rsid w:val="007F7C0B"/>
    <w:rsid w:val="00802CEE"/>
    <w:rsid w:val="00807B48"/>
    <w:rsid w:val="008115F6"/>
    <w:rsid w:val="00811F7F"/>
    <w:rsid w:val="008135CA"/>
    <w:rsid w:val="0081584F"/>
    <w:rsid w:val="008179E4"/>
    <w:rsid w:val="008231DA"/>
    <w:rsid w:val="00823210"/>
    <w:rsid w:val="0082520F"/>
    <w:rsid w:val="0083118C"/>
    <w:rsid w:val="0083211E"/>
    <w:rsid w:val="00841B2D"/>
    <w:rsid w:val="00844998"/>
    <w:rsid w:val="00847FEA"/>
    <w:rsid w:val="0085154B"/>
    <w:rsid w:val="00851CEF"/>
    <w:rsid w:val="00852025"/>
    <w:rsid w:val="00861BF0"/>
    <w:rsid w:val="008628F5"/>
    <w:rsid w:val="00865940"/>
    <w:rsid w:val="008703BF"/>
    <w:rsid w:val="00870953"/>
    <w:rsid w:val="00875470"/>
    <w:rsid w:val="00875C2B"/>
    <w:rsid w:val="00877ACA"/>
    <w:rsid w:val="008812AB"/>
    <w:rsid w:val="00884D1A"/>
    <w:rsid w:val="008911D1"/>
    <w:rsid w:val="008925CE"/>
    <w:rsid w:val="008937DE"/>
    <w:rsid w:val="008944F2"/>
    <w:rsid w:val="008A1C3D"/>
    <w:rsid w:val="008A206E"/>
    <w:rsid w:val="008A5F9D"/>
    <w:rsid w:val="008A7F46"/>
    <w:rsid w:val="008B2A42"/>
    <w:rsid w:val="008B2F64"/>
    <w:rsid w:val="008B4DED"/>
    <w:rsid w:val="008C34DF"/>
    <w:rsid w:val="008C4D41"/>
    <w:rsid w:val="008C50F3"/>
    <w:rsid w:val="008C51DA"/>
    <w:rsid w:val="008C5935"/>
    <w:rsid w:val="008E021E"/>
    <w:rsid w:val="008F092B"/>
    <w:rsid w:val="008F212F"/>
    <w:rsid w:val="008F2407"/>
    <w:rsid w:val="008F3232"/>
    <w:rsid w:val="008F504B"/>
    <w:rsid w:val="008F50FA"/>
    <w:rsid w:val="00905331"/>
    <w:rsid w:val="00910C35"/>
    <w:rsid w:val="00912433"/>
    <w:rsid w:val="00914041"/>
    <w:rsid w:val="00920FA1"/>
    <w:rsid w:val="00924D11"/>
    <w:rsid w:val="00934635"/>
    <w:rsid w:val="0093497A"/>
    <w:rsid w:val="00944D3D"/>
    <w:rsid w:val="00946D18"/>
    <w:rsid w:val="00947EBD"/>
    <w:rsid w:val="00950002"/>
    <w:rsid w:val="00953847"/>
    <w:rsid w:val="00954D7A"/>
    <w:rsid w:val="00960F53"/>
    <w:rsid w:val="00965463"/>
    <w:rsid w:val="009658F7"/>
    <w:rsid w:val="009662C9"/>
    <w:rsid w:val="00971A9E"/>
    <w:rsid w:val="00977A48"/>
    <w:rsid w:val="009802F5"/>
    <w:rsid w:val="00981F45"/>
    <w:rsid w:val="00982E12"/>
    <w:rsid w:val="00983775"/>
    <w:rsid w:val="00985034"/>
    <w:rsid w:val="00987B8D"/>
    <w:rsid w:val="00990D0F"/>
    <w:rsid w:val="00991906"/>
    <w:rsid w:val="009942A0"/>
    <w:rsid w:val="00994D12"/>
    <w:rsid w:val="009A4C7F"/>
    <w:rsid w:val="009A5C91"/>
    <w:rsid w:val="009A6286"/>
    <w:rsid w:val="009B128B"/>
    <w:rsid w:val="009B2EDE"/>
    <w:rsid w:val="009B38F9"/>
    <w:rsid w:val="009B3C36"/>
    <w:rsid w:val="009C2363"/>
    <w:rsid w:val="009C7C25"/>
    <w:rsid w:val="009D1C84"/>
    <w:rsid w:val="009E446B"/>
    <w:rsid w:val="009E6881"/>
    <w:rsid w:val="009F11DC"/>
    <w:rsid w:val="009F2D30"/>
    <w:rsid w:val="009F2D89"/>
    <w:rsid w:val="009F5141"/>
    <w:rsid w:val="009F5240"/>
    <w:rsid w:val="009F70D8"/>
    <w:rsid w:val="009F78D0"/>
    <w:rsid w:val="00A050D8"/>
    <w:rsid w:val="00A07612"/>
    <w:rsid w:val="00A10603"/>
    <w:rsid w:val="00A1138F"/>
    <w:rsid w:val="00A1319A"/>
    <w:rsid w:val="00A13892"/>
    <w:rsid w:val="00A16F07"/>
    <w:rsid w:val="00A20B6B"/>
    <w:rsid w:val="00A21D24"/>
    <w:rsid w:val="00A2242B"/>
    <w:rsid w:val="00A25425"/>
    <w:rsid w:val="00A3098B"/>
    <w:rsid w:val="00A33EB3"/>
    <w:rsid w:val="00A3431B"/>
    <w:rsid w:val="00A37716"/>
    <w:rsid w:val="00A40BE1"/>
    <w:rsid w:val="00A4202A"/>
    <w:rsid w:val="00A43FE7"/>
    <w:rsid w:val="00A44A0C"/>
    <w:rsid w:val="00A45688"/>
    <w:rsid w:val="00A46261"/>
    <w:rsid w:val="00A4734F"/>
    <w:rsid w:val="00A54492"/>
    <w:rsid w:val="00A54834"/>
    <w:rsid w:val="00A624A5"/>
    <w:rsid w:val="00A62C7B"/>
    <w:rsid w:val="00A6379E"/>
    <w:rsid w:val="00A641C4"/>
    <w:rsid w:val="00A648DE"/>
    <w:rsid w:val="00A67018"/>
    <w:rsid w:val="00A73627"/>
    <w:rsid w:val="00A74A6D"/>
    <w:rsid w:val="00A764D5"/>
    <w:rsid w:val="00A7709A"/>
    <w:rsid w:val="00A81CCC"/>
    <w:rsid w:val="00A83AA5"/>
    <w:rsid w:val="00A85D28"/>
    <w:rsid w:val="00A87682"/>
    <w:rsid w:val="00A9426E"/>
    <w:rsid w:val="00A96421"/>
    <w:rsid w:val="00AA0B82"/>
    <w:rsid w:val="00AA4644"/>
    <w:rsid w:val="00AB17F5"/>
    <w:rsid w:val="00AB30D6"/>
    <w:rsid w:val="00AB3B95"/>
    <w:rsid w:val="00AB6EE2"/>
    <w:rsid w:val="00AC7E8B"/>
    <w:rsid w:val="00AD2CC7"/>
    <w:rsid w:val="00AD3AA5"/>
    <w:rsid w:val="00AD3AB8"/>
    <w:rsid w:val="00AD7900"/>
    <w:rsid w:val="00AE0C9B"/>
    <w:rsid w:val="00AE1842"/>
    <w:rsid w:val="00AE2578"/>
    <w:rsid w:val="00AE3C7C"/>
    <w:rsid w:val="00AE6981"/>
    <w:rsid w:val="00AE753A"/>
    <w:rsid w:val="00AF51B5"/>
    <w:rsid w:val="00B03290"/>
    <w:rsid w:val="00B07B45"/>
    <w:rsid w:val="00B10FC0"/>
    <w:rsid w:val="00B11EE2"/>
    <w:rsid w:val="00B120F7"/>
    <w:rsid w:val="00B13090"/>
    <w:rsid w:val="00B14262"/>
    <w:rsid w:val="00B15130"/>
    <w:rsid w:val="00B16039"/>
    <w:rsid w:val="00B1682D"/>
    <w:rsid w:val="00B16966"/>
    <w:rsid w:val="00B173AA"/>
    <w:rsid w:val="00B22260"/>
    <w:rsid w:val="00B26973"/>
    <w:rsid w:val="00B31306"/>
    <w:rsid w:val="00B3429E"/>
    <w:rsid w:val="00B342EF"/>
    <w:rsid w:val="00B370F5"/>
    <w:rsid w:val="00B42814"/>
    <w:rsid w:val="00B42CBA"/>
    <w:rsid w:val="00B4358C"/>
    <w:rsid w:val="00B5042B"/>
    <w:rsid w:val="00B52630"/>
    <w:rsid w:val="00B55367"/>
    <w:rsid w:val="00B60800"/>
    <w:rsid w:val="00B651F8"/>
    <w:rsid w:val="00B67FA4"/>
    <w:rsid w:val="00B72057"/>
    <w:rsid w:val="00B77879"/>
    <w:rsid w:val="00B83936"/>
    <w:rsid w:val="00B84D26"/>
    <w:rsid w:val="00B85090"/>
    <w:rsid w:val="00B874A6"/>
    <w:rsid w:val="00B90E88"/>
    <w:rsid w:val="00B937C2"/>
    <w:rsid w:val="00B96758"/>
    <w:rsid w:val="00BA28F8"/>
    <w:rsid w:val="00BA4641"/>
    <w:rsid w:val="00BA70FE"/>
    <w:rsid w:val="00BB1156"/>
    <w:rsid w:val="00BB1ADC"/>
    <w:rsid w:val="00BB1E90"/>
    <w:rsid w:val="00BB45E7"/>
    <w:rsid w:val="00BB49D8"/>
    <w:rsid w:val="00BB539F"/>
    <w:rsid w:val="00BB607F"/>
    <w:rsid w:val="00BB7F10"/>
    <w:rsid w:val="00BC24E2"/>
    <w:rsid w:val="00BC2E33"/>
    <w:rsid w:val="00BD49A2"/>
    <w:rsid w:val="00BD6EB7"/>
    <w:rsid w:val="00BD7018"/>
    <w:rsid w:val="00BE4EE5"/>
    <w:rsid w:val="00BE5345"/>
    <w:rsid w:val="00BE706E"/>
    <w:rsid w:val="00BF4E4A"/>
    <w:rsid w:val="00BF7459"/>
    <w:rsid w:val="00BF7AA9"/>
    <w:rsid w:val="00C01950"/>
    <w:rsid w:val="00C02282"/>
    <w:rsid w:val="00C026DE"/>
    <w:rsid w:val="00C03F2D"/>
    <w:rsid w:val="00C043C9"/>
    <w:rsid w:val="00C11AB7"/>
    <w:rsid w:val="00C1284C"/>
    <w:rsid w:val="00C14F36"/>
    <w:rsid w:val="00C16A48"/>
    <w:rsid w:val="00C21ADB"/>
    <w:rsid w:val="00C259C2"/>
    <w:rsid w:val="00C27511"/>
    <w:rsid w:val="00C335CB"/>
    <w:rsid w:val="00C353B5"/>
    <w:rsid w:val="00C3749D"/>
    <w:rsid w:val="00C51119"/>
    <w:rsid w:val="00C519BA"/>
    <w:rsid w:val="00C54D27"/>
    <w:rsid w:val="00C6206E"/>
    <w:rsid w:val="00C6232E"/>
    <w:rsid w:val="00C629BC"/>
    <w:rsid w:val="00C723D0"/>
    <w:rsid w:val="00C7322D"/>
    <w:rsid w:val="00C76EEB"/>
    <w:rsid w:val="00C853D6"/>
    <w:rsid w:val="00C85D22"/>
    <w:rsid w:val="00C871C3"/>
    <w:rsid w:val="00C9053B"/>
    <w:rsid w:val="00C90E1C"/>
    <w:rsid w:val="00C96B4F"/>
    <w:rsid w:val="00C978A9"/>
    <w:rsid w:val="00CA3B96"/>
    <w:rsid w:val="00CB42D2"/>
    <w:rsid w:val="00CB56E9"/>
    <w:rsid w:val="00CB5859"/>
    <w:rsid w:val="00CC081D"/>
    <w:rsid w:val="00CC315F"/>
    <w:rsid w:val="00CC6008"/>
    <w:rsid w:val="00CD023F"/>
    <w:rsid w:val="00CD1E8F"/>
    <w:rsid w:val="00CD652A"/>
    <w:rsid w:val="00CE15BD"/>
    <w:rsid w:val="00CE2BE2"/>
    <w:rsid w:val="00CE38CE"/>
    <w:rsid w:val="00CF38BE"/>
    <w:rsid w:val="00CF51B0"/>
    <w:rsid w:val="00D009BB"/>
    <w:rsid w:val="00D00E3A"/>
    <w:rsid w:val="00D01F5A"/>
    <w:rsid w:val="00D02011"/>
    <w:rsid w:val="00D10E58"/>
    <w:rsid w:val="00D15392"/>
    <w:rsid w:val="00D1716E"/>
    <w:rsid w:val="00D17447"/>
    <w:rsid w:val="00D214C2"/>
    <w:rsid w:val="00D21562"/>
    <w:rsid w:val="00D238C1"/>
    <w:rsid w:val="00D264F6"/>
    <w:rsid w:val="00D26ED3"/>
    <w:rsid w:val="00D27547"/>
    <w:rsid w:val="00D311E0"/>
    <w:rsid w:val="00D35AFB"/>
    <w:rsid w:val="00D44B1C"/>
    <w:rsid w:val="00D514EA"/>
    <w:rsid w:val="00D62342"/>
    <w:rsid w:val="00D63F24"/>
    <w:rsid w:val="00D64E05"/>
    <w:rsid w:val="00D664E4"/>
    <w:rsid w:val="00D67F9F"/>
    <w:rsid w:val="00D84AF9"/>
    <w:rsid w:val="00D92FD3"/>
    <w:rsid w:val="00D95D8B"/>
    <w:rsid w:val="00D97213"/>
    <w:rsid w:val="00D974E8"/>
    <w:rsid w:val="00DA02E6"/>
    <w:rsid w:val="00DA0B8F"/>
    <w:rsid w:val="00DA3B6E"/>
    <w:rsid w:val="00DA5329"/>
    <w:rsid w:val="00DB0550"/>
    <w:rsid w:val="00DB15EB"/>
    <w:rsid w:val="00DB2B64"/>
    <w:rsid w:val="00DB4464"/>
    <w:rsid w:val="00DB6D88"/>
    <w:rsid w:val="00DB7581"/>
    <w:rsid w:val="00DC053E"/>
    <w:rsid w:val="00DC1AFC"/>
    <w:rsid w:val="00DC5DFD"/>
    <w:rsid w:val="00DC70C1"/>
    <w:rsid w:val="00DD7168"/>
    <w:rsid w:val="00DE216E"/>
    <w:rsid w:val="00DE44D4"/>
    <w:rsid w:val="00DE605C"/>
    <w:rsid w:val="00DF0A9A"/>
    <w:rsid w:val="00DF1EEA"/>
    <w:rsid w:val="00DF3BDC"/>
    <w:rsid w:val="00DF3C06"/>
    <w:rsid w:val="00DF4B79"/>
    <w:rsid w:val="00E008C9"/>
    <w:rsid w:val="00E03060"/>
    <w:rsid w:val="00E037A3"/>
    <w:rsid w:val="00E043E3"/>
    <w:rsid w:val="00E07192"/>
    <w:rsid w:val="00E07747"/>
    <w:rsid w:val="00E10311"/>
    <w:rsid w:val="00E176C1"/>
    <w:rsid w:val="00E201BD"/>
    <w:rsid w:val="00E316E3"/>
    <w:rsid w:val="00E3369F"/>
    <w:rsid w:val="00E339A4"/>
    <w:rsid w:val="00E4384E"/>
    <w:rsid w:val="00E44DC3"/>
    <w:rsid w:val="00E44DE0"/>
    <w:rsid w:val="00E51901"/>
    <w:rsid w:val="00E53146"/>
    <w:rsid w:val="00E536A0"/>
    <w:rsid w:val="00E5457C"/>
    <w:rsid w:val="00E54603"/>
    <w:rsid w:val="00E61836"/>
    <w:rsid w:val="00E63B87"/>
    <w:rsid w:val="00E7474F"/>
    <w:rsid w:val="00E7622F"/>
    <w:rsid w:val="00E811C6"/>
    <w:rsid w:val="00E83C12"/>
    <w:rsid w:val="00E85DF2"/>
    <w:rsid w:val="00E904C8"/>
    <w:rsid w:val="00E90954"/>
    <w:rsid w:val="00E93198"/>
    <w:rsid w:val="00E937D8"/>
    <w:rsid w:val="00E97737"/>
    <w:rsid w:val="00EA0AAA"/>
    <w:rsid w:val="00EA0BD0"/>
    <w:rsid w:val="00EA1BBF"/>
    <w:rsid w:val="00EA5AA8"/>
    <w:rsid w:val="00EA61A4"/>
    <w:rsid w:val="00EB29A9"/>
    <w:rsid w:val="00EB462C"/>
    <w:rsid w:val="00EB56AF"/>
    <w:rsid w:val="00EB5DD1"/>
    <w:rsid w:val="00EB77D2"/>
    <w:rsid w:val="00EC0348"/>
    <w:rsid w:val="00EC1F91"/>
    <w:rsid w:val="00EC3AB5"/>
    <w:rsid w:val="00EC68DA"/>
    <w:rsid w:val="00ED5120"/>
    <w:rsid w:val="00ED5132"/>
    <w:rsid w:val="00ED6E86"/>
    <w:rsid w:val="00EF33F3"/>
    <w:rsid w:val="00EF3671"/>
    <w:rsid w:val="00EF40FC"/>
    <w:rsid w:val="00EF4DA8"/>
    <w:rsid w:val="00EF7CE0"/>
    <w:rsid w:val="00F019A4"/>
    <w:rsid w:val="00F02C3E"/>
    <w:rsid w:val="00F065E5"/>
    <w:rsid w:val="00F07965"/>
    <w:rsid w:val="00F176AC"/>
    <w:rsid w:val="00F21D30"/>
    <w:rsid w:val="00F22169"/>
    <w:rsid w:val="00F24598"/>
    <w:rsid w:val="00F255C9"/>
    <w:rsid w:val="00F31419"/>
    <w:rsid w:val="00F316C8"/>
    <w:rsid w:val="00F31C77"/>
    <w:rsid w:val="00F320B6"/>
    <w:rsid w:val="00F32FAB"/>
    <w:rsid w:val="00F34E08"/>
    <w:rsid w:val="00F37A97"/>
    <w:rsid w:val="00F421F4"/>
    <w:rsid w:val="00F45431"/>
    <w:rsid w:val="00F47AFD"/>
    <w:rsid w:val="00F50AB1"/>
    <w:rsid w:val="00F50B2F"/>
    <w:rsid w:val="00F50B4C"/>
    <w:rsid w:val="00F516A0"/>
    <w:rsid w:val="00F577A1"/>
    <w:rsid w:val="00F632DE"/>
    <w:rsid w:val="00F671C6"/>
    <w:rsid w:val="00F72B19"/>
    <w:rsid w:val="00F72BC2"/>
    <w:rsid w:val="00F735E4"/>
    <w:rsid w:val="00F854AA"/>
    <w:rsid w:val="00FA7A48"/>
    <w:rsid w:val="00FB015B"/>
    <w:rsid w:val="00FB2883"/>
    <w:rsid w:val="00FB3790"/>
    <w:rsid w:val="00FB43A7"/>
    <w:rsid w:val="00FB6A12"/>
    <w:rsid w:val="00FB7834"/>
    <w:rsid w:val="00FC2283"/>
    <w:rsid w:val="00FC2EAA"/>
    <w:rsid w:val="00FC572D"/>
    <w:rsid w:val="00FD3EFD"/>
    <w:rsid w:val="00FD4B6A"/>
    <w:rsid w:val="00FD7B8F"/>
    <w:rsid w:val="00FE16F5"/>
    <w:rsid w:val="00FE36C2"/>
    <w:rsid w:val="00FE4C26"/>
    <w:rsid w:val="00FF03A8"/>
    <w:rsid w:val="00FF3E90"/>
    <w:rsid w:val="00FF63EA"/>
    <w:rsid w:val="01E6BF12"/>
    <w:rsid w:val="04C8FD60"/>
    <w:rsid w:val="05E14CD7"/>
    <w:rsid w:val="07BDED95"/>
    <w:rsid w:val="0946E8CF"/>
    <w:rsid w:val="0961CFAB"/>
    <w:rsid w:val="09AF42FB"/>
    <w:rsid w:val="0B5119C4"/>
    <w:rsid w:val="0B5F23DC"/>
    <w:rsid w:val="1131A04D"/>
    <w:rsid w:val="113FC641"/>
    <w:rsid w:val="1315BFDE"/>
    <w:rsid w:val="1349398E"/>
    <w:rsid w:val="13865D02"/>
    <w:rsid w:val="145FB52A"/>
    <w:rsid w:val="159EB5CF"/>
    <w:rsid w:val="163BD647"/>
    <w:rsid w:val="16D4E330"/>
    <w:rsid w:val="18599DF9"/>
    <w:rsid w:val="195E3191"/>
    <w:rsid w:val="19A24E55"/>
    <w:rsid w:val="1A0D770A"/>
    <w:rsid w:val="1A0EC13E"/>
    <w:rsid w:val="1A6E8D76"/>
    <w:rsid w:val="1AB9D6E1"/>
    <w:rsid w:val="1CE55F53"/>
    <w:rsid w:val="1E04B67D"/>
    <w:rsid w:val="1E48ECA3"/>
    <w:rsid w:val="1E6B6478"/>
    <w:rsid w:val="1F6E1096"/>
    <w:rsid w:val="1FA4D4ED"/>
    <w:rsid w:val="1FB252B2"/>
    <w:rsid w:val="20199FB3"/>
    <w:rsid w:val="214A93A2"/>
    <w:rsid w:val="22CBE5F1"/>
    <w:rsid w:val="22CE7AB1"/>
    <w:rsid w:val="23028A93"/>
    <w:rsid w:val="262F2EFF"/>
    <w:rsid w:val="27585517"/>
    <w:rsid w:val="28E915EF"/>
    <w:rsid w:val="29788F42"/>
    <w:rsid w:val="2B2C7EA8"/>
    <w:rsid w:val="2BE9BF44"/>
    <w:rsid w:val="2CC2F776"/>
    <w:rsid w:val="2DABB599"/>
    <w:rsid w:val="2DF551E5"/>
    <w:rsid w:val="31288946"/>
    <w:rsid w:val="3387EAC9"/>
    <w:rsid w:val="3390718F"/>
    <w:rsid w:val="347616EF"/>
    <w:rsid w:val="34B3698E"/>
    <w:rsid w:val="378F0440"/>
    <w:rsid w:val="37962A81"/>
    <w:rsid w:val="37F9081D"/>
    <w:rsid w:val="38E08EED"/>
    <w:rsid w:val="39DC8C62"/>
    <w:rsid w:val="3BABCAE4"/>
    <w:rsid w:val="3C4ECE52"/>
    <w:rsid w:val="3DC25339"/>
    <w:rsid w:val="3E77AD66"/>
    <w:rsid w:val="3F3D2B19"/>
    <w:rsid w:val="3FE19B13"/>
    <w:rsid w:val="415E2F34"/>
    <w:rsid w:val="4167E980"/>
    <w:rsid w:val="41E31B85"/>
    <w:rsid w:val="4251F964"/>
    <w:rsid w:val="42E9694B"/>
    <w:rsid w:val="42FD90DF"/>
    <w:rsid w:val="4612E385"/>
    <w:rsid w:val="46270B0B"/>
    <w:rsid w:val="46309C42"/>
    <w:rsid w:val="464E3BD5"/>
    <w:rsid w:val="47379FAE"/>
    <w:rsid w:val="48688B0E"/>
    <w:rsid w:val="48B12600"/>
    <w:rsid w:val="49773D0A"/>
    <w:rsid w:val="4A433F13"/>
    <w:rsid w:val="4B34CB7F"/>
    <w:rsid w:val="4BCACD96"/>
    <w:rsid w:val="4C0AFB28"/>
    <w:rsid w:val="4C7999AD"/>
    <w:rsid w:val="4CC35A48"/>
    <w:rsid w:val="4CCAA3F6"/>
    <w:rsid w:val="4CFAB889"/>
    <w:rsid w:val="4D7AF28D"/>
    <w:rsid w:val="4DE3BA95"/>
    <w:rsid w:val="4EBF178C"/>
    <w:rsid w:val="4ED8DA9F"/>
    <w:rsid w:val="4FD8B252"/>
    <w:rsid w:val="50095DEE"/>
    <w:rsid w:val="51725791"/>
    <w:rsid w:val="543B4AE3"/>
    <w:rsid w:val="5440082D"/>
    <w:rsid w:val="5447275F"/>
    <w:rsid w:val="54AD46E9"/>
    <w:rsid w:val="56190D74"/>
    <w:rsid w:val="58B8509E"/>
    <w:rsid w:val="59ADD3C9"/>
    <w:rsid w:val="5B82E51D"/>
    <w:rsid w:val="5B888B09"/>
    <w:rsid w:val="5BACF6F1"/>
    <w:rsid w:val="5CFCD32A"/>
    <w:rsid w:val="5E9F7527"/>
    <w:rsid w:val="5EA08A42"/>
    <w:rsid w:val="5F067694"/>
    <w:rsid w:val="606DF64F"/>
    <w:rsid w:val="61861630"/>
    <w:rsid w:val="6333FDAD"/>
    <w:rsid w:val="63C77C1D"/>
    <w:rsid w:val="6697FBB8"/>
    <w:rsid w:val="66AA4612"/>
    <w:rsid w:val="672A972D"/>
    <w:rsid w:val="67BAB87A"/>
    <w:rsid w:val="68DB4E95"/>
    <w:rsid w:val="6919FC6D"/>
    <w:rsid w:val="6B4477DE"/>
    <w:rsid w:val="6B7C5F5A"/>
    <w:rsid w:val="6BB9CF05"/>
    <w:rsid w:val="6C5FBED9"/>
    <w:rsid w:val="6D489F98"/>
    <w:rsid w:val="6E819081"/>
    <w:rsid w:val="6FE5C725"/>
    <w:rsid w:val="728F92B9"/>
    <w:rsid w:val="74497587"/>
    <w:rsid w:val="74C7C35D"/>
    <w:rsid w:val="762BA598"/>
    <w:rsid w:val="77CDCE60"/>
    <w:rsid w:val="79754CE0"/>
    <w:rsid w:val="7AD33800"/>
    <w:rsid w:val="7C179A40"/>
    <w:rsid w:val="7C966CF7"/>
    <w:rsid w:val="7D915626"/>
    <w:rsid w:val="7E0060E5"/>
    <w:rsid w:val="7E929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DBEE9"/>
  <w15:chartTrackingRefBased/>
  <w15:docId w15:val="{18D8D092-9314-441F-B26E-3F8B7AA5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744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D1744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1744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D17447"/>
    <w:rPr>
      <w:sz w:val="22"/>
      <w:szCs w:val="22"/>
      <w:lang w:eastAsia="en-US"/>
    </w:rPr>
  </w:style>
  <w:style w:type="paragraph" w:customStyle="1" w:styleId="Briefinglist1">
    <w:name w:val="Briefing list 1"/>
    <w:basedOn w:val="Normal"/>
    <w:link w:val="Briefinglist1Char"/>
    <w:qFormat/>
    <w:rsid w:val="00B15130"/>
    <w:pPr>
      <w:keepLines/>
      <w:numPr>
        <w:numId w:val="4"/>
      </w:numPr>
      <w:spacing w:after="120" w:line="240" w:lineRule="auto"/>
      <w:jc w:val="both"/>
    </w:pPr>
    <w:rPr>
      <w:rFonts w:ascii="Arial" w:eastAsia="Times New Roman" w:hAnsi="Arial" w:cs="Arial"/>
      <w:szCs w:val="24"/>
      <w:lang w:val="en-GB"/>
    </w:rPr>
  </w:style>
  <w:style w:type="character" w:customStyle="1" w:styleId="Briefinglist1Char">
    <w:name w:val="Briefing list 1 Char"/>
    <w:link w:val="Briefinglist1"/>
    <w:qFormat/>
    <w:rsid w:val="00B15130"/>
    <w:rPr>
      <w:rFonts w:ascii="Arial" w:eastAsia="Times New Roman" w:hAnsi="Arial" w:cs="Arial"/>
      <w:sz w:val="22"/>
      <w:szCs w:val="24"/>
      <w:lang w:val="en-GB" w:eastAsia="en-US"/>
    </w:rPr>
  </w:style>
  <w:style w:type="paragraph" w:styleId="Revision">
    <w:name w:val="Revision"/>
    <w:hidden/>
    <w:uiPriority w:val="99"/>
    <w:semiHidden/>
    <w:rsid w:val="003E7A3F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04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2A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042A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2A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42AB"/>
    <w:rPr>
      <w:b/>
      <w:bCs/>
      <w:lang w:eastAsia="en-US"/>
    </w:rPr>
  </w:style>
  <w:style w:type="character" w:styleId="Mention">
    <w:name w:val="Mention"/>
    <w:uiPriority w:val="99"/>
    <w:unhideWhenUsed/>
    <w:rsid w:val="00DB15EB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539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5392"/>
    <w:rPr>
      <w:lang w:eastAsia="en-US"/>
    </w:rPr>
  </w:style>
  <w:style w:type="character" w:styleId="FootnoteReference">
    <w:name w:val="footnote reference"/>
    <w:uiPriority w:val="99"/>
    <w:semiHidden/>
    <w:unhideWhenUsed/>
    <w:rsid w:val="00D1539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15392"/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1539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15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ata.europa.eu/eli/reg/2022/869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8F24F2D4E8140A461B5DCD99F9D2E" ma:contentTypeVersion="16" ma:contentTypeDescription="Create a new document." ma:contentTypeScope="" ma:versionID="f8785bde19728ca988126fc3a56b8eca">
  <xsd:schema xmlns:xsd="http://www.w3.org/2001/XMLSchema" xmlns:xs="http://www.w3.org/2001/XMLSchema" xmlns:p="http://schemas.microsoft.com/office/2006/metadata/properties" xmlns:ns2="a5835c61-ca2e-49ee-8dca-a76e9f0344a3" xmlns:ns3="ba7bd860-1739-4001-af8a-147771a6eb05" targetNamespace="http://schemas.microsoft.com/office/2006/metadata/properties" ma:root="true" ma:fieldsID="863d72d7a1d2ea5d19e496102efadb24" ns2:_="" ns3:_="">
    <xsd:import namespace="a5835c61-ca2e-49ee-8dca-a76e9f0344a3"/>
    <xsd:import namespace="ba7bd860-1739-4001-af8a-147771a6e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35c61-ca2e-49ee-8dca-a76e9f034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bd860-1739-4001-af8a-147771a6e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b504bd-4409-4c5f-a841-30ba9f0e7e51}" ma:internalName="TaxCatchAll" ma:showField="CatchAllData" ma:web="ba7bd860-1739-4001-af8a-147771a6e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7bd860-1739-4001-af8a-147771a6eb05" xsi:nil="true"/>
    <lcf76f155ced4ddcb4097134ff3c332f xmlns="a5835c61-ca2e-49ee-8dca-a76e9f0344a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620FE-C76B-4BD7-BADD-7F6F05985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35c61-ca2e-49ee-8dca-a76e9f0344a3"/>
    <ds:schemaRef ds:uri="ba7bd860-1739-4001-af8a-147771a6e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87DDAA-7808-477F-9630-5944CB84B1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13AABF-C66A-4096-9709-10F11CAD49D2}">
  <ds:schemaRefs>
    <ds:schemaRef ds:uri="http://schemas.microsoft.com/office/2006/metadata/properties"/>
    <ds:schemaRef ds:uri="http://schemas.microsoft.com/office/infopath/2007/PartnerControls"/>
    <ds:schemaRef ds:uri="ba7bd860-1739-4001-af8a-147771a6eb05"/>
    <ds:schemaRef ds:uri="a5835c61-ca2e-49ee-8dca-a76e9f0344a3"/>
  </ds:schemaRefs>
</ds:datastoreItem>
</file>

<file path=customXml/itemProps4.xml><?xml version="1.0" encoding="utf-8"?>
<ds:datastoreItem xmlns:ds="http://schemas.openxmlformats.org/officeDocument/2006/customXml" ds:itemID="{6A957DB5-03A0-4117-B96B-1993732925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1290</Words>
  <Characters>7419</Characters>
  <Application>Microsoft Office Word</Application>
  <DocSecurity>0</DocSecurity>
  <Lines>109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Manuela Morena (SG)</dc:creator>
  <cp:keywords/>
  <cp:lastModifiedBy>ROSSI Simona (SG)</cp:lastModifiedBy>
  <cp:revision>3</cp:revision>
  <cp:lastPrinted>2013-02-28T12:02:00Z</cp:lastPrinted>
  <dcterms:created xsi:type="dcterms:W3CDTF">2026-05-21T08:54:00Z</dcterms:created>
  <dcterms:modified xsi:type="dcterms:W3CDTF">2026-05-21T08:56:00Z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2023-04-12T12:31:59Z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633b4ac4-9ed9-4135-981c-e588276a87bc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0x0101008B18F24F2D4E8140A461B5DCD99F9D2E</vt:lpwstr>
  </property>
  <property fmtid="{D5CDD505-2E9C-101B-9397-08002B2CF9AE}" pid="10" name="MediaServiceImageTags">
    <vt:lpwstr/>
  </property>
</Properties>
</file>