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554137" w:rsidRDefault="00077C4F" w:rsidP="00554137">
      <w:pPr>
        <w:spacing w:after="0" w:line="240" w:lineRule="auto"/>
        <w:ind w:left="-709"/>
        <w:rPr>
          <w:rFonts w:ascii="Times New Roman" w:hAnsi="Times New Roman"/>
          <w:bCs/>
          <w:sz w:val="4"/>
          <w:szCs w:val="4"/>
        </w:rPr>
      </w:pPr>
    </w:p>
    <w:tbl>
      <w:tblPr>
        <w:tblW w:w="1024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3"/>
      </w:tblGrid>
      <w:tr w:rsidR="001C4138" w:rsidRPr="00442552" w14:paraId="7E6372DC" w14:textId="77777777" w:rsidTr="00C3320E">
        <w:trPr>
          <w:jc w:val="center"/>
        </w:trPr>
        <w:tc>
          <w:tcPr>
            <w:tcW w:w="10243" w:type="dxa"/>
          </w:tcPr>
          <w:p w14:paraId="3A4EDC3A" w14:textId="3EC2C2C9" w:rsidR="001C4138" w:rsidRPr="003421E2" w:rsidRDefault="003F22E0" w:rsidP="003421E2">
            <w:pPr>
              <w:pStyle w:val="ListHeader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IE"/>
              </w:rPr>
            </w:pPr>
            <w:r w:rsidRPr="003421E2">
              <w:rPr>
                <w:rFonts w:ascii="Times New Roman" w:hAnsi="Times New Roman" w:cs="Times New Roman"/>
                <w:color w:val="auto"/>
                <w:sz w:val="24"/>
                <w:szCs w:val="24"/>
                <w:lang w:val="en-IE"/>
              </w:rPr>
              <w:t>Union support for Asylum, Migration and Integration; Internal Security; and Integrated Border Management and Visa Policy</w:t>
            </w:r>
            <w:r w:rsidR="00554137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optional </w:t>
            </w:r>
            <w:r w:rsidR="00554137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opinion)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  <w:t>COM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(2025) 540 final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  <w:t>COM(2025)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541 final,</w:t>
            </w:r>
            <w:r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  <w:t>COM(2025)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542 final)</w:t>
            </w:r>
            <w:r w:rsidR="00F116DE" w:rsidRPr="003F22E0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EESC-</w:t>
            </w:r>
            <w:r w:rsidR="00C3320E" w:rsidRPr="003421E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C3320E" w:rsidRPr="003421E2">
              <w:rPr>
                <w:rFonts w:ascii="Times New Roman" w:hAnsi="Times New Roman" w:cs="Times New Roman"/>
                <w:color w:val="auto"/>
                <w:sz w:val="24"/>
                <w:szCs w:val="24"/>
                <w:lang w:val="en-IE"/>
              </w:rPr>
              <w:t xml:space="preserve">2025-03434 </w:t>
            </w:r>
            <w:r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–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SOC/844</w:t>
            </w:r>
            <w:r w:rsidR="004A7932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603</w:t>
            </w:r>
            <w:r w:rsidRPr="003421E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rd</w:t>
            </w:r>
            <w:r w:rsidR="00F116DE" w:rsidRPr="003421E2">
              <w:rPr>
                <w:rFonts w:ascii="Times New Roman" w:hAnsi="Times New Roman"/>
                <w:sz w:val="24"/>
                <w:szCs w:val="24"/>
                <w:vertAlign w:val="superscript"/>
                <w:lang w:val="en-IE"/>
              </w:rPr>
              <w:t xml:space="preserve"> 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Plenary Session – </w:t>
            </w:r>
            <w:r w:rsidR="00F116DE" w:rsidRPr="003421E2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February, 2026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  <w:t>Rapporteur:</w:t>
            </w:r>
            <w:r w:rsidR="004C1689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José Antonio MORENO DIAZ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  <w:r w:rsidR="00C3320E" w:rsidRPr="003421E2">
              <w:rPr>
                <w:rFonts w:ascii="Times New Roman" w:hAnsi="Times New Roman" w:cs="Times New Roman"/>
                <w:color w:val="auto"/>
                <w:sz w:val="24"/>
                <w:szCs w:val="24"/>
                <w:lang w:val="en-IE"/>
              </w:rPr>
              <w:t>(ES-II)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br/>
              <w:t xml:space="preserve">DG </w:t>
            </w:r>
            <w:r w:rsidR="00F116DE" w:rsidRPr="003421E2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HOME</w:t>
            </w:r>
            <w:r w:rsidR="001C4138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– Commissioner</w:t>
            </w:r>
            <w:r w:rsidR="0002226D" w:rsidRPr="003F22E0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F116DE" w:rsidRPr="003F22E0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BRUNNER</w:t>
            </w:r>
          </w:p>
        </w:tc>
      </w:tr>
      <w:tr w:rsidR="00734613" w:rsidRPr="00442552" w14:paraId="1937071F" w14:textId="77777777" w:rsidTr="00C3320E">
        <w:trPr>
          <w:jc w:val="center"/>
        </w:trPr>
        <w:tc>
          <w:tcPr>
            <w:tcW w:w="10243" w:type="dxa"/>
          </w:tcPr>
          <w:p w14:paraId="1E50B4DB" w14:textId="6210B328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554137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C3320E">
        <w:trPr>
          <w:jc w:val="center"/>
        </w:trPr>
        <w:tc>
          <w:tcPr>
            <w:tcW w:w="10243" w:type="dxa"/>
          </w:tcPr>
          <w:p w14:paraId="24E99A4D" w14:textId="0D495F1B" w:rsidR="00734613" w:rsidRDefault="005C6CAE" w:rsidP="003421E2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4C1689" w:rsidRPr="004C1689">
              <w:rPr>
                <w:rFonts w:ascii="Times New Roman" w:hAnsi="Times New Roman"/>
                <w:sz w:val="24"/>
                <w:szCs w:val="24"/>
              </w:rPr>
              <w:t xml:space="preserve">he proposals </w:t>
            </w:r>
            <w:r>
              <w:rPr>
                <w:rFonts w:ascii="Times New Roman" w:hAnsi="Times New Roman"/>
                <w:sz w:val="24"/>
                <w:szCs w:val="24"/>
              </w:rPr>
              <w:t>on Union Support for asylum, migration and integration (AMI), for the Schengen area, European integrated border management and the common policy on visas (BMV) and for internal security (IS)</w:t>
            </w:r>
            <w:r w:rsidR="004C1689" w:rsidRPr="004C1689">
              <w:rPr>
                <w:rFonts w:ascii="Times New Roman" w:hAnsi="Times New Roman"/>
                <w:sz w:val="24"/>
                <w:szCs w:val="24"/>
              </w:rPr>
              <w:t xml:space="preserve"> complement the proposal for a Regulation establishing the European Fund for economic, social and territorial cohesion, agriculture and rural, fisheries and maritime, prosperity and security</w:t>
            </w:r>
            <w:r w:rsidR="00D1310B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="000E46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932E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0E461D">
              <w:rPr>
                <w:rFonts w:ascii="Times New Roman" w:hAnsi="Times New Roman"/>
                <w:sz w:val="24"/>
                <w:szCs w:val="24"/>
              </w:rPr>
              <w:t>so-called NRP Regulation)</w:t>
            </w:r>
            <w:r w:rsidR="00336266">
              <w:rPr>
                <w:rFonts w:ascii="Times New Roman" w:hAnsi="Times New Roman"/>
                <w:sz w:val="24"/>
                <w:szCs w:val="24"/>
              </w:rPr>
              <w:t>.</w:t>
            </w:r>
            <w:r w:rsidR="004C1689" w:rsidRPr="004C1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266">
              <w:rPr>
                <w:rFonts w:ascii="Times New Roman" w:hAnsi="Times New Roman"/>
                <w:sz w:val="24"/>
                <w:szCs w:val="24"/>
              </w:rPr>
              <w:t>Th</w:t>
            </w:r>
            <w:r w:rsidR="004A73C1">
              <w:rPr>
                <w:rFonts w:ascii="Times New Roman" w:hAnsi="Times New Roman"/>
                <w:sz w:val="24"/>
                <w:szCs w:val="24"/>
              </w:rPr>
              <w:t>e latter</w:t>
            </w:r>
            <w:r w:rsidR="00336266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egulation sets out </w:t>
            </w:r>
            <w:r w:rsidR="00660189">
              <w:rPr>
                <w:rFonts w:ascii="Times New Roman" w:hAnsi="Times New Roman"/>
                <w:sz w:val="24"/>
                <w:szCs w:val="24"/>
              </w:rPr>
              <w:t xml:space="preserve">horizontal rules, including </w:t>
            </w:r>
            <w:r w:rsidR="004A73C1">
              <w:rPr>
                <w:rFonts w:ascii="Times New Roman" w:hAnsi="Times New Roman"/>
                <w:sz w:val="24"/>
                <w:szCs w:val="24"/>
              </w:rPr>
              <w:t>financial rules</w:t>
            </w:r>
            <w:r w:rsidR="00660189">
              <w:rPr>
                <w:rFonts w:ascii="Times New Roman" w:hAnsi="Times New Roman"/>
                <w:sz w:val="24"/>
                <w:szCs w:val="24"/>
              </w:rPr>
              <w:t>,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 for Union support to be implemented </w:t>
            </w:r>
            <w:r w:rsidR="00510AE3">
              <w:rPr>
                <w:rFonts w:ascii="Times New Roman" w:hAnsi="Times New Roman"/>
                <w:sz w:val="24"/>
                <w:szCs w:val="24"/>
              </w:rPr>
              <w:t xml:space="preserve">mainly 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by means of the National and Regional Partnership </w:t>
            </w:r>
            <w:r w:rsidR="00D1310B">
              <w:rPr>
                <w:rFonts w:ascii="Times New Roman" w:hAnsi="Times New Roman"/>
                <w:sz w:val="24"/>
                <w:szCs w:val="24"/>
              </w:rPr>
              <w:t xml:space="preserve">(NRP) </w:t>
            </w:r>
            <w:r w:rsidR="004A73C1">
              <w:rPr>
                <w:rFonts w:ascii="Times New Roman" w:hAnsi="Times New Roman"/>
                <w:sz w:val="24"/>
                <w:szCs w:val="24"/>
              </w:rPr>
              <w:t>Plans.</w:t>
            </w:r>
            <w:r w:rsidR="004C1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61D">
              <w:rPr>
                <w:rFonts w:ascii="Times New Roman" w:hAnsi="Times New Roman"/>
                <w:sz w:val="24"/>
                <w:szCs w:val="24"/>
              </w:rPr>
              <w:t>Some of the concerns raised by the</w:t>
            </w:r>
            <w:r w:rsidR="001932E5">
              <w:rPr>
                <w:rFonts w:ascii="Times New Roman" w:hAnsi="Times New Roman"/>
                <w:sz w:val="24"/>
                <w:szCs w:val="24"/>
              </w:rPr>
              <w:t xml:space="preserve"> Committee</w:t>
            </w:r>
            <w:r w:rsidR="000E461D">
              <w:rPr>
                <w:rFonts w:ascii="Times New Roman" w:hAnsi="Times New Roman"/>
                <w:sz w:val="24"/>
                <w:szCs w:val="24"/>
              </w:rPr>
              <w:t xml:space="preserve"> are in fact addressed in the </w:t>
            </w:r>
            <w:r w:rsidR="004A73C1">
              <w:rPr>
                <w:rFonts w:ascii="Times New Roman" w:hAnsi="Times New Roman"/>
                <w:sz w:val="24"/>
                <w:szCs w:val="24"/>
              </w:rPr>
              <w:t>NRP</w:t>
            </w:r>
            <w:r w:rsidR="000E461D">
              <w:rPr>
                <w:rFonts w:ascii="Times New Roman" w:hAnsi="Times New Roman"/>
                <w:sz w:val="24"/>
                <w:szCs w:val="24"/>
              </w:rPr>
              <w:t xml:space="preserve"> Regulation.</w:t>
            </w:r>
          </w:p>
          <w:p w14:paraId="0B093C18" w14:textId="561C8B2F" w:rsidR="00C214B9" w:rsidRPr="000E461D" w:rsidRDefault="000E461D" w:rsidP="003421E2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1D">
              <w:rPr>
                <w:rFonts w:ascii="Times New Roman" w:hAnsi="Times New Roman"/>
                <w:sz w:val="24"/>
                <w:szCs w:val="24"/>
              </w:rPr>
              <w:t xml:space="preserve">Article 7 of the NRP Regulation 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requires that Member States design the measures in their NRP Plan in a way that ensures respect of </w:t>
            </w:r>
            <w:r w:rsidRPr="000E461D">
              <w:rPr>
                <w:rFonts w:ascii="Times New Roman" w:hAnsi="Times New Roman"/>
                <w:sz w:val="24"/>
                <w:szCs w:val="24"/>
              </w:rPr>
              <w:t xml:space="preserve">the principles of the rule of law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0E461D">
              <w:rPr>
                <w:rFonts w:ascii="Times New Roman" w:hAnsi="Times New Roman"/>
                <w:sz w:val="24"/>
                <w:szCs w:val="24"/>
              </w:rPr>
              <w:t>rights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461D">
              <w:rPr>
                <w:rFonts w:ascii="Times New Roman" w:hAnsi="Times New Roman"/>
                <w:sz w:val="24"/>
                <w:szCs w:val="24"/>
              </w:rPr>
              <w:t xml:space="preserve"> freedoms and principles set out in the Charter of Fundamental Rights of the European Union</w:t>
            </w:r>
            <w:r w:rsidR="004A73C1">
              <w:rPr>
                <w:rFonts w:ascii="Times New Roman" w:hAnsi="Times New Roman"/>
                <w:sz w:val="24"/>
                <w:szCs w:val="24"/>
              </w:rPr>
              <w:t>. Those rights, freedoms and principles must be respected</w:t>
            </w:r>
            <w:r w:rsidRPr="000E461D">
              <w:rPr>
                <w:rFonts w:ascii="Times New Roman" w:hAnsi="Times New Roman"/>
                <w:sz w:val="24"/>
                <w:szCs w:val="24"/>
              </w:rPr>
              <w:t xml:space="preserve"> throughout the preparation and implementation of </w:t>
            </w:r>
            <w:r w:rsidR="001932E5">
              <w:rPr>
                <w:rFonts w:ascii="Times New Roman" w:hAnsi="Times New Roman"/>
                <w:sz w:val="24"/>
                <w:szCs w:val="24"/>
              </w:rPr>
              <w:t>Member States’</w:t>
            </w:r>
            <w:r w:rsidRPr="000E461D">
              <w:rPr>
                <w:rFonts w:ascii="Times New Roman" w:hAnsi="Times New Roman"/>
                <w:sz w:val="24"/>
                <w:szCs w:val="24"/>
              </w:rPr>
              <w:t xml:space="preserve"> respective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NRP </w:t>
            </w:r>
            <w:r w:rsidRPr="000E461D">
              <w:rPr>
                <w:rFonts w:ascii="Times New Roman" w:hAnsi="Times New Roman"/>
                <w:sz w:val="24"/>
                <w:szCs w:val="24"/>
              </w:rPr>
              <w:t>Plan</w:t>
            </w:r>
            <w:r w:rsidR="001932E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214B9">
              <w:rPr>
                <w:rFonts w:ascii="Times New Roman" w:hAnsi="Times New Roman"/>
                <w:sz w:val="24"/>
                <w:szCs w:val="24"/>
              </w:rPr>
              <w:t xml:space="preserve"> Article 8 </w:t>
            </w:r>
            <w:r w:rsidR="0071213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Article </w:t>
            </w:r>
            <w:r w:rsidR="0071213D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C214B9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the NRP </w:t>
            </w:r>
            <w:r w:rsidR="00C214B9">
              <w:rPr>
                <w:rFonts w:ascii="Times New Roman" w:hAnsi="Times New Roman"/>
                <w:sz w:val="24"/>
                <w:szCs w:val="24"/>
              </w:rPr>
              <w:t xml:space="preserve">Regulation </w:t>
            </w:r>
            <w:r w:rsidR="00510AE3">
              <w:rPr>
                <w:rFonts w:ascii="Times New Roman" w:hAnsi="Times New Roman"/>
                <w:sz w:val="24"/>
                <w:szCs w:val="24"/>
              </w:rPr>
              <w:t>provide</w:t>
            </w:r>
            <w:r w:rsidR="004A73C1">
              <w:rPr>
                <w:rFonts w:ascii="Times New Roman" w:hAnsi="Times New Roman"/>
                <w:sz w:val="24"/>
                <w:szCs w:val="24"/>
              </w:rPr>
              <w:t xml:space="preserve"> that</w:t>
            </w:r>
            <w:r w:rsidR="00433EF6">
              <w:rPr>
                <w:rFonts w:ascii="Times New Roman" w:hAnsi="Times New Roman"/>
                <w:sz w:val="24"/>
                <w:szCs w:val="24"/>
              </w:rPr>
              <w:t>, when it is established that the Charter horizontal condition or the rule of law horizontal condition are not fulfilled,</w:t>
            </w:r>
            <w:r w:rsidR="00C214B9">
              <w:rPr>
                <w:rFonts w:ascii="Times New Roman" w:hAnsi="Times New Roman"/>
                <w:sz w:val="24"/>
                <w:szCs w:val="24"/>
              </w:rPr>
              <w:t xml:space="preserve"> the Commission</w:t>
            </w:r>
            <w:r w:rsidR="00433EF6">
              <w:rPr>
                <w:rFonts w:ascii="Times New Roman" w:hAnsi="Times New Roman"/>
                <w:sz w:val="24"/>
                <w:szCs w:val="24"/>
              </w:rPr>
              <w:t xml:space="preserve"> shall not make payments responding to the applications submitted by Member States until those horizontal conditions are fulfilled.</w:t>
            </w:r>
          </w:p>
          <w:p w14:paraId="76B0287F" w14:textId="562D7A90" w:rsidR="00C214B9" w:rsidRPr="00F57564" w:rsidRDefault="009C43EC" w:rsidP="003421E2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C214B9" w:rsidRPr="00F57564">
              <w:rPr>
                <w:rFonts w:ascii="Times New Roman" w:hAnsi="Times New Roman"/>
                <w:sz w:val="24"/>
                <w:szCs w:val="24"/>
              </w:rPr>
              <w:t>s regards the partnership principle, Article 6 of the NRP Regulation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sets out rules on partnership and multi-level governance.</w:t>
            </w:r>
            <w:r w:rsidR="00C214B9" w:rsidRPr="00F5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Pursuant to Article 6, </w:t>
            </w:r>
            <w:r w:rsidR="00F57564">
              <w:rPr>
                <w:rFonts w:ascii="Times New Roman" w:hAnsi="Times New Roman"/>
                <w:sz w:val="24"/>
                <w:szCs w:val="24"/>
              </w:rPr>
              <w:t>M</w:t>
            </w:r>
            <w:r w:rsidR="001253E6" w:rsidRPr="00F57564">
              <w:rPr>
                <w:rFonts w:ascii="Times New Roman" w:hAnsi="Times New Roman"/>
                <w:sz w:val="24"/>
                <w:szCs w:val="24"/>
              </w:rPr>
              <w:t xml:space="preserve">ember States </w:t>
            </w:r>
            <w:r>
              <w:rPr>
                <w:rFonts w:ascii="Times New Roman" w:hAnsi="Times New Roman"/>
                <w:sz w:val="24"/>
                <w:szCs w:val="24"/>
              </w:rPr>
              <w:t>must</w:t>
            </w:r>
            <w:r w:rsidR="00C214B9" w:rsidRPr="00F57564">
              <w:rPr>
                <w:rFonts w:ascii="Times New Roman" w:hAnsi="Times New Roman"/>
                <w:sz w:val="24"/>
                <w:szCs w:val="24"/>
              </w:rPr>
              <w:t xml:space="preserve"> include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3F22E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balanced representation of </w:t>
            </w:r>
            <w:r w:rsidR="00C214B9" w:rsidRPr="00F57564">
              <w:rPr>
                <w:rFonts w:ascii="Times New Roman" w:hAnsi="Times New Roman"/>
                <w:sz w:val="24"/>
                <w:szCs w:val="24"/>
              </w:rPr>
              <w:t>“regional, local, urban, rural and other public authorities or associations representing such authorities” in the partnership</w:t>
            </w:r>
            <w:r w:rsidR="001253E6" w:rsidRPr="00F57564">
              <w:rPr>
                <w:rFonts w:ascii="Times New Roman" w:hAnsi="Times New Roman"/>
                <w:sz w:val="24"/>
                <w:szCs w:val="24"/>
              </w:rPr>
              <w:t xml:space="preserve"> that will be involved throughout the preparation, implementation and evaluation of the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 w:rsidR="001253E6" w:rsidRPr="00F57564">
              <w:rPr>
                <w:rFonts w:ascii="Times New Roman" w:hAnsi="Times New Roman"/>
                <w:sz w:val="24"/>
                <w:szCs w:val="24"/>
              </w:rPr>
              <w:t xml:space="preserve"> NRP Plan, including through participation in monitoring committees.</w:t>
            </w:r>
            <w:r w:rsidR="00F57564" w:rsidRPr="00F5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57564">
              <w:rPr>
                <w:rFonts w:ascii="Times New Roman" w:hAnsi="Times New Roman"/>
                <w:sz w:val="24"/>
                <w:szCs w:val="24"/>
              </w:rPr>
              <w:t xml:space="preserve">f duly reasoned and substantiated by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57564">
              <w:rPr>
                <w:rFonts w:ascii="Times New Roman" w:hAnsi="Times New Roman"/>
                <w:sz w:val="24"/>
                <w:szCs w:val="24"/>
              </w:rPr>
              <w:t xml:space="preserve"> Member State in its Plan</w:t>
            </w:r>
            <w:r>
              <w:rPr>
                <w:rFonts w:ascii="Times New Roman" w:hAnsi="Times New Roman"/>
                <w:sz w:val="24"/>
                <w:szCs w:val="24"/>
              </w:rPr>
              <w:t>, t</w:t>
            </w:r>
            <w:r w:rsidR="00F57564" w:rsidRPr="00F57564">
              <w:rPr>
                <w:rFonts w:ascii="Times New Roman" w:hAnsi="Times New Roman"/>
                <w:sz w:val="24"/>
                <w:szCs w:val="24"/>
              </w:rPr>
              <w:t xml:space="preserve">his requirement can be </w:t>
            </w:r>
            <w:r w:rsidR="001932E5">
              <w:rPr>
                <w:rFonts w:ascii="Times New Roman" w:hAnsi="Times New Roman"/>
                <w:sz w:val="24"/>
                <w:szCs w:val="24"/>
              </w:rPr>
              <w:t>waiv</w:t>
            </w:r>
            <w:r w:rsidR="00F57564" w:rsidRPr="00F57564">
              <w:rPr>
                <w:rFonts w:ascii="Times New Roman" w:hAnsi="Times New Roman"/>
                <w:sz w:val="24"/>
                <w:szCs w:val="24"/>
              </w:rPr>
              <w:t>ed under BMV and 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57564" w:rsidRPr="00F5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AMI, </w:t>
            </w:r>
            <w:r w:rsidR="0013145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partnership must include regional, </w:t>
            </w:r>
            <w:r w:rsidRPr="00F57564">
              <w:rPr>
                <w:rFonts w:ascii="Times New Roman" w:hAnsi="Times New Roman"/>
                <w:sz w:val="24"/>
                <w:szCs w:val="24"/>
              </w:rPr>
              <w:t>local, urban, rural and other public authorities or associations representing such authorities</w:t>
            </w:r>
            <w:r>
              <w:rPr>
                <w:rFonts w:ascii="Times New Roman" w:hAnsi="Times New Roman"/>
                <w:sz w:val="24"/>
                <w:szCs w:val="24"/>
              </w:rPr>
              <w:t>, civil society organisations</w:t>
            </w:r>
            <w:r w:rsidR="009B5A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A37" w:rsidRPr="009B5A37">
              <w:rPr>
                <w:rFonts w:ascii="Times New Roman" w:hAnsi="Times New Roman"/>
                <w:sz w:val="24"/>
                <w:szCs w:val="24"/>
              </w:rPr>
              <w:t>such as refugee organisations and migrant-led organisations, as well as national human rights institutions and equality bodies, and, where appropriate, international organisations and economic and social partners</w:t>
            </w:r>
            <w:r w:rsidR="009B5A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14481" w14:textId="5920CD77" w:rsidR="0049246C" w:rsidRPr="004F6117" w:rsidRDefault="00F57564" w:rsidP="003421E2">
            <w:pPr>
              <w:widowControl w:val="0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As </w:t>
            </w:r>
            <w:r w:rsidR="00131457">
              <w:rPr>
                <w:rFonts w:ascii="Times New Roman" w:hAnsi="Times New Roman"/>
                <w:sz w:val="24"/>
                <w:szCs w:val="24"/>
              </w:rPr>
              <w:t>to</w:t>
            </w:r>
            <w:r w:rsidRPr="008A146F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71213D" w:rsidRPr="008A146F">
              <w:rPr>
                <w:rFonts w:ascii="Times New Roman" w:hAnsi="Times New Roman"/>
                <w:sz w:val="24"/>
                <w:szCs w:val="24"/>
              </w:rPr>
              <w:t xml:space="preserve">balanced distribution of budgetary allocations across different policy areas (AMI, BMV and IS) </w:t>
            </w:r>
            <w:r w:rsidR="00AB19A9">
              <w:rPr>
                <w:rFonts w:ascii="Times New Roman" w:hAnsi="Times New Roman"/>
                <w:sz w:val="24"/>
                <w:szCs w:val="24"/>
              </w:rPr>
              <w:t xml:space="preserve">and the </w:t>
            </w:r>
            <w:r w:rsidR="009B5A37">
              <w:rPr>
                <w:rFonts w:ascii="Times New Roman" w:hAnsi="Times New Roman"/>
                <w:sz w:val="24"/>
                <w:szCs w:val="24"/>
              </w:rPr>
              <w:t xml:space="preserve">alleged </w:t>
            </w:r>
            <w:r w:rsidR="00AB19A9">
              <w:rPr>
                <w:rFonts w:ascii="Times New Roman" w:hAnsi="Times New Roman"/>
                <w:sz w:val="24"/>
                <w:szCs w:val="24"/>
              </w:rPr>
              <w:t xml:space="preserve">lack of specific minimum support </w:t>
            </w:r>
            <w:r w:rsidR="00131457">
              <w:rPr>
                <w:rFonts w:ascii="Times New Roman" w:hAnsi="Times New Roman"/>
                <w:sz w:val="24"/>
                <w:szCs w:val="24"/>
              </w:rPr>
              <w:t>for</w:t>
            </w:r>
            <w:r w:rsidR="0071213D" w:rsidRPr="008A146F">
              <w:rPr>
                <w:rFonts w:ascii="Times New Roman" w:hAnsi="Times New Roman"/>
                <w:sz w:val="24"/>
                <w:szCs w:val="24"/>
              </w:rPr>
              <w:t xml:space="preserve"> certain specific </w:t>
            </w:r>
            <w:r w:rsidR="00A014E8">
              <w:rPr>
                <w:rFonts w:ascii="Times New Roman" w:hAnsi="Times New Roman"/>
                <w:sz w:val="24"/>
                <w:szCs w:val="24"/>
              </w:rPr>
              <w:t>measures</w:t>
            </w:r>
            <w:r w:rsidR="00A014E8" w:rsidRPr="008A1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13D" w:rsidRPr="008A146F">
              <w:rPr>
                <w:rFonts w:ascii="Times New Roman" w:hAnsi="Times New Roman"/>
                <w:sz w:val="24"/>
                <w:szCs w:val="24"/>
              </w:rPr>
              <w:t>within a given policy area (e.g. integration under AMI), the Commission underlines that</w:t>
            </w:r>
            <w:r w:rsidR="00A014E8">
              <w:rPr>
                <w:rFonts w:ascii="Times New Roman" w:hAnsi="Times New Roman"/>
                <w:sz w:val="24"/>
                <w:szCs w:val="24"/>
              </w:rPr>
              <w:t>,</w:t>
            </w:r>
            <w:r w:rsidR="0071213D" w:rsidRPr="008A146F">
              <w:rPr>
                <w:rFonts w:ascii="Times New Roman" w:hAnsi="Times New Roman"/>
                <w:sz w:val="24"/>
                <w:szCs w:val="24"/>
              </w:rPr>
              <w:t xml:space="preserve"> in line with the new proposed performance-based delivery system</w:t>
            </w:r>
            <w:r w:rsidR="00A014E8">
              <w:rPr>
                <w:rFonts w:ascii="Times New Roman" w:hAnsi="Times New Roman"/>
                <w:sz w:val="24"/>
                <w:szCs w:val="24"/>
              </w:rPr>
              <w:t>,</w:t>
            </w:r>
            <w:r w:rsidR="0071213D" w:rsidRPr="008A146F">
              <w:rPr>
                <w:rFonts w:ascii="Times New Roman" w:hAnsi="Times New Roman"/>
                <w:sz w:val="24"/>
                <w:szCs w:val="24"/>
              </w:rPr>
              <w:t xml:space="preserve"> no minimum allocations are assigned to  </w:t>
            </w:r>
            <w:r w:rsidR="00A014E8">
              <w:rPr>
                <w:rFonts w:ascii="Times New Roman" w:hAnsi="Times New Roman"/>
                <w:sz w:val="24"/>
                <w:szCs w:val="24"/>
              </w:rPr>
              <w:t xml:space="preserve">any of the </w:t>
            </w:r>
            <w:r w:rsidR="0071213D" w:rsidRPr="008A146F">
              <w:rPr>
                <w:rFonts w:ascii="Times New Roman" w:hAnsi="Times New Roman"/>
                <w:sz w:val="24"/>
                <w:szCs w:val="24"/>
              </w:rPr>
              <w:t>objectives</w:t>
            </w:r>
            <w:r w:rsidR="00A014E8">
              <w:rPr>
                <w:rFonts w:ascii="Times New Roman" w:hAnsi="Times New Roman"/>
                <w:sz w:val="24"/>
                <w:szCs w:val="24"/>
              </w:rPr>
              <w:t xml:space="preserve"> identified in Article 3 of the </w:t>
            </w:r>
            <w:r w:rsidR="00FE12AF">
              <w:rPr>
                <w:rFonts w:ascii="Times New Roman" w:hAnsi="Times New Roman"/>
                <w:sz w:val="24"/>
                <w:szCs w:val="24"/>
              </w:rPr>
              <w:t xml:space="preserve">AMI, BMV and IS </w:t>
            </w:r>
            <w:r w:rsidR="00A014E8">
              <w:rPr>
                <w:rFonts w:ascii="Times New Roman" w:hAnsi="Times New Roman"/>
                <w:sz w:val="24"/>
                <w:szCs w:val="24"/>
              </w:rPr>
              <w:t>Regulations</w:t>
            </w:r>
            <w:r w:rsidR="00C7775A" w:rsidRPr="008A146F">
              <w:rPr>
                <w:rFonts w:ascii="Times New Roman" w:hAnsi="Times New Roman"/>
                <w:sz w:val="24"/>
                <w:szCs w:val="24"/>
              </w:rPr>
              <w:t>. However, the Commission proposal</w:t>
            </w:r>
            <w:r w:rsidR="00FE12AF">
              <w:rPr>
                <w:rFonts w:ascii="Times New Roman" w:hAnsi="Times New Roman"/>
                <w:sz w:val="24"/>
                <w:szCs w:val="24"/>
              </w:rPr>
              <w:t>s for AMI, BMV and IS</w:t>
            </w:r>
            <w:r w:rsidR="00C7775A" w:rsidRPr="008A146F">
              <w:rPr>
                <w:rFonts w:ascii="Times New Roman" w:hAnsi="Times New Roman"/>
                <w:sz w:val="24"/>
                <w:szCs w:val="24"/>
              </w:rPr>
              <w:t xml:space="preserve"> require Member States to address all the objectives </w:t>
            </w:r>
            <w:r w:rsidR="00A014E8">
              <w:rPr>
                <w:rFonts w:ascii="Times New Roman" w:hAnsi="Times New Roman"/>
                <w:sz w:val="24"/>
                <w:szCs w:val="24"/>
              </w:rPr>
              <w:t>identified</w:t>
            </w:r>
            <w:r w:rsidR="003675B8"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="00A01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5A" w:rsidRPr="008A146F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E12AF">
              <w:rPr>
                <w:rFonts w:ascii="Times New Roman" w:hAnsi="Times New Roman"/>
                <w:sz w:val="24"/>
                <w:szCs w:val="24"/>
              </w:rPr>
              <w:t xml:space="preserve">respective </w:t>
            </w:r>
            <w:r w:rsidR="00C7775A" w:rsidRPr="008A146F">
              <w:rPr>
                <w:rFonts w:ascii="Times New Roman" w:hAnsi="Times New Roman"/>
                <w:sz w:val="24"/>
                <w:szCs w:val="24"/>
              </w:rPr>
              <w:t>Regulation</w:t>
            </w:r>
            <w:r w:rsidR="00FE12AF">
              <w:rPr>
                <w:rFonts w:ascii="Times New Roman" w:hAnsi="Times New Roman"/>
                <w:sz w:val="24"/>
                <w:szCs w:val="24"/>
              </w:rPr>
              <w:t xml:space="preserve">; moreover, </w:t>
            </w:r>
            <w:r w:rsidR="003675B8">
              <w:rPr>
                <w:rFonts w:ascii="Times New Roman" w:hAnsi="Times New Roman"/>
                <w:sz w:val="24"/>
                <w:szCs w:val="24"/>
              </w:rPr>
              <w:t xml:space="preserve">the allocation of resources between objectives </w:t>
            </w:r>
            <w:r w:rsidR="00FE12AF">
              <w:rPr>
                <w:rFonts w:ascii="Times New Roman" w:hAnsi="Times New Roman"/>
                <w:sz w:val="24"/>
                <w:szCs w:val="24"/>
              </w:rPr>
              <w:t>must be</w:t>
            </w:r>
            <w:r w:rsidR="003675B8">
              <w:rPr>
                <w:rFonts w:ascii="Times New Roman" w:hAnsi="Times New Roman"/>
                <w:sz w:val="24"/>
                <w:szCs w:val="24"/>
              </w:rPr>
              <w:t xml:space="preserve"> proportionate to the identified challenge</w:t>
            </w:r>
            <w:r w:rsidR="00131457">
              <w:rPr>
                <w:rFonts w:ascii="Times New Roman" w:hAnsi="Times New Roman"/>
                <w:sz w:val="24"/>
                <w:szCs w:val="24"/>
              </w:rPr>
              <w:t>s</w:t>
            </w:r>
            <w:r w:rsidR="003675B8">
              <w:rPr>
                <w:rFonts w:ascii="Times New Roman" w:hAnsi="Times New Roman"/>
                <w:sz w:val="24"/>
                <w:szCs w:val="24"/>
              </w:rPr>
              <w:t xml:space="preserve"> and needs</w:t>
            </w:r>
            <w:r w:rsidR="00C7775A" w:rsidRPr="008A14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75B8">
              <w:rPr>
                <w:rFonts w:ascii="Times New Roman" w:hAnsi="Times New Roman"/>
                <w:sz w:val="24"/>
                <w:szCs w:val="24"/>
              </w:rPr>
              <w:t xml:space="preserve">The Commission observes also that </w:t>
            </w:r>
            <w:r w:rsidR="00C7775A" w:rsidRPr="008A146F">
              <w:rPr>
                <w:rFonts w:ascii="Times New Roman" w:hAnsi="Times New Roman"/>
                <w:sz w:val="24"/>
                <w:szCs w:val="24"/>
              </w:rPr>
              <w:t xml:space="preserve">Article 11(3) of the NRP Regulation allows the Member States </w:t>
            </w:r>
            <w:r w:rsidR="008A146F" w:rsidRPr="008A146F">
              <w:rPr>
                <w:rFonts w:ascii="Times New Roman" w:hAnsi="Times New Roman"/>
                <w:sz w:val="24"/>
                <w:szCs w:val="24"/>
              </w:rPr>
              <w:t xml:space="preserve">to reallocate part of the </w:t>
            </w:r>
            <w:r w:rsidR="00660189">
              <w:rPr>
                <w:rFonts w:ascii="Times New Roman" w:hAnsi="Times New Roman"/>
                <w:sz w:val="24"/>
                <w:szCs w:val="24"/>
              </w:rPr>
              <w:t xml:space="preserve">indicative </w:t>
            </w:r>
            <w:r w:rsidR="008A146F" w:rsidRPr="008A146F">
              <w:rPr>
                <w:rFonts w:ascii="Times New Roman" w:hAnsi="Times New Roman"/>
                <w:sz w:val="24"/>
                <w:szCs w:val="24"/>
              </w:rPr>
              <w:t>amount</w:t>
            </w:r>
            <w:r w:rsidR="00660189">
              <w:rPr>
                <w:rFonts w:ascii="Times New Roman" w:hAnsi="Times New Roman"/>
                <w:sz w:val="24"/>
                <w:szCs w:val="24"/>
              </w:rPr>
              <w:t>s</w:t>
            </w:r>
            <w:r w:rsidR="008A146F" w:rsidRPr="008A146F">
              <w:rPr>
                <w:rFonts w:ascii="Times New Roman" w:hAnsi="Times New Roman"/>
                <w:sz w:val="24"/>
                <w:szCs w:val="24"/>
              </w:rPr>
              <w:t xml:space="preserve"> set out in Article 4 </w:t>
            </w:r>
            <w:r w:rsidR="00FE12AF">
              <w:rPr>
                <w:rFonts w:ascii="Times New Roman" w:hAnsi="Times New Roman"/>
                <w:sz w:val="24"/>
                <w:szCs w:val="24"/>
              </w:rPr>
              <w:t>(</w:t>
            </w:r>
            <w:r w:rsidR="00660189">
              <w:rPr>
                <w:rFonts w:ascii="Times New Roman" w:hAnsi="Times New Roman"/>
                <w:sz w:val="24"/>
                <w:szCs w:val="24"/>
              </w:rPr>
              <w:t xml:space="preserve">indicative </w:t>
            </w:r>
            <w:r w:rsidR="00FE12AF">
              <w:rPr>
                <w:rFonts w:ascii="Times New Roman" w:hAnsi="Times New Roman"/>
                <w:sz w:val="24"/>
                <w:szCs w:val="24"/>
              </w:rPr>
              <w:t>financial envelope</w:t>
            </w:r>
            <w:r w:rsidR="00660189">
              <w:rPr>
                <w:rFonts w:ascii="Times New Roman" w:hAnsi="Times New Roman"/>
                <w:sz w:val="24"/>
                <w:szCs w:val="24"/>
              </w:rPr>
              <w:t>s</w:t>
            </w:r>
            <w:r w:rsidR="00FE12A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A146F" w:rsidRPr="008A146F">
              <w:rPr>
                <w:rFonts w:ascii="Times New Roman" w:hAnsi="Times New Roman"/>
                <w:sz w:val="24"/>
                <w:szCs w:val="24"/>
              </w:rPr>
              <w:t>of the AMI, BMV, or IS Regulation to implement objectives set out in another of those Regulations.</w:t>
            </w:r>
            <w:r w:rsidR="008A1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837">
              <w:rPr>
                <w:rFonts w:ascii="Times New Roman" w:hAnsi="Times New Roman"/>
                <w:sz w:val="24"/>
                <w:szCs w:val="24"/>
              </w:rPr>
              <w:t>Th</w:t>
            </w:r>
            <w:r w:rsidR="003675B8">
              <w:rPr>
                <w:rFonts w:ascii="Times New Roman" w:hAnsi="Times New Roman"/>
                <w:sz w:val="24"/>
                <w:szCs w:val="24"/>
              </w:rPr>
              <w:t>is</w:t>
            </w:r>
            <w:r w:rsidR="00BD5837">
              <w:rPr>
                <w:rFonts w:ascii="Times New Roman" w:hAnsi="Times New Roman"/>
                <w:sz w:val="24"/>
                <w:szCs w:val="24"/>
              </w:rPr>
              <w:t xml:space="preserve"> approach</w:t>
            </w:r>
            <w:r w:rsidR="00660189">
              <w:rPr>
                <w:rFonts w:ascii="Times New Roman" w:hAnsi="Times New Roman"/>
                <w:sz w:val="24"/>
                <w:szCs w:val="24"/>
              </w:rPr>
              <w:t xml:space="preserve">, together with other </w:t>
            </w:r>
            <w:r w:rsidR="00077300">
              <w:rPr>
                <w:rFonts w:ascii="Times New Roman" w:hAnsi="Times New Roman"/>
                <w:sz w:val="24"/>
                <w:szCs w:val="24"/>
              </w:rPr>
              <w:t>provisions under the NRP Regulation,</w:t>
            </w:r>
            <w:r w:rsidR="00BD5837">
              <w:rPr>
                <w:rFonts w:ascii="Times New Roman" w:hAnsi="Times New Roman"/>
                <w:sz w:val="24"/>
                <w:szCs w:val="24"/>
              </w:rPr>
              <w:t xml:space="preserve"> aims at ensuring the necessary financial flexibility to allocate the U</w:t>
            </w:r>
            <w:r w:rsidR="003675B8">
              <w:rPr>
                <w:rFonts w:ascii="Times New Roman" w:hAnsi="Times New Roman"/>
                <w:sz w:val="24"/>
                <w:szCs w:val="24"/>
              </w:rPr>
              <w:t>nion</w:t>
            </w:r>
            <w:r w:rsidR="00BD5837">
              <w:rPr>
                <w:rFonts w:ascii="Times New Roman" w:hAnsi="Times New Roman"/>
                <w:sz w:val="24"/>
                <w:szCs w:val="24"/>
              </w:rPr>
              <w:t xml:space="preserve"> support under the three Home Affairs policy areas according to</w:t>
            </w:r>
            <w:r w:rsidR="00AB19A9">
              <w:rPr>
                <w:rFonts w:ascii="Times New Roman" w:hAnsi="Times New Roman"/>
                <w:sz w:val="24"/>
                <w:szCs w:val="24"/>
              </w:rPr>
              <w:t xml:space="preserve"> actual</w:t>
            </w:r>
            <w:r w:rsidR="00BD5837">
              <w:rPr>
                <w:rFonts w:ascii="Times New Roman" w:hAnsi="Times New Roman"/>
                <w:sz w:val="24"/>
                <w:szCs w:val="24"/>
              </w:rPr>
              <w:t xml:space="preserve"> needs, in line with EU priorities and in a targeted manner. </w:t>
            </w:r>
          </w:p>
        </w:tc>
      </w:tr>
    </w:tbl>
    <w:p w14:paraId="41D86A3C" w14:textId="77777777" w:rsidR="00554137" w:rsidRPr="00554137" w:rsidRDefault="00554137" w:rsidP="003421E2">
      <w:pPr>
        <w:widowControl w:val="0"/>
        <w:spacing w:before="120" w:after="120"/>
        <w:ind w:left="-426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sectPr w:rsidR="00554137" w:rsidRPr="005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79F2" w14:textId="77777777" w:rsidR="001E73C6" w:rsidRDefault="001E73C6" w:rsidP="00FF63EA">
      <w:pPr>
        <w:spacing w:after="0" w:line="240" w:lineRule="auto"/>
      </w:pPr>
      <w:r>
        <w:separator/>
      </w:r>
    </w:p>
  </w:endnote>
  <w:endnote w:type="continuationSeparator" w:id="0">
    <w:p w14:paraId="7989ED8C" w14:textId="77777777" w:rsidR="001E73C6" w:rsidRDefault="001E73C6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0497" w14:textId="77777777" w:rsidR="001E73C6" w:rsidRDefault="001E73C6" w:rsidP="00FF63EA">
      <w:pPr>
        <w:spacing w:after="0" w:line="240" w:lineRule="auto"/>
      </w:pPr>
      <w:r>
        <w:separator/>
      </w:r>
    </w:p>
  </w:footnote>
  <w:footnote w:type="continuationSeparator" w:id="0">
    <w:p w14:paraId="4C4AF13B" w14:textId="77777777" w:rsidR="001E73C6" w:rsidRDefault="001E73C6" w:rsidP="00FF63EA">
      <w:pPr>
        <w:spacing w:after="0" w:line="240" w:lineRule="auto"/>
      </w:pPr>
      <w:r>
        <w:continuationSeparator/>
      </w:r>
    </w:p>
  </w:footnote>
  <w:footnote w:id="1">
    <w:p w14:paraId="2E35B8E5" w14:textId="5CED5449" w:rsidR="00D1310B" w:rsidRPr="003421E2" w:rsidRDefault="00D1310B" w:rsidP="003421E2">
      <w:pPr>
        <w:pStyle w:val="FootnoteText"/>
        <w:widowControl w:val="0"/>
        <w:spacing w:after="0" w:line="240" w:lineRule="auto"/>
        <w:jc w:val="both"/>
        <w:rPr>
          <w:rFonts w:ascii="Times New Roman" w:hAnsi="Times New Roman"/>
          <w:lang w:val="fr-BE"/>
        </w:rPr>
      </w:pPr>
      <w:r w:rsidRPr="003421E2">
        <w:rPr>
          <w:rStyle w:val="FootnoteReference"/>
          <w:rFonts w:ascii="Times New Roman" w:hAnsi="Times New Roman"/>
        </w:rPr>
        <w:footnoteRef/>
      </w:r>
      <w:r w:rsidRPr="003421E2">
        <w:rPr>
          <w:rFonts w:ascii="Times New Roman" w:hAnsi="Times New Roman"/>
          <w:lang w:val="fr-BE"/>
        </w:rPr>
        <w:t xml:space="preserve"> </w:t>
      </w:r>
      <w:r w:rsidRPr="003421E2">
        <w:rPr>
          <w:rFonts w:ascii="Times New Roman" w:hAnsi="Times New Roman"/>
          <w:lang w:val="fr-BE"/>
        </w:rPr>
        <w:tab/>
        <w:t>ST 6261 2026 INIT (</w:t>
      </w:r>
      <w:hyperlink r:id="rId1" w:history="1">
        <w:r w:rsidRPr="003421E2">
          <w:rPr>
            <w:rStyle w:val="Hyperlink"/>
            <w:rFonts w:ascii="Times New Roman" w:hAnsi="Times New Roman"/>
            <w:lang w:val="fr-BE"/>
          </w:rPr>
          <w:t>EUR-L</w:t>
        </w:r>
        <w:r w:rsidRPr="003421E2">
          <w:rPr>
            <w:rStyle w:val="Hyperlink"/>
            <w:rFonts w:ascii="Times New Roman" w:hAnsi="Times New Roman"/>
            <w:lang w:val="fr-BE"/>
          </w:rPr>
          <w:t>e</w:t>
        </w:r>
        <w:r w:rsidRPr="003421E2">
          <w:rPr>
            <w:rStyle w:val="Hyperlink"/>
            <w:rFonts w:ascii="Times New Roman" w:hAnsi="Times New Roman"/>
            <w:lang w:val="fr-BE"/>
          </w:rPr>
          <w:t>x - ST_6261_2026_INIT - EN - EUR-Lex</w:t>
        </w:r>
      </w:hyperlink>
      <w:r w:rsidRPr="003421E2">
        <w:rPr>
          <w:rFonts w:ascii="Times New Roman" w:hAnsi="Times New Roman"/>
          <w:lang w:val="fr-BE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6372E"/>
    <w:multiLevelType w:val="hybridMultilevel"/>
    <w:tmpl w:val="B804FC1A"/>
    <w:lvl w:ilvl="0" w:tplc="061816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2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160D5"/>
    <w:rsid w:val="0002226D"/>
    <w:rsid w:val="00046B15"/>
    <w:rsid w:val="00050DC7"/>
    <w:rsid w:val="0007139F"/>
    <w:rsid w:val="00076109"/>
    <w:rsid w:val="00077300"/>
    <w:rsid w:val="00077C4F"/>
    <w:rsid w:val="000D4D2E"/>
    <w:rsid w:val="000E461D"/>
    <w:rsid w:val="000E4F9F"/>
    <w:rsid w:val="000F0274"/>
    <w:rsid w:val="000F1134"/>
    <w:rsid w:val="000F5FD8"/>
    <w:rsid w:val="001167C0"/>
    <w:rsid w:val="001253E6"/>
    <w:rsid w:val="00131457"/>
    <w:rsid w:val="00135C2A"/>
    <w:rsid w:val="001932E5"/>
    <w:rsid w:val="001B0E0B"/>
    <w:rsid w:val="001B3EDB"/>
    <w:rsid w:val="001C4138"/>
    <w:rsid w:val="001E73C6"/>
    <w:rsid w:val="001F2EC6"/>
    <w:rsid w:val="001F65D0"/>
    <w:rsid w:val="00217E59"/>
    <w:rsid w:val="00277088"/>
    <w:rsid w:val="002C5C9E"/>
    <w:rsid w:val="002F03FA"/>
    <w:rsid w:val="002F33F9"/>
    <w:rsid w:val="003004D2"/>
    <w:rsid w:val="00305074"/>
    <w:rsid w:val="003220E7"/>
    <w:rsid w:val="003349A3"/>
    <w:rsid w:val="00336266"/>
    <w:rsid w:val="003421E2"/>
    <w:rsid w:val="003455C1"/>
    <w:rsid w:val="00361BCB"/>
    <w:rsid w:val="0036713C"/>
    <w:rsid w:val="003675B8"/>
    <w:rsid w:val="00377967"/>
    <w:rsid w:val="00386143"/>
    <w:rsid w:val="003B58DC"/>
    <w:rsid w:val="003F22E0"/>
    <w:rsid w:val="003F3217"/>
    <w:rsid w:val="003F686E"/>
    <w:rsid w:val="00433EF6"/>
    <w:rsid w:val="00442552"/>
    <w:rsid w:val="00455A1C"/>
    <w:rsid w:val="004675B5"/>
    <w:rsid w:val="004770D6"/>
    <w:rsid w:val="00480C2F"/>
    <w:rsid w:val="004817E7"/>
    <w:rsid w:val="0049246C"/>
    <w:rsid w:val="004A73C1"/>
    <w:rsid w:val="004A7932"/>
    <w:rsid w:val="004C1689"/>
    <w:rsid w:val="004C7604"/>
    <w:rsid w:val="004F6117"/>
    <w:rsid w:val="004F63F1"/>
    <w:rsid w:val="004F651E"/>
    <w:rsid w:val="00510AE3"/>
    <w:rsid w:val="0052596B"/>
    <w:rsid w:val="00535371"/>
    <w:rsid w:val="00554137"/>
    <w:rsid w:val="00554D8D"/>
    <w:rsid w:val="00573835"/>
    <w:rsid w:val="00581306"/>
    <w:rsid w:val="005C3105"/>
    <w:rsid w:val="005C6CAE"/>
    <w:rsid w:val="005D79ED"/>
    <w:rsid w:val="005E3999"/>
    <w:rsid w:val="00660189"/>
    <w:rsid w:val="00692C2F"/>
    <w:rsid w:val="00695797"/>
    <w:rsid w:val="00696A5E"/>
    <w:rsid w:val="006B3B69"/>
    <w:rsid w:val="0071213D"/>
    <w:rsid w:val="00734613"/>
    <w:rsid w:val="00751910"/>
    <w:rsid w:val="00751E60"/>
    <w:rsid w:val="007547B5"/>
    <w:rsid w:val="00795606"/>
    <w:rsid w:val="00795A9E"/>
    <w:rsid w:val="007A606D"/>
    <w:rsid w:val="007C2214"/>
    <w:rsid w:val="007C7E79"/>
    <w:rsid w:val="00807B48"/>
    <w:rsid w:val="008135CA"/>
    <w:rsid w:val="0081584F"/>
    <w:rsid w:val="00834AE8"/>
    <w:rsid w:val="00867694"/>
    <w:rsid w:val="008703BF"/>
    <w:rsid w:val="00872211"/>
    <w:rsid w:val="008750B3"/>
    <w:rsid w:val="008925CE"/>
    <w:rsid w:val="008A146F"/>
    <w:rsid w:val="008C4D41"/>
    <w:rsid w:val="009175C1"/>
    <w:rsid w:val="009478A1"/>
    <w:rsid w:val="00981F45"/>
    <w:rsid w:val="00994805"/>
    <w:rsid w:val="00994D12"/>
    <w:rsid w:val="009A3524"/>
    <w:rsid w:val="009B128B"/>
    <w:rsid w:val="009B5A37"/>
    <w:rsid w:val="009C43EC"/>
    <w:rsid w:val="009C76B0"/>
    <w:rsid w:val="00A014E8"/>
    <w:rsid w:val="00A16F07"/>
    <w:rsid w:val="00A62C7B"/>
    <w:rsid w:val="00A7709A"/>
    <w:rsid w:val="00AA0D0B"/>
    <w:rsid w:val="00AB19A9"/>
    <w:rsid w:val="00AB5E78"/>
    <w:rsid w:val="00AE1842"/>
    <w:rsid w:val="00AE3C7C"/>
    <w:rsid w:val="00B27A2D"/>
    <w:rsid w:val="00B31306"/>
    <w:rsid w:val="00B31846"/>
    <w:rsid w:val="00B3605E"/>
    <w:rsid w:val="00B42814"/>
    <w:rsid w:val="00B83936"/>
    <w:rsid w:val="00BD5837"/>
    <w:rsid w:val="00BD6EB7"/>
    <w:rsid w:val="00BE50AC"/>
    <w:rsid w:val="00BE568F"/>
    <w:rsid w:val="00C069BD"/>
    <w:rsid w:val="00C214B9"/>
    <w:rsid w:val="00C3320E"/>
    <w:rsid w:val="00C37BDD"/>
    <w:rsid w:val="00C5195A"/>
    <w:rsid w:val="00C54D27"/>
    <w:rsid w:val="00C76EEB"/>
    <w:rsid w:val="00C7775A"/>
    <w:rsid w:val="00CB1FB5"/>
    <w:rsid w:val="00CF0A3B"/>
    <w:rsid w:val="00D01F5A"/>
    <w:rsid w:val="00D1310B"/>
    <w:rsid w:val="00D1323B"/>
    <w:rsid w:val="00D1716E"/>
    <w:rsid w:val="00D235DB"/>
    <w:rsid w:val="00D64E05"/>
    <w:rsid w:val="00D72286"/>
    <w:rsid w:val="00D92FD3"/>
    <w:rsid w:val="00DA3B6E"/>
    <w:rsid w:val="00DB7581"/>
    <w:rsid w:val="00DC70C1"/>
    <w:rsid w:val="00DE5180"/>
    <w:rsid w:val="00E55542"/>
    <w:rsid w:val="00E710D3"/>
    <w:rsid w:val="00E755D8"/>
    <w:rsid w:val="00E83C12"/>
    <w:rsid w:val="00E904C8"/>
    <w:rsid w:val="00EA1BBF"/>
    <w:rsid w:val="00EB29A9"/>
    <w:rsid w:val="00EB77D2"/>
    <w:rsid w:val="00F116DE"/>
    <w:rsid w:val="00F255F7"/>
    <w:rsid w:val="00F313E6"/>
    <w:rsid w:val="00F316C8"/>
    <w:rsid w:val="00F3395D"/>
    <w:rsid w:val="00F57564"/>
    <w:rsid w:val="00F632DE"/>
    <w:rsid w:val="00F735E4"/>
    <w:rsid w:val="00F92741"/>
    <w:rsid w:val="00FB7834"/>
    <w:rsid w:val="00FD4B6A"/>
    <w:rsid w:val="00FD75DB"/>
    <w:rsid w:val="00FE12AF"/>
    <w:rsid w:val="00FF03A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Data">
    <w:name w:val="List Data"/>
    <w:rsid w:val="00C3320E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18"/>
      <w:szCs w:val="18"/>
      <w:lang w:val="fr-BE" w:eastAsia="fr-BE"/>
    </w:rPr>
  </w:style>
  <w:style w:type="paragraph" w:styleId="Revision">
    <w:name w:val="Revision"/>
    <w:hidden/>
    <w:uiPriority w:val="99"/>
    <w:semiHidden/>
    <w:rsid w:val="005C6CAE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4A7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3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73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3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73C1"/>
    <w:rPr>
      <w:b/>
      <w:bCs/>
      <w:lang w:eastAsia="en-US"/>
    </w:rPr>
  </w:style>
  <w:style w:type="paragraph" w:customStyle="1" w:styleId="ListHeader">
    <w:name w:val="List Header"/>
    <w:uiPriority w:val="99"/>
    <w:rsid w:val="003F22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18"/>
      <w:szCs w:val="18"/>
      <w:lang w:val="fr-BE" w:eastAsia="fr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10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310B"/>
    <w:rPr>
      <w:lang w:eastAsia="en-US"/>
    </w:rPr>
  </w:style>
  <w:style w:type="character" w:styleId="FootnoteReference">
    <w:name w:val="footnote reference"/>
    <w:uiPriority w:val="99"/>
    <w:semiHidden/>
    <w:unhideWhenUsed/>
    <w:rsid w:val="00D1310B"/>
    <w:rPr>
      <w:vertAlign w:val="superscript"/>
    </w:rPr>
  </w:style>
  <w:style w:type="character" w:styleId="Hyperlink">
    <w:name w:val="Hyperlink"/>
    <w:uiPriority w:val="99"/>
    <w:unhideWhenUsed/>
    <w:rsid w:val="00D131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10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932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onsil:ST_6261_2026_I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CD91-0ACA-463D-BD19-A85E13A1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3583</Characters>
  <Application>Microsoft Office Word</Application>
  <DocSecurity>0</DocSecurity>
  <Lines>55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3</cp:revision>
  <cp:lastPrinted>2026-03-27T07:54:00Z</cp:lastPrinted>
  <dcterms:created xsi:type="dcterms:W3CDTF">2026-05-05T08:14:00Z</dcterms:created>
  <dcterms:modified xsi:type="dcterms:W3CDTF">2026-05-05T08:15:00Z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</Properties>
</file>