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1"/>
      </w:tblGrid>
      <w:tr w:rsidR="00EE5A54" w:rsidRPr="00442552" w14:paraId="34222E23" w14:textId="77777777" w:rsidTr="00591409">
        <w:trPr>
          <w:jc w:val="center"/>
        </w:trPr>
        <w:tc>
          <w:tcPr>
            <w:tcW w:w="10101" w:type="dxa"/>
          </w:tcPr>
          <w:p w14:paraId="01A50E4C" w14:textId="6FB24A07" w:rsidR="00EE5A54" w:rsidRPr="00807B48" w:rsidRDefault="00C85643" w:rsidP="000F5FD8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</w:t>
            </w:r>
            <w:r w:rsidR="00EE5A54" w:rsidRPr="009E0B2A">
              <w:rPr>
                <w:rFonts w:ascii="Times New Roman" w:hAnsi="Times New Roman"/>
                <w:b/>
                <w:sz w:val="24"/>
                <w:szCs w:val="24"/>
              </w:rPr>
              <w:t>uality in employment and working conditions</w:t>
            </w:r>
            <w:r w:rsidR="00381D7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81D72" w:rsidRPr="00AC5BEF">
              <w:rPr>
                <w:rFonts w:ascii="Times New Roman" w:hAnsi="Times New Roman"/>
                <w:b/>
                <w:sz w:val="24"/>
                <w:szCs w:val="24"/>
              </w:rPr>
              <w:t>(exploratory opinion requested by the Cypriot presidency)</w:t>
            </w:r>
            <w:r w:rsidR="00EE5A54" w:rsidRPr="00AC5BE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E5A54" w:rsidRPr="005E4401">
              <w:rPr>
                <w:rFonts w:ascii="Times New Roman" w:hAnsi="Times New Roman"/>
                <w:b/>
                <w:sz w:val="24"/>
                <w:szCs w:val="24"/>
              </w:rPr>
              <w:t>EESC-2025-03786</w:t>
            </w:r>
            <w:r w:rsidR="00EE5A54" w:rsidRPr="00AC5B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5A54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‒ </w:t>
            </w:r>
            <w:r w:rsidR="00EE5A54">
              <w:rPr>
                <w:rFonts w:ascii="Times New Roman" w:hAnsi="Times New Roman"/>
                <w:b/>
                <w:sz w:val="24"/>
                <w:szCs w:val="24"/>
              </w:rPr>
              <w:t>SOC/850</w:t>
            </w:r>
            <w:r w:rsidR="00EE5A54"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E5A54">
              <w:rPr>
                <w:rFonts w:ascii="Times New Roman" w:hAnsi="Times New Roman"/>
                <w:b/>
                <w:sz w:val="24"/>
                <w:szCs w:val="24"/>
              </w:rPr>
              <w:t>604</w:t>
            </w:r>
            <w:r w:rsidR="00EE5A54" w:rsidRPr="00C8564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EE5A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5A54" w:rsidRPr="00AE3C7C">
              <w:rPr>
                <w:rFonts w:ascii="Times New Roman" w:hAnsi="Times New Roman"/>
                <w:b/>
                <w:sz w:val="24"/>
                <w:szCs w:val="24"/>
              </w:rPr>
              <w:t>Plenary Session –</w:t>
            </w:r>
            <w:r w:rsidR="00EE5A54">
              <w:rPr>
                <w:rFonts w:ascii="Times New Roman" w:hAnsi="Times New Roman"/>
                <w:b/>
                <w:sz w:val="24"/>
                <w:szCs w:val="24"/>
              </w:rPr>
              <w:t xml:space="preserve"> March 2026</w:t>
            </w:r>
            <w:r w:rsidR="00EE5A54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>Rapporteur:</w:t>
            </w:r>
            <w:r w:rsidR="00EE5A54">
              <w:rPr>
                <w:rFonts w:ascii="Times New Roman" w:hAnsi="Times New Roman"/>
                <w:b/>
                <w:sz w:val="24"/>
                <w:szCs w:val="24"/>
              </w:rPr>
              <w:t xml:space="preserve"> Nicoletta MERLO (IT-II)</w:t>
            </w:r>
            <w:r w:rsidR="00EE5A54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>DG</w:t>
            </w:r>
            <w:r w:rsidR="00EE5A54">
              <w:rPr>
                <w:rFonts w:ascii="Times New Roman" w:hAnsi="Times New Roman"/>
                <w:b/>
                <w:sz w:val="24"/>
                <w:szCs w:val="24"/>
              </w:rPr>
              <w:t xml:space="preserve"> EMPL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5A54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– Commissioner </w:t>
            </w:r>
            <w:r w:rsidR="00381D72">
              <w:rPr>
                <w:rFonts w:ascii="Times New Roman" w:hAnsi="Times New Roman"/>
                <w:b/>
                <w:sz w:val="24"/>
                <w:szCs w:val="24"/>
              </w:rPr>
              <w:t>MÎNZATU</w:t>
            </w:r>
          </w:p>
        </w:tc>
      </w:tr>
      <w:tr w:rsidR="00734613" w:rsidRPr="00442552" w14:paraId="1937071F" w14:textId="77777777" w:rsidTr="00591409">
        <w:trPr>
          <w:jc w:val="center"/>
        </w:trPr>
        <w:tc>
          <w:tcPr>
            <w:tcW w:w="10101" w:type="dxa"/>
          </w:tcPr>
          <w:p w14:paraId="1E50B4DB" w14:textId="1D9B26E5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European Commission position on points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C85643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591409">
        <w:trPr>
          <w:jc w:val="center"/>
        </w:trPr>
        <w:tc>
          <w:tcPr>
            <w:tcW w:w="10101" w:type="dxa"/>
          </w:tcPr>
          <w:p w14:paraId="00B08CA6" w14:textId="633DD16F" w:rsidR="00C85643" w:rsidRDefault="00C85643" w:rsidP="00A1740A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1628F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Commission welcomes the Committee’s opinion on 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Enhancing quality in employment and working conditions by introducing and promoting related tools (including 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artificial intelligence (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>AI)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and strengthening social dialogue and collective bargaining</w:t>
            </w:r>
            <w:r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09477430" w14:textId="0646820D" w:rsidR="00F73899" w:rsidRPr="00AC5BEF" w:rsidRDefault="00CA2CFB" w:rsidP="00A1740A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Concerning </w:t>
            </w:r>
            <w:r w:rsidR="00C31911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>point</w:t>
            </w:r>
            <w:r w:rsidR="007F3990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>s</w:t>
            </w:r>
            <w:r w:rsidR="00C31911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 xml:space="preserve"> 1.8</w:t>
            </w:r>
            <w:r w:rsidR="00535431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 xml:space="preserve"> and </w:t>
            </w:r>
            <w:r w:rsidR="007F3990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>2.7</w:t>
            </w:r>
            <w:r w:rsidR="0053543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="00DF2E4E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the Commission notes that it has responded on 10 March 2026 to the</w:t>
            </w:r>
            <w:r w:rsid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53543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European Parliament resolution of 17 December 2025 with recommendations to the</w:t>
            </w:r>
            <w:r w:rsidR="00C85643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53543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Commission on digitalisation, artificial intelligence and algorithmic management in the workplace – shaping the</w:t>
            </w:r>
            <w:r w:rsidR="002522C6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53543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future of work</w:t>
            </w:r>
            <w:r w:rsidR="00381D72" w:rsidRPr="00AC5BEF">
              <w:rPr>
                <w:lang w:val="en-IE"/>
              </w:rPr>
              <w:footnoteReference w:id="1"/>
            </w:r>
            <w:r w:rsidR="00F41FEE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, via a letter from the Commissioner for Trade and Economic Security</w:t>
            </w:r>
            <w:r w:rsidR="00F73899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, Interinstitutional Relations and Transparency, to the President of the European Parliament</w:t>
            </w:r>
            <w:r w:rsidR="00DF2E4E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.</w:t>
            </w:r>
          </w:p>
          <w:p w14:paraId="1710C9C0" w14:textId="1C93E679" w:rsidR="00520EFF" w:rsidRPr="00591409" w:rsidRDefault="00520EFF" w:rsidP="00EE5A5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Concerning </w:t>
            </w:r>
            <w:r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>point</w:t>
            </w:r>
            <w:r w:rsidR="00B211E3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 xml:space="preserve"> </w:t>
            </w:r>
            <w:r w:rsidR="00CA091B" w:rsidRPr="00AC5BEF">
              <w:rPr>
                <w:rFonts w:ascii="Times New Roman" w:hAnsi="Times New Roman"/>
                <w:sz w:val="24"/>
                <w:szCs w:val="24"/>
                <w:u w:val="single"/>
                <w:lang w:val="en-IE"/>
              </w:rPr>
              <w:t>3.4.8</w:t>
            </w:r>
            <w:r w:rsidR="00CA091B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, the Commission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DB1497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notes that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guidelines and secondary legislation related to AI</w:t>
            </w:r>
            <w:r w:rsid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Act</w:t>
            </w:r>
            <w:r w:rsidR="00381D72" w:rsidRPr="00AC5BEF">
              <w:rPr>
                <w:lang w:val="en-IE"/>
              </w:rPr>
              <w:footnoteReference w:id="2"/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implementation are subject to extensive periods of public consultation. In addition, the</w:t>
            </w:r>
            <w:r w:rsidR="00381D72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Commission has organised workshops for stakeholders to discuss 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implementation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of the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1E07B2" w:rsidRPr="00927184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AI Act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and </w:t>
            </w:r>
            <w:r w:rsidR="00121AC8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reached out to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social partners </w:t>
            </w:r>
            <w:r w:rsidR="00121AC8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ensure their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active </w:t>
            </w:r>
            <w:r w:rsidR="00121AC8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participation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. The Commission is also endeavouring to ensure that</w:t>
            </w:r>
            <w:r w:rsidR="00E818BE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in the frame of the applications received,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social partners are adequately represented in the</w:t>
            </w:r>
            <w:r w:rsid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Advisory Forum to be established pursuant to Article</w:t>
            </w:r>
            <w:r w:rsidR="001E229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67 of the AI</w:t>
            </w:r>
            <w:r w:rsidR="001E229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Act. </w:t>
            </w:r>
            <w:r w:rsidR="00C46AD0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Furthermore, t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he</w:t>
            </w:r>
            <w:r w:rsid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Commission has published </w:t>
            </w:r>
            <w:r w:rsidR="00C46AD0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relevant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guidelines, including on the definition of AI system, on prohibited AI practices, and on the obligations applicable </w:t>
            </w:r>
            <w:r w:rsidR="00A43C1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to </w:t>
            </w:r>
            <w:r w:rsidR="00495A56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GPAI</w:t>
            </w:r>
            <w:r w:rsidR="00C85643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C46AD0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(General Purpose Artificial Intelligence </w:t>
            </w:r>
            <w:r w:rsidR="00495A5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models</w:t>
            </w:r>
            <w:r w:rsidR="008331D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The Commission </w:t>
            </w:r>
            <w:r w:rsidR="00FE5CD0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is 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also </w:t>
            </w:r>
            <w:r w:rsidR="00495A5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preparing guidelines covering </w:t>
            </w:r>
            <w:r w:rsidR="00FE5CD0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other relevant </w:t>
            </w:r>
            <w:r w:rsidR="00495A5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matters such as on the</w:t>
            </w:r>
            <w:r w:rsid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classification and obligations applicable to high-risk AI systems, and the</w:t>
            </w:r>
            <w:r w:rsidR="001E229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application of transparency requirements under Article</w:t>
            </w:r>
            <w:r w:rsidR="001E229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495A5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50 of the AI Act.</w:t>
            </w:r>
            <w:r w:rsidR="00121AC8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651D9C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00FA7406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he AI Office</w:t>
            </w:r>
            <w:r w:rsidR="002920BF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E405DE"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maintains close </w:t>
            </w:r>
            <w:r w:rsidR="00651D9C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cooperation with other Directorates-General of the Commission, as appropriate.</w:t>
            </w:r>
          </w:p>
          <w:p w14:paraId="30D14481" w14:textId="4094D9E3" w:rsidR="0049246C" w:rsidRPr="00AC5BEF" w:rsidRDefault="00AF09F4" w:rsidP="00EE5A54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IE"/>
              </w:rPr>
            </w:pP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>On 4 December 2025</w:t>
            </w:r>
            <w:r w:rsidR="001E229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,</w:t>
            </w: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 Commission launched a consultation of social partners, under Article</w:t>
            </w:r>
            <w:r w:rsidR="001E229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154 </w:t>
            </w:r>
            <w:r w:rsidR="001E229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of the Treaty on the Functioning of the European Union (</w:t>
            </w: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>TFEU</w:t>
            </w:r>
            <w:r w:rsidR="001E2291" w:rsidRPr="00591409">
              <w:rPr>
                <w:rFonts w:ascii="Times New Roman" w:hAnsi="Times New Roman"/>
                <w:sz w:val="24"/>
                <w:szCs w:val="24"/>
                <w:lang w:val="en-IE"/>
              </w:rPr>
              <w:t>)</w:t>
            </w: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on 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the </w:t>
            </w: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possible direction of EU action to improve working conditions, health and safety at work and implementation of workers’ rights 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>for a</w:t>
            </w:r>
            <w:r w:rsidR="00B72B53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Pr="00591409">
              <w:rPr>
                <w:rFonts w:ascii="Times New Roman" w:hAnsi="Times New Roman"/>
                <w:sz w:val="24"/>
                <w:szCs w:val="24"/>
                <w:lang w:val="en-IE"/>
              </w:rPr>
              <w:t>Quality Jobs Ac</w:t>
            </w:r>
            <w:r w:rsidR="00420163">
              <w:rPr>
                <w:rFonts w:ascii="Times New Roman" w:hAnsi="Times New Roman"/>
                <w:sz w:val="24"/>
                <w:szCs w:val="24"/>
                <w:lang w:val="en-IE"/>
              </w:rPr>
              <w:t>t</w:t>
            </w:r>
            <w:r w:rsidR="001E07B2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. </w:t>
            </w:r>
            <w:r w:rsidR="00AB6B6C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The consultation is still ongoing.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</w:t>
            </w:r>
            <w:r w:rsidR="00C85643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Commission will </w:t>
            </w:r>
            <w:proofErr w:type="gramStart"/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>take into account</w:t>
            </w:r>
            <w:proofErr w:type="gramEnd"/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the</w:t>
            </w:r>
            <w:r w:rsidR="002522C6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="001F7AC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recommendations 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>of the EESC</w:t>
            </w:r>
            <w:r w:rsidR="001F7AC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, </w:t>
            </w:r>
            <w:r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in line with </w:t>
            </w:r>
            <w:r w:rsidR="006478DF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the Better Regulation</w:t>
            </w:r>
            <w:r w:rsidR="001F7AC1" w:rsidRPr="00AC5BEF">
              <w:rPr>
                <w:rFonts w:ascii="Times New Roman" w:hAnsi="Times New Roman"/>
                <w:sz w:val="24"/>
                <w:szCs w:val="24"/>
                <w:lang w:val="en-IE"/>
              </w:rPr>
              <w:t xml:space="preserve"> </w:t>
            </w:r>
            <w:r w:rsidR="00622CCA" w:rsidRPr="00AC5BEF">
              <w:rPr>
                <w:rFonts w:ascii="Times New Roman" w:hAnsi="Times New Roman"/>
                <w:sz w:val="24"/>
                <w:szCs w:val="24"/>
                <w:lang w:val="en-IE"/>
              </w:rPr>
              <w:t>requirements.</w:t>
            </w:r>
          </w:p>
        </w:tc>
      </w:tr>
    </w:tbl>
    <w:p w14:paraId="4B31F071" w14:textId="77777777" w:rsidR="00077C4F" w:rsidRPr="00235FB8" w:rsidRDefault="00077C4F" w:rsidP="00235FB8">
      <w:pPr>
        <w:ind w:left="-709"/>
        <w:rPr>
          <w:rFonts w:ascii="Times New Roman" w:hAnsi="Times New Roman"/>
          <w:sz w:val="16"/>
          <w:szCs w:val="16"/>
        </w:rPr>
      </w:pPr>
    </w:p>
    <w:sectPr w:rsidR="00077C4F" w:rsidRPr="0023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991A" w14:textId="77777777" w:rsidR="00FF63EA" w:rsidRDefault="00FF63EA" w:rsidP="00FF63EA">
      <w:pPr>
        <w:spacing w:after="0" w:line="240" w:lineRule="auto"/>
      </w:pPr>
      <w:r>
        <w:separator/>
      </w:r>
    </w:p>
  </w:endnote>
  <w:endnote w:type="continuationSeparator" w:id="0">
    <w:p w14:paraId="4F20E001" w14:textId="77777777" w:rsidR="00FF63EA" w:rsidRDefault="00FF63EA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41E3" w14:textId="77777777" w:rsidR="00FF63EA" w:rsidRDefault="00FF63EA" w:rsidP="00FF63EA">
      <w:pPr>
        <w:spacing w:after="0" w:line="240" w:lineRule="auto"/>
      </w:pPr>
      <w:r>
        <w:separator/>
      </w:r>
    </w:p>
  </w:footnote>
  <w:footnote w:type="continuationSeparator" w:id="0">
    <w:p w14:paraId="2E5903DE" w14:textId="77777777" w:rsidR="00FF63EA" w:rsidRDefault="00FF63EA" w:rsidP="00FF63EA">
      <w:pPr>
        <w:spacing w:after="0" w:line="240" w:lineRule="auto"/>
      </w:pPr>
      <w:r>
        <w:continuationSeparator/>
      </w:r>
    </w:p>
  </w:footnote>
  <w:footnote w:id="1">
    <w:p w14:paraId="14E34DE4" w14:textId="5AE7BE80" w:rsidR="00381D72" w:rsidRPr="0069396F" w:rsidRDefault="00381D72" w:rsidP="00AC5BEF">
      <w:pPr>
        <w:pStyle w:val="FootnoteText"/>
        <w:spacing w:after="0" w:line="240" w:lineRule="auto"/>
        <w:ind w:right="-426" w:hanging="284"/>
        <w:jc w:val="both"/>
        <w:rPr>
          <w:rFonts w:ascii="Times New Roman" w:hAnsi="Times New Roman"/>
          <w:lang w:val="en-IE"/>
        </w:rPr>
      </w:pPr>
      <w:r w:rsidRPr="00AC5BEF">
        <w:rPr>
          <w:rStyle w:val="FootnoteReference"/>
          <w:rFonts w:ascii="Times New Roman" w:hAnsi="Times New Roman"/>
        </w:rPr>
        <w:footnoteRef/>
      </w:r>
      <w:r w:rsidRPr="0069396F">
        <w:rPr>
          <w:rFonts w:ascii="Times New Roman" w:hAnsi="Times New Roman"/>
          <w:lang w:val="en-IE"/>
        </w:rPr>
        <w:t xml:space="preserve"> </w:t>
      </w:r>
      <w:r w:rsidRPr="0069396F">
        <w:rPr>
          <w:rFonts w:ascii="Times New Roman" w:hAnsi="Times New Roman"/>
          <w:lang w:val="en-IE"/>
        </w:rPr>
        <w:tab/>
        <w:t>2025/2080(INL); (</w:t>
      </w:r>
      <w:hyperlink r:id="rId1" w:history="1">
        <w:r w:rsidRPr="0069396F">
          <w:rPr>
            <w:rStyle w:val="Hyperlink"/>
            <w:rFonts w:ascii="Times New Roman" w:hAnsi="Times New Roman"/>
            <w:lang w:val="en-IE"/>
          </w:rPr>
          <w:t>Procedure File: 2025/2080(INL) | Legislative Observatory | European Parliament</w:t>
        </w:r>
      </w:hyperlink>
      <w:r w:rsidRPr="0069396F">
        <w:rPr>
          <w:rFonts w:ascii="Times New Roman" w:hAnsi="Times New Roman"/>
          <w:lang w:val="en-IE"/>
        </w:rPr>
        <w:t>).</w:t>
      </w:r>
    </w:p>
  </w:footnote>
  <w:footnote w:id="2">
    <w:p w14:paraId="4B25FB72" w14:textId="3FA9AAB8" w:rsidR="00381D72" w:rsidRPr="00AC5BEF" w:rsidRDefault="00381D72" w:rsidP="00AC5BEF">
      <w:pPr>
        <w:pStyle w:val="FootnoteText"/>
        <w:spacing w:after="0" w:line="240" w:lineRule="auto"/>
        <w:ind w:right="-426" w:hanging="284"/>
        <w:jc w:val="both"/>
        <w:rPr>
          <w:rFonts w:ascii="Times New Roman" w:hAnsi="Times New Roman"/>
          <w:lang w:val="en-IE"/>
        </w:rPr>
      </w:pPr>
      <w:r w:rsidRPr="00AC5BEF">
        <w:rPr>
          <w:rStyle w:val="FootnoteReference"/>
          <w:rFonts w:ascii="Times New Roman" w:hAnsi="Times New Roman"/>
        </w:rPr>
        <w:footnoteRef/>
      </w:r>
      <w:r w:rsidRPr="00AC5BEF">
        <w:rPr>
          <w:rFonts w:ascii="Times New Roman" w:hAnsi="Times New Roman"/>
        </w:rPr>
        <w:t xml:space="preserve"> </w:t>
      </w:r>
      <w:r w:rsidRPr="00AC5BEF">
        <w:rPr>
          <w:rFonts w:ascii="Times New Roman" w:hAnsi="Times New Roman"/>
          <w:lang w:val="en-IE"/>
        </w:rPr>
        <w:tab/>
      </w:r>
      <w:r w:rsidRPr="00AC5BEF">
        <w:rPr>
          <w:rFonts w:ascii="Times New Roman" w:hAnsi="Times New Roman"/>
        </w:rPr>
        <w:t>Regulation (EU) 2024/1689 of the European Parliament and of the Council of 13 June 2024 laying down harmonised rules on artificial intelligence and amending Regulations (EC) No 300/2008, (EU) No 167/2013, (EU) No 168/2013, (EU) 2018/858, (EU) 2018/1139 and (EU) 2019/2144 and Directives 2014/90/EU, (EU) 2016/797 and (EU)</w:t>
      </w:r>
      <w:r w:rsidR="00AB038B">
        <w:rPr>
          <w:rFonts w:ascii="Times New Roman" w:hAnsi="Times New Roman"/>
        </w:rPr>
        <w:t> </w:t>
      </w:r>
      <w:r w:rsidRPr="00AC5BEF">
        <w:rPr>
          <w:rFonts w:ascii="Times New Roman" w:hAnsi="Times New Roman"/>
        </w:rPr>
        <w:t>2020/1828 (Artificial Intelligence Act); (</w:t>
      </w:r>
      <w:hyperlink r:id="rId2" w:tooltip="Gives access to this document through its ELI URI." w:history="1">
        <w:r w:rsidRPr="00AC5BEF">
          <w:rPr>
            <w:rStyle w:val="Hyperlink"/>
            <w:rFonts w:ascii="Times New Roman" w:hAnsi="Times New Roman"/>
          </w:rPr>
          <w:t>http://data.europa.eu/eli/reg/2024/1689/oj</w:t>
        </w:r>
      </w:hyperlink>
      <w:r w:rsidRPr="00AC5BEF">
        <w:rPr>
          <w:rFonts w:ascii="Times New Roman" w:hAnsi="Times New Roman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213C2"/>
    <w:rsid w:val="00046B15"/>
    <w:rsid w:val="00050DC7"/>
    <w:rsid w:val="00056209"/>
    <w:rsid w:val="00073C07"/>
    <w:rsid w:val="00073CE7"/>
    <w:rsid w:val="00076109"/>
    <w:rsid w:val="00077C4F"/>
    <w:rsid w:val="00080B4C"/>
    <w:rsid w:val="000B344D"/>
    <w:rsid w:val="000E0A67"/>
    <w:rsid w:val="000F5FD8"/>
    <w:rsid w:val="001108EA"/>
    <w:rsid w:val="001167C0"/>
    <w:rsid w:val="00121AC8"/>
    <w:rsid w:val="00135C2A"/>
    <w:rsid w:val="001369AE"/>
    <w:rsid w:val="0019193E"/>
    <w:rsid w:val="001B0E0B"/>
    <w:rsid w:val="001C64C6"/>
    <w:rsid w:val="001E07B2"/>
    <w:rsid w:val="001E2291"/>
    <w:rsid w:val="001F2EC6"/>
    <w:rsid w:val="001F65D0"/>
    <w:rsid w:val="001F7AC1"/>
    <w:rsid w:val="00217E59"/>
    <w:rsid w:val="00235FB8"/>
    <w:rsid w:val="00242BBF"/>
    <w:rsid w:val="002504C3"/>
    <w:rsid w:val="002522C6"/>
    <w:rsid w:val="00253F6C"/>
    <w:rsid w:val="002566AE"/>
    <w:rsid w:val="002920BF"/>
    <w:rsid w:val="002B418E"/>
    <w:rsid w:val="002F03FA"/>
    <w:rsid w:val="003004D2"/>
    <w:rsid w:val="003349A3"/>
    <w:rsid w:val="00366B5A"/>
    <w:rsid w:val="00377967"/>
    <w:rsid w:val="00381D72"/>
    <w:rsid w:val="00386143"/>
    <w:rsid w:val="003B58DC"/>
    <w:rsid w:val="003F686E"/>
    <w:rsid w:val="00420163"/>
    <w:rsid w:val="00442552"/>
    <w:rsid w:val="0044570C"/>
    <w:rsid w:val="00455A1C"/>
    <w:rsid w:val="004675B5"/>
    <w:rsid w:val="0047089D"/>
    <w:rsid w:val="0047490E"/>
    <w:rsid w:val="004770D6"/>
    <w:rsid w:val="0049246C"/>
    <w:rsid w:val="00495A56"/>
    <w:rsid w:val="004B07C5"/>
    <w:rsid w:val="004C7FA6"/>
    <w:rsid w:val="004F6117"/>
    <w:rsid w:val="004F63F1"/>
    <w:rsid w:val="004F651E"/>
    <w:rsid w:val="00520EFF"/>
    <w:rsid w:val="0052596B"/>
    <w:rsid w:val="00531F4A"/>
    <w:rsid w:val="00535431"/>
    <w:rsid w:val="00554D8D"/>
    <w:rsid w:val="00562781"/>
    <w:rsid w:val="00573835"/>
    <w:rsid w:val="00576707"/>
    <w:rsid w:val="00581306"/>
    <w:rsid w:val="00583DFB"/>
    <w:rsid w:val="00591409"/>
    <w:rsid w:val="005B0614"/>
    <w:rsid w:val="005C3105"/>
    <w:rsid w:val="005D4187"/>
    <w:rsid w:val="005E4401"/>
    <w:rsid w:val="00622CCA"/>
    <w:rsid w:val="006478DF"/>
    <w:rsid w:val="00651D9C"/>
    <w:rsid w:val="00657AB3"/>
    <w:rsid w:val="006836D4"/>
    <w:rsid w:val="00692C2F"/>
    <w:rsid w:val="0069396F"/>
    <w:rsid w:val="00695797"/>
    <w:rsid w:val="00696A5E"/>
    <w:rsid w:val="006B3B69"/>
    <w:rsid w:val="006C2501"/>
    <w:rsid w:val="006F2A2B"/>
    <w:rsid w:val="0070180B"/>
    <w:rsid w:val="00725639"/>
    <w:rsid w:val="00734613"/>
    <w:rsid w:val="00751910"/>
    <w:rsid w:val="00751E60"/>
    <w:rsid w:val="007547B5"/>
    <w:rsid w:val="00763946"/>
    <w:rsid w:val="00795A9E"/>
    <w:rsid w:val="007A606D"/>
    <w:rsid w:val="007C2214"/>
    <w:rsid w:val="007E41FD"/>
    <w:rsid w:val="007F3990"/>
    <w:rsid w:val="00807B48"/>
    <w:rsid w:val="008135CA"/>
    <w:rsid w:val="0081584F"/>
    <w:rsid w:val="008331D1"/>
    <w:rsid w:val="008703BF"/>
    <w:rsid w:val="008925CE"/>
    <w:rsid w:val="008B478E"/>
    <w:rsid w:val="008C4D41"/>
    <w:rsid w:val="00910FEE"/>
    <w:rsid w:val="00945E99"/>
    <w:rsid w:val="00956B10"/>
    <w:rsid w:val="00981F45"/>
    <w:rsid w:val="00994D12"/>
    <w:rsid w:val="009B128B"/>
    <w:rsid w:val="009D7CAB"/>
    <w:rsid w:val="009E0B2A"/>
    <w:rsid w:val="00A16F07"/>
    <w:rsid w:val="00A1740A"/>
    <w:rsid w:val="00A270B9"/>
    <w:rsid w:val="00A43C16"/>
    <w:rsid w:val="00A62C7B"/>
    <w:rsid w:val="00A7709A"/>
    <w:rsid w:val="00AB038B"/>
    <w:rsid w:val="00AB6B6C"/>
    <w:rsid w:val="00AC5BEF"/>
    <w:rsid w:val="00AE1842"/>
    <w:rsid w:val="00AE3C7C"/>
    <w:rsid w:val="00AF09F4"/>
    <w:rsid w:val="00AF213F"/>
    <w:rsid w:val="00B1415A"/>
    <w:rsid w:val="00B211E3"/>
    <w:rsid w:val="00B31306"/>
    <w:rsid w:val="00B42814"/>
    <w:rsid w:val="00B72B53"/>
    <w:rsid w:val="00B83936"/>
    <w:rsid w:val="00BD6EB7"/>
    <w:rsid w:val="00C267CB"/>
    <w:rsid w:val="00C31911"/>
    <w:rsid w:val="00C46AD0"/>
    <w:rsid w:val="00C54D27"/>
    <w:rsid w:val="00C76D5B"/>
    <w:rsid w:val="00C76EEB"/>
    <w:rsid w:val="00C85643"/>
    <w:rsid w:val="00CA091B"/>
    <w:rsid w:val="00CA2CFB"/>
    <w:rsid w:val="00D01F5A"/>
    <w:rsid w:val="00D1716E"/>
    <w:rsid w:val="00D21A9E"/>
    <w:rsid w:val="00D24778"/>
    <w:rsid w:val="00D43E91"/>
    <w:rsid w:val="00D64E05"/>
    <w:rsid w:val="00D8753E"/>
    <w:rsid w:val="00D92FD3"/>
    <w:rsid w:val="00DA3B6E"/>
    <w:rsid w:val="00DB1497"/>
    <w:rsid w:val="00DB704A"/>
    <w:rsid w:val="00DB7581"/>
    <w:rsid w:val="00DC70C1"/>
    <w:rsid w:val="00DF2E4E"/>
    <w:rsid w:val="00E12E3D"/>
    <w:rsid w:val="00E405DE"/>
    <w:rsid w:val="00E57076"/>
    <w:rsid w:val="00E670A8"/>
    <w:rsid w:val="00E818BE"/>
    <w:rsid w:val="00E83C12"/>
    <w:rsid w:val="00E86377"/>
    <w:rsid w:val="00E904C8"/>
    <w:rsid w:val="00EA0028"/>
    <w:rsid w:val="00EA0D87"/>
    <w:rsid w:val="00EA1BBF"/>
    <w:rsid w:val="00EB29A9"/>
    <w:rsid w:val="00EB77D2"/>
    <w:rsid w:val="00EE5A54"/>
    <w:rsid w:val="00F2029B"/>
    <w:rsid w:val="00F316C8"/>
    <w:rsid w:val="00F41FEE"/>
    <w:rsid w:val="00F424B1"/>
    <w:rsid w:val="00F632DE"/>
    <w:rsid w:val="00F735E4"/>
    <w:rsid w:val="00F73899"/>
    <w:rsid w:val="00FA7406"/>
    <w:rsid w:val="00FB7834"/>
    <w:rsid w:val="00FD4B6A"/>
    <w:rsid w:val="00FE3BEC"/>
    <w:rsid w:val="00FE4619"/>
    <w:rsid w:val="00FE5CD0"/>
    <w:rsid w:val="00FF03A8"/>
    <w:rsid w:val="00FF63EA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4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4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0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E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E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EFF"/>
    <w:rPr>
      <w:b/>
      <w:bCs/>
      <w:lang w:eastAsia="en-US"/>
    </w:rPr>
  </w:style>
  <w:style w:type="paragraph" w:styleId="Revision">
    <w:name w:val="Revision"/>
    <w:hidden/>
    <w:uiPriority w:val="99"/>
    <w:semiHidden/>
    <w:rsid w:val="008331D1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1D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D7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1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data.europa.eu/eli/reg/2024/1689/oj" TargetMode="External"/><Relationship Id="rId1" Type="http://schemas.openxmlformats.org/officeDocument/2006/relationships/hyperlink" Target="https://oeil.europarl.europa.eu/oeil/en/procedure-file?reference=2025/2080(INL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54060C0C5A94FB12E027BCBAC218B" ma:contentTypeVersion="23" ma:contentTypeDescription="Create a new document." ma:contentTypeScope="" ma:versionID="a9185f7a18f2a2e61c8e80ae1d7763e1">
  <xsd:schema xmlns:xsd="http://www.w3.org/2001/XMLSchema" xmlns:xs="http://www.w3.org/2001/XMLSchema" xmlns:p="http://schemas.microsoft.com/office/2006/metadata/properties" xmlns:ns2="562a1a36-15aa-4aa7-ac2f-2b6c645cc5e0" xmlns:ns3="7e60aea5-a6e3-4f93-8f8b-12f7b1a08f3d" targetNamespace="http://schemas.microsoft.com/office/2006/metadata/properties" ma:root="true" ma:fieldsID="1922178a48a0e2a33b46e621207670e0" ns2:_="" ns3:_="">
    <xsd:import namespace="562a1a36-15aa-4aa7-ac2f-2b6c645cc5e0"/>
    <xsd:import namespace="7e60aea5-a6e3-4f93-8f8b-12f7b1a08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Contribu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CASTalready" minOccurs="0"/>
                <xsd:element ref="ns3:CASTFGIV" minOccurs="0"/>
                <xsd:element ref="ns3:Candidate" minOccurs="0"/>
                <xsd:element ref="ns3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1a36-15aa-4aa7-ac2f-2b6c645cc5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b87bb0-2d34-48c2-8dff-38acc4287db5}" ma:internalName="TaxCatchAll" ma:showField="CatchAllData" ma:web="562a1a36-15aa-4aa7-ac2f-2b6c645cc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aea5-a6e3-4f93-8f8b-12f7b1a0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ibution" ma:index="14" nillable="true" ma:displayName="Contribution" ma:format="Dropdown" ma:internalName="Con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2D&amp;TW"/>
                    <xsd:enumeration value="QFT"/>
                    <xsd:enumeration value="PWD"/>
                    <xsd:enumeration value="AI/AM"/>
                    <xsd:enumeration value="ALMP/SEMESTER"/>
                    <xsd:enumeration value="LTU"/>
                    <xsd:enumeration value="FOW"/>
                    <xsd:enumeration value="YOUTH"/>
                    <xsd:enumeration value="Choice 9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STalready" ma:index="25" nillable="true" ma:displayName="CAST already" ma:default="0" ma:format="Dropdown" ma:internalName="CASTalready">
      <xsd:simpleType>
        <xsd:restriction base="dms:Boolean"/>
      </xsd:simpleType>
    </xsd:element>
    <xsd:element name="CASTFGIV" ma:index="26" nillable="true" ma:displayName="CAST FGIV" ma:format="Dropdown" ma:internalName="CASTFGIV">
      <xsd:simpleType>
        <xsd:restriction base="dms:Choice">
          <xsd:enumeration value="Yes"/>
          <xsd:enumeration value="No"/>
        </xsd:restriction>
      </xsd:simpleType>
    </xsd:element>
    <xsd:element name="Candidate" ma:index="27" nillable="true" ma:displayName="Candidate" ma:format="Dropdown" ma:internalName="Candidate">
      <xsd:simpleType>
        <xsd:restriction base="dms:Text">
          <xsd:maxLength value="255"/>
        </xsd:restriction>
      </xsd:simpleType>
    </xsd:element>
    <xsd:element name="Printed" ma:index="28" nillable="true" ma:displayName="Printed" ma:format="Dropdown" ma:internalName="Prin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ion xmlns="7e60aea5-a6e3-4f93-8f8b-12f7b1a08f3d" xsi:nil="true"/>
    <CASTFGIV xmlns="7e60aea5-a6e3-4f93-8f8b-12f7b1a08f3d" xsi:nil="true"/>
    <TaxCatchAll xmlns="562a1a36-15aa-4aa7-ac2f-2b6c645cc5e0" xsi:nil="true"/>
    <CASTalready xmlns="7e60aea5-a6e3-4f93-8f8b-12f7b1a08f3d">false</CASTalready>
    <lcf76f155ced4ddcb4097134ff3c332f xmlns="7e60aea5-a6e3-4f93-8f8b-12f7b1a08f3d">
      <Terms xmlns="http://schemas.microsoft.com/office/infopath/2007/PartnerControls"/>
    </lcf76f155ced4ddcb4097134ff3c332f>
    <Printed xmlns="7e60aea5-a6e3-4f93-8f8b-12f7b1a08f3d" xsi:nil="true"/>
    <Candidate xmlns="7e60aea5-a6e3-4f93-8f8b-12f7b1a08f3d" xsi:nil="true"/>
  </documentManagement>
</p:properties>
</file>

<file path=customXml/itemProps1.xml><?xml version="1.0" encoding="utf-8"?>
<ds:datastoreItem xmlns:ds="http://schemas.openxmlformats.org/officeDocument/2006/customXml" ds:itemID="{FF8069B1-3D5F-4BB8-A38E-F5EFA69F3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91623-E530-4273-AFBD-4DD34178D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B79B6-76CB-4508-A5BC-D404C6B37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1a36-15aa-4aa7-ac2f-2b6c645cc5e0"/>
    <ds:schemaRef ds:uri="7e60aea5-a6e3-4f93-8f8b-12f7b1a08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39D5F-7548-40E8-AEB0-7D1BEBCBDCF8}">
  <ds:schemaRefs>
    <ds:schemaRef ds:uri="562a1a36-15aa-4aa7-ac2f-2b6c645cc5e0"/>
    <ds:schemaRef ds:uri="http://schemas.microsoft.com/office/2006/documentManagement/types"/>
    <ds:schemaRef ds:uri="http://schemas.microsoft.com/office/2006/metadata/properties"/>
    <ds:schemaRef ds:uri="7e60aea5-a6e3-4f93-8f8b-12f7b1a08f3d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2315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2</cp:revision>
  <cp:lastPrinted>2013-02-27T18:02:00Z</cp:lastPrinted>
  <dcterms:created xsi:type="dcterms:W3CDTF">2026-05-19T08:27:00Z</dcterms:created>
  <dcterms:modified xsi:type="dcterms:W3CDTF">2026-05-19T08:27:00Z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0x0101003A454060C0C5A94FB12E027BCBAC218B</vt:lpwstr>
  </property>
  <property fmtid="{D5CDD505-2E9C-101B-9397-08002B2CF9AE}" pid="10" name="MediaServiceImageTags">
    <vt:lpwstr/>
  </property>
</Properties>
</file>