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4AB419FC" w:rsidR="004D7AC0" w:rsidRDefault="00A912EA" w:rsidP="001766B2">
      <w:pPr>
        <w:jc w:val="center"/>
      </w:pPr>
      <w:r>
        <w:rPr>
          <w:noProof/>
        </w:rPr>
        <w:drawing>
          <wp:inline distT="0" distB="0" distL="0" distR="0" wp14:anchorId="41E501E1" wp14:editId="3F7D7311">
            <wp:extent cx="1792605" cy="1239520"/>
            <wp:effectExtent l="0" t="0" r="0" b="0"/>
            <wp:docPr id="1" name="Picture 1" title="EESCLogo_PT"/>
            <wp:cNvGraphicFramePr/>
            <a:graphic xmlns:a="http://schemas.openxmlformats.org/drawingml/2006/main">
              <a:graphicData uri="http://schemas.openxmlformats.org/drawingml/2006/picture">
                <pic:pic xmlns:pic="http://schemas.openxmlformats.org/drawingml/2006/picture">
                  <pic:nvPicPr>
                    <pic:cNvPr id="1" name="Picture 1" title="EESCLogo_P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7A55A4F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PT</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Bruxelas, 22 de maio de 2026</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605.ª REUNIÃO PLENÁRIA</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29 e 30 de abril de 2026</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Pr>
                <w:b/>
                <w:sz w:val="32"/>
              </w:rPr>
              <w:t>SÍNTESE DOS PARECERES, RESOLUÇÕES E RELATÓRIOS DE INFORMAÇÃO E AVALIAÇÃO ADOTADOS</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766B2">
            <w:pPr>
              <w:snapToGrid w:val="0"/>
              <w:jc w:val="center"/>
            </w:pPr>
            <w:r>
              <w:t>O presente documento pode ser consultado nas línguas oficiais da União Europeia no sítio Web do CESE, no seguinte endereço:</w:t>
            </w:r>
            <w:r>
              <w:br/>
            </w:r>
            <w:r>
              <w:br/>
            </w:r>
            <w:hyperlink r:id="rId13" w:history="1">
              <w:r>
                <w:rPr>
                  <w:rStyle w:val="Hyperlink"/>
                </w:rPr>
                <w:t>https://www.eesc.europa.e</w:t>
              </w:r>
              <w:r>
                <w:rPr>
                  <w:rStyle w:val="Hyperlink"/>
                </w:rPr>
                <w:t>u</w:t>
              </w:r>
              <w:r>
                <w:rPr>
                  <w:rStyle w:val="Hyperlink"/>
                </w:rPr>
                <w:t>/pt/our-work/opinions-information-reports/plenary-session-summaries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77777777" w:rsidR="004D7AC0" w:rsidRPr="00044561" w:rsidRDefault="004D7AC0" w:rsidP="001766B2">
            <w:pPr>
              <w:snapToGrid w:val="0"/>
              <w:jc w:val="center"/>
            </w:pPr>
            <w:r>
              <w:t xml:space="preserve">Os pareceres mencionados podem ser consultados em linha através do motor de busca do CESE: </w:t>
            </w:r>
            <w:r>
              <w:br/>
            </w:r>
            <w:r>
              <w:br/>
            </w:r>
            <w:hyperlink r:id="rId14" w:history="1">
              <w:r>
                <w:rPr>
                  <w:rStyle w:val="Hyperlink"/>
                </w:rPr>
                <w:t>https://dmsear</w:t>
              </w:r>
              <w:r>
                <w:rPr>
                  <w:rStyle w:val="Hyperlink"/>
                </w:rPr>
                <w:t>c</w:t>
              </w:r>
              <w:r>
                <w:rPr>
                  <w:rStyle w:val="Hyperlink"/>
                </w:rPr>
                <w:t>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footerReference w:type="default" r:id="rId15"/>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Índice</w:t>
      </w:r>
    </w:p>
    <w:p w14:paraId="2174B63A" w14:textId="77777777" w:rsidR="00A067F3" w:rsidRPr="00A81AFE" w:rsidRDefault="00A067F3" w:rsidP="001766B2">
      <w:pPr>
        <w:rPr>
          <w:b/>
        </w:rPr>
      </w:pPr>
    </w:p>
    <w:p w14:paraId="12991376" w14:textId="00FD2378" w:rsidR="00CC7257" w:rsidRDefault="00A067F3">
      <w:pPr>
        <w:pStyle w:val="TOC1"/>
        <w:tabs>
          <w:tab w:val="left" w:pos="440"/>
          <w:tab w:val="right" w:leader="dot" w:pos="9063"/>
        </w:tabs>
        <w:rPr>
          <w:rFonts w:asciiTheme="minorHAnsi" w:eastAsiaTheme="minorEastAsia" w:hAnsiTheme="minorHAnsi" w:cstheme="minorBidi"/>
          <w:noProof/>
          <w:lang w:eastAsia="pt-PT"/>
        </w:rPr>
      </w:pPr>
      <w:r>
        <w:fldChar w:fldCharType="begin"/>
      </w:r>
      <w:r>
        <w:instrText xml:space="preserve"> TOC \h \z \u \t "Heading 2,1" </w:instrText>
      </w:r>
      <w:r>
        <w:fldChar w:fldCharType="separate"/>
      </w:r>
      <w:hyperlink w:anchor="_Toc229495798" w:history="1">
        <w:r w:rsidR="00CC7257" w:rsidRPr="00052E1F">
          <w:rPr>
            <w:rStyle w:val="Hyperlink"/>
            <w:bCs/>
            <w:noProof/>
          </w:rPr>
          <w:t>1.</w:t>
        </w:r>
        <w:r w:rsidR="00CC7257">
          <w:rPr>
            <w:rFonts w:asciiTheme="minorHAnsi" w:eastAsiaTheme="minorEastAsia" w:hAnsiTheme="minorHAnsi" w:cstheme="minorBidi"/>
            <w:noProof/>
            <w:lang w:eastAsia="pt-PT"/>
          </w:rPr>
          <w:tab/>
        </w:r>
        <w:r w:rsidR="00CC7257" w:rsidRPr="00052E1F">
          <w:rPr>
            <w:rStyle w:val="Hyperlink"/>
            <w:noProof/>
          </w:rPr>
          <w:t>UNIÃO ECONÓMICA E MONETÁRIA E COESÃO ECONÓMICA E S</w:t>
        </w:r>
        <w:r w:rsidR="00CC7257" w:rsidRPr="00052E1F">
          <w:rPr>
            <w:rStyle w:val="Hyperlink"/>
            <w:noProof/>
          </w:rPr>
          <w:t>O</w:t>
        </w:r>
        <w:r w:rsidR="00CC7257" w:rsidRPr="00052E1F">
          <w:rPr>
            <w:rStyle w:val="Hyperlink"/>
            <w:noProof/>
          </w:rPr>
          <w:t>CIAL</w:t>
        </w:r>
        <w:r w:rsidR="00CC7257">
          <w:rPr>
            <w:noProof/>
            <w:webHidden/>
          </w:rPr>
          <w:tab/>
        </w:r>
        <w:r w:rsidR="00CC7257">
          <w:rPr>
            <w:noProof/>
            <w:webHidden/>
          </w:rPr>
          <w:fldChar w:fldCharType="begin"/>
        </w:r>
        <w:r w:rsidR="00CC7257">
          <w:rPr>
            <w:noProof/>
            <w:webHidden/>
          </w:rPr>
          <w:instrText xml:space="preserve"> PAGEREF _Toc229495798 \h </w:instrText>
        </w:r>
        <w:r w:rsidR="00CC7257">
          <w:rPr>
            <w:noProof/>
            <w:webHidden/>
          </w:rPr>
        </w:r>
        <w:r w:rsidR="00CC7257">
          <w:rPr>
            <w:noProof/>
            <w:webHidden/>
          </w:rPr>
          <w:fldChar w:fldCharType="separate"/>
        </w:r>
        <w:r w:rsidR="00CC7257">
          <w:rPr>
            <w:noProof/>
            <w:webHidden/>
          </w:rPr>
          <w:t>3</w:t>
        </w:r>
        <w:r w:rsidR="00CC7257">
          <w:rPr>
            <w:noProof/>
            <w:webHidden/>
          </w:rPr>
          <w:fldChar w:fldCharType="end"/>
        </w:r>
      </w:hyperlink>
    </w:p>
    <w:p w14:paraId="158C41DA" w14:textId="3FB19AEB" w:rsidR="00CC7257" w:rsidRDefault="00CC7257">
      <w:pPr>
        <w:pStyle w:val="TOC1"/>
        <w:tabs>
          <w:tab w:val="left" w:pos="440"/>
          <w:tab w:val="right" w:leader="dot" w:pos="9063"/>
        </w:tabs>
        <w:rPr>
          <w:rFonts w:asciiTheme="minorHAnsi" w:eastAsiaTheme="minorEastAsia" w:hAnsiTheme="minorHAnsi" w:cstheme="minorBidi"/>
          <w:noProof/>
          <w:lang w:eastAsia="pt-PT"/>
        </w:rPr>
      </w:pPr>
      <w:hyperlink w:anchor="_Toc229495799" w:history="1">
        <w:r w:rsidRPr="00052E1F">
          <w:rPr>
            <w:rStyle w:val="Hyperlink"/>
            <w:bCs/>
            <w:noProof/>
          </w:rPr>
          <w:t>2.</w:t>
        </w:r>
        <w:r>
          <w:rPr>
            <w:rFonts w:asciiTheme="minorHAnsi" w:eastAsiaTheme="minorEastAsia" w:hAnsiTheme="minorHAnsi" w:cstheme="minorBidi"/>
            <w:noProof/>
            <w:lang w:eastAsia="pt-PT"/>
          </w:rPr>
          <w:tab/>
        </w:r>
        <w:r w:rsidRPr="00052E1F">
          <w:rPr>
            <w:rStyle w:val="Hyperlink"/>
            <w:noProof/>
          </w:rPr>
          <w:t>EMPREGO, ASSUNTOS SOCIAIS E CIDADANIA</w:t>
        </w:r>
        <w:r>
          <w:rPr>
            <w:noProof/>
            <w:webHidden/>
          </w:rPr>
          <w:tab/>
        </w:r>
        <w:r>
          <w:rPr>
            <w:noProof/>
            <w:webHidden/>
          </w:rPr>
          <w:fldChar w:fldCharType="begin"/>
        </w:r>
        <w:r>
          <w:rPr>
            <w:noProof/>
            <w:webHidden/>
          </w:rPr>
          <w:instrText xml:space="preserve"> PAGEREF _Toc229495799 \h </w:instrText>
        </w:r>
        <w:r>
          <w:rPr>
            <w:noProof/>
            <w:webHidden/>
          </w:rPr>
        </w:r>
        <w:r>
          <w:rPr>
            <w:noProof/>
            <w:webHidden/>
          </w:rPr>
          <w:fldChar w:fldCharType="separate"/>
        </w:r>
        <w:r>
          <w:rPr>
            <w:noProof/>
            <w:webHidden/>
          </w:rPr>
          <w:t>7</w:t>
        </w:r>
        <w:r>
          <w:rPr>
            <w:noProof/>
            <w:webHidden/>
          </w:rPr>
          <w:fldChar w:fldCharType="end"/>
        </w:r>
      </w:hyperlink>
    </w:p>
    <w:p w14:paraId="40C71393" w14:textId="0CF114F9" w:rsidR="00CC7257" w:rsidRDefault="00CC7257">
      <w:pPr>
        <w:pStyle w:val="TOC1"/>
        <w:tabs>
          <w:tab w:val="left" w:pos="440"/>
          <w:tab w:val="right" w:leader="dot" w:pos="9063"/>
        </w:tabs>
        <w:rPr>
          <w:rFonts w:asciiTheme="minorHAnsi" w:eastAsiaTheme="minorEastAsia" w:hAnsiTheme="minorHAnsi" w:cstheme="minorBidi"/>
          <w:noProof/>
          <w:lang w:eastAsia="pt-PT"/>
        </w:rPr>
      </w:pPr>
      <w:hyperlink w:anchor="_Toc229495800" w:history="1">
        <w:r w:rsidRPr="00052E1F">
          <w:rPr>
            <w:rStyle w:val="Hyperlink"/>
            <w:bCs/>
            <w:noProof/>
          </w:rPr>
          <w:t>3.</w:t>
        </w:r>
        <w:r>
          <w:rPr>
            <w:rFonts w:asciiTheme="minorHAnsi" w:eastAsiaTheme="minorEastAsia" w:hAnsiTheme="minorHAnsi" w:cstheme="minorBidi"/>
            <w:noProof/>
            <w:lang w:eastAsia="pt-PT"/>
          </w:rPr>
          <w:tab/>
        </w:r>
        <w:r w:rsidRPr="00052E1F">
          <w:rPr>
            <w:rStyle w:val="Hyperlink"/>
            <w:noProof/>
          </w:rPr>
          <w:t>MERCADO ÚNICO, PRODUÇÃO E CONSUMO</w:t>
        </w:r>
        <w:r>
          <w:rPr>
            <w:noProof/>
            <w:webHidden/>
          </w:rPr>
          <w:tab/>
        </w:r>
        <w:r>
          <w:rPr>
            <w:noProof/>
            <w:webHidden/>
          </w:rPr>
          <w:fldChar w:fldCharType="begin"/>
        </w:r>
        <w:r>
          <w:rPr>
            <w:noProof/>
            <w:webHidden/>
          </w:rPr>
          <w:instrText xml:space="preserve"> PAGEREF _Toc229495800 \h </w:instrText>
        </w:r>
        <w:r>
          <w:rPr>
            <w:noProof/>
            <w:webHidden/>
          </w:rPr>
        </w:r>
        <w:r>
          <w:rPr>
            <w:noProof/>
            <w:webHidden/>
          </w:rPr>
          <w:fldChar w:fldCharType="separate"/>
        </w:r>
        <w:r>
          <w:rPr>
            <w:noProof/>
            <w:webHidden/>
          </w:rPr>
          <w:t>15</w:t>
        </w:r>
        <w:r>
          <w:rPr>
            <w:noProof/>
            <w:webHidden/>
          </w:rPr>
          <w:fldChar w:fldCharType="end"/>
        </w:r>
      </w:hyperlink>
    </w:p>
    <w:p w14:paraId="3046BDE7" w14:textId="66C101BB" w:rsidR="00CC7257" w:rsidRDefault="00CC7257">
      <w:pPr>
        <w:pStyle w:val="TOC1"/>
        <w:tabs>
          <w:tab w:val="left" w:pos="440"/>
          <w:tab w:val="right" w:leader="dot" w:pos="9063"/>
        </w:tabs>
        <w:rPr>
          <w:rFonts w:asciiTheme="minorHAnsi" w:eastAsiaTheme="minorEastAsia" w:hAnsiTheme="minorHAnsi" w:cstheme="minorBidi"/>
          <w:noProof/>
          <w:lang w:eastAsia="pt-PT"/>
        </w:rPr>
      </w:pPr>
      <w:hyperlink w:anchor="_Toc229495801" w:history="1">
        <w:r w:rsidRPr="00052E1F">
          <w:rPr>
            <w:rStyle w:val="Hyperlink"/>
            <w:bCs/>
            <w:noProof/>
          </w:rPr>
          <w:t>4.</w:t>
        </w:r>
        <w:r>
          <w:rPr>
            <w:rFonts w:asciiTheme="minorHAnsi" w:eastAsiaTheme="minorEastAsia" w:hAnsiTheme="minorHAnsi" w:cstheme="minorBidi"/>
            <w:noProof/>
            <w:lang w:eastAsia="pt-PT"/>
          </w:rPr>
          <w:tab/>
        </w:r>
        <w:r w:rsidRPr="00052E1F">
          <w:rPr>
            <w:rStyle w:val="Hyperlink"/>
            <w:noProof/>
          </w:rPr>
          <w:t>AGRICULTURA, DESENVOLVIMENTO RURAL E AMBIENTE</w:t>
        </w:r>
        <w:r>
          <w:rPr>
            <w:noProof/>
            <w:webHidden/>
          </w:rPr>
          <w:tab/>
        </w:r>
        <w:r>
          <w:rPr>
            <w:noProof/>
            <w:webHidden/>
          </w:rPr>
          <w:fldChar w:fldCharType="begin"/>
        </w:r>
        <w:r>
          <w:rPr>
            <w:noProof/>
            <w:webHidden/>
          </w:rPr>
          <w:instrText xml:space="preserve"> PAGEREF _Toc229495801 \h </w:instrText>
        </w:r>
        <w:r>
          <w:rPr>
            <w:noProof/>
            <w:webHidden/>
          </w:rPr>
        </w:r>
        <w:r>
          <w:rPr>
            <w:noProof/>
            <w:webHidden/>
          </w:rPr>
          <w:fldChar w:fldCharType="separate"/>
        </w:r>
        <w:r>
          <w:rPr>
            <w:noProof/>
            <w:webHidden/>
          </w:rPr>
          <w:t>29</w:t>
        </w:r>
        <w:r>
          <w:rPr>
            <w:noProof/>
            <w:webHidden/>
          </w:rPr>
          <w:fldChar w:fldCharType="end"/>
        </w:r>
      </w:hyperlink>
    </w:p>
    <w:p w14:paraId="24F0160B" w14:textId="229AB089" w:rsidR="00CC7257" w:rsidRDefault="00CC7257">
      <w:pPr>
        <w:pStyle w:val="TOC1"/>
        <w:tabs>
          <w:tab w:val="left" w:pos="440"/>
          <w:tab w:val="right" w:leader="dot" w:pos="9063"/>
        </w:tabs>
        <w:rPr>
          <w:rFonts w:asciiTheme="minorHAnsi" w:eastAsiaTheme="minorEastAsia" w:hAnsiTheme="minorHAnsi" w:cstheme="minorBidi"/>
          <w:noProof/>
          <w:lang w:eastAsia="pt-PT"/>
        </w:rPr>
      </w:pPr>
      <w:hyperlink w:anchor="_Toc229495802" w:history="1">
        <w:r w:rsidRPr="00052E1F">
          <w:rPr>
            <w:rStyle w:val="Hyperlink"/>
            <w:bCs/>
            <w:noProof/>
          </w:rPr>
          <w:t>5.</w:t>
        </w:r>
        <w:r>
          <w:rPr>
            <w:rFonts w:asciiTheme="minorHAnsi" w:eastAsiaTheme="minorEastAsia" w:hAnsiTheme="minorHAnsi" w:cstheme="minorBidi"/>
            <w:noProof/>
            <w:lang w:eastAsia="pt-PT"/>
          </w:rPr>
          <w:tab/>
        </w:r>
        <w:r w:rsidRPr="00052E1F">
          <w:rPr>
            <w:rStyle w:val="Hyperlink"/>
            <w:noProof/>
          </w:rPr>
          <w:t>RELAÇÕES EXTERNAS</w:t>
        </w:r>
        <w:r>
          <w:rPr>
            <w:noProof/>
            <w:webHidden/>
          </w:rPr>
          <w:tab/>
        </w:r>
        <w:r>
          <w:rPr>
            <w:noProof/>
            <w:webHidden/>
          </w:rPr>
          <w:fldChar w:fldCharType="begin"/>
        </w:r>
        <w:r>
          <w:rPr>
            <w:noProof/>
            <w:webHidden/>
          </w:rPr>
          <w:instrText xml:space="preserve"> PAGEREF _Toc229495802 \h </w:instrText>
        </w:r>
        <w:r>
          <w:rPr>
            <w:noProof/>
            <w:webHidden/>
          </w:rPr>
        </w:r>
        <w:r>
          <w:rPr>
            <w:noProof/>
            <w:webHidden/>
          </w:rPr>
          <w:fldChar w:fldCharType="separate"/>
        </w:r>
        <w:r>
          <w:rPr>
            <w:noProof/>
            <w:webHidden/>
          </w:rPr>
          <w:t>37</w:t>
        </w:r>
        <w:r>
          <w:rPr>
            <w:noProof/>
            <w:webHidden/>
          </w:rPr>
          <w:fldChar w:fldCharType="end"/>
        </w:r>
      </w:hyperlink>
    </w:p>
    <w:p w14:paraId="298A76A5" w14:textId="26AB0E90" w:rsidR="00CC7257" w:rsidRDefault="00CC7257">
      <w:pPr>
        <w:pStyle w:val="TOC1"/>
        <w:tabs>
          <w:tab w:val="left" w:pos="440"/>
          <w:tab w:val="right" w:leader="dot" w:pos="9063"/>
        </w:tabs>
        <w:rPr>
          <w:rFonts w:asciiTheme="minorHAnsi" w:eastAsiaTheme="minorEastAsia" w:hAnsiTheme="minorHAnsi" w:cstheme="minorBidi"/>
          <w:noProof/>
          <w:lang w:eastAsia="pt-PT"/>
        </w:rPr>
      </w:pPr>
      <w:hyperlink w:anchor="_Toc229495803" w:history="1">
        <w:r w:rsidRPr="00052E1F">
          <w:rPr>
            <w:rStyle w:val="Hyperlink"/>
            <w:bCs/>
            <w:noProof/>
          </w:rPr>
          <w:t>6.</w:t>
        </w:r>
        <w:r>
          <w:rPr>
            <w:rFonts w:asciiTheme="minorHAnsi" w:eastAsiaTheme="minorEastAsia" w:hAnsiTheme="minorHAnsi" w:cstheme="minorBidi"/>
            <w:noProof/>
            <w:lang w:eastAsia="pt-PT"/>
          </w:rPr>
          <w:tab/>
        </w:r>
        <w:r w:rsidRPr="00052E1F">
          <w:rPr>
            <w:rStyle w:val="Hyperlink"/>
            <w:noProof/>
          </w:rPr>
          <w:t>COMISSÃO CONSULTIVA DAS MUTAÇÕES INDUSTRIAIS</w:t>
        </w:r>
        <w:r>
          <w:rPr>
            <w:noProof/>
            <w:webHidden/>
          </w:rPr>
          <w:tab/>
        </w:r>
        <w:r>
          <w:rPr>
            <w:noProof/>
            <w:webHidden/>
          </w:rPr>
          <w:fldChar w:fldCharType="begin"/>
        </w:r>
        <w:r>
          <w:rPr>
            <w:noProof/>
            <w:webHidden/>
          </w:rPr>
          <w:instrText xml:space="preserve"> PAGEREF _Toc229495803 \h </w:instrText>
        </w:r>
        <w:r>
          <w:rPr>
            <w:noProof/>
            <w:webHidden/>
          </w:rPr>
        </w:r>
        <w:r>
          <w:rPr>
            <w:noProof/>
            <w:webHidden/>
          </w:rPr>
          <w:fldChar w:fldCharType="separate"/>
        </w:r>
        <w:r>
          <w:rPr>
            <w:noProof/>
            <w:webHidden/>
          </w:rPr>
          <w:t>41</w:t>
        </w:r>
        <w:r>
          <w:rPr>
            <w:noProof/>
            <w:webHidden/>
          </w:rPr>
          <w:fldChar w:fldCharType="end"/>
        </w:r>
      </w:hyperlink>
    </w:p>
    <w:p w14:paraId="4982DD6B" w14:textId="3FF658D4" w:rsidR="004D7AC0" w:rsidRDefault="00A067F3" w:rsidP="001766B2">
      <w:r>
        <w:fldChar w:fldCharType="end"/>
      </w:r>
    </w:p>
    <w:p w14:paraId="4982DD6C" w14:textId="77777777" w:rsidR="004D7AC0" w:rsidRDefault="004D7AC0" w:rsidP="001766B2">
      <w:pPr>
        <w:jc w:val="left"/>
      </w:pPr>
      <w:r>
        <w:br w:type="page"/>
      </w:r>
    </w:p>
    <w:p w14:paraId="4982DD6D" w14:textId="48287E99" w:rsidR="004D7AC0" w:rsidRPr="00A067F3" w:rsidRDefault="004D7AC0" w:rsidP="004C6742">
      <w:pPr>
        <w:pStyle w:val="Heading2"/>
      </w:pPr>
      <w:bookmarkStart w:id="0" w:name="_Toc229495798"/>
      <w:r>
        <w:lastRenderedPageBreak/>
        <w:t>UNIÃO ECONÓMICA E MONETÁRIA E COESÃO ECONÓMICA E SOCIAL</w:t>
      </w:r>
      <w:bookmarkEnd w:id="0"/>
    </w:p>
    <w:p w14:paraId="4982DD6E" w14:textId="77777777" w:rsidR="004D7AC0" w:rsidRDefault="004D7AC0" w:rsidP="001766B2"/>
    <w:p w14:paraId="258C871E" w14:textId="600FF6C6" w:rsidR="00F37962" w:rsidRPr="004C6742" w:rsidRDefault="008D063E"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16" w:history="1">
        <w:r w:rsidR="00A912EA">
          <w:rPr>
            <w:b/>
            <w:i/>
            <w:color w:val="0000FF"/>
            <w:sz w:val="28"/>
            <w:u w:val="single"/>
          </w:rPr>
          <w:t>Agenda estratégica da UE para cida</w:t>
        </w:r>
        <w:r w:rsidR="00A912EA">
          <w:rPr>
            <w:b/>
            <w:i/>
            <w:color w:val="0000FF"/>
            <w:sz w:val="28"/>
            <w:u w:val="single"/>
          </w:rPr>
          <w:t>d</w:t>
        </w:r>
        <w:r w:rsidR="00A912EA">
          <w:rPr>
            <w:b/>
            <w:i/>
            <w:color w:val="0000FF"/>
            <w:sz w:val="28"/>
            <w:u w:val="single"/>
          </w:rPr>
          <w:t>es habitáveis</w:t>
        </w:r>
      </w:hyperlink>
    </w:p>
    <w:p w14:paraId="050FF4D0" w14:textId="77777777" w:rsidR="00435FF5" w:rsidRPr="00E129EB" w:rsidRDefault="00435FF5" w:rsidP="004C6742">
      <w:pPr>
        <w:widowControl w:val="0"/>
        <w:overflowPunct w:val="0"/>
        <w:autoSpaceDE w:val="0"/>
        <w:autoSpaceDN w:val="0"/>
        <w:adjustRightInd w:val="0"/>
        <w:spacing w:after="120"/>
        <w:ind w:left="284" w:hanging="284"/>
        <w:textAlignment w:val="baseline"/>
        <w:rPr>
          <w:b/>
          <w:i/>
          <w:iCs/>
          <w:sz w:val="28"/>
          <w:szCs w:val="28"/>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37962" w:rsidRPr="00E129EB" w14:paraId="60D343A5" w14:textId="77777777" w:rsidTr="002E7EFB">
        <w:tc>
          <w:tcPr>
            <w:tcW w:w="1701" w:type="dxa"/>
          </w:tcPr>
          <w:p w14:paraId="1B284A7D"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Relator</w:t>
            </w:r>
          </w:p>
          <w:p w14:paraId="73BE66E9" w14:textId="77777777" w:rsidR="00F37962" w:rsidRPr="00E129EB" w:rsidRDefault="00F37962" w:rsidP="002E7EFB">
            <w:pPr>
              <w:tabs>
                <w:tab w:val="center" w:pos="284"/>
              </w:tabs>
              <w:overflowPunct w:val="0"/>
              <w:autoSpaceDE w:val="0"/>
              <w:autoSpaceDN w:val="0"/>
              <w:adjustRightInd w:val="0"/>
              <w:ind w:left="266" w:hanging="266"/>
              <w:textAlignment w:val="baseline"/>
              <w:rPr>
                <w:b/>
                <w:bCs/>
              </w:rPr>
            </w:pPr>
            <w:r>
              <w:rPr>
                <w:b/>
              </w:rPr>
              <w:t>Correlator</w:t>
            </w:r>
          </w:p>
        </w:tc>
        <w:tc>
          <w:tcPr>
            <w:tcW w:w="7621" w:type="dxa"/>
          </w:tcPr>
          <w:p w14:paraId="6A7F001D" w14:textId="5F7AE198" w:rsidR="00F37962" w:rsidRPr="00E129EB" w:rsidRDefault="00F37962" w:rsidP="002E7EFB">
            <w:pPr>
              <w:tabs>
                <w:tab w:val="center" w:pos="284"/>
              </w:tabs>
              <w:overflowPunct w:val="0"/>
              <w:autoSpaceDE w:val="0"/>
              <w:autoSpaceDN w:val="0"/>
              <w:adjustRightInd w:val="0"/>
              <w:ind w:left="266" w:hanging="266"/>
              <w:textAlignment w:val="baseline"/>
            </w:pPr>
            <w:r>
              <w:t>Florian Marin (RO – Grupo dos Trabalhadores)</w:t>
            </w:r>
          </w:p>
          <w:p w14:paraId="5228A3F8" w14:textId="082D71FE" w:rsidR="00F37962" w:rsidRDefault="00F37962" w:rsidP="002E7EFB">
            <w:pPr>
              <w:tabs>
                <w:tab w:val="center" w:pos="284"/>
              </w:tabs>
              <w:overflowPunct w:val="0"/>
              <w:autoSpaceDE w:val="0"/>
              <w:autoSpaceDN w:val="0"/>
              <w:adjustRightInd w:val="0"/>
              <w:ind w:left="266" w:hanging="266"/>
              <w:textAlignment w:val="baseline"/>
            </w:pPr>
            <w:r>
              <w:t>Roman Haken (CZ – Grupo das Organizações da Sociedade Civil)</w:t>
            </w:r>
          </w:p>
          <w:p w14:paraId="253441F6" w14:textId="77777777" w:rsidR="00D923C9" w:rsidRPr="00E129EB" w:rsidRDefault="00D923C9" w:rsidP="002E7EFB">
            <w:pPr>
              <w:tabs>
                <w:tab w:val="center" w:pos="284"/>
              </w:tabs>
              <w:overflowPunct w:val="0"/>
              <w:autoSpaceDE w:val="0"/>
              <w:autoSpaceDN w:val="0"/>
              <w:adjustRightInd w:val="0"/>
              <w:ind w:left="266" w:hanging="266"/>
              <w:textAlignment w:val="baseline"/>
              <w:rPr>
                <w:bCs/>
              </w:rPr>
            </w:pPr>
          </w:p>
        </w:tc>
      </w:tr>
      <w:tr w:rsidR="00F37962" w:rsidRPr="00E129EB" w14:paraId="5EE50BD3" w14:textId="77777777" w:rsidTr="002E7EFB">
        <w:tc>
          <w:tcPr>
            <w:tcW w:w="1701" w:type="dxa"/>
          </w:tcPr>
          <w:p w14:paraId="23D70382"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Referências</w:t>
            </w:r>
          </w:p>
        </w:tc>
        <w:tc>
          <w:tcPr>
            <w:tcW w:w="7621" w:type="dxa"/>
          </w:tcPr>
          <w:p w14:paraId="5B4DE008" w14:textId="77777777" w:rsidR="00D923C9" w:rsidRDefault="00F37962" w:rsidP="002E7EFB">
            <w:pPr>
              <w:tabs>
                <w:tab w:val="center" w:pos="284"/>
              </w:tabs>
              <w:overflowPunct w:val="0"/>
              <w:autoSpaceDE w:val="0"/>
              <w:autoSpaceDN w:val="0"/>
              <w:adjustRightInd w:val="0"/>
              <w:ind w:left="266" w:hanging="266"/>
              <w:textAlignment w:val="baseline"/>
            </w:pPr>
            <w:r>
              <w:t>COM(2025) 552 final</w:t>
            </w:r>
          </w:p>
          <w:p w14:paraId="0AAE61A7" w14:textId="18341FD5" w:rsidR="00F37962" w:rsidRPr="00E129EB" w:rsidRDefault="00F37962" w:rsidP="002E7EFB">
            <w:pPr>
              <w:tabs>
                <w:tab w:val="center" w:pos="284"/>
              </w:tabs>
              <w:overflowPunct w:val="0"/>
              <w:autoSpaceDE w:val="0"/>
              <w:autoSpaceDN w:val="0"/>
              <w:adjustRightInd w:val="0"/>
              <w:ind w:left="266" w:hanging="266"/>
              <w:textAlignment w:val="baseline"/>
            </w:pPr>
            <w:r>
              <w:t>EESC-2025-04288-00-00-AC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rPr>
      </w:pPr>
      <w:r>
        <w:rPr>
          <w:b/>
        </w:rPr>
        <w:t>Pontos principais</w:t>
      </w:r>
    </w:p>
    <w:p w14:paraId="639613BF"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p>
    <w:p w14:paraId="0F806F4A" w14:textId="77777777" w:rsidR="00F37962" w:rsidRDefault="00F37962" w:rsidP="00F37962">
      <w:pPr>
        <w:overflowPunct w:val="0"/>
        <w:autoSpaceDE w:val="0"/>
        <w:autoSpaceDN w:val="0"/>
        <w:adjustRightInd w:val="0"/>
        <w:textAlignment w:val="baseline"/>
        <w:rPr>
          <w:bCs/>
          <w:iCs/>
        </w:rPr>
      </w:pPr>
      <w:r>
        <w:t>O Comité Económico e Social Europeu:</w:t>
      </w:r>
    </w:p>
    <w:p w14:paraId="49864E90" w14:textId="77777777" w:rsidR="00ED1C2B" w:rsidRPr="00E129EB" w:rsidRDefault="00ED1C2B" w:rsidP="00F37962">
      <w:pPr>
        <w:overflowPunct w:val="0"/>
        <w:autoSpaceDE w:val="0"/>
        <w:autoSpaceDN w:val="0"/>
        <w:adjustRightInd w:val="0"/>
        <w:textAlignment w:val="baseline"/>
        <w:rPr>
          <w:bCs/>
          <w:iCs/>
          <w:lang w:val="en-GB"/>
        </w:rPr>
      </w:pPr>
    </w:p>
    <w:p w14:paraId="4D3A28BF"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considera que as cidades são a espinha dorsal do desenvolvimento económico, social e territorial da União Europeia (UE). São espaços fundamentais para a transformação social, ecológica e económica, onde a inovação deve ser orientada para a melhoria da qualidade de vida;</w:t>
      </w:r>
    </w:p>
    <w:p w14:paraId="4B3A1070"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embora se congratule com a abordagem complexa e a intenção da Comissão de reforçar a Agenda da UE para as Cidades e a sua visão global de cidades prósperas, habitáveis e inclusivas, considera que a agenda proposta ainda não corresponde às suas ambições declaradas; </w:t>
      </w:r>
    </w:p>
    <w:p w14:paraId="0D95657E"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recomenda a sua inclusão formal na proposta de Agenda da UE para as Cidades, juntamente com o Comité das Regiões Europeu (CR), refletindo o papel formal reconhecido do CESE no Acordo de Liubliana e no Pacto de Amesterdão e a sua participação ativa em todos os domínios da Agenda Urbana; </w:t>
      </w:r>
    </w:p>
    <w:p w14:paraId="37634D38"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propõe que a Agenda da UE para as Cidades se baseie firmemente na governação a vários níveis, no princípio da parceria e numa abordagem de base local. Deve assegurar um desenvolvimento territorial equilibrado e reforçar o diálogo social e cívico;</w:t>
      </w:r>
    </w:p>
    <w:p w14:paraId="77962AE4"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exorta, assim, a Comissão Europeia a:</w:t>
      </w:r>
    </w:p>
    <w:p w14:paraId="56F86CF4" w14:textId="22B5EA19" w:rsidR="00F37962" w:rsidRPr="00E129EB" w:rsidRDefault="00F37962" w:rsidP="00F37962">
      <w:pPr>
        <w:numPr>
          <w:ilvl w:val="0"/>
          <w:numId w:val="6"/>
        </w:numPr>
        <w:overflowPunct w:val="0"/>
        <w:autoSpaceDE w:val="0"/>
        <w:autoSpaceDN w:val="0"/>
        <w:adjustRightInd w:val="0"/>
        <w:contextualSpacing/>
        <w:textAlignment w:val="baseline"/>
        <w:rPr>
          <w:szCs w:val="20"/>
        </w:rPr>
      </w:pPr>
      <w:r>
        <w:t>reconhecer formalmente o CESE e as cidades como parceiros em pé de igualdade na elaboração das políticas urbanas da UE, e não apenas como intervenientes na execução, estabelecendo mecanismos permanentes e estruturados de governação a vários níveis;</w:t>
      </w:r>
    </w:p>
    <w:p w14:paraId="1378BDDC" w14:textId="37E29201" w:rsidR="00F37962" w:rsidRPr="00E129EB" w:rsidRDefault="00F37962" w:rsidP="00F37962">
      <w:pPr>
        <w:numPr>
          <w:ilvl w:val="0"/>
          <w:numId w:val="6"/>
        </w:numPr>
        <w:overflowPunct w:val="0"/>
        <w:autoSpaceDE w:val="0"/>
        <w:autoSpaceDN w:val="0"/>
        <w:adjustRightInd w:val="0"/>
        <w:contextualSpacing/>
        <w:textAlignment w:val="baseline"/>
        <w:rPr>
          <w:szCs w:val="20"/>
        </w:rPr>
      </w:pPr>
      <w:r>
        <w:t>reforçar o princípio da parceria, garantindo a participação sistemática e significativa da sociedade civil organizada ao longo de todo o ciclo político da Agenda da UE para as Cidades;</w:t>
      </w:r>
    </w:p>
    <w:p w14:paraId="1A186602" w14:textId="0A0810CD" w:rsidR="00F37962" w:rsidRPr="00E129EB" w:rsidRDefault="00F37962" w:rsidP="00F37962">
      <w:pPr>
        <w:numPr>
          <w:ilvl w:val="0"/>
          <w:numId w:val="6"/>
        </w:numPr>
        <w:overflowPunct w:val="0"/>
        <w:autoSpaceDE w:val="0"/>
        <w:autoSpaceDN w:val="0"/>
        <w:adjustRightInd w:val="0"/>
        <w:contextualSpacing/>
        <w:textAlignment w:val="baseline"/>
        <w:rPr>
          <w:szCs w:val="20"/>
        </w:rPr>
      </w:pPr>
      <w:r>
        <w:t>dotar a Agenda da UE para as Cidades de um quadro de ação concreto e operacional, incluindo responsabilidades claramente definidas, calendários e indicadores mensuráveis, e introduzindo avaliações sistemáticas do impacto territorial para avaliar os efeitos da legislação da UE nas cidades;</w:t>
      </w:r>
    </w:p>
    <w:p w14:paraId="350E2056" w14:textId="7279332E" w:rsidR="00F37962" w:rsidRPr="00E129EB" w:rsidRDefault="00F37962" w:rsidP="00F37962">
      <w:pPr>
        <w:numPr>
          <w:ilvl w:val="0"/>
          <w:numId w:val="6"/>
        </w:numPr>
        <w:overflowPunct w:val="0"/>
        <w:autoSpaceDE w:val="0"/>
        <w:autoSpaceDN w:val="0"/>
        <w:adjustRightInd w:val="0"/>
        <w:contextualSpacing/>
        <w:textAlignment w:val="baseline"/>
        <w:rPr>
          <w:szCs w:val="20"/>
        </w:rPr>
      </w:pPr>
      <w:r>
        <w:t>assegurar um financiamento adequado, previsível e acessível para o desenvolvimento urbano, incluindo o acesso direto das cidades ao financiamento da UE;</w:t>
      </w:r>
    </w:p>
    <w:p w14:paraId="79FB5343" w14:textId="2EAD5A15" w:rsidR="00F37962" w:rsidRPr="00E129EB" w:rsidRDefault="00F37962" w:rsidP="00F37962">
      <w:pPr>
        <w:numPr>
          <w:ilvl w:val="0"/>
          <w:numId w:val="6"/>
        </w:numPr>
        <w:overflowPunct w:val="0"/>
        <w:autoSpaceDE w:val="0"/>
        <w:autoSpaceDN w:val="0"/>
        <w:adjustRightInd w:val="0"/>
        <w:contextualSpacing/>
        <w:textAlignment w:val="baseline"/>
        <w:rPr>
          <w:szCs w:val="20"/>
        </w:rPr>
      </w:pPr>
      <w:r>
        <w:t>promover uma abordagem integrada, orientada para projetos e de base local da coesão territorial, reforçando explicitamente a complementaridade entre as cidades e as zonas rurais;</w:t>
      </w:r>
    </w:p>
    <w:p w14:paraId="39B6313E" w14:textId="4B65A089" w:rsidR="00F37962" w:rsidRPr="00E129EB" w:rsidRDefault="00F37962" w:rsidP="00F37962">
      <w:pPr>
        <w:numPr>
          <w:ilvl w:val="0"/>
          <w:numId w:val="6"/>
        </w:numPr>
        <w:overflowPunct w:val="0"/>
        <w:autoSpaceDE w:val="0"/>
        <w:autoSpaceDN w:val="0"/>
        <w:adjustRightInd w:val="0"/>
        <w:contextualSpacing/>
        <w:textAlignment w:val="baseline"/>
        <w:rPr>
          <w:szCs w:val="20"/>
        </w:rPr>
      </w:pPr>
      <w:r>
        <w:t>desenvolver um diálogo urbano a nível da UE no âmbito da plataforma Cidades da UE, destinado a salientar a importância do papel do diálogo social e civil nas questões relacionadas com o emprego;</w:t>
      </w:r>
    </w:p>
    <w:p w14:paraId="1D8BF3C3" w14:textId="14CC777F" w:rsidR="00F37962" w:rsidRPr="00E129EB" w:rsidRDefault="00F37962" w:rsidP="00F37962">
      <w:pPr>
        <w:numPr>
          <w:ilvl w:val="0"/>
          <w:numId w:val="6"/>
        </w:numPr>
        <w:overflowPunct w:val="0"/>
        <w:autoSpaceDE w:val="0"/>
        <w:autoSpaceDN w:val="0"/>
        <w:adjustRightInd w:val="0"/>
        <w:contextualSpacing/>
        <w:textAlignment w:val="baseline"/>
        <w:rPr>
          <w:szCs w:val="20"/>
        </w:rPr>
      </w:pPr>
      <w:r>
        <w:lastRenderedPageBreak/>
        <w:t>aumentar o fundo de assistência técnica dedicado às cidades e introduzir uma iniciativa europeia específica ou um fundo centrado diretamente em projetos urbanos;</w:t>
      </w:r>
    </w:p>
    <w:p w14:paraId="1D134A52"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 xml:space="preserve">propor normas de consulta claras para assegurar uma participação significativa, oportuna e representativa dos parceiros sociais e da sociedade civil a todos os níveis; </w:t>
      </w:r>
    </w:p>
    <w:p w14:paraId="0816F466"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estabelecer um quadro unificado a nível da UE para a recolha e a comunicação de dados urbanos, a fim de garantir a comparabilidade dos indicadores e a eficácia do acompanhamento em todos os Estados-Membros;</w:t>
      </w:r>
    </w:p>
    <w:p w14:paraId="73AAA0E7" w14:textId="031100CF" w:rsidR="00F37962" w:rsidRPr="00E129EB" w:rsidRDefault="00F37962" w:rsidP="00F37962">
      <w:pPr>
        <w:numPr>
          <w:ilvl w:val="0"/>
          <w:numId w:val="6"/>
        </w:numPr>
        <w:overflowPunct w:val="0"/>
        <w:autoSpaceDE w:val="0"/>
        <w:autoSpaceDN w:val="0"/>
        <w:adjustRightInd w:val="0"/>
        <w:contextualSpacing/>
        <w:textAlignment w:val="baseline"/>
        <w:rPr>
          <w:szCs w:val="20"/>
        </w:rPr>
      </w:pPr>
      <w:r>
        <w:t>reconhecer a habitação como uma questão social e económica estrutural e não como um resultado do mercado, e solicitar um quadro da UE que garanta o acesso a habitação a preços acessíveis;</w:t>
      </w:r>
    </w:p>
    <w:p w14:paraId="73EBB26E"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considera que o principal mecanismo utilizado para executar o financiamento da política de coesão europeia através de uma abordagem integrada e de base local é o desenvolvimento local de base comunitária (DLBC). Nas cidades/zonas urbanas, o desenvolvimento local de base comunitária nas zonas urbanas (DLBC-U) deve ir além do seu estatuto atual de projeto-piloto e ser reconhecido como um dos instrumentos mais eficazes para dinamizar as comunidades locais, gerar emprego, reforçar a economia social e envolver as partes interessadas;</w:t>
      </w:r>
    </w:p>
    <w:p w14:paraId="3429112F"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 xml:space="preserve">entende que deve ser introduzida uma medida específica para consolidar o DLBC-U no futuro, assegurando a sua inclusão formal nos processos de decisão a nível da UE e em consultas técnicas específicas com peritos.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04"/>
      </w:tblGrid>
      <w:tr w:rsidR="00F37962" w:rsidRPr="00CC7257" w14:paraId="51E81DDF" w14:textId="77777777" w:rsidTr="00CC7257">
        <w:tc>
          <w:tcPr>
            <w:tcW w:w="1951" w:type="dxa"/>
          </w:tcPr>
          <w:p w14:paraId="59A59456" w14:textId="77777777" w:rsidR="00F37962" w:rsidRPr="00CC7257" w:rsidRDefault="00F37962" w:rsidP="002E7EFB">
            <w:pPr>
              <w:overflowPunct w:val="0"/>
              <w:autoSpaceDE w:val="0"/>
              <w:autoSpaceDN w:val="0"/>
              <w:adjustRightInd w:val="0"/>
              <w:textAlignment w:val="baseline"/>
              <w:rPr>
                <w:i/>
                <w:sz w:val="22"/>
                <w:szCs w:val="22"/>
              </w:rPr>
            </w:pPr>
            <w:r w:rsidRPr="00CC7257">
              <w:rPr>
                <w:b/>
                <w:i/>
                <w:sz w:val="22"/>
                <w:szCs w:val="22"/>
              </w:rPr>
              <w:t>Contacto</w:t>
            </w:r>
          </w:p>
        </w:tc>
        <w:tc>
          <w:tcPr>
            <w:tcW w:w="7904" w:type="dxa"/>
          </w:tcPr>
          <w:p w14:paraId="40387B89" w14:textId="50D56D72" w:rsidR="00F37962" w:rsidRPr="00CC7257" w:rsidRDefault="00F37962" w:rsidP="002E7EFB">
            <w:pPr>
              <w:overflowPunct w:val="0"/>
              <w:autoSpaceDE w:val="0"/>
              <w:autoSpaceDN w:val="0"/>
              <w:adjustRightInd w:val="0"/>
              <w:textAlignment w:val="baseline"/>
              <w:rPr>
                <w:i/>
                <w:sz w:val="22"/>
                <w:szCs w:val="22"/>
              </w:rPr>
            </w:pPr>
            <w:r w:rsidRPr="00CC7257">
              <w:rPr>
                <w:i/>
                <w:sz w:val="22"/>
                <w:szCs w:val="22"/>
              </w:rPr>
              <w:t>Georgios Meleas</w:t>
            </w:r>
          </w:p>
        </w:tc>
      </w:tr>
      <w:tr w:rsidR="00F37962" w:rsidRPr="00CC7257" w14:paraId="0506E28A" w14:textId="77777777" w:rsidTr="00CC7257">
        <w:tc>
          <w:tcPr>
            <w:tcW w:w="1951" w:type="dxa"/>
          </w:tcPr>
          <w:p w14:paraId="50CECB74" w14:textId="77777777" w:rsidR="00F37962" w:rsidRPr="00CC7257" w:rsidRDefault="00F37962" w:rsidP="002E7EFB">
            <w:pPr>
              <w:overflowPunct w:val="0"/>
              <w:autoSpaceDE w:val="0"/>
              <w:autoSpaceDN w:val="0"/>
              <w:adjustRightInd w:val="0"/>
              <w:textAlignment w:val="baseline"/>
              <w:rPr>
                <w:i/>
                <w:sz w:val="22"/>
                <w:szCs w:val="22"/>
              </w:rPr>
            </w:pPr>
            <w:r w:rsidRPr="00CC7257">
              <w:rPr>
                <w:i/>
                <w:sz w:val="22"/>
                <w:szCs w:val="22"/>
              </w:rPr>
              <w:t>Tel.</w:t>
            </w:r>
          </w:p>
        </w:tc>
        <w:tc>
          <w:tcPr>
            <w:tcW w:w="7904" w:type="dxa"/>
          </w:tcPr>
          <w:p w14:paraId="285FFA02" w14:textId="69C35846" w:rsidR="00F37962" w:rsidRPr="00CC7257" w:rsidRDefault="00F37962" w:rsidP="002E7EFB">
            <w:pPr>
              <w:overflowPunct w:val="0"/>
              <w:autoSpaceDE w:val="0"/>
              <w:autoSpaceDN w:val="0"/>
              <w:adjustRightInd w:val="0"/>
              <w:textAlignment w:val="baseline"/>
              <w:rPr>
                <w:i/>
                <w:sz w:val="22"/>
                <w:szCs w:val="22"/>
              </w:rPr>
            </w:pPr>
            <w:r w:rsidRPr="00CC7257">
              <w:rPr>
                <w:i/>
                <w:sz w:val="22"/>
                <w:szCs w:val="22"/>
              </w:rPr>
              <w:t>+32 2 546 97 95</w:t>
            </w:r>
          </w:p>
        </w:tc>
      </w:tr>
      <w:tr w:rsidR="00F37962" w:rsidRPr="00CC7257" w14:paraId="436042E5" w14:textId="77777777" w:rsidTr="00CC7257">
        <w:tc>
          <w:tcPr>
            <w:tcW w:w="1951" w:type="dxa"/>
          </w:tcPr>
          <w:p w14:paraId="742D8A5E" w14:textId="77777777" w:rsidR="00F37962" w:rsidRPr="00CC7257" w:rsidRDefault="00F37962" w:rsidP="002E7EFB">
            <w:pPr>
              <w:overflowPunct w:val="0"/>
              <w:autoSpaceDE w:val="0"/>
              <w:autoSpaceDN w:val="0"/>
              <w:adjustRightInd w:val="0"/>
              <w:textAlignment w:val="baseline"/>
              <w:rPr>
                <w:i/>
                <w:sz w:val="22"/>
                <w:szCs w:val="22"/>
              </w:rPr>
            </w:pPr>
            <w:r w:rsidRPr="00CC7257">
              <w:rPr>
                <w:i/>
                <w:sz w:val="22"/>
                <w:szCs w:val="22"/>
              </w:rPr>
              <w:t>Endereço eletrónico</w:t>
            </w:r>
          </w:p>
        </w:tc>
        <w:tc>
          <w:tcPr>
            <w:tcW w:w="7904" w:type="dxa"/>
          </w:tcPr>
          <w:p w14:paraId="122227DF" w14:textId="77777777" w:rsidR="00F37962" w:rsidRPr="00CC7257" w:rsidRDefault="008D063E" w:rsidP="002E7EFB">
            <w:pPr>
              <w:overflowPunct w:val="0"/>
              <w:autoSpaceDE w:val="0"/>
              <w:autoSpaceDN w:val="0"/>
              <w:adjustRightInd w:val="0"/>
              <w:textAlignment w:val="baseline"/>
              <w:rPr>
                <w:i/>
                <w:iCs/>
                <w:sz w:val="22"/>
                <w:szCs w:val="22"/>
              </w:rPr>
            </w:pPr>
            <w:hyperlink r:id="rId17" w:history="1">
              <w:r w:rsidR="00A912EA" w:rsidRPr="00CC7257">
                <w:rPr>
                  <w:i/>
                  <w:color w:val="0000FF"/>
                  <w:sz w:val="22"/>
                  <w:szCs w:val="22"/>
                  <w:u w:val="single"/>
                </w:rPr>
                <w:t>Georgios.Meleas@eesc.europa.eu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611BE12E" w:rsidR="00F37962" w:rsidRDefault="008D063E" w:rsidP="004C6742">
      <w:pPr>
        <w:pStyle w:val="ListParagraph"/>
        <w:numPr>
          <w:ilvl w:val="0"/>
          <w:numId w:val="76"/>
        </w:numPr>
      </w:pPr>
      <w:hyperlink r:id="rId18" w:history="1">
        <w:r w:rsidR="00A067F3">
          <w:rPr>
            <w:b/>
            <w:i/>
            <w:color w:val="0000FF"/>
            <w:sz w:val="28"/>
            <w:u w:val="single"/>
          </w:rPr>
          <w:t>Pacote relativo às p</w:t>
        </w:r>
        <w:r w:rsidR="00A067F3">
          <w:rPr>
            <w:b/>
            <w:i/>
            <w:color w:val="0000FF"/>
            <w:sz w:val="28"/>
            <w:u w:val="single"/>
          </w:rPr>
          <w:t>e</w:t>
        </w:r>
        <w:r w:rsidR="00A067F3">
          <w:rPr>
            <w:b/>
            <w:i/>
            <w:color w:val="0000FF"/>
            <w:sz w:val="28"/>
            <w:u w:val="single"/>
          </w:rPr>
          <w:t>nsões complementares: PEPP e IRPPP</w:t>
        </w:r>
      </w:hyperlink>
    </w:p>
    <w:p w14:paraId="2C43C133" w14:textId="59A61810" w:rsidR="00F37962" w:rsidRPr="009360D7" w:rsidRDefault="00F37962" w:rsidP="004C6742">
      <w:pPr>
        <w:pStyle w:val="ListParagraph"/>
        <w:rPr>
          <w:sz w:val="20"/>
          <w:szCs w:val="20"/>
          <w:lang w:val="en-GB"/>
        </w:rPr>
      </w:pPr>
    </w:p>
    <w:p w14:paraId="3E579047" w14:textId="77777777" w:rsidR="00F37962" w:rsidRPr="009360D7" w:rsidRDefault="00F37962" w:rsidP="00F37962">
      <w:pPr>
        <w:tabs>
          <w:tab w:val="center" w:pos="284"/>
        </w:tabs>
        <w:overflowPunct w:val="0"/>
        <w:autoSpaceDE w:val="0"/>
        <w:autoSpaceDN w:val="0"/>
        <w:adjustRightInd w:val="0"/>
        <w:ind w:left="266" w:hanging="266"/>
        <w:textAlignment w:val="baseline"/>
        <w:rPr>
          <w:b/>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0DA0566E" w14:textId="77777777" w:rsidTr="002E7EFB">
        <w:tc>
          <w:tcPr>
            <w:tcW w:w="1077" w:type="pct"/>
          </w:tcPr>
          <w:p w14:paraId="4046C9F6" w14:textId="77777777" w:rsidR="00F37962" w:rsidRPr="00640499" w:rsidRDefault="00F37962" w:rsidP="004C6742">
            <w:pPr>
              <w:tabs>
                <w:tab w:val="center" w:pos="284"/>
              </w:tabs>
              <w:overflowPunct w:val="0"/>
              <w:autoSpaceDE w:val="0"/>
              <w:autoSpaceDN w:val="0"/>
              <w:adjustRightInd w:val="0"/>
              <w:spacing w:line="240" w:lineRule="auto"/>
              <w:ind w:left="266" w:hanging="266"/>
              <w:textAlignment w:val="baseline"/>
              <w:rPr>
                <w:b/>
                <w:sz w:val="22"/>
                <w:szCs w:val="22"/>
              </w:rPr>
            </w:pPr>
            <w:r w:rsidRPr="00640499">
              <w:rPr>
                <w:b/>
                <w:sz w:val="22"/>
                <w:szCs w:val="22"/>
              </w:rPr>
              <w:t>Relatora</w:t>
            </w:r>
          </w:p>
        </w:tc>
        <w:tc>
          <w:tcPr>
            <w:tcW w:w="3923" w:type="pct"/>
          </w:tcPr>
          <w:p w14:paraId="76BEB7DB" w14:textId="07F96EA6" w:rsidR="00F37962" w:rsidRPr="00640499" w:rsidRDefault="00F37962" w:rsidP="004C6742">
            <w:pPr>
              <w:tabs>
                <w:tab w:val="center" w:pos="284"/>
              </w:tabs>
              <w:overflowPunct w:val="0"/>
              <w:autoSpaceDE w:val="0"/>
              <w:autoSpaceDN w:val="0"/>
              <w:adjustRightInd w:val="0"/>
              <w:spacing w:line="240" w:lineRule="auto"/>
              <w:ind w:left="550" w:right="-3091" w:hanging="266"/>
              <w:textAlignment w:val="baseline"/>
              <w:rPr>
                <w:sz w:val="22"/>
                <w:szCs w:val="22"/>
              </w:rPr>
            </w:pPr>
            <w:r w:rsidRPr="00640499">
              <w:rPr>
                <w:sz w:val="22"/>
                <w:szCs w:val="22"/>
              </w:rPr>
              <w:t>María del Carmen Barrera Chamorro (ES</w:t>
            </w:r>
            <w:r w:rsidR="00C418F1">
              <w:rPr>
                <w:sz w:val="22"/>
                <w:szCs w:val="22"/>
              </w:rPr>
              <w:t xml:space="preserve"> – </w:t>
            </w:r>
            <w:r w:rsidRPr="00640499">
              <w:rPr>
                <w:sz w:val="22"/>
                <w:szCs w:val="22"/>
              </w:rPr>
              <w:t>Grupo dos Trabalhadores)</w:t>
            </w:r>
          </w:p>
        </w:tc>
      </w:tr>
      <w:tr w:rsidR="00F37962" w:rsidRPr="009360D7" w14:paraId="68747D90" w14:textId="77777777" w:rsidTr="002E7EFB">
        <w:tc>
          <w:tcPr>
            <w:tcW w:w="1077" w:type="pct"/>
          </w:tcPr>
          <w:p w14:paraId="5B2075D4" w14:textId="77777777" w:rsidR="00F37962" w:rsidRPr="00640499" w:rsidRDefault="00F37962" w:rsidP="004C6742">
            <w:pPr>
              <w:tabs>
                <w:tab w:val="center" w:pos="284"/>
              </w:tabs>
              <w:overflowPunct w:val="0"/>
              <w:autoSpaceDE w:val="0"/>
              <w:autoSpaceDN w:val="0"/>
              <w:adjustRightInd w:val="0"/>
              <w:spacing w:line="240" w:lineRule="auto"/>
              <w:ind w:left="266" w:hanging="266"/>
              <w:textAlignment w:val="baseline"/>
              <w:rPr>
                <w:b/>
                <w:sz w:val="22"/>
                <w:szCs w:val="22"/>
                <w:lang w:val="es-ES"/>
              </w:rPr>
            </w:pPr>
          </w:p>
        </w:tc>
        <w:tc>
          <w:tcPr>
            <w:tcW w:w="3923" w:type="pct"/>
          </w:tcPr>
          <w:p w14:paraId="075524E1" w14:textId="77777777" w:rsidR="00F37962" w:rsidRPr="00640499" w:rsidRDefault="00F37962" w:rsidP="004C6742">
            <w:pPr>
              <w:tabs>
                <w:tab w:val="center" w:pos="284"/>
              </w:tabs>
              <w:overflowPunct w:val="0"/>
              <w:autoSpaceDE w:val="0"/>
              <w:autoSpaceDN w:val="0"/>
              <w:adjustRightInd w:val="0"/>
              <w:spacing w:line="240" w:lineRule="auto"/>
              <w:ind w:left="266" w:right="-3091" w:hanging="266"/>
              <w:textAlignment w:val="baseline"/>
              <w:rPr>
                <w:sz w:val="22"/>
                <w:szCs w:val="22"/>
                <w:lang w:val="es-ES"/>
              </w:rPr>
            </w:pPr>
          </w:p>
        </w:tc>
      </w:tr>
      <w:tr w:rsidR="00F37962" w:rsidRPr="009360D7" w14:paraId="5E5AA138" w14:textId="77777777" w:rsidTr="002E7EFB">
        <w:tc>
          <w:tcPr>
            <w:tcW w:w="1077" w:type="pct"/>
          </w:tcPr>
          <w:p w14:paraId="5801F57F" w14:textId="77777777" w:rsidR="00F37962" w:rsidRPr="00640499" w:rsidRDefault="00F37962" w:rsidP="004C6742">
            <w:pPr>
              <w:tabs>
                <w:tab w:val="center" w:pos="284"/>
              </w:tabs>
              <w:overflowPunct w:val="0"/>
              <w:autoSpaceDE w:val="0"/>
              <w:autoSpaceDN w:val="0"/>
              <w:adjustRightInd w:val="0"/>
              <w:spacing w:line="240" w:lineRule="auto"/>
              <w:ind w:left="266" w:hanging="266"/>
              <w:textAlignment w:val="baseline"/>
              <w:rPr>
                <w:b/>
                <w:sz w:val="22"/>
                <w:szCs w:val="22"/>
              </w:rPr>
            </w:pPr>
            <w:r w:rsidRPr="00640499">
              <w:rPr>
                <w:b/>
                <w:sz w:val="22"/>
                <w:szCs w:val="22"/>
              </w:rPr>
              <w:t>Referências</w:t>
            </w:r>
          </w:p>
        </w:tc>
        <w:tc>
          <w:tcPr>
            <w:tcW w:w="3923" w:type="pct"/>
          </w:tcPr>
          <w:p w14:paraId="5E33F076" w14:textId="77777777" w:rsidR="00F37962" w:rsidRPr="00640499" w:rsidRDefault="00F37962" w:rsidP="004C6742">
            <w:pPr>
              <w:tabs>
                <w:tab w:val="center" w:pos="284"/>
              </w:tabs>
              <w:overflowPunct w:val="0"/>
              <w:autoSpaceDE w:val="0"/>
              <w:autoSpaceDN w:val="0"/>
              <w:adjustRightInd w:val="0"/>
              <w:spacing w:line="240" w:lineRule="auto"/>
              <w:ind w:left="550" w:right="-3091" w:hanging="266"/>
              <w:textAlignment w:val="baseline"/>
              <w:rPr>
                <w:sz w:val="22"/>
                <w:szCs w:val="22"/>
              </w:rPr>
            </w:pPr>
            <w:r w:rsidRPr="00640499">
              <w:rPr>
                <w:sz w:val="22"/>
                <w:szCs w:val="22"/>
              </w:rPr>
              <w:t xml:space="preserve">COM(2025) 839 final </w:t>
            </w:r>
          </w:p>
          <w:p w14:paraId="099CCB38" w14:textId="1D24FF1C" w:rsidR="00F37962" w:rsidRPr="00640499" w:rsidRDefault="00F37962" w:rsidP="004C6742">
            <w:pPr>
              <w:tabs>
                <w:tab w:val="center" w:pos="284"/>
              </w:tabs>
              <w:overflowPunct w:val="0"/>
              <w:autoSpaceDE w:val="0"/>
              <w:autoSpaceDN w:val="0"/>
              <w:adjustRightInd w:val="0"/>
              <w:spacing w:line="240" w:lineRule="auto"/>
              <w:ind w:left="550" w:right="-3091" w:hanging="266"/>
              <w:textAlignment w:val="baseline"/>
              <w:rPr>
                <w:sz w:val="22"/>
                <w:szCs w:val="22"/>
              </w:rPr>
            </w:pPr>
            <w:r w:rsidRPr="00640499">
              <w:rPr>
                <w:sz w:val="22"/>
                <w:szCs w:val="22"/>
              </w:rPr>
              <w:t xml:space="preserve">COM(2025) 840 final </w:t>
            </w:r>
          </w:p>
          <w:p w14:paraId="5F2CC97B" w14:textId="2F5BA5F2" w:rsidR="00F37962" w:rsidRPr="00640499" w:rsidRDefault="00F37962" w:rsidP="004C6742">
            <w:pPr>
              <w:tabs>
                <w:tab w:val="center" w:pos="284"/>
              </w:tabs>
              <w:overflowPunct w:val="0"/>
              <w:autoSpaceDE w:val="0"/>
              <w:autoSpaceDN w:val="0"/>
              <w:adjustRightInd w:val="0"/>
              <w:spacing w:line="240" w:lineRule="auto"/>
              <w:ind w:left="550" w:right="-3091" w:hanging="266"/>
              <w:textAlignment w:val="baseline"/>
              <w:rPr>
                <w:sz w:val="22"/>
                <w:szCs w:val="22"/>
              </w:rPr>
            </w:pPr>
            <w:r w:rsidRPr="00640499">
              <w:rPr>
                <w:sz w:val="22"/>
                <w:szCs w:val="22"/>
              </w:rPr>
              <w:t>COM(2025) 842 final</w:t>
            </w:r>
          </w:p>
          <w:p w14:paraId="543A5EFB" w14:textId="77777777" w:rsidR="00F37962" w:rsidRPr="00640499" w:rsidRDefault="00F37962" w:rsidP="004C6742">
            <w:pPr>
              <w:tabs>
                <w:tab w:val="center" w:pos="284"/>
              </w:tabs>
              <w:overflowPunct w:val="0"/>
              <w:autoSpaceDE w:val="0"/>
              <w:autoSpaceDN w:val="0"/>
              <w:adjustRightInd w:val="0"/>
              <w:spacing w:line="240" w:lineRule="auto"/>
              <w:ind w:left="550" w:right="-3091" w:hanging="266"/>
              <w:textAlignment w:val="baseline"/>
              <w:rPr>
                <w:sz w:val="22"/>
                <w:szCs w:val="22"/>
              </w:rPr>
            </w:pPr>
            <w:r w:rsidRPr="00640499">
              <w:rPr>
                <w:sz w:val="22"/>
                <w:szCs w:val="22"/>
              </w:rPr>
              <w:t>EESC-2025-04204-00-00-AC</w:t>
            </w:r>
          </w:p>
        </w:tc>
      </w:tr>
    </w:tbl>
    <w:p w14:paraId="55E7B99C" w14:textId="2C46A19E" w:rsidR="00F37962" w:rsidRPr="009360D7" w:rsidRDefault="00F37962" w:rsidP="00F37962">
      <w:pPr>
        <w:tabs>
          <w:tab w:val="center" w:pos="284"/>
        </w:tabs>
        <w:overflowPunct w:val="0"/>
        <w:autoSpaceDE w:val="0"/>
        <w:autoSpaceDN w:val="0"/>
        <w:adjustRightInd w:val="0"/>
        <w:ind w:left="266" w:hanging="266"/>
        <w:textAlignment w:val="baseline"/>
        <w:rPr>
          <w:b/>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rPr>
      </w:pPr>
      <w:r>
        <w:rPr>
          <w:b/>
        </w:rPr>
        <w:t>Pontos principais</w:t>
      </w:r>
    </w:p>
    <w:p w14:paraId="65428812"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lang w:val="en-GB"/>
        </w:rPr>
      </w:pPr>
    </w:p>
    <w:p w14:paraId="446B0743" w14:textId="77777777" w:rsidR="00F37962" w:rsidRDefault="00F37962" w:rsidP="00F37962">
      <w:pPr>
        <w:overflowPunct w:val="0"/>
        <w:autoSpaceDE w:val="0"/>
        <w:autoSpaceDN w:val="0"/>
        <w:adjustRightInd w:val="0"/>
        <w:textAlignment w:val="baseline"/>
        <w:rPr>
          <w:bCs/>
          <w:iCs/>
        </w:rPr>
      </w:pPr>
      <w:r>
        <w:t>O Comité Económico e Social Europeu:</w:t>
      </w:r>
    </w:p>
    <w:p w14:paraId="3B37DD9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reconhece</w:t>
      </w:r>
      <w:r>
        <w:t xml:space="preserve"> os efeitos benéficos de um </w:t>
      </w:r>
      <w:r>
        <w:rPr>
          <w:b/>
        </w:rPr>
        <w:t>regime de pensões de múltiplos pilares</w:t>
      </w:r>
      <w:r>
        <w:t xml:space="preserve">, e considera que a existência de pensões complementares não deve servir de justificação para o enfraquecimento das pensões públicas, garantindo que todos os cidadãos da União Europeia (UE) se possam reformar com dignidade, segurança e um rendimento adequado. </w:t>
      </w:r>
      <w:r>
        <w:rPr>
          <w:b/>
        </w:rPr>
        <w:t>É necessária uma abordagem global</w:t>
      </w:r>
      <w:r>
        <w:t xml:space="preserve"> ao nível adequado (nacional ou da UE) para melhorar os mercados de trabalho e reforçar os regimes públicos de pensões;</w:t>
      </w:r>
    </w:p>
    <w:p w14:paraId="693DE00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recomenda</w:t>
      </w:r>
      <w:r>
        <w:t xml:space="preserve"> medidas adequadas de </w:t>
      </w:r>
      <w:r>
        <w:rPr>
          <w:b/>
        </w:rPr>
        <w:t>reforço da governação participativa</w:t>
      </w:r>
      <w:r>
        <w:t xml:space="preserve"> que promovam a participação dos parceiros sociais, preservando a sua liberdade de negociar, no respeito da diversidade dos regimes no interior da UE;</w:t>
      </w:r>
    </w:p>
    <w:p w14:paraId="05C90A8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recomenda</w:t>
      </w:r>
      <w:r>
        <w:t xml:space="preserve"> alterações específicas à </w:t>
      </w:r>
      <w:r>
        <w:rPr>
          <w:b/>
        </w:rPr>
        <w:t>Diretiva IRPPP</w:t>
      </w:r>
      <w:r>
        <w:t>, a fim de reduzir a fragmentação, aumentar a comparabilidade e a transparência e assegurar a confiança dos participantes nos planos;</w:t>
      </w:r>
    </w:p>
    <w:p w14:paraId="0CA65CB4"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recomenda</w:t>
      </w:r>
      <w:r>
        <w:t xml:space="preserve"> alterações específicas ao </w:t>
      </w:r>
      <w:r>
        <w:rPr>
          <w:b/>
        </w:rPr>
        <w:t>Regulamento PEPP</w:t>
      </w:r>
      <w:r>
        <w:t>, nomeadamente no que diz respeito às informações e ao aconselhamento, ao papel da Autoridade Europeia dos Seguros e Pensões Complementares de Reforma (EIOPA) e às transferências transfronteiriças;</w:t>
      </w:r>
    </w:p>
    <w:p w14:paraId="653F0F93"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recomenda</w:t>
      </w:r>
      <w:r>
        <w:t xml:space="preserve"> medidas para alcançar um melhor </w:t>
      </w:r>
      <w:r>
        <w:rPr>
          <w:b/>
        </w:rPr>
        <w:t>equilíbrio entre os géneros</w:t>
      </w:r>
      <w:r>
        <w:t xml:space="preserve"> e </w:t>
      </w:r>
      <w:r>
        <w:rPr>
          <w:b/>
        </w:rPr>
        <w:t>reforçar a confiança dos cidadãos</w:t>
      </w:r>
      <w:r>
        <w:t xml:space="preserve"> nos produtos de pensões e que </w:t>
      </w:r>
      <w:r>
        <w:rPr>
          <w:b/>
        </w:rPr>
        <w:t>os PEPP continuem a ser produtos individuais</w:t>
      </w:r>
      <w:r>
        <w:t>, não permitindo a aquisição em grupo;</w:t>
      </w:r>
    </w:p>
    <w:p w14:paraId="3F455E5B"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insta</w:t>
      </w:r>
      <w:r>
        <w:t xml:space="preserve"> os colegisladores a ponderarem uma </w:t>
      </w:r>
      <w:r>
        <w:rPr>
          <w:b/>
        </w:rPr>
        <w:t>reformulação do princípio do gestor prudente</w:t>
      </w:r>
      <w:r>
        <w:t xml:space="preserve"> previsto na Diretiva IRPPP, de forma a </w:t>
      </w:r>
      <w:r>
        <w:rPr>
          <w:b/>
        </w:rPr>
        <w:t>estabelecer o justo equilíbrio</w:t>
      </w:r>
      <w:r>
        <w:t xml:space="preserve"> entre o risco de investimento e a garantia de contribuições para os planos;</w:t>
      </w:r>
    </w:p>
    <w:p w14:paraId="6341AEB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recomenda</w:t>
      </w:r>
      <w:r>
        <w:t xml:space="preserve"> que a </w:t>
      </w:r>
      <w:r>
        <w:rPr>
          <w:b/>
        </w:rPr>
        <w:t>inscrição automática</w:t>
      </w:r>
      <w:r>
        <w:t xml:space="preserve"> seja, se for caso disso, o resultado do reforço do </w:t>
      </w:r>
      <w:r>
        <w:rPr>
          <w:b/>
        </w:rPr>
        <w:t>diálogo social</w:t>
      </w:r>
      <w:r>
        <w:t xml:space="preserve"> e da negociação coletiva, respeitando a liberdade dos parceiros sociais para negociar, conceber e decidir sobre a inscrição automática;</w:t>
      </w:r>
    </w:p>
    <w:p w14:paraId="69D94ECA"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recomenda</w:t>
      </w:r>
      <w:r>
        <w:t xml:space="preserve"> que a Comissão Europeia crie um </w:t>
      </w:r>
      <w:r>
        <w:rPr>
          <w:b/>
        </w:rPr>
        <w:t>comité de acompanhamento</w:t>
      </w:r>
      <w:r>
        <w:t xml:space="preserve">, a fim de </w:t>
      </w:r>
      <w:r>
        <w:rPr>
          <w:b/>
        </w:rPr>
        <w:t>acompanhar de forma eficaz o progresso das pensões complementares</w:t>
      </w:r>
      <w:r>
        <w:t xml:space="preserve">, com a participação dos poderes públicos, dos parceiros sociais e das organizações da sociedade civil. O seu trabalho deve </w:t>
      </w:r>
      <w:r>
        <w:rPr>
          <w:b/>
        </w:rPr>
        <w:t>servir de base</w:t>
      </w:r>
      <w:r>
        <w:t xml:space="preserve"> a futuras alterações regulamentares e contribuir para os trabalhos do Semestre Europeu e do Conselho;</w:t>
      </w:r>
    </w:p>
    <w:p w14:paraId="50B09C2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recomenda medidas</w:t>
      </w:r>
      <w:r>
        <w:t xml:space="preserve"> para </w:t>
      </w:r>
      <w:r>
        <w:rPr>
          <w:b/>
        </w:rPr>
        <w:t>atenuar</w:t>
      </w:r>
      <w:r>
        <w:t xml:space="preserve"> os eventuais efeitos na </w:t>
      </w:r>
      <w:r>
        <w:rPr>
          <w:b/>
        </w:rPr>
        <w:t>sustentabilidade</w:t>
      </w:r>
      <w:r>
        <w:t xml:space="preserve">, na </w:t>
      </w:r>
      <w:r>
        <w:rPr>
          <w:b/>
        </w:rPr>
        <w:t>pobreza</w:t>
      </w:r>
      <w:r>
        <w:t xml:space="preserve"> e na </w:t>
      </w:r>
      <w:r>
        <w:rPr>
          <w:b/>
        </w:rPr>
        <w:t>desigualdade</w:t>
      </w:r>
      <w:r>
        <w:t>;</w:t>
      </w:r>
    </w:p>
    <w:p w14:paraId="22649A22"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recomenda</w:t>
      </w:r>
      <w:r>
        <w:t xml:space="preserve"> que se conclua o trabalho em curso de coordenação da </w:t>
      </w:r>
      <w:r>
        <w:rPr>
          <w:b/>
        </w:rPr>
        <w:t>digitalização dos sistemas de segurança social europeus</w:t>
      </w:r>
      <w:r>
        <w:t>;</w:t>
      </w:r>
    </w:p>
    <w:p w14:paraId="0879C2C7"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bCs/>
          <w:iCs/>
          <w:szCs w:val="20"/>
        </w:rPr>
      </w:pPr>
      <w:r>
        <w:rPr>
          <w:b/>
        </w:rPr>
        <w:t>insiste</w:t>
      </w:r>
      <w:r>
        <w:t xml:space="preserve"> na necessidade de </w:t>
      </w:r>
      <w:r>
        <w:rPr>
          <w:b/>
        </w:rPr>
        <w:t>literacia financeira</w:t>
      </w:r>
      <w:r>
        <w:t xml:space="preserve">, com </w:t>
      </w:r>
      <w:r>
        <w:rPr>
          <w:b/>
        </w:rPr>
        <w:t>instrumentos de acompanhamento</w:t>
      </w:r>
      <w:r>
        <w:t xml:space="preserve"> de fácil utilização e acesso a </w:t>
      </w:r>
      <w:r>
        <w:rPr>
          <w:b/>
        </w:rPr>
        <w:t>orientação e aconselhamento</w:t>
      </w:r>
      <w:r>
        <w:t xml:space="preserve"> para tomar decisões.</w:t>
      </w:r>
    </w:p>
    <w:p w14:paraId="029BFBEF" w14:textId="77777777" w:rsidR="00613302" w:rsidRPr="009360D7" w:rsidRDefault="00613302" w:rsidP="00F37962">
      <w:pPr>
        <w:widowControl w:val="0"/>
        <w:overflowPunct w:val="0"/>
        <w:autoSpaceDE w:val="0"/>
        <w:autoSpaceDN w:val="0"/>
        <w:adjustRightInd w:val="0"/>
        <w:ind w:left="709"/>
        <w:textAlignment w:val="baseline"/>
        <w:rPr>
          <w:szCs w:val="20"/>
          <w:lang w:val="en-GB"/>
        </w:rPr>
      </w:pPr>
    </w:p>
    <w:tbl>
      <w:tblPr>
        <w:tblStyle w:val="TableGrid2"/>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288"/>
      </w:tblGrid>
      <w:tr w:rsidR="00F37962" w:rsidRPr="009360D7" w14:paraId="2F150675" w14:textId="77777777" w:rsidTr="00640499">
        <w:tc>
          <w:tcPr>
            <w:tcW w:w="1116" w:type="pct"/>
          </w:tcPr>
          <w:p w14:paraId="0E22D454" w14:textId="77777777" w:rsidR="00F37962" w:rsidRPr="00640499" w:rsidRDefault="00F37962" w:rsidP="002E7EFB">
            <w:pPr>
              <w:overflowPunct w:val="0"/>
              <w:autoSpaceDE w:val="0"/>
              <w:autoSpaceDN w:val="0"/>
              <w:adjustRightInd w:val="0"/>
              <w:textAlignment w:val="baseline"/>
              <w:rPr>
                <w:i/>
                <w:sz w:val="22"/>
                <w:szCs w:val="22"/>
              </w:rPr>
            </w:pPr>
            <w:r w:rsidRPr="00640499">
              <w:rPr>
                <w:b/>
                <w:i/>
                <w:sz w:val="22"/>
                <w:szCs w:val="22"/>
              </w:rPr>
              <w:t>Contacto</w:t>
            </w:r>
          </w:p>
        </w:tc>
        <w:tc>
          <w:tcPr>
            <w:tcW w:w="3884" w:type="pct"/>
          </w:tcPr>
          <w:p w14:paraId="69384752" w14:textId="77777777" w:rsidR="00F37962" w:rsidRPr="00640499" w:rsidRDefault="00F37962" w:rsidP="002E7EFB">
            <w:pPr>
              <w:overflowPunct w:val="0"/>
              <w:autoSpaceDE w:val="0"/>
              <w:autoSpaceDN w:val="0"/>
              <w:adjustRightInd w:val="0"/>
              <w:textAlignment w:val="baseline"/>
              <w:rPr>
                <w:i/>
                <w:sz w:val="22"/>
                <w:szCs w:val="22"/>
              </w:rPr>
            </w:pPr>
            <w:r w:rsidRPr="00640499">
              <w:rPr>
                <w:i/>
                <w:sz w:val="22"/>
                <w:szCs w:val="22"/>
              </w:rPr>
              <w:t>Sergio Lorencio Matallana</w:t>
            </w:r>
          </w:p>
        </w:tc>
      </w:tr>
      <w:tr w:rsidR="00F37962" w:rsidRPr="009360D7" w14:paraId="6F824D39" w14:textId="77777777" w:rsidTr="00640499">
        <w:tc>
          <w:tcPr>
            <w:tcW w:w="1116" w:type="pct"/>
          </w:tcPr>
          <w:p w14:paraId="54A57F09" w14:textId="77777777" w:rsidR="00F37962" w:rsidRPr="00640499" w:rsidRDefault="00F37962" w:rsidP="002E7EFB">
            <w:pPr>
              <w:overflowPunct w:val="0"/>
              <w:autoSpaceDE w:val="0"/>
              <w:autoSpaceDN w:val="0"/>
              <w:adjustRightInd w:val="0"/>
              <w:textAlignment w:val="baseline"/>
              <w:rPr>
                <w:i/>
                <w:sz w:val="22"/>
                <w:szCs w:val="22"/>
              </w:rPr>
            </w:pPr>
            <w:r w:rsidRPr="00640499">
              <w:rPr>
                <w:i/>
                <w:sz w:val="22"/>
                <w:szCs w:val="22"/>
              </w:rPr>
              <w:t>Tel.</w:t>
            </w:r>
          </w:p>
        </w:tc>
        <w:tc>
          <w:tcPr>
            <w:tcW w:w="3884" w:type="pct"/>
          </w:tcPr>
          <w:p w14:paraId="6C074F83" w14:textId="77777777" w:rsidR="00F37962" w:rsidRPr="00640499" w:rsidRDefault="00F37962" w:rsidP="002E7EFB">
            <w:pPr>
              <w:overflowPunct w:val="0"/>
              <w:autoSpaceDE w:val="0"/>
              <w:autoSpaceDN w:val="0"/>
              <w:adjustRightInd w:val="0"/>
              <w:textAlignment w:val="baseline"/>
              <w:rPr>
                <w:i/>
                <w:sz w:val="22"/>
                <w:szCs w:val="22"/>
              </w:rPr>
            </w:pPr>
            <w:r w:rsidRPr="00640499">
              <w:rPr>
                <w:i/>
                <w:sz w:val="22"/>
                <w:szCs w:val="22"/>
              </w:rPr>
              <w:t>+32 2 546 92 40</w:t>
            </w:r>
          </w:p>
        </w:tc>
      </w:tr>
      <w:tr w:rsidR="00F37962" w:rsidRPr="009360D7" w14:paraId="4CBC8AD0" w14:textId="77777777" w:rsidTr="00640499">
        <w:tc>
          <w:tcPr>
            <w:tcW w:w="1116" w:type="pct"/>
          </w:tcPr>
          <w:p w14:paraId="74D96EA0" w14:textId="77777777" w:rsidR="00F37962" w:rsidRPr="00640499" w:rsidRDefault="00F37962" w:rsidP="002E7EFB">
            <w:pPr>
              <w:overflowPunct w:val="0"/>
              <w:autoSpaceDE w:val="0"/>
              <w:autoSpaceDN w:val="0"/>
              <w:adjustRightInd w:val="0"/>
              <w:textAlignment w:val="baseline"/>
              <w:rPr>
                <w:i/>
                <w:sz w:val="22"/>
                <w:szCs w:val="22"/>
              </w:rPr>
            </w:pPr>
            <w:r w:rsidRPr="00640499">
              <w:rPr>
                <w:i/>
                <w:sz w:val="22"/>
                <w:szCs w:val="22"/>
              </w:rPr>
              <w:t>Endereço eletrónico</w:t>
            </w:r>
          </w:p>
        </w:tc>
        <w:tc>
          <w:tcPr>
            <w:tcW w:w="3884" w:type="pct"/>
          </w:tcPr>
          <w:p w14:paraId="5475F81E" w14:textId="77777777" w:rsidR="00F37962" w:rsidRPr="00640499" w:rsidRDefault="008D063E" w:rsidP="002E7EFB">
            <w:pPr>
              <w:overflowPunct w:val="0"/>
              <w:autoSpaceDE w:val="0"/>
              <w:autoSpaceDN w:val="0"/>
              <w:adjustRightInd w:val="0"/>
              <w:textAlignment w:val="baseline"/>
              <w:rPr>
                <w:i/>
                <w:sz w:val="22"/>
                <w:szCs w:val="22"/>
              </w:rPr>
            </w:pPr>
            <w:hyperlink r:id="rId19" w:history="1">
              <w:r w:rsidR="00A912EA" w:rsidRPr="00640499">
                <w:rPr>
                  <w:i/>
                  <w:color w:val="0000FF"/>
                  <w:sz w:val="22"/>
                  <w:szCs w:val="22"/>
                  <w:u w:val="single"/>
                </w:rPr>
                <w:t>Sergio.LorencioMatallana@eesc.europa.eu</w:t>
              </w:r>
            </w:hyperlink>
          </w:p>
        </w:tc>
      </w:tr>
      <w:tr w:rsidR="00BC1478" w:rsidRPr="009360D7" w14:paraId="0B098D50" w14:textId="77777777" w:rsidTr="00640499">
        <w:tc>
          <w:tcPr>
            <w:tcW w:w="1116" w:type="pct"/>
          </w:tcPr>
          <w:p w14:paraId="16C6980E" w14:textId="77777777" w:rsidR="00BC1478" w:rsidRPr="009360D7" w:rsidRDefault="00BC1478" w:rsidP="002E7EFB">
            <w:pPr>
              <w:overflowPunct w:val="0"/>
              <w:autoSpaceDE w:val="0"/>
              <w:autoSpaceDN w:val="0"/>
              <w:adjustRightInd w:val="0"/>
              <w:textAlignment w:val="baseline"/>
              <w:rPr>
                <w:i/>
              </w:rPr>
            </w:pPr>
          </w:p>
        </w:tc>
        <w:tc>
          <w:tcPr>
            <w:tcW w:w="3884" w:type="pct"/>
          </w:tcPr>
          <w:p w14:paraId="5BC40BE7" w14:textId="77777777" w:rsidR="00BC1478" w:rsidRPr="009360D7" w:rsidRDefault="00BC1478" w:rsidP="002E7EFB">
            <w:pPr>
              <w:overflowPunct w:val="0"/>
              <w:autoSpaceDE w:val="0"/>
              <w:autoSpaceDN w:val="0"/>
              <w:adjustRightInd w:val="0"/>
              <w:textAlignment w:val="baseline"/>
              <w:rPr>
                <w:lang w:val="en-GB"/>
              </w:rPr>
            </w:pPr>
          </w:p>
        </w:tc>
      </w:tr>
      <w:tr w:rsidR="00BC1478" w:rsidRPr="009360D7" w14:paraId="50525A98" w14:textId="77777777" w:rsidTr="00640499">
        <w:tc>
          <w:tcPr>
            <w:tcW w:w="1116" w:type="pct"/>
          </w:tcPr>
          <w:p w14:paraId="75CC5483" w14:textId="417D7763" w:rsidR="00BC1478" w:rsidRPr="009360D7" w:rsidRDefault="00BC1478" w:rsidP="002E7EFB">
            <w:pPr>
              <w:overflowPunct w:val="0"/>
              <w:autoSpaceDE w:val="0"/>
              <w:autoSpaceDN w:val="0"/>
              <w:adjustRightInd w:val="0"/>
              <w:textAlignment w:val="baseline"/>
              <w:rPr>
                <w:i/>
              </w:rPr>
            </w:pPr>
          </w:p>
        </w:tc>
        <w:tc>
          <w:tcPr>
            <w:tcW w:w="3884" w:type="pct"/>
          </w:tcPr>
          <w:p w14:paraId="3AD31ED3" w14:textId="77777777" w:rsidR="00BC1478" w:rsidRPr="009360D7" w:rsidRDefault="00BC1478" w:rsidP="002E7EFB">
            <w:pPr>
              <w:overflowPunct w:val="0"/>
              <w:autoSpaceDE w:val="0"/>
              <w:autoSpaceDN w:val="0"/>
              <w:adjustRightInd w:val="0"/>
              <w:textAlignment w:val="baseline"/>
              <w:rPr>
                <w:lang w:val="en-GB"/>
              </w:rPr>
            </w:pPr>
          </w:p>
        </w:tc>
      </w:tr>
    </w:tbl>
    <w:p w14:paraId="78262753" w14:textId="248BD617" w:rsidR="00A067F3" w:rsidRDefault="00A067F3" w:rsidP="001766B2">
      <w:pPr>
        <w:jc w:val="left"/>
      </w:pPr>
    </w:p>
    <w:p w14:paraId="23A0EDCC" w14:textId="77777777" w:rsidR="00A067F3" w:rsidRDefault="00A067F3">
      <w:pPr>
        <w:spacing w:after="160" w:line="259" w:lineRule="auto"/>
        <w:jc w:val="left"/>
      </w:pPr>
      <w:r>
        <w:br w:type="page"/>
      </w:r>
    </w:p>
    <w:p w14:paraId="4982DD98" w14:textId="69FA0768" w:rsidR="004D7AC0" w:rsidRDefault="004D7AC0" w:rsidP="001766B2">
      <w:pPr>
        <w:jc w:val="left"/>
      </w:pPr>
    </w:p>
    <w:p w14:paraId="4982DD99" w14:textId="592F9C95" w:rsidR="004D7AC0" w:rsidRDefault="004D7AC0" w:rsidP="004C6742">
      <w:pPr>
        <w:pStyle w:val="Heading2"/>
      </w:pPr>
      <w:bookmarkStart w:id="1" w:name="_Toc75527081"/>
      <w:bookmarkStart w:id="2" w:name="_Toc229495799"/>
      <w:r>
        <w:t>EMPREGO, ASSUNTOS SOCIAIS E CIDADANIA</w:t>
      </w:r>
      <w:bookmarkEnd w:id="1"/>
      <w:bookmarkEnd w:id="2"/>
    </w:p>
    <w:p w14:paraId="4982DD9A" w14:textId="77777777" w:rsidR="004D7AC0" w:rsidRDefault="004D7AC0" w:rsidP="001766B2"/>
    <w:p w14:paraId="0FBA9E33" w14:textId="37FB2076" w:rsidR="00943240" w:rsidRPr="00943240" w:rsidRDefault="008D063E" w:rsidP="00943240">
      <w:pPr>
        <w:widowControl w:val="0"/>
        <w:numPr>
          <w:ilvl w:val="0"/>
          <w:numId w:val="8"/>
        </w:numPr>
        <w:overflowPunct w:val="0"/>
        <w:autoSpaceDE w:val="0"/>
        <w:autoSpaceDN w:val="0"/>
        <w:adjustRightInd w:val="0"/>
        <w:ind w:left="567" w:hanging="567"/>
        <w:textAlignment w:val="baseline"/>
        <w:rPr>
          <w:b/>
        </w:rPr>
      </w:pPr>
      <w:hyperlink r:id="rId20" w:history="1">
        <w:r w:rsidR="00943240">
          <w:rPr>
            <w:b/>
            <w:i/>
            <w:color w:val="0000FF"/>
            <w:sz w:val="28"/>
            <w:u w:val="single"/>
          </w:rPr>
          <w:t>Proibição das práticas de conversão na UE</w:t>
        </w:r>
      </w:hyperlink>
    </w:p>
    <w:p w14:paraId="0553C86C" w14:textId="77777777" w:rsidR="00943240" w:rsidRDefault="00943240" w:rsidP="00943240">
      <w:pPr>
        <w:tabs>
          <w:tab w:val="center" w:pos="284"/>
        </w:tabs>
        <w:overflowPunct w:val="0"/>
        <w:autoSpaceDE w:val="0"/>
        <w:autoSpaceDN w:val="0"/>
        <w:adjustRightInd w:val="0"/>
        <w:ind w:left="567" w:hanging="567"/>
        <w:textAlignment w:val="baseline"/>
        <w:rPr>
          <w:sz w:val="16"/>
          <w:szCs w:val="16"/>
          <w:lang w:val="en-IE"/>
        </w:rPr>
      </w:pPr>
    </w:p>
    <w:p w14:paraId="0DD8BE16" w14:textId="77777777" w:rsidR="00537B03" w:rsidRPr="00943240" w:rsidRDefault="00537B03" w:rsidP="00943240">
      <w:pPr>
        <w:tabs>
          <w:tab w:val="center" w:pos="284"/>
        </w:tabs>
        <w:overflowPunct w:val="0"/>
        <w:autoSpaceDE w:val="0"/>
        <w:autoSpaceDN w:val="0"/>
        <w:adjustRightInd w:val="0"/>
        <w:ind w:left="567" w:hanging="567"/>
        <w:textAlignment w:val="baseline"/>
        <w:rPr>
          <w:sz w:val="16"/>
          <w:szCs w:val="16"/>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943240" w:rsidRPr="00943240" w14:paraId="4E8345CE" w14:textId="77777777" w:rsidTr="002E7EFB">
        <w:tc>
          <w:tcPr>
            <w:tcW w:w="1701" w:type="dxa"/>
          </w:tcPr>
          <w:p w14:paraId="7A3C8C0E" w14:textId="77777777" w:rsidR="00943240" w:rsidRPr="00CB70DA" w:rsidRDefault="00943240" w:rsidP="00943240">
            <w:pPr>
              <w:tabs>
                <w:tab w:val="center" w:pos="284"/>
              </w:tabs>
              <w:overflowPunct w:val="0"/>
              <w:autoSpaceDE w:val="0"/>
              <w:autoSpaceDN w:val="0"/>
              <w:adjustRightInd w:val="0"/>
              <w:ind w:left="567" w:hanging="567"/>
              <w:textAlignment w:val="baseline"/>
              <w:rPr>
                <w:b/>
                <w:sz w:val="22"/>
                <w:szCs w:val="22"/>
              </w:rPr>
            </w:pPr>
            <w:r w:rsidRPr="00CB70DA">
              <w:rPr>
                <w:b/>
                <w:sz w:val="22"/>
                <w:szCs w:val="22"/>
              </w:rPr>
              <w:t>Relator</w:t>
            </w:r>
          </w:p>
        </w:tc>
        <w:tc>
          <w:tcPr>
            <w:tcW w:w="6237" w:type="dxa"/>
          </w:tcPr>
          <w:p w14:paraId="7FD5F775" w14:textId="77777777" w:rsidR="00943240" w:rsidRPr="00CB70DA" w:rsidRDefault="00943240" w:rsidP="00943240">
            <w:pPr>
              <w:overflowPunct w:val="0"/>
              <w:autoSpaceDE w:val="0"/>
              <w:autoSpaceDN w:val="0"/>
              <w:adjustRightInd w:val="0"/>
              <w:ind w:left="567" w:hanging="567"/>
              <w:textAlignment w:val="baseline"/>
              <w:rPr>
                <w:sz w:val="22"/>
                <w:szCs w:val="22"/>
              </w:rPr>
            </w:pPr>
            <w:r w:rsidRPr="00CB70DA">
              <w:rPr>
                <w:sz w:val="22"/>
                <w:szCs w:val="22"/>
              </w:rPr>
              <w:t>Pascal Debay (FR – Grupo dos Trabalhadores)</w:t>
            </w:r>
          </w:p>
        </w:tc>
      </w:tr>
      <w:tr w:rsidR="00943240" w:rsidRPr="00943240" w14:paraId="007125B5" w14:textId="77777777" w:rsidTr="002E7EFB">
        <w:tc>
          <w:tcPr>
            <w:tcW w:w="1701" w:type="dxa"/>
          </w:tcPr>
          <w:p w14:paraId="1D19C4E2" w14:textId="77777777" w:rsidR="00943240" w:rsidRPr="00CB70DA" w:rsidRDefault="00943240" w:rsidP="00943240">
            <w:pPr>
              <w:tabs>
                <w:tab w:val="center" w:pos="284"/>
              </w:tabs>
              <w:overflowPunct w:val="0"/>
              <w:autoSpaceDE w:val="0"/>
              <w:autoSpaceDN w:val="0"/>
              <w:adjustRightInd w:val="0"/>
              <w:ind w:left="567" w:hanging="567"/>
              <w:textAlignment w:val="baseline"/>
              <w:rPr>
                <w:b/>
                <w:sz w:val="22"/>
                <w:szCs w:val="22"/>
              </w:rPr>
            </w:pPr>
            <w:r w:rsidRPr="00CB70DA">
              <w:rPr>
                <w:b/>
                <w:sz w:val="22"/>
                <w:szCs w:val="22"/>
              </w:rPr>
              <w:t>Correlator</w:t>
            </w:r>
          </w:p>
        </w:tc>
        <w:tc>
          <w:tcPr>
            <w:tcW w:w="6237" w:type="dxa"/>
          </w:tcPr>
          <w:p w14:paraId="00A2CBCD" w14:textId="77777777" w:rsidR="00943240" w:rsidRPr="00CB70DA" w:rsidRDefault="00943240" w:rsidP="00943240">
            <w:pPr>
              <w:overflowPunct w:val="0"/>
              <w:autoSpaceDE w:val="0"/>
              <w:autoSpaceDN w:val="0"/>
              <w:adjustRightInd w:val="0"/>
              <w:ind w:left="567" w:hanging="567"/>
              <w:textAlignment w:val="baseline"/>
              <w:rPr>
                <w:sz w:val="22"/>
                <w:szCs w:val="22"/>
              </w:rPr>
            </w:pPr>
            <w:r w:rsidRPr="00CB70DA">
              <w:rPr>
                <w:sz w:val="22"/>
                <w:szCs w:val="22"/>
              </w:rPr>
              <w:t>Ionuț Sibian (RO – Grupo das Organizações da Sociedade Civil)</w:t>
            </w:r>
          </w:p>
        </w:tc>
      </w:tr>
      <w:tr w:rsidR="00943240" w:rsidRPr="00943240" w14:paraId="2715214D" w14:textId="77777777" w:rsidTr="002E7EFB">
        <w:tc>
          <w:tcPr>
            <w:tcW w:w="1701" w:type="dxa"/>
          </w:tcPr>
          <w:p w14:paraId="0FC04702" w14:textId="77777777" w:rsidR="00943240" w:rsidRPr="00CB70DA" w:rsidRDefault="00943240" w:rsidP="00943240">
            <w:pPr>
              <w:tabs>
                <w:tab w:val="center" w:pos="284"/>
              </w:tabs>
              <w:overflowPunct w:val="0"/>
              <w:autoSpaceDE w:val="0"/>
              <w:autoSpaceDN w:val="0"/>
              <w:adjustRightInd w:val="0"/>
              <w:ind w:left="567" w:hanging="567"/>
              <w:textAlignment w:val="baseline"/>
              <w:rPr>
                <w:b/>
                <w:sz w:val="22"/>
                <w:szCs w:val="22"/>
                <w:lang w:val="en-IE"/>
              </w:rPr>
            </w:pPr>
          </w:p>
        </w:tc>
        <w:tc>
          <w:tcPr>
            <w:tcW w:w="6237" w:type="dxa"/>
          </w:tcPr>
          <w:p w14:paraId="5E70C3D1" w14:textId="77777777" w:rsidR="00943240" w:rsidRPr="00CB70DA" w:rsidRDefault="00943240" w:rsidP="00943240">
            <w:pPr>
              <w:overflowPunct w:val="0"/>
              <w:autoSpaceDE w:val="0"/>
              <w:autoSpaceDN w:val="0"/>
              <w:adjustRightInd w:val="0"/>
              <w:ind w:left="567" w:hanging="567"/>
              <w:textAlignment w:val="baseline"/>
              <w:rPr>
                <w:sz w:val="22"/>
                <w:szCs w:val="22"/>
                <w:lang w:val="en-IE"/>
              </w:rPr>
            </w:pPr>
          </w:p>
        </w:tc>
      </w:tr>
      <w:tr w:rsidR="00943240" w:rsidRPr="00943240" w14:paraId="65C847A0" w14:textId="77777777" w:rsidTr="002E7EFB">
        <w:tc>
          <w:tcPr>
            <w:tcW w:w="1701" w:type="dxa"/>
            <w:vMerge w:val="restart"/>
          </w:tcPr>
          <w:p w14:paraId="70AB4636" w14:textId="77777777" w:rsidR="00943240" w:rsidRPr="00CB70DA" w:rsidRDefault="00943240" w:rsidP="00943240">
            <w:pPr>
              <w:tabs>
                <w:tab w:val="center" w:pos="284"/>
              </w:tabs>
              <w:overflowPunct w:val="0"/>
              <w:autoSpaceDE w:val="0"/>
              <w:autoSpaceDN w:val="0"/>
              <w:adjustRightInd w:val="0"/>
              <w:ind w:left="567" w:hanging="567"/>
              <w:textAlignment w:val="baseline"/>
              <w:rPr>
                <w:b/>
                <w:sz w:val="22"/>
                <w:szCs w:val="22"/>
              </w:rPr>
            </w:pPr>
            <w:r w:rsidRPr="00CB70DA">
              <w:rPr>
                <w:b/>
                <w:sz w:val="22"/>
                <w:szCs w:val="22"/>
              </w:rPr>
              <w:t>Referências</w:t>
            </w:r>
          </w:p>
        </w:tc>
        <w:tc>
          <w:tcPr>
            <w:tcW w:w="6237" w:type="dxa"/>
          </w:tcPr>
          <w:p w14:paraId="75B16B24" w14:textId="77777777" w:rsidR="00943240" w:rsidRPr="00CB70DA" w:rsidRDefault="00943240" w:rsidP="00943240">
            <w:pPr>
              <w:tabs>
                <w:tab w:val="center" w:pos="284"/>
              </w:tabs>
              <w:overflowPunct w:val="0"/>
              <w:autoSpaceDE w:val="0"/>
              <w:autoSpaceDN w:val="0"/>
              <w:adjustRightInd w:val="0"/>
              <w:ind w:left="567" w:hanging="567"/>
              <w:textAlignment w:val="baseline"/>
              <w:rPr>
                <w:sz w:val="22"/>
                <w:szCs w:val="22"/>
              </w:rPr>
            </w:pPr>
            <w:r w:rsidRPr="00CB70DA">
              <w:rPr>
                <w:sz w:val="22"/>
                <w:szCs w:val="22"/>
              </w:rPr>
              <w:t>Parecer de iniciativa</w:t>
            </w:r>
          </w:p>
          <w:p w14:paraId="32684914" w14:textId="77777777" w:rsidR="00943240" w:rsidRPr="00CB70DA" w:rsidRDefault="00943240" w:rsidP="00943240">
            <w:pPr>
              <w:tabs>
                <w:tab w:val="center" w:pos="284"/>
              </w:tabs>
              <w:overflowPunct w:val="0"/>
              <w:autoSpaceDE w:val="0"/>
              <w:autoSpaceDN w:val="0"/>
              <w:adjustRightInd w:val="0"/>
              <w:ind w:left="567" w:hanging="567"/>
              <w:textAlignment w:val="baseline"/>
              <w:rPr>
                <w:sz w:val="22"/>
                <w:szCs w:val="22"/>
              </w:rPr>
            </w:pPr>
            <w:r w:rsidRPr="00CB70DA">
              <w:rPr>
                <w:sz w:val="22"/>
                <w:szCs w:val="22"/>
              </w:rPr>
              <w:t>EESC-2025-04295-00-00-AC</w:t>
            </w:r>
          </w:p>
        </w:tc>
      </w:tr>
      <w:tr w:rsidR="00943240" w:rsidRPr="00943240" w14:paraId="536F2D4C" w14:textId="77777777" w:rsidTr="002E7EFB">
        <w:tc>
          <w:tcPr>
            <w:tcW w:w="1701"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6237"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Pontos principais</w:t>
      </w:r>
    </w:p>
    <w:p w14:paraId="367A8012" w14:textId="77777777" w:rsidR="00943240" w:rsidRPr="00943240" w:rsidRDefault="00943240" w:rsidP="00943240">
      <w:pPr>
        <w:spacing w:before="100" w:beforeAutospacing="1" w:after="100" w:afterAutospacing="1" w:line="240" w:lineRule="auto"/>
        <w:jc w:val="left"/>
        <w:rPr>
          <w:b/>
          <w:bCs/>
        </w:rPr>
      </w:pPr>
      <w:r>
        <w:t>O Comité Económico e Social Europeu:</w:t>
      </w:r>
    </w:p>
    <w:p w14:paraId="148FFAB3"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3" w:name="_Toc228805417"/>
      <w:r>
        <w:t>condena veementemente todas as formas de práticas de conversão que visem alterar, reprimir ou suprimir a orientação sexual, a identidade de género ou a expressão de género de uma pessoa e considera que essas práticas violam a proibição absoluta da tortura e dos tratamentos ou penas desumanos ou degradantes;</w:t>
      </w:r>
      <w:bookmarkEnd w:id="3"/>
    </w:p>
    <w:p w14:paraId="7291556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4" w:name="_Toc228805418"/>
      <w:r>
        <w:t>reitera que a discriminação, violência e tortura contra pessoas LGBTIQ+ na União Europeia (UE) é incompatível com os direitos e valores fundamentais da UE;</w:t>
      </w:r>
      <w:bookmarkEnd w:id="4"/>
    </w:p>
    <w:p w14:paraId="4C8743D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5" w:name="_Toc228805419"/>
      <w:r>
        <w:t>exorta a Comissão Europeia a propor a proibição juridicamente vinculativa, a nível da UE, das práticas de conversão, que abranja tanto a realização como a publicidade de tais práticas, através da sua classificação como «crime da UE» e a reconhecê-las como crimes de ódio, assegurando um nível uniforme de proteção em toda a UE;</w:t>
      </w:r>
      <w:bookmarkEnd w:id="5"/>
    </w:p>
    <w:p w14:paraId="7C4251B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6" w:name="_Toc228805420"/>
      <w:r>
        <w:t>solicita que a proibição seja formulada em termos precisos e abrangentes, se aplique tanto a crianças como a adultos, abranja todos os intervenientes públicos e privados (profissionais e não profissionais) e garanta que os sobreviventes nunca sejam sujeitos a responsabilidade penal ou civil;</w:t>
      </w:r>
      <w:bookmarkEnd w:id="6"/>
    </w:p>
    <w:p w14:paraId="1745C5A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7" w:name="_Toc228805421"/>
      <w:r>
        <w:t>insiste em que a proibição deve prever sanções efetivas, proporcionadas e dissuasivas que reflitam os graves danos infligidos pelas práticas de conversão;</w:t>
      </w:r>
      <w:bookmarkEnd w:id="7"/>
    </w:p>
    <w:p w14:paraId="6ABD62C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8" w:name="_Toc228805422"/>
      <w:r>
        <w:t>solicita que o âmbito de aplicação da proibição abranja expressamente as características sexuais, a fim de proteger as pessoas intersexuais de intervenções médicas não terapêuticas e não consentidas, ao impor um alinhamento com o binarismo de género;</w:t>
      </w:r>
      <w:bookmarkEnd w:id="8"/>
    </w:p>
    <w:p w14:paraId="7E83397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9" w:name="_Toc228805423"/>
      <w:r>
        <w:t>recomenda medidas de aplicação sólidas no âmbito da Estratégia para a Igualdade de Tratamento das Pessoas LGBTIQ+ 2026-2030, nomeadamente a monitorização anual realizada em consulta com a sociedade civil organizada, financiamento específico para a formação dos profissionais e as organizações de defesa dos direitos, bem como iniciativas de educação e sensibilização dos cidadãos apoiadas pela UE, que são essenciais para identificar e eliminar essas práticas.</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493"/>
      </w:tblGrid>
      <w:tr w:rsidR="00943240" w:rsidRPr="00943240" w14:paraId="4E107AFC" w14:textId="77777777" w:rsidTr="00CB70DA">
        <w:tc>
          <w:tcPr>
            <w:tcW w:w="2093" w:type="dxa"/>
          </w:tcPr>
          <w:p w14:paraId="468FD01F" w14:textId="77777777" w:rsidR="00943240" w:rsidRPr="00CB70DA" w:rsidRDefault="00943240" w:rsidP="00943240">
            <w:pPr>
              <w:overflowPunct w:val="0"/>
              <w:autoSpaceDE w:val="0"/>
              <w:autoSpaceDN w:val="0"/>
              <w:adjustRightInd w:val="0"/>
              <w:spacing w:line="240" w:lineRule="auto"/>
              <w:textAlignment w:val="baseline"/>
              <w:rPr>
                <w:i/>
                <w:sz w:val="22"/>
                <w:szCs w:val="22"/>
              </w:rPr>
            </w:pPr>
            <w:r w:rsidRPr="00CB70DA">
              <w:rPr>
                <w:b/>
                <w:i/>
                <w:sz w:val="22"/>
                <w:szCs w:val="22"/>
              </w:rPr>
              <w:t>Contacto</w:t>
            </w:r>
          </w:p>
        </w:tc>
        <w:tc>
          <w:tcPr>
            <w:tcW w:w="4493" w:type="dxa"/>
          </w:tcPr>
          <w:p w14:paraId="163017DF" w14:textId="63CCAD3A" w:rsidR="00943240" w:rsidRPr="00CB70DA" w:rsidRDefault="00943240" w:rsidP="00943240">
            <w:pPr>
              <w:overflowPunct w:val="0"/>
              <w:autoSpaceDE w:val="0"/>
              <w:autoSpaceDN w:val="0"/>
              <w:adjustRightInd w:val="0"/>
              <w:spacing w:line="240" w:lineRule="auto"/>
              <w:ind w:hanging="12"/>
              <w:textAlignment w:val="baseline"/>
              <w:rPr>
                <w:i/>
                <w:sz w:val="22"/>
                <w:szCs w:val="22"/>
              </w:rPr>
            </w:pPr>
            <w:r w:rsidRPr="00CB70DA">
              <w:rPr>
                <w:i/>
                <w:sz w:val="22"/>
                <w:szCs w:val="22"/>
              </w:rPr>
              <w:t>Bartek Bednarowicz</w:t>
            </w:r>
          </w:p>
        </w:tc>
      </w:tr>
      <w:tr w:rsidR="00943240" w:rsidRPr="00943240" w14:paraId="7B668718" w14:textId="77777777" w:rsidTr="00CB70DA">
        <w:tc>
          <w:tcPr>
            <w:tcW w:w="2093" w:type="dxa"/>
          </w:tcPr>
          <w:p w14:paraId="694AFF7E" w14:textId="77777777" w:rsidR="00943240" w:rsidRPr="00CB70DA" w:rsidRDefault="00943240" w:rsidP="00943240">
            <w:pPr>
              <w:overflowPunct w:val="0"/>
              <w:autoSpaceDE w:val="0"/>
              <w:autoSpaceDN w:val="0"/>
              <w:adjustRightInd w:val="0"/>
              <w:spacing w:line="240" w:lineRule="auto"/>
              <w:textAlignment w:val="baseline"/>
              <w:rPr>
                <w:i/>
                <w:sz w:val="22"/>
                <w:szCs w:val="22"/>
              </w:rPr>
            </w:pPr>
            <w:r w:rsidRPr="00CB70DA">
              <w:rPr>
                <w:i/>
                <w:sz w:val="22"/>
                <w:szCs w:val="22"/>
              </w:rPr>
              <w:t>Tel.</w:t>
            </w:r>
          </w:p>
        </w:tc>
        <w:tc>
          <w:tcPr>
            <w:tcW w:w="4493" w:type="dxa"/>
          </w:tcPr>
          <w:p w14:paraId="7D387ED4" w14:textId="77777777" w:rsidR="00943240" w:rsidRPr="00CB70DA" w:rsidRDefault="00943240" w:rsidP="00943240">
            <w:pPr>
              <w:overflowPunct w:val="0"/>
              <w:autoSpaceDE w:val="0"/>
              <w:autoSpaceDN w:val="0"/>
              <w:adjustRightInd w:val="0"/>
              <w:spacing w:line="240" w:lineRule="auto"/>
              <w:textAlignment w:val="baseline"/>
              <w:rPr>
                <w:i/>
                <w:sz w:val="22"/>
                <w:szCs w:val="22"/>
              </w:rPr>
            </w:pPr>
            <w:r w:rsidRPr="00CB70DA">
              <w:rPr>
                <w:i/>
                <w:sz w:val="22"/>
                <w:szCs w:val="22"/>
              </w:rPr>
              <w:t>+32 2 546 92 29</w:t>
            </w:r>
          </w:p>
        </w:tc>
      </w:tr>
      <w:tr w:rsidR="00943240" w:rsidRPr="00943240" w14:paraId="65C7A403" w14:textId="77777777" w:rsidTr="00CB70DA">
        <w:tc>
          <w:tcPr>
            <w:tcW w:w="2093" w:type="dxa"/>
          </w:tcPr>
          <w:p w14:paraId="27599C21" w14:textId="77777777" w:rsidR="00943240" w:rsidRPr="00CB70DA" w:rsidRDefault="00943240" w:rsidP="00943240">
            <w:pPr>
              <w:overflowPunct w:val="0"/>
              <w:autoSpaceDE w:val="0"/>
              <w:autoSpaceDN w:val="0"/>
              <w:adjustRightInd w:val="0"/>
              <w:spacing w:line="240" w:lineRule="auto"/>
              <w:textAlignment w:val="baseline"/>
              <w:rPr>
                <w:i/>
                <w:sz w:val="22"/>
                <w:szCs w:val="22"/>
              </w:rPr>
            </w:pPr>
            <w:r w:rsidRPr="00CB70DA">
              <w:rPr>
                <w:i/>
                <w:sz w:val="22"/>
                <w:szCs w:val="22"/>
              </w:rPr>
              <w:t>Endereço eletrónico</w:t>
            </w:r>
          </w:p>
        </w:tc>
        <w:tc>
          <w:tcPr>
            <w:tcW w:w="4493" w:type="dxa"/>
          </w:tcPr>
          <w:p w14:paraId="33C773EF" w14:textId="77777777" w:rsidR="00943240" w:rsidRPr="00CB70DA" w:rsidRDefault="008D063E" w:rsidP="00943240">
            <w:pPr>
              <w:overflowPunct w:val="0"/>
              <w:autoSpaceDE w:val="0"/>
              <w:autoSpaceDN w:val="0"/>
              <w:adjustRightInd w:val="0"/>
              <w:spacing w:line="240" w:lineRule="auto"/>
              <w:textAlignment w:val="baseline"/>
              <w:rPr>
                <w:i/>
                <w:iCs/>
                <w:sz w:val="22"/>
                <w:szCs w:val="22"/>
              </w:rPr>
            </w:pPr>
            <w:hyperlink r:id="rId21" w:history="1">
              <w:r w:rsidR="00A912EA" w:rsidRPr="00CB70DA">
                <w:rPr>
                  <w:i/>
                  <w:color w:val="0000FF"/>
                  <w:sz w:val="22"/>
                  <w:szCs w:val="22"/>
                  <w:u w:val="single"/>
                </w:rPr>
                <w:t>Bartek.Bednarowicz@eesc.europa.eu</w:t>
              </w:r>
            </w:hyperlink>
          </w:p>
          <w:p w14:paraId="05B7586B" w14:textId="77777777" w:rsidR="00943240" w:rsidRPr="00CB70DA" w:rsidRDefault="00943240" w:rsidP="00943240">
            <w:pPr>
              <w:overflowPunct w:val="0"/>
              <w:autoSpaceDE w:val="0"/>
              <w:autoSpaceDN w:val="0"/>
              <w:adjustRightInd w:val="0"/>
              <w:spacing w:line="240" w:lineRule="auto"/>
              <w:textAlignment w:val="baseline"/>
              <w:rPr>
                <w:i/>
                <w:sz w:val="22"/>
                <w:szCs w:val="22"/>
                <w:lang w:val="en-IE"/>
              </w:rPr>
            </w:pPr>
          </w:p>
        </w:tc>
      </w:tr>
    </w:tbl>
    <w:p w14:paraId="78E447C3" w14:textId="176CF351" w:rsidR="004F74E4" w:rsidRDefault="004F74E4" w:rsidP="001766B2"/>
    <w:p w14:paraId="49BF2B8A" w14:textId="77777777" w:rsidR="004F74E4" w:rsidRDefault="004F74E4">
      <w:pPr>
        <w:spacing w:after="160" w:line="259" w:lineRule="auto"/>
        <w:jc w:val="left"/>
      </w:pPr>
      <w:r>
        <w:br w:type="page"/>
      </w:r>
    </w:p>
    <w:p w14:paraId="37568C0D" w14:textId="19030F91" w:rsidR="00354B98" w:rsidRPr="00354B98" w:rsidRDefault="008D063E" w:rsidP="00354B98">
      <w:pPr>
        <w:widowControl w:val="0"/>
        <w:numPr>
          <w:ilvl w:val="0"/>
          <w:numId w:val="10"/>
        </w:numPr>
        <w:overflowPunct w:val="0"/>
        <w:autoSpaceDE w:val="0"/>
        <w:autoSpaceDN w:val="0"/>
        <w:adjustRightInd w:val="0"/>
        <w:spacing w:after="200" w:line="276" w:lineRule="auto"/>
        <w:ind w:left="567" w:hanging="567"/>
        <w:contextualSpacing/>
        <w:jc w:val="left"/>
        <w:textAlignment w:val="baseline"/>
        <w:rPr>
          <w:b/>
          <w:i/>
          <w:sz w:val="28"/>
          <w:szCs w:val="28"/>
        </w:rPr>
      </w:pPr>
      <w:hyperlink r:id="rId22" w:history="1">
        <w:r w:rsidR="00A912EA">
          <w:rPr>
            <w:b/>
            <w:i/>
            <w:color w:val="0000FF"/>
            <w:sz w:val="28"/>
            <w:u w:val="single"/>
          </w:rPr>
          <w:t>União da Igualdade: Estratégia para a Igualdade de Tratamento das Pessoas LGBTIQ+ 2026-2030</w:t>
        </w:r>
      </w:hyperlink>
    </w:p>
    <w:p w14:paraId="0E47B1B5" w14:textId="2D9E1616" w:rsidR="00354B98" w:rsidRPr="00354B98" w:rsidRDefault="00354B98" w:rsidP="004C6742">
      <w:pPr>
        <w:widowControl w:val="0"/>
        <w:overflowPunct w:val="0"/>
        <w:autoSpaceDE w:val="0"/>
        <w:autoSpaceDN w:val="0"/>
        <w:adjustRightInd w:val="0"/>
        <w:jc w:val="left"/>
        <w:textAlignment w:val="baseline"/>
        <w:rPr>
          <w:b/>
          <w:bCs/>
          <w:i/>
          <w:iCs/>
          <w:sz w:val="28"/>
          <w:szCs w:val="28"/>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354B98" w:rsidRPr="00354B98" w14:paraId="5A523F39" w14:textId="77777777" w:rsidTr="002E7EFB">
        <w:tc>
          <w:tcPr>
            <w:tcW w:w="1701" w:type="dxa"/>
          </w:tcPr>
          <w:p w14:paraId="6F791E34" w14:textId="77777777" w:rsidR="00354B98" w:rsidRPr="00CB70DA" w:rsidRDefault="00354B98" w:rsidP="00354B98">
            <w:pPr>
              <w:tabs>
                <w:tab w:val="center" w:pos="284"/>
              </w:tabs>
              <w:overflowPunct w:val="0"/>
              <w:autoSpaceDE w:val="0"/>
              <w:autoSpaceDN w:val="0"/>
              <w:adjustRightInd w:val="0"/>
              <w:ind w:left="266" w:hanging="266"/>
              <w:textAlignment w:val="baseline"/>
              <w:rPr>
                <w:b/>
                <w:sz w:val="22"/>
                <w:szCs w:val="22"/>
              </w:rPr>
            </w:pPr>
            <w:r w:rsidRPr="00CB70DA">
              <w:rPr>
                <w:b/>
                <w:sz w:val="22"/>
                <w:szCs w:val="22"/>
              </w:rPr>
              <w:t>Relatora</w:t>
            </w:r>
          </w:p>
        </w:tc>
        <w:tc>
          <w:tcPr>
            <w:tcW w:w="6804" w:type="dxa"/>
          </w:tcPr>
          <w:p w14:paraId="1488AC9A" w14:textId="16EE367D" w:rsidR="00354B98" w:rsidRPr="00CB70DA" w:rsidRDefault="00354B98" w:rsidP="00354B98">
            <w:pPr>
              <w:tabs>
                <w:tab w:val="center" w:pos="284"/>
              </w:tabs>
              <w:overflowPunct w:val="0"/>
              <w:autoSpaceDE w:val="0"/>
              <w:autoSpaceDN w:val="0"/>
              <w:adjustRightInd w:val="0"/>
              <w:ind w:left="266" w:hanging="266"/>
              <w:textAlignment w:val="baseline"/>
              <w:rPr>
                <w:sz w:val="22"/>
                <w:szCs w:val="22"/>
              </w:rPr>
            </w:pPr>
            <w:r w:rsidRPr="00CB70DA">
              <w:rPr>
                <w:sz w:val="22"/>
                <w:szCs w:val="22"/>
              </w:rPr>
              <w:t>Juliane Marie Neiiendam (DK – Grupo das Organizações da Sociedade Civil)</w:t>
            </w:r>
          </w:p>
        </w:tc>
      </w:tr>
      <w:tr w:rsidR="00354B98" w:rsidRPr="00354B98" w14:paraId="47C7615B" w14:textId="77777777" w:rsidTr="002E7EFB">
        <w:tc>
          <w:tcPr>
            <w:tcW w:w="1701" w:type="dxa"/>
          </w:tcPr>
          <w:p w14:paraId="20505F27" w14:textId="77777777" w:rsidR="00354B98" w:rsidRPr="00CB70DA" w:rsidRDefault="00354B98" w:rsidP="00354B98">
            <w:pPr>
              <w:tabs>
                <w:tab w:val="center" w:pos="284"/>
              </w:tabs>
              <w:overflowPunct w:val="0"/>
              <w:autoSpaceDE w:val="0"/>
              <w:autoSpaceDN w:val="0"/>
              <w:adjustRightInd w:val="0"/>
              <w:ind w:left="266" w:hanging="266"/>
              <w:textAlignment w:val="baseline"/>
              <w:rPr>
                <w:b/>
                <w:sz w:val="22"/>
                <w:szCs w:val="22"/>
              </w:rPr>
            </w:pPr>
          </w:p>
        </w:tc>
        <w:tc>
          <w:tcPr>
            <w:tcW w:w="6804" w:type="dxa"/>
          </w:tcPr>
          <w:p w14:paraId="465F0ECB" w14:textId="77777777" w:rsidR="00354B98" w:rsidRPr="00CB70DA" w:rsidRDefault="00354B98" w:rsidP="00354B98">
            <w:pPr>
              <w:tabs>
                <w:tab w:val="center" w:pos="284"/>
              </w:tabs>
              <w:overflowPunct w:val="0"/>
              <w:autoSpaceDE w:val="0"/>
              <w:autoSpaceDN w:val="0"/>
              <w:adjustRightInd w:val="0"/>
              <w:textAlignment w:val="baseline"/>
              <w:rPr>
                <w:sz w:val="22"/>
                <w:szCs w:val="22"/>
              </w:rPr>
            </w:pPr>
          </w:p>
        </w:tc>
      </w:tr>
      <w:tr w:rsidR="00354B98" w:rsidRPr="00354B98" w14:paraId="4E110D3A" w14:textId="77777777" w:rsidTr="002E7EFB">
        <w:tc>
          <w:tcPr>
            <w:tcW w:w="8505" w:type="dxa"/>
            <w:gridSpan w:val="2"/>
          </w:tcPr>
          <w:p w14:paraId="46EEB135" w14:textId="77777777" w:rsidR="00354B98" w:rsidRPr="00CB70DA" w:rsidRDefault="00354B98" w:rsidP="00354B98">
            <w:pPr>
              <w:tabs>
                <w:tab w:val="center" w:pos="284"/>
              </w:tabs>
              <w:overflowPunct w:val="0"/>
              <w:autoSpaceDE w:val="0"/>
              <w:autoSpaceDN w:val="0"/>
              <w:adjustRightInd w:val="0"/>
              <w:spacing w:line="160" w:lineRule="exact"/>
              <w:ind w:left="266" w:hanging="266"/>
              <w:textAlignment w:val="baseline"/>
              <w:rPr>
                <w:sz w:val="22"/>
                <w:szCs w:val="22"/>
              </w:rPr>
            </w:pPr>
          </w:p>
        </w:tc>
      </w:tr>
      <w:tr w:rsidR="00354B98" w:rsidRPr="00354B98" w14:paraId="54E406AB" w14:textId="77777777" w:rsidTr="002E7EFB">
        <w:tc>
          <w:tcPr>
            <w:tcW w:w="1701" w:type="dxa"/>
            <w:vMerge w:val="restart"/>
          </w:tcPr>
          <w:p w14:paraId="7F355524" w14:textId="77777777" w:rsidR="00354B98" w:rsidRPr="00CB70DA" w:rsidRDefault="00354B98" w:rsidP="00354B98">
            <w:pPr>
              <w:tabs>
                <w:tab w:val="center" w:pos="284"/>
              </w:tabs>
              <w:overflowPunct w:val="0"/>
              <w:autoSpaceDE w:val="0"/>
              <w:autoSpaceDN w:val="0"/>
              <w:adjustRightInd w:val="0"/>
              <w:ind w:left="266" w:hanging="266"/>
              <w:textAlignment w:val="baseline"/>
              <w:rPr>
                <w:b/>
                <w:sz w:val="22"/>
                <w:szCs w:val="22"/>
              </w:rPr>
            </w:pPr>
            <w:r w:rsidRPr="00CB70DA">
              <w:rPr>
                <w:b/>
                <w:sz w:val="22"/>
                <w:szCs w:val="22"/>
              </w:rPr>
              <w:t xml:space="preserve">Referências </w:t>
            </w:r>
          </w:p>
        </w:tc>
        <w:tc>
          <w:tcPr>
            <w:tcW w:w="6804" w:type="dxa"/>
          </w:tcPr>
          <w:p w14:paraId="3C103592" w14:textId="4ABCDC27" w:rsidR="00354B98" w:rsidRPr="00CB70DA" w:rsidRDefault="00354B98" w:rsidP="00354B98">
            <w:pPr>
              <w:tabs>
                <w:tab w:val="center" w:pos="284"/>
              </w:tabs>
              <w:overflowPunct w:val="0"/>
              <w:autoSpaceDE w:val="0"/>
              <w:autoSpaceDN w:val="0"/>
              <w:adjustRightInd w:val="0"/>
              <w:ind w:left="266" w:hanging="266"/>
              <w:textAlignment w:val="baseline"/>
              <w:rPr>
                <w:sz w:val="22"/>
                <w:szCs w:val="22"/>
              </w:rPr>
            </w:pPr>
            <w:r w:rsidRPr="00CB70DA">
              <w:rPr>
                <w:sz w:val="22"/>
                <w:szCs w:val="22"/>
              </w:rPr>
              <w:t>COM(2025) 725 final</w:t>
            </w:r>
          </w:p>
        </w:tc>
      </w:tr>
      <w:tr w:rsidR="00354B98" w:rsidRPr="00354B98" w14:paraId="1CC90C32" w14:textId="77777777" w:rsidTr="002E7EFB">
        <w:tc>
          <w:tcPr>
            <w:tcW w:w="1701" w:type="dxa"/>
            <w:vMerge/>
          </w:tcPr>
          <w:p w14:paraId="4AE0A5C9" w14:textId="77777777" w:rsidR="00354B98" w:rsidRPr="00CB70DA" w:rsidRDefault="00354B98" w:rsidP="00354B98">
            <w:pPr>
              <w:tabs>
                <w:tab w:val="center" w:pos="284"/>
              </w:tabs>
              <w:overflowPunct w:val="0"/>
              <w:autoSpaceDE w:val="0"/>
              <w:autoSpaceDN w:val="0"/>
              <w:adjustRightInd w:val="0"/>
              <w:ind w:left="266" w:hanging="266"/>
              <w:textAlignment w:val="baseline"/>
              <w:rPr>
                <w:b/>
                <w:sz w:val="22"/>
                <w:szCs w:val="22"/>
                <w:lang w:val="en-GB"/>
              </w:rPr>
            </w:pPr>
          </w:p>
        </w:tc>
        <w:tc>
          <w:tcPr>
            <w:tcW w:w="6804" w:type="dxa"/>
          </w:tcPr>
          <w:p w14:paraId="2744FDCB" w14:textId="4A569384" w:rsidR="00354B98" w:rsidRPr="00CB70DA" w:rsidRDefault="00354B98" w:rsidP="00354B98">
            <w:pPr>
              <w:tabs>
                <w:tab w:val="center" w:pos="284"/>
              </w:tabs>
              <w:overflowPunct w:val="0"/>
              <w:autoSpaceDE w:val="0"/>
              <w:autoSpaceDN w:val="0"/>
              <w:adjustRightInd w:val="0"/>
              <w:ind w:left="266" w:hanging="266"/>
              <w:textAlignment w:val="baseline"/>
              <w:rPr>
                <w:sz w:val="22"/>
                <w:szCs w:val="22"/>
              </w:rPr>
            </w:pPr>
            <w:r w:rsidRPr="00CB70DA">
              <w:rPr>
                <w:sz w:val="22"/>
                <w:szCs w:val="22"/>
              </w:rP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Pontos principais</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r>
        <w:t>O Comité Económico e Social Europeu:</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49C73154"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congratula-se com a nova Estratégia para a Igualdade de Tratamento das Pessoas LGBTIQ+ 2026</w:t>
      </w:r>
      <w:r w:rsidR="00C418F1">
        <w:noBreakHyphen/>
      </w:r>
      <w:r>
        <w:t xml:space="preserve">2030 e defende medidas mais arrojadas, uma vez que a discriminação, a violência, o assédio e a exclusão persistentes, que afetam sobretudo as pessoas transgénero, não binárias e intersexo, exigem uma ação mais firme e mais coerente da UE; </w:t>
      </w:r>
    </w:p>
    <w:p w14:paraId="6D5257E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defende uma responsabilização e execução mais rigorosas através de índices de referência vinculativos, da abertura sistemática de processos por infração, da sujeição ao respeito do Estado de direito e da aplicação de estratégias nacionais para as pessoas LGBTIQ+; </w:t>
      </w:r>
    </w:p>
    <w:p w14:paraId="0B028E36"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reclama uma ação decisiva para proteger os direitos fundamentais e o espaço cívico combatendo a desinformação e o discurso de ódio e assegurando um apoio contínuo às organizações da sociedade civil; </w:t>
      </w:r>
    </w:p>
    <w:p w14:paraId="7C16731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defende a plena igualdade na vida quotidiana, garantindo o acesso inclusivo aos cuidados de saúde, à educação e ao emprego através do reforço da inclusão no local de trabalho;</w:t>
      </w:r>
    </w:p>
    <w:p w14:paraId="0449885B"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exorta a Comissão Europeia a propor a proibição juridicamente vinculativa, a nível da UE, das práticas de conversão, que abranja tanto a realização como a publicidade de tais práticas, através da sua classificação como «crime da UE» e a reconhecê-las como crimes de ódio, assegurando um nível uniforme de proteção em toda a UE;</w:t>
      </w:r>
    </w:p>
    <w:p w14:paraId="1400C6A1"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exorta ao combate às desigualdades estruturais através da integração da igualdade de tratamento das pessoas LGBTIQ+ nas políticas de inclusão social, habitação e combate à pobreza, com apoio específico para as pessoas que enfrentam discriminação interseccional;</w:t>
      </w:r>
    </w:p>
    <w:p w14:paraId="7CD0D179"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rFonts w:asciiTheme="minorHAnsi" w:hAnsiTheme="minorHAnsi"/>
          <w:szCs w:val="20"/>
        </w:rPr>
      </w:pPr>
      <w:r>
        <w:t>reclama quadros preparados para o futuro e baseados nos direitos, colmatando as lacunas jurídicas, assegurando o reconhecimento da autodeterminação do género, reforçando o acesso à justiça, assegurando um financiamento adequado para as organizações da sociedade civil, melhorando os dados interseccionais e salvaguardando a igualdade nas tecnologias digitais e na IA.</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670"/>
      </w:tblGrid>
      <w:tr w:rsidR="00354B98" w:rsidRPr="00CB70DA" w14:paraId="3184797F" w14:textId="77777777" w:rsidTr="00CB70DA">
        <w:tc>
          <w:tcPr>
            <w:tcW w:w="2093" w:type="dxa"/>
          </w:tcPr>
          <w:p w14:paraId="2A28D240" w14:textId="77777777" w:rsidR="00354B98" w:rsidRPr="00CB70DA" w:rsidRDefault="00354B98" w:rsidP="00354B98">
            <w:pPr>
              <w:overflowPunct w:val="0"/>
              <w:autoSpaceDE w:val="0"/>
              <w:autoSpaceDN w:val="0"/>
              <w:adjustRightInd w:val="0"/>
              <w:spacing w:line="240" w:lineRule="auto"/>
              <w:textAlignment w:val="baseline"/>
              <w:rPr>
                <w:i/>
                <w:sz w:val="22"/>
                <w:szCs w:val="22"/>
              </w:rPr>
            </w:pPr>
            <w:r w:rsidRPr="00CB70DA">
              <w:rPr>
                <w:b/>
                <w:i/>
                <w:sz w:val="22"/>
                <w:szCs w:val="22"/>
              </w:rPr>
              <w:t>Contacto</w:t>
            </w:r>
          </w:p>
        </w:tc>
        <w:tc>
          <w:tcPr>
            <w:tcW w:w="5670" w:type="dxa"/>
          </w:tcPr>
          <w:p w14:paraId="7B16B757" w14:textId="08FB7356" w:rsidR="00354B98" w:rsidRPr="00CB70DA" w:rsidRDefault="00354B98" w:rsidP="00354B98">
            <w:pPr>
              <w:overflowPunct w:val="0"/>
              <w:autoSpaceDE w:val="0"/>
              <w:autoSpaceDN w:val="0"/>
              <w:adjustRightInd w:val="0"/>
              <w:spacing w:line="240" w:lineRule="auto"/>
              <w:textAlignment w:val="baseline"/>
              <w:rPr>
                <w:i/>
                <w:sz w:val="22"/>
                <w:szCs w:val="22"/>
              </w:rPr>
            </w:pPr>
            <w:r w:rsidRPr="00CB70DA">
              <w:rPr>
                <w:i/>
                <w:sz w:val="22"/>
                <w:szCs w:val="22"/>
              </w:rPr>
              <w:t>Bartek Bednarowicz</w:t>
            </w:r>
          </w:p>
        </w:tc>
      </w:tr>
      <w:tr w:rsidR="00354B98" w:rsidRPr="00CB70DA" w14:paraId="0E1F3D07" w14:textId="77777777" w:rsidTr="00CB70DA">
        <w:tc>
          <w:tcPr>
            <w:tcW w:w="2093" w:type="dxa"/>
          </w:tcPr>
          <w:p w14:paraId="4235BE66" w14:textId="77777777" w:rsidR="00354B98" w:rsidRPr="00CB70DA" w:rsidRDefault="00354B98" w:rsidP="00354B98">
            <w:pPr>
              <w:overflowPunct w:val="0"/>
              <w:autoSpaceDE w:val="0"/>
              <w:autoSpaceDN w:val="0"/>
              <w:adjustRightInd w:val="0"/>
              <w:spacing w:line="240" w:lineRule="auto"/>
              <w:textAlignment w:val="baseline"/>
              <w:rPr>
                <w:i/>
                <w:sz w:val="22"/>
                <w:szCs w:val="22"/>
              </w:rPr>
            </w:pPr>
            <w:r w:rsidRPr="00CB70DA">
              <w:rPr>
                <w:i/>
                <w:sz w:val="22"/>
                <w:szCs w:val="22"/>
              </w:rPr>
              <w:t>Tel.</w:t>
            </w:r>
          </w:p>
        </w:tc>
        <w:tc>
          <w:tcPr>
            <w:tcW w:w="5670" w:type="dxa"/>
          </w:tcPr>
          <w:p w14:paraId="22D630EA" w14:textId="77777777" w:rsidR="00354B98" w:rsidRPr="00CB70DA" w:rsidRDefault="00354B98" w:rsidP="00354B98">
            <w:pPr>
              <w:overflowPunct w:val="0"/>
              <w:autoSpaceDE w:val="0"/>
              <w:autoSpaceDN w:val="0"/>
              <w:adjustRightInd w:val="0"/>
              <w:spacing w:line="240" w:lineRule="auto"/>
              <w:textAlignment w:val="baseline"/>
              <w:rPr>
                <w:i/>
                <w:sz w:val="22"/>
                <w:szCs w:val="22"/>
              </w:rPr>
            </w:pPr>
            <w:r w:rsidRPr="00CB70DA">
              <w:rPr>
                <w:i/>
                <w:sz w:val="22"/>
                <w:szCs w:val="22"/>
              </w:rPr>
              <w:t>+32 2 546 92 29</w:t>
            </w:r>
          </w:p>
        </w:tc>
      </w:tr>
      <w:tr w:rsidR="00354B98" w:rsidRPr="00CB70DA" w14:paraId="07F9D924" w14:textId="77777777" w:rsidTr="00CB70DA">
        <w:tc>
          <w:tcPr>
            <w:tcW w:w="2093" w:type="dxa"/>
          </w:tcPr>
          <w:p w14:paraId="5F74FBF9" w14:textId="76661680" w:rsidR="00354B98" w:rsidRPr="00CB70DA" w:rsidRDefault="00755E1E" w:rsidP="00354B98">
            <w:pPr>
              <w:overflowPunct w:val="0"/>
              <w:autoSpaceDE w:val="0"/>
              <w:autoSpaceDN w:val="0"/>
              <w:adjustRightInd w:val="0"/>
              <w:spacing w:line="240" w:lineRule="auto"/>
              <w:textAlignment w:val="baseline"/>
              <w:rPr>
                <w:i/>
                <w:sz w:val="22"/>
                <w:szCs w:val="22"/>
              </w:rPr>
            </w:pPr>
            <w:r w:rsidRPr="00CB70DA">
              <w:rPr>
                <w:i/>
                <w:sz w:val="22"/>
                <w:szCs w:val="22"/>
              </w:rPr>
              <w:t>Endereço eletrónico</w:t>
            </w:r>
          </w:p>
        </w:tc>
        <w:tc>
          <w:tcPr>
            <w:tcW w:w="5670" w:type="dxa"/>
          </w:tcPr>
          <w:p w14:paraId="25F375C5" w14:textId="77777777" w:rsidR="00354B98" w:rsidRPr="00CB70DA" w:rsidRDefault="008D063E" w:rsidP="00354B98">
            <w:pPr>
              <w:overflowPunct w:val="0"/>
              <w:autoSpaceDE w:val="0"/>
              <w:autoSpaceDN w:val="0"/>
              <w:adjustRightInd w:val="0"/>
              <w:spacing w:line="240" w:lineRule="auto"/>
              <w:textAlignment w:val="baseline"/>
              <w:rPr>
                <w:i/>
                <w:iCs/>
                <w:sz w:val="22"/>
                <w:szCs w:val="22"/>
              </w:rPr>
            </w:pPr>
            <w:hyperlink r:id="rId23" w:history="1">
              <w:r w:rsidR="00A912EA" w:rsidRPr="00CB70DA">
                <w:rPr>
                  <w:i/>
                  <w:color w:val="0000FF"/>
                  <w:sz w:val="22"/>
                  <w:szCs w:val="22"/>
                  <w:u w:val="single"/>
                </w:rPr>
                <w:t xml:space="preserve">Bartek.Bednarowicz@eesc.europa.eu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54D599FA" w:rsidR="00C82A9F" w:rsidRDefault="00C82A9F">
      <w:pPr>
        <w:spacing w:after="160" w:line="259" w:lineRule="auto"/>
        <w:jc w:val="left"/>
      </w:pPr>
      <w:r>
        <w:br w:type="page"/>
      </w:r>
    </w:p>
    <w:p w14:paraId="7477FCDA" w14:textId="457A2DC0" w:rsidR="005D43B9" w:rsidRPr="005D43B9" w:rsidRDefault="008D063E" w:rsidP="005D43B9">
      <w:pPr>
        <w:widowControl w:val="0"/>
        <w:numPr>
          <w:ilvl w:val="0"/>
          <w:numId w:val="8"/>
        </w:numPr>
        <w:overflowPunct w:val="0"/>
        <w:autoSpaceDE w:val="0"/>
        <w:autoSpaceDN w:val="0"/>
        <w:adjustRightInd w:val="0"/>
        <w:ind w:left="567" w:hanging="567"/>
        <w:textAlignment w:val="baseline"/>
        <w:rPr>
          <w:sz w:val="16"/>
          <w:szCs w:val="16"/>
        </w:rPr>
      </w:pPr>
      <w:hyperlink r:id="rId24" w:history="1">
        <w:r w:rsidR="00A912EA">
          <w:rPr>
            <w:b/>
            <w:i/>
            <w:color w:val="0000FF"/>
            <w:sz w:val="28"/>
            <w:u w:val="single"/>
          </w:rPr>
          <w:t>Competitividade da UE e empreendedorismo jovem</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5D43B9" w:rsidRPr="005D43B9" w14:paraId="2FF33FAA" w14:textId="77777777" w:rsidTr="004C6742">
        <w:tc>
          <w:tcPr>
            <w:tcW w:w="1701" w:type="dxa"/>
          </w:tcPr>
          <w:p w14:paraId="4A8D35E0" w14:textId="77777777" w:rsidR="005D43B9" w:rsidRPr="006A69F4" w:rsidRDefault="005D43B9" w:rsidP="005D43B9">
            <w:pPr>
              <w:tabs>
                <w:tab w:val="center" w:pos="284"/>
              </w:tabs>
              <w:overflowPunct w:val="0"/>
              <w:autoSpaceDE w:val="0"/>
              <w:autoSpaceDN w:val="0"/>
              <w:adjustRightInd w:val="0"/>
              <w:spacing w:line="240" w:lineRule="auto"/>
              <w:ind w:left="567" w:hanging="567"/>
              <w:textAlignment w:val="baseline"/>
              <w:rPr>
                <w:b/>
                <w:sz w:val="22"/>
                <w:szCs w:val="22"/>
              </w:rPr>
            </w:pPr>
            <w:r w:rsidRPr="006A69F4">
              <w:rPr>
                <w:b/>
                <w:sz w:val="22"/>
                <w:szCs w:val="22"/>
              </w:rPr>
              <w:t>Relator</w:t>
            </w:r>
          </w:p>
          <w:p w14:paraId="2658A4F3" w14:textId="77777777" w:rsidR="005D43B9" w:rsidRPr="006A69F4" w:rsidRDefault="005D43B9" w:rsidP="005D43B9">
            <w:pPr>
              <w:tabs>
                <w:tab w:val="center" w:pos="284"/>
              </w:tabs>
              <w:overflowPunct w:val="0"/>
              <w:autoSpaceDE w:val="0"/>
              <w:autoSpaceDN w:val="0"/>
              <w:adjustRightInd w:val="0"/>
              <w:spacing w:line="240" w:lineRule="auto"/>
              <w:ind w:left="567" w:hanging="567"/>
              <w:textAlignment w:val="baseline"/>
              <w:rPr>
                <w:b/>
                <w:sz w:val="22"/>
                <w:szCs w:val="22"/>
              </w:rPr>
            </w:pPr>
          </w:p>
        </w:tc>
        <w:tc>
          <w:tcPr>
            <w:tcW w:w="6663" w:type="dxa"/>
          </w:tcPr>
          <w:p w14:paraId="31BCB833" w14:textId="35DCDF72" w:rsidR="005D43B9" w:rsidRPr="006A69F4" w:rsidRDefault="005D43B9" w:rsidP="005D43B9">
            <w:pPr>
              <w:overflowPunct w:val="0"/>
              <w:autoSpaceDE w:val="0"/>
              <w:autoSpaceDN w:val="0"/>
              <w:adjustRightInd w:val="0"/>
              <w:spacing w:line="240" w:lineRule="auto"/>
              <w:ind w:left="567" w:hanging="567"/>
              <w:textAlignment w:val="baseline"/>
              <w:rPr>
                <w:sz w:val="22"/>
                <w:szCs w:val="22"/>
              </w:rPr>
            </w:pPr>
            <w:r w:rsidRPr="006A69F4">
              <w:rPr>
                <w:sz w:val="22"/>
                <w:szCs w:val="22"/>
              </w:rPr>
              <w:t>Giuseppe Guerini (IT</w:t>
            </w:r>
            <w:r w:rsidR="00C418F1">
              <w:rPr>
                <w:sz w:val="22"/>
                <w:szCs w:val="22"/>
              </w:rPr>
              <w:t xml:space="preserve"> – </w:t>
            </w:r>
            <w:r w:rsidRPr="006A69F4">
              <w:rPr>
                <w:sz w:val="22"/>
                <w:szCs w:val="22"/>
              </w:rPr>
              <w:t>Grupo das Organizações da Sociedade Civil)</w:t>
            </w:r>
          </w:p>
        </w:tc>
      </w:tr>
      <w:tr w:rsidR="005D43B9" w:rsidRPr="005D43B9" w14:paraId="118E6E00" w14:textId="77777777" w:rsidTr="004C6742">
        <w:tc>
          <w:tcPr>
            <w:tcW w:w="1701" w:type="dxa"/>
            <w:vMerge w:val="restart"/>
          </w:tcPr>
          <w:p w14:paraId="21DE2D02" w14:textId="77777777" w:rsidR="005D43B9" w:rsidRPr="006A69F4" w:rsidRDefault="005D43B9" w:rsidP="005D43B9">
            <w:pPr>
              <w:tabs>
                <w:tab w:val="center" w:pos="284"/>
              </w:tabs>
              <w:overflowPunct w:val="0"/>
              <w:autoSpaceDE w:val="0"/>
              <w:autoSpaceDN w:val="0"/>
              <w:adjustRightInd w:val="0"/>
              <w:spacing w:line="240" w:lineRule="auto"/>
              <w:ind w:left="567" w:hanging="567"/>
              <w:textAlignment w:val="baseline"/>
              <w:rPr>
                <w:b/>
                <w:sz w:val="22"/>
                <w:szCs w:val="22"/>
              </w:rPr>
            </w:pPr>
            <w:r w:rsidRPr="006A69F4">
              <w:rPr>
                <w:b/>
                <w:sz w:val="22"/>
                <w:szCs w:val="22"/>
              </w:rPr>
              <w:t>Referências</w:t>
            </w:r>
          </w:p>
        </w:tc>
        <w:tc>
          <w:tcPr>
            <w:tcW w:w="6663" w:type="dxa"/>
          </w:tcPr>
          <w:p w14:paraId="2EF0047D" w14:textId="66FB81B3" w:rsidR="004A4B18" w:rsidRPr="006A69F4" w:rsidRDefault="005E01B5" w:rsidP="005D43B9">
            <w:pPr>
              <w:tabs>
                <w:tab w:val="center" w:pos="284"/>
              </w:tabs>
              <w:overflowPunct w:val="0"/>
              <w:autoSpaceDE w:val="0"/>
              <w:autoSpaceDN w:val="0"/>
              <w:adjustRightInd w:val="0"/>
              <w:spacing w:line="240" w:lineRule="auto"/>
              <w:ind w:left="567" w:hanging="567"/>
              <w:textAlignment w:val="baseline"/>
              <w:rPr>
                <w:sz w:val="22"/>
                <w:szCs w:val="22"/>
              </w:rPr>
            </w:pPr>
            <w:r w:rsidRPr="006A69F4">
              <w:rPr>
                <w:sz w:val="22"/>
                <w:szCs w:val="22"/>
              </w:rPr>
              <w:t>Parecer exploratório a pedido da Presidência cipriota do Conselho da UE</w:t>
            </w:r>
          </w:p>
          <w:p w14:paraId="63716DCE" w14:textId="39FCB672" w:rsidR="005D43B9" w:rsidRPr="006A69F4" w:rsidRDefault="005D43B9" w:rsidP="005D43B9">
            <w:pPr>
              <w:tabs>
                <w:tab w:val="center" w:pos="284"/>
              </w:tabs>
              <w:overflowPunct w:val="0"/>
              <w:autoSpaceDE w:val="0"/>
              <w:autoSpaceDN w:val="0"/>
              <w:adjustRightInd w:val="0"/>
              <w:spacing w:line="240" w:lineRule="auto"/>
              <w:ind w:left="567" w:hanging="567"/>
              <w:textAlignment w:val="baseline"/>
              <w:rPr>
                <w:sz w:val="22"/>
                <w:szCs w:val="22"/>
              </w:rPr>
            </w:pPr>
            <w:r w:rsidRPr="006A69F4">
              <w:rPr>
                <w:sz w:val="22"/>
                <w:szCs w:val="22"/>
              </w:rPr>
              <w:t>EESC-2025-04305-00-00-AC</w:t>
            </w:r>
          </w:p>
        </w:tc>
      </w:tr>
      <w:tr w:rsidR="005D43B9" w:rsidRPr="005D43B9" w14:paraId="2A0968A0" w14:textId="77777777" w:rsidTr="004C6742">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rPr>
            </w:pPr>
          </w:p>
        </w:tc>
        <w:tc>
          <w:tcPr>
            <w:tcW w:w="6663"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Pontos principais</w:t>
      </w:r>
    </w:p>
    <w:p w14:paraId="79AD68CC" w14:textId="77777777" w:rsidR="005D43B9" w:rsidRPr="005D43B9" w:rsidRDefault="005D43B9" w:rsidP="005D43B9">
      <w:pPr>
        <w:spacing w:before="100" w:beforeAutospacing="1" w:after="100" w:afterAutospacing="1" w:line="240" w:lineRule="auto"/>
        <w:rPr>
          <w:sz w:val="24"/>
          <w:szCs w:val="24"/>
        </w:rPr>
      </w:pPr>
      <w:r>
        <w:rPr>
          <w:sz w:val="24"/>
        </w:rPr>
        <w:t>O Comité Económico e Social Europeu:</w:t>
      </w:r>
    </w:p>
    <w:p w14:paraId="0C9A4C8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0" w:name="_Toc228805424"/>
      <w:r>
        <w:t>preconiza uma estratégia abrangente e coordenada da UE e dos Estados-Membros que preveja um pacote integrado de apoio para os jovens empreendedores, aliando financiamento acessível, formação personalizada, serviços de mentoria, serviços de orientação, viveiros de empresas e ecossistemas locais fortes, a fim de maximizar a criação de empresas e a sustentabilidade;</w:t>
      </w:r>
      <w:bookmarkEnd w:id="10"/>
    </w:p>
    <w:p w14:paraId="1676989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1" w:name="_Toc228805425"/>
      <w:r>
        <w:t>defende uma mudança radical no acesso ao financiamento, prevendo outros instrumentos de financiamento adaptados aos jovens para além dos empréstimos bancários tradicionais, nomeadamente o microfinanciamento, o capital alternativo e o apoio direcionado especificamente para as empresas da economia social e para outros modelos orientados para o impacto;</w:t>
      </w:r>
      <w:bookmarkEnd w:id="11"/>
    </w:p>
    <w:p w14:paraId="5EC949A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2" w:name="_Toc228805426"/>
      <w:r>
        <w:t>insta a uma simplificação resoluta dos quadros administrativos e regulamentares a nível local, nacional e da UE, para reduzir a burocracia, diminuir os custos de conformidade e criar um ambiente estável e propício às empresas para os jovens empreendedores;</w:t>
      </w:r>
      <w:bookmarkEnd w:id="12"/>
    </w:p>
    <w:p w14:paraId="6B1C43BE"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3" w:name="_Toc228805427"/>
      <w:r>
        <w:t>recomenda que se integre a educação para o empreendedorismo, a literacia financeira e o espírito empreendedor em todos os sistemas de educação e formação, em especial nos percursos de formação dual e profissional, reforçando simultaneamente as competências digitais e avançadas, nomeadamente em inteligência artificial, para preparar os jovens para os mercados do futuro;</w:t>
      </w:r>
      <w:bookmarkEnd w:id="13"/>
    </w:p>
    <w:p w14:paraId="365FBE52"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4" w:name="_Toc228805428"/>
      <w:r>
        <w:t>reclama ecossistemas de apoio mais fortes através de oportunidades de mentoria, patrocínio, criação de redes e internacionalização, incluindo regimes de mobilidade e acesso a mercados transfronteiriços, para reforçar a inovação, a escalabilidade e a competitividade;</w:t>
      </w:r>
      <w:bookmarkEnd w:id="14"/>
    </w:p>
    <w:p w14:paraId="121511A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5" w:name="_Toc228805429"/>
      <w:r>
        <w:t>insta a políticas de empreendedorismo inclusivas e sustentáveis que colmatem as lacunas para os grupos sub-representados, promovam uma cultura de «direito à segunda oportunidade», assegurem uma proteção social adequada e posicionem o empreendedorismo dos jovens como uma via voluntária mas estratégica para mercados de trabalho resilientes e para a competitividade da UE a longo prazo.</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5D43B9" w14:paraId="3AEDDC10" w14:textId="77777777" w:rsidTr="002E7EFB">
        <w:tc>
          <w:tcPr>
            <w:tcW w:w="2263" w:type="dxa"/>
          </w:tcPr>
          <w:p w14:paraId="0448BC47" w14:textId="77777777" w:rsidR="005D43B9" w:rsidRPr="006A69F4" w:rsidRDefault="005D43B9" w:rsidP="005D43B9">
            <w:pPr>
              <w:overflowPunct w:val="0"/>
              <w:autoSpaceDE w:val="0"/>
              <w:autoSpaceDN w:val="0"/>
              <w:adjustRightInd w:val="0"/>
              <w:textAlignment w:val="baseline"/>
              <w:rPr>
                <w:i/>
                <w:iCs/>
                <w:sz w:val="22"/>
                <w:szCs w:val="22"/>
              </w:rPr>
            </w:pPr>
            <w:r w:rsidRPr="006A69F4">
              <w:rPr>
                <w:i/>
                <w:sz w:val="22"/>
                <w:szCs w:val="22"/>
              </w:rPr>
              <w:t>Contacto</w:t>
            </w:r>
          </w:p>
        </w:tc>
        <w:tc>
          <w:tcPr>
            <w:tcW w:w="7371" w:type="dxa"/>
          </w:tcPr>
          <w:p w14:paraId="756B92DB" w14:textId="77777777" w:rsidR="005D43B9" w:rsidRPr="006A69F4" w:rsidRDefault="005D43B9" w:rsidP="005D43B9">
            <w:pPr>
              <w:overflowPunct w:val="0"/>
              <w:autoSpaceDE w:val="0"/>
              <w:autoSpaceDN w:val="0"/>
              <w:adjustRightInd w:val="0"/>
              <w:textAlignment w:val="baseline"/>
              <w:rPr>
                <w:i/>
                <w:iCs/>
                <w:sz w:val="22"/>
                <w:szCs w:val="22"/>
              </w:rPr>
            </w:pPr>
            <w:r w:rsidRPr="006A69F4">
              <w:rPr>
                <w:i/>
                <w:sz w:val="22"/>
                <w:szCs w:val="22"/>
              </w:rPr>
              <w:t>Bartek Bednarowicz</w:t>
            </w:r>
          </w:p>
        </w:tc>
      </w:tr>
      <w:tr w:rsidR="005D43B9" w:rsidRPr="005D43B9" w14:paraId="11B3891D" w14:textId="77777777" w:rsidTr="002E7EFB">
        <w:tc>
          <w:tcPr>
            <w:tcW w:w="2263" w:type="dxa"/>
          </w:tcPr>
          <w:p w14:paraId="52201912" w14:textId="77777777" w:rsidR="005D43B9" w:rsidRPr="006A69F4" w:rsidRDefault="005D43B9" w:rsidP="005D43B9">
            <w:pPr>
              <w:overflowPunct w:val="0"/>
              <w:autoSpaceDE w:val="0"/>
              <w:autoSpaceDN w:val="0"/>
              <w:adjustRightInd w:val="0"/>
              <w:textAlignment w:val="baseline"/>
              <w:rPr>
                <w:i/>
                <w:iCs/>
                <w:sz w:val="22"/>
                <w:szCs w:val="22"/>
              </w:rPr>
            </w:pPr>
            <w:r w:rsidRPr="006A69F4">
              <w:rPr>
                <w:i/>
                <w:sz w:val="22"/>
                <w:szCs w:val="22"/>
              </w:rPr>
              <w:t>Tel.</w:t>
            </w:r>
          </w:p>
        </w:tc>
        <w:tc>
          <w:tcPr>
            <w:tcW w:w="7371" w:type="dxa"/>
          </w:tcPr>
          <w:p w14:paraId="346E976A" w14:textId="77777777" w:rsidR="005D43B9" w:rsidRPr="006A69F4" w:rsidRDefault="005D43B9" w:rsidP="005D43B9">
            <w:pPr>
              <w:overflowPunct w:val="0"/>
              <w:autoSpaceDE w:val="0"/>
              <w:autoSpaceDN w:val="0"/>
              <w:adjustRightInd w:val="0"/>
              <w:textAlignment w:val="baseline"/>
              <w:rPr>
                <w:i/>
                <w:iCs/>
                <w:sz w:val="22"/>
                <w:szCs w:val="22"/>
              </w:rPr>
            </w:pPr>
            <w:r w:rsidRPr="006A69F4">
              <w:rPr>
                <w:i/>
                <w:sz w:val="22"/>
                <w:szCs w:val="22"/>
              </w:rPr>
              <w:t>+32 2 546 92 29</w:t>
            </w:r>
          </w:p>
        </w:tc>
      </w:tr>
      <w:tr w:rsidR="005D43B9" w:rsidRPr="005D43B9" w14:paraId="74A431CF" w14:textId="77777777" w:rsidTr="002E7EFB">
        <w:tc>
          <w:tcPr>
            <w:tcW w:w="2263" w:type="dxa"/>
          </w:tcPr>
          <w:p w14:paraId="2F9FDB94" w14:textId="77777777" w:rsidR="005D43B9" w:rsidRPr="006A69F4" w:rsidRDefault="005D43B9" w:rsidP="005D43B9">
            <w:pPr>
              <w:overflowPunct w:val="0"/>
              <w:autoSpaceDE w:val="0"/>
              <w:autoSpaceDN w:val="0"/>
              <w:adjustRightInd w:val="0"/>
              <w:textAlignment w:val="baseline"/>
              <w:rPr>
                <w:i/>
                <w:iCs/>
                <w:sz w:val="22"/>
                <w:szCs w:val="22"/>
              </w:rPr>
            </w:pPr>
            <w:r w:rsidRPr="006A69F4">
              <w:rPr>
                <w:i/>
                <w:sz w:val="22"/>
                <w:szCs w:val="22"/>
              </w:rPr>
              <w:t>Endereço eletrónico</w:t>
            </w:r>
          </w:p>
        </w:tc>
        <w:tc>
          <w:tcPr>
            <w:tcW w:w="7371" w:type="dxa"/>
          </w:tcPr>
          <w:p w14:paraId="22B77F87" w14:textId="77777777" w:rsidR="005D43B9" w:rsidRPr="006A69F4" w:rsidRDefault="008D063E" w:rsidP="005D43B9">
            <w:pPr>
              <w:overflowPunct w:val="0"/>
              <w:autoSpaceDE w:val="0"/>
              <w:autoSpaceDN w:val="0"/>
              <w:adjustRightInd w:val="0"/>
              <w:textAlignment w:val="baseline"/>
              <w:rPr>
                <w:i/>
                <w:iCs/>
                <w:sz w:val="22"/>
                <w:szCs w:val="22"/>
              </w:rPr>
            </w:pPr>
            <w:hyperlink r:id="rId25" w:history="1">
              <w:r w:rsidR="00A912EA" w:rsidRPr="006A69F4">
                <w:rPr>
                  <w:i/>
                  <w:color w:val="0000FF"/>
                  <w:sz w:val="22"/>
                  <w:szCs w:val="22"/>
                  <w:u w:val="single"/>
                </w:rPr>
                <w:t>Bartek.Bednarowicz@eesc.europa.eu</w:t>
              </w:r>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709FA4FB" w:rsidR="001A42F8" w:rsidRPr="001A42F8" w:rsidRDefault="008D063E" w:rsidP="001A42F8">
      <w:pPr>
        <w:widowControl w:val="0"/>
        <w:numPr>
          <w:ilvl w:val="0"/>
          <w:numId w:val="8"/>
        </w:numPr>
        <w:overflowPunct w:val="0"/>
        <w:autoSpaceDE w:val="0"/>
        <w:autoSpaceDN w:val="0"/>
        <w:adjustRightInd w:val="0"/>
        <w:ind w:left="567" w:hanging="567"/>
        <w:textAlignment w:val="baseline"/>
        <w:rPr>
          <w:sz w:val="16"/>
          <w:szCs w:val="16"/>
        </w:rPr>
      </w:pPr>
      <w:hyperlink r:id="rId26" w:history="1">
        <w:r w:rsidR="00A912EA">
          <w:rPr>
            <w:b/>
            <w:i/>
            <w:color w:val="0000FF"/>
            <w:sz w:val="28"/>
            <w:u w:val="single"/>
          </w:rPr>
          <w:t>Estratégia da UE em matéria de Drogas</w:t>
        </w:r>
      </w:hyperlink>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1A42F8" w:rsidRPr="001A42F8" w14:paraId="662136A7" w14:textId="77777777" w:rsidTr="004C6742">
        <w:tc>
          <w:tcPr>
            <w:tcW w:w="1701" w:type="dxa"/>
          </w:tcPr>
          <w:p w14:paraId="639EA8AB" w14:textId="77777777" w:rsidR="001A42F8" w:rsidRPr="006A69F4" w:rsidRDefault="001A42F8" w:rsidP="001A42F8">
            <w:pPr>
              <w:tabs>
                <w:tab w:val="center" w:pos="284"/>
              </w:tabs>
              <w:overflowPunct w:val="0"/>
              <w:autoSpaceDE w:val="0"/>
              <w:autoSpaceDN w:val="0"/>
              <w:adjustRightInd w:val="0"/>
              <w:ind w:left="567" w:hanging="567"/>
              <w:textAlignment w:val="baseline"/>
              <w:rPr>
                <w:b/>
                <w:sz w:val="22"/>
                <w:szCs w:val="22"/>
              </w:rPr>
            </w:pPr>
          </w:p>
          <w:p w14:paraId="58B9919E" w14:textId="77777777" w:rsidR="001A42F8" w:rsidRPr="006A69F4" w:rsidRDefault="001A42F8" w:rsidP="001A42F8">
            <w:pPr>
              <w:tabs>
                <w:tab w:val="center" w:pos="284"/>
              </w:tabs>
              <w:overflowPunct w:val="0"/>
              <w:autoSpaceDE w:val="0"/>
              <w:autoSpaceDN w:val="0"/>
              <w:adjustRightInd w:val="0"/>
              <w:ind w:left="567" w:hanging="567"/>
              <w:textAlignment w:val="baseline"/>
              <w:rPr>
                <w:b/>
                <w:sz w:val="22"/>
                <w:szCs w:val="22"/>
              </w:rPr>
            </w:pPr>
            <w:r w:rsidRPr="006A69F4">
              <w:rPr>
                <w:b/>
                <w:sz w:val="22"/>
                <w:szCs w:val="22"/>
              </w:rPr>
              <w:t>Relator</w:t>
            </w:r>
          </w:p>
          <w:p w14:paraId="62145102" w14:textId="77777777" w:rsidR="001A42F8" w:rsidRPr="006A69F4" w:rsidRDefault="001A42F8" w:rsidP="001A42F8">
            <w:pPr>
              <w:tabs>
                <w:tab w:val="center" w:pos="284"/>
              </w:tabs>
              <w:overflowPunct w:val="0"/>
              <w:autoSpaceDE w:val="0"/>
              <w:autoSpaceDN w:val="0"/>
              <w:adjustRightInd w:val="0"/>
              <w:ind w:left="567" w:hanging="567"/>
              <w:textAlignment w:val="baseline"/>
              <w:rPr>
                <w:b/>
                <w:sz w:val="22"/>
                <w:szCs w:val="22"/>
              </w:rPr>
            </w:pPr>
          </w:p>
        </w:tc>
        <w:tc>
          <w:tcPr>
            <w:tcW w:w="6237" w:type="dxa"/>
          </w:tcPr>
          <w:p w14:paraId="4074A82C" w14:textId="77777777" w:rsidR="001A42F8" w:rsidRPr="006A69F4" w:rsidRDefault="001A42F8" w:rsidP="004C6742">
            <w:pPr>
              <w:overflowPunct w:val="0"/>
              <w:autoSpaceDE w:val="0"/>
              <w:autoSpaceDN w:val="0"/>
              <w:adjustRightInd w:val="0"/>
              <w:ind w:left="567" w:hanging="567"/>
              <w:jc w:val="left"/>
              <w:textAlignment w:val="baseline"/>
              <w:rPr>
                <w:sz w:val="22"/>
                <w:szCs w:val="22"/>
              </w:rPr>
            </w:pPr>
          </w:p>
          <w:p w14:paraId="56646FC8" w14:textId="63FDEAFD" w:rsidR="001A42F8" w:rsidRPr="006A69F4" w:rsidRDefault="001A42F8" w:rsidP="001A42F8">
            <w:pPr>
              <w:overflowPunct w:val="0"/>
              <w:autoSpaceDE w:val="0"/>
              <w:autoSpaceDN w:val="0"/>
              <w:adjustRightInd w:val="0"/>
              <w:ind w:left="567" w:hanging="567"/>
              <w:textAlignment w:val="baseline"/>
              <w:rPr>
                <w:sz w:val="22"/>
                <w:szCs w:val="22"/>
              </w:rPr>
            </w:pPr>
            <w:r w:rsidRPr="006A69F4">
              <w:rPr>
                <w:sz w:val="22"/>
                <w:szCs w:val="22"/>
              </w:rPr>
              <w:t>Diego Dutto (IT – Grupo das Organizações da Sociedade Civil)</w:t>
            </w:r>
          </w:p>
        </w:tc>
      </w:tr>
      <w:tr w:rsidR="001A42F8" w:rsidRPr="001A42F8" w14:paraId="090EED85" w14:textId="77777777" w:rsidTr="004C6742">
        <w:tc>
          <w:tcPr>
            <w:tcW w:w="1701" w:type="dxa"/>
            <w:vMerge w:val="restart"/>
          </w:tcPr>
          <w:p w14:paraId="233A8D32" w14:textId="77777777" w:rsidR="001A42F8" w:rsidRPr="006A69F4" w:rsidRDefault="001A42F8" w:rsidP="001A42F8">
            <w:pPr>
              <w:tabs>
                <w:tab w:val="center" w:pos="284"/>
              </w:tabs>
              <w:overflowPunct w:val="0"/>
              <w:autoSpaceDE w:val="0"/>
              <w:autoSpaceDN w:val="0"/>
              <w:adjustRightInd w:val="0"/>
              <w:ind w:left="567" w:hanging="567"/>
              <w:textAlignment w:val="baseline"/>
              <w:rPr>
                <w:b/>
                <w:sz w:val="22"/>
                <w:szCs w:val="22"/>
              </w:rPr>
            </w:pPr>
            <w:r w:rsidRPr="006A69F4">
              <w:rPr>
                <w:b/>
                <w:sz w:val="22"/>
                <w:szCs w:val="22"/>
              </w:rPr>
              <w:t>Referências</w:t>
            </w:r>
          </w:p>
        </w:tc>
        <w:tc>
          <w:tcPr>
            <w:tcW w:w="6237" w:type="dxa"/>
          </w:tcPr>
          <w:p w14:paraId="5D489118" w14:textId="0B2B133B" w:rsidR="00E8783B" w:rsidRPr="006A69F4" w:rsidRDefault="002C3C5F" w:rsidP="001A42F8">
            <w:pPr>
              <w:tabs>
                <w:tab w:val="center" w:pos="284"/>
              </w:tabs>
              <w:overflowPunct w:val="0"/>
              <w:autoSpaceDE w:val="0"/>
              <w:autoSpaceDN w:val="0"/>
              <w:adjustRightInd w:val="0"/>
              <w:ind w:left="567" w:hanging="567"/>
              <w:textAlignment w:val="baseline"/>
              <w:rPr>
                <w:sz w:val="22"/>
                <w:szCs w:val="22"/>
              </w:rPr>
            </w:pPr>
            <w:r w:rsidRPr="006A69F4">
              <w:rPr>
                <w:sz w:val="22"/>
                <w:szCs w:val="22"/>
              </w:rPr>
              <w:t>COM(2025) 743 final</w:t>
            </w:r>
          </w:p>
          <w:p w14:paraId="04484E34" w14:textId="756ABE61" w:rsidR="002C3C5F" w:rsidRPr="006A69F4" w:rsidRDefault="002C3C5F" w:rsidP="001A42F8">
            <w:pPr>
              <w:tabs>
                <w:tab w:val="center" w:pos="284"/>
              </w:tabs>
              <w:overflowPunct w:val="0"/>
              <w:autoSpaceDE w:val="0"/>
              <w:autoSpaceDN w:val="0"/>
              <w:adjustRightInd w:val="0"/>
              <w:ind w:left="567" w:hanging="567"/>
              <w:textAlignment w:val="baseline"/>
              <w:rPr>
                <w:sz w:val="22"/>
                <w:szCs w:val="22"/>
              </w:rPr>
            </w:pPr>
            <w:r w:rsidRPr="006A69F4">
              <w:rPr>
                <w:sz w:val="22"/>
                <w:szCs w:val="22"/>
              </w:rPr>
              <w:t>COM(2025 744 final</w:t>
            </w:r>
          </w:p>
          <w:p w14:paraId="1847798E" w14:textId="37891D3B" w:rsidR="001A42F8" w:rsidRPr="006A69F4" w:rsidRDefault="001A42F8" w:rsidP="001A42F8">
            <w:pPr>
              <w:tabs>
                <w:tab w:val="center" w:pos="284"/>
              </w:tabs>
              <w:overflowPunct w:val="0"/>
              <w:autoSpaceDE w:val="0"/>
              <w:autoSpaceDN w:val="0"/>
              <w:adjustRightInd w:val="0"/>
              <w:ind w:left="567" w:hanging="567"/>
              <w:textAlignment w:val="baseline"/>
              <w:rPr>
                <w:sz w:val="22"/>
                <w:szCs w:val="22"/>
              </w:rPr>
            </w:pPr>
            <w:r w:rsidRPr="006A69F4">
              <w:rPr>
                <w:sz w:val="22"/>
                <w:szCs w:val="22"/>
              </w:rPr>
              <w:t>EESC-2026-00238-00-00-AC</w:t>
            </w:r>
          </w:p>
        </w:tc>
      </w:tr>
      <w:tr w:rsidR="001A42F8" w:rsidRPr="001A42F8" w14:paraId="5C11C504" w14:textId="77777777" w:rsidTr="004C6742">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rPr>
            </w:pPr>
          </w:p>
        </w:tc>
        <w:tc>
          <w:tcPr>
            <w:tcW w:w="6237"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rPr>
            </w:pPr>
          </w:p>
        </w:tc>
      </w:tr>
    </w:tbl>
    <w:p w14:paraId="30C02137" w14:textId="77777777" w:rsidR="001A42F8" w:rsidRPr="001A42F8" w:rsidRDefault="001A42F8" w:rsidP="001A42F8">
      <w:pPr>
        <w:keepNext/>
        <w:keepLines/>
        <w:tabs>
          <w:tab w:val="center" w:pos="284"/>
        </w:tabs>
        <w:overflowPunct w:val="0"/>
        <w:autoSpaceDE w:val="0"/>
        <w:autoSpaceDN w:val="0"/>
        <w:adjustRightInd w:val="0"/>
        <w:ind w:left="266" w:hanging="266"/>
        <w:textAlignment w:val="baseline"/>
        <w:rPr>
          <w:b/>
        </w:rPr>
      </w:pPr>
      <w:r>
        <w:rPr>
          <w:b/>
        </w:rPr>
        <w:t>Pontos principais</w:t>
      </w:r>
    </w:p>
    <w:p w14:paraId="55C710FF" w14:textId="77777777" w:rsidR="001A42F8" w:rsidRPr="001A42F8" w:rsidRDefault="001A42F8" w:rsidP="001A42F8">
      <w:pPr>
        <w:overflowPunct w:val="0"/>
        <w:autoSpaceDE w:val="0"/>
        <w:autoSpaceDN w:val="0"/>
        <w:adjustRightInd w:val="0"/>
        <w:textAlignment w:val="baseline"/>
        <w:rPr>
          <w:szCs w:val="20"/>
          <w:lang w:val="en-GB"/>
        </w:rPr>
      </w:pPr>
    </w:p>
    <w:p w14:paraId="50E3F48E" w14:textId="77777777" w:rsidR="001A42F8" w:rsidRPr="004C6742" w:rsidRDefault="001A42F8" w:rsidP="001A42F8">
      <w:pPr>
        <w:spacing w:before="100" w:beforeAutospacing="1" w:after="100" w:afterAutospacing="1" w:line="240" w:lineRule="auto"/>
      </w:pPr>
      <w:r>
        <w:rPr>
          <w:b/>
        </w:rPr>
        <w:t>O Comité Económico e Social Europeu:</w:t>
      </w:r>
    </w:p>
    <w:p w14:paraId="5429D755" w14:textId="77777777" w:rsidR="001A42F8" w:rsidRPr="001A42F8" w:rsidRDefault="001A42F8" w:rsidP="002C3C5F">
      <w:pPr>
        <w:ind w:left="1134" w:hanging="1134"/>
        <w:rPr>
          <w:lang w:val="en-GB" w:eastAsia="fr-BE"/>
        </w:rPr>
      </w:pPr>
    </w:p>
    <w:p w14:paraId="6436B95C"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salienta que a eficácia da estratégia da União Europeia (UE) dependerá da sua capacidade de antever tendências. Recomenda que a Comissão vá além dos indicadores reativos (apreensões de droga e mortes) e forneça um apoio estrutural e obrigatório a sistemas de monitorização normalizados;</w:t>
      </w:r>
    </w:p>
    <w:p w14:paraId="2271E454"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observa com preocupação que a estratégia está, de certo modo, mais centrada nas substâncias ilegais tradicionais. Os jovens orientam-se cada vez mais para o uso não conforme de substâncias legais. O CESE recomenda, por conseguinte, a introdução de orientações da UE para o controlo da prescrição de medicamentos e o lançamento de campanhas de sensibilização específicas sobre o risco de dependência de substâncias psicoativas legais;</w:t>
      </w:r>
    </w:p>
    <w:p w14:paraId="06511F3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recomenda uma monitorização rigorosa da prevalência de analgésicos opiáceos. Cumpre envidar esforços para evitar que uma parte da sociedade – que não parece estar em risco – se torne dependente destas substâncias, obtidas através de vias legais;</w:t>
      </w:r>
    </w:p>
    <w:p w14:paraId="712668E0"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assinala que importa desenvolver protocolos da UE em matéria de intervenção precoce para apoiar os serviços sociais e de saúde na deteção de novos utilizadores numa fase inicial do consumo de droga;</w:t>
      </w:r>
    </w:p>
    <w:p w14:paraId="69923D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recomenda a criação de indicadores-chave de desempenho específicos para avaliar a eficácia das políticas de prevenção, em que o êxito seria aferido não só com base nas apreensões de droga, mas também em relação à redução de novas dependências e à eficácia das vias de reintegração;</w:t>
      </w:r>
    </w:p>
    <w:p w14:paraId="2A5044E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reitera que a luta contra o tráfico de droga não pode ser dissociada de uma política de saúde pública sólida;</w:t>
      </w:r>
    </w:p>
    <w:p w14:paraId="646F52D6"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observa que o plano de ação incide quase exclusivamente sobre a segurança das infraestruturas físicas (portos, centros logísticos) e digitais, negligenciando a dimensão comunitária;</w:t>
      </w:r>
    </w:p>
    <w:p w14:paraId="1DC9D9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salienta que o plano de ação não fornece orientações suficientes aos Estados-Membros sobre as políticas públicas necessárias para reduzir a proliferação do consumo de droga.</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493"/>
      </w:tblGrid>
      <w:tr w:rsidR="001A42F8" w:rsidRPr="006A69F4" w14:paraId="6F6F0875" w14:textId="77777777" w:rsidTr="006A69F4">
        <w:tc>
          <w:tcPr>
            <w:tcW w:w="2093" w:type="dxa"/>
          </w:tcPr>
          <w:p w14:paraId="1275EF0A" w14:textId="77777777" w:rsidR="001A42F8" w:rsidRPr="006A69F4" w:rsidRDefault="001A42F8" w:rsidP="001A42F8">
            <w:pPr>
              <w:overflowPunct w:val="0"/>
              <w:autoSpaceDE w:val="0"/>
              <w:autoSpaceDN w:val="0"/>
              <w:adjustRightInd w:val="0"/>
              <w:spacing w:line="240" w:lineRule="auto"/>
              <w:textAlignment w:val="baseline"/>
              <w:rPr>
                <w:i/>
                <w:sz w:val="22"/>
                <w:szCs w:val="22"/>
              </w:rPr>
            </w:pPr>
            <w:r w:rsidRPr="006A69F4">
              <w:rPr>
                <w:b/>
                <w:i/>
                <w:sz w:val="22"/>
                <w:szCs w:val="22"/>
              </w:rPr>
              <w:t>Contacto</w:t>
            </w:r>
          </w:p>
        </w:tc>
        <w:tc>
          <w:tcPr>
            <w:tcW w:w="4493" w:type="dxa"/>
          </w:tcPr>
          <w:p w14:paraId="51601E16" w14:textId="77777777" w:rsidR="001A42F8" w:rsidRPr="006A69F4" w:rsidRDefault="001A42F8" w:rsidP="001A42F8">
            <w:pPr>
              <w:overflowPunct w:val="0"/>
              <w:autoSpaceDE w:val="0"/>
              <w:autoSpaceDN w:val="0"/>
              <w:adjustRightInd w:val="0"/>
              <w:spacing w:line="240" w:lineRule="auto"/>
              <w:ind w:hanging="12"/>
              <w:textAlignment w:val="baseline"/>
              <w:rPr>
                <w:i/>
                <w:sz w:val="22"/>
                <w:szCs w:val="22"/>
              </w:rPr>
            </w:pPr>
            <w:r w:rsidRPr="006A69F4">
              <w:rPr>
                <w:i/>
                <w:sz w:val="22"/>
                <w:szCs w:val="22"/>
              </w:rPr>
              <w:t>Gemma Amran</w:t>
            </w:r>
          </w:p>
        </w:tc>
      </w:tr>
      <w:tr w:rsidR="001A42F8" w:rsidRPr="006A69F4" w14:paraId="6CBEA581" w14:textId="77777777" w:rsidTr="006A69F4">
        <w:tc>
          <w:tcPr>
            <w:tcW w:w="2093" w:type="dxa"/>
          </w:tcPr>
          <w:p w14:paraId="11A461E0" w14:textId="77777777" w:rsidR="001A42F8" w:rsidRPr="006A69F4" w:rsidRDefault="001A42F8" w:rsidP="001A42F8">
            <w:pPr>
              <w:overflowPunct w:val="0"/>
              <w:autoSpaceDE w:val="0"/>
              <w:autoSpaceDN w:val="0"/>
              <w:adjustRightInd w:val="0"/>
              <w:spacing w:line="240" w:lineRule="auto"/>
              <w:textAlignment w:val="baseline"/>
              <w:rPr>
                <w:i/>
                <w:sz w:val="22"/>
                <w:szCs w:val="22"/>
              </w:rPr>
            </w:pPr>
            <w:r w:rsidRPr="006A69F4">
              <w:rPr>
                <w:i/>
                <w:sz w:val="22"/>
                <w:szCs w:val="22"/>
              </w:rPr>
              <w:t>Tel.</w:t>
            </w:r>
          </w:p>
        </w:tc>
        <w:tc>
          <w:tcPr>
            <w:tcW w:w="4493" w:type="dxa"/>
          </w:tcPr>
          <w:p w14:paraId="6A4B7B1B" w14:textId="77777777" w:rsidR="001A42F8" w:rsidRPr="006A69F4" w:rsidRDefault="001A42F8" w:rsidP="001A42F8">
            <w:pPr>
              <w:overflowPunct w:val="0"/>
              <w:autoSpaceDE w:val="0"/>
              <w:autoSpaceDN w:val="0"/>
              <w:adjustRightInd w:val="0"/>
              <w:spacing w:line="240" w:lineRule="auto"/>
              <w:textAlignment w:val="baseline"/>
              <w:rPr>
                <w:i/>
                <w:sz w:val="22"/>
                <w:szCs w:val="22"/>
              </w:rPr>
            </w:pPr>
            <w:r w:rsidRPr="006A69F4">
              <w:rPr>
                <w:sz w:val="22"/>
                <w:szCs w:val="22"/>
              </w:rPr>
              <w:t>+32 2 546 94 15</w:t>
            </w:r>
          </w:p>
        </w:tc>
      </w:tr>
      <w:tr w:rsidR="001A42F8" w:rsidRPr="006A69F4" w14:paraId="0CEF3057" w14:textId="77777777" w:rsidTr="006A69F4">
        <w:trPr>
          <w:trHeight w:val="70"/>
        </w:trPr>
        <w:tc>
          <w:tcPr>
            <w:tcW w:w="2093" w:type="dxa"/>
          </w:tcPr>
          <w:p w14:paraId="68E038E0" w14:textId="77777777" w:rsidR="001A42F8" w:rsidRPr="006A69F4" w:rsidRDefault="001A42F8" w:rsidP="001A42F8">
            <w:pPr>
              <w:overflowPunct w:val="0"/>
              <w:autoSpaceDE w:val="0"/>
              <w:autoSpaceDN w:val="0"/>
              <w:adjustRightInd w:val="0"/>
              <w:spacing w:line="240" w:lineRule="auto"/>
              <w:textAlignment w:val="baseline"/>
              <w:rPr>
                <w:i/>
                <w:sz w:val="22"/>
                <w:szCs w:val="22"/>
              </w:rPr>
            </w:pPr>
            <w:r w:rsidRPr="006A69F4">
              <w:rPr>
                <w:i/>
                <w:sz w:val="22"/>
                <w:szCs w:val="22"/>
              </w:rPr>
              <w:t>Endereço eletrónico</w:t>
            </w:r>
          </w:p>
        </w:tc>
        <w:tc>
          <w:tcPr>
            <w:tcW w:w="4493" w:type="dxa"/>
          </w:tcPr>
          <w:p w14:paraId="7CF2E2AE" w14:textId="77777777" w:rsidR="001A42F8" w:rsidRPr="006A69F4" w:rsidRDefault="008D063E" w:rsidP="001A42F8">
            <w:pPr>
              <w:overflowPunct w:val="0"/>
              <w:autoSpaceDE w:val="0"/>
              <w:autoSpaceDN w:val="0"/>
              <w:adjustRightInd w:val="0"/>
              <w:spacing w:line="240" w:lineRule="auto"/>
              <w:textAlignment w:val="baseline"/>
              <w:rPr>
                <w:i/>
                <w:iCs/>
                <w:sz w:val="22"/>
                <w:szCs w:val="22"/>
              </w:rPr>
            </w:pPr>
            <w:hyperlink r:id="rId27" w:history="1">
              <w:r w:rsidR="00A912EA" w:rsidRPr="006A69F4">
                <w:rPr>
                  <w:i/>
                  <w:color w:val="0000FF"/>
                  <w:sz w:val="22"/>
                  <w:szCs w:val="22"/>
                  <w:u w:val="single"/>
                </w:rPr>
                <w:t>Gemma.Amran@eesc.europa.eu</w:t>
              </w:r>
            </w:hyperlink>
          </w:p>
        </w:tc>
      </w:tr>
    </w:tbl>
    <w:p w14:paraId="6961E51E" w14:textId="5180950B" w:rsidR="001A42F8" w:rsidRDefault="001A42F8" w:rsidP="001766B2"/>
    <w:p w14:paraId="4CE2AFBF" w14:textId="77777777" w:rsidR="001A42F8" w:rsidRDefault="001A42F8">
      <w:pPr>
        <w:spacing w:after="160" w:line="259" w:lineRule="auto"/>
        <w:jc w:val="left"/>
      </w:pPr>
      <w:r>
        <w:br w:type="page"/>
      </w:r>
    </w:p>
    <w:p w14:paraId="6E89C215" w14:textId="22333794" w:rsidR="00C53E67" w:rsidRPr="00C53E67" w:rsidRDefault="008D063E" w:rsidP="004C6742">
      <w:pPr>
        <w:widowControl w:val="0"/>
        <w:numPr>
          <w:ilvl w:val="0"/>
          <w:numId w:val="4"/>
        </w:numPr>
        <w:overflowPunct w:val="0"/>
        <w:autoSpaceDE w:val="0"/>
        <w:autoSpaceDN w:val="0"/>
        <w:adjustRightInd w:val="0"/>
        <w:ind w:hanging="567"/>
        <w:textAlignment w:val="baseline"/>
        <w:rPr>
          <w:b/>
        </w:rPr>
      </w:pPr>
      <w:hyperlink r:id="rId28" w:history="1">
        <w:r w:rsidR="00A067F3">
          <w:rPr>
            <w:b/>
            <w:i/>
            <w:color w:val="0000FF"/>
            <w:sz w:val="28"/>
            <w:u w:val="single"/>
          </w:rPr>
          <w:t>Bússola da Cultura para a Europa</w:t>
        </w:r>
      </w:hyperlink>
    </w:p>
    <w:p w14:paraId="35E79844" w14:textId="77777777" w:rsidR="00C53E67" w:rsidRDefault="00C53E67" w:rsidP="00C53E67">
      <w:pPr>
        <w:widowControl w:val="0"/>
        <w:overflowPunct w:val="0"/>
        <w:autoSpaceDE w:val="0"/>
        <w:autoSpaceDN w:val="0"/>
        <w:adjustRightInd w:val="0"/>
        <w:ind w:left="266"/>
        <w:textAlignment w:val="baseline"/>
        <w:rPr>
          <w:b/>
          <w:sz w:val="18"/>
          <w:szCs w:val="18"/>
          <w:lang w:val="en-GB"/>
        </w:rPr>
      </w:pPr>
    </w:p>
    <w:p w14:paraId="4A204B30" w14:textId="77777777" w:rsidR="001D292C" w:rsidRPr="00C53E67" w:rsidRDefault="001D292C" w:rsidP="00C53E67">
      <w:pPr>
        <w:widowControl w:val="0"/>
        <w:overflowPunct w:val="0"/>
        <w:autoSpaceDE w:val="0"/>
        <w:autoSpaceDN w:val="0"/>
        <w:adjustRightInd w:val="0"/>
        <w:ind w:left="266"/>
        <w:textAlignment w:val="baseline"/>
        <w:rPr>
          <w:b/>
          <w:sz w:val="18"/>
          <w:szCs w:val="18"/>
          <w:lang w:val="en-GB"/>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61"/>
      </w:tblGrid>
      <w:tr w:rsidR="00C53E67" w:rsidRPr="00C53E67" w14:paraId="2091F211" w14:textId="77777777" w:rsidTr="002E7EFB">
        <w:tc>
          <w:tcPr>
            <w:tcW w:w="1321" w:type="pct"/>
          </w:tcPr>
          <w:p w14:paraId="10C92D44" w14:textId="77777777" w:rsidR="00C53E67" w:rsidRPr="006A69F4" w:rsidRDefault="00C53E67" w:rsidP="00C53E67">
            <w:pPr>
              <w:overflowPunct w:val="0"/>
              <w:autoSpaceDE w:val="0"/>
              <w:autoSpaceDN w:val="0"/>
              <w:adjustRightInd w:val="0"/>
              <w:ind w:left="-113"/>
              <w:textAlignment w:val="baseline"/>
              <w:rPr>
                <w:b/>
                <w:sz w:val="22"/>
                <w:szCs w:val="22"/>
              </w:rPr>
            </w:pPr>
            <w:r w:rsidRPr="006A69F4">
              <w:rPr>
                <w:b/>
                <w:sz w:val="22"/>
                <w:szCs w:val="22"/>
              </w:rPr>
              <w:t xml:space="preserve">Relator </w:t>
            </w:r>
          </w:p>
        </w:tc>
        <w:tc>
          <w:tcPr>
            <w:tcW w:w="3679" w:type="pct"/>
          </w:tcPr>
          <w:p w14:paraId="10DA44E6" w14:textId="77777777" w:rsidR="00C53E67" w:rsidRPr="006A69F4" w:rsidRDefault="00C53E67" w:rsidP="00C53E67">
            <w:pPr>
              <w:overflowPunct w:val="0"/>
              <w:autoSpaceDE w:val="0"/>
              <w:autoSpaceDN w:val="0"/>
              <w:adjustRightInd w:val="0"/>
              <w:ind w:left="-113"/>
              <w:textAlignment w:val="baseline"/>
              <w:rPr>
                <w:sz w:val="22"/>
                <w:szCs w:val="22"/>
              </w:rPr>
            </w:pPr>
            <w:r w:rsidRPr="006A69F4">
              <w:rPr>
                <w:sz w:val="22"/>
                <w:szCs w:val="22"/>
              </w:rPr>
              <w:t>Luca Jahier (IT – Grupo das Organizações da Sociedade Civil)</w:t>
            </w:r>
          </w:p>
        </w:tc>
      </w:tr>
      <w:tr w:rsidR="00C53E67" w:rsidRPr="00C53E67" w14:paraId="12DAA263" w14:textId="77777777" w:rsidTr="002E7EFB">
        <w:tc>
          <w:tcPr>
            <w:tcW w:w="5000" w:type="pct"/>
            <w:gridSpan w:val="2"/>
          </w:tcPr>
          <w:p w14:paraId="1A0026BB" w14:textId="77777777" w:rsidR="00C53E67" w:rsidRPr="006A69F4" w:rsidRDefault="00C53E67" w:rsidP="00C53E67">
            <w:pPr>
              <w:overflowPunct w:val="0"/>
              <w:autoSpaceDE w:val="0"/>
              <w:autoSpaceDN w:val="0"/>
              <w:adjustRightInd w:val="0"/>
              <w:spacing w:line="160" w:lineRule="exact"/>
              <w:ind w:left="-113"/>
              <w:textAlignment w:val="baseline"/>
              <w:rPr>
                <w:sz w:val="22"/>
                <w:szCs w:val="22"/>
              </w:rPr>
            </w:pPr>
          </w:p>
        </w:tc>
      </w:tr>
      <w:tr w:rsidR="00C53E67" w:rsidRPr="00C53E67" w14:paraId="1917B1A6" w14:textId="77777777" w:rsidTr="002E7EFB">
        <w:tc>
          <w:tcPr>
            <w:tcW w:w="1321" w:type="pct"/>
          </w:tcPr>
          <w:p w14:paraId="68946A42" w14:textId="77777777" w:rsidR="00C53E67" w:rsidRPr="006A69F4" w:rsidRDefault="00C53E67" w:rsidP="00C53E67">
            <w:pPr>
              <w:overflowPunct w:val="0"/>
              <w:autoSpaceDE w:val="0"/>
              <w:autoSpaceDN w:val="0"/>
              <w:adjustRightInd w:val="0"/>
              <w:ind w:left="-113"/>
              <w:textAlignment w:val="baseline"/>
              <w:rPr>
                <w:b/>
                <w:sz w:val="22"/>
                <w:szCs w:val="22"/>
              </w:rPr>
            </w:pPr>
            <w:r w:rsidRPr="006A69F4">
              <w:rPr>
                <w:b/>
                <w:sz w:val="22"/>
                <w:szCs w:val="22"/>
              </w:rPr>
              <w:t>Referências</w:t>
            </w:r>
          </w:p>
        </w:tc>
        <w:tc>
          <w:tcPr>
            <w:tcW w:w="3679" w:type="pct"/>
          </w:tcPr>
          <w:p w14:paraId="3649F935" w14:textId="5EC0AA86" w:rsidR="00DE1BF7" w:rsidRPr="006A69F4" w:rsidRDefault="00DE1BF7" w:rsidP="00C53E67">
            <w:pPr>
              <w:overflowPunct w:val="0"/>
              <w:autoSpaceDE w:val="0"/>
              <w:autoSpaceDN w:val="0"/>
              <w:adjustRightInd w:val="0"/>
              <w:ind w:left="-113"/>
              <w:textAlignment w:val="baseline"/>
              <w:rPr>
                <w:sz w:val="22"/>
                <w:szCs w:val="22"/>
              </w:rPr>
            </w:pPr>
            <w:r w:rsidRPr="006A69F4">
              <w:rPr>
                <w:sz w:val="22"/>
                <w:szCs w:val="22"/>
              </w:rPr>
              <w:t>COM(2025) 785 final</w:t>
            </w:r>
          </w:p>
          <w:p w14:paraId="72ADC23E" w14:textId="431F11BB" w:rsidR="00DE1BF7" w:rsidRPr="006A69F4" w:rsidRDefault="00DE1BF7" w:rsidP="00C53E67">
            <w:pPr>
              <w:overflowPunct w:val="0"/>
              <w:autoSpaceDE w:val="0"/>
              <w:autoSpaceDN w:val="0"/>
              <w:adjustRightInd w:val="0"/>
              <w:ind w:left="-113"/>
              <w:textAlignment w:val="baseline"/>
              <w:rPr>
                <w:sz w:val="22"/>
                <w:szCs w:val="22"/>
              </w:rPr>
            </w:pPr>
            <w:r w:rsidRPr="006A69F4">
              <w:rPr>
                <w:sz w:val="22"/>
                <w:szCs w:val="22"/>
              </w:rPr>
              <w:t>COM(2025) 786 final</w:t>
            </w:r>
          </w:p>
          <w:p w14:paraId="20BD4BF5" w14:textId="0E4CE06A" w:rsidR="00C53E67" w:rsidRPr="006A69F4" w:rsidRDefault="00C53E67" w:rsidP="00C53E67">
            <w:pPr>
              <w:overflowPunct w:val="0"/>
              <w:autoSpaceDE w:val="0"/>
              <w:autoSpaceDN w:val="0"/>
              <w:adjustRightInd w:val="0"/>
              <w:ind w:left="-113"/>
              <w:textAlignment w:val="baseline"/>
              <w:rPr>
                <w:sz w:val="22"/>
                <w:szCs w:val="22"/>
              </w:rPr>
            </w:pPr>
            <w:r w:rsidRPr="006A69F4">
              <w:rPr>
                <w:sz w:val="22"/>
                <w:szCs w:val="22"/>
              </w:rPr>
              <w:t>EESC-2025-04241-00-00-AC</w:t>
            </w:r>
          </w:p>
        </w:tc>
      </w:tr>
    </w:tbl>
    <w:p w14:paraId="3D06F742"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8"/>
          <w:szCs w:val="18"/>
          <w:lang w:val="en-GB"/>
        </w:rPr>
      </w:pPr>
    </w:p>
    <w:p w14:paraId="4F488388"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rPr>
      </w:pPr>
      <w:r>
        <w:rPr>
          <w:b/>
        </w:rPr>
        <w:t>Pontos principais</w:t>
      </w:r>
    </w:p>
    <w:p w14:paraId="2BEAC91B"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6"/>
          <w:szCs w:val="16"/>
          <w:lang w:val="en-GB"/>
        </w:rPr>
      </w:pPr>
    </w:p>
    <w:p w14:paraId="6931DC56" w14:textId="77777777" w:rsidR="00C53E67" w:rsidRDefault="00C53E67" w:rsidP="00C53E67">
      <w:pPr>
        <w:overflowPunct w:val="0"/>
        <w:autoSpaceDE w:val="0"/>
        <w:autoSpaceDN w:val="0"/>
        <w:adjustRightInd w:val="0"/>
        <w:spacing w:line="240" w:lineRule="auto"/>
        <w:contextualSpacing/>
        <w:textAlignment w:val="baseline"/>
        <w:rPr>
          <w:bCs/>
          <w:iCs/>
        </w:rPr>
      </w:pPr>
      <w:r>
        <w:t>O Comité Económico e Social Europeu:</w:t>
      </w:r>
    </w:p>
    <w:p w14:paraId="38DEACAE" w14:textId="77777777" w:rsidR="00C53E67" w:rsidRPr="00C53E67" w:rsidRDefault="00C53E67" w:rsidP="004C6742">
      <w:pPr>
        <w:numPr>
          <w:ilvl w:val="0"/>
          <w:numId w:val="27"/>
        </w:numPr>
        <w:overflowPunct w:val="0"/>
        <w:autoSpaceDE w:val="0"/>
        <w:autoSpaceDN w:val="0"/>
        <w:adjustRightInd w:val="0"/>
        <w:spacing w:line="276" w:lineRule="auto"/>
        <w:textAlignment w:val="baseline"/>
      </w:pPr>
      <w:r>
        <w:rPr>
          <w:b/>
        </w:rPr>
        <w:t>apoia plenamente a Bússola da Cultura para a Europa</w:t>
      </w:r>
      <w:r>
        <w:t xml:space="preserve"> enquanto estratégia transversal e oportuna para promover a cultura e os valores europeus e assegurar um setor cultural dinâmico;</w:t>
      </w:r>
    </w:p>
    <w:p w14:paraId="51935618"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salienta o </w:t>
      </w:r>
      <w:r>
        <w:rPr>
          <w:b/>
        </w:rPr>
        <w:t>papel da cultura para reforçar a democracia</w:t>
      </w:r>
      <w:r>
        <w:t>, combater as narrativas populistas e autoritárias e promover a coesão social, a capacidade de preparação e o desenvolvimento sustentável;</w:t>
      </w:r>
    </w:p>
    <w:p w14:paraId="1C5AAA1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recomenda a </w:t>
      </w:r>
      <w:r>
        <w:rPr>
          <w:b/>
        </w:rPr>
        <w:t>criação de sinergias</w:t>
      </w:r>
      <w:r>
        <w:t xml:space="preserve"> entre a Bússola da Cultura e iniciativas como o Escudo Europeu da Democracia, em particular na esfera digital;</w:t>
      </w:r>
    </w:p>
    <w:p w14:paraId="5D3CFA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sublinha a necessidade de uma </w:t>
      </w:r>
      <w:r>
        <w:rPr>
          <w:b/>
        </w:rPr>
        <w:t>estratégia específica de inteligência artificial para os setores culturais e criativos</w:t>
      </w:r>
      <w:r>
        <w:t>, incluindo a proteção da propriedade criativa, o desenvolvimento de mercados de licenças e orientações ao abrigo do Regulamento da Inteligência Artificial;</w:t>
      </w:r>
    </w:p>
    <w:p w14:paraId="076C2D8F"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solicita um </w:t>
      </w:r>
      <w:r>
        <w:rPr>
          <w:b/>
        </w:rPr>
        <w:t>apoio financeiro forte e transversal no âmbito do próximo Quadro Financeiro Plurianual (2028-2034)</w:t>
      </w:r>
      <w:r>
        <w:t>, designadamente afetando 2% do orçamento da UE à cultura e assegurando a sua integração nos principais programas da UE;</w:t>
      </w:r>
    </w:p>
    <w:p w14:paraId="5C1C74F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apela para uma </w:t>
      </w:r>
      <w:r>
        <w:rPr>
          <w:b/>
        </w:rPr>
        <w:t>execução</w:t>
      </w:r>
      <w:r>
        <w:t xml:space="preserve"> sólida e </w:t>
      </w:r>
      <w:r>
        <w:rPr>
          <w:b/>
        </w:rPr>
        <w:t>por metas da Bússola da Cultura através de um plano de ação claro</w:t>
      </w:r>
      <w:r>
        <w:t>, de uma capacidade administrativa adequada e da continuidade das políticas a longo prazo;</w:t>
      </w:r>
    </w:p>
    <w:p w14:paraId="4ABFA2B6"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recomenda a </w:t>
      </w:r>
      <w:r>
        <w:rPr>
          <w:b/>
        </w:rPr>
        <w:t>participação sistemática e precoce das partes interessadas dos setores culturais e não culturais</w:t>
      </w:r>
      <w:r>
        <w:t>, incluindo os órgãos de poder local, as pequenas e médias empresas (PME) e os setores culturais e criativos, a fim de reforçar a apropriação e o impacto;</w:t>
      </w:r>
    </w:p>
    <w:p w14:paraId="34D1F37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solicita uma </w:t>
      </w:r>
      <w:r>
        <w:rPr>
          <w:b/>
        </w:rPr>
        <w:t>maior integração dos intervenientes da economia social</w:t>
      </w:r>
      <w:r>
        <w:t xml:space="preserve"> e das iniciativas culturais de base comunitária nas políticas públicas, prevendo instrumentos orçamentais e financeiros adaptados;</w:t>
      </w:r>
    </w:p>
    <w:p w14:paraId="7574E8ED"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congratula-se com a proposta de um diálogo estruturado da UE com as partes interessadas</w:t>
      </w:r>
      <w:r>
        <w:t xml:space="preserve"> e disponibiliza-se para atuar como parceiro fundamental na facilitação de intercâmbios com os intervenientes institucionais e setoriais;</w:t>
      </w:r>
    </w:p>
    <w:p w14:paraId="2118B2C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salienta que os setores culturais e criativos constituem um </w:t>
      </w:r>
      <w:r>
        <w:rPr>
          <w:b/>
        </w:rPr>
        <w:t>ecossistema económico estratégico</w:t>
      </w:r>
      <w:r>
        <w:t xml:space="preserve"> e apela para uma melhor integração na Bússola de indústrias fundamentais, como os jogos, o cinema, a música e a moda;</w:t>
      </w:r>
    </w:p>
    <w:p w14:paraId="4B8E43E5"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apoia </w:t>
      </w:r>
      <w:r>
        <w:rPr>
          <w:b/>
        </w:rPr>
        <w:t>a educação cultural e o desenvolvimento de competências</w:t>
      </w:r>
      <w:r>
        <w:t xml:space="preserve"> e apela para um acesso inclusivo, um financiamento específico e ligações reforçadas a programas da UE como o Erasmus+ e a política de coesão;</w:t>
      </w:r>
    </w:p>
    <w:p w14:paraId="2BCF815C"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apoia a elaboração de uma Carta dos Artistas da UE</w:t>
      </w:r>
      <w:r>
        <w:t xml:space="preserve"> para assegurar condições de trabalho justas, uma proteção social mais forte e a consonância do financiamento da UE com as normas de emprego de qualidade;</w:t>
      </w:r>
    </w:p>
    <w:p w14:paraId="52A25F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rPr>
          <w:sz w:val="24"/>
          <w:szCs w:val="24"/>
        </w:rPr>
      </w:pPr>
      <w:r>
        <w:t xml:space="preserve">salienta a </w:t>
      </w:r>
      <w:r>
        <w:rPr>
          <w:b/>
        </w:rPr>
        <w:t>importância de um investimento público sustentado</w:t>
      </w:r>
      <w:r>
        <w:t xml:space="preserve"> nos setores culturais e criativos, apoiando simultaneamente um melhor acesso das PME ao financiamento através de uma maior </w:t>
      </w:r>
      <w:r>
        <w:lastRenderedPageBreak/>
        <w:t>mobilização dos instrumentos do Banco Europeu de Investimento e do Fundo Europeu de Investimento, a par da criação de quadros complementares de apoio privado;</w:t>
      </w:r>
    </w:p>
    <w:p w14:paraId="3A3FD42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incentiva o </w:t>
      </w:r>
      <w:r>
        <w:rPr>
          <w:b/>
        </w:rPr>
        <w:t>apoio institucional à declaração conjunta</w:t>
      </w:r>
      <w:r>
        <w:t xml:space="preserve"> pelas instituições da UE (incluindo o CESE e o Comité das Regiões) e pelas partes interessadas, a fim de assegurar uma ampla apropriação e legitimidade;</w:t>
      </w:r>
    </w:p>
    <w:p w14:paraId="3DBA33EF" w14:textId="77777777" w:rsidR="00C53E67" w:rsidRPr="004C6742" w:rsidRDefault="00C53E67" w:rsidP="008F6AA0">
      <w:pPr>
        <w:numPr>
          <w:ilvl w:val="0"/>
          <w:numId w:val="27"/>
        </w:numPr>
        <w:overflowPunct w:val="0"/>
        <w:autoSpaceDE w:val="0"/>
        <w:autoSpaceDN w:val="0"/>
        <w:adjustRightInd w:val="0"/>
        <w:spacing w:line="276" w:lineRule="auto"/>
        <w:textAlignment w:val="baseline"/>
        <w:rPr>
          <w:sz w:val="24"/>
          <w:szCs w:val="24"/>
        </w:rPr>
      </w:pPr>
      <w:r>
        <w:t xml:space="preserve">destaca a </w:t>
      </w:r>
      <w:r>
        <w:rPr>
          <w:b/>
        </w:rPr>
        <w:t>importância da dimensão internacional da cultura</w:t>
      </w:r>
      <w:r>
        <w:t>, apela para a plena reintegração desta dimensão na declaração conjunta e insta a um plano de ação abrangente partindo da estratégia da UE no domínio das relações culturais internacionais.</w:t>
      </w:r>
    </w:p>
    <w:p w14:paraId="481BD40E" w14:textId="77777777" w:rsidR="008F6AA0" w:rsidRPr="00C53E67" w:rsidRDefault="008F6AA0" w:rsidP="004C6742">
      <w:pPr>
        <w:overflowPunct w:val="0"/>
        <w:autoSpaceDE w:val="0"/>
        <w:autoSpaceDN w:val="0"/>
        <w:adjustRightInd w:val="0"/>
        <w:spacing w:line="276" w:lineRule="auto"/>
        <w:textAlignment w:val="baseline"/>
        <w:rPr>
          <w:sz w:val="24"/>
          <w:szCs w:val="24"/>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C53E67" w:rsidRPr="00C53E67" w14:paraId="272A79A3" w14:textId="77777777" w:rsidTr="002E7EFB">
        <w:tc>
          <w:tcPr>
            <w:tcW w:w="1556" w:type="pct"/>
          </w:tcPr>
          <w:p w14:paraId="2B671CE9" w14:textId="77777777" w:rsidR="00C53E67" w:rsidRPr="006A69F4" w:rsidRDefault="00C53E67" w:rsidP="00C53E67">
            <w:pPr>
              <w:overflowPunct w:val="0"/>
              <w:autoSpaceDE w:val="0"/>
              <w:autoSpaceDN w:val="0"/>
              <w:adjustRightInd w:val="0"/>
              <w:spacing w:line="240" w:lineRule="auto"/>
              <w:textAlignment w:val="baseline"/>
              <w:rPr>
                <w:i/>
                <w:sz w:val="22"/>
                <w:szCs w:val="22"/>
              </w:rPr>
            </w:pPr>
            <w:r w:rsidRPr="006A69F4">
              <w:rPr>
                <w:b/>
                <w:i/>
                <w:sz w:val="22"/>
                <w:szCs w:val="22"/>
              </w:rPr>
              <w:t>Contacto</w:t>
            </w:r>
          </w:p>
        </w:tc>
        <w:tc>
          <w:tcPr>
            <w:tcW w:w="3444" w:type="pct"/>
          </w:tcPr>
          <w:p w14:paraId="2DCCDC41" w14:textId="3A36641B" w:rsidR="00C53E67" w:rsidRPr="006A69F4" w:rsidRDefault="00C53E67" w:rsidP="00C53E67">
            <w:pPr>
              <w:overflowPunct w:val="0"/>
              <w:autoSpaceDE w:val="0"/>
              <w:autoSpaceDN w:val="0"/>
              <w:adjustRightInd w:val="0"/>
              <w:spacing w:line="240" w:lineRule="auto"/>
              <w:textAlignment w:val="baseline"/>
              <w:rPr>
                <w:i/>
                <w:sz w:val="22"/>
                <w:szCs w:val="22"/>
              </w:rPr>
            </w:pPr>
            <w:r w:rsidRPr="006A69F4">
              <w:rPr>
                <w:i/>
                <w:sz w:val="22"/>
                <w:szCs w:val="22"/>
              </w:rPr>
              <w:t>Jean-Marie Rogue</w:t>
            </w:r>
          </w:p>
        </w:tc>
      </w:tr>
      <w:tr w:rsidR="00C53E67" w:rsidRPr="00C53E67" w14:paraId="6943624D" w14:textId="77777777" w:rsidTr="002E7EFB">
        <w:tc>
          <w:tcPr>
            <w:tcW w:w="1556" w:type="pct"/>
          </w:tcPr>
          <w:p w14:paraId="23893BC2" w14:textId="77777777" w:rsidR="00C53E67" w:rsidRPr="006A69F4" w:rsidRDefault="00C53E67" w:rsidP="00C53E67">
            <w:pPr>
              <w:overflowPunct w:val="0"/>
              <w:autoSpaceDE w:val="0"/>
              <w:autoSpaceDN w:val="0"/>
              <w:adjustRightInd w:val="0"/>
              <w:spacing w:line="240" w:lineRule="auto"/>
              <w:textAlignment w:val="baseline"/>
              <w:rPr>
                <w:i/>
                <w:sz w:val="22"/>
                <w:szCs w:val="22"/>
              </w:rPr>
            </w:pPr>
            <w:r w:rsidRPr="006A69F4">
              <w:rPr>
                <w:i/>
                <w:sz w:val="22"/>
                <w:szCs w:val="22"/>
              </w:rPr>
              <w:t>Tel.</w:t>
            </w:r>
          </w:p>
        </w:tc>
        <w:tc>
          <w:tcPr>
            <w:tcW w:w="3444" w:type="pct"/>
          </w:tcPr>
          <w:p w14:paraId="62C63746" w14:textId="77777777" w:rsidR="00C53E67" w:rsidRPr="006A69F4" w:rsidRDefault="00C53E67" w:rsidP="00C53E67">
            <w:pPr>
              <w:overflowPunct w:val="0"/>
              <w:autoSpaceDE w:val="0"/>
              <w:autoSpaceDN w:val="0"/>
              <w:adjustRightInd w:val="0"/>
              <w:spacing w:line="240" w:lineRule="auto"/>
              <w:textAlignment w:val="baseline"/>
              <w:rPr>
                <w:i/>
                <w:sz w:val="22"/>
                <w:szCs w:val="22"/>
              </w:rPr>
            </w:pPr>
            <w:r w:rsidRPr="006A69F4">
              <w:rPr>
                <w:i/>
                <w:sz w:val="22"/>
                <w:szCs w:val="22"/>
              </w:rPr>
              <w:t>+32 2 546 89 09</w:t>
            </w:r>
          </w:p>
        </w:tc>
      </w:tr>
      <w:tr w:rsidR="00C53E67" w:rsidRPr="00C53E67" w14:paraId="496DCA57" w14:textId="77777777" w:rsidTr="002E7EFB">
        <w:tc>
          <w:tcPr>
            <w:tcW w:w="1556" w:type="pct"/>
          </w:tcPr>
          <w:p w14:paraId="591F1710" w14:textId="77777777" w:rsidR="00C53E67" w:rsidRPr="006A69F4" w:rsidRDefault="00C53E67" w:rsidP="00C53E67">
            <w:pPr>
              <w:overflowPunct w:val="0"/>
              <w:autoSpaceDE w:val="0"/>
              <w:autoSpaceDN w:val="0"/>
              <w:adjustRightInd w:val="0"/>
              <w:spacing w:line="240" w:lineRule="auto"/>
              <w:textAlignment w:val="baseline"/>
              <w:rPr>
                <w:i/>
                <w:sz w:val="22"/>
                <w:szCs w:val="22"/>
              </w:rPr>
            </w:pPr>
            <w:r w:rsidRPr="006A69F4">
              <w:rPr>
                <w:i/>
                <w:sz w:val="22"/>
                <w:szCs w:val="22"/>
              </w:rPr>
              <w:t>Endereço eletrónico</w:t>
            </w:r>
          </w:p>
        </w:tc>
        <w:tc>
          <w:tcPr>
            <w:tcW w:w="3444" w:type="pct"/>
          </w:tcPr>
          <w:p w14:paraId="18C49AA7" w14:textId="77777777" w:rsidR="00C53E67" w:rsidRPr="006A69F4" w:rsidRDefault="008D063E" w:rsidP="00C53E67">
            <w:pPr>
              <w:overflowPunct w:val="0"/>
              <w:autoSpaceDE w:val="0"/>
              <w:autoSpaceDN w:val="0"/>
              <w:adjustRightInd w:val="0"/>
              <w:spacing w:line="240" w:lineRule="auto"/>
              <w:textAlignment w:val="baseline"/>
              <w:rPr>
                <w:i/>
                <w:sz w:val="22"/>
                <w:szCs w:val="22"/>
              </w:rPr>
            </w:pPr>
            <w:hyperlink r:id="rId29" w:history="1">
              <w:r w:rsidR="00A912EA" w:rsidRPr="006A69F4">
                <w:rPr>
                  <w:i/>
                  <w:color w:val="0000FF"/>
                  <w:sz w:val="22"/>
                  <w:szCs w:val="22"/>
                  <w:u w:val="single"/>
                </w:rPr>
                <w:t>JeanMarie.Rogue@eesc.europa.eu</w:t>
              </w:r>
            </w:hyperlink>
          </w:p>
        </w:tc>
      </w:tr>
    </w:tbl>
    <w:p w14:paraId="3887EC4A" w14:textId="660A26B1" w:rsidR="00A067F3" w:rsidRDefault="00A067F3" w:rsidP="001766B2">
      <w:pPr>
        <w:jc w:val="left"/>
      </w:pPr>
    </w:p>
    <w:p w14:paraId="2E7B45AB" w14:textId="77777777" w:rsidR="00A067F3" w:rsidRDefault="00A067F3">
      <w:pPr>
        <w:spacing w:after="160" w:line="259" w:lineRule="auto"/>
        <w:jc w:val="left"/>
      </w:pPr>
      <w:r>
        <w:br w:type="page"/>
      </w:r>
    </w:p>
    <w:p w14:paraId="4982DDF2" w14:textId="586617C5" w:rsidR="004D7AC0" w:rsidRDefault="004D7AC0" w:rsidP="001766B2">
      <w:pPr>
        <w:jc w:val="left"/>
      </w:pPr>
    </w:p>
    <w:p w14:paraId="4982DDF3" w14:textId="77616464" w:rsidR="004D7AC0" w:rsidRDefault="004D7AC0" w:rsidP="004C6742">
      <w:pPr>
        <w:pStyle w:val="Heading2"/>
      </w:pPr>
      <w:bookmarkStart w:id="16" w:name="_Toc75527083"/>
      <w:bookmarkStart w:id="17" w:name="_Toc229495800"/>
      <w:r>
        <w:t>MERCADO ÚNICO, PRODUÇÃO E CONSUMO</w:t>
      </w:r>
      <w:bookmarkEnd w:id="16"/>
      <w:bookmarkEnd w:id="17"/>
    </w:p>
    <w:p w14:paraId="4982DDF4" w14:textId="77777777" w:rsidR="004D7AC0" w:rsidRDefault="004D7AC0" w:rsidP="001766B2"/>
    <w:p w14:paraId="566598A4" w14:textId="35BAC290" w:rsidR="00392AE5" w:rsidRPr="00392AE5" w:rsidRDefault="008D063E" w:rsidP="00392AE5">
      <w:pPr>
        <w:widowControl w:val="0"/>
        <w:numPr>
          <w:ilvl w:val="0"/>
          <w:numId w:val="4"/>
        </w:numPr>
        <w:tabs>
          <w:tab w:val="left" w:pos="2127"/>
        </w:tabs>
        <w:overflowPunct w:val="0"/>
        <w:autoSpaceDE w:val="0"/>
        <w:autoSpaceDN w:val="0"/>
        <w:adjustRightInd w:val="0"/>
        <w:ind w:hanging="567"/>
        <w:textAlignment w:val="baseline"/>
        <w:rPr>
          <w:sz w:val="20"/>
          <w:szCs w:val="20"/>
        </w:rPr>
      </w:pPr>
      <w:hyperlink r:id="rId30" w:history="1">
        <w:r w:rsidR="00392AE5" w:rsidRPr="00E810F8">
          <w:rPr>
            <w:b/>
            <w:bCs/>
            <w:i/>
            <w:iCs/>
            <w:color w:val="0000FF"/>
            <w:sz w:val="28"/>
            <w:szCs w:val="28"/>
            <w:u w:val="single"/>
          </w:rPr>
          <w:t>Turismo excessivo, arrendamento de curta duração e exclusão das populações locais – Como encontrar o equilíbrio certo</w:t>
        </w:r>
      </w:hyperlink>
    </w:p>
    <w:p w14:paraId="129DAC63" w14:textId="77777777" w:rsidR="00392AE5" w:rsidRPr="00E810F8" w:rsidRDefault="00392AE5" w:rsidP="00392AE5">
      <w:pPr>
        <w:tabs>
          <w:tab w:val="center" w:pos="284"/>
        </w:tabs>
        <w:overflowPunct w:val="0"/>
        <w:autoSpaceDE w:val="0"/>
        <w:autoSpaceDN w:val="0"/>
        <w:adjustRightInd w:val="0"/>
        <w:ind w:left="266" w:hanging="266"/>
        <w:textAlignment w:val="baseline"/>
        <w:rPr>
          <w:b/>
          <w:sz w:val="24"/>
          <w:szCs w:val="24"/>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E810F8" w14:paraId="6A67318C" w14:textId="77777777" w:rsidTr="002E7EFB">
        <w:tc>
          <w:tcPr>
            <w:tcW w:w="1077" w:type="pct"/>
          </w:tcPr>
          <w:p w14:paraId="45EB1F84" w14:textId="77777777" w:rsidR="00392AE5" w:rsidRPr="00E810F8" w:rsidRDefault="00392AE5" w:rsidP="00392AE5">
            <w:pPr>
              <w:tabs>
                <w:tab w:val="center" w:pos="284"/>
              </w:tabs>
              <w:overflowPunct w:val="0"/>
              <w:autoSpaceDE w:val="0"/>
              <w:autoSpaceDN w:val="0"/>
              <w:adjustRightInd w:val="0"/>
              <w:ind w:left="266" w:hanging="266"/>
              <w:textAlignment w:val="baseline"/>
              <w:rPr>
                <w:b/>
                <w:sz w:val="22"/>
                <w:szCs w:val="22"/>
              </w:rPr>
            </w:pPr>
            <w:r w:rsidRPr="00E810F8">
              <w:rPr>
                <w:b/>
                <w:sz w:val="22"/>
                <w:szCs w:val="22"/>
              </w:rPr>
              <w:t>Relator</w:t>
            </w:r>
          </w:p>
        </w:tc>
        <w:tc>
          <w:tcPr>
            <w:tcW w:w="3923" w:type="pct"/>
          </w:tcPr>
          <w:p w14:paraId="4123F63B" w14:textId="58C6E72D" w:rsidR="00392AE5" w:rsidRPr="00E810F8" w:rsidRDefault="00392AE5" w:rsidP="00392AE5">
            <w:pPr>
              <w:tabs>
                <w:tab w:val="center" w:pos="284"/>
              </w:tabs>
              <w:overflowPunct w:val="0"/>
              <w:autoSpaceDE w:val="0"/>
              <w:autoSpaceDN w:val="0"/>
              <w:adjustRightInd w:val="0"/>
              <w:ind w:left="266" w:right="-3091" w:hanging="266"/>
              <w:textAlignment w:val="baseline"/>
              <w:rPr>
                <w:sz w:val="22"/>
                <w:szCs w:val="22"/>
              </w:rPr>
            </w:pPr>
            <w:r w:rsidRPr="00E810F8">
              <w:rPr>
                <w:sz w:val="22"/>
                <w:szCs w:val="22"/>
              </w:rPr>
              <w:t>Marinel Dănuț Mureşan (RO – Grupo dos Empregadores)</w:t>
            </w:r>
          </w:p>
          <w:p w14:paraId="6824E4B7" w14:textId="3A5073A7" w:rsidR="003F20DF" w:rsidRPr="00E810F8" w:rsidRDefault="003F20DF" w:rsidP="00392AE5">
            <w:pPr>
              <w:tabs>
                <w:tab w:val="center" w:pos="284"/>
              </w:tabs>
              <w:overflowPunct w:val="0"/>
              <w:autoSpaceDE w:val="0"/>
              <w:autoSpaceDN w:val="0"/>
              <w:adjustRightInd w:val="0"/>
              <w:ind w:left="266" w:right="-3091" w:hanging="266"/>
              <w:textAlignment w:val="baseline"/>
              <w:rPr>
                <w:bCs/>
                <w:sz w:val="22"/>
                <w:szCs w:val="22"/>
              </w:rPr>
            </w:pPr>
          </w:p>
        </w:tc>
      </w:tr>
      <w:tr w:rsidR="00392AE5" w:rsidRPr="00E810F8" w14:paraId="241C9609" w14:textId="77777777" w:rsidTr="002E7EFB">
        <w:tc>
          <w:tcPr>
            <w:tcW w:w="1077" w:type="pct"/>
          </w:tcPr>
          <w:p w14:paraId="13E4A55F" w14:textId="77777777" w:rsidR="00392AE5" w:rsidRPr="00E810F8" w:rsidRDefault="00392AE5" w:rsidP="00392AE5">
            <w:pPr>
              <w:tabs>
                <w:tab w:val="center" w:pos="284"/>
              </w:tabs>
              <w:overflowPunct w:val="0"/>
              <w:autoSpaceDE w:val="0"/>
              <w:autoSpaceDN w:val="0"/>
              <w:adjustRightInd w:val="0"/>
              <w:ind w:left="266" w:hanging="266"/>
              <w:textAlignment w:val="baseline"/>
              <w:rPr>
                <w:b/>
                <w:sz w:val="22"/>
                <w:szCs w:val="22"/>
              </w:rPr>
            </w:pPr>
            <w:r w:rsidRPr="00E810F8">
              <w:rPr>
                <w:b/>
                <w:sz w:val="22"/>
                <w:szCs w:val="22"/>
              </w:rPr>
              <w:t>Referências</w:t>
            </w:r>
          </w:p>
        </w:tc>
        <w:tc>
          <w:tcPr>
            <w:tcW w:w="3923" w:type="pct"/>
          </w:tcPr>
          <w:p w14:paraId="45A8FB5D" w14:textId="281DE309" w:rsidR="00392AE5" w:rsidRPr="00E810F8" w:rsidRDefault="00392AE5" w:rsidP="00392AE5">
            <w:pPr>
              <w:tabs>
                <w:tab w:val="center" w:pos="284"/>
              </w:tabs>
              <w:overflowPunct w:val="0"/>
              <w:autoSpaceDE w:val="0"/>
              <w:autoSpaceDN w:val="0"/>
              <w:adjustRightInd w:val="0"/>
              <w:ind w:left="266" w:right="-3091" w:hanging="266"/>
              <w:textAlignment w:val="baseline"/>
              <w:rPr>
                <w:sz w:val="22"/>
                <w:szCs w:val="22"/>
              </w:rPr>
            </w:pPr>
            <w:r w:rsidRPr="00E810F8">
              <w:rPr>
                <w:sz w:val="22"/>
                <w:szCs w:val="22"/>
              </w:rPr>
              <w:t>Parecer exploratório a pedido da Presidência cipriota do Conselho da UE</w:t>
            </w:r>
          </w:p>
          <w:p w14:paraId="7EBFEE0E" w14:textId="619F9385" w:rsidR="00392AE5" w:rsidRPr="00E810F8" w:rsidRDefault="00392AE5" w:rsidP="00392AE5">
            <w:pPr>
              <w:tabs>
                <w:tab w:val="center" w:pos="284"/>
              </w:tabs>
              <w:overflowPunct w:val="0"/>
              <w:autoSpaceDE w:val="0"/>
              <w:autoSpaceDN w:val="0"/>
              <w:adjustRightInd w:val="0"/>
              <w:ind w:left="266" w:right="-3091" w:hanging="266"/>
              <w:textAlignment w:val="baseline"/>
              <w:rPr>
                <w:sz w:val="22"/>
                <w:szCs w:val="22"/>
              </w:rPr>
            </w:pPr>
            <w:r w:rsidRPr="00E810F8">
              <w:rPr>
                <w:sz w:val="22"/>
                <w:szCs w:val="22"/>
              </w:rPr>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Pontos principais</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r>
        <w:t>O Comité Económico e Social Europeu:</w:t>
      </w:r>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5E2CF75A"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salienta que o turismo é um ecossistema estratégico para a União Europeia (UE), contribuindo para o crescimento, o emprego e o desenvolvimento social e reclama uma transição para um modelo mais sustentável, equilibrado e competitivo que salvaguarde a qualidade de vida das comunidades locais; </w:t>
      </w:r>
    </w:p>
    <w:p w14:paraId="7E1A2FA7" w14:textId="441D8E28"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alerta para as pressões crescentes ligadas ao turismo excessivo e ao arrendamento de curta duração em determinados destinos e </w:t>
      </w:r>
      <w:r>
        <w:rPr>
          <w:b/>
        </w:rPr>
        <w:t>preconiza uma ação coordenada da UE</w:t>
      </w:r>
      <w:r>
        <w:t xml:space="preserve"> para ajudar os Estados</w:t>
      </w:r>
      <w:r w:rsidR="00C418F1">
        <w:noBreakHyphen/>
      </w:r>
      <w:r>
        <w:t xml:space="preserve">Membros a desenvolver soluções baseadas em dados concretos, proporcionadas e de base local; </w:t>
      </w:r>
    </w:p>
    <w:p w14:paraId="4DA31274"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propõe instrumentos e estratégias apoiados pela UE para gerir melhor os fluxos turísticos, incluindo sistemas de monitorização digital, a diversificação de destinos e estações do ano e ligações mais fortes entre o turismo e as economias, a cultura e o artesanato tradicional locais; </w:t>
      </w:r>
    </w:p>
    <w:p w14:paraId="0407BE7E"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defende modelos inovadores de governação e financiamento que associem investimento público e privado para apoiar o turismo sustentável, a habitação a preços acessíveis e os ecossistemas empresariais locais, com um papel forte para as PME e as comunidades locais; </w:t>
      </w:r>
    </w:p>
    <w:p w14:paraId="38238CCA" w14:textId="77777777" w:rsidR="00392AE5" w:rsidRPr="00392AE5" w:rsidRDefault="00392AE5" w:rsidP="004C6742">
      <w:pPr>
        <w:widowControl w:val="0"/>
        <w:numPr>
          <w:ilvl w:val="0"/>
          <w:numId w:val="28"/>
        </w:numPr>
        <w:overflowPunct w:val="0"/>
        <w:autoSpaceDE w:val="0"/>
        <w:autoSpaceDN w:val="0"/>
        <w:adjustRightInd w:val="0"/>
        <w:spacing w:line="276" w:lineRule="auto"/>
        <w:ind w:left="284" w:hanging="284"/>
        <w:textAlignment w:val="baseline"/>
        <w:rPr>
          <w:bCs/>
          <w:iCs/>
        </w:rPr>
      </w:pPr>
      <w:r>
        <w:t xml:space="preserve">recomenda o reforço das competências, da formação e da participação dos jovens e apela para a criação de um </w:t>
      </w:r>
      <w:r>
        <w:rPr>
          <w:b/>
        </w:rPr>
        <w:t>centro europeu para o artesanato e os ofícios tradicionais</w:t>
      </w:r>
      <w:r>
        <w:t>, a fim de apoiar as economias locais e a sustentabilidade cultural em toda a UE.</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1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7289"/>
      </w:tblGrid>
      <w:tr w:rsidR="00392AE5" w:rsidRPr="00392AE5" w14:paraId="519A6FBB" w14:textId="77777777" w:rsidTr="00E810F8">
        <w:tc>
          <w:tcPr>
            <w:tcW w:w="1173" w:type="pct"/>
          </w:tcPr>
          <w:p w14:paraId="2511DD3A" w14:textId="77777777" w:rsidR="00392AE5" w:rsidRPr="00E810F8" w:rsidRDefault="00392AE5" w:rsidP="00392AE5">
            <w:pPr>
              <w:overflowPunct w:val="0"/>
              <w:autoSpaceDE w:val="0"/>
              <w:autoSpaceDN w:val="0"/>
              <w:adjustRightInd w:val="0"/>
              <w:textAlignment w:val="baseline"/>
              <w:rPr>
                <w:i/>
                <w:sz w:val="22"/>
                <w:szCs w:val="22"/>
              </w:rPr>
            </w:pPr>
            <w:r w:rsidRPr="00E810F8">
              <w:rPr>
                <w:b/>
                <w:i/>
                <w:sz w:val="22"/>
                <w:szCs w:val="22"/>
              </w:rPr>
              <w:t>Contacto</w:t>
            </w:r>
          </w:p>
        </w:tc>
        <w:tc>
          <w:tcPr>
            <w:tcW w:w="3827" w:type="pct"/>
          </w:tcPr>
          <w:p w14:paraId="3960CCB8" w14:textId="77777777" w:rsidR="00392AE5" w:rsidRPr="00E810F8" w:rsidRDefault="00392AE5" w:rsidP="00392AE5">
            <w:pPr>
              <w:overflowPunct w:val="0"/>
              <w:autoSpaceDE w:val="0"/>
              <w:autoSpaceDN w:val="0"/>
              <w:adjustRightInd w:val="0"/>
              <w:textAlignment w:val="baseline"/>
              <w:rPr>
                <w:i/>
                <w:sz w:val="22"/>
                <w:szCs w:val="22"/>
              </w:rPr>
            </w:pPr>
            <w:r w:rsidRPr="00E810F8">
              <w:rPr>
                <w:i/>
                <w:sz w:val="22"/>
                <w:szCs w:val="22"/>
              </w:rPr>
              <w:t>Silvia Staffa</w:t>
            </w:r>
          </w:p>
        </w:tc>
      </w:tr>
      <w:tr w:rsidR="00392AE5" w:rsidRPr="00392AE5" w14:paraId="3AF34B7F" w14:textId="77777777" w:rsidTr="00E810F8">
        <w:tc>
          <w:tcPr>
            <w:tcW w:w="1173" w:type="pct"/>
          </w:tcPr>
          <w:p w14:paraId="2CBD3E50" w14:textId="77777777" w:rsidR="00392AE5" w:rsidRPr="00E810F8" w:rsidRDefault="00392AE5" w:rsidP="00392AE5">
            <w:pPr>
              <w:overflowPunct w:val="0"/>
              <w:autoSpaceDE w:val="0"/>
              <w:autoSpaceDN w:val="0"/>
              <w:adjustRightInd w:val="0"/>
              <w:textAlignment w:val="baseline"/>
              <w:rPr>
                <w:i/>
                <w:sz w:val="22"/>
                <w:szCs w:val="22"/>
              </w:rPr>
            </w:pPr>
            <w:r w:rsidRPr="00E810F8">
              <w:rPr>
                <w:i/>
                <w:sz w:val="22"/>
                <w:szCs w:val="22"/>
              </w:rPr>
              <w:t>Tel.</w:t>
            </w:r>
          </w:p>
        </w:tc>
        <w:tc>
          <w:tcPr>
            <w:tcW w:w="3827" w:type="pct"/>
          </w:tcPr>
          <w:p w14:paraId="730C53AF" w14:textId="77777777" w:rsidR="00392AE5" w:rsidRPr="00E810F8" w:rsidRDefault="00392AE5" w:rsidP="00392AE5">
            <w:pPr>
              <w:overflowPunct w:val="0"/>
              <w:autoSpaceDE w:val="0"/>
              <w:autoSpaceDN w:val="0"/>
              <w:adjustRightInd w:val="0"/>
              <w:textAlignment w:val="baseline"/>
              <w:rPr>
                <w:i/>
                <w:sz w:val="22"/>
                <w:szCs w:val="22"/>
              </w:rPr>
            </w:pPr>
            <w:r w:rsidRPr="00E810F8">
              <w:rPr>
                <w:i/>
                <w:sz w:val="22"/>
                <w:szCs w:val="22"/>
              </w:rPr>
              <w:t>+32 2 546 83 78</w:t>
            </w:r>
          </w:p>
        </w:tc>
      </w:tr>
      <w:tr w:rsidR="00392AE5" w:rsidRPr="00392AE5" w14:paraId="7E2C07CA" w14:textId="77777777" w:rsidTr="00E810F8">
        <w:tc>
          <w:tcPr>
            <w:tcW w:w="1173" w:type="pct"/>
          </w:tcPr>
          <w:p w14:paraId="22A428C5" w14:textId="77777777" w:rsidR="00392AE5" w:rsidRPr="00E810F8" w:rsidRDefault="00392AE5" w:rsidP="00392AE5">
            <w:pPr>
              <w:overflowPunct w:val="0"/>
              <w:autoSpaceDE w:val="0"/>
              <w:autoSpaceDN w:val="0"/>
              <w:adjustRightInd w:val="0"/>
              <w:textAlignment w:val="baseline"/>
              <w:rPr>
                <w:i/>
                <w:sz w:val="22"/>
                <w:szCs w:val="22"/>
              </w:rPr>
            </w:pPr>
            <w:r w:rsidRPr="00E810F8">
              <w:rPr>
                <w:i/>
                <w:sz w:val="22"/>
                <w:szCs w:val="22"/>
              </w:rPr>
              <w:t>Endereço eletrónico</w:t>
            </w:r>
          </w:p>
        </w:tc>
        <w:tc>
          <w:tcPr>
            <w:tcW w:w="3827" w:type="pct"/>
          </w:tcPr>
          <w:p w14:paraId="0EBCDB0C" w14:textId="77777777" w:rsidR="00392AE5" w:rsidRPr="00E810F8" w:rsidRDefault="008D063E" w:rsidP="00392AE5">
            <w:pPr>
              <w:overflowPunct w:val="0"/>
              <w:autoSpaceDE w:val="0"/>
              <w:autoSpaceDN w:val="0"/>
              <w:adjustRightInd w:val="0"/>
              <w:spacing w:line="240" w:lineRule="auto"/>
              <w:textAlignment w:val="baseline"/>
              <w:rPr>
                <w:i/>
                <w:sz w:val="22"/>
                <w:szCs w:val="22"/>
              </w:rPr>
            </w:pPr>
            <w:hyperlink r:id="rId31" w:history="1">
              <w:r w:rsidR="00A912EA" w:rsidRPr="00E810F8">
                <w:rPr>
                  <w:i/>
                  <w:color w:val="0000FF"/>
                  <w:sz w:val="22"/>
                  <w:szCs w:val="22"/>
                  <w:u w:val="single"/>
                </w:rPr>
                <w:t>Silvia.Staffa@eesc.europa.eu</w:t>
              </w:r>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41EB3DEB" w:rsidR="008E331E" w:rsidRPr="008E331E" w:rsidRDefault="008D063E" w:rsidP="008E331E">
      <w:pPr>
        <w:widowControl w:val="0"/>
        <w:numPr>
          <w:ilvl w:val="0"/>
          <w:numId w:val="4"/>
        </w:numPr>
        <w:overflowPunct w:val="0"/>
        <w:autoSpaceDE w:val="0"/>
        <w:autoSpaceDN w:val="0"/>
        <w:adjustRightInd w:val="0"/>
        <w:ind w:hanging="567"/>
        <w:textAlignment w:val="baseline"/>
        <w:rPr>
          <w:sz w:val="20"/>
          <w:szCs w:val="20"/>
        </w:rPr>
      </w:pPr>
      <w:hyperlink r:id="rId32" w:tgtFrame="_blank" w:history="1">
        <w:r w:rsidR="00A912EA">
          <w:rPr>
            <w:b/>
            <w:i/>
            <w:color w:val="0000FF"/>
            <w:sz w:val="28"/>
            <w:u w:val="single"/>
          </w:rPr>
          <w:t>Revisão das normas de emissões de CO</w:t>
        </w:r>
        <w:r w:rsidR="00A912EA">
          <w:rPr>
            <w:b/>
            <w:i/>
            <w:color w:val="0000FF"/>
            <w:sz w:val="28"/>
            <w:u w:val="single"/>
            <w:vertAlign w:val="subscript"/>
          </w:rPr>
          <w:t>2</w:t>
        </w:r>
        <w:r w:rsidR="00A912EA">
          <w:rPr>
            <w:b/>
            <w:i/>
            <w:color w:val="0000FF"/>
            <w:sz w:val="28"/>
            <w:u w:val="single"/>
          </w:rPr>
          <w:t xml:space="preserve"> para automóveis de passageiros e veículos comerciais ligeiros</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331E" w:rsidRPr="008E331E" w14:paraId="3544A5AD" w14:textId="77777777" w:rsidTr="002E7EFB">
        <w:tc>
          <w:tcPr>
            <w:tcW w:w="1701" w:type="dxa"/>
          </w:tcPr>
          <w:p w14:paraId="1CD1317C" w14:textId="77777777" w:rsidR="008E331E" w:rsidRPr="00FE552E" w:rsidRDefault="008E331E" w:rsidP="008E331E">
            <w:pPr>
              <w:tabs>
                <w:tab w:val="center" w:pos="284"/>
              </w:tabs>
              <w:overflowPunct w:val="0"/>
              <w:autoSpaceDE w:val="0"/>
              <w:autoSpaceDN w:val="0"/>
              <w:adjustRightInd w:val="0"/>
              <w:ind w:left="266" w:hanging="266"/>
              <w:textAlignment w:val="baseline"/>
              <w:rPr>
                <w:b/>
                <w:sz w:val="22"/>
                <w:szCs w:val="22"/>
              </w:rPr>
            </w:pPr>
            <w:r w:rsidRPr="00FE552E">
              <w:rPr>
                <w:b/>
                <w:sz w:val="22"/>
                <w:szCs w:val="22"/>
              </w:rPr>
              <w:t>Relator</w:t>
            </w:r>
          </w:p>
        </w:tc>
        <w:tc>
          <w:tcPr>
            <w:tcW w:w="5387" w:type="dxa"/>
          </w:tcPr>
          <w:p w14:paraId="206429AE" w14:textId="2F6500F8" w:rsidR="008E331E" w:rsidRPr="00FE552E" w:rsidRDefault="008E331E" w:rsidP="008E331E">
            <w:pPr>
              <w:tabs>
                <w:tab w:val="center" w:pos="284"/>
              </w:tabs>
              <w:overflowPunct w:val="0"/>
              <w:autoSpaceDE w:val="0"/>
              <w:autoSpaceDN w:val="0"/>
              <w:adjustRightInd w:val="0"/>
              <w:ind w:left="266" w:hanging="266"/>
              <w:textAlignment w:val="baseline"/>
              <w:rPr>
                <w:sz w:val="22"/>
                <w:szCs w:val="22"/>
              </w:rPr>
            </w:pPr>
            <w:r w:rsidRPr="00FE552E">
              <w:rPr>
                <w:sz w:val="22"/>
                <w:szCs w:val="22"/>
              </w:rPr>
              <w:t>Matteo Borsani (IT</w:t>
            </w:r>
            <w:r w:rsidR="00C418F1">
              <w:rPr>
                <w:sz w:val="22"/>
                <w:szCs w:val="22"/>
              </w:rPr>
              <w:t xml:space="preserve"> – </w:t>
            </w:r>
            <w:r w:rsidRPr="00FE552E">
              <w:rPr>
                <w:sz w:val="22"/>
                <w:szCs w:val="22"/>
              </w:rPr>
              <w:t>Grupo dos Empregadores)</w:t>
            </w:r>
          </w:p>
          <w:p w14:paraId="3D9FC490" w14:textId="77777777" w:rsidR="008E331E" w:rsidRPr="00FE552E" w:rsidRDefault="008E331E" w:rsidP="008E331E">
            <w:pPr>
              <w:tabs>
                <w:tab w:val="center" w:pos="284"/>
              </w:tabs>
              <w:overflowPunct w:val="0"/>
              <w:autoSpaceDE w:val="0"/>
              <w:autoSpaceDN w:val="0"/>
              <w:adjustRightInd w:val="0"/>
              <w:ind w:left="266" w:hanging="266"/>
              <w:textAlignment w:val="baseline"/>
              <w:rPr>
                <w:sz w:val="22"/>
                <w:szCs w:val="22"/>
              </w:rPr>
            </w:pPr>
          </w:p>
        </w:tc>
      </w:tr>
      <w:tr w:rsidR="008E331E" w:rsidRPr="008E331E" w14:paraId="5175195B" w14:textId="77777777" w:rsidTr="002E7EFB">
        <w:tc>
          <w:tcPr>
            <w:tcW w:w="7088" w:type="dxa"/>
            <w:gridSpan w:val="2"/>
          </w:tcPr>
          <w:p w14:paraId="25949DC3" w14:textId="77777777" w:rsidR="008E331E" w:rsidRPr="00FE552E" w:rsidRDefault="008E331E" w:rsidP="008E331E">
            <w:pPr>
              <w:tabs>
                <w:tab w:val="center" w:pos="284"/>
              </w:tabs>
              <w:overflowPunct w:val="0"/>
              <w:autoSpaceDE w:val="0"/>
              <w:autoSpaceDN w:val="0"/>
              <w:adjustRightInd w:val="0"/>
              <w:spacing w:line="160" w:lineRule="exact"/>
              <w:ind w:left="266" w:hanging="266"/>
              <w:textAlignment w:val="baseline"/>
              <w:rPr>
                <w:sz w:val="22"/>
                <w:szCs w:val="22"/>
              </w:rPr>
            </w:pPr>
          </w:p>
        </w:tc>
      </w:tr>
      <w:tr w:rsidR="008E331E" w:rsidRPr="008E331E" w14:paraId="0E58D564" w14:textId="77777777" w:rsidTr="002E7EFB">
        <w:tc>
          <w:tcPr>
            <w:tcW w:w="1701" w:type="dxa"/>
            <w:vMerge w:val="restart"/>
          </w:tcPr>
          <w:p w14:paraId="145A97E5" w14:textId="77777777" w:rsidR="008E331E" w:rsidRPr="00FE552E" w:rsidRDefault="008E331E" w:rsidP="008E331E">
            <w:pPr>
              <w:tabs>
                <w:tab w:val="center" w:pos="284"/>
              </w:tabs>
              <w:overflowPunct w:val="0"/>
              <w:autoSpaceDE w:val="0"/>
              <w:autoSpaceDN w:val="0"/>
              <w:adjustRightInd w:val="0"/>
              <w:ind w:left="266" w:hanging="266"/>
              <w:textAlignment w:val="baseline"/>
              <w:rPr>
                <w:b/>
                <w:sz w:val="22"/>
                <w:szCs w:val="22"/>
              </w:rPr>
            </w:pPr>
            <w:r w:rsidRPr="00FE552E">
              <w:rPr>
                <w:b/>
                <w:sz w:val="22"/>
                <w:szCs w:val="22"/>
              </w:rPr>
              <w:t>Referências</w:t>
            </w:r>
          </w:p>
        </w:tc>
        <w:tc>
          <w:tcPr>
            <w:tcW w:w="5387" w:type="dxa"/>
          </w:tcPr>
          <w:p w14:paraId="7281EBE1" w14:textId="0C5497BF" w:rsidR="008E331E" w:rsidRPr="00FE552E" w:rsidRDefault="008E331E" w:rsidP="008E331E">
            <w:pPr>
              <w:tabs>
                <w:tab w:val="center" w:pos="284"/>
              </w:tabs>
              <w:overflowPunct w:val="0"/>
              <w:autoSpaceDE w:val="0"/>
              <w:autoSpaceDN w:val="0"/>
              <w:adjustRightInd w:val="0"/>
              <w:ind w:left="266" w:hanging="266"/>
              <w:textAlignment w:val="baseline"/>
              <w:rPr>
                <w:sz w:val="22"/>
                <w:szCs w:val="22"/>
              </w:rPr>
            </w:pPr>
            <w:r w:rsidRPr="00FE552E">
              <w:rPr>
                <w:sz w:val="22"/>
                <w:szCs w:val="22"/>
              </w:rPr>
              <w:t xml:space="preserve">COM(2025) 995 final </w:t>
            </w:r>
          </w:p>
          <w:p w14:paraId="7D42FFB6" w14:textId="77777777" w:rsidR="008E331E" w:rsidRPr="00FE552E" w:rsidRDefault="008E331E" w:rsidP="008E331E">
            <w:pPr>
              <w:tabs>
                <w:tab w:val="center" w:pos="284"/>
              </w:tabs>
              <w:overflowPunct w:val="0"/>
              <w:autoSpaceDE w:val="0"/>
              <w:autoSpaceDN w:val="0"/>
              <w:adjustRightInd w:val="0"/>
              <w:ind w:left="266" w:hanging="266"/>
              <w:textAlignment w:val="baseline"/>
              <w:rPr>
                <w:sz w:val="22"/>
                <w:szCs w:val="22"/>
              </w:rPr>
            </w:pPr>
            <w:r w:rsidRPr="00FE552E">
              <w:rPr>
                <w:sz w:val="22"/>
                <w:szCs w:val="22"/>
              </w:rPr>
              <w:t>EESC-2025-04308-00-00-AC</w:t>
            </w:r>
          </w:p>
        </w:tc>
      </w:tr>
      <w:tr w:rsidR="008E331E" w:rsidRPr="008E331E" w14:paraId="3BC2EE29" w14:textId="77777777" w:rsidTr="002E7EFB">
        <w:tc>
          <w:tcPr>
            <w:tcW w:w="1701" w:type="dxa"/>
            <w:vMerge/>
          </w:tcPr>
          <w:p w14:paraId="00FF22F1"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p>
        </w:tc>
        <w:tc>
          <w:tcPr>
            <w:tcW w:w="5387" w:type="dxa"/>
          </w:tcPr>
          <w:p w14:paraId="56EC2136" w14:textId="77777777" w:rsidR="008E331E" w:rsidRPr="008E331E" w:rsidRDefault="008E331E" w:rsidP="008E331E">
            <w:pPr>
              <w:tabs>
                <w:tab w:val="center" w:pos="284"/>
              </w:tabs>
              <w:overflowPunct w:val="0"/>
              <w:autoSpaceDE w:val="0"/>
              <w:autoSpaceDN w:val="0"/>
              <w:adjustRightInd w:val="0"/>
              <w:ind w:left="266" w:hanging="266"/>
              <w:textAlignment w:val="baseline"/>
            </w:pP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Pontos principais</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r>
        <w:t>O Comité Económico e Social Europeu:</w:t>
      </w:r>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5B2F5DBD"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defende um quadro regulamentar da UE coerente e equilibrado</w:t>
      </w:r>
      <w:r>
        <w:t xml:space="preserve"> para a transição do setor automóvel, que conjugue um forte impulso à mobilidade com nível nulo ou baixo de emissões no respeito do princípio da neutralidade tecnológica, uma cadeia de valor reforçada assente na abordagem «Fabricado na UE» e a proteção de empregos de qualidade, da capacidade industrial e da inovação;</w:t>
      </w:r>
    </w:p>
    <w:p w14:paraId="432BFC18"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apela para uma revisão pragmática das normas em matéria de CO</w:t>
      </w:r>
      <w:r>
        <w:rPr>
          <w:b/>
          <w:vertAlign w:val="subscript"/>
        </w:rPr>
        <w:t>2</w:t>
      </w:r>
      <w:r>
        <w:t xml:space="preserve"> para automóveis de passageiros e veículos comerciais ligeiros, em consonância com as realidades do mercado e os objetivos climáticos, a fim de restabelecer a competitividade, mantendo simultaneamente a trajetória de descarbonização a longo prazo;</w:t>
      </w:r>
    </w:p>
    <w:p w14:paraId="0972F5CB"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defende um papel mais importante para as tecnologias de transição</w:t>
      </w:r>
      <w:r>
        <w:t>, incluindo os veículos híbridos, os combustíveis renováveis sustentáveis e os materiais hipocarbónicos, bem como uma redução da dependência exclusiva das emissões pelo tubo de escape, a fim de permitir uma transição mais realista e socialmente equilibrada;</w:t>
      </w:r>
    </w:p>
    <w:p w14:paraId="1A4C34C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aplaude a maior flexibilidade das metas para 2030</w:t>
      </w:r>
      <w:r>
        <w:t>, incluindo o cumprimento plurianual, e solicita um apoio específico às infraestruturas de carregamento, à eletrificação da frota empresarial e aos veículos comerciais ligeiros, setores em que a aceitação pelo mercado continua a ser limitada;</w:t>
      </w:r>
    </w:p>
    <w:p w14:paraId="789098F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recomenda que se reforce a liderança industrial da UE</w:t>
      </w:r>
      <w:r>
        <w:t>, através de incentivos como o conteúdo «Fabricado na UE», do apoio ao aço hipocarbónico e de supercréditos alargados para veículos elétricos, a par de uma metodologia mais abrangente em matéria de emissões e de uma transição que assegure preços acessíveis e seja inclusiva e geradora de emprego.</w:t>
      </w:r>
    </w:p>
    <w:p w14:paraId="5E4844AB" w14:textId="77777777" w:rsidR="008E331E" w:rsidRPr="008E331E" w:rsidRDefault="008E331E" w:rsidP="004C6742">
      <w:pPr>
        <w:widowControl w:val="0"/>
        <w:overflowPunct w:val="0"/>
        <w:autoSpaceDE w:val="0"/>
        <w:autoSpaceDN w:val="0"/>
        <w:adjustRightInd w:val="0"/>
        <w:spacing w:line="276" w:lineRule="auto"/>
        <w:textAlignment w:val="baseline"/>
        <w:rPr>
          <w:szCs w:val="20"/>
          <w:lang w:val="en-GB"/>
        </w:rPr>
      </w:pP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670"/>
      </w:tblGrid>
      <w:tr w:rsidR="008E331E" w:rsidRPr="00FE552E" w14:paraId="1B085562" w14:textId="77777777" w:rsidTr="00FE552E">
        <w:tc>
          <w:tcPr>
            <w:tcW w:w="2093" w:type="dxa"/>
          </w:tcPr>
          <w:p w14:paraId="68F7AC07" w14:textId="77777777" w:rsidR="008E331E" w:rsidRPr="00FE552E" w:rsidRDefault="008E331E" w:rsidP="008E331E">
            <w:pPr>
              <w:overflowPunct w:val="0"/>
              <w:autoSpaceDE w:val="0"/>
              <w:autoSpaceDN w:val="0"/>
              <w:adjustRightInd w:val="0"/>
              <w:spacing w:line="240" w:lineRule="auto"/>
              <w:textAlignment w:val="baseline"/>
              <w:rPr>
                <w:i/>
                <w:sz w:val="22"/>
                <w:szCs w:val="22"/>
              </w:rPr>
            </w:pPr>
            <w:r w:rsidRPr="00FE552E">
              <w:rPr>
                <w:b/>
                <w:i/>
                <w:sz w:val="22"/>
                <w:szCs w:val="22"/>
              </w:rPr>
              <w:t>Contacto</w:t>
            </w:r>
          </w:p>
        </w:tc>
        <w:tc>
          <w:tcPr>
            <w:tcW w:w="5670" w:type="dxa"/>
          </w:tcPr>
          <w:p w14:paraId="008F7857" w14:textId="5A00880C" w:rsidR="008E331E" w:rsidRPr="00FE552E" w:rsidRDefault="008E331E" w:rsidP="008E331E">
            <w:pPr>
              <w:overflowPunct w:val="0"/>
              <w:autoSpaceDE w:val="0"/>
              <w:autoSpaceDN w:val="0"/>
              <w:adjustRightInd w:val="0"/>
              <w:spacing w:line="240" w:lineRule="auto"/>
              <w:textAlignment w:val="baseline"/>
              <w:rPr>
                <w:i/>
                <w:sz w:val="22"/>
                <w:szCs w:val="22"/>
              </w:rPr>
            </w:pPr>
            <w:r w:rsidRPr="00FE552E">
              <w:rPr>
                <w:i/>
                <w:sz w:val="22"/>
                <w:szCs w:val="22"/>
              </w:rPr>
              <w:t>Silvia Staffa</w:t>
            </w:r>
          </w:p>
        </w:tc>
      </w:tr>
      <w:tr w:rsidR="008E331E" w:rsidRPr="00FE552E" w14:paraId="0B08C9F9" w14:textId="77777777" w:rsidTr="00FE552E">
        <w:tc>
          <w:tcPr>
            <w:tcW w:w="2093" w:type="dxa"/>
          </w:tcPr>
          <w:p w14:paraId="29C057C9" w14:textId="77777777" w:rsidR="008E331E" w:rsidRPr="00FE552E" w:rsidRDefault="008E331E" w:rsidP="008E331E">
            <w:pPr>
              <w:overflowPunct w:val="0"/>
              <w:autoSpaceDE w:val="0"/>
              <w:autoSpaceDN w:val="0"/>
              <w:adjustRightInd w:val="0"/>
              <w:spacing w:line="240" w:lineRule="auto"/>
              <w:textAlignment w:val="baseline"/>
              <w:rPr>
                <w:i/>
                <w:sz w:val="22"/>
                <w:szCs w:val="22"/>
              </w:rPr>
            </w:pPr>
            <w:r w:rsidRPr="00FE552E">
              <w:rPr>
                <w:i/>
                <w:sz w:val="22"/>
                <w:szCs w:val="22"/>
              </w:rPr>
              <w:t>Tel.</w:t>
            </w:r>
          </w:p>
        </w:tc>
        <w:tc>
          <w:tcPr>
            <w:tcW w:w="5670" w:type="dxa"/>
          </w:tcPr>
          <w:p w14:paraId="52F48E6D" w14:textId="77777777" w:rsidR="008E331E" w:rsidRPr="00FE552E" w:rsidRDefault="008E331E" w:rsidP="008E331E">
            <w:pPr>
              <w:overflowPunct w:val="0"/>
              <w:autoSpaceDE w:val="0"/>
              <w:autoSpaceDN w:val="0"/>
              <w:adjustRightInd w:val="0"/>
              <w:spacing w:line="240" w:lineRule="auto"/>
              <w:textAlignment w:val="baseline"/>
              <w:rPr>
                <w:i/>
                <w:sz w:val="22"/>
                <w:szCs w:val="22"/>
              </w:rPr>
            </w:pPr>
            <w:r w:rsidRPr="00FE552E">
              <w:rPr>
                <w:i/>
                <w:sz w:val="22"/>
                <w:szCs w:val="22"/>
              </w:rPr>
              <w:t>+32 2 546 83 78</w:t>
            </w:r>
          </w:p>
        </w:tc>
      </w:tr>
      <w:tr w:rsidR="008E331E" w:rsidRPr="00FE552E" w14:paraId="5F4D2CBA" w14:textId="77777777" w:rsidTr="00FE552E">
        <w:tc>
          <w:tcPr>
            <w:tcW w:w="2093" w:type="dxa"/>
          </w:tcPr>
          <w:p w14:paraId="6B39137F" w14:textId="244E1F7A" w:rsidR="008E331E" w:rsidRPr="00FE552E" w:rsidRDefault="00C32E41" w:rsidP="008E331E">
            <w:pPr>
              <w:overflowPunct w:val="0"/>
              <w:autoSpaceDE w:val="0"/>
              <w:autoSpaceDN w:val="0"/>
              <w:adjustRightInd w:val="0"/>
              <w:spacing w:line="240" w:lineRule="auto"/>
              <w:textAlignment w:val="baseline"/>
              <w:rPr>
                <w:i/>
                <w:sz w:val="22"/>
                <w:szCs w:val="22"/>
              </w:rPr>
            </w:pPr>
            <w:r w:rsidRPr="00FE552E">
              <w:rPr>
                <w:i/>
                <w:sz w:val="22"/>
                <w:szCs w:val="22"/>
              </w:rPr>
              <w:t>Endereço eletrónico</w:t>
            </w:r>
          </w:p>
        </w:tc>
        <w:tc>
          <w:tcPr>
            <w:tcW w:w="5670" w:type="dxa"/>
          </w:tcPr>
          <w:p w14:paraId="07ADD844" w14:textId="77777777" w:rsidR="008E331E" w:rsidRPr="00FE552E" w:rsidRDefault="008D063E" w:rsidP="008E331E">
            <w:pPr>
              <w:overflowPunct w:val="0"/>
              <w:autoSpaceDE w:val="0"/>
              <w:autoSpaceDN w:val="0"/>
              <w:adjustRightInd w:val="0"/>
              <w:spacing w:line="240" w:lineRule="auto"/>
              <w:textAlignment w:val="baseline"/>
              <w:rPr>
                <w:i/>
                <w:sz w:val="22"/>
                <w:szCs w:val="22"/>
              </w:rPr>
            </w:pPr>
            <w:hyperlink r:id="rId33" w:history="1">
              <w:r w:rsidR="00A912EA" w:rsidRPr="00FE552E">
                <w:rPr>
                  <w:i/>
                  <w:color w:val="0000FF"/>
                  <w:sz w:val="22"/>
                  <w:szCs w:val="22"/>
                  <w:u w:val="single"/>
                </w:rPr>
                <w:t>Silvia.Staffa@eesc.europa.eu</w:t>
              </w:r>
            </w:hyperlink>
          </w:p>
          <w:p w14:paraId="334E5630" w14:textId="77777777" w:rsidR="008E331E" w:rsidRPr="00FE552E" w:rsidRDefault="008E331E" w:rsidP="008E331E">
            <w:pPr>
              <w:overflowPunct w:val="0"/>
              <w:autoSpaceDE w:val="0"/>
              <w:autoSpaceDN w:val="0"/>
              <w:adjustRightInd w:val="0"/>
              <w:spacing w:line="240" w:lineRule="auto"/>
              <w:textAlignment w:val="baseline"/>
              <w:rPr>
                <w:i/>
                <w:sz w:val="22"/>
                <w:szCs w:val="22"/>
              </w:rPr>
            </w:pPr>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221A2447" w:rsidR="00882D0D" w:rsidRPr="00E85346" w:rsidRDefault="008D063E" w:rsidP="004815E0">
      <w:pPr>
        <w:widowControl w:val="0"/>
        <w:numPr>
          <w:ilvl w:val="0"/>
          <w:numId w:val="15"/>
        </w:numPr>
        <w:overflowPunct w:val="0"/>
        <w:autoSpaceDE w:val="0"/>
        <w:autoSpaceDN w:val="0"/>
        <w:adjustRightInd w:val="0"/>
        <w:spacing w:after="200" w:line="276" w:lineRule="auto"/>
        <w:ind w:left="426" w:hanging="568"/>
        <w:contextualSpacing/>
        <w:jc w:val="left"/>
        <w:textAlignment w:val="baseline"/>
        <w:rPr>
          <w:b/>
          <w:i/>
          <w:sz w:val="28"/>
          <w:szCs w:val="28"/>
        </w:rPr>
      </w:pPr>
      <w:hyperlink r:id="rId34" w:tgtFrame="_blank" w:history="1">
        <w:r w:rsidR="00882D0D" w:rsidRPr="00E85346">
          <w:rPr>
            <w:b/>
            <w:i/>
            <w:color w:val="0000FF"/>
            <w:sz w:val="28"/>
            <w:szCs w:val="28"/>
            <w:u w:val="single"/>
          </w:rPr>
          <w:t>Avaliação do Regulamento (UE) 2019/1020 relativo à fiscalização do mercado e à conformidade dos produtos</w:t>
        </w:r>
      </w:hyperlink>
    </w:p>
    <w:p w14:paraId="3DC7A7FA" w14:textId="77777777" w:rsidR="002A0F5D" w:rsidRPr="00882D0D" w:rsidRDefault="002A0F5D" w:rsidP="004C6742">
      <w:pPr>
        <w:widowControl w:val="0"/>
        <w:overflowPunct w:val="0"/>
        <w:autoSpaceDE w:val="0"/>
        <w:autoSpaceDN w:val="0"/>
        <w:adjustRightInd w:val="0"/>
        <w:spacing w:after="200" w:line="276" w:lineRule="auto"/>
        <w:ind w:left="360"/>
        <w:contextualSpacing/>
        <w:jc w:val="left"/>
        <w:textAlignment w:val="baseline"/>
        <w:rPr>
          <w:b/>
          <w:i/>
          <w:sz w:val="32"/>
          <w:szCs w:val="32"/>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882D0D" w:rsidRPr="00882D0D" w14:paraId="5D4233BC" w14:textId="77777777" w:rsidTr="002E7EFB">
        <w:tc>
          <w:tcPr>
            <w:tcW w:w="1148" w:type="pct"/>
          </w:tcPr>
          <w:p w14:paraId="59FB1452" w14:textId="77777777" w:rsidR="00882D0D" w:rsidRPr="00E85346" w:rsidRDefault="00882D0D" w:rsidP="00882D0D">
            <w:pPr>
              <w:tabs>
                <w:tab w:val="center" w:pos="284"/>
              </w:tabs>
              <w:overflowPunct w:val="0"/>
              <w:autoSpaceDE w:val="0"/>
              <w:autoSpaceDN w:val="0"/>
              <w:adjustRightInd w:val="0"/>
              <w:ind w:left="266" w:hanging="376"/>
              <w:textAlignment w:val="baseline"/>
              <w:rPr>
                <w:b/>
                <w:sz w:val="22"/>
                <w:szCs w:val="22"/>
              </w:rPr>
            </w:pPr>
            <w:r w:rsidRPr="00E85346">
              <w:rPr>
                <w:b/>
                <w:sz w:val="22"/>
                <w:szCs w:val="22"/>
              </w:rPr>
              <w:t>Relatora</w:t>
            </w:r>
          </w:p>
          <w:p w14:paraId="1047859A" w14:textId="77777777" w:rsidR="00882D0D" w:rsidRPr="00E85346" w:rsidRDefault="00882D0D" w:rsidP="00882D0D">
            <w:pPr>
              <w:tabs>
                <w:tab w:val="center" w:pos="284"/>
              </w:tabs>
              <w:overflowPunct w:val="0"/>
              <w:autoSpaceDE w:val="0"/>
              <w:autoSpaceDN w:val="0"/>
              <w:adjustRightInd w:val="0"/>
              <w:ind w:left="266" w:hanging="376"/>
              <w:textAlignment w:val="baseline"/>
              <w:rPr>
                <w:b/>
                <w:sz w:val="22"/>
                <w:szCs w:val="22"/>
              </w:rPr>
            </w:pPr>
            <w:r w:rsidRPr="00E85346">
              <w:rPr>
                <w:b/>
                <w:sz w:val="22"/>
                <w:szCs w:val="22"/>
              </w:rPr>
              <w:t>Correlator</w:t>
            </w:r>
          </w:p>
        </w:tc>
        <w:tc>
          <w:tcPr>
            <w:tcW w:w="3852" w:type="pct"/>
          </w:tcPr>
          <w:p w14:paraId="22DD296F" w14:textId="5FEE8890" w:rsidR="00882D0D" w:rsidRPr="00E85346" w:rsidRDefault="00882D0D" w:rsidP="00882D0D">
            <w:pPr>
              <w:tabs>
                <w:tab w:val="center" w:pos="284"/>
              </w:tabs>
              <w:overflowPunct w:val="0"/>
              <w:autoSpaceDE w:val="0"/>
              <w:autoSpaceDN w:val="0"/>
              <w:adjustRightInd w:val="0"/>
              <w:ind w:left="266" w:hanging="266"/>
              <w:textAlignment w:val="baseline"/>
              <w:rPr>
                <w:sz w:val="22"/>
                <w:szCs w:val="22"/>
              </w:rPr>
            </w:pPr>
            <w:r w:rsidRPr="00E85346">
              <w:rPr>
                <w:sz w:val="22"/>
                <w:szCs w:val="22"/>
              </w:rPr>
              <w:t>Antje Gerstein (DE – Grupo dos Empregadores)</w:t>
            </w:r>
          </w:p>
          <w:p w14:paraId="198B3B8D" w14:textId="1C9D367D" w:rsidR="00882D0D" w:rsidRPr="00E85346" w:rsidRDefault="00882D0D" w:rsidP="00882D0D">
            <w:pPr>
              <w:tabs>
                <w:tab w:val="center" w:pos="284"/>
              </w:tabs>
              <w:overflowPunct w:val="0"/>
              <w:autoSpaceDE w:val="0"/>
              <w:autoSpaceDN w:val="0"/>
              <w:adjustRightInd w:val="0"/>
              <w:ind w:left="266" w:hanging="266"/>
              <w:textAlignment w:val="baseline"/>
              <w:rPr>
                <w:sz w:val="22"/>
                <w:szCs w:val="22"/>
              </w:rPr>
            </w:pPr>
            <w:r w:rsidRPr="00E85346">
              <w:rPr>
                <w:sz w:val="22"/>
                <w:szCs w:val="22"/>
              </w:rPr>
              <w:t>Anastasis Yiapanis (CY – Grupo das Organizações da Sociedade Civil)</w:t>
            </w:r>
          </w:p>
          <w:p w14:paraId="0D785ADB" w14:textId="77777777" w:rsidR="00882D0D" w:rsidRPr="00E85346" w:rsidRDefault="00882D0D" w:rsidP="00882D0D">
            <w:pPr>
              <w:tabs>
                <w:tab w:val="center" w:pos="284"/>
              </w:tabs>
              <w:overflowPunct w:val="0"/>
              <w:autoSpaceDE w:val="0"/>
              <w:autoSpaceDN w:val="0"/>
              <w:adjustRightInd w:val="0"/>
              <w:ind w:left="266" w:hanging="266"/>
              <w:textAlignment w:val="baseline"/>
              <w:rPr>
                <w:sz w:val="22"/>
                <w:szCs w:val="22"/>
                <w:lang w:val="fr-BE"/>
              </w:rPr>
            </w:pPr>
          </w:p>
        </w:tc>
      </w:tr>
      <w:tr w:rsidR="00882D0D" w:rsidRPr="00882D0D" w14:paraId="1AC48DDB" w14:textId="77777777" w:rsidTr="002E7EFB">
        <w:tc>
          <w:tcPr>
            <w:tcW w:w="1148" w:type="pct"/>
            <w:vMerge w:val="restart"/>
          </w:tcPr>
          <w:p w14:paraId="4FC7ABA2" w14:textId="77777777" w:rsidR="00882D0D" w:rsidRPr="00E85346" w:rsidRDefault="00882D0D" w:rsidP="00882D0D">
            <w:pPr>
              <w:tabs>
                <w:tab w:val="center" w:pos="284"/>
              </w:tabs>
              <w:overflowPunct w:val="0"/>
              <w:autoSpaceDE w:val="0"/>
              <w:autoSpaceDN w:val="0"/>
              <w:adjustRightInd w:val="0"/>
              <w:ind w:left="266" w:hanging="376"/>
              <w:textAlignment w:val="baseline"/>
              <w:rPr>
                <w:b/>
                <w:sz w:val="22"/>
                <w:szCs w:val="22"/>
              </w:rPr>
            </w:pPr>
            <w:r w:rsidRPr="00E85346">
              <w:rPr>
                <w:b/>
                <w:sz w:val="22"/>
                <w:szCs w:val="22"/>
              </w:rPr>
              <w:t>Referências</w:t>
            </w:r>
          </w:p>
        </w:tc>
        <w:tc>
          <w:tcPr>
            <w:tcW w:w="3852" w:type="pct"/>
          </w:tcPr>
          <w:p w14:paraId="15CC71FE" w14:textId="0F11AA03" w:rsidR="00E43713" w:rsidRPr="00E85346" w:rsidRDefault="00E43713" w:rsidP="00882D0D">
            <w:pPr>
              <w:tabs>
                <w:tab w:val="center" w:pos="284"/>
              </w:tabs>
              <w:overflowPunct w:val="0"/>
              <w:autoSpaceDE w:val="0"/>
              <w:autoSpaceDN w:val="0"/>
              <w:adjustRightInd w:val="0"/>
              <w:ind w:left="266" w:hanging="266"/>
              <w:textAlignment w:val="baseline"/>
              <w:rPr>
                <w:sz w:val="22"/>
                <w:szCs w:val="22"/>
              </w:rPr>
            </w:pPr>
            <w:r w:rsidRPr="00E85346">
              <w:rPr>
                <w:sz w:val="22"/>
                <w:szCs w:val="22"/>
              </w:rPr>
              <w:t>Relatório de avaliação</w:t>
            </w:r>
          </w:p>
          <w:p w14:paraId="3A1034C0" w14:textId="47DA1E62" w:rsidR="00882D0D" w:rsidRPr="00E85346" w:rsidRDefault="00882D0D" w:rsidP="00882D0D">
            <w:pPr>
              <w:tabs>
                <w:tab w:val="center" w:pos="284"/>
              </w:tabs>
              <w:overflowPunct w:val="0"/>
              <w:autoSpaceDE w:val="0"/>
              <w:autoSpaceDN w:val="0"/>
              <w:adjustRightInd w:val="0"/>
              <w:ind w:left="266" w:hanging="266"/>
              <w:textAlignment w:val="baseline"/>
              <w:rPr>
                <w:sz w:val="22"/>
                <w:szCs w:val="22"/>
              </w:rPr>
            </w:pPr>
            <w:r w:rsidRPr="00E85346">
              <w:rPr>
                <w:sz w:val="22"/>
                <w:szCs w:val="22"/>
              </w:rPr>
              <w:t>COM(2025) 63 final</w:t>
            </w:r>
          </w:p>
        </w:tc>
      </w:tr>
      <w:tr w:rsidR="00882D0D" w:rsidRPr="00882D0D" w14:paraId="301DB155" w14:textId="77777777" w:rsidTr="002E7EFB">
        <w:tc>
          <w:tcPr>
            <w:tcW w:w="1148" w:type="pct"/>
            <w:vMerge/>
          </w:tcPr>
          <w:p w14:paraId="0182D7D0" w14:textId="77777777" w:rsidR="00882D0D" w:rsidRPr="00E85346" w:rsidRDefault="00882D0D" w:rsidP="00882D0D">
            <w:pPr>
              <w:tabs>
                <w:tab w:val="center" w:pos="284"/>
              </w:tabs>
              <w:overflowPunct w:val="0"/>
              <w:autoSpaceDE w:val="0"/>
              <w:autoSpaceDN w:val="0"/>
              <w:adjustRightInd w:val="0"/>
              <w:ind w:left="266" w:hanging="266"/>
              <w:textAlignment w:val="baseline"/>
              <w:rPr>
                <w:b/>
                <w:sz w:val="22"/>
                <w:szCs w:val="22"/>
              </w:rPr>
            </w:pPr>
          </w:p>
        </w:tc>
        <w:tc>
          <w:tcPr>
            <w:tcW w:w="3852" w:type="pct"/>
          </w:tcPr>
          <w:p w14:paraId="139E0475" w14:textId="23675999" w:rsidR="00882D0D" w:rsidRPr="00E85346" w:rsidRDefault="00882D0D" w:rsidP="00882D0D">
            <w:pPr>
              <w:tabs>
                <w:tab w:val="center" w:pos="284"/>
              </w:tabs>
              <w:overflowPunct w:val="0"/>
              <w:autoSpaceDE w:val="0"/>
              <w:autoSpaceDN w:val="0"/>
              <w:adjustRightInd w:val="0"/>
              <w:ind w:left="266" w:hanging="266"/>
              <w:textAlignment w:val="baseline"/>
              <w:rPr>
                <w:sz w:val="22"/>
                <w:szCs w:val="22"/>
              </w:rPr>
            </w:pPr>
            <w:r w:rsidRPr="00E85346">
              <w:rPr>
                <w:sz w:val="22"/>
                <w:szCs w:val="22"/>
              </w:rPr>
              <w:t>EESC-2025-003345-00-00-RE</w:t>
            </w:r>
          </w:p>
        </w:tc>
      </w:tr>
    </w:tbl>
    <w:p w14:paraId="7E28CB07"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Pontos principais</w:t>
      </w:r>
    </w:p>
    <w:p w14:paraId="7E01B620"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lang w:val="en-GB"/>
        </w:rPr>
      </w:pPr>
    </w:p>
    <w:p w14:paraId="22B4E57C" w14:textId="77777777" w:rsidR="00882D0D" w:rsidRPr="00882D0D" w:rsidRDefault="00882D0D" w:rsidP="00882D0D">
      <w:pPr>
        <w:overflowPunct w:val="0"/>
        <w:autoSpaceDE w:val="0"/>
        <w:autoSpaceDN w:val="0"/>
        <w:adjustRightInd w:val="0"/>
        <w:textAlignment w:val="baseline"/>
        <w:rPr>
          <w:bCs/>
          <w:iCs/>
        </w:rPr>
      </w:pPr>
      <w:r>
        <w:t>O Comité Económico e Social Europeu recomenda:</w:t>
      </w:r>
    </w:p>
    <w:p w14:paraId="10D48344" w14:textId="77777777" w:rsidR="00882D0D" w:rsidRPr="00882D0D" w:rsidRDefault="00882D0D" w:rsidP="00882D0D">
      <w:pPr>
        <w:overflowPunct w:val="0"/>
        <w:autoSpaceDE w:val="0"/>
        <w:autoSpaceDN w:val="0"/>
        <w:adjustRightInd w:val="0"/>
        <w:textAlignment w:val="baseline"/>
        <w:rPr>
          <w:bCs/>
          <w:iCs/>
          <w:lang w:val="en-GB"/>
        </w:rPr>
      </w:pPr>
    </w:p>
    <w:p w14:paraId="43BC8A8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promover a adoção de um ato legislativo europeu consolidado sobre os produtos;</w:t>
      </w:r>
    </w:p>
    <w:p w14:paraId="331BAAD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assegurar a coerência entre o Regulamento Fiscalização do Mercado, o Regulamento Segurança Geral dos Produtos, a legislação setorial específica e o Código Aduaneiro da União;</w:t>
      </w:r>
    </w:p>
    <w:p w14:paraId="47770594"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reforçar a cooperação estruturada entre as autoridades aduaneiras e as autoridades de fiscalização do mercado;</w:t>
      </w:r>
    </w:p>
    <w:p w14:paraId="3C1DCD11"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que as futuras revisões do Regulamento Fiscalização do Mercado abordem as características específicas da inteligência artificial e de outras tecnologias digitais;</w:t>
      </w:r>
    </w:p>
    <w:p w14:paraId="5E50D7E5"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assegurar que as autoridades aduaneiras e de fiscalização do mercado dispõem de recursos humanos e financeiros adequados, previsíveis e baseados no desempenho, em conjugação com indicadores de execução mensuráveis;</w:t>
      </w:r>
    </w:p>
    <w:p w14:paraId="5E775A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dotar as autoridades nacionais de instrumentos de execução eficazes, proporcionados e dissuasivos;</w:t>
      </w:r>
    </w:p>
    <w:p w14:paraId="23D44F67"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criar uma capacidade europeia reforçada de aplicação da legislação capaz de fazer face aos riscos sistémicos transfronteiriços e aos fluxos comerciais digitais em grande escala; </w:t>
      </w:r>
    </w:p>
    <w:p w14:paraId="22F6F36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adotar um quadro claro de aplicação baseado no risco;</w:t>
      </w:r>
    </w:p>
    <w:p w14:paraId="76E510E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alinhar o quadro de aplicação do Regulamento Fiscalização do Mercado com a lógica estabelecida no Regulamento dos Serviços Digitais, introduzindo responsabilidades adicionais proporcionadas para os intervenientes cuja escala gere riscos sistémicos de conformidade;</w:t>
      </w:r>
    </w:p>
    <w:p w14:paraId="4CC6879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desenvolver um quadro estruturado de parcerias para o cumprimento da legislação que permita às autoridades trabalharem proativamente com os agentes económicos;</w:t>
      </w:r>
    </w:p>
    <w:p w14:paraId="774CC10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tornar o Regulamento Fiscalização do Mercado mais proporcionado e acessível tendo em vista as PME e as microempresas;</w:t>
      </w:r>
    </w:p>
    <w:p w14:paraId="569668E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criar um observatório europeu dos produtos não conformes;</w:t>
      </w:r>
    </w:p>
    <w:p w14:paraId="6343892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clarificar a cadeia de responsabilidades e torná-la operacional, introduzindo critérios mínimos de qualidade para os mandatários;</w:t>
      </w:r>
    </w:p>
    <w:p w14:paraId="30F2C8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melhorar a interoperabilidade entre o Sistema de Informação e Comunicação para a Fiscalização do Mercado (ICSMS), o sistema de alerta rápido Safety Gate, as bases de dados aduaneiras e outros sistemas pertinentes;</w:t>
      </w:r>
    </w:p>
    <w:p w14:paraId="6CFF330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assegurar a publicação e a divulgação regulares e acessíveis dos resultados da aplicação da legislação;</w:t>
      </w:r>
    </w:p>
    <w:p w14:paraId="1556111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reforçar a participação estruturada da sociedade civil e dos parceiros sociais (mecanismos de consulta formais, plataformas de diálogo permanente, participação precoce na evolução legislativa </w:t>
      </w:r>
      <w:r>
        <w:lastRenderedPageBreak/>
        <w:t>e um melhor acesso à informação, bem como a interfaces digitais destinadas à interação com as autoridades);</w:t>
      </w:r>
    </w:p>
    <w:p w14:paraId="21DADFB3"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prestar apoio à capacitação e formação específica tanto das autoridades como dos intervenientes da sociedade civil;</w:t>
      </w:r>
    </w:p>
    <w:p w14:paraId="64C493E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introduzir ferramentas simples e eficazes para denunciar a publicidade fraudulenta.</w:t>
      </w:r>
    </w:p>
    <w:p w14:paraId="646B798F" w14:textId="77777777" w:rsidR="00882D0D" w:rsidRPr="00882D0D" w:rsidRDefault="00882D0D" w:rsidP="00B37567">
      <w:pPr>
        <w:widowControl w:val="0"/>
        <w:overflowPunct w:val="0"/>
        <w:autoSpaceDE w:val="0"/>
        <w:autoSpaceDN w:val="0"/>
        <w:adjustRightInd w:val="0"/>
        <w:ind w:left="567"/>
        <w:textAlignment w:val="baseline"/>
        <w:rPr>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882D0D" w:rsidRPr="00882D0D" w14:paraId="027E516E" w14:textId="77777777" w:rsidTr="002E7EFB">
        <w:tc>
          <w:tcPr>
            <w:tcW w:w="1556" w:type="pct"/>
          </w:tcPr>
          <w:p w14:paraId="05333F4F" w14:textId="77777777" w:rsidR="00882D0D" w:rsidRPr="00E85346" w:rsidRDefault="00882D0D" w:rsidP="00882D0D">
            <w:pPr>
              <w:overflowPunct w:val="0"/>
              <w:autoSpaceDE w:val="0"/>
              <w:autoSpaceDN w:val="0"/>
              <w:adjustRightInd w:val="0"/>
              <w:spacing w:line="240" w:lineRule="auto"/>
              <w:textAlignment w:val="baseline"/>
              <w:rPr>
                <w:i/>
                <w:sz w:val="22"/>
                <w:szCs w:val="22"/>
              </w:rPr>
            </w:pPr>
            <w:r w:rsidRPr="00E85346">
              <w:rPr>
                <w:b/>
                <w:i/>
                <w:sz w:val="22"/>
                <w:szCs w:val="22"/>
              </w:rPr>
              <w:t>Contacto</w:t>
            </w:r>
          </w:p>
        </w:tc>
        <w:tc>
          <w:tcPr>
            <w:tcW w:w="3444" w:type="pct"/>
          </w:tcPr>
          <w:p w14:paraId="1A10684F" w14:textId="77777777" w:rsidR="00882D0D" w:rsidRPr="00E85346" w:rsidRDefault="00882D0D" w:rsidP="00882D0D">
            <w:pPr>
              <w:overflowPunct w:val="0"/>
              <w:autoSpaceDE w:val="0"/>
              <w:autoSpaceDN w:val="0"/>
              <w:adjustRightInd w:val="0"/>
              <w:spacing w:line="240" w:lineRule="auto"/>
              <w:textAlignment w:val="baseline"/>
              <w:rPr>
                <w:i/>
                <w:sz w:val="22"/>
                <w:szCs w:val="22"/>
              </w:rPr>
            </w:pPr>
            <w:r w:rsidRPr="00E85346">
              <w:rPr>
                <w:i/>
                <w:sz w:val="22"/>
                <w:szCs w:val="22"/>
              </w:rPr>
              <w:t>Annalisa Tessarolo</w:t>
            </w:r>
          </w:p>
        </w:tc>
      </w:tr>
      <w:tr w:rsidR="00882D0D" w:rsidRPr="00882D0D" w14:paraId="48F3F374" w14:textId="77777777" w:rsidTr="002E7EFB">
        <w:tc>
          <w:tcPr>
            <w:tcW w:w="1556" w:type="pct"/>
          </w:tcPr>
          <w:p w14:paraId="43069B50" w14:textId="77777777" w:rsidR="00882D0D" w:rsidRPr="00E85346" w:rsidRDefault="00882D0D" w:rsidP="00882D0D">
            <w:pPr>
              <w:overflowPunct w:val="0"/>
              <w:autoSpaceDE w:val="0"/>
              <w:autoSpaceDN w:val="0"/>
              <w:adjustRightInd w:val="0"/>
              <w:spacing w:line="240" w:lineRule="auto"/>
              <w:textAlignment w:val="baseline"/>
              <w:rPr>
                <w:i/>
                <w:sz w:val="22"/>
                <w:szCs w:val="22"/>
              </w:rPr>
            </w:pPr>
            <w:r w:rsidRPr="00E85346">
              <w:rPr>
                <w:i/>
                <w:sz w:val="22"/>
                <w:szCs w:val="22"/>
              </w:rPr>
              <w:t>Tel.</w:t>
            </w:r>
          </w:p>
        </w:tc>
        <w:tc>
          <w:tcPr>
            <w:tcW w:w="3444" w:type="pct"/>
          </w:tcPr>
          <w:p w14:paraId="6F81284D" w14:textId="77777777" w:rsidR="00882D0D" w:rsidRPr="00E85346" w:rsidRDefault="00882D0D" w:rsidP="00882D0D">
            <w:pPr>
              <w:overflowPunct w:val="0"/>
              <w:autoSpaceDE w:val="0"/>
              <w:autoSpaceDN w:val="0"/>
              <w:adjustRightInd w:val="0"/>
              <w:spacing w:line="240" w:lineRule="auto"/>
              <w:textAlignment w:val="baseline"/>
              <w:rPr>
                <w:i/>
                <w:sz w:val="22"/>
                <w:szCs w:val="22"/>
              </w:rPr>
            </w:pPr>
            <w:r w:rsidRPr="00E85346">
              <w:rPr>
                <w:i/>
                <w:sz w:val="22"/>
                <w:szCs w:val="22"/>
              </w:rPr>
              <w:t>+32 2 546 97 32</w:t>
            </w:r>
          </w:p>
        </w:tc>
      </w:tr>
      <w:tr w:rsidR="00882D0D" w:rsidRPr="00882D0D" w14:paraId="2E49B53D" w14:textId="77777777" w:rsidTr="002E7EFB">
        <w:tc>
          <w:tcPr>
            <w:tcW w:w="1556" w:type="pct"/>
          </w:tcPr>
          <w:p w14:paraId="51CF8F1E" w14:textId="7C3F724C" w:rsidR="00882D0D" w:rsidRPr="00E85346" w:rsidRDefault="00B37567" w:rsidP="00882D0D">
            <w:pPr>
              <w:overflowPunct w:val="0"/>
              <w:autoSpaceDE w:val="0"/>
              <w:autoSpaceDN w:val="0"/>
              <w:adjustRightInd w:val="0"/>
              <w:spacing w:line="240" w:lineRule="auto"/>
              <w:textAlignment w:val="baseline"/>
              <w:rPr>
                <w:i/>
                <w:sz w:val="22"/>
                <w:szCs w:val="22"/>
              </w:rPr>
            </w:pPr>
            <w:r w:rsidRPr="00E85346">
              <w:rPr>
                <w:i/>
                <w:sz w:val="22"/>
                <w:szCs w:val="22"/>
              </w:rPr>
              <w:t>Endereço eletrónico</w:t>
            </w:r>
          </w:p>
        </w:tc>
        <w:tc>
          <w:tcPr>
            <w:tcW w:w="3444" w:type="pct"/>
          </w:tcPr>
          <w:p w14:paraId="22B253E8" w14:textId="77777777" w:rsidR="00882D0D" w:rsidRPr="00E85346" w:rsidRDefault="008D063E" w:rsidP="00882D0D">
            <w:pPr>
              <w:overflowPunct w:val="0"/>
              <w:autoSpaceDE w:val="0"/>
              <w:autoSpaceDN w:val="0"/>
              <w:adjustRightInd w:val="0"/>
              <w:spacing w:line="240" w:lineRule="auto"/>
              <w:textAlignment w:val="baseline"/>
              <w:rPr>
                <w:i/>
                <w:iCs/>
                <w:sz w:val="22"/>
                <w:szCs w:val="22"/>
              </w:rPr>
            </w:pPr>
            <w:hyperlink r:id="rId35" w:history="1">
              <w:r w:rsidR="00A912EA" w:rsidRPr="00E85346">
                <w:rPr>
                  <w:i/>
                  <w:color w:val="0000FF"/>
                  <w:sz w:val="22"/>
                  <w:szCs w:val="22"/>
                  <w:u w:val="single"/>
                </w:rPr>
                <w:t>Annalisa.Tessarolo@eesc.europa.eu</w:t>
              </w:r>
            </w:hyperlink>
          </w:p>
        </w:tc>
      </w:tr>
    </w:tbl>
    <w:p w14:paraId="5CBAA359" w14:textId="1C551085" w:rsidR="00A067F3" w:rsidRDefault="00A067F3">
      <w:pPr>
        <w:spacing w:after="160" w:line="259" w:lineRule="auto"/>
        <w:jc w:val="left"/>
        <w:rPr>
          <w:szCs w:val="20"/>
          <w:lang w:val="nl-BE"/>
        </w:rPr>
      </w:pPr>
    </w:p>
    <w:p w14:paraId="0667917E" w14:textId="77777777" w:rsidR="00A067F3" w:rsidRDefault="00A067F3">
      <w:pPr>
        <w:spacing w:after="160" w:line="259" w:lineRule="auto"/>
        <w:jc w:val="left"/>
        <w:rPr>
          <w:szCs w:val="20"/>
        </w:rPr>
      </w:pPr>
      <w:r>
        <w:br w:type="page"/>
      </w:r>
    </w:p>
    <w:p w14:paraId="1D1D0069" w14:textId="2910BB3B" w:rsidR="007C6EFD" w:rsidRDefault="007C6EFD">
      <w:pPr>
        <w:spacing w:after="160" w:line="259" w:lineRule="auto"/>
        <w:jc w:val="left"/>
      </w:pPr>
    </w:p>
    <w:p w14:paraId="58C55E8F" w14:textId="45F5002C" w:rsidR="00426604" w:rsidRPr="00426604" w:rsidRDefault="008D063E" w:rsidP="00426604">
      <w:pPr>
        <w:widowControl w:val="0"/>
        <w:numPr>
          <w:ilvl w:val="0"/>
          <w:numId w:val="4"/>
        </w:numPr>
        <w:overflowPunct w:val="0"/>
        <w:autoSpaceDE w:val="0"/>
        <w:autoSpaceDN w:val="0"/>
        <w:adjustRightInd w:val="0"/>
        <w:ind w:hanging="567"/>
        <w:textAlignment w:val="baseline"/>
        <w:rPr>
          <w:sz w:val="20"/>
          <w:szCs w:val="20"/>
        </w:rPr>
      </w:pPr>
      <w:hyperlink r:id="rId36" w:history="1">
        <w:r w:rsidR="00A912EA">
          <w:rPr>
            <w:b/>
            <w:i/>
            <w:color w:val="0000FF"/>
            <w:sz w:val="28"/>
            <w:u w:val="single"/>
          </w:rPr>
          <w:t>Agenda do Consumidor 2030</w:t>
        </w:r>
      </w:hyperlink>
    </w:p>
    <w:p w14:paraId="26C97129"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426604" w:rsidRPr="00426604" w14:paraId="7FCA49AB" w14:textId="77777777" w:rsidTr="002E7EFB">
        <w:tc>
          <w:tcPr>
            <w:tcW w:w="1701" w:type="dxa"/>
          </w:tcPr>
          <w:p w14:paraId="19070A3D" w14:textId="77777777" w:rsidR="00426604" w:rsidRPr="00F41F1D" w:rsidRDefault="00426604" w:rsidP="00426604">
            <w:pPr>
              <w:tabs>
                <w:tab w:val="center" w:pos="284"/>
              </w:tabs>
              <w:overflowPunct w:val="0"/>
              <w:autoSpaceDE w:val="0"/>
              <w:autoSpaceDN w:val="0"/>
              <w:adjustRightInd w:val="0"/>
              <w:ind w:left="266" w:hanging="266"/>
              <w:textAlignment w:val="baseline"/>
              <w:rPr>
                <w:b/>
                <w:sz w:val="22"/>
                <w:szCs w:val="22"/>
              </w:rPr>
            </w:pPr>
            <w:r w:rsidRPr="00F41F1D">
              <w:rPr>
                <w:b/>
                <w:sz w:val="22"/>
                <w:szCs w:val="22"/>
              </w:rPr>
              <w:t>Relator</w:t>
            </w:r>
          </w:p>
        </w:tc>
        <w:tc>
          <w:tcPr>
            <w:tcW w:w="5812" w:type="dxa"/>
          </w:tcPr>
          <w:p w14:paraId="3E207F8E" w14:textId="63147845" w:rsidR="00426604" w:rsidRPr="00F41F1D" w:rsidRDefault="00426604" w:rsidP="00426604">
            <w:pPr>
              <w:tabs>
                <w:tab w:val="center" w:pos="284"/>
              </w:tabs>
              <w:overflowPunct w:val="0"/>
              <w:autoSpaceDE w:val="0"/>
              <w:autoSpaceDN w:val="0"/>
              <w:adjustRightInd w:val="0"/>
              <w:ind w:left="266" w:hanging="266"/>
              <w:textAlignment w:val="baseline"/>
              <w:rPr>
                <w:sz w:val="22"/>
                <w:szCs w:val="22"/>
              </w:rPr>
            </w:pPr>
            <w:r w:rsidRPr="00F41F1D">
              <w:rPr>
                <w:sz w:val="22"/>
                <w:szCs w:val="22"/>
              </w:rPr>
              <w:t>Thierry Libaert (FR – Grupo das Organizações da Sociedade Civil)</w:t>
            </w:r>
          </w:p>
        </w:tc>
      </w:tr>
      <w:tr w:rsidR="00426604" w:rsidRPr="00426604" w14:paraId="55BCB3CD" w14:textId="77777777" w:rsidTr="002E7EFB">
        <w:tc>
          <w:tcPr>
            <w:tcW w:w="7513" w:type="dxa"/>
            <w:gridSpan w:val="2"/>
          </w:tcPr>
          <w:p w14:paraId="0E791238" w14:textId="77777777" w:rsidR="00426604" w:rsidRPr="00F41F1D" w:rsidRDefault="00426604" w:rsidP="00426604">
            <w:pPr>
              <w:tabs>
                <w:tab w:val="center" w:pos="284"/>
              </w:tabs>
              <w:overflowPunct w:val="0"/>
              <w:autoSpaceDE w:val="0"/>
              <w:autoSpaceDN w:val="0"/>
              <w:adjustRightInd w:val="0"/>
              <w:spacing w:line="160" w:lineRule="exact"/>
              <w:ind w:left="266" w:hanging="266"/>
              <w:textAlignment w:val="baseline"/>
              <w:rPr>
                <w:sz w:val="22"/>
                <w:szCs w:val="22"/>
              </w:rPr>
            </w:pPr>
          </w:p>
        </w:tc>
      </w:tr>
      <w:tr w:rsidR="00426604" w:rsidRPr="00426604" w14:paraId="0E79D1B5" w14:textId="77777777" w:rsidTr="002E7EFB">
        <w:tc>
          <w:tcPr>
            <w:tcW w:w="1701" w:type="dxa"/>
            <w:vMerge w:val="restart"/>
          </w:tcPr>
          <w:p w14:paraId="434AA7EC" w14:textId="77777777" w:rsidR="00426604" w:rsidRPr="00F41F1D" w:rsidRDefault="00426604" w:rsidP="00426604">
            <w:pPr>
              <w:tabs>
                <w:tab w:val="center" w:pos="284"/>
              </w:tabs>
              <w:overflowPunct w:val="0"/>
              <w:autoSpaceDE w:val="0"/>
              <w:autoSpaceDN w:val="0"/>
              <w:adjustRightInd w:val="0"/>
              <w:ind w:left="266" w:hanging="266"/>
              <w:textAlignment w:val="baseline"/>
              <w:rPr>
                <w:b/>
                <w:sz w:val="22"/>
                <w:szCs w:val="22"/>
              </w:rPr>
            </w:pPr>
            <w:r w:rsidRPr="00F41F1D">
              <w:rPr>
                <w:b/>
                <w:sz w:val="22"/>
                <w:szCs w:val="22"/>
              </w:rPr>
              <w:t>Referências</w:t>
            </w:r>
          </w:p>
        </w:tc>
        <w:tc>
          <w:tcPr>
            <w:tcW w:w="5812" w:type="dxa"/>
          </w:tcPr>
          <w:p w14:paraId="2218EA85" w14:textId="77777777" w:rsidR="00426604" w:rsidRPr="00F41F1D" w:rsidRDefault="00426604" w:rsidP="00426604">
            <w:pPr>
              <w:tabs>
                <w:tab w:val="center" w:pos="284"/>
              </w:tabs>
              <w:overflowPunct w:val="0"/>
              <w:autoSpaceDE w:val="0"/>
              <w:autoSpaceDN w:val="0"/>
              <w:adjustRightInd w:val="0"/>
              <w:ind w:left="266" w:hanging="266"/>
              <w:textAlignment w:val="baseline"/>
              <w:rPr>
                <w:sz w:val="22"/>
                <w:szCs w:val="22"/>
              </w:rPr>
            </w:pPr>
            <w:r w:rsidRPr="00F41F1D">
              <w:rPr>
                <w:sz w:val="22"/>
                <w:szCs w:val="22"/>
              </w:rPr>
              <w:t>COM(2025) 848 final</w:t>
            </w:r>
          </w:p>
          <w:p w14:paraId="30E9A55E" w14:textId="77777777" w:rsidR="00426604" w:rsidRPr="00F41F1D" w:rsidRDefault="00426604" w:rsidP="00426604">
            <w:pPr>
              <w:tabs>
                <w:tab w:val="center" w:pos="284"/>
              </w:tabs>
              <w:overflowPunct w:val="0"/>
              <w:autoSpaceDE w:val="0"/>
              <w:autoSpaceDN w:val="0"/>
              <w:adjustRightInd w:val="0"/>
              <w:ind w:left="266" w:hanging="266"/>
              <w:textAlignment w:val="baseline"/>
              <w:rPr>
                <w:sz w:val="22"/>
                <w:szCs w:val="22"/>
              </w:rPr>
            </w:pPr>
            <w:r w:rsidRPr="00F41F1D">
              <w:rPr>
                <w:sz w:val="22"/>
                <w:szCs w:val="22"/>
              </w:rPr>
              <w:t>EESC-2025-03969-00-00-AC</w:t>
            </w:r>
          </w:p>
        </w:tc>
      </w:tr>
      <w:tr w:rsidR="00426604" w:rsidRPr="00426604" w14:paraId="020B5F42" w14:textId="77777777" w:rsidTr="002E7EFB">
        <w:tc>
          <w:tcPr>
            <w:tcW w:w="1701" w:type="dxa"/>
            <w:vMerge/>
          </w:tcPr>
          <w:p w14:paraId="726EB5F6"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p>
        </w:tc>
        <w:tc>
          <w:tcPr>
            <w:tcW w:w="5812" w:type="dxa"/>
          </w:tcPr>
          <w:p w14:paraId="1C479AD3" w14:textId="77777777" w:rsidR="00426604" w:rsidRPr="00426604" w:rsidRDefault="00426604" w:rsidP="00426604">
            <w:pPr>
              <w:tabs>
                <w:tab w:val="center" w:pos="284"/>
              </w:tabs>
              <w:overflowPunct w:val="0"/>
              <w:autoSpaceDE w:val="0"/>
              <w:autoSpaceDN w:val="0"/>
              <w:adjustRightInd w:val="0"/>
              <w:ind w:left="266" w:hanging="266"/>
              <w:textAlignment w:val="baseline"/>
            </w:pP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Pontos principais</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O Comité Económico e Social Europeu:</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congratula-se com a Agenda do Consumidor 2025-2030, tratando-se de um excelente texto de enquadramento em matéria de proteção dos consumidores para os próximos anos, tanto na forma como no conteúdo;</w:t>
      </w:r>
    </w:p>
    <w:p w14:paraId="5F03BEB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gostaria que a Comissão pudesse propor uma abordagem mais global para os consumidores, que não se cinja a uma questão de direitos;</w:t>
      </w:r>
    </w:p>
    <w:p w14:paraId="2DB8C1F5"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acolheria com agrado uma avaliação estruturada, pormenorizada e baseada em dados da agenda anterior, a fim de permitir uma avaliação mais abrangente;</w:t>
      </w:r>
    </w:p>
    <w:p w14:paraId="23F5AC6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pPr>
      <w:r>
        <w:t>apoia as medidas de simplificação, mas salienta que nenhuma dessas medidas deve ter como efeito a redução da proteção dos consumidores;</w:t>
      </w:r>
    </w:p>
    <w:p w14:paraId="22E46B9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considera que a proteção dos consumidores deve necessariamente ter em conta a diversidade de situações, nomeadamente no que diz respeito aos desertos comerciais e à vulnerabilidade de certos tipos de consumidores;</w:t>
      </w:r>
    </w:p>
    <w:p w14:paraId="3000A78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gostaria de ver uma maior rapidez e intensidade no que respeita ao controlo da perigosidade dos produtos importados, nomeadamente através de plataformas de comércio em linha situadas fora da União Europeia;</w:t>
      </w:r>
    </w:p>
    <w:p w14:paraId="24286CF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solicita que se preste maior atenção às práticas de microjustiça, a fim de resolver litígios que envolvam pequenos montantes;</w:t>
      </w:r>
    </w:p>
    <w:p w14:paraId="3DE9280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apoia as medidas de digitalização, mas solicita que, para qualquer reclamação, o consumidor tenha sempre à sua disposição um interlocutor humano em último recurso para responder às suas perguntas;</w:t>
      </w:r>
    </w:p>
    <w:p w14:paraId="34B18EC1"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insta a Comissão a aumentar o seu nível de interesse na circularidade e na sustentabilidade dos produtos;</w:t>
      </w:r>
    </w:p>
    <w:p w14:paraId="1ABE3F6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recomenda o estabelecimento de uma política forte de proteção dos consumidores face às mensagens comerciais veiculadas por influenciadores, em particular quando estas são dirigidas a crianças;</w:t>
      </w:r>
    </w:p>
    <w:p w14:paraId="0F934297"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incentiva os Estados-Membros a apoiarem as associações de consumidores.</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670"/>
      </w:tblGrid>
      <w:tr w:rsidR="00426604" w:rsidRPr="00F41F1D" w14:paraId="1EC4B28B" w14:textId="77777777" w:rsidTr="00F41F1D">
        <w:tc>
          <w:tcPr>
            <w:tcW w:w="2235" w:type="dxa"/>
          </w:tcPr>
          <w:p w14:paraId="65444A1C" w14:textId="77777777" w:rsidR="00426604" w:rsidRPr="00F41F1D" w:rsidRDefault="00426604" w:rsidP="00426604">
            <w:pPr>
              <w:overflowPunct w:val="0"/>
              <w:autoSpaceDE w:val="0"/>
              <w:autoSpaceDN w:val="0"/>
              <w:adjustRightInd w:val="0"/>
              <w:spacing w:line="240" w:lineRule="auto"/>
              <w:textAlignment w:val="baseline"/>
              <w:rPr>
                <w:i/>
                <w:sz w:val="22"/>
                <w:szCs w:val="22"/>
              </w:rPr>
            </w:pPr>
            <w:r w:rsidRPr="00F41F1D">
              <w:rPr>
                <w:b/>
                <w:i/>
                <w:sz w:val="22"/>
                <w:szCs w:val="22"/>
              </w:rPr>
              <w:t>Contacto</w:t>
            </w:r>
          </w:p>
        </w:tc>
        <w:tc>
          <w:tcPr>
            <w:tcW w:w="5670" w:type="dxa"/>
          </w:tcPr>
          <w:p w14:paraId="07DC0551" w14:textId="77777777" w:rsidR="00426604" w:rsidRPr="00F41F1D" w:rsidRDefault="00426604" w:rsidP="00426604">
            <w:pPr>
              <w:overflowPunct w:val="0"/>
              <w:autoSpaceDE w:val="0"/>
              <w:autoSpaceDN w:val="0"/>
              <w:adjustRightInd w:val="0"/>
              <w:spacing w:line="240" w:lineRule="auto"/>
              <w:textAlignment w:val="baseline"/>
              <w:rPr>
                <w:i/>
                <w:sz w:val="22"/>
                <w:szCs w:val="22"/>
              </w:rPr>
            </w:pPr>
            <w:r w:rsidRPr="00F41F1D">
              <w:rPr>
                <w:i/>
                <w:sz w:val="22"/>
                <w:szCs w:val="22"/>
              </w:rPr>
              <w:t>Radoslava Stefankova</w:t>
            </w:r>
          </w:p>
        </w:tc>
      </w:tr>
      <w:tr w:rsidR="00426604" w:rsidRPr="00F41F1D" w14:paraId="1EEA77FB" w14:textId="77777777" w:rsidTr="00F41F1D">
        <w:tc>
          <w:tcPr>
            <w:tcW w:w="2235" w:type="dxa"/>
          </w:tcPr>
          <w:p w14:paraId="7B024839" w14:textId="77777777" w:rsidR="00426604" w:rsidRPr="00F41F1D" w:rsidRDefault="00426604" w:rsidP="00426604">
            <w:pPr>
              <w:overflowPunct w:val="0"/>
              <w:autoSpaceDE w:val="0"/>
              <w:autoSpaceDN w:val="0"/>
              <w:adjustRightInd w:val="0"/>
              <w:spacing w:line="240" w:lineRule="auto"/>
              <w:textAlignment w:val="baseline"/>
              <w:rPr>
                <w:i/>
                <w:sz w:val="22"/>
                <w:szCs w:val="22"/>
              </w:rPr>
            </w:pPr>
            <w:r w:rsidRPr="00F41F1D">
              <w:rPr>
                <w:i/>
                <w:sz w:val="22"/>
                <w:szCs w:val="22"/>
              </w:rPr>
              <w:t>Tel.</w:t>
            </w:r>
          </w:p>
        </w:tc>
        <w:tc>
          <w:tcPr>
            <w:tcW w:w="5670" w:type="dxa"/>
          </w:tcPr>
          <w:p w14:paraId="2199A8B9" w14:textId="77777777" w:rsidR="00426604" w:rsidRPr="00F41F1D" w:rsidRDefault="00426604" w:rsidP="00426604">
            <w:pPr>
              <w:overflowPunct w:val="0"/>
              <w:autoSpaceDE w:val="0"/>
              <w:autoSpaceDN w:val="0"/>
              <w:adjustRightInd w:val="0"/>
              <w:spacing w:line="240" w:lineRule="auto"/>
              <w:textAlignment w:val="baseline"/>
              <w:rPr>
                <w:i/>
                <w:sz w:val="22"/>
                <w:szCs w:val="22"/>
              </w:rPr>
            </w:pPr>
            <w:r w:rsidRPr="00F41F1D">
              <w:rPr>
                <w:i/>
                <w:sz w:val="22"/>
                <w:szCs w:val="22"/>
              </w:rPr>
              <w:t>+32 2 546 81 88</w:t>
            </w:r>
          </w:p>
        </w:tc>
      </w:tr>
      <w:tr w:rsidR="00426604" w:rsidRPr="00F41F1D" w14:paraId="2BB4FECE" w14:textId="77777777" w:rsidTr="00F41F1D">
        <w:tc>
          <w:tcPr>
            <w:tcW w:w="2235" w:type="dxa"/>
          </w:tcPr>
          <w:p w14:paraId="2409A98F" w14:textId="77777777" w:rsidR="00426604" w:rsidRPr="00F41F1D" w:rsidRDefault="00426604" w:rsidP="00426604">
            <w:pPr>
              <w:overflowPunct w:val="0"/>
              <w:autoSpaceDE w:val="0"/>
              <w:autoSpaceDN w:val="0"/>
              <w:adjustRightInd w:val="0"/>
              <w:spacing w:line="240" w:lineRule="auto"/>
              <w:textAlignment w:val="baseline"/>
              <w:rPr>
                <w:i/>
                <w:sz w:val="22"/>
                <w:szCs w:val="22"/>
              </w:rPr>
            </w:pPr>
            <w:r w:rsidRPr="00F41F1D">
              <w:rPr>
                <w:i/>
                <w:sz w:val="22"/>
                <w:szCs w:val="22"/>
              </w:rPr>
              <w:t>Endereço eletrónico</w:t>
            </w:r>
          </w:p>
        </w:tc>
        <w:tc>
          <w:tcPr>
            <w:tcW w:w="5670" w:type="dxa"/>
          </w:tcPr>
          <w:p w14:paraId="21BA9078" w14:textId="77777777" w:rsidR="00426604" w:rsidRPr="00F41F1D" w:rsidRDefault="008D063E" w:rsidP="00426604">
            <w:pPr>
              <w:overflowPunct w:val="0"/>
              <w:autoSpaceDE w:val="0"/>
              <w:autoSpaceDN w:val="0"/>
              <w:adjustRightInd w:val="0"/>
              <w:spacing w:line="240" w:lineRule="auto"/>
              <w:textAlignment w:val="baseline"/>
              <w:rPr>
                <w:i/>
                <w:sz w:val="22"/>
                <w:szCs w:val="22"/>
              </w:rPr>
            </w:pPr>
            <w:hyperlink r:id="rId37" w:history="1">
              <w:r w:rsidR="00A912EA" w:rsidRPr="00F41F1D">
                <w:rPr>
                  <w:i/>
                  <w:color w:val="0000FF"/>
                  <w:sz w:val="22"/>
                  <w:szCs w:val="22"/>
                  <w:u w:val="single"/>
                </w:rPr>
                <w:t>Radoslava.Stefankova@eesc.europa.eu</w:t>
              </w:r>
            </w:hyperlink>
          </w:p>
          <w:p w14:paraId="0D4503F1" w14:textId="77777777" w:rsidR="00426604" w:rsidRPr="00F41F1D" w:rsidRDefault="00426604" w:rsidP="00426604">
            <w:pPr>
              <w:overflowPunct w:val="0"/>
              <w:autoSpaceDE w:val="0"/>
              <w:autoSpaceDN w:val="0"/>
              <w:adjustRightInd w:val="0"/>
              <w:spacing w:line="240" w:lineRule="auto"/>
              <w:textAlignment w:val="baseline"/>
              <w:rPr>
                <w:i/>
                <w:sz w:val="22"/>
                <w:szCs w:val="22"/>
              </w:rPr>
            </w:pPr>
          </w:p>
        </w:tc>
      </w:tr>
    </w:tbl>
    <w:p w14:paraId="45F867FE" w14:textId="6F56A0E6" w:rsidR="00426604" w:rsidRDefault="00426604" w:rsidP="001766B2">
      <w:pPr>
        <w:pStyle w:val="ListParagraph"/>
        <w:ind w:left="0"/>
      </w:pPr>
    </w:p>
    <w:p w14:paraId="1F8A3A37" w14:textId="0DBF4A5E" w:rsidR="00A83352" w:rsidRPr="00A83352" w:rsidRDefault="00426604" w:rsidP="00F41F1D">
      <w:pPr>
        <w:spacing w:after="160" w:line="259" w:lineRule="auto"/>
        <w:jc w:val="left"/>
        <w:rPr>
          <w:sz w:val="20"/>
          <w:szCs w:val="20"/>
        </w:rPr>
      </w:pPr>
      <w:r>
        <w:br w:type="page"/>
      </w:r>
      <w:hyperlink r:id="rId38" w:history="1">
        <w:r w:rsidR="00A912EA">
          <w:rPr>
            <w:b/>
            <w:i/>
            <w:color w:val="0000FF"/>
            <w:sz w:val="28"/>
            <w:u w:val="single"/>
          </w:rPr>
          <w:t>Regulamento Cibersegurança</w:t>
        </w:r>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949"/>
      </w:tblGrid>
      <w:tr w:rsidR="007A3096" w:rsidRPr="007A3096" w14:paraId="73A340D2" w14:textId="77777777" w:rsidTr="00F41F1D">
        <w:tc>
          <w:tcPr>
            <w:tcW w:w="2660" w:type="dxa"/>
          </w:tcPr>
          <w:p w14:paraId="189AB4BF" w14:textId="77777777" w:rsidR="007A3096" w:rsidRPr="00F41F1D" w:rsidRDefault="007A3096" w:rsidP="00B56575">
            <w:pPr>
              <w:tabs>
                <w:tab w:val="center" w:pos="284"/>
              </w:tabs>
              <w:overflowPunct w:val="0"/>
              <w:autoSpaceDE w:val="0"/>
              <w:autoSpaceDN w:val="0"/>
              <w:adjustRightInd w:val="0"/>
              <w:ind w:left="266" w:hanging="266"/>
              <w:textAlignment w:val="baseline"/>
              <w:rPr>
                <w:b/>
                <w:sz w:val="22"/>
                <w:szCs w:val="22"/>
              </w:rPr>
            </w:pPr>
            <w:r w:rsidRPr="00F41F1D">
              <w:rPr>
                <w:b/>
                <w:sz w:val="22"/>
                <w:szCs w:val="22"/>
              </w:rPr>
              <w:t>Relator</w:t>
            </w:r>
          </w:p>
        </w:tc>
        <w:tc>
          <w:tcPr>
            <w:tcW w:w="6946" w:type="dxa"/>
          </w:tcPr>
          <w:p w14:paraId="0214D104" w14:textId="5371BD6F" w:rsidR="007A3096" w:rsidRPr="00F41F1D" w:rsidRDefault="007A3096" w:rsidP="00B56575">
            <w:pPr>
              <w:tabs>
                <w:tab w:val="center" w:pos="284"/>
              </w:tabs>
              <w:overflowPunct w:val="0"/>
              <w:autoSpaceDE w:val="0"/>
              <w:autoSpaceDN w:val="0"/>
              <w:adjustRightInd w:val="0"/>
              <w:ind w:left="266" w:hanging="266"/>
              <w:textAlignment w:val="baseline"/>
              <w:rPr>
                <w:sz w:val="22"/>
                <w:szCs w:val="22"/>
              </w:rPr>
            </w:pPr>
            <w:r w:rsidRPr="00F41F1D">
              <w:rPr>
                <w:sz w:val="22"/>
                <w:szCs w:val="22"/>
              </w:rPr>
              <w:t>Miroslav Hajnoš (SK – Grupo dos Trabalhadores)</w:t>
            </w:r>
          </w:p>
        </w:tc>
      </w:tr>
      <w:tr w:rsidR="007A3096" w:rsidRPr="007A3096" w14:paraId="22A1E3C3" w14:textId="77777777" w:rsidTr="00F41F1D">
        <w:tc>
          <w:tcPr>
            <w:tcW w:w="9609" w:type="dxa"/>
            <w:gridSpan w:val="2"/>
          </w:tcPr>
          <w:p w14:paraId="58FAA53C" w14:textId="77777777" w:rsidR="007A3096" w:rsidRPr="00F41F1D" w:rsidRDefault="007A3096" w:rsidP="00B56575">
            <w:pPr>
              <w:tabs>
                <w:tab w:val="center" w:pos="284"/>
              </w:tabs>
              <w:overflowPunct w:val="0"/>
              <w:autoSpaceDE w:val="0"/>
              <w:autoSpaceDN w:val="0"/>
              <w:adjustRightInd w:val="0"/>
              <w:spacing w:line="160" w:lineRule="exact"/>
              <w:ind w:left="266" w:hanging="266"/>
              <w:textAlignment w:val="baseline"/>
              <w:rPr>
                <w:sz w:val="22"/>
                <w:szCs w:val="22"/>
              </w:rPr>
            </w:pPr>
          </w:p>
        </w:tc>
      </w:tr>
      <w:tr w:rsidR="007A3096" w:rsidRPr="007A3096" w14:paraId="5EDF0409" w14:textId="77777777" w:rsidTr="00F41F1D">
        <w:tc>
          <w:tcPr>
            <w:tcW w:w="2660" w:type="dxa"/>
            <w:vMerge w:val="restart"/>
          </w:tcPr>
          <w:p w14:paraId="37AB7812" w14:textId="77777777" w:rsidR="007A3096" w:rsidRPr="00F41F1D" w:rsidRDefault="007A3096" w:rsidP="00B56575">
            <w:pPr>
              <w:tabs>
                <w:tab w:val="center" w:pos="284"/>
              </w:tabs>
              <w:overflowPunct w:val="0"/>
              <w:autoSpaceDE w:val="0"/>
              <w:autoSpaceDN w:val="0"/>
              <w:adjustRightInd w:val="0"/>
              <w:ind w:left="266" w:hanging="266"/>
              <w:textAlignment w:val="baseline"/>
              <w:rPr>
                <w:b/>
                <w:sz w:val="22"/>
                <w:szCs w:val="22"/>
              </w:rPr>
            </w:pPr>
            <w:r w:rsidRPr="00F41F1D">
              <w:rPr>
                <w:b/>
                <w:sz w:val="22"/>
                <w:szCs w:val="22"/>
              </w:rPr>
              <w:t>Referências</w:t>
            </w:r>
          </w:p>
        </w:tc>
        <w:tc>
          <w:tcPr>
            <w:tcW w:w="6946" w:type="dxa"/>
          </w:tcPr>
          <w:p w14:paraId="482A2846" w14:textId="4D7D3A98" w:rsidR="007A3096" w:rsidRPr="00F41F1D" w:rsidRDefault="007A3096" w:rsidP="00B56575">
            <w:pPr>
              <w:tabs>
                <w:tab w:val="center" w:pos="284"/>
              </w:tabs>
              <w:overflowPunct w:val="0"/>
              <w:autoSpaceDE w:val="0"/>
              <w:autoSpaceDN w:val="0"/>
              <w:adjustRightInd w:val="0"/>
              <w:ind w:left="266" w:hanging="266"/>
              <w:textAlignment w:val="baseline"/>
              <w:rPr>
                <w:sz w:val="22"/>
                <w:szCs w:val="22"/>
              </w:rPr>
            </w:pPr>
            <w:r w:rsidRPr="00F41F1D">
              <w:rPr>
                <w:sz w:val="22"/>
                <w:szCs w:val="22"/>
              </w:rPr>
              <w:t xml:space="preserve">COM(2026) 11 final </w:t>
            </w:r>
          </w:p>
          <w:p w14:paraId="1457E830" w14:textId="583DA8F1" w:rsidR="007A3096" w:rsidRPr="00F41F1D" w:rsidRDefault="007A3096" w:rsidP="00B56575">
            <w:pPr>
              <w:tabs>
                <w:tab w:val="center" w:pos="284"/>
              </w:tabs>
              <w:overflowPunct w:val="0"/>
              <w:autoSpaceDE w:val="0"/>
              <w:autoSpaceDN w:val="0"/>
              <w:adjustRightInd w:val="0"/>
              <w:ind w:left="266" w:right="1458" w:hanging="266"/>
              <w:textAlignment w:val="baseline"/>
              <w:rPr>
                <w:sz w:val="22"/>
                <w:szCs w:val="22"/>
              </w:rPr>
            </w:pPr>
            <w:r w:rsidRPr="00F41F1D">
              <w:rPr>
                <w:sz w:val="22"/>
                <w:szCs w:val="22"/>
              </w:rPr>
              <w:t xml:space="preserve">COM(2026) 13 final </w:t>
            </w:r>
          </w:p>
          <w:p w14:paraId="0B733C5A" w14:textId="5E162686" w:rsidR="004D2D6F" w:rsidRPr="00F41F1D" w:rsidRDefault="007A3096" w:rsidP="00F41F1D">
            <w:pPr>
              <w:tabs>
                <w:tab w:val="center" w:pos="284"/>
              </w:tabs>
              <w:overflowPunct w:val="0"/>
              <w:autoSpaceDE w:val="0"/>
              <w:autoSpaceDN w:val="0"/>
              <w:adjustRightInd w:val="0"/>
              <w:ind w:left="266" w:hanging="266"/>
              <w:textAlignment w:val="baseline"/>
              <w:rPr>
                <w:sz w:val="22"/>
                <w:szCs w:val="22"/>
              </w:rPr>
            </w:pPr>
            <w:r w:rsidRPr="00F41F1D">
              <w:rPr>
                <w:sz w:val="22"/>
                <w:szCs w:val="22"/>
              </w:rPr>
              <w:t>EESC-2026-00075-00-00-AC</w:t>
            </w:r>
          </w:p>
        </w:tc>
      </w:tr>
      <w:tr w:rsidR="007A3096" w:rsidRPr="007A3096" w14:paraId="281B6DC0" w14:textId="77777777" w:rsidTr="00F41F1D">
        <w:tc>
          <w:tcPr>
            <w:tcW w:w="2660" w:type="dxa"/>
            <w:vMerge/>
          </w:tcPr>
          <w:p w14:paraId="2CAAC814" w14:textId="77777777" w:rsidR="007A3096" w:rsidRPr="00F41F1D" w:rsidRDefault="007A3096" w:rsidP="00B56575">
            <w:pPr>
              <w:tabs>
                <w:tab w:val="center" w:pos="284"/>
              </w:tabs>
              <w:overflowPunct w:val="0"/>
              <w:autoSpaceDE w:val="0"/>
              <w:autoSpaceDN w:val="0"/>
              <w:adjustRightInd w:val="0"/>
              <w:ind w:left="266" w:hanging="266"/>
              <w:textAlignment w:val="baseline"/>
              <w:rPr>
                <w:b/>
                <w:sz w:val="22"/>
                <w:szCs w:val="22"/>
              </w:rPr>
            </w:pPr>
          </w:p>
        </w:tc>
        <w:tc>
          <w:tcPr>
            <w:tcW w:w="6946" w:type="dxa"/>
          </w:tcPr>
          <w:p w14:paraId="2ECA75F1" w14:textId="77777777" w:rsidR="00B56575" w:rsidRPr="00F41F1D" w:rsidRDefault="00B56575" w:rsidP="00B56575">
            <w:pPr>
              <w:tabs>
                <w:tab w:val="center" w:pos="284"/>
              </w:tabs>
              <w:overflowPunct w:val="0"/>
              <w:autoSpaceDE w:val="0"/>
              <w:autoSpaceDN w:val="0"/>
              <w:adjustRightInd w:val="0"/>
              <w:ind w:left="266" w:hanging="2218"/>
              <w:textAlignment w:val="baseline"/>
              <w:rPr>
                <w:sz w:val="22"/>
                <w:szCs w:val="22"/>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rPr>
      </w:pPr>
      <w:r>
        <w:rPr>
          <w:b/>
        </w:rPr>
        <w:t>Pontos principais</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O Comité Económico e Social Europeu: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4C6742">
      <w:pPr>
        <w:widowControl w:val="0"/>
        <w:numPr>
          <w:ilvl w:val="0"/>
          <w:numId w:val="37"/>
        </w:numPr>
        <w:overflowPunct w:val="0"/>
        <w:autoSpaceDE w:val="0"/>
        <w:autoSpaceDN w:val="0"/>
        <w:adjustRightInd w:val="0"/>
        <w:ind w:left="284" w:hanging="284"/>
        <w:textAlignment w:val="baseline"/>
        <w:rPr>
          <w:bCs/>
          <w:iCs/>
        </w:rPr>
      </w:pPr>
      <w:r>
        <w:t xml:space="preserve">congratula-se com a revisão do Regulamento Cibersegurança e com as atualizações da Diretiva SRI 2, salientando que a cibersegurança deve ser tratada </w:t>
      </w:r>
      <w:r>
        <w:rPr>
          <w:b/>
          <w:bCs/>
        </w:rPr>
        <w:t>como uma questão central de segurança e resiliência geopolítica</w:t>
      </w:r>
      <w:r>
        <w:t>, simplificando ao mesmo tempo as regras e reduzindo os encargos administrativos;</w:t>
      </w:r>
    </w:p>
    <w:p w14:paraId="31A5FE88"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solicita uma </w:t>
      </w:r>
      <w:r>
        <w:rPr>
          <w:b/>
        </w:rPr>
        <w:t>Agência da União Europeia para a Cibersegurança (ENISA) mais forte e com melhores recursos</w:t>
      </w:r>
      <w:r>
        <w:t>, com um mandato claro e consolidado e financiamento e recursos humanos suficientes para cumprir eficazmente as suas responsabilidades alargadas, nomeadamente em matéria de desenvolvimento e certificação de competências;</w:t>
      </w:r>
    </w:p>
    <w:p w14:paraId="48226406"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destaca o papel fundamental das </w:t>
      </w:r>
      <w:r>
        <w:rPr>
          <w:b/>
        </w:rPr>
        <w:t>competências da mão de obra e da formação</w:t>
      </w:r>
      <w:r>
        <w:t xml:space="preserve"> no domínio da resiliência da cibersegurança, apoiando quadros de competências e sistemas de certificação a nível da UE, assegurando simultaneamente que continuem a ser práticos, coordenados e acessíveis em todos os Estados-Membros;</w:t>
      </w:r>
    </w:p>
    <w:p w14:paraId="6A6411FE"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salienta a importância crescente da cibersegurança para a </w:t>
      </w:r>
      <w:r>
        <w:rPr>
          <w:b/>
        </w:rPr>
        <w:t>resiliência democrática</w:t>
      </w:r>
      <w:r>
        <w:t xml:space="preserve">, instando ao </w:t>
      </w:r>
      <w:r>
        <w:rPr>
          <w:b/>
        </w:rPr>
        <w:t>reforço da coordenação a nível da UE</w:t>
      </w:r>
      <w:r>
        <w:t xml:space="preserve"> para proteger as eleições e as infraestruturas críticas de ciberataques, desinformação e ingerência estrangeira;</w:t>
      </w:r>
    </w:p>
    <w:p w14:paraId="1C1338FC"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apoia um </w:t>
      </w:r>
      <w:r>
        <w:rPr>
          <w:b/>
        </w:rPr>
        <w:t>quadro de certificação racionalizado e eficaz</w:t>
      </w:r>
      <w:r>
        <w:t>, assente na abordagem que garante que, uma vez obtida a certificação, esta é válida em toda a parte, assegurando a clareza jurídica, a transparência e a proporcionalidade, em particular para as pequenas e médias empresas (PME) e os operadores transfronteiriços;</w:t>
      </w:r>
    </w:p>
    <w:p w14:paraId="287DCAC1"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apela a uma </w:t>
      </w:r>
      <w:r>
        <w:rPr>
          <w:b/>
        </w:rPr>
        <w:t>abordagem equilibrada da segurança da cadeia de abastecimento de tecnologias da informação e comunicação (TIC)</w:t>
      </w:r>
      <w:r>
        <w:t>, com medidas transparentes e baseadas no risco e uma avaliação completa dos impactos económicos, operacionais e sociais, evitando simultaneamente encargos de conformidade excessivos e assegurando uma participação forte dos parceiros sociais e das partes interessadas.</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670"/>
      </w:tblGrid>
      <w:tr w:rsidR="00A83352" w:rsidRPr="00F41F1D" w14:paraId="6378B503" w14:textId="77777777" w:rsidTr="00F41F1D">
        <w:tc>
          <w:tcPr>
            <w:tcW w:w="2093" w:type="dxa"/>
          </w:tcPr>
          <w:p w14:paraId="76B1935C" w14:textId="77777777" w:rsidR="00A83352" w:rsidRPr="00F41F1D" w:rsidRDefault="00A83352" w:rsidP="00A83352">
            <w:pPr>
              <w:overflowPunct w:val="0"/>
              <w:autoSpaceDE w:val="0"/>
              <w:autoSpaceDN w:val="0"/>
              <w:adjustRightInd w:val="0"/>
              <w:spacing w:line="240" w:lineRule="auto"/>
              <w:textAlignment w:val="baseline"/>
              <w:rPr>
                <w:i/>
                <w:sz w:val="22"/>
                <w:szCs w:val="22"/>
              </w:rPr>
            </w:pPr>
            <w:r w:rsidRPr="00F41F1D">
              <w:rPr>
                <w:b/>
                <w:i/>
                <w:sz w:val="22"/>
                <w:szCs w:val="22"/>
              </w:rPr>
              <w:t>Contacto</w:t>
            </w:r>
          </w:p>
        </w:tc>
        <w:tc>
          <w:tcPr>
            <w:tcW w:w="5670" w:type="dxa"/>
          </w:tcPr>
          <w:p w14:paraId="156F2204" w14:textId="77777777" w:rsidR="00A83352" w:rsidRPr="00F41F1D" w:rsidRDefault="00A83352" w:rsidP="00A83352">
            <w:pPr>
              <w:overflowPunct w:val="0"/>
              <w:autoSpaceDE w:val="0"/>
              <w:autoSpaceDN w:val="0"/>
              <w:adjustRightInd w:val="0"/>
              <w:spacing w:line="240" w:lineRule="auto"/>
              <w:textAlignment w:val="baseline"/>
              <w:rPr>
                <w:i/>
                <w:sz w:val="22"/>
                <w:szCs w:val="22"/>
              </w:rPr>
            </w:pPr>
            <w:r w:rsidRPr="00F41F1D">
              <w:rPr>
                <w:i/>
                <w:sz w:val="22"/>
                <w:szCs w:val="22"/>
              </w:rPr>
              <w:t>Silvia Staffa</w:t>
            </w:r>
          </w:p>
        </w:tc>
      </w:tr>
      <w:tr w:rsidR="00A83352" w:rsidRPr="00F41F1D" w14:paraId="3427545F" w14:textId="77777777" w:rsidTr="00F41F1D">
        <w:tc>
          <w:tcPr>
            <w:tcW w:w="2093" w:type="dxa"/>
          </w:tcPr>
          <w:p w14:paraId="28C531D2" w14:textId="77777777" w:rsidR="00A83352" w:rsidRPr="00F41F1D" w:rsidRDefault="00A83352" w:rsidP="00A83352">
            <w:pPr>
              <w:overflowPunct w:val="0"/>
              <w:autoSpaceDE w:val="0"/>
              <w:autoSpaceDN w:val="0"/>
              <w:adjustRightInd w:val="0"/>
              <w:spacing w:line="240" w:lineRule="auto"/>
              <w:textAlignment w:val="baseline"/>
              <w:rPr>
                <w:i/>
                <w:sz w:val="22"/>
                <w:szCs w:val="22"/>
              </w:rPr>
            </w:pPr>
            <w:r w:rsidRPr="00F41F1D">
              <w:rPr>
                <w:i/>
                <w:sz w:val="22"/>
                <w:szCs w:val="22"/>
              </w:rPr>
              <w:t>Tel.</w:t>
            </w:r>
          </w:p>
        </w:tc>
        <w:tc>
          <w:tcPr>
            <w:tcW w:w="5670" w:type="dxa"/>
          </w:tcPr>
          <w:p w14:paraId="30151730" w14:textId="77777777" w:rsidR="00A83352" w:rsidRPr="00F41F1D" w:rsidRDefault="00A83352" w:rsidP="00A83352">
            <w:pPr>
              <w:overflowPunct w:val="0"/>
              <w:autoSpaceDE w:val="0"/>
              <w:autoSpaceDN w:val="0"/>
              <w:adjustRightInd w:val="0"/>
              <w:spacing w:line="240" w:lineRule="auto"/>
              <w:textAlignment w:val="baseline"/>
              <w:rPr>
                <w:i/>
                <w:sz w:val="22"/>
                <w:szCs w:val="22"/>
              </w:rPr>
            </w:pPr>
            <w:r w:rsidRPr="00F41F1D">
              <w:rPr>
                <w:i/>
                <w:sz w:val="22"/>
                <w:szCs w:val="22"/>
              </w:rPr>
              <w:t>+32 2 546 83 78</w:t>
            </w:r>
          </w:p>
        </w:tc>
      </w:tr>
      <w:tr w:rsidR="00A83352" w:rsidRPr="00F41F1D" w14:paraId="72DC4E78" w14:textId="77777777" w:rsidTr="00F41F1D">
        <w:tc>
          <w:tcPr>
            <w:tcW w:w="2093" w:type="dxa"/>
          </w:tcPr>
          <w:p w14:paraId="63DC825F" w14:textId="77777777" w:rsidR="00A83352" w:rsidRPr="00F41F1D" w:rsidRDefault="00A83352" w:rsidP="00A83352">
            <w:pPr>
              <w:overflowPunct w:val="0"/>
              <w:autoSpaceDE w:val="0"/>
              <w:autoSpaceDN w:val="0"/>
              <w:adjustRightInd w:val="0"/>
              <w:spacing w:line="240" w:lineRule="auto"/>
              <w:textAlignment w:val="baseline"/>
              <w:rPr>
                <w:i/>
                <w:sz w:val="22"/>
                <w:szCs w:val="22"/>
              </w:rPr>
            </w:pPr>
            <w:r w:rsidRPr="00F41F1D">
              <w:rPr>
                <w:i/>
                <w:sz w:val="22"/>
                <w:szCs w:val="22"/>
              </w:rPr>
              <w:t>Endereço eletrónico</w:t>
            </w:r>
          </w:p>
        </w:tc>
        <w:tc>
          <w:tcPr>
            <w:tcW w:w="5670" w:type="dxa"/>
          </w:tcPr>
          <w:p w14:paraId="1D8269C1" w14:textId="77777777" w:rsidR="00A83352" w:rsidRPr="00F41F1D" w:rsidRDefault="008D063E" w:rsidP="00A83352">
            <w:pPr>
              <w:overflowPunct w:val="0"/>
              <w:autoSpaceDE w:val="0"/>
              <w:autoSpaceDN w:val="0"/>
              <w:adjustRightInd w:val="0"/>
              <w:spacing w:line="240" w:lineRule="auto"/>
              <w:textAlignment w:val="baseline"/>
              <w:rPr>
                <w:i/>
                <w:sz w:val="22"/>
                <w:szCs w:val="22"/>
              </w:rPr>
            </w:pPr>
            <w:hyperlink r:id="rId39" w:history="1">
              <w:r w:rsidR="00A912EA" w:rsidRPr="00F41F1D">
                <w:rPr>
                  <w:i/>
                  <w:color w:val="0000FF"/>
                  <w:sz w:val="22"/>
                  <w:szCs w:val="22"/>
                  <w:u w:val="single"/>
                </w:rPr>
                <w:t>Silvia.Staffa@eesc.europa.eu</w:t>
              </w:r>
            </w:hyperlink>
          </w:p>
          <w:p w14:paraId="2F1FD287" w14:textId="77777777" w:rsidR="00A83352" w:rsidRPr="00F41F1D" w:rsidRDefault="00A83352" w:rsidP="00A83352">
            <w:pPr>
              <w:overflowPunct w:val="0"/>
              <w:autoSpaceDE w:val="0"/>
              <w:autoSpaceDN w:val="0"/>
              <w:adjustRightInd w:val="0"/>
              <w:spacing w:line="240" w:lineRule="auto"/>
              <w:textAlignment w:val="baseline"/>
              <w:rPr>
                <w:i/>
                <w:sz w:val="22"/>
                <w:szCs w:val="22"/>
              </w:rPr>
            </w:pPr>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67875F69" w:rsidR="00665940" w:rsidRPr="00665940" w:rsidRDefault="008D063E" w:rsidP="00665940">
      <w:pPr>
        <w:widowControl w:val="0"/>
        <w:numPr>
          <w:ilvl w:val="0"/>
          <w:numId w:val="4"/>
        </w:numPr>
        <w:overflowPunct w:val="0"/>
        <w:autoSpaceDE w:val="0"/>
        <w:autoSpaceDN w:val="0"/>
        <w:adjustRightInd w:val="0"/>
        <w:ind w:hanging="567"/>
        <w:textAlignment w:val="baseline"/>
        <w:rPr>
          <w:sz w:val="20"/>
          <w:szCs w:val="20"/>
        </w:rPr>
      </w:pPr>
      <w:hyperlink r:id="rId40" w:history="1">
        <w:r w:rsidR="00A912EA">
          <w:rPr>
            <w:b/>
            <w:i/>
            <w:color w:val="0000FF"/>
            <w:sz w:val="28"/>
            <w:u w:val="single"/>
          </w:rPr>
          <w:t>Criar um centro europeu de excelência clínica para os produtos farmacêuti</w:t>
        </w:r>
        <w:r w:rsidR="00A912EA">
          <w:rPr>
            <w:b/>
            <w:i/>
            <w:color w:val="0000FF"/>
            <w:sz w:val="28"/>
            <w:u w:val="single"/>
          </w:rPr>
          <w:t>c</w:t>
        </w:r>
        <w:r w:rsidR="00A912EA">
          <w:rPr>
            <w:b/>
            <w:i/>
            <w:color w:val="0000FF"/>
            <w:sz w:val="28"/>
            <w:u w:val="single"/>
          </w:rPr>
          <w:t>os</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665940" w:rsidRPr="00665940" w14:paraId="42EBD1F0" w14:textId="77777777" w:rsidTr="004C6742">
        <w:tc>
          <w:tcPr>
            <w:tcW w:w="1701" w:type="dxa"/>
          </w:tcPr>
          <w:p w14:paraId="470319BC" w14:textId="77777777" w:rsidR="00665940" w:rsidRPr="002052A9" w:rsidRDefault="00665940" w:rsidP="00665940">
            <w:pPr>
              <w:tabs>
                <w:tab w:val="center" w:pos="284"/>
              </w:tabs>
              <w:overflowPunct w:val="0"/>
              <w:autoSpaceDE w:val="0"/>
              <w:autoSpaceDN w:val="0"/>
              <w:adjustRightInd w:val="0"/>
              <w:ind w:left="266" w:hanging="266"/>
              <w:textAlignment w:val="baseline"/>
              <w:rPr>
                <w:b/>
                <w:sz w:val="22"/>
                <w:szCs w:val="22"/>
              </w:rPr>
            </w:pPr>
            <w:r w:rsidRPr="002052A9">
              <w:rPr>
                <w:b/>
                <w:sz w:val="22"/>
                <w:szCs w:val="22"/>
              </w:rPr>
              <w:t>Relator</w:t>
            </w:r>
          </w:p>
        </w:tc>
        <w:tc>
          <w:tcPr>
            <w:tcW w:w="6663" w:type="dxa"/>
          </w:tcPr>
          <w:p w14:paraId="5CFF22ED" w14:textId="4F642785" w:rsidR="00665940" w:rsidRPr="002052A9" w:rsidRDefault="00665940" w:rsidP="00665940">
            <w:pPr>
              <w:tabs>
                <w:tab w:val="center" w:pos="284"/>
              </w:tabs>
              <w:overflowPunct w:val="0"/>
              <w:autoSpaceDE w:val="0"/>
              <w:autoSpaceDN w:val="0"/>
              <w:adjustRightInd w:val="0"/>
              <w:ind w:left="266" w:hanging="266"/>
              <w:textAlignment w:val="baseline"/>
              <w:rPr>
                <w:sz w:val="22"/>
                <w:szCs w:val="22"/>
              </w:rPr>
            </w:pPr>
            <w:r w:rsidRPr="002052A9">
              <w:rPr>
                <w:sz w:val="22"/>
                <w:szCs w:val="22"/>
              </w:rPr>
              <w:t>Veselin Mitov (BG – Grupo dos Trabalhadores)</w:t>
            </w:r>
          </w:p>
        </w:tc>
      </w:tr>
      <w:tr w:rsidR="00665940" w:rsidRPr="00665940" w14:paraId="4D35B05F" w14:textId="77777777" w:rsidTr="004C6742">
        <w:tc>
          <w:tcPr>
            <w:tcW w:w="8364" w:type="dxa"/>
            <w:gridSpan w:val="2"/>
          </w:tcPr>
          <w:p w14:paraId="6BE1B6FB" w14:textId="77777777" w:rsidR="00665940" w:rsidRPr="002052A9" w:rsidRDefault="00665940" w:rsidP="00665940">
            <w:pPr>
              <w:tabs>
                <w:tab w:val="center" w:pos="284"/>
              </w:tabs>
              <w:overflowPunct w:val="0"/>
              <w:autoSpaceDE w:val="0"/>
              <w:autoSpaceDN w:val="0"/>
              <w:adjustRightInd w:val="0"/>
              <w:spacing w:line="160" w:lineRule="exact"/>
              <w:ind w:left="266" w:hanging="266"/>
              <w:textAlignment w:val="baseline"/>
              <w:rPr>
                <w:sz w:val="22"/>
                <w:szCs w:val="22"/>
              </w:rPr>
            </w:pPr>
          </w:p>
        </w:tc>
      </w:tr>
      <w:tr w:rsidR="00665940" w:rsidRPr="00665940" w14:paraId="5F1B7447" w14:textId="77777777" w:rsidTr="004C6742">
        <w:trPr>
          <w:trHeight w:val="404"/>
        </w:trPr>
        <w:tc>
          <w:tcPr>
            <w:tcW w:w="1701" w:type="dxa"/>
          </w:tcPr>
          <w:p w14:paraId="1FBC09A6" w14:textId="77777777" w:rsidR="00665940" w:rsidRPr="002052A9" w:rsidRDefault="00665940" w:rsidP="00665940">
            <w:pPr>
              <w:tabs>
                <w:tab w:val="center" w:pos="284"/>
              </w:tabs>
              <w:overflowPunct w:val="0"/>
              <w:autoSpaceDE w:val="0"/>
              <w:autoSpaceDN w:val="0"/>
              <w:adjustRightInd w:val="0"/>
              <w:ind w:left="266" w:hanging="266"/>
              <w:textAlignment w:val="baseline"/>
              <w:rPr>
                <w:b/>
                <w:sz w:val="22"/>
                <w:szCs w:val="22"/>
              </w:rPr>
            </w:pPr>
            <w:r w:rsidRPr="002052A9">
              <w:rPr>
                <w:b/>
                <w:sz w:val="22"/>
                <w:szCs w:val="22"/>
              </w:rPr>
              <w:t>Referências</w:t>
            </w:r>
          </w:p>
        </w:tc>
        <w:tc>
          <w:tcPr>
            <w:tcW w:w="6663" w:type="dxa"/>
          </w:tcPr>
          <w:p w14:paraId="0BCAF6AE" w14:textId="03E7889E" w:rsidR="00665940" w:rsidRPr="002052A9" w:rsidRDefault="00665940" w:rsidP="00F170AA">
            <w:pPr>
              <w:tabs>
                <w:tab w:val="center" w:pos="284"/>
              </w:tabs>
              <w:overflowPunct w:val="0"/>
              <w:autoSpaceDE w:val="0"/>
              <w:autoSpaceDN w:val="0"/>
              <w:adjustRightInd w:val="0"/>
              <w:ind w:left="266" w:right="-254" w:hanging="266"/>
              <w:textAlignment w:val="baseline"/>
              <w:rPr>
                <w:sz w:val="22"/>
                <w:szCs w:val="22"/>
              </w:rPr>
            </w:pPr>
            <w:r w:rsidRPr="002052A9">
              <w:rPr>
                <w:sz w:val="22"/>
                <w:szCs w:val="22"/>
              </w:rPr>
              <w:t>Parecer exploratório a pedido da Presidência cipriota do Conselho da UE</w:t>
            </w:r>
          </w:p>
          <w:p w14:paraId="04662EBB" w14:textId="504CF421" w:rsidR="00665940" w:rsidRPr="002052A9" w:rsidRDefault="00665940" w:rsidP="00665940">
            <w:pPr>
              <w:tabs>
                <w:tab w:val="center" w:pos="284"/>
              </w:tabs>
              <w:overflowPunct w:val="0"/>
              <w:autoSpaceDE w:val="0"/>
              <w:autoSpaceDN w:val="0"/>
              <w:adjustRightInd w:val="0"/>
              <w:ind w:left="266" w:hanging="266"/>
              <w:textAlignment w:val="baseline"/>
              <w:rPr>
                <w:sz w:val="22"/>
                <w:szCs w:val="22"/>
              </w:rPr>
            </w:pPr>
            <w:r w:rsidRPr="002052A9">
              <w:rPr>
                <w:sz w:val="22"/>
                <w:szCs w:val="22"/>
              </w:rP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Pontos principais</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O Comité Económico e Social Europeu:</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recomenda a criação de um centro europeu de excelência clínica (CEEC) enquanto organismo de referência não vinculativo da União Europeia (UE) encarregado de traduzir provas científicas em orientações clínicas de elevada qualidade, respeitando plenamente a subsidiariedade e a proporcionalidade e promovendo um acesso equitativo a cuidados de saúde de elevada qualidade em toda a UE;</w:t>
      </w:r>
    </w:p>
    <w:p w14:paraId="3658F039"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considera que o CEEC deve integrar-se numa estratégia mais ampla da UE para a resiliência no domínio da saúde, a fim de impulsionar a cooperação científica, a adoção das inovações e a autonomia estratégica da UE;</w:t>
      </w:r>
    </w:p>
    <w:p w14:paraId="0D049DD7"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estima que o CEEC deve complementar, e não substituir, as estruturas nacionais e da UE existentes, funcionar como um ponto de referência científica comum e funcionar no âmbito de um quadro de governação sólido;</w:t>
      </w:r>
    </w:p>
    <w:p w14:paraId="05280080"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tem para si que o mandato do CEEC deve ser definido claramente e centrado na excelência científica, na transparência e na relevância prática, focando-se na análise e síntese sistemáticas de dados clínicos, incluindo avaliações clínicas conjuntas e provas obtidas em contexto real. Deve elaborar recomendações em matéria de farmacoterapia e protocolos clínicos não vinculativos e baseados em provas concretas, a fim de apoiar a tomada de decisões a nível nacional;</w:t>
      </w:r>
    </w:p>
    <w:p w14:paraId="6AA7D53C"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pPr>
      <w:r>
        <w:t>recomenda a criação do CEEC como um novo organismo descentralizado da UE destinado a assegurar a coerência científica, a continuidade institucional e a independência, regido por um modelo com vários níveis e equilibrado, que reúna os Estados-Membros, a Comissão Europeia e a sociedade civil organizada;</w:t>
      </w:r>
    </w:p>
    <w:p w14:paraId="43AC5B7A"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r>
        <w:t>considera que um financiamento estável, adequado e previsível a partir do orçamento da UE é indispensável para a credibilidade, independência e eficácia a longo prazo do CEEC. Um eventual financiamento complementar deve ser rigorosamente regulamentado e totalmente transparente, a fim de evitar influências indevidas sobre os resultados científicos.</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670"/>
      </w:tblGrid>
      <w:tr w:rsidR="00665940" w:rsidRPr="002052A9" w14:paraId="62BF535A" w14:textId="77777777" w:rsidTr="002052A9">
        <w:tc>
          <w:tcPr>
            <w:tcW w:w="2093" w:type="dxa"/>
          </w:tcPr>
          <w:p w14:paraId="5C60B303" w14:textId="77777777" w:rsidR="00665940" w:rsidRPr="002052A9" w:rsidRDefault="00665940" w:rsidP="00665940">
            <w:pPr>
              <w:overflowPunct w:val="0"/>
              <w:autoSpaceDE w:val="0"/>
              <w:autoSpaceDN w:val="0"/>
              <w:adjustRightInd w:val="0"/>
              <w:spacing w:line="240" w:lineRule="auto"/>
              <w:textAlignment w:val="baseline"/>
              <w:rPr>
                <w:i/>
                <w:sz w:val="22"/>
                <w:szCs w:val="22"/>
              </w:rPr>
            </w:pPr>
            <w:r w:rsidRPr="002052A9">
              <w:rPr>
                <w:b/>
                <w:i/>
                <w:sz w:val="22"/>
                <w:szCs w:val="22"/>
              </w:rPr>
              <w:t>Contacto</w:t>
            </w:r>
          </w:p>
        </w:tc>
        <w:tc>
          <w:tcPr>
            <w:tcW w:w="5670" w:type="dxa"/>
          </w:tcPr>
          <w:p w14:paraId="04C05D13" w14:textId="77777777" w:rsidR="00665940" w:rsidRPr="002052A9" w:rsidRDefault="00665940" w:rsidP="00665940">
            <w:pPr>
              <w:overflowPunct w:val="0"/>
              <w:autoSpaceDE w:val="0"/>
              <w:autoSpaceDN w:val="0"/>
              <w:adjustRightInd w:val="0"/>
              <w:spacing w:line="240" w:lineRule="auto"/>
              <w:textAlignment w:val="baseline"/>
              <w:rPr>
                <w:i/>
                <w:sz w:val="22"/>
                <w:szCs w:val="22"/>
              </w:rPr>
            </w:pPr>
            <w:r w:rsidRPr="002052A9">
              <w:rPr>
                <w:i/>
                <w:sz w:val="22"/>
                <w:szCs w:val="22"/>
              </w:rPr>
              <w:t>Radoslava Stefankova</w:t>
            </w:r>
          </w:p>
        </w:tc>
      </w:tr>
      <w:tr w:rsidR="00665940" w:rsidRPr="002052A9" w14:paraId="50843905" w14:textId="77777777" w:rsidTr="002052A9">
        <w:tc>
          <w:tcPr>
            <w:tcW w:w="2093" w:type="dxa"/>
          </w:tcPr>
          <w:p w14:paraId="60ED9F66" w14:textId="77777777" w:rsidR="00665940" w:rsidRPr="002052A9" w:rsidRDefault="00665940" w:rsidP="00665940">
            <w:pPr>
              <w:overflowPunct w:val="0"/>
              <w:autoSpaceDE w:val="0"/>
              <w:autoSpaceDN w:val="0"/>
              <w:adjustRightInd w:val="0"/>
              <w:spacing w:line="240" w:lineRule="auto"/>
              <w:textAlignment w:val="baseline"/>
              <w:rPr>
                <w:i/>
                <w:sz w:val="22"/>
                <w:szCs w:val="22"/>
              </w:rPr>
            </w:pPr>
            <w:r w:rsidRPr="002052A9">
              <w:rPr>
                <w:i/>
                <w:sz w:val="22"/>
                <w:szCs w:val="22"/>
              </w:rPr>
              <w:t>Tel.</w:t>
            </w:r>
          </w:p>
        </w:tc>
        <w:tc>
          <w:tcPr>
            <w:tcW w:w="5670" w:type="dxa"/>
          </w:tcPr>
          <w:p w14:paraId="170907FD" w14:textId="77777777" w:rsidR="00665940" w:rsidRPr="002052A9" w:rsidRDefault="00665940" w:rsidP="00665940">
            <w:pPr>
              <w:overflowPunct w:val="0"/>
              <w:autoSpaceDE w:val="0"/>
              <w:autoSpaceDN w:val="0"/>
              <w:adjustRightInd w:val="0"/>
              <w:spacing w:line="240" w:lineRule="auto"/>
              <w:textAlignment w:val="baseline"/>
              <w:rPr>
                <w:i/>
                <w:sz w:val="22"/>
                <w:szCs w:val="22"/>
              </w:rPr>
            </w:pPr>
            <w:r w:rsidRPr="002052A9">
              <w:rPr>
                <w:i/>
                <w:sz w:val="22"/>
                <w:szCs w:val="22"/>
              </w:rPr>
              <w:t>+32 2 546 81 88</w:t>
            </w:r>
          </w:p>
        </w:tc>
      </w:tr>
      <w:tr w:rsidR="00665940" w:rsidRPr="002052A9" w14:paraId="7215EA9F" w14:textId="77777777" w:rsidTr="002052A9">
        <w:tc>
          <w:tcPr>
            <w:tcW w:w="2093" w:type="dxa"/>
          </w:tcPr>
          <w:p w14:paraId="7B8C52EC" w14:textId="333E7586" w:rsidR="00665940" w:rsidRPr="002052A9" w:rsidRDefault="0019037A" w:rsidP="00665940">
            <w:pPr>
              <w:overflowPunct w:val="0"/>
              <w:autoSpaceDE w:val="0"/>
              <w:autoSpaceDN w:val="0"/>
              <w:adjustRightInd w:val="0"/>
              <w:spacing w:line="240" w:lineRule="auto"/>
              <w:textAlignment w:val="baseline"/>
              <w:rPr>
                <w:i/>
                <w:sz w:val="22"/>
                <w:szCs w:val="22"/>
              </w:rPr>
            </w:pPr>
            <w:r w:rsidRPr="002052A9">
              <w:rPr>
                <w:i/>
                <w:sz w:val="22"/>
                <w:szCs w:val="22"/>
              </w:rPr>
              <w:t>Endereço eletrónico</w:t>
            </w:r>
          </w:p>
        </w:tc>
        <w:tc>
          <w:tcPr>
            <w:tcW w:w="5670" w:type="dxa"/>
          </w:tcPr>
          <w:p w14:paraId="51562D55" w14:textId="77777777" w:rsidR="00665940" w:rsidRPr="002052A9" w:rsidRDefault="008D063E" w:rsidP="00665940">
            <w:pPr>
              <w:overflowPunct w:val="0"/>
              <w:autoSpaceDE w:val="0"/>
              <w:autoSpaceDN w:val="0"/>
              <w:adjustRightInd w:val="0"/>
              <w:spacing w:line="240" w:lineRule="auto"/>
              <w:textAlignment w:val="baseline"/>
              <w:rPr>
                <w:i/>
                <w:sz w:val="22"/>
                <w:szCs w:val="22"/>
              </w:rPr>
            </w:pPr>
            <w:hyperlink r:id="rId41" w:history="1">
              <w:r w:rsidR="00A912EA" w:rsidRPr="002052A9">
                <w:rPr>
                  <w:i/>
                  <w:color w:val="0000FF"/>
                  <w:sz w:val="22"/>
                  <w:szCs w:val="22"/>
                  <w:u w:val="single"/>
                </w:rPr>
                <w:t>Radoslava.Stefankova@eesc.europa.eu</w:t>
              </w:r>
            </w:hyperlink>
          </w:p>
        </w:tc>
      </w:tr>
    </w:tbl>
    <w:p w14:paraId="57693FD9" w14:textId="6D060F2B" w:rsidR="00665940" w:rsidRPr="002052A9" w:rsidRDefault="00665940" w:rsidP="001766B2">
      <w:pPr>
        <w:pStyle w:val="ListParagraph"/>
        <w:ind w:left="0"/>
        <w:rPr>
          <w:sz w:val="24"/>
          <w:szCs w:val="24"/>
        </w:rPr>
      </w:pPr>
    </w:p>
    <w:p w14:paraId="1C80C6A1" w14:textId="77777777" w:rsidR="00665940" w:rsidRDefault="00665940">
      <w:pPr>
        <w:spacing w:after="160" w:line="259" w:lineRule="auto"/>
        <w:jc w:val="left"/>
      </w:pPr>
      <w:r>
        <w:br w:type="page"/>
      </w:r>
    </w:p>
    <w:p w14:paraId="38DDDDCE" w14:textId="7E21D025" w:rsidR="00445258" w:rsidRPr="00445258" w:rsidRDefault="008D063E"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2" w:tgtFrame="_blank" w:history="1">
        <w:r w:rsidR="00445258">
          <w:rPr>
            <w:b/>
            <w:i/>
            <w:color w:val="0000FF"/>
            <w:sz w:val="28"/>
            <w:u w:val="single"/>
          </w:rPr>
          <w:t>Novas regras em matéria de precursores de drogas</w:t>
        </w:r>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445258" w:rsidRPr="00445258" w14:paraId="7E507868" w14:textId="77777777" w:rsidTr="002E7EFB">
        <w:tc>
          <w:tcPr>
            <w:tcW w:w="1148" w:type="pct"/>
          </w:tcPr>
          <w:p w14:paraId="3292FCF5" w14:textId="77777777" w:rsidR="00445258" w:rsidRPr="008F51E1" w:rsidRDefault="00445258" w:rsidP="00445258">
            <w:pPr>
              <w:tabs>
                <w:tab w:val="center" w:pos="284"/>
              </w:tabs>
              <w:overflowPunct w:val="0"/>
              <w:autoSpaceDE w:val="0"/>
              <w:autoSpaceDN w:val="0"/>
              <w:adjustRightInd w:val="0"/>
              <w:ind w:left="266" w:hanging="266"/>
              <w:textAlignment w:val="baseline"/>
              <w:rPr>
                <w:b/>
                <w:sz w:val="22"/>
                <w:szCs w:val="22"/>
              </w:rPr>
            </w:pPr>
          </w:p>
          <w:p w14:paraId="4BFF03AB" w14:textId="77777777" w:rsidR="00445258" w:rsidRPr="008F51E1" w:rsidRDefault="00445258" w:rsidP="00445258">
            <w:pPr>
              <w:tabs>
                <w:tab w:val="center" w:pos="284"/>
              </w:tabs>
              <w:overflowPunct w:val="0"/>
              <w:autoSpaceDE w:val="0"/>
              <w:autoSpaceDN w:val="0"/>
              <w:adjustRightInd w:val="0"/>
              <w:ind w:left="266" w:hanging="376"/>
              <w:textAlignment w:val="baseline"/>
              <w:rPr>
                <w:b/>
                <w:sz w:val="22"/>
                <w:szCs w:val="22"/>
              </w:rPr>
            </w:pPr>
            <w:r w:rsidRPr="008F51E1">
              <w:rPr>
                <w:b/>
                <w:sz w:val="22"/>
                <w:szCs w:val="22"/>
              </w:rPr>
              <w:t>Relator</w:t>
            </w:r>
          </w:p>
          <w:p w14:paraId="113C8799" w14:textId="77777777" w:rsidR="00445258" w:rsidRPr="008F51E1" w:rsidRDefault="00445258" w:rsidP="00445258">
            <w:pPr>
              <w:tabs>
                <w:tab w:val="center" w:pos="284"/>
              </w:tabs>
              <w:overflowPunct w:val="0"/>
              <w:autoSpaceDE w:val="0"/>
              <w:autoSpaceDN w:val="0"/>
              <w:adjustRightInd w:val="0"/>
              <w:ind w:left="266" w:hanging="376"/>
              <w:textAlignment w:val="baseline"/>
              <w:rPr>
                <w:b/>
                <w:sz w:val="22"/>
                <w:szCs w:val="22"/>
              </w:rPr>
            </w:pPr>
          </w:p>
        </w:tc>
        <w:tc>
          <w:tcPr>
            <w:tcW w:w="3852" w:type="pct"/>
          </w:tcPr>
          <w:p w14:paraId="5A2AAF34" w14:textId="77777777" w:rsidR="00445258" w:rsidRPr="008F51E1" w:rsidRDefault="00445258" w:rsidP="00445258">
            <w:pPr>
              <w:tabs>
                <w:tab w:val="center" w:pos="284"/>
              </w:tabs>
              <w:overflowPunct w:val="0"/>
              <w:autoSpaceDE w:val="0"/>
              <w:autoSpaceDN w:val="0"/>
              <w:adjustRightInd w:val="0"/>
              <w:ind w:left="266" w:hanging="266"/>
              <w:textAlignment w:val="baseline"/>
              <w:rPr>
                <w:sz w:val="22"/>
                <w:szCs w:val="22"/>
              </w:rPr>
            </w:pPr>
          </w:p>
          <w:p w14:paraId="329047B1" w14:textId="723B0F81" w:rsidR="00445258" w:rsidRPr="008F51E1" w:rsidRDefault="00445258" w:rsidP="00445258">
            <w:pPr>
              <w:tabs>
                <w:tab w:val="center" w:pos="284"/>
              </w:tabs>
              <w:overflowPunct w:val="0"/>
              <w:autoSpaceDE w:val="0"/>
              <w:autoSpaceDN w:val="0"/>
              <w:adjustRightInd w:val="0"/>
              <w:ind w:left="266" w:hanging="266"/>
              <w:textAlignment w:val="baseline"/>
              <w:rPr>
                <w:sz w:val="22"/>
                <w:szCs w:val="22"/>
              </w:rPr>
            </w:pPr>
            <w:r w:rsidRPr="008F51E1">
              <w:rPr>
                <w:sz w:val="22"/>
                <w:szCs w:val="22"/>
              </w:rPr>
              <w:t>Diego Dutto (IT – Grupo das Organizações da Sociedade Civil)</w:t>
            </w:r>
          </w:p>
          <w:p w14:paraId="641B170F" w14:textId="77777777" w:rsidR="00445258" w:rsidRPr="008F51E1" w:rsidRDefault="00445258" w:rsidP="00445258">
            <w:pPr>
              <w:tabs>
                <w:tab w:val="center" w:pos="284"/>
              </w:tabs>
              <w:overflowPunct w:val="0"/>
              <w:autoSpaceDE w:val="0"/>
              <w:autoSpaceDN w:val="0"/>
              <w:adjustRightInd w:val="0"/>
              <w:ind w:left="266" w:hanging="266"/>
              <w:textAlignment w:val="baseline"/>
              <w:rPr>
                <w:sz w:val="22"/>
                <w:szCs w:val="22"/>
                <w:lang w:val="en-GB"/>
              </w:rPr>
            </w:pPr>
          </w:p>
        </w:tc>
      </w:tr>
      <w:tr w:rsidR="00445258" w:rsidRPr="00445258" w14:paraId="2EFF6C25" w14:textId="77777777" w:rsidTr="002E7EFB">
        <w:tc>
          <w:tcPr>
            <w:tcW w:w="1148" w:type="pct"/>
            <w:vMerge w:val="restart"/>
          </w:tcPr>
          <w:p w14:paraId="70282570" w14:textId="77777777" w:rsidR="00445258" w:rsidRPr="008F51E1" w:rsidRDefault="00445258" w:rsidP="00445258">
            <w:pPr>
              <w:tabs>
                <w:tab w:val="center" w:pos="284"/>
              </w:tabs>
              <w:overflowPunct w:val="0"/>
              <w:autoSpaceDE w:val="0"/>
              <w:autoSpaceDN w:val="0"/>
              <w:adjustRightInd w:val="0"/>
              <w:ind w:left="266" w:hanging="376"/>
              <w:textAlignment w:val="baseline"/>
              <w:rPr>
                <w:b/>
                <w:sz w:val="22"/>
                <w:szCs w:val="22"/>
              </w:rPr>
            </w:pPr>
            <w:r w:rsidRPr="008F51E1">
              <w:rPr>
                <w:b/>
                <w:sz w:val="22"/>
                <w:szCs w:val="22"/>
              </w:rPr>
              <w:t>Referências</w:t>
            </w:r>
          </w:p>
        </w:tc>
        <w:tc>
          <w:tcPr>
            <w:tcW w:w="3852" w:type="pct"/>
          </w:tcPr>
          <w:p w14:paraId="4F313D09" w14:textId="3A34F015" w:rsidR="00445258" w:rsidRPr="008F51E1" w:rsidRDefault="00445258" w:rsidP="00445258">
            <w:pPr>
              <w:tabs>
                <w:tab w:val="center" w:pos="284"/>
              </w:tabs>
              <w:overflowPunct w:val="0"/>
              <w:autoSpaceDE w:val="0"/>
              <w:autoSpaceDN w:val="0"/>
              <w:adjustRightInd w:val="0"/>
              <w:ind w:left="266" w:hanging="266"/>
              <w:textAlignment w:val="baseline"/>
              <w:rPr>
                <w:sz w:val="22"/>
                <w:szCs w:val="22"/>
              </w:rPr>
            </w:pPr>
            <w:r w:rsidRPr="008F51E1">
              <w:rPr>
                <w:sz w:val="22"/>
                <w:szCs w:val="22"/>
              </w:rPr>
              <w:t xml:space="preserve">COM(2025) 747 final </w:t>
            </w:r>
          </w:p>
        </w:tc>
      </w:tr>
      <w:tr w:rsidR="00445258" w:rsidRPr="00445258" w14:paraId="3DFEF38A" w14:textId="77777777" w:rsidTr="002E7EFB">
        <w:tc>
          <w:tcPr>
            <w:tcW w:w="1148" w:type="pct"/>
            <w:vMerge/>
          </w:tcPr>
          <w:p w14:paraId="17E4942C" w14:textId="77777777" w:rsidR="00445258" w:rsidRPr="008F51E1" w:rsidRDefault="00445258" w:rsidP="00445258">
            <w:pPr>
              <w:tabs>
                <w:tab w:val="center" w:pos="284"/>
              </w:tabs>
              <w:overflowPunct w:val="0"/>
              <w:autoSpaceDE w:val="0"/>
              <w:autoSpaceDN w:val="0"/>
              <w:adjustRightInd w:val="0"/>
              <w:ind w:left="266" w:hanging="266"/>
              <w:textAlignment w:val="baseline"/>
              <w:rPr>
                <w:b/>
                <w:sz w:val="22"/>
                <w:szCs w:val="22"/>
              </w:rPr>
            </w:pPr>
          </w:p>
        </w:tc>
        <w:tc>
          <w:tcPr>
            <w:tcW w:w="3852" w:type="pct"/>
          </w:tcPr>
          <w:p w14:paraId="37150F76" w14:textId="77777777" w:rsidR="00445258" w:rsidRPr="008F51E1" w:rsidRDefault="00445258" w:rsidP="00445258">
            <w:pPr>
              <w:tabs>
                <w:tab w:val="center" w:pos="284"/>
              </w:tabs>
              <w:overflowPunct w:val="0"/>
              <w:autoSpaceDE w:val="0"/>
              <w:autoSpaceDN w:val="0"/>
              <w:adjustRightInd w:val="0"/>
              <w:ind w:left="266" w:hanging="266"/>
              <w:textAlignment w:val="baseline"/>
              <w:rPr>
                <w:sz w:val="22"/>
                <w:szCs w:val="22"/>
              </w:rPr>
            </w:pPr>
            <w:r w:rsidRPr="008F51E1">
              <w:rPr>
                <w:sz w:val="22"/>
                <w:szCs w:val="22"/>
              </w:rPr>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Pontos principais</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O CESE recomenda que se:</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assegure que o acesso ao «repositório de informações sobre precursores de drogas» seja totalmente gratuito;</w:t>
      </w:r>
    </w:p>
    <w:p w14:paraId="015B0DA4"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prevejam isenções totais ou reduções significativas das taxas para a obtenção de licenças para universidades, institutos de investigação e organizações filantrópicas;</w:t>
      </w:r>
    </w:p>
    <w:p w14:paraId="1D26F15F"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simplifiquem os procedimentos de notificação prévia no caso de utilização de pequenas quantidades de precursores de síntese;</w:t>
      </w:r>
    </w:p>
    <w:p w14:paraId="7A06841B"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crie um canal de orientação técnica específico para todas as partes interessadas, incluindo organizações do terceiro setor, e se clarifique rapidamente a classificação das variantes das substâncias;</w:t>
      </w:r>
    </w:p>
    <w:p w14:paraId="6706E6CC"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evite que os laboratórios de investigação sejam afetados pela insegurança jurídica causada pela inclusão genérica de grupos de substâncias na categoria 3, publicando listas de isenções claras, atempadas e exaustivas;</w:t>
      </w:r>
    </w:p>
    <w:p w14:paraId="0ED1006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associe as organizações da sociedade civil especializadas na prevenção da toxicodependência e na redução de danos às atividades de sensibilização e formação; </w:t>
      </w:r>
    </w:p>
    <w:p w14:paraId="0308E5D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aplique de forma flexível a obrigação de nomear um «responsável» no caso de pequenas organizações civis, permitindo a nomeação de pessoal interno já ao serviço;</w:t>
      </w:r>
    </w:p>
    <w:p w14:paraId="0765C64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instaure uma regulamentação homogénea na UE, o que ajudará as autoridades a acompanhar a comercialização de substâncias e a respetiva utilização na investigação em toda a Europa; </w:t>
      </w:r>
    </w:p>
    <w:p w14:paraId="6673E6C9"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salvaguarde a autonomia dos investigadores que utilizam precursores da categoria 3, assegurando que os controlos das autoridades competentes se baseiam no risco e não afetam a confidencialidade ou a integridade dos protocolos de investigação científica.</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445258" w:rsidRPr="00445258" w14:paraId="34E47DF7" w14:textId="77777777" w:rsidTr="002E7EFB">
        <w:tc>
          <w:tcPr>
            <w:tcW w:w="1556" w:type="pct"/>
          </w:tcPr>
          <w:p w14:paraId="722F8981" w14:textId="77777777" w:rsidR="00445258" w:rsidRPr="008F51E1" w:rsidRDefault="00445258" w:rsidP="00445258">
            <w:pPr>
              <w:overflowPunct w:val="0"/>
              <w:autoSpaceDE w:val="0"/>
              <w:autoSpaceDN w:val="0"/>
              <w:adjustRightInd w:val="0"/>
              <w:spacing w:line="240" w:lineRule="auto"/>
              <w:textAlignment w:val="baseline"/>
              <w:rPr>
                <w:i/>
                <w:sz w:val="22"/>
                <w:szCs w:val="22"/>
              </w:rPr>
            </w:pPr>
            <w:r w:rsidRPr="008F51E1">
              <w:rPr>
                <w:b/>
                <w:i/>
                <w:sz w:val="22"/>
                <w:szCs w:val="22"/>
              </w:rPr>
              <w:t>Contacto</w:t>
            </w:r>
          </w:p>
        </w:tc>
        <w:tc>
          <w:tcPr>
            <w:tcW w:w="3444" w:type="pct"/>
          </w:tcPr>
          <w:p w14:paraId="24BAFF65" w14:textId="77777777" w:rsidR="00445258" w:rsidRPr="008F51E1" w:rsidRDefault="00445258" w:rsidP="00445258">
            <w:pPr>
              <w:overflowPunct w:val="0"/>
              <w:autoSpaceDE w:val="0"/>
              <w:autoSpaceDN w:val="0"/>
              <w:adjustRightInd w:val="0"/>
              <w:spacing w:line="240" w:lineRule="auto"/>
              <w:textAlignment w:val="baseline"/>
              <w:rPr>
                <w:i/>
                <w:sz w:val="22"/>
                <w:szCs w:val="22"/>
              </w:rPr>
            </w:pPr>
            <w:r w:rsidRPr="008F51E1">
              <w:rPr>
                <w:i/>
                <w:sz w:val="22"/>
                <w:szCs w:val="22"/>
              </w:rPr>
              <w:t>Radoslava Stefankova</w:t>
            </w:r>
          </w:p>
        </w:tc>
      </w:tr>
      <w:tr w:rsidR="00445258" w:rsidRPr="00445258" w14:paraId="12D23E6C" w14:textId="77777777" w:rsidTr="002E7EFB">
        <w:tc>
          <w:tcPr>
            <w:tcW w:w="1556" w:type="pct"/>
          </w:tcPr>
          <w:p w14:paraId="3CC13004" w14:textId="77777777" w:rsidR="00445258" w:rsidRPr="008F51E1" w:rsidRDefault="00445258" w:rsidP="00445258">
            <w:pPr>
              <w:overflowPunct w:val="0"/>
              <w:autoSpaceDE w:val="0"/>
              <w:autoSpaceDN w:val="0"/>
              <w:adjustRightInd w:val="0"/>
              <w:spacing w:line="240" w:lineRule="auto"/>
              <w:textAlignment w:val="baseline"/>
              <w:rPr>
                <w:i/>
                <w:sz w:val="22"/>
                <w:szCs w:val="22"/>
              </w:rPr>
            </w:pPr>
            <w:r w:rsidRPr="008F51E1">
              <w:rPr>
                <w:i/>
                <w:sz w:val="22"/>
                <w:szCs w:val="22"/>
              </w:rPr>
              <w:t>Tel.</w:t>
            </w:r>
          </w:p>
        </w:tc>
        <w:tc>
          <w:tcPr>
            <w:tcW w:w="3444" w:type="pct"/>
          </w:tcPr>
          <w:p w14:paraId="5A5BE7A3" w14:textId="77777777" w:rsidR="00445258" w:rsidRPr="008F51E1" w:rsidRDefault="00445258" w:rsidP="00445258">
            <w:pPr>
              <w:overflowPunct w:val="0"/>
              <w:autoSpaceDE w:val="0"/>
              <w:autoSpaceDN w:val="0"/>
              <w:adjustRightInd w:val="0"/>
              <w:spacing w:line="240" w:lineRule="auto"/>
              <w:textAlignment w:val="baseline"/>
              <w:rPr>
                <w:i/>
                <w:sz w:val="22"/>
                <w:szCs w:val="22"/>
              </w:rPr>
            </w:pPr>
            <w:r w:rsidRPr="008F51E1">
              <w:rPr>
                <w:i/>
                <w:sz w:val="22"/>
                <w:szCs w:val="22"/>
              </w:rPr>
              <w:t>+32 2 546 81 88</w:t>
            </w:r>
          </w:p>
        </w:tc>
      </w:tr>
      <w:tr w:rsidR="00445258" w:rsidRPr="00445258" w14:paraId="751CD754" w14:textId="77777777" w:rsidTr="002E7EFB">
        <w:tc>
          <w:tcPr>
            <w:tcW w:w="1556" w:type="pct"/>
          </w:tcPr>
          <w:p w14:paraId="26B15F6C" w14:textId="299FB3B9" w:rsidR="00445258" w:rsidRPr="008F51E1" w:rsidRDefault="00070ED2" w:rsidP="00445258">
            <w:pPr>
              <w:overflowPunct w:val="0"/>
              <w:autoSpaceDE w:val="0"/>
              <w:autoSpaceDN w:val="0"/>
              <w:adjustRightInd w:val="0"/>
              <w:spacing w:line="240" w:lineRule="auto"/>
              <w:textAlignment w:val="baseline"/>
              <w:rPr>
                <w:i/>
                <w:sz w:val="22"/>
                <w:szCs w:val="22"/>
              </w:rPr>
            </w:pPr>
            <w:r w:rsidRPr="008F51E1">
              <w:rPr>
                <w:i/>
                <w:sz w:val="22"/>
                <w:szCs w:val="22"/>
              </w:rPr>
              <w:t>Endereço eletrónico</w:t>
            </w:r>
          </w:p>
        </w:tc>
        <w:tc>
          <w:tcPr>
            <w:tcW w:w="3444" w:type="pct"/>
          </w:tcPr>
          <w:p w14:paraId="7DA66FD2" w14:textId="77777777" w:rsidR="00445258" w:rsidRPr="008F51E1" w:rsidRDefault="008D063E" w:rsidP="00445258">
            <w:pPr>
              <w:overflowPunct w:val="0"/>
              <w:autoSpaceDE w:val="0"/>
              <w:autoSpaceDN w:val="0"/>
              <w:adjustRightInd w:val="0"/>
              <w:spacing w:line="240" w:lineRule="auto"/>
              <w:textAlignment w:val="baseline"/>
              <w:rPr>
                <w:i/>
                <w:iCs/>
                <w:sz w:val="22"/>
                <w:szCs w:val="22"/>
              </w:rPr>
            </w:pPr>
            <w:hyperlink r:id="rId43" w:history="1">
              <w:r w:rsidR="00A912EA" w:rsidRPr="008F51E1">
                <w:rPr>
                  <w:i/>
                  <w:color w:val="0000FF"/>
                  <w:sz w:val="22"/>
                  <w:szCs w:val="22"/>
                  <w:u w:val="single"/>
                </w:rPr>
                <w:t>Radoslava.Stefankova@eesc.europa.eu</w:t>
              </w:r>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7960F288" w:rsidR="00DE758A" w:rsidRPr="00DE758A" w:rsidRDefault="008D063E"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4" w:history="1">
        <w:r w:rsidR="00DE758A">
          <w:rPr>
            <w:b/>
            <w:i/>
            <w:iCs/>
            <w:color w:val="0000FF"/>
            <w:sz w:val="28"/>
            <w:u w:val="single"/>
          </w:rPr>
          <w:t>Proposta de regulamento – Revisão específica das regras da UE em matéria de dispositivos médicos e de diagnóstico</w:t>
        </w:r>
        <w:r w:rsidR="00DE758A">
          <w:rPr>
            <w:b/>
            <w:i/>
            <w:color w:val="0000FF"/>
            <w:sz w:val="28"/>
            <w:u w:val="single"/>
          </w:rPr>
          <w:t xml:space="preserve"> </w:t>
        </w:r>
        <w:r w:rsidR="00DE758A" w:rsidRPr="008F51E1">
          <w:rPr>
            <w:b/>
            <w:iCs/>
            <w:color w:val="0000FF"/>
            <w:sz w:val="28"/>
            <w:u w:val="single"/>
          </w:rPr>
          <w:t>in vitro</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239"/>
      </w:tblGrid>
      <w:tr w:rsidR="00DE758A" w:rsidRPr="00DE758A" w14:paraId="6B8DC8E9" w14:textId="77777777" w:rsidTr="002E7EFB">
        <w:trPr>
          <w:trHeight w:val="406"/>
        </w:trPr>
        <w:tc>
          <w:tcPr>
            <w:tcW w:w="1229" w:type="pct"/>
          </w:tcPr>
          <w:p w14:paraId="4CF05AE9" w14:textId="77777777" w:rsidR="00DE758A" w:rsidRPr="00ED4376" w:rsidRDefault="00DE758A" w:rsidP="00DE758A">
            <w:pPr>
              <w:tabs>
                <w:tab w:val="center" w:pos="284"/>
              </w:tabs>
              <w:overflowPunct w:val="0"/>
              <w:autoSpaceDE w:val="0"/>
              <w:autoSpaceDN w:val="0"/>
              <w:adjustRightInd w:val="0"/>
              <w:ind w:left="266" w:hanging="266"/>
              <w:textAlignment w:val="baseline"/>
              <w:rPr>
                <w:b/>
                <w:sz w:val="22"/>
                <w:szCs w:val="22"/>
              </w:rPr>
            </w:pPr>
            <w:r w:rsidRPr="00ED4376">
              <w:rPr>
                <w:b/>
                <w:sz w:val="22"/>
                <w:szCs w:val="22"/>
              </w:rPr>
              <w:t>Relator</w:t>
            </w:r>
          </w:p>
          <w:p w14:paraId="3BDC8518" w14:textId="77777777" w:rsidR="00DE758A" w:rsidRPr="00ED4376" w:rsidRDefault="00DE758A" w:rsidP="00DE758A">
            <w:pPr>
              <w:tabs>
                <w:tab w:val="center" w:pos="284"/>
              </w:tabs>
              <w:overflowPunct w:val="0"/>
              <w:autoSpaceDE w:val="0"/>
              <w:autoSpaceDN w:val="0"/>
              <w:adjustRightInd w:val="0"/>
              <w:ind w:left="266" w:hanging="266"/>
              <w:textAlignment w:val="baseline"/>
              <w:rPr>
                <w:b/>
                <w:sz w:val="22"/>
                <w:szCs w:val="22"/>
              </w:rPr>
            </w:pPr>
          </w:p>
        </w:tc>
        <w:tc>
          <w:tcPr>
            <w:tcW w:w="3771" w:type="pct"/>
          </w:tcPr>
          <w:p w14:paraId="15EACB81" w14:textId="174540E6" w:rsidR="00DE758A" w:rsidRPr="00ED4376" w:rsidRDefault="00DE758A" w:rsidP="00DE758A">
            <w:pPr>
              <w:tabs>
                <w:tab w:val="center" w:pos="0"/>
              </w:tabs>
              <w:overflowPunct w:val="0"/>
              <w:autoSpaceDE w:val="0"/>
              <w:autoSpaceDN w:val="0"/>
              <w:adjustRightInd w:val="0"/>
              <w:ind w:left="266" w:hanging="266"/>
              <w:textAlignment w:val="baseline"/>
              <w:rPr>
                <w:sz w:val="22"/>
                <w:szCs w:val="22"/>
              </w:rPr>
            </w:pPr>
            <w:r w:rsidRPr="00ED4376">
              <w:rPr>
                <w:sz w:val="22"/>
                <w:szCs w:val="22"/>
              </w:rPr>
              <w:t>Danko Relić (HR – Grupo das Organizações da Sociedade Civil)</w:t>
            </w:r>
          </w:p>
        </w:tc>
      </w:tr>
      <w:tr w:rsidR="00DE758A" w:rsidRPr="00DE758A" w14:paraId="32202284" w14:textId="77777777" w:rsidTr="002E7EFB">
        <w:tc>
          <w:tcPr>
            <w:tcW w:w="1229" w:type="pct"/>
          </w:tcPr>
          <w:p w14:paraId="39618390" w14:textId="77777777" w:rsidR="00DE758A" w:rsidRPr="00ED4376" w:rsidRDefault="00DE758A" w:rsidP="00DE758A">
            <w:pPr>
              <w:tabs>
                <w:tab w:val="center" w:pos="284"/>
              </w:tabs>
              <w:overflowPunct w:val="0"/>
              <w:autoSpaceDE w:val="0"/>
              <w:autoSpaceDN w:val="0"/>
              <w:adjustRightInd w:val="0"/>
              <w:ind w:left="266" w:hanging="266"/>
              <w:textAlignment w:val="baseline"/>
              <w:rPr>
                <w:b/>
                <w:sz w:val="22"/>
                <w:szCs w:val="22"/>
              </w:rPr>
            </w:pPr>
            <w:r w:rsidRPr="00ED4376">
              <w:rPr>
                <w:b/>
                <w:sz w:val="22"/>
                <w:szCs w:val="22"/>
              </w:rPr>
              <w:t>Referências</w:t>
            </w:r>
          </w:p>
        </w:tc>
        <w:tc>
          <w:tcPr>
            <w:tcW w:w="3771" w:type="pct"/>
          </w:tcPr>
          <w:p w14:paraId="6D00FAF5" w14:textId="56D763D6" w:rsidR="00DE758A" w:rsidRPr="00ED4376" w:rsidRDefault="00DE758A" w:rsidP="00DE758A">
            <w:pPr>
              <w:tabs>
                <w:tab w:val="center" w:pos="284"/>
              </w:tabs>
              <w:overflowPunct w:val="0"/>
              <w:autoSpaceDE w:val="0"/>
              <w:autoSpaceDN w:val="0"/>
              <w:adjustRightInd w:val="0"/>
              <w:ind w:left="266" w:hanging="266"/>
              <w:textAlignment w:val="baseline"/>
              <w:rPr>
                <w:sz w:val="22"/>
                <w:szCs w:val="22"/>
              </w:rPr>
            </w:pPr>
            <w:r w:rsidRPr="00ED4376">
              <w:rPr>
                <w:sz w:val="22"/>
                <w:szCs w:val="22"/>
              </w:rPr>
              <w:t xml:space="preserve">COM(2025) 1023 final </w:t>
            </w:r>
          </w:p>
          <w:p w14:paraId="59A88C6D" w14:textId="77777777" w:rsidR="00DE758A" w:rsidRPr="00ED4376" w:rsidRDefault="00DE758A" w:rsidP="00DE758A">
            <w:pPr>
              <w:tabs>
                <w:tab w:val="center" w:pos="284"/>
              </w:tabs>
              <w:overflowPunct w:val="0"/>
              <w:autoSpaceDE w:val="0"/>
              <w:autoSpaceDN w:val="0"/>
              <w:adjustRightInd w:val="0"/>
              <w:ind w:left="266" w:hanging="266"/>
              <w:textAlignment w:val="baseline"/>
              <w:rPr>
                <w:sz w:val="22"/>
                <w:szCs w:val="22"/>
              </w:rPr>
            </w:pPr>
            <w:r w:rsidRPr="00ED4376">
              <w:rPr>
                <w:sz w:val="22"/>
                <w:szCs w:val="22"/>
              </w:rP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Pontos principais</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O Comité Económico e Social Europeu:</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77777777" w:rsidR="00DE758A" w:rsidRPr="004C6742" w:rsidRDefault="00DE758A" w:rsidP="004C6742">
      <w:pPr>
        <w:pStyle w:val="ListParagraph"/>
        <w:numPr>
          <w:ilvl w:val="0"/>
          <w:numId w:val="77"/>
        </w:numPr>
        <w:ind w:left="567" w:hanging="567"/>
      </w:pPr>
      <w:r>
        <w:t xml:space="preserve">acolhe favoravelmente a proposta da Comissão de simplificar e racionalizar o Regulamento Dispositivos Médicos e o Regulamento Dispositivos Médicos para Diagnóstico </w:t>
      </w:r>
      <w:r>
        <w:rPr>
          <w:i/>
        </w:rPr>
        <w:t>in Vitro</w:t>
      </w:r>
      <w:r>
        <w:t>, sem deixar de assegurar plenamente um elevado nível de segurança dos doentes, de proteção da saúde pública e de confiança no sistema regulamentar;</w:t>
      </w:r>
    </w:p>
    <w:p w14:paraId="3F3B23CD" w14:textId="77777777" w:rsidR="00DE758A" w:rsidRPr="004C6742" w:rsidRDefault="00DE758A" w:rsidP="004C6742">
      <w:pPr>
        <w:pStyle w:val="ListParagraph"/>
        <w:numPr>
          <w:ilvl w:val="0"/>
          <w:numId w:val="77"/>
        </w:numPr>
        <w:ind w:left="567" w:hanging="567"/>
      </w:pPr>
      <w:r>
        <w:t xml:space="preserve">salienta que </w:t>
      </w:r>
      <w:r>
        <w:rPr>
          <w:b/>
        </w:rPr>
        <w:t>a simplificação deve garantir a segurança jurídica, a previsibilidade dos resultados da certificação e práticas harmonizadas entre os Estados-Membros</w:t>
      </w:r>
      <w:r>
        <w:t>, evitando divergências entre os organismos notificados e preservando as PME e as microempresas da incerteza;</w:t>
      </w:r>
    </w:p>
    <w:p w14:paraId="5AD93FCB" w14:textId="77777777" w:rsidR="00DE758A" w:rsidRPr="004C6742" w:rsidRDefault="00DE758A" w:rsidP="004C6742">
      <w:pPr>
        <w:pStyle w:val="ListParagraph"/>
        <w:numPr>
          <w:ilvl w:val="0"/>
          <w:numId w:val="77"/>
        </w:numPr>
        <w:ind w:left="567" w:hanging="567"/>
      </w:pPr>
      <w:r>
        <w:t xml:space="preserve">realça que </w:t>
      </w:r>
      <w:r>
        <w:rPr>
          <w:b/>
        </w:rPr>
        <w:t>a digitalização dos procedimentos de avaliação da conformidade e das auditorias devem evitar a duplicação de requisitos e os custos adicionais</w:t>
      </w:r>
      <w:r>
        <w:t>, especialmente para as PME, os trabalhadores e o pessoal de saúde, e deve ser apoiada por orientações claras, formação e assistência técnica;</w:t>
      </w:r>
    </w:p>
    <w:p w14:paraId="5B714428" w14:textId="77777777" w:rsidR="00DE758A" w:rsidRPr="004C6742" w:rsidRDefault="00DE758A" w:rsidP="004C6742">
      <w:pPr>
        <w:pStyle w:val="ListParagraph"/>
        <w:numPr>
          <w:ilvl w:val="0"/>
          <w:numId w:val="77"/>
        </w:numPr>
        <w:ind w:left="567" w:hanging="567"/>
      </w:pPr>
      <w:r>
        <w:t xml:space="preserve">salienta que </w:t>
      </w:r>
      <w:r>
        <w:rPr>
          <w:b/>
          <w:bCs/>
        </w:rPr>
        <w:t>a simplificação não deve ser neutralizada pelo aumento das taxas cobradas pelos organismos notificados</w:t>
      </w:r>
      <w:r>
        <w:t xml:space="preserve"> e que </w:t>
      </w:r>
      <w:r>
        <w:rPr>
          <w:b/>
          <w:bCs/>
        </w:rPr>
        <w:t>são necessários sistemas mais robustos de fiscalização pós-comercialização</w:t>
      </w:r>
      <w:r>
        <w:t xml:space="preserve"> enquanto medida fundamental para contrabalançar a flexibilidade acrescida em matéria de requisitos aplicáveis antes da comercialização;</w:t>
      </w:r>
    </w:p>
    <w:p w14:paraId="2350A493" w14:textId="77777777" w:rsidR="00DE758A" w:rsidRPr="004C6742" w:rsidRDefault="00DE758A" w:rsidP="004C6742">
      <w:pPr>
        <w:pStyle w:val="ListParagraph"/>
        <w:numPr>
          <w:ilvl w:val="0"/>
          <w:numId w:val="77"/>
        </w:numPr>
        <w:ind w:left="567" w:hanging="567"/>
      </w:pPr>
      <w:r>
        <w:t xml:space="preserve">apoia vias regulamentares favoráveis à </w:t>
      </w:r>
      <w:r>
        <w:rPr>
          <w:b/>
        </w:rPr>
        <w:t>inovação para dispositivos revolucionários e órfãos, assegurando simultaneamente a transparência</w:t>
      </w:r>
      <w:r>
        <w:t xml:space="preserve"> (nomeadamente através da EUDAMED), e defende a </w:t>
      </w:r>
      <w:r>
        <w:rPr>
          <w:b/>
        </w:rPr>
        <w:t>participação sistemática dos parceiros sociais, dos profissionais de saúde e da sociedade civil</w:t>
      </w:r>
      <w:r>
        <w:t xml:space="preserve"> no acompanhamento da aplicação e dos impactos.</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8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149"/>
      </w:tblGrid>
      <w:tr w:rsidR="00DE758A" w:rsidRPr="00ED4376" w14:paraId="5DE0DD71" w14:textId="77777777" w:rsidTr="00ED4376">
        <w:tc>
          <w:tcPr>
            <w:tcW w:w="1445" w:type="pct"/>
          </w:tcPr>
          <w:p w14:paraId="406D8126" w14:textId="77777777" w:rsidR="00DE758A" w:rsidRPr="00ED4376" w:rsidRDefault="00DE758A" w:rsidP="00DE758A">
            <w:pPr>
              <w:overflowPunct w:val="0"/>
              <w:autoSpaceDE w:val="0"/>
              <w:autoSpaceDN w:val="0"/>
              <w:adjustRightInd w:val="0"/>
              <w:spacing w:line="240" w:lineRule="auto"/>
              <w:textAlignment w:val="baseline"/>
              <w:rPr>
                <w:i/>
                <w:sz w:val="22"/>
                <w:szCs w:val="22"/>
              </w:rPr>
            </w:pPr>
            <w:r w:rsidRPr="00ED4376">
              <w:rPr>
                <w:b/>
                <w:i/>
                <w:sz w:val="22"/>
                <w:szCs w:val="22"/>
              </w:rPr>
              <w:t>Contacto</w:t>
            </w:r>
          </w:p>
        </w:tc>
        <w:tc>
          <w:tcPr>
            <w:tcW w:w="3555" w:type="pct"/>
          </w:tcPr>
          <w:p w14:paraId="440062F3" w14:textId="44031FFA" w:rsidR="00DE758A" w:rsidRPr="00ED4376" w:rsidRDefault="00DE758A" w:rsidP="00DE758A">
            <w:pPr>
              <w:overflowPunct w:val="0"/>
              <w:autoSpaceDE w:val="0"/>
              <w:autoSpaceDN w:val="0"/>
              <w:adjustRightInd w:val="0"/>
              <w:spacing w:line="240" w:lineRule="auto"/>
              <w:textAlignment w:val="baseline"/>
              <w:rPr>
                <w:i/>
                <w:sz w:val="22"/>
                <w:szCs w:val="22"/>
              </w:rPr>
            </w:pPr>
            <w:r w:rsidRPr="00ED4376">
              <w:rPr>
                <w:i/>
                <w:sz w:val="22"/>
                <w:szCs w:val="22"/>
              </w:rPr>
              <w:t>Silvia Staffa</w:t>
            </w:r>
          </w:p>
        </w:tc>
      </w:tr>
      <w:tr w:rsidR="00DE758A" w:rsidRPr="00ED4376" w14:paraId="3624305D" w14:textId="77777777" w:rsidTr="00ED4376">
        <w:tc>
          <w:tcPr>
            <w:tcW w:w="1445" w:type="pct"/>
          </w:tcPr>
          <w:p w14:paraId="169C17BD" w14:textId="77777777" w:rsidR="00DE758A" w:rsidRPr="00ED4376" w:rsidRDefault="00DE758A" w:rsidP="00DE758A">
            <w:pPr>
              <w:overflowPunct w:val="0"/>
              <w:autoSpaceDE w:val="0"/>
              <w:autoSpaceDN w:val="0"/>
              <w:adjustRightInd w:val="0"/>
              <w:spacing w:line="240" w:lineRule="auto"/>
              <w:textAlignment w:val="baseline"/>
              <w:rPr>
                <w:i/>
                <w:sz w:val="22"/>
                <w:szCs w:val="22"/>
              </w:rPr>
            </w:pPr>
            <w:r w:rsidRPr="00ED4376">
              <w:rPr>
                <w:i/>
                <w:sz w:val="22"/>
                <w:szCs w:val="22"/>
              </w:rPr>
              <w:t>Tel.</w:t>
            </w:r>
          </w:p>
        </w:tc>
        <w:tc>
          <w:tcPr>
            <w:tcW w:w="3555" w:type="pct"/>
          </w:tcPr>
          <w:p w14:paraId="7D475F69" w14:textId="77777777" w:rsidR="00DE758A" w:rsidRPr="00ED4376" w:rsidRDefault="00DE758A" w:rsidP="00DE758A">
            <w:pPr>
              <w:overflowPunct w:val="0"/>
              <w:autoSpaceDE w:val="0"/>
              <w:autoSpaceDN w:val="0"/>
              <w:adjustRightInd w:val="0"/>
              <w:spacing w:line="240" w:lineRule="auto"/>
              <w:textAlignment w:val="baseline"/>
              <w:rPr>
                <w:i/>
                <w:sz w:val="22"/>
                <w:szCs w:val="22"/>
              </w:rPr>
            </w:pPr>
            <w:r w:rsidRPr="00ED4376">
              <w:rPr>
                <w:i/>
                <w:sz w:val="22"/>
                <w:szCs w:val="22"/>
              </w:rPr>
              <w:t>+32 2 546 83 78</w:t>
            </w:r>
          </w:p>
        </w:tc>
      </w:tr>
      <w:tr w:rsidR="00DE758A" w:rsidRPr="00ED4376" w14:paraId="7362C1AC" w14:textId="77777777" w:rsidTr="00ED4376">
        <w:tc>
          <w:tcPr>
            <w:tcW w:w="1445" w:type="pct"/>
          </w:tcPr>
          <w:p w14:paraId="256024F2" w14:textId="77777777" w:rsidR="00DE758A" w:rsidRPr="00ED4376" w:rsidRDefault="00DE758A" w:rsidP="00DE758A">
            <w:pPr>
              <w:overflowPunct w:val="0"/>
              <w:autoSpaceDE w:val="0"/>
              <w:autoSpaceDN w:val="0"/>
              <w:adjustRightInd w:val="0"/>
              <w:spacing w:line="240" w:lineRule="auto"/>
              <w:textAlignment w:val="baseline"/>
              <w:rPr>
                <w:i/>
                <w:sz w:val="22"/>
                <w:szCs w:val="22"/>
              </w:rPr>
            </w:pPr>
            <w:r w:rsidRPr="00ED4376">
              <w:rPr>
                <w:i/>
                <w:sz w:val="22"/>
                <w:szCs w:val="22"/>
              </w:rPr>
              <w:t>Endereço eletrónico</w:t>
            </w:r>
          </w:p>
        </w:tc>
        <w:tc>
          <w:tcPr>
            <w:tcW w:w="3555" w:type="pct"/>
          </w:tcPr>
          <w:p w14:paraId="7476247D" w14:textId="77777777" w:rsidR="00DE758A" w:rsidRPr="00ED4376" w:rsidRDefault="008D063E" w:rsidP="00DE758A">
            <w:pPr>
              <w:overflowPunct w:val="0"/>
              <w:autoSpaceDE w:val="0"/>
              <w:autoSpaceDN w:val="0"/>
              <w:adjustRightInd w:val="0"/>
              <w:spacing w:line="240" w:lineRule="auto"/>
              <w:textAlignment w:val="baseline"/>
              <w:rPr>
                <w:i/>
                <w:iCs/>
                <w:sz w:val="22"/>
                <w:szCs w:val="22"/>
              </w:rPr>
            </w:pPr>
            <w:hyperlink r:id="rId45" w:history="1">
              <w:r w:rsidR="00A912EA" w:rsidRPr="00ED4376">
                <w:rPr>
                  <w:i/>
                  <w:color w:val="0000FF"/>
                  <w:sz w:val="22"/>
                  <w:szCs w:val="22"/>
                  <w:u w:val="single"/>
                </w:rPr>
                <w:t>Silvia.Staffa@eesc.europa.eu</w:t>
              </w:r>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2EFA7F4B" w:rsidR="00CB6F1C" w:rsidRPr="00CB6F1C" w:rsidRDefault="008D063E" w:rsidP="00CB6F1C">
      <w:pPr>
        <w:widowControl w:val="0"/>
        <w:numPr>
          <w:ilvl w:val="0"/>
          <w:numId w:val="4"/>
        </w:numPr>
        <w:overflowPunct w:val="0"/>
        <w:autoSpaceDE w:val="0"/>
        <w:autoSpaceDN w:val="0"/>
        <w:adjustRightInd w:val="0"/>
        <w:ind w:hanging="567"/>
        <w:textAlignment w:val="baseline"/>
        <w:rPr>
          <w:sz w:val="20"/>
          <w:szCs w:val="20"/>
        </w:rPr>
      </w:pPr>
      <w:hyperlink r:id="rId46" w:history="1">
        <w:r w:rsidR="00CB6F1C">
          <w:rPr>
            <w:b/>
            <w:i/>
            <w:color w:val="0000FF"/>
            <w:sz w:val="28"/>
            <w:u w:val="single"/>
          </w:rPr>
          <w:t>Normalização estrat</w:t>
        </w:r>
        <w:r w:rsidR="00CB6F1C">
          <w:rPr>
            <w:b/>
            <w:i/>
            <w:color w:val="0000FF"/>
            <w:sz w:val="28"/>
            <w:u w:val="single"/>
          </w:rPr>
          <w:t>é</w:t>
        </w:r>
        <w:r w:rsidR="00CB6F1C">
          <w:rPr>
            <w:b/>
            <w:i/>
            <w:color w:val="0000FF"/>
            <w:sz w:val="28"/>
            <w:u w:val="single"/>
          </w:rPr>
          <w:t>gica para um mercado único mais forte</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CB6F1C" w14:paraId="45F8A76C" w14:textId="77777777" w:rsidTr="004B48B1">
        <w:tc>
          <w:tcPr>
            <w:tcW w:w="1701" w:type="dxa"/>
          </w:tcPr>
          <w:p w14:paraId="2632F8D5" w14:textId="77777777" w:rsidR="00CB6F1C" w:rsidRPr="00ED4376" w:rsidRDefault="00CB6F1C" w:rsidP="00CB6F1C">
            <w:pPr>
              <w:tabs>
                <w:tab w:val="center" w:pos="284"/>
              </w:tabs>
              <w:overflowPunct w:val="0"/>
              <w:autoSpaceDE w:val="0"/>
              <w:autoSpaceDN w:val="0"/>
              <w:adjustRightInd w:val="0"/>
              <w:ind w:left="266" w:hanging="266"/>
              <w:textAlignment w:val="baseline"/>
              <w:rPr>
                <w:b/>
                <w:sz w:val="22"/>
                <w:szCs w:val="22"/>
              </w:rPr>
            </w:pPr>
            <w:r w:rsidRPr="00ED4376">
              <w:rPr>
                <w:b/>
                <w:sz w:val="22"/>
                <w:szCs w:val="22"/>
              </w:rPr>
              <w:t>Relator</w:t>
            </w:r>
          </w:p>
        </w:tc>
        <w:tc>
          <w:tcPr>
            <w:tcW w:w="7371" w:type="dxa"/>
          </w:tcPr>
          <w:p w14:paraId="0C80D85A" w14:textId="5AF224CE" w:rsidR="00CB6F1C" w:rsidRPr="00ED4376" w:rsidRDefault="00CB6F1C" w:rsidP="00CB6F1C">
            <w:pPr>
              <w:tabs>
                <w:tab w:val="center" w:pos="284"/>
              </w:tabs>
              <w:overflowPunct w:val="0"/>
              <w:autoSpaceDE w:val="0"/>
              <w:autoSpaceDN w:val="0"/>
              <w:adjustRightInd w:val="0"/>
              <w:ind w:left="266" w:hanging="266"/>
              <w:textAlignment w:val="baseline"/>
              <w:rPr>
                <w:sz w:val="22"/>
                <w:szCs w:val="22"/>
              </w:rPr>
            </w:pPr>
            <w:r w:rsidRPr="00ED4376">
              <w:rPr>
                <w:sz w:val="22"/>
                <w:szCs w:val="22"/>
              </w:rPr>
              <w:t>Angelo Pagliara (IT – Grupo dos Trabalhadores)</w:t>
            </w:r>
          </w:p>
        </w:tc>
      </w:tr>
      <w:tr w:rsidR="00CB6F1C" w:rsidRPr="00CB6F1C" w14:paraId="604CF083" w14:textId="77777777" w:rsidTr="004B48B1">
        <w:tc>
          <w:tcPr>
            <w:tcW w:w="9072" w:type="dxa"/>
            <w:gridSpan w:val="2"/>
          </w:tcPr>
          <w:p w14:paraId="6F3BB2F2" w14:textId="77777777" w:rsidR="00CB6F1C" w:rsidRPr="00ED4376" w:rsidRDefault="00CB6F1C" w:rsidP="00CB6F1C">
            <w:pPr>
              <w:tabs>
                <w:tab w:val="center" w:pos="284"/>
              </w:tabs>
              <w:overflowPunct w:val="0"/>
              <w:autoSpaceDE w:val="0"/>
              <w:autoSpaceDN w:val="0"/>
              <w:adjustRightInd w:val="0"/>
              <w:spacing w:line="160" w:lineRule="exact"/>
              <w:ind w:left="266" w:hanging="266"/>
              <w:textAlignment w:val="baseline"/>
              <w:rPr>
                <w:sz w:val="22"/>
                <w:szCs w:val="22"/>
              </w:rPr>
            </w:pPr>
          </w:p>
        </w:tc>
      </w:tr>
      <w:tr w:rsidR="00CB6F1C" w:rsidRPr="00CB6F1C" w14:paraId="2D181A35" w14:textId="77777777" w:rsidTr="004B48B1">
        <w:tc>
          <w:tcPr>
            <w:tcW w:w="1701" w:type="dxa"/>
            <w:vMerge w:val="restart"/>
          </w:tcPr>
          <w:p w14:paraId="02B3C283" w14:textId="77777777" w:rsidR="00CB6F1C" w:rsidRPr="00ED4376" w:rsidRDefault="00CB6F1C" w:rsidP="00CB6F1C">
            <w:pPr>
              <w:tabs>
                <w:tab w:val="center" w:pos="284"/>
              </w:tabs>
              <w:overflowPunct w:val="0"/>
              <w:autoSpaceDE w:val="0"/>
              <w:autoSpaceDN w:val="0"/>
              <w:adjustRightInd w:val="0"/>
              <w:ind w:left="266" w:hanging="266"/>
              <w:textAlignment w:val="baseline"/>
              <w:rPr>
                <w:b/>
                <w:sz w:val="22"/>
                <w:szCs w:val="22"/>
              </w:rPr>
            </w:pPr>
            <w:r w:rsidRPr="00ED4376">
              <w:rPr>
                <w:b/>
                <w:sz w:val="22"/>
                <w:szCs w:val="22"/>
              </w:rPr>
              <w:t>Referências</w:t>
            </w:r>
          </w:p>
        </w:tc>
        <w:tc>
          <w:tcPr>
            <w:tcW w:w="7371" w:type="dxa"/>
          </w:tcPr>
          <w:p w14:paraId="4539C4CD" w14:textId="77777777" w:rsidR="00CB6F1C" w:rsidRPr="00ED4376" w:rsidRDefault="00CB6F1C" w:rsidP="00CB6F1C">
            <w:pPr>
              <w:tabs>
                <w:tab w:val="center" w:pos="284"/>
              </w:tabs>
              <w:overflowPunct w:val="0"/>
              <w:autoSpaceDE w:val="0"/>
              <w:autoSpaceDN w:val="0"/>
              <w:adjustRightInd w:val="0"/>
              <w:ind w:left="266" w:hanging="266"/>
              <w:textAlignment w:val="baseline"/>
              <w:rPr>
                <w:sz w:val="22"/>
                <w:szCs w:val="22"/>
              </w:rPr>
            </w:pPr>
            <w:r w:rsidRPr="00ED4376">
              <w:rPr>
                <w:sz w:val="22"/>
                <w:szCs w:val="22"/>
              </w:rPr>
              <w:t>Parecer de iniciativa</w:t>
            </w:r>
          </w:p>
          <w:p w14:paraId="543FC291" w14:textId="77777777" w:rsidR="00CB6F1C" w:rsidRPr="00ED4376" w:rsidRDefault="00CB6F1C" w:rsidP="00CB6F1C">
            <w:pPr>
              <w:tabs>
                <w:tab w:val="center" w:pos="284"/>
              </w:tabs>
              <w:overflowPunct w:val="0"/>
              <w:autoSpaceDE w:val="0"/>
              <w:autoSpaceDN w:val="0"/>
              <w:adjustRightInd w:val="0"/>
              <w:ind w:left="266" w:hanging="266"/>
              <w:textAlignment w:val="baseline"/>
              <w:rPr>
                <w:sz w:val="22"/>
                <w:szCs w:val="22"/>
              </w:rPr>
            </w:pPr>
            <w:r w:rsidRPr="00ED4376">
              <w:rPr>
                <w:sz w:val="22"/>
                <w:szCs w:val="22"/>
              </w:rPr>
              <w:t>EESC-2026-00549-00-00-AC</w:t>
            </w:r>
          </w:p>
        </w:tc>
      </w:tr>
      <w:tr w:rsidR="00CB6F1C" w:rsidRPr="00CB6F1C" w14:paraId="2C4983D0" w14:textId="77777777" w:rsidTr="004B48B1">
        <w:tc>
          <w:tcPr>
            <w:tcW w:w="1701" w:type="dxa"/>
            <w:vMerge/>
          </w:tcPr>
          <w:p w14:paraId="10B21B74"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p>
        </w:tc>
        <w:tc>
          <w:tcPr>
            <w:tcW w:w="7371" w:type="dxa"/>
          </w:tcPr>
          <w:p w14:paraId="1BD3ED76" w14:textId="77777777" w:rsidR="00CB6F1C" w:rsidRPr="00CB6F1C" w:rsidRDefault="00CB6F1C" w:rsidP="00CB6F1C">
            <w:pPr>
              <w:tabs>
                <w:tab w:val="center" w:pos="284"/>
              </w:tabs>
              <w:overflowPunct w:val="0"/>
              <w:autoSpaceDE w:val="0"/>
              <w:autoSpaceDN w:val="0"/>
              <w:adjustRightInd w:val="0"/>
              <w:ind w:left="266" w:hanging="266"/>
              <w:textAlignment w:val="baseline"/>
            </w:pPr>
          </w:p>
        </w:tc>
      </w:tr>
    </w:tbl>
    <w:p w14:paraId="1B528208" w14:textId="167AD465"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Pontos principais</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r>
        <w:t>O Comité Económico e Social Europeu:</w:t>
      </w:r>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C18654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frisa que a </w:t>
      </w:r>
      <w:r>
        <w:rPr>
          <w:b/>
        </w:rPr>
        <w:t>inclusividade</w:t>
      </w:r>
      <w:r>
        <w:t xml:space="preserve"> é essencial para um sistema de normalização legítimo e eficaz, o que exige uma </w:t>
      </w:r>
      <w:r>
        <w:rPr>
          <w:b/>
        </w:rPr>
        <w:t>maior participação das PME, dos sindicatos e da sociedade civil</w:t>
      </w:r>
      <w:r>
        <w:t>, com o apoio de financiamento adequado, o reforço das capacidades e um acesso simplificado;</w:t>
      </w:r>
    </w:p>
    <w:p w14:paraId="0EF2C81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solicita salvaguardas claras para proteger o diálogo social e insiste em que as </w:t>
      </w:r>
      <w:r>
        <w:rPr>
          <w:b/>
        </w:rPr>
        <w:t>normas europeias continuem a ser instrumentos técnicos de apoio à legislação</w:t>
      </w:r>
      <w:r>
        <w:t>, não devendo regulamentar nem interferir com os direitos dos trabalhadores, as condições de trabalho ou a negociação coletiva;</w:t>
      </w:r>
    </w:p>
    <w:p w14:paraId="12F2C5A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recomenda uma </w:t>
      </w:r>
      <w:r>
        <w:rPr>
          <w:b/>
        </w:rPr>
        <w:t>maior transparência</w:t>
      </w:r>
      <w:r>
        <w:t xml:space="preserve"> e acessibilidade, incluindo um </w:t>
      </w:r>
      <w:r>
        <w:rPr>
          <w:b/>
        </w:rPr>
        <w:t>acesso mais fácil do público às normas</w:t>
      </w:r>
      <w:r>
        <w:t xml:space="preserve">, uma </w:t>
      </w:r>
      <w:r>
        <w:rPr>
          <w:b/>
        </w:rPr>
        <w:t>governação mais clara dos comités técnicos</w:t>
      </w:r>
      <w:r>
        <w:t xml:space="preserve"> e uma </w:t>
      </w:r>
      <w:r>
        <w:rPr>
          <w:b/>
        </w:rPr>
        <w:t>avaliação prévia dos pedidos de normalização</w:t>
      </w:r>
      <w:r>
        <w:t>, a fim de assegurar o respeito dos direitos fundamentais e o cumprimento da legislação da UE;</w:t>
      </w:r>
    </w:p>
    <w:p w14:paraId="0695E42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destaca o papel estratégico da normalização na promoção do mercado único, da competitividade e da autonomia estratégica aberta e insta simultaneamente a uma maior </w:t>
      </w:r>
      <w:r>
        <w:rPr>
          <w:b/>
        </w:rPr>
        <w:t>coordenação da UE na definição de normas internacionais</w:t>
      </w:r>
      <w:r>
        <w:t>, a fim de salvaguardar os interesses europeus e normas rigorosas;</w:t>
      </w:r>
    </w:p>
    <w:p w14:paraId="3F5E5408"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preconiza um sistema mais eficiente e </w:t>
      </w:r>
      <w:r>
        <w:rPr>
          <w:b/>
        </w:rPr>
        <w:t>preparado para o futuro</w:t>
      </w:r>
      <w:r>
        <w:t xml:space="preserve">, que melhore a </w:t>
      </w:r>
      <w:r>
        <w:rPr>
          <w:b/>
        </w:rPr>
        <w:t>oportunidade</w:t>
      </w:r>
      <w:r>
        <w:t xml:space="preserve"> e a qualidade, abordando simultaneamente as </w:t>
      </w:r>
      <w:r>
        <w:rPr>
          <w:b/>
        </w:rPr>
        <w:t>tecnologias emergentes</w:t>
      </w:r>
      <w:r>
        <w:t xml:space="preserve"> e assegurando que as normas apoiam a inovação, a sustentabilidade e </w:t>
      </w:r>
      <w:r>
        <w:rPr>
          <w:b/>
        </w:rPr>
        <w:t>níveis elevados de proteção dos trabalhadores, dos consumidores e do ambiente</w:t>
      </w:r>
      <w:r>
        <w:t>.</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670"/>
      </w:tblGrid>
      <w:tr w:rsidR="00CB6F1C" w:rsidRPr="00CB6F1C" w14:paraId="10996137" w14:textId="77777777" w:rsidTr="00ED4376">
        <w:tc>
          <w:tcPr>
            <w:tcW w:w="2093" w:type="dxa"/>
          </w:tcPr>
          <w:p w14:paraId="14035960" w14:textId="77777777" w:rsidR="00CB6F1C" w:rsidRPr="00ED4376" w:rsidRDefault="00CB6F1C" w:rsidP="00CB6F1C">
            <w:pPr>
              <w:overflowPunct w:val="0"/>
              <w:autoSpaceDE w:val="0"/>
              <w:autoSpaceDN w:val="0"/>
              <w:adjustRightInd w:val="0"/>
              <w:spacing w:line="240" w:lineRule="auto"/>
              <w:textAlignment w:val="baseline"/>
              <w:rPr>
                <w:i/>
                <w:sz w:val="22"/>
                <w:szCs w:val="22"/>
              </w:rPr>
            </w:pPr>
            <w:r w:rsidRPr="00ED4376">
              <w:rPr>
                <w:b/>
                <w:i/>
                <w:sz w:val="22"/>
                <w:szCs w:val="22"/>
              </w:rPr>
              <w:t>Contacto</w:t>
            </w:r>
          </w:p>
        </w:tc>
        <w:tc>
          <w:tcPr>
            <w:tcW w:w="5670" w:type="dxa"/>
          </w:tcPr>
          <w:p w14:paraId="5F887264" w14:textId="77777777" w:rsidR="00CB6F1C" w:rsidRPr="00ED4376" w:rsidRDefault="00CB6F1C" w:rsidP="00CB6F1C">
            <w:pPr>
              <w:overflowPunct w:val="0"/>
              <w:autoSpaceDE w:val="0"/>
              <w:autoSpaceDN w:val="0"/>
              <w:adjustRightInd w:val="0"/>
              <w:spacing w:line="240" w:lineRule="auto"/>
              <w:textAlignment w:val="baseline"/>
              <w:rPr>
                <w:i/>
                <w:sz w:val="22"/>
                <w:szCs w:val="22"/>
              </w:rPr>
            </w:pPr>
            <w:r w:rsidRPr="00ED4376">
              <w:rPr>
                <w:i/>
                <w:sz w:val="22"/>
                <w:szCs w:val="22"/>
              </w:rPr>
              <w:t>Silvia Staffa</w:t>
            </w:r>
          </w:p>
        </w:tc>
      </w:tr>
      <w:tr w:rsidR="00CB6F1C" w:rsidRPr="00CB6F1C" w14:paraId="79343DDB" w14:textId="77777777" w:rsidTr="00ED4376">
        <w:tc>
          <w:tcPr>
            <w:tcW w:w="2093" w:type="dxa"/>
          </w:tcPr>
          <w:p w14:paraId="67332A42" w14:textId="77777777" w:rsidR="00CB6F1C" w:rsidRPr="00ED4376" w:rsidRDefault="00CB6F1C" w:rsidP="00CB6F1C">
            <w:pPr>
              <w:overflowPunct w:val="0"/>
              <w:autoSpaceDE w:val="0"/>
              <w:autoSpaceDN w:val="0"/>
              <w:adjustRightInd w:val="0"/>
              <w:spacing w:line="240" w:lineRule="auto"/>
              <w:textAlignment w:val="baseline"/>
              <w:rPr>
                <w:i/>
                <w:sz w:val="22"/>
                <w:szCs w:val="22"/>
              </w:rPr>
            </w:pPr>
            <w:r w:rsidRPr="00ED4376">
              <w:rPr>
                <w:i/>
                <w:sz w:val="22"/>
                <w:szCs w:val="22"/>
              </w:rPr>
              <w:t>Tel.</w:t>
            </w:r>
          </w:p>
        </w:tc>
        <w:tc>
          <w:tcPr>
            <w:tcW w:w="5670" w:type="dxa"/>
          </w:tcPr>
          <w:p w14:paraId="30E9176B" w14:textId="77777777" w:rsidR="00CB6F1C" w:rsidRPr="00ED4376" w:rsidRDefault="00CB6F1C" w:rsidP="00CB6F1C">
            <w:pPr>
              <w:overflowPunct w:val="0"/>
              <w:autoSpaceDE w:val="0"/>
              <w:autoSpaceDN w:val="0"/>
              <w:adjustRightInd w:val="0"/>
              <w:spacing w:line="240" w:lineRule="auto"/>
              <w:textAlignment w:val="baseline"/>
              <w:rPr>
                <w:i/>
                <w:sz w:val="22"/>
                <w:szCs w:val="22"/>
              </w:rPr>
            </w:pPr>
            <w:r w:rsidRPr="00ED4376">
              <w:rPr>
                <w:i/>
                <w:sz w:val="22"/>
                <w:szCs w:val="22"/>
              </w:rPr>
              <w:t>+32 2 546 83 78</w:t>
            </w:r>
          </w:p>
        </w:tc>
      </w:tr>
      <w:tr w:rsidR="00CB6F1C" w:rsidRPr="00CB6F1C" w14:paraId="47D09906" w14:textId="77777777" w:rsidTr="00ED4376">
        <w:trPr>
          <w:trHeight w:val="699"/>
        </w:trPr>
        <w:tc>
          <w:tcPr>
            <w:tcW w:w="2093" w:type="dxa"/>
          </w:tcPr>
          <w:p w14:paraId="64360087" w14:textId="77777777" w:rsidR="00CB6F1C" w:rsidRPr="00ED4376" w:rsidRDefault="00CB6F1C" w:rsidP="00CB6F1C">
            <w:pPr>
              <w:overflowPunct w:val="0"/>
              <w:autoSpaceDE w:val="0"/>
              <w:autoSpaceDN w:val="0"/>
              <w:adjustRightInd w:val="0"/>
              <w:spacing w:line="240" w:lineRule="auto"/>
              <w:textAlignment w:val="baseline"/>
              <w:rPr>
                <w:i/>
                <w:sz w:val="22"/>
                <w:szCs w:val="22"/>
              </w:rPr>
            </w:pPr>
            <w:r w:rsidRPr="00ED4376">
              <w:rPr>
                <w:i/>
                <w:sz w:val="22"/>
                <w:szCs w:val="22"/>
              </w:rPr>
              <w:t>Endereço eletrónico</w:t>
            </w:r>
          </w:p>
        </w:tc>
        <w:tc>
          <w:tcPr>
            <w:tcW w:w="5670" w:type="dxa"/>
          </w:tcPr>
          <w:p w14:paraId="06BF328F" w14:textId="77777777" w:rsidR="00CB6F1C" w:rsidRPr="00ED4376" w:rsidRDefault="008D063E" w:rsidP="00CB6F1C">
            <w:pPr>
              <w:overflowPunct w:val="0"/>
              <w:autoSpaceDE w:val="0"/>
              <w:autoSpaceDN w:val="0"/>
              <w:adjustRightInd w:val="0"/>
              <w:spacing w:line="240" w:lineRule="auto"/>
              <w:textAlignment w:val="baseline"/>
              <w:rPr>
                <w:i/>
                <w:sz w:val="22"/>
                <w:szCs w:val="22"/>
              </w:rPr>
            </w:pPr>
            <w:hyperlink r:id="rId47" w:history="1">
              <w:r w:rsidR="00A912EA" w:rsidRPr="00ED4376">
                <w:rPr>
                  <w:i/>
                  <w:color w:val="0000FF"/>
                  <w:sz w:val="22"/>
                  <w:szCs w:val="22"/>
                  <w:u w:val="single"/>
                </w:rPr>
                <w:t>Silvia.Staffa@eesc.europa.eu</w:t>
              </w:r>
            </w:hyperlink>
          </w:p>
          <w:p w14:paraId="7003408F" w14:textId="77777777" w:rsidR="00CB6F1C" w:rsidRPr="00ED4376" w:rsidRDefault="00CB6F1C" w:rsidP="00CB6F1C">
            <w:pPr>
              <w:overflowPunct w:val="0"/>
              <w:autoSpaceDE w:val="0"/>
              <w:autoSpaceDN w:val="0"/>
              <w:adjustRightInd w:val="0"/>
              <w:spacing w:line="240" w:lineRule="auto"/>
              <w:textAlignment w:val="baseline"/>
              <w:rPr>
                <w:i/>
                <w:sz w:val="22"/>
                <w:szCs w:val="22"/>
              </w:rPr>
            </w:pPr>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5919CFDB" w:rsidR="001F4150" w:rsidRPr="001F4150" w:rsidRDefault="008D063E"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8" w:history="1">
        <w:r w:rsidR="00A067F3">
          <w:rPr>
            <w:b/>
            <w:i/>
            <w:color w:val="0000FF"/>
            <w:sz w:val="28"/>
            <w:u w:val="single"/>
          </w:rPr>
          <w:t>Merca</w:t>
        </w:r>
        <w:r w:rsidR="00A067F3">
          <w:rPr>
            <w:b/>
            <w:i/>
            <w:color w:val="0000FF"/>
            <w:sz w:val="28"/>
            <w:u w:val="single"/>
          </w:rPr>
          <w:t>d</w:t>
        </w:r>
        <w:r w:rsidR="00A067F3">
          <w:rPr>
            <w:b/>
            <w:i/>
            <w:color w:val="0000FF"/>
            <w:sz w:val="28"/>
            <w:u w:val="single"/>
          </w:rPr>
          <w:t>o único – Pôr termo às restrições territoriais à oferta injustificadas</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1F4150" w:rsidRPr="001F4150" w14:paraId="27380A90" w14:textId="77777777" w:rsidTr="002E7EFB">
        <w:tc>
          <w:tcPr>
            <w:tcW w:w="1148" w:type="pct"/>
          </w:tcPr>
          <w:p w14:paraId="2F79F3A7" w14:textId="77777777" w:rsidR="001F4150" w:rsidRPr="00ED4376" w:rsidRDefault="001F4150" w:rsidP="001F4150">
            <w:pPr>
              <w:tabs>
                <w:tab w:val="center" w:pos="284"/>
              </w:tabs>
              <w:overflowPunct w:val="0"/>
              <w:autoSpaceDE w:val="0"/>
              <w:autoSpaceDN w:val="0"/>
              <w:adjustRightInd w:val="0"/>
              <w:ind w:left="266" w:hanging="266"/>
              <w:textAlignment w:val="baseline"/>
              <w:rPr>
                <w:b/>
                <w:sz w:val="22"/>
                <w:szCs w:val="22"/>
              </w:rPr>
            </w:pPr>
          </w:p>
          <w:p w14:paraId="7485093C" w14:textId="77777777" w:rsidR="001F4150" w:rsidRPr="00ED4376" w:rsidRDefault="001F4150" w:rsidP="001F4150">
            <w:pPr>
              <w:tabs>
                <w:tab w:val="center" w:pos="284"/>
              </w:tabs>
              <w:overflowPunct w:val="0"/>
              <w:autoSpaceDE w:val="0"/>
              <w:autoSpaceDN w:val="0"/>
              <w:adjustRightInd w:val="0"/>
              <w:ind w:left="266" w:hanging="376"/>
              <w:textAlignment w:val="baseline"/>
              <w:rPr>
                <w:b/>
                <w:sz w:val="22"/>
                <w:szCs w:val="22"/>
              </w:rPr>
            </w:pPr>
            <w:r w:rsidRPr="00ED4376">
              <w:rPr>
                <w:b/>
                <w:sz w:val="22"/>
                <w:szCs w:val="22"/>
              </w:rPr>
              <w:t>Relatora</w:t>
            </w:r>
          </w:p>
          <w:p w14:paraId="2EC02C26" w14:textId="77777777" w:rsidR="001F4150" w:rsidRPr="00ED4376" w:rsidRDefault="001F4150" w:rsidP="001F4150">
            <w:pPr>
              <w:tabs>
                <w:tab w:val="center" w:pos="284"/>
              </w:tabs>
              <w:overflowPunct w:val="0"/>
              <w:autoSpaceDE w:val="0"/>
              <w:autoSpaceDN w:val="0"/>
              <w:adjustRightInd w:val="0"/>
              <w:ind w:left="266" w:hanging="376"/>
              <w:textAlignment w:val="baseline"/>
              <w:rPr>
                <w:b/>
                <w:sz w:val="22"/>
                <w:szCs w:val="22"/>
              </w:rPr>
            </w:pPr>
          </w:p>
        </w:tc>
        <w:tc>
          <w:tcPr>
            <w:tcW w:w="3852" w:type="pct"/>
          </w:tcPr>
          <w:p w14:paraId="1D6A7045" w14:textId="77777777" w:rsidR="001F4150" w:rsidRPr="00ED4376" w:rsidRDefault="001F4150" w:rsidP="001F4150">
            <w:pPr>
              <w:tabs>
                <w:tab w:val="center" w:pos="284"/>
              </w:tabs>
              <w:overflowPunct w:val="0"/>
              <w:autoSpaceDE w:val="0"/>
              <w:autoSpaceDN w:val="0"/>
              <w:adjustRightInd w:val="0"/>
              <w:ind w:left="266" w:hanging="266"/>
              <w:textAlignment w:val="baseline"/>
              <w:rPr>
                <w:sz w:val="22"/>
                <w:szCs w:val="22"/>
              </w:rPr>
            </w:pPr>
          </w:p>
          <w:p w14:paraId="1761BEF7" w14:textId="4E47E597" w:rsidR="001F4150" w:rsidRPr="00ED4376" w:rsidRDefault="001F4150" w:rsidP="001F4150">
            <w:pPr>
              <w:tabs>
                <w:tab w:val="center" w:pos="284"/>
              </w:tabs>
              <w:overflowPunct w:val="0"/>
              <w:autoSpaceDE w:val="0"/>
              <w:autoSpaceDN w:val="0"/>
              <w:adjustRightInd w:val="0"/>
              <w:ind w:left="266" w:hanging="266"/>
              <w:textAlignment w:val="baseline"/>
              <w:rPr>
                <w:sz w:val="22"/>
                <w:szCs w:val="22"/>
              </w:rPr>
            </w:pPr>
            <w:r w:rsidRPr="00ED4376">
              <w:rPr>
                <w:sz w:val="22"/>
                <w:szCs w:val="22"/>
              </w:rPr>
              <w:t>Antje Gerstein (DE – Grupo dos Empregadores)</w:t>
            </w:r>
          </w:p>
          <w:p w14:paraId="1BE7D08A" w14:textId="77777777" w:rsidR="001F4150" w:rsidRPr="00ED4376" w:rsidRDefault="001F4150" w:rsidP="001F4150">
            <w:pPr>
              <w:tabs>
                <w:tab w:val="center" w:pos="284"/>
              </w:tabs>
              <w:overflowPunct w:val="0"/>
              <w:autoSpaceDE w:val="0"/>
              <w:autoSpaceDN w:val="0"/>
              <w:adjustRightInd w:val="0"/>
              <w:ind w:left="266" w:hanging="266"/>
              <w:textAlignment w:val="baseline"/>
              <w:rPr>
                <w:sz w:val="22"/>
                <w:szCs w:val="22"/>
                <w:lang w:val="fr-BE"/>
              </w:rPr>
            </w:pPr>
          </w:p>
        </w:tc>
      </w:tr>
      <w:tr w:rsidR="001F4150" w:rsidRPr="001F4150" w14:paraId="0CDF272C" w14:textId="77777777" w:rsidTr="002E7EFB">
        <w:tc>
          <w:tcPr>
            <w:tcW w:w="1148" w:type="pct"/>
            <w:vMerge w:val="restart"/>
          </w:tcPr>
          <w:p w14:paraId="2BF9F448" w14:textId="77777777" w:rsidR="001F4150" w:rsidRPr="00ED4376" w:rsidRDefault="001F4150" w:rsidP="001F4150">
            <w:pPr>
              <w:tabs>
                <w:tab w:val="center" w:pos="284"/>
              </w:tabs>
              <w:overflowPunct w:val="0"/>
              <w:autoSpaceDE w:val="0"/>
              <w:autoSpaceDN w:val="0"/>
              <w:adjustRightInd w:val="0"/>
              <w:ind w:left="266" w:hanging="376"/>
              <w:textAlignment w:val="baseline"/>
              <w:rPr>
                <w:b/>
                <w:sz w:val="22"/>
                <w:szCs w:val="22"/>
              </w:rPr>
            </w:pPr>
            <w:r w:rsidRPr="00ED4376">
              <w:rPr>
                <w:b/>
                <w:sz w:val="22"/>
                <w:szCs w:val="22"/>
              </w:rPr>
              <w:t>Referências</w:t>
            </w:r>
          </w:p>
        </w:tc>
        <w:tc>
          <w:tcPr>
            <w:tcW w:w="3852" w:type="pct"/>
          </w:tcPr>
          <w:p w14:paraId="2F1D29F3" w14:textId="714FA805" w:rsidR="001F4150" w:rsidRPr="00ED4376" w:rsidRDefault="001F4150" w:rsidP="001F4150">
            <w:pPr>
              <w:tabs>
                <w:tab w:val="center" w:pos="284"/>
              </w:tabs>
              <w:overflowPunct w:val="0"/>
              <w:autoSpaceDE w:val="0"/>
              <w:autoSpaceDN w:val="0"/>
              <w:adjustRightInd w:val="0"/>
              <w:ind w:left="266" w:hanging="266"/>
              <w:textAlignment w:val="baseline"/>
              <w:rPr>
                <w:sz w:val="22"/>
                <w:szCs w:val="22"/>
              </w:rPr>
            </w:pPr>
            <w:r w:rsidRPr="00ED4376">
              <w:rPr>
                <w:sz w:val="22"/>
                <w:szCs w:val="22"/>
              </w:rPr>
              <w:t>Parecer exploratório a pedido da Comissão Europeia</w:t>
            </w:r>
          </w:p>
        </w:tc>
      </w:tr>
      <w:tr w:rsidR="001F4150" w:rsidRPr="001F4150" w14:paraId="64A253EA" w14:textId="77777777" w:rsidTr="002E7EFB">
        <w:tc>
          <w:tcPr>
            <w:tcW w:w="1148" w:type="pct"/>
            <w:vMerge/>
          </w:tcPr>
          <w:p w14:paraId="67EE78EE" w14:textId="77777777" w:rsidR="001F4150" w:rsidRPr="00ED4376" w:rsidRDefault="001F4150" w:rsidP="001F4150">
            <w:pPr>
              <w:tabs>
                <w:tab w:val="center" w:pos="284"/>
              </w:tabs>
              <w:overflowPunct w:val="0"/>
              <w:autoSpaceDE w:val="0"/>
              <w:autoSpaceDN w:val="0"/>
              <w:adjustRightInd w:val="0"/>
              <w:ind w:left="266" w:hanging="266"/>
              <w:textAlignment w:val="baseline"/>
              <w:rPr>
                <w:b/>
                <w:sz w:val="22"/>
                <w:szCs w:val="22"/>
              </w:rPr>
            </w:pPr>
          </w:p>
        </w:tc>
        <w:tc>
          <w:tcPr>
            <w:tcW w:w="3852" w:type="pct"/>
          </w:tcPr>
          <w:p w14:paraId="42A23A45" w14:textId="373FB450" w:rsidR="001F4150" w:rsidRPr="00ED4376" w:rsidRDefault="001F4150" w:rsidP="001F4150">
            <w:pPr>
              <w:tabs>
                <w:tab w:val="center" w:pos="284"/>
              </w:tabs>
              <w:overflowPunct w:val="0"/>
              <w:autoSpaceDE w:val="0"/>
              <w:autoSpaceDN w:val="0"/>
              <w:adjustRightInd w:val="0"/>
              <w:ind w:left="266" w:hanging="266"/>
              <w:textAlignment w:val="baseline"/>
              <w:rPr>
                <w:sz w:val="22"/>
                <w:szCs w:val="22"/>
              </w:rPr>
            </w:pPr>
            <w:r w:rsidRPr="00ED4376">
              <w:rPr>
                <w:sz w:val="22"/>
                <w:szCs w:val="22"/>
              </w:rPr>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Pontos principais</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O Comité Económico e Social Europeu:</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considera que as restrições territoriais à oferta prejudicam o comércio transfronteiriço e quebram a promessa do mercado único de proporcionar aos consumidores possibilidades de escolha e concorrência em matéria de preços;</w:t>
      </w:r>
    </w:p>
    <w:p w14:paraId="58CB97FB"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considera particularmente importante que os consumidores e os trabalhadores tirem partido de todos os potenciais benefícios de um mercado único que funcione bem em termos de preço e escolha dos produtos;</w:t>
      </w:r>
    </w:p>
    <w:p w14:paraId="15925C71"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exorta os Estados-Membros a não adotarem legislação nacional que renacionalize ainda mais os mercados de aprovisionamento, mas antes a eliminarem os entraves injustificados à livre circulação de mercadorias, sem porem em causa os requisitos legítimos de proteção dos consumidores;</w:t>
      </w:r>
    </w:p>
    <w:p w14:paraId="2AF10FE0"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considera que há valor acrescentado em analisar a possibilidade de elaborar orientações para as autoridades nacionais da concorrência e para as partes interessadas pertinentes;</w:t>
      </w:r>
    </w:p>
    <w:p w14:paraId="7CFAE062" w14:textId="77777777" w:rsidR="001F4150" w:rsidRPr="001F4150" w:rsidRDefault="001F4150" w:rsidP="004C6742">
      <w:pPr>
        <w:numPr>
          <w:ilvl w:val="0"/>
          <w:numId w:val="39"/>
        </w:numPr>
        <w:overflowPunct w:val="0"/>
        <w:autoSpaceDE w:val="0"/>
        <w:autoSpaceDN w:val="0"/>
        <w:adjustRightInd w:val="0"/>
        <w:spacing w:after="200" w:line="276" w:lineRule="auto"/>
        <w:ind w:left="284" w:hanging="284"/>
        <w:contextualSpacing/>
        <w:textAlignment w:val="baseline"/>
        <w:rPr>
          <w:szCs w:val="20"/>
        </w:rPr>
      </w:pPr>
      <w:r>
        <w:t>solicita à Comissão Europeia que pondere propor legislação com base nos princípios do Regulamento dos Mercados Digitais ou da Diretiva relativa a práticas comerciais desleais na cadeia de abastecimento agroalimentar, a fim de combater eficazmente as restrições territoriais à oferta e assegurar práticas comerciais mais justas na cadeia de abastecimento.</w:t>
      </w:r>
    </w:p>
    <w:p w14:paraId="3F7F11E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1F4150" w:rsidRPr="001F4150" w14:paraId="040FF66B" w14:textId="77777777" w:rsidTr="002E7EFB">
        <w:tc>
          <w:tcPr>
            <w:tcW w:w="1556" w:type="pct"/>
          </w:tcPr>
          <w:p w14:paraId="5FAB806C" w14:textId="77777777" w:rsidR="001F4150" w:rsidRPr="00ED4376" w:rsidRDefault="001F4150" w:rsidP="001F4150">
            <w:pPr>
              <w:overflowPunct w:val="0"/>
              <w:autoSpaceDE w:val="0"/>
              <w:autoSpaceDN w:val="0"/>
              <w:adjustRightInd w:val="0"/>
              <w:spacing w:line="240" w:lineRule="auto"/>
              <w:textAlignment w:val="baseline"/>
              <w:rPr>
                <w:i/>
                <w:sz w:val="22"/>
                <w:szCs w:val="22"/>
              </w:rPr>
            </w:pPr>
            <w:r w:rsidRPr="00ED4376">
              <w:rPr>
                <w:b/>
                <w:i/>
                <w:sz w:val="22"/>
                <w:szCs w:val="22"/>
              </w:rPr>
              <w:t>Contacto</w:t>
            </w:r>
          </w:p>
        </w:tc>
        <w:tc>
          <w:tcPr>
            <w:tcW w:w="3444" w:type="pct"/>
          </w:tcPr>
          <w:p w14:paraId="516AAA31" w14:textId="77777777" w:rsidR="001F4150" w:rsidRPr="00ED4376" w:rsidRDefault="001F4150" w:rsidP="001F4150">
            <w:pPr>
              <w:overflowPunct w:val="0"/>
              <w:autoSpaceDE w:val="0"/>
              <w:autoSpaceDN w:val="0"/>
              <w:adjustRightInd w:val="0"/>
              <w:spacing w:line="240" w:lineRule="auto"/>
              <w:textAlignment w:val="baseline"/>
              <w:rPr>
                <w:i/>
                <w:sz w:val="22"/>
                <w:szCs w:val="22"/>
              </w:rPr>
            </w:pPr>
            <w:r w:rsidRPr="00ED4376">
              <w:rPr>
                <w:i/>
                <w:sz w:val="22"/>
                <w:szCs w:val="22"/>
              </w:rPr>
              <w:t>Annalisa Tessarolo</w:t>
            </w:r>
          </w:p>
        </w:tc>
      </w:tr>
      <w:tr w:rsidR="001F4150" w:rsidRPr="001F4150" w14:paraId="5B08B574" w14:textId="77777777" w:rsidTr="002E7EFB">
        <w:tc>
          <w:tcPr>
            <w:tcW w:w="1556" w:type="pct"/>
          </w:tcPr>
          <w:p w14:paraId="736D0776" w14:textId="77777777" w:rsidR="001F4150" w:rsidRPr="00ED4376" w:rsidRDefault="001F4150" w:rsidP="001F4150">
            <w:pPr>
              <w:overflowPunct w:val="0"/>
              <w:autoSpaceDE w:val="0"/>
              <w:autoSpaceDN w:val="0"/>
              <w:adjustRightInd w:val="0"/>
              <w:spacing w:line="240" w:lineRule="auto"/>
              <w:textAlignment w:val="baseline"/>
              <w:rPr>
                <w:i/>
                <w:sz w:val="22"/>
                <w:szCs w:val="22"/>
              </w:rPr>
            </w:pPr>
            <w:r w:rsidRPr="00ED4376">
              <w:rPr>
                <w:i/>
                <w:sz w:val="22"/>
                <w:szCs w:val="22"/>
              </w:rPr>
              <w:t>Tel.</w:t>
            </w:r>
          </w:p>
        </w:tc>
        <w:tc>
          <w:tcPr>
            <w:tcW w:w="3444" w:type="pct"/>
          </w:tcPr>
          <w:p w14:paraId="38C43A98" w14:textId="77777777" w:rsidR="001F4150" w:rsidRPr="00ED4376" w:rsidRDefault="001F4150" w:rsidP="001F4150">
            <w:pPr>
              <w:overflowPunct w:val="0"/>
              <w:autoSpaceDE w:val="0"/>
              <w:autoSpaceDN w:val="0"/>
              <w:adjustRightInd w:val="0"/>
              <w:spacing w:line="240" w:lineRule="auto"/>
              <w:textAlignment w:val="baseline"/>
              <w:rPr>
                <w:i/>
                <w:sz w:val="22"/>
                <w:szCs w:val="22"/>
              </w:rPr>
            </w:pPr>
            <w:r w:rsidRPr="00ED4376">
              <w:rPr>
                <w:i/>
                <w:sz w:val="22"/>
                <w:szCs w:val="22"/>
              </w:rPr>
              <w:t>+32 2 546 97 32</w:t>
            </w:r>
          </w:p>
        </w:tc>
      </w:tr>
      <w:tr w:rsidR="001F4150" w:rsidRPr="001F4150" w14:paraId="1C237976" w14:textId="77777777" w:rsidTr="002E7EFB">
        <w:tc>
          <w:tcPr>
            <w:tcW w:w="1556" w:type="pct"/>
          </w:tcPr>
          <w:p w14:paraId="782613FB" w14:textId="21F52E77" w:rsidR="001F4150" w:rsidRPr="00ED4376" w:rsidRDefault="00785300" w:rsidP="001F4150">
            <w:pPr>
              <w:overflowPunct w:val="0"/>
              <w:autoSpaceDE w:val="0"/>
              <w:autoSpaceDN w:val="0"/>
              <w:adjustRightInd w:val="0"/>
              <w:spacing w:line="240" w:lineRule="auto"/>
              <w:textAlignment w:val="baseline"/>
              <w:rPr>
                <w:i/>
                <w:sz w:val="22"/>
                <w:szCs w:val="22"/>
              </w:rPr>
            </w:pPr>
            <w:r w:rsidRPr="00ED4376">
              <w:rPr>
                <w:i/>
                <w:sz w:val="22"/>
                <w:szCs w:val="22"/>
              </w:rPr>
              <w:t>Endereço eletrónico</w:t>
            </w:r>
          </w:p>
        </w:tc>
        <w:tc>
          <w:tcPr>
            <w:tcW w:w="3444" w:type="pct"/>
          </w:tcPr>
          <w:p w14:paraId="67D97326" w14:textId="77777777" w:rsidR="001F4150" w:rsidRPr="00ED4376" w:rsidRDefault="008D063E" w:rsidP="001F4150">
            <w:pPr>
              <w:overflowPunct w:val="0"/>
              <w:autoSpaceDE w:val="0"/>
              <w:autoSpaceDN w:val="0"/>
              <w:adjustRightInd w:val="0"/>
              <w:spacing w:line="240" w:lineRule="auto"/>
              <w:textAlignment w:val="baseline"/>
              <w:rPr>
                <w:i/>
                <w:iCs/>
                <w:sz w:val="22"/>
                <w:szCs w:val="22"/>
              </w:rPr>
            </w:pPr>
            <w:hyperlink r:id="rId49" w:history="1">
              <w:r w:rsidR="00A912EA" w:rsidRPr="00ED4376">
                <w:rPr>
                  <w:i/>
                  <w:color w:val="0000FF"/>
                  <w:sz w:val="22"/>
                  <w:szCs w:val="22"/>
                  <w:u w:val="single"/>
                </w:rPr>
                <w:t>Annalisa.Tessarolo@eesc.europa.eu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5604570F" w:rsidR="00227AA1" w:rsidRPr="00227AA1" w:rsidRDefault="008D063E" w:rsidP="00227AA1">
      <w:pPr>
        <w:widowControl w:val="0"/>
        <w:numPr>
          <w:ilvl w:val="0"/>
          <w:numId w:val="4"/>
        </w:numPr>
        <w:overflowPunct w:val="0"/>
        <w:autoSpaceDE w:val="0"/>
        <w:autoSpaceDN w:val="0"/>
        <w:adjustRightInd w:val="0"/>
        <w:ind w:hanging="567"/>
        <w:textAlignment w:val="baseline"/>
        <w:rPr>
          <w:sz w:val="20"/>
          <w:szCs w:val="20"/>
        </w:rPr>
      </w:pPr>
      <w:hyperlink r:id="rId50" w:tgtFrame="_blank" w:history="1">
        <w:r w:rsidR="00A912EA">
          <w:rPr>
            <w:b/>
            <w:i/>
            <w:color w:val="0000FF"/>
            <w:sz w:val="28"/>
            <w:u w:val="single"/>
          </w:rPr>
          <w:t>Estratégia Europeia para as Empresas em Fase de Arranque e as Empresas em Fase de Expansão, com destaque para a Lei Europeia da Inovaç</w:t>
        </w:r>
        <w:r w:rsidR="00A912EA">
          <w:rPr>
            <w:b/>
            <w:i/>
            <w:color w:val="0000FF"/>
            <w:sz w:val="28"/>
            <w:u w:val="single"/>
          </w:rPr>
          <w:t>ã</w:t>
        </w:r>
        <w:r w:rsidR="00A912EA">
          <w:rPr>
            <w:b/>
            <w:i/>
            <w:color w:val="0000FF"/>
            <w:sz w:val="28"/>
            <w:u w:val="single"/>
          </w:rPr>
          <w:t>o</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227AA1" w:rsidRPr="00227AA1" w14:paraId="6C2F2EA8" w14:textId="77777777" w:rsidTr="004C6742">
        <w:tc>
          <w:tcPr>
            <w:tcW w:w="1701" w:type="dxa"/>
          </w:tcPr>
          <w:p w14:paraId="441F9F44" w14:textId="77777777" w:rsidR="00227AA1" w:rsidRPr="00ED4376" w:rsidRDefault="00227AA1" w:rsidP="00227AA1">
            <w:pPr>
              <w:tabs>
                <w:tab w:val="center" w:pos="284"/>
              </w:tabs>
              <w:overflowPunct w:val="0"/>
              <w:autoSpaceDE w:val="0"/>
              <w:autoSpaceDN w:val="0"/>
              <w:adjustRightInd w:val="0"/>
              <w:ind w:left="266" w:hanging="266"/>
              <w:textAlignment w:val="baseline"/>
              <w:rPr>
                <w:b/>
                <w:sz w:val="22"/>
                <w:szCs w:val="22"/>
              </w:rPr>
            </w:pPr>
            <w:r w:rsidRPr="00ED4376">
              <w:rPr>
                <w:b/>
                <w:sz w:val="22"/>
                <w:szCs w:val="22"/>
              </w:rPr>
              <w:t>Relator</w:t>
            </w:r>
          </w:p>
        </w:tc>
        <w:tc>
          <w:tcPr>
            <w:tcW w:w="6663" w:type="dxa"/>
          </w:tcPr>
          <w:p w14:paraId="0C2DB9EA" w14:textId="7F8CAD64" w:rsidR="00227AA1" w:rsidRPr="00ED4376" w:rsidRDefault="00227AA1" w:rsidP="00227AA1">
            <w:pPr>
              <w:tabs>
                <w:tab w:val="center" w:pos="284"/>
              </w:tabs>
              <w:overflowPunct w:val="0"/>
              <w:autoSpaceDE w:val="0"/>
              <w:autoSpaceDN w:val="0"/>
              <w:adjustRightInd w:val="0"/>
              <w:ind w:left="266" w:hanging="266"/>
              <w:textAlignment w:val="baseline"/>
              <w:rPr>
                <w:sz w:val="22"/>
                <w:szCs w:val="22"/>
              </w:rPr>
            </w:pPr>
            <w:r w:rsidRPr="00ED4376">
              <w:rPr>
                <w:sz w:val="22"/>
                <w:szCs w:val="22"/>
              </w:rPr>
              <w:t>Paul Rübig (AT – Grupo dos Empregadores)</w:t>
            </w:r>
          </w:p>
          <w:p w14:paraId="5142010D" w14:textId="77777777" w:rsidR="00227AA1" w:rsidRPr="00ED4376" w:rsidRDefault="00227AA1" w:rsidP="00227AA1">
            <w:pPr>
              <w:tabs>
                <w:tab w:val="center" w:pos="284"/>
              </w:tabs>
              <w:overflowPunct w:val="0"/>
              <w:autoSpaceDE w:val="0"/>
              <w:autoSpaceDN w:val="0"/>
              <w:adjustRightInd w:val="0"/>
              <w:ind w:left="266" w:hanging="266"/>
              <w:textAlignment w:val="baseline"/>
              <w:rPr>
                <w:sz w:val="22"/>
                <w:szCs w:val="22"/>
              </w:rPr>
            </w:pPr>
          </w:p>
        </w:tc>
      </w:tr>
      <w:tr w:rsidR="00227AA1" w:rsidRPr="00227AA1" w14:paraId="35AF9FA7" w14:textId="77777777" w:rsidTr="004C6742">
        <w:tc>
          <w:tcPr>
            <w:tcW w:w="8364" w:type="dxa"/>
            <w:gridSpan w:val="2"/>
          </w:tcPr>
          <w:p w14:paraId="691DC230" w14:textId="77777777" w:rsidR="00227AA1" w:rsidRPr="00ED4376" w:rsidRDefault="00227AA1" w:rsidP="00227AA1">
            <w:pPr>
              <w:tabs>
                <w:tab w:val="center" w:pos="284"/>
              </w:tabs>
              <w:overflowPunct w:val="0"/>
              <w:autoSpaceDE w:val="0"/>
              <w:autoSpaceDN w:val="0"/>
              <w:adjustRightInd w:val="0"/>
              <w:spacing w:line="160" w:lineRule="exact"/>
              <w:ind w:left="266" w:hanging="266"/>
              <w:textAlignment w:val="baseline"/>
              <w:rPr>
                <w:sz w:val="22"/>
                <w:szCs w:val="22"/>
              </w:rPr>
            </w:pPr>
          </w:p>
        </w:tc>
      </w:tr>
      <w:tr w:rsidR="00227AA1" w:rsidRPr="00227AA1" w14:paraId="24C7D08D" w14:textId="77777777" w:rsidTr="004C6742">
        <w:tc>
          <w:tcPr>
            <w:tcW w:w="1701" w:type="dxa"/>
            <w:vMerge w:val="restart"/>
          </w:tcPr>
          <w:p w14:paraId="2D8C98F2" w14:textId="77777777" w:rsidR="00227AA1" w:rsidRPr="00ED4376" w:rsidRDefault="00227AA1" w:rsidP="00227AA1">
            <w:pPr>
              <w:tabs>
                <w:tab w:val="center" w:pos="284"/>
              </w:tabs>
              <w:overflowPunct w:val="0"/>
              <w:autoSpaceDE w:val="0"/>
              <w:autoSpaceDN w:val="0"/>
              <w:adjustRightInd w:val="0"/>
              <w:ind w:left="266" w:hanging="266"/>
              <w:textAlignment w:val="baseline"/>
              <w:rPr>
                <w:b/>
                <w:sz w:val="22"/>
                <w:szCs w:val="22"/>
              </w:rPr>
            </w:pPr>
            <w:r w:rsidRPr="00ED4376">
              <w:rPr>
                <w:b/>
                <w:sz w:val="22"/>
                <w:szCs w:val="22"/>
              </w:rPr>
              <w:t>Referências</w:t>
            </w:r>
          </w:p>
        </w:tc>
        <w:tc>
          <w:tcPr>
            <w:tcW w:w="6663" w:type="dxa"/>
          </w:tcPr>
          <w:p w14:paraId="05D43623" w14:textId="3773BAC0" w:rsidR="00227AA1" w:rsidRPr="00ED4376" w:rsidRDefault="00227AA1" w:rsidP="00227AA1">
            <w:pPr>
              <w:tabs>
                <w:tab w:val="center" w:pos="284"/>
              </w:tabs>
              <w:overflowPunct w:val="0"/>
              <w:autoSpaceDE w:val="0"/>
              <w:autoSpaceDN w:val="0"/>
              <w:adjustRightInd w:val="0"/>
              <w:ind w:left="266" w:hanging="266"/>
              <w:textAlignment w:val="baseline"/>
              <w:rPr>
                <w:sz w:val="22"/>
                <w:szCs w:val="22"/>
              </w:rPr>
            </w:pPr>
            <w:r w:rsidRPr="00ED4376">
              <w:rPr>
                <w:sz w:val="22"/>
                <w:szCs w:val="22"/>
              </w:rPr>
              <w:t>Parecer exploratório a pedido da Presidência cipriota do Conselho da UE</w:t>
            </w:r>
          </w:p>
          <w:p w14:paraId="392D955D" w14:textId="77777777" w:rsidR="00227AA1" w:rsidRPr="00ED4376" w:rsidRDefault="00227AA1" w:rsidP="00227AA1">
            <w:pPr>
              <w:tabs>
                <w:tab w:val="center" w:pos="284"/>
              </w:tabs>
              <w:overflowPunct w:val="0"/>
              <w:autoSpaceDE w:val="0"/>
              <w:autoSpaceDN w:val="0"/>
              <w:adjustRightInd w:val="0"/>
              <w:ind w:left="266" w:hanging="266"/>
              <w:textAlignment w:val="baseline"/>
              <w:rPr>
                <w:sz w:val="22"/>
                <w:szCs w:val="22"/>
              </w:rPr>
            </w:pPr>
            <w:r w:rsidRPr="00ED4376">
              <w:rPr>
                <w:sz w:val="22"/>
                <w:szCs w:val="22"/>
              </w:rPr>
              <w:t>EESC-2025-04126-00-00-AC</w:t>
            </w:r>
          </w:p>
        </w:tc>
      </w:tr>
      <w:tr w:rsidR="00227AA1" w:rsidRPr="00227AA1" w14:paraId="2384CA2A" w14:textId="77777777" w:rsidTr="004C6742">
        <w:tc>
          <w:tcPr>
            <w:tcW w:w="1701"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6663"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Pontos principais</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46E5BC1F" w14:textId="77777777" w:rsidR="00227AA1" w:rsidRPr="00227AA1" w:rsidRDefault="00227AA1" w:rsidP="00227AA1">
      <w:pPr>
        <w:overflowPunct w:val="0"/>
        <w:autoSpaceDE w:val="0"/>
        <w:autoSpaceDN w:val="0"/>
        <w:adjustRightInd w:val="0"/>
        <w:textAlignment w:val="baseline"/>
        <w:rPr>
          <w:bCs/>
          <w:iCs/>
        </w:rPr>
      </w:pPr>
      <w:r>
        <w:t>O Comité Económico e Social Europeu considera que:</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1113F168"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a Europa tem de reforçar a sua capacidade de inovação e investigação e colmatar o seu grande atraso no que diz respeito à comercialização dos produtos da inovação e investigação através de empresas derivadas, empresas em fase de arranque e empresas em fase de expansão.</w:t>
      </w:r>
      <w:r>
        <w:rPr>
          <w:rFonts w:ascii="Calibri" w:hAnsi="Calibri"/>
        </w:rPr>
        <w:t xml:space="preserve"> </w:t>
      </w:r>
      <w:r>
        <w:t>Nas indústrias de importância estratégica, aumentam os receios de que o ambiente na Europa se tenha tornado demasiado fragmentado, demasiado denso e demasiado lento para acompanhar a rápida evolução tecnológica a nível mundial;</w:t>
      </w:r>
    </w:p>
    <w:p w14:paraId="4520EF6F"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esta situação deve-se nomeadamente a um recuo na compreensão dos processos da economia de mercado e a uma regulamentação e respetiva aplicação cada vez mais fragmentada no mercado interno, que estão a dificultar o crescimento do mercado transfronteiriço e a transferência de tecnologia da investigação para a indústria.</w:t>
      </w:r>
    </w:p>
    <w:p w14:paraId="1B8E4833"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a lentidão dos processos administrativos, a digitalização limitada e a aplicação incoerente da regulamentação da União Europeia (UE) a nível nacional e regional colocam obstáculos adicionais às empresas;</w:t>
      </w:r>
    </w:p>
    <w:p w14:paraId="3C747BF5"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a Lei Europeia da Inovação pode proporcionar um alívio às empresas transfronteiriças em fase de arranque e em fase de expansão desde que preveja simplificações transversais para as empresas em fase de arranque e seja aplicada obrigatoriamente em todos os Estados-Membros, tendo simultaneamente em conta os direitos e a participação dos trabalhadores. O CESE salienta que a Lei Europeia da Inovação deve estar em consonância com os princípios de uma transição justa, assegurando que a inovação contribui para o crescimento económico, a competitividade e a criação de emprego, tendo simultaneamente em conta a necessidade de acompanhar os trabalhadores e as regiões afetadas pela transformação tecnológica e industrial;</w:t>
      </w:r>
    </w:p>
    <w:p w14:paraId="5BC43F04"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uma lista de critérios para a avaliação do conteúdo da inovação e as perspetivas de crescimento seria mais eficiente e precisa do que uma definição vinculativa de empresas em fase de arranque e empresas em fase de expansão. Uma classificação das universidades favoráveis aos fundadores de empresas também poderia apoiar a Lei Europeia da Inovação. Além disso, a Lei Europeia da Inovação deve reforçar o papel das organizações de investigação e tecnologia e do Instituto Europeu de Inovação e Tecnologia, em especial nos setores de tecnologia profunda e de capital intensivo;</w:t>
      </w:r>
    </w:p>
    <w:p w14:paraId="12B27491" w14:textId="77777777" w:rsidR="00227AA1" w:rsidRPr="004C6742"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rPr>
          <w:rFonts w:ascii="Calibri" w:hAnsi="Calibri"/>
        </w:rPr>
      </w:pPr>
      <w:r>
        <w:t>os incentivos fiscais a nível da Europa para a participação dos trabalhadores no capital promoveriam a inovação e o crescimento. Além disso, importa prever proteção contra riscos para os fundadores de empresas, bem como salvaguardas adequadas para os trabalhadores e os credores, em conformidade com os quadros de insolvência em vigor.</w:t>
      </w:r>
    </w:p>
    <w:p w14:paraId="5C529301" w14:textId="77777777" w:rsidR="00336295" w:rsidRPr="00ED4376" w:rsidRDefault="00336295" w:rsidP="00ED4376">
      <w:pPr>
        <w:overflowPunct w:val="0"/>
        <w:autoSpaceDE w:val="0"/>
        <w:autoSpaceDN w:val="0"/>
        <w:adjustRightInd w:val="0"/>
        <w:spacing w:after="200" w:line="276" w:lineRule="auto"/>
        <w:ind w:left="567"/>
        <w:contextualSpacing/>
        <w:textAlignment w:val="baseline"/>
        <w:rPr>
          <w:rFonts w:ascii="Calibri" w:hAnsi="Calibri"/>
          <w:sz w:val="24"/>
          <w:szCs w:val="24"/>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670"/>
      </w:tblGrid>
      <w:tr w:rsidR="00227AA1" w:rsidRPr="00ED4376" w14:paraId="5F5314FB" w14:textId="77777777" w:rsidTr="00ED4376">
        <w:tc>
          <w:tcPr>
            <w:tcW w:w="2235" w:type="dxa"/>
          </w:tcPr>
          <w:p w14:paraId="632E98AB" w14:textId="77777777" w:rsidR="00227AA1" w:rsidRPr="00ED4376" w:rsidRDefault="00227AA1" w:rsidP="00227AA1">
            <w:pPr>
              <w:overflowPunct w:val="0"/>
              <w:autoSpaceDE w:val="0"/>
              <w:autoSpaceDN w:val="0"/>
              <w:adjustRightInd w:val="0"/>
              <w:spacing w:line="240" w:lineRule="auto"/>
              <w:textAlignment w:val="baseline"/>
              <w:rPr>
                <w:i/>
                <w:sz w:val="22"/>
                <w:szCs w:val="22"/>
              </w:rPr>
            </w:pPr>
            <w:r w:rsidRPr="00ED4376">
              <w:rPr>
                <w:b/>
                <w:i/>
                <w:sz w:val="22"/>
                <w:szCs w:val="22"/>
              </w:rPr>
              <w:t>Contacto</w:t>
            </w:r>
          </w:p>
        </w:tc>
        <w:tc>
          <w:tcPr>
            <w:tcW w:w="5670" w:type="dxa"/>
          </w:tcPr>
          <w:p w14:paraId="0DA3C898" w14:textId="77777777" w:rsidR="00227AA1" w:rsidRPr="00ED4376" w:rsidRDefault="00227AA1" w:rsidP="00227AA1">
            <w:pPr>
              <w:overflowPunct w:val="0"/>
              <w:autoSpaceDE w:val="0"/>
              <w:autoSpaceDN w:val="0"/>
              <w:adjustRightInd w:val="0"/>
              <w:spacing w:line="240" w:lineRule="auto"/>
              <w:textAlignment w:val="baseline"/>
              <w:rPr>
                <w:i/>
                <w:sz w:val="22"/>
                <w:szCs w:val="22"/>
              </w:rPr>
            </w:pPr>
            <w:r w:rsidRPr="00ED4376">
              <w:rPr>
                <w:i/>
                <w:sz w:val="22"/>
                <w:szCs w:val="22"/>
              </w:rPr>
              <w:t>Jana Valant</w:t>
            </w:r>
          </w:p>
        </w:tc>
      </w:tr>
      <w:tr w:rsidR="00227AA1" w:rsidRPr="00ED4376" w14:paraId="3B10A3F9" w14:textId="77777777" w:rsidTr="00ED4376">
        <w:tc>
          <w:tcPr>
            <w:tcW w:w="2235" w:type="dxa"/>
          </w:tcPr>
          <w:p w14:paraId="1158D001" w14:textId="77777777" w:rsidR="00227AA1" w:rsidRPr="00ED4376" w:rsidRDefault="00227AA1" w:rsidP="00227AA1">
            <w:pPr>
              <w:overflowPunct w:val="0"/>
              <w:autoSpaceDE w:val="0"/>
              <w:autoSpaceDN w:val="0"/>
              <w:adjustRightInd w:val="0"/>
              <w:spacing w:line="240" w:lineRule="auto"/>
              <w:textAlignment w:val="baseline"/>
              <w:rPr>
                <w:i/>
                <w:sz w:val="22"/>
                <w:szCs w:val="22"/>
              </w:rPr>
            </w:pPr>
            <w:r w:rsidRPr="00ED4376">
              <w:rPr>
                <w:i/>
                <w:sz w:val="22"/>
                <w:szCs w:val="22"/>
              </w:rPr>
              <w:t>Tel.</w:t>
            </w:r>
          </w:p>
        </w:tc>
        <w:tc>
          <w:tcPr>
            <w:tcW w:w="5670" w:type="dxa"/>
          </w:tcPr>
          <w:p w14:paraId="173082A5" w14:textId="52E4D874" w:rsidR="00227AA1" w:rsidRPr="00ED4376" w:rsidRDefault="00227AA1" w:rsidP="00227AA1">
            <w:pPr>
              <w:overflowPunct w:val="0"/>
              <w:autoSpaceDE w:val="0"/>
              <w:autoSpaceDN w:val="0"/>
              <w:adjustRightInd w:val="0"/>
              <w:spacing w:line="240" w:lineRule="auto"/>
              <w:textAlignment w:val="baseline"/>
              <w:rPr>
                <w:i/>
                <w:sz w:val="22"/>
                <w:szCs w:val="22"/>
              </w:rPr>
            </w:pPr>
            <w:r w:rsidRPr="00ED4376">
              <w:rPr>
                <w:i/>
                <w:sz w:val="22"/>
                <w:szCs w:val="22"/>
              </w:rPr>
              <w:t>+32 2 546 89 24</w:t>
            </w:r>
          </w:p>
        </w:tc>
      </w:tr>
      <w:tr w:rsidR="00227AA1" w:rsidRPr="00ED4376" w14:paraId="06425715" w14:textId="77777777" w:rsidTr="00ED4376">
        <w:tc>
          <w:tcPr>
            <w:tcW w:w="2235" w:type="dxa"/>
          </w:tcPr>
          <w:p w14:paraId="086F4B7F" w14:textId="3050AF2F" w:rsidR="00227AA1" w:rsidRPr="00ED4376" w:rsidRDefault="00336295" w:rsidP="00227AA1">
            <w:pPr>
              <w:overflowPunct w:val="0"/>
              <w:autoSpaceDE w:val="0"/>
              <w:autoSpaceDN w:val="0"/>
              <w:adjustRightInd w:val="0"/>
              <w:spacing w:line="240" w:lineRule="auto"/>
              <w:textAlignment w:val="baseline"/>
              <w:rPr>
                <w:i/>
                <w:sz w:val="22"/>
                <w:szCs w:val="22"/>
              </w:rPr>
            </w:pPr>
            <w:r w:rsidRPr="00ED4376">
              <w:rPr>
                <w:i/>
                <w:sz w:val="22"/>
                <w:szCs w:val="22"/>
              </w:rPr>
              <w:t>Endereço eletrónico</w:t>
            </w:r>
          </w:p>
        </w:tc>
        <w:tc>
          <w:tcPr>
            <w:tcW w:w="5670" w:type="dxa"/>
          </w:tcPr>
          <w:p w14:paraId="30AFF7EB" w14:textId="77777777" w:rsidR="00227AA1" w:rsidRPr="00ED4376" w:rsidRDefault="008D063E" w:rsidP="00227AA1">
            <w:pPr>
              <w:overflowPunct w:val="0"/>
              <w:autoSpaceDE w:val="0"/>
              <w:autoSpaceDN w:val="0"/>
              <w:adjustRightInd w:val="0"/>
              <w:spacing w:line="240" w:lineRule="auto"/>
              <w:textAlignment w:val="baseline"/>
              <w:rPr>
                <w:i/>
                <w:sz w:val="22"/>
                <w:szCs w:val="22"/>
              </w:rPr>
            </w:pPr>
            <w:hyperlink r:id="rId51" w:history="1">
              <w:r w:rsidR="00A912EA" w:rsidRPr="00ED4376">
                <w:rPr>
                  <w:i/>
                  <w:color w:val="0000FF"/>
                  <w:sz w:val="22"/>
                  <w:szCs w:val="22"/>
                  <w:u w:val="single"/>
                </w:rPr>
                <w:t>Jana.Valant@eesc.europa.eu</w:t>
              </w:r>
            </w:hyperlink>
          </w:p>
          <w:p w14:paraId="69C6AF5C" w14:textId="77777777" w:rsidR="00227AA1" w:rsidRPr="00ED4376" w:rsidRDefault="00227AA1" w:rsidP="00227AA1">
            <w:pPr>
              <w:overflowPunct w:val="0"/>
              <w:autoSpaceDE w:val="0"/>
              <w:autoSpaceDN w:val="0"/>
              <w:adjustRightInd w:val="0"/>
              <w:spacing w:line="240" w:lineRule="auto"/>
              <w:textAlignment w:val="baseline"/>
              <w:rPr>
                <w:i/>
                <w:sz w:val="22"/>
                <w:szCs w:val="22"/>
              </w:rPr>
            </w:pPr>
          </w:p>
        </w:tc>
      </w:tr>
    </w:tbl>
    <w:p w14:paraId="4982DE1E" w14:textId="77777777" w:rsidR="004D7AC0" w:rsidRDefault="004D7AC0" w:rsidP="001766B2">
      <w:pPr>
        <w:jc w:val="left"/>
      </w:pPr>
      <w:r w:rsidRPr="00ED4376">
        <w:rPr>
          <w:sz w:val="24"/>
          <w:szCs w:val="24"/>
        </w:rPr>
        <w:br w:type="page"/>
      </w:r>
    </w:p>
    <w:p w14:paraId="4982DE1F" w14:textId="1B0F62B5" w:rsidR="004D7AC0" w:rsidRDefault="004D7AC0" w:rsidP="004C6742">
      <w:pPr>
        <w:pStyle w:val="Heading2"/>
      </w:pPr>
      <w:bookmarkStart w:id="18" w:name="_Toc70322234"/>
      <w:bookmarkStart w:id="19" w:name="_Toc75527084"/>
      <w:bookmarkStart w:id="20" w:name="_Toc229495801"/>
      <w:r>
        <w:lastRenderedPageBreak/>
        <w:t>AGRICULTURA, DESENVOLVIMENTO RURAL E AMBIENTE</w:t>
      </w:r>
      <w:bookmarkEnd w:id="18"/>
      <w:bookmarkEnd w:id="19"/>
      <w:bookmarkEnd w:id="20"/>
    </w:p>
    <w:p w14:paraId="4982DE20" w14:textId="77777777" w:rsidR="004D7AC0" w:rsidRDefault="004D7AC0" w:rsidP="001766B2"/>
    <w:p w14:paraId="38C8A97D" w14:textId="1D29CA87" w:rsidR="00341FC2" w:rsidRPr="004C6742" w:rsidRDefault="008D063E" w:rsidP="004C6742">
      <w:pPr>
        <w:widowControl w:val="0"/>
        <w:numPr>
          <w:ilvl w:val="0"/>
          <w:numId w:val="4"/>
        </w:numPr>
        <w:overflowPunct w:val="0"/>
        <w:autoSpaceDE w:val="0"/>
        <w:autoSpaceDN w:val="0"/>
        <w:adjustRightInd w:val="0"/>
        <w:ind w:hanging="567"/>
        <w:textAlignment w:val="baseline"/>
        <w:rPr>
          <w:b/>
        </w:rPr>
      </w:pPr>
      <w:hyperlink r:id="rId52" w:history="1">
        <w:r w:rsidR="00341FC2">
          <w:rPr>
            <w:b/>
            <w:i/>
            <w:color w:val="0000FF"/>
            <w:sz w:val="28"/>
            <w:u w:val="single"/>
          </w:rPr>
          <w:t>Uma estratégia abrangente para os materiais biodegradáveis baseados na natureza, a fim de promover a circularidade e a eficiência na utilização dos recursos, reforçar o setor agroalimentar e expandir a bioeconomia da UE</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11BFC935" w14:textId="77777777" w:rsidTr="002E7EFB">
        <w:tc>
          <w:tcPr>
            <w:tcW w:w="1077" w:type="pct"/>
          </w:tcPr>
          <w:p w14:paraId="051AE187" w14:textId="77777777" w:rsidR="00341FC2" w:rsidRPr="005844C5" w:rsidRDefault="00341FC2" w:rsidP="00341FC2">
            <w:pPr>
              <w:tabs>
                <w:tab w:val="center" w:pos="284"/>
              </w:tabs>
              <w:overflowPunct w:val="0"/>
              <w:autoSpaceDE w:val="0"/>
              <w:autoSpaceDN w:val="0"/>
              <w:adjustRightInd w:val="0"/>
              <w:ind w:left="266" w:hanging="266"/>
              <w:textAlignment w:val="baseline"/>
              <w:rPr>
                <w:b/>
                <w:sz w:val="22"/>
                <w:szCs w:val="22"/>
              </w:rPr>
            </w:pPr>
            <w:r w:rsidRPr="005844C5">
              <w:rPr>
                <w:b/>
                <w:sz w:val="22"/>
                <w:szCs w:val="22"/>
              </w:rPr>
              <w:t>Relator</w:t>
            </w:r>
          </w:p>
        </w:tc>
        <w:tc>
          <w:tcPr>
            <w:tcW w:w="3923" w:type="pct"/>
          </w:tcPr>
          <w:p w14:paraId="6A31ADA0" w14:textId="6038B615" w:rsidR="00341FC2" w:rsidRPr="005844C5" w:rsidRDefault="00341FC2" w:rsidP="00341FC2">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 xml:space="preserve">Stoyan Tchoukanov (BG – Grupo das Organizações da Sociedade Civil) </w:t>
            </w:r>
          </w:p>
          <w:p w14:paraId="734AA599" w14:textId="77777777" w:rsidR="00840C59" w:rsidRPr="005844C5" w:rsidRDefault="00840C59" w:rsidP="00341FC2">
            <w:pPr>
              <w:tabs>
                <w:tab w:val="center" w:pos="284"/>
              </w:tabs>
              <w:overflowPunct w:val="0"/>
              <w:autoSpaceDE w:val="0"/>
              <w:autoSpaceDN w:val="0"/>
              <w:adjustRightInd w:val="0"/>
              <w:ind w:left="266" w:right="-3091" w:hanging="266"/>
              <w:textAlignment w:val="baseline"/>
              <w:rPr>
                <w:sz w:val="22"/>
                <w:szCs w:val="22"/>
              </w:rPr>
            </w:pPr>
          </w:p>
        </w:tc>
      </w:tr>
      <w:tr w:rsidR="00341FC2" w:rsidRPr="00341FC2" w14:paraId="5910CD05" w14:textId="77777777" w:rsidTr="002E7EFB">
        <w:tc>
          <w:tcPr>
            <w:tcW w:w="1077" w:type="pct"/>
          </w:tcPr>
          <w:p w14:paraId="0596BC04" w14:textId="77777777" w:rsidR="00341FC2" w:rsidRPr="005844C5" w:rsidRDefault="00341FC2" w:rsidP="00341FC2">
            <w:pPr>
              <w:tabs>
                <w:tab w:val="center" w:pos="284"/>
              </w:tabs>
              <w:overflowPunct w:val="0"/>
              <w:autoSpaceDE w:val="0"/>
              <w:autoSpaceDN w:val="0"/>
              <w:adjustRightInd w:val="0"/>
              <w:ind w:left="266" w:hanging="266"/>
              <w:textAlignment w:val="baseline"/>
              <w:rPr>
                <w:b/>
                <w:sz w:val="22"/>
                <w:szCs w:val="22"/>
              </w:rPr>
            </w:pPr>
            <w:r w:rsidRPr="005844C5">
              <w:rPr>
                <w:b/>
                <w:sz w:val="22"/>
                <w:szCs w:val="22"/>
              </w:rPr>
              <w:t>Referências</w:t>
            </w:r>
          </w:p>
        </w:tc>
        <w:tc>
          <w:tcPr>
            <w:tcW w:w="3923" w:type="pct"/>
          </w:tcPr>
          <w:p w14:paraId="54454E7C" w14:textId="3611E015" w:rsidR="00516EEE" w:rsidRPr="005844C5" w:rsidRDefault="00516EEE" w:rsidP="00341FC2">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Parecer de iniciativa</w:t>
            </w:r>
          </w:p>
          <w:p w14:paraId="02B79D0E" w14:textId="0206A71A" w:rsidR="00341FC2" w:rsidRPr="005844C5" w:rsidRDefault="00341FC2" w:rsidP="00341FC2">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EESC-2025-04330-00-00-AC</w:t>
            </w:r>
          </w:p>
        </w:tc>
      </w:tr>
    </w:tbl>
    <w:p w14:paraId="749615BA" w14:textId="77777777" w:rsidR="00341FC2" w:rsidRDefault="00341FC2" w:rsidP="00341FC2">
      <w:pPr>
        <w:tabs>
          <w:tab w:val="center" w:pos="284"/>
        </w:tabs>
        <w:overflowPunct w:val="0"/>
        <w:autoSpaceDE w:val="0"/>
        <w:autoSpaceDN w:val="0"/>
        <w:adjustRightInd w:val="0"/>
        <w:ind w:left="266" w:hanging="266"/>
        <w:textAlignment w:val="baseline"/>
        <w:rPr>
          <w:b/>
          <w:lang w:val="en-GB"/>
        </w:rPr>
      </w:pPr>
    </w:p>
    <w:p w14:paraId="3E17185C" w14:textId="77777777" w:rsidR="00C63006" w:rsidRPr="00341FC2" w:rsidRDefault="00C63006"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Pontos principais</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O Comité Económico e Social Europeu:</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A2EA20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1" w:name="_Toc228805432"/>
      <w:r>
        <w:t>considera que a União Europeia (UE) se encontra num momento oportuno para reforçar a sua transição para uma bioeconomia circular que combine a circularidade, a redução da utilização de materiais dentro dos limites do planeta, a utilização sustentável da biomassa e a competitividade industrial. Com base no futuro ato legislativo sobre economia circular e na versão atualizada da Estratégia da UE para a Bioeconomia, o CESE solicita uma aplicação coerente e ambiciosa que traduza a dinâmica política em resultados concretos em matéria de desenvolvimento industrial e regional;</w:t>
      </w:r>
      <w:bookmarkEnd w:id="21"/>
    </w:p>
    <w:p w14:paraId="6A0A386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2" w:name="_Toc228805433"/>
      <w:r>
        <w:t>frisa que a utilização eficiente dos recursos ambientais exige a aplicação da hierarquia dos resíduos de acordo com a Diretiva-Quadro Resíduos, com base no conceito de ciclo de vida e nos melhores resultados ambientais globais, pelo que apoia uma abordagem orientada para os resultados e tecnologicamente neutra que dê prioridade à prevenção de resíduos, à reutilização e à utilização eficiente dos materiais e tenha em conta tanto os ciclos técnicos como os biológicos seguindo vias circulares diferenciadas;</w:t>
      </w:r>
      <w:bookmarkEnd w:id="22"/>
    </w:p>
    <w:p w14:paraId="25220C00"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3" w:name="_Toc228805434"/>
      <w:r>
        <w:t>frisa que os materiais derivados de polímeros naturais não quimicamente modificados, legalmente reconhecidos como não plásticos ao abrigo da Diretiva Plásticos de Utilização Única e alinhados com o REACH, podem contribuir para a prevenção da poluição, nomeadamente reduzindo as fugas de microplásticos. O seu papel deve ser avaliado em consonância com a abordagem «Uma Só Saúde», reconhecendo as interligações entre a integridade ambiental, a resiliência dos ecossistemas e a saúde humana e animal;</w:t>
      </w:r>
      <w:bookmarkEnd w:id="23"/>
    </w:p>
    <w:p w14:paraId="26333444"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4" w:name="_Toc228805435"/>
      <w:r>
        <w:t>sublinha o potencial desses materiais para reforçar as economias rurais e costeiras, valorizando a biomassa secundária agrícola e marinha, reforçando as cadeias de valor locais e regionais, apoiando a renovação geracional no setor da agricultura e das pescas e criando empregos de elevada qualidade, contribuindo, assim, para a coesão social. Salienta que as utilizações destinadas a géneros alimentícios, a alimentos para animais e à proteção dos solos devem continuar a ser prioritárias, por essa ordem;</w:t>
      </w:r>
      <w:bookmarkEnd w:id="24"/>
    </w:p>
    <w:p w14:paraId="1568ED7F"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5" w:name="_Toc228805436"/>
      <w:r>
        <w:t xml:space="preserve">solicita maior coerência regulamentar em toda a legislação da UE relativa a produtos, resíduos e à indústria, assegurando uma aplicação coerente da distinção jurídica entre plásticos e polímeros </w:t>
      </w:r>
      <w:r>
        <w:lastRenderedPageBreak/>
        <w:t>naturais não modificados. A legislação em matéria de embalagens deve evitar obstáculos não intencionais ou a exclusão de facto do mercado e refletir tanto a circularidade técnica como a biológica, assegurando informações claras e harmonizadas para os consumidores e à previsibilidade para os operadores e as pequenas empresas;</w:t>
      </w:r>
      <w:bookmarkEnd w:id="25"/>
    </w:p>
    <w:p w14:paraId="756BDDFA"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6" w:name="_Toc228805437"/>
      <w:r>
        <w:t>destaca a aplicação do Regulamento Embalagens e Resíduos de Embalagens enquanto prioridade e alerta para o facto de as embalagens fabricadas a partir de polímeros naturais não quimicamente modificados poderem ser excluídas se as normas de reciclabilidade apenas permitirem a reciclagem técnica. Por conseguinte, insta a Comissão a assegurar que a aplicação do Regulamento Embalagens e Resíduos de Embalagens tem em conta o seu estatuto de não plástico e permite que as embalagens concebidas sigam vias biológicas no fim de vida sempre que tal proporcione os melhores resultados ambientais globais;</w:t>
      </w:r>
      <w:bookmarkEnd w:id="26"/>
    </w:p>
    <w:p w14:paraId="462FAC8B"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7" w:name="_Toc228805438"/>
      <w:r>
        <w:t>insta a Comissão a assegurar uma ação coordenada em todas as políticas ambientais, industriais e agrícolas, a fim de permitir a expansão de materiais sustentáveis, facilitar a implantação industrial, reforçar as cadeias de valor regionais e garantir a competitividade mundial da Europa em matéria de inovação no domínio dos materiais sustentáveis, apoiando simultaneamente o investimento privado e a expansão de soluções inovadoras.</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288"/>
      </w:tblGrid>
      <w:tr w:rsidR="00341FC2" w:rsidRPr="00341FC2" w14:paraId="7F4411DB" w14:textId="77777777" w:rsidTr="005844C5">
        <w:tc>
          <w:tcPr>
            <w:tcW w:w="1116" w:type="pct"/>
          </w:tcPr>
          <w:p w14:paraId="151013E3" w14:textId="77777777" w:rsidR="00341FC2" w:rsidRPr="005844C5" w:rsidRDefault="00341FC2" w:rsidP="00341FC2">
            <w:pPr>
              <w:overflowPunct w:val="0"/>
              <w:autoSpaceDE w:val="0"/>
              <w:autoSpaceDN w:val="0"/>
              <w:adjustRightInd w:val="0"/>
              <w:textAlignment w:val="baseline"/>
              <w:rPr>
                <w:i/>
                <w:sz w:val="22"/>
                <w:szCs w:val="22"/>
              </w:rPr>
            </w:pPr>
            <w:r w:rsidRPr="005844C5">
              <w:rPr>
                <w:b/>
                <w:i/>
                <w:sz w:val="22"/>
                <w:szCs w:val="22"/>
              </w:rPr>
              <w:t>Contacto</w:t>
            </w:r>
          </w:p>
        </w:tc>
        <w:tc>
          <w:tcPr>
            <w:tcW w:w="3884" w:type="pct"/>
          </w:tcPr>
          <w:p w14:paraId="24D7A0E4" w14:textId="1AB2E33E" w:rsidR="00341FC2" w:rsidRPr="005844C5" w:rsidRDefault="00341FC2" w:rsidP="00341FC2">
            <w:pPr>
              <w:overflowPunct w:val="0"/>
              <w:autoSpaceDE w:val="0"/>
              <w:autoSpaceDN w:val="0"/>
              <w:adjustRightInd w:val="0"/>
              <w:textAlignment w:val="baseline"/>
              <w:rPr>
                <w:i/>
                <w:sz w:val="22"/>
                <w:szCs w:val="22"/>
              </w:rPr>
            </w:pPr>
            <w:r w:rsidRPr="005844C5">
              <w:rPr>
                <w:i/>
                <w:sz w:val="22"/>
                <w:szCs w:val="22"/>
              </w:rPr>
              <w:t>Caroline Verhelst</w:t>
            </w:r>
          </w:p>
        </w:tc>
      </w:tr>
      <w:tr w:rsidR="00341FC2" w:rsidRPr="00341FC2" w14:paraId="1048C7FF" w14:textId="77777777" w:rsidTr="005844C5">
        <w:tc>
          <w:tcPr>
            <w:tcW w:w="1116" w:type="pct"/>
          </w:tcPr>
          <w:p w14:paraId="716E0640" w14:textId="77777777" w:rsidR="00341FC2" w:rsidRPr="005844C5" w:rsidRDefault="00341FC2" w:rsidP="00341FC2">
            <w:pPr>
              <w:overflowPunct w:val="0"/>
              <w:autoSpaceDE w:val="0"/>
              <w:autoSpaceDN w:val="0"/>
              <w:adjustRightInd w:val="0"/>
              <w:textAlignment w:val="baseline"/>
              <w:rPr>
                <w:i/>
                <w:sz w:val="22"/>
                <w:szCs w:val="22"/>
              </w:rPr>
            </w:pPr>
            <w:r w:rsidRPr="005844C5">
              <w:rPr>
                <w:i/>
                <w:sz w:val="22"/>
                <w:szCs w:val="22"/>
              </w:rPr>
              <w:t>Tel.</w:t>
            </w:r>
          </w:p>
        </w:tc>
        <w:tc>
          <w:tcPr>
            <w:tcW w:w="3884" w:type="pct"/>
          </w:tcPr>
          <w:p w14:paraId="24F2C3A8" w14:textId="77777777" w:rsidR="00341FC2" w:rsidRPr="005844C5" w:rsidRDefault="00341FC2" w:rsidP="00341FC2">
            <w:pPr>
              <w:overflowPunct w:val="0"/>
              <w:autoSpaceDE w:val="0"/>
              <w:autoSpaceDN w:val="0"/>
              <w:adjustRightInd w:val="0"/>
              <w:textAlignment w:val="baseline"/>
              <w:rPr>
                <w:i/>
                <w:sz w:val="22"/>
                <w:szCs w:val="22"/>
              </w:rPr>
            </w:pPr>
            <w:r w:rsidRPr="005844C5">
              <w:rPr>
                <w:i/>
                <w:sz w:val="22"/>
                <w:szCs w:val="22"/>
              </w:rPr>
              <w:t>+32 2 546 94 97</w:t>
            </w:r>
          </w:p>
        </w:tc>
      </w:tr>
      <w:tr w:rsidR="00341FC2" w:rsidRPr="00341FC2" w14:paraId="24B14DC0" w14:textId="77777777" w:rsidTr="005844C5">
        <w:tc>
          <w:tcPr>
            <w:tcW w:w="1116" w:type="pct"/>
          </w:tcPr>
          <w:p w14:paraId="532D2B72" w14:textId="77777777" w:rsidR="00341FC2" w:rsidRPr="005844C5" w:rsidRDefault="00341FC2" w:rsidP="00341FC2">
            <w:pPr>
              <w:overflowPunct w:val="0"/>
              <w:autoSpaceDE w:val="0"/>
              <w:autoSpaceDN w:val="0"/>
              <w:adjustRightInd w:val="0"/>
              <w:textAlignment w:val="baseline"/>
              <w:rPr>
                <w:i/>
                <w:sz w:val="22"/>
                <w:szCs w:val="22"/>
              </w:rPr>
            </w:pPr>
            <w:r w:rsidRPr="005844C5">
              <w:rPr>
                <w:i/>
                <w:sz w:val="22"/>
                <w:szCs w:val="22"/>
              </w:rPr>
              <w:t>Endereço eletrónico</w:t>
            </w:r>
          </w:p>
        </w:tc>
        <w:tc>
          <w:tcPr>
            <w:tcW w:w="3884" w:type="pct"/>
          </w:tcPr>
          <w:p w14:paraId="06E89BE5" w14:textId="77777777" w:rsidR="00341FC2" w:rsidRPr="005844C5" w:rsidRDefault="008D063E" w:rsidP="00341FC2">
            <w:pPr>
              <w:overflowPunct w:val="0"/>
              <w:autoSpaceDE w:val="0"/>
              <w:autoSpaceDN w:val="0"/>
              <w:adjustRightInd w:val="0"/>
              <w:textAlignment w:val="baseline"/>
              <w:rPr>
                <w:i/>
                <w:sz w:val="22"/>
                <w:szCs w:val="22"/>
              </w:rPr>
            </w:pPr>
            <w:hyperlink r:id="rId53" w:history="1">
              <w:r w:rsidR="00A912EA" w:rsidRPr="005844C5">
                <w:rPr>
                  <w:i/>
                  <w:color w:val="0000FF"/>
                  <w:sz w:val="22"/>
                  <w:szCs w:val="22"/>
                  <w:u w:val="single"/>
                </w:rPr>
                <w:t>Caroline.Verhelst@eesc.europa.eu</w:t>
              </w:r>
            </w:hyperlink>
            <w:r w:rsidR="00A912EA" w:rsidRPr="005844C5">
              <w:rPr>
                <w:i/>
                <w:sz w:val="22"/>
                <w:szCs w:val="22"/>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2C38035D" w:rsidR="000C5A16" w:rsidRPr="004C6742" w:rsidRDefault="008D063E"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4" w:history="1">
        <w:r w:rsidR="000C5A16">
          <w:rPr>
            <w:b/>
            <w:i/>
            <w:color w:val="0000FF"/>
            <w:sz w:val="28"/>
            <w:u w:val="single"/>
          </w:rPr>
          <w:t>Estratégia da UE para a Bioeconomia – Rumo a uma bioeconomia circular, regenerat</w:t>
        </w:r>
        <w:r w:rsidR="000C5A16">
          <w:rPr>
            <w:b/>
            <w:i/>
            <w:color w:val="0000FF"/>
            <w:sz w:val="28"/>
            <w:u w:val="single"/>
          </w:rPr>
          <w:t>i</w:t>
        </w:r>
        <w:r w:rsidR="000C5A16">
          <w:rPr>
            <w:b/>
            <w:i/>
            <w:color w:val="0000FF"/>
            <w:sz w:val="28"/>
            <w:u w:val="single"/>
          </w:rPr>
          <w:t>va e competitiva</w:t>
        </w:r>
      </w:hyperlink>
    </w:p>
    <w:p w14:paraId="191C8AF2" w14:textId="77777777" w:rsidR="0014411E" w:rsidRPr="004C6742" w:rsidRDefault="0014411E" w:rsidP="004C6742">
      <w:pPr>
        <w:overflowPunct w:val="0"/>
        <w:autoSpaceDE w:val="0"/>
        <w:autoSpaceDN w:val="0"/>
        <w:adjustRightInd w:val="0"/>
        <w:spacing w:after="200" w:line="276" w:lineRule="auto"/>
        <w:ind w:left="360"/>
        <w:contextualSpacing/>
        <w:textAlignment w:val="baseline"/>
        <w:rPr>
          <w:rFonts w:ascii="Calibri" w:hAnsi="Calibri"/>
          <w:b/>
          <w:bCs/>
          <w:i/>
          <w:iCs/>
          <w:sz w:val="20"/>
          <w:szCs w:val="20"/>
          <w:lang w:val="en-GB" w:eastAsia="zh-CN"/>
        </w:rPr>
      </w:pPr>
    </w:p>
    <w:p w14:paraId="67EC52A8" w14:textId="77777777" w:rsidR="000C5A16" w:rsidRPr="000C5A16" w:rsidRDefault="000C5A16" w:rsidP="000C5A16">
      <w:pPr>
        <w:widowControl w:val="0"/>
        <w:overflowPunct w:val="0"/>
        <w:autoSpaceDE w:val="0"/>
        <w:autoSpaceDN w:val="0"/>
        <w:adjustRightInd w:val="0"/>
        <w:ind w:left="567"/>
        <w:textAlignment w:val="baseline"/>
        <w:rPr>
          <w:bCs/>
          <w:sz w:val="16"/>
          <w:szCs w:val="16"/>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0C5A16" w14:paraId="11DB0199" w14:textId="77777777" w:rsidTr="002E7EFB">
        <w:tc>
          <w:tcPr>
            <w:tcW w:w="1701" w:type="dxa"/>
          </w:tcPr>
          <w:p w14:paraId="702BE3AD" w14:textId="77777777" w:rsidR="000C5A16" w:rsidRPr="005844C5" w:rsidRDefault="000C5A16" w:rsidP="000C5A16">
            <w:pPr>
              <w:tabs>
                <w:tab w:val="center" w:pos="284"/>
              </w:tabs>
              <w:overflowPunct w:val="0"/>
              <w:autoSpaceDE w:val="0"/>
              <w:autoSpaceDN w:val="0"/>
              <w:adjustRightInd w:val="0"/>
              <w:ind w:left="266" w:hanging="266"/>
              <w:textAlignment w:val="baseline"/>
              <w:rPr>
                <w:b/>
                <w:sz w:val="22"/>
                <w:szCs w:val="22"/>
              </w:rPr>
            </w:pPr>
            <w:r w:rsidRPr="005844C5">
              <w:rPr>
                <w:b/>
                <w:sz w:val="22"/>
                <w:szCs w:val="22"/>
              </w:rPr>
              <w:t>Relator</w:t>
            </w:r>
          </w:p>
        </w:tc>
        <w:tc>
          <w:tcPr>
            <w:tcW w:w="7621" w:type="dxa"/>
          </w:tcPr>
          <w:p w14:paraId="5ECA4C39" w14:textId="528DF1F9" w:rsidR="000C5A16" w:rsidRPr="005844C5" w:rsidRDefault="000C5A16" w:rsidP="000C5A16">
            <w:pPr>
              <w:tabs>
                <w:tab w:val="center" w:pos="284"/>
              </w:tabs>
              <w:overflowPunct w:val="0"/>
              <w:autoSpaceDE w:val="0"/>
              <w:autoSpaceDN w:val="0"/>
              <w:adjustRightInd w:val="0"/>
              <w:ind w:left="266" w:hanging="266"/>
              <w:textAlignment w:val="baseline"/>
              <w:rPr>
                <w:b/>
                <w:bCs/>
                <w:spacing w:val="-4"/>
                <w:sz w:val="22"/>
                <w:szCs w:val="22"/>
              </w:rPr>
            </w:pPr>
            <w:r w:rsidRPr="005844C5">
              <w:rPr>
                <w:sz w:val="22"/>
                <w:szCs w:val="22"/>
              </w:rPr>
              <w:t>Arnaud Schwartz (FR – Grupo das Organizações da Sociedade Civil)</w:t>
            </w:r>
          </w:p>
        </w:tc>
      </w:tr>
      <w:tr w:rsidR="000C5A16" w:rsidRPr="000C5A16" w14:paraId="7972012C" w14:textId="77777777" w:rsidTr="002E7EFB">
        <w:tc>
          <w:tcPr>
            <w:tcW w:w="1701" w:type="dxa"/>
          </w:tcPr>
          <w:p w14:paraId="19D90AB9" w14:textId="77777777" w:rsidR="000C5A16" w:rsidRPr="005844C5" w:rsidRDefault="000C5A16" w:rsidP="000C5A16">
            <w:pPr>
              <w:tabs>
                <w:tab w:val="center" w:pos="284"/>
              </w:tabs>
              <w:overflowPunct w:val="0"/>
              <w:autoSpaceDE w:val="0"/>
              <w:autoSpaceDN w:val="0"/>
              <w:adjustRightInd w:val="0"/>
              <w:ind w:left="266" w:hanging="266"/>
              <w:textAlignment w:val="baseline"/>
              <w:rPr>
                <w:b/>
                <w:sz w:val="22"/>
                <w:szCs w:val="22"/>
              </w:rPr>
            </w:pPr>
          </w:p>
        </w:tc>
        <w:tc>
          <w:tcPr>
            <w:tcW w:w="7621" w:type="dxa"/>
          </w:tcPr>
          <w:p w14:paraId="367D2144" w14:textId="77777777" w:rsidR="000C5A16" w:rsidRPr="005844C5" w:rsidRDefault="000C5A16" w:rsidP="000C5A16">
            <w:pPr>
              <w:tabs>
                <w:tab w:val="center" w:pos="284"/>
              </w:tabs>
              <w:overflowPunct w:val="0"/>
              <w:autoSpaceDE w:val="0"/>
              <w:autoSpaceDN w:val="0"/>
              <w:adjustRightInd w:val="0"/>
              <w:ind w:left="266" w:hanging="266"/>
              <w:textAlignment w:val="baseline"/>
              <w:rPr>
                <w:b/>
                <w:bCs/>
                <w:sz w:val="22"/>
                <w:szCs w:val="22"/>
                <w:lang w:val="en-GB"/>
              </w:rPr>
            </w:pPr>
          </w:p>
        </w:tc>
      </w:tr>
      <w:tr w:rsidR="000C5A16" w:rsidRPr="000C5A16" w14:paraId="21344BB5" w14:textId="77777777" w:rsidTr="002E7EFB">
        <w:tc>
          <w:tcPr>
            <w:tcW w:w="1701" w:type="dxa"/>
          </w:tcPr>
          <w:p w14:paraId="25A3DC2A" w14:textId="77777777" w:rsidR="000C5A16" w:rsidRPr="005844C5" w:rsidRDefault="000C5A16" w:rsidP="000C5A16">
            <w:pPr>
              <w:tabs>
                <w:tab w:val="center" w:pos="284"/>
              </w:tabs>
              <w:overflowPunct w:val="0"/>
              <w:autoSpaceDE w:val="0"/>
              <w:autoSpaceDN w:val="0"/>
              <w:adjustRightInd w:val="0"/>
              <w:ind w:left="266" w:hanging="266"/>
              <w:textAlignment w:val="baseline"/>
              <w:rPr>
                <w:b/>
                <w:sz w:val="22"/>
                <w:szCs w:val="22"/>
              </w:rPr>
            </w:pPr>
            <w:r w:rsidRPr="005844C5">
              <w:rPr>
                <w:b/>
                <w:sz w:val="22"/>
                <w:szCs w:val="22"/>
              </w:rPr>
              <w:t>Referências</w:t>
            </w:r>
          </w:p>
        </w:tc>
        <w:tc>
          <w:tcPr>
            <w:tcW w:w="7621" w:type="dxa"/>
          </w:tcPr>
          <w:p w14:paraId="1A41EF62" w14:textId="77777777" w:rsidR="000C5A16" w:rsidRPr="005844C5" w:rsidRDefault="000C5A16" w:rsidP="000C5A16">
            <w:pPr>
              <w:tabs>
                <w:tab w:val="center" w:pos="284"/>
              </w:tabs>
              <w:overflowPunct w:val="0"/>
              <w:autoSpaceDE w:val="0"/>
              <w:autoSpaceDN w:val="0"/>
              <w:adjustRightInd w:val="0"/>
              <w:ind w:left="266" w:hanging="266"/>
              <w:textAlignment w:val="baseline"/>
              <w:rPr>
                <w:sz w:val="22"/>
                <w:szCs w:val="22"/>
              </w:rPr>
            </w:pPr>
            <w:r w:rsidRPr="005844C5">
              <w:rPr>
                <w:sz w:val="22"/>
                <w:szCs w:val="22"/>
              </w:rPr>
              <w:t>COM(2025) 960 final</w:t>
            </w:r>
          </w:p>
          <w:p w14:paraId="6E8937F3" w14:textId="72C7BF98" w:rsidR="000C5A16" w:rsidRPr="005844C5" w:rsidRDefault="000C5A16" w:rsidP="000C5A16">
            <w:pPr>
              <w:tabs>
                <w:tab w:val="center" w:pos="284"/>
              </w:tabs>
              <w:overflowPunct w:val="0"/>
              <w:autoSpaceDE w:val="0"/>
              <w:autoSpaceDN w:val="0"/>
              <w:adjustRightInd w:val="0"/>
              <w:ind w:left="266" w:hanging="266"/>
              <w:textAlignment w:val="baseline"/>
              <w:rPr>
                <w:sz w:val="22"/>
                <w:szCs w:val="22"/>
              </w:rPr>
            </w:pPr>
            <w:r w:rsidRPr="005844C5">
              <w:rPr>
                <w:sz w:val="22"/>
                <w:szCs w:val="22"/>
              </w:rPr>
              <w:t>EESC-2025-03968-00-00-AC</w:t>
            </w:r>
          </w:p>
        </w:tc>
      </w:tr>
    </w:tbl>
    <w:p w14:paraId="6E491DEA" w14:textId="77777777" w:rsidR="000C5A16" w:rsidRDefault="000C5A16" w:rsidP="000C5A16">
      <w:pPr>
        <w:keepNext/>
        <w:keepLines/>
        <w:tabs>
          <w:tab w:val="center" w:pos="284"/>
        </w:tabs>
        <w:overflowPunct w:val="0"/>
        <w:autoSpaceDE w:val="0"/>
        <w:autoSpaceDN w:val="0"/>
        <w:adjustRightInd w:val="0"/>
        <w:ind w:left="266" w:hanging="266"/>
        <w:textAlignment w:val="baseline"/>
        <w:rPr>
          <w:bCs/>
          <w:lang w:val="en-GB"/>
        </w:rPr>
      </w:pPr>
    </w:p>
    <w:p w14:paraId="06FD5121" w14:textId="624A6349" w:rsidR="0017309D" w:rsidRPr="0017309D" w:rsidRDefault="0017309D" w:rsidP="0017309D">
      <w:pPr>
        <w:overflowPunct w:val="0"/>
        <w:autoSpaceDE w:val="0"/>
        <w:autoSpaceDN w:val="0"/>
        <w:adjustRightInd w:val="0"/>
        <w:spacing w:line="276" w:lineRule="auto"/>
        <w:textAlignment w:val="baseline"/>
        <w:outlineLvl w:val="1"/>
        <w:rPr>
          <w:szCs w:val="20"/>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rPr>
      </w:pPr>
      <w:r>
        <w:rPr>
          <w:b/>
        </w:rPr>
        <w:t>Pontos principais</w:t>
      </w:r>
    </w:p>
    <w:p w14:paraId="3956F520" w14:textId="77777777" w:rsidR="0039093C" w:rsidRPr="0039093C" w:rsidRDefault="0039093C" w:rsidP="0039093C">
      <w:pPr>
        <w:overflowPunct w:val="0"/>
        <w:autoSpaceDE w:val="0"/>
        <w:autoSpaceDN w:val="0"/>
        <w:adjustRightInd w:val="0"/>
        <w:spacing w:line="276" w:lineRule="auto"/>
        <w:textAlignment w:val="baseline"/>
        <w:outlineLvl w:val="1"/>
        <w:rPr>
          <w:bCs/>
          <w:szCs w:val="2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rPr>
      </w:pPr>
      <w:r>
        <w:t>O Comité Económico e Social Europeu:</w:t>
      </w:r>
    </w:p>
    <w:p w14:paraId="555AEE0E" w14:textId="77777777" w:rsidR="00FD6A81" w:rsidRPr="0039093C" w:rsidRDefault="00FD6A81" w:rsidP="0039093C">
      <w:pPr>
        <w:overflowPunct w:val="0"/>
        <w:autoSpaceDE w:val="0"/>
        <w:autoSpaceDN w:val="0"/>
        <w:adjustRightInd w:val="0"/>
        <w:spacing w:line="276" w:lineRule="auto"/>
        <w:textAlignment w:val="baseline"/>
        <w:outlineLvl w:val="1"/>
        <w:rPr>
          <w:bCs/>
          <w:iCs/>
          <w:szCs w:val="20"/>
          <w:lang w:val="en-GB"/>
        </w:rPr>
      </w:pPr>
    </w:p>
    <w:p w14:paraId="326B8BDD"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salienta que a Europa é um continente com recursos limitados e altamente dependente das importações, designadamente de matérias-primas e combustíveis fósseis, numa situação geopolítica cada vez mais tensa. Ao mesmo tempo, a sobre-exploração dos recursos naturais é uma das principais causas da perda contínua de biodiversidade</w:t>
      </w:r>
      <w:r w:rsidRPr="00944198">
        <w:rPr>
          <w:sz w:val="24"/>
          <w:szCs w:val="20"/>
          <w:vertAlign w:val="superscript"/>
          <w:lang w:val="en-GB"/>
        </w:rPr>
        <w:footnoteReference w:id="1"/>
      </w:r>
      <w:r>
        <w:t xml:space="preserve">. Em consonância com os Objetivos de Desenvolvimento Sustentável, há que assegurar a coerência entre as metas da UE para o clima e a biodiversidade, por um lado, e a economia circular, por outro. Uma </w:t>
      </w:r>
      <w:r>
        <w:rPr>
          <w:b/>
        </w:rPr>
        <w:t>estratégia para a bioeconomia</w:t>
      </w:r>
      <w:r>
        <w:t xml:space="preserve"> robusta e bem definida </w:t>
      </w:r>
      <w:r>
        <w:rPr>
          <w:b/>
        </w:rPr>
        <w:t>servirá de complemento</w:t>
      </w:r>
      <w:r>
        <w:t xml:space="preserve"> aos progressos realizados na </w:t>
      </w:r>
      <w:r>
        <w:rPr>
          <w:b/>
        </w:rPr>
        <w:t>economia circular e possibilitará a descarbonização, o bem-estar e a competitividade a longo prazo dentro dos limites do planeta</w:t>
      </w:r>
      <w:r>
        <w:t>;</w:t>
      </w:r>
    </w:p>
    <w:p w14:paraId="62E16178"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 xml:space="preserve">recorda que a União Europeia (UE) só será líder mundial se as suas instituições </w:t>
      </w:r>
      <w:r>
        <w:rPr>
          <w:b/>
        </w:rPr>
        <w:t>estabelecerem princípios e salvaguardas rigorosos</w:t>
      </w:r>
      <w:r>
        <w:t xml:space="preserve"> em relação ao que pode servir de insumo para a bioeconomia, quer se trate de biomassa primária ou secundária proveniente da agricultura, da aquicultura, das florestas, da natureza ou de resíduos urbanos/industriais, por exemplo. A Estratégia da UE para a Bioeconomia deve centrar-se na transformação ecológica da economia, tendo em conta os aspetos ambientais e sociais. Uma bioeconomia sustentável e circular reforçará a economia e a competitividade da UE, reduzirá a dependência dos recursos fósseis, contribuirá para cumprir as metas climáticas e criará novos postos de trabalho, além de trazer benefícios ambientais e sociais. Essa liderança deve </w:t>
      </w:r>
      <w:r>
        <w:rPr>
          <w:b/>
        </w:rPr>
        <w:t>dar prioridade a empregos de qualidade, especialmente nas regiões rurais e remotas</w:t>
      </w:r>
      <w:r>
        <w:t xml:space="preserve">. Esses princípios devem ser quantificáveis, executáveis e monitorizados em toda a cadeia de abastecimento e aplicados de igual modo às matérias-primas europeias e às importadas. No contexto mundial, importa </w:t>
      </w:r>
      <w:r>
        <w:rPr>
          <w:b/>
        </w:rPr>
        <w:t>combater a concorrência desleal de matérias-primas fósseis a preços baixos</w:t>
      </w:r>
      <w:r>
        <w:t xml:space="preserve"> (muitas vezes subsidiadas) que não integram os custos das externalidades decorrentes da extração, da utilização e do esgotamento dos recursos.</w:t>
      </w:r>
    </w:p>
    <w:p w14:paraId="2628EFBA" w14:textId="77777777" w:rsidR="0039093C" w:rsidRPr="0039093C" w:rsidRDefault="0039093C" w:rsidP="00A162C2">
      <w:pPr>
        <w:overflowPunct w:val="0"/>
        <w:autoSpaceDE w:val="0"/>
        <w:autoSpaceDN w:val="0"/>
        <w:adjustRightInd w:val="0"/>
        <w:spacing w:line="276" w:lineRule="auto"/>
        <w:ind w:left="284" w:hanging="284"/>
        <w:textAlignment w:val="baseline"/>
        <w:outlineLvl w:val="1"/>
        <w:rPr>
          <w:szCs w:val="20"/>
          <w:lang w:val="en-GB"/>
        </w:rPr>
      </w:pPr>
    </w:p>
    <w:tbl>
      <w:tblPr>
        <w:tblStyle w:val="TableGrid"/>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567"/>
      </w:tblGrid>
      <w:tr w:rsidR="0039093C" w:rsidRPr="0039093C" w14:paraId="15A4E0A1" w14:textId="77777777" w:rsidTr="005844C5">
        <w:trPr>
          <w:trHeight w:val="300"/>
        </w:trPr>
        <w:tc>
          <w:tcPr>
            <w:tcW w:w="2093" w:type="dxa"/>
          </w:tcPr>
          <w:p w14:paraId="0B8186B8" w14:textId="77777777" w:rsidR="0039093C" w:rsidRPr="005844C5" w:rsidRDefault="0039093C" w:rsidP="004853F6">
            <w:pPr>
              <w:overflowPunct w:val="0"/>
              <w:autoSpaceDE w:val="0"/>
              <w:autoSpaceDN w:val="0"/>
              <w:adjustRightInd w:val="0"/>
              <w:spacing w:line="276" w:lineRule="auto"/>
              <w:textAlignment w:val="baseline"/>
              <w:outlineLvl w:val="1"/>
              <w:rPr>
                <w:i/>
                <w:iCs/>
              </w:rPr>
            </w:pPr>
            <w:r w:rsidRPr="005844C5">
              <w:rPr>
                <w:b/>
                <w:i/>
              </w:rPr>
              <w:t>Contacto</w:t>
            </w:r>
          </w:p>
        </w:tc>
        <w:tc>
          <w:tcPr>
            <w:tcW w:w="7567" w:type="dxa"/>
          </w:tcPr>
          <w:p w14:paraId="0319F3A6" w14:textId="11113606" w:rsidR="0039093C" w:rsidRPr="005844C5" w:rsidRDefault="0039093C" w:rsidP="004853F6">
            <w:pPr>
              <w:overflowPunct w:val="0"/>
              <w:autoSpaceDE w:val="0"/>
              <w:autoSpaceDN w:val="0"/>
              <w:adjustRightInd w:val="0"/>
              <w:spacing w:line="276" w:lineRule="auto"/>
              <w:textAlignment w:val="baseline"/>
              <w:outlineLvl w:val="1"/>
              <w:rPr>
                <w:i/>
              </w:rPr>
            </w:pPr>
            <w:r w:rsidRPr="005844C5">
              <w:t>Anna Cameron</w:t>
            </w:r>
          </w:p>
        </w:tc>
      </w:tr>
      <w:tr w:rsidR="0039093C" w:rsidRPr="0039093C" w14:paraId="44DCA9C5" w14:textId="77777777" w:rsidTr="005844C5">
        <w:trPr>
          <w:trHeight w:val="300"/>
        </w:trPr>
        <w:tc>
          <w:tcPr>
            <w:tcW w:w="2093" w:type="dxa"/>
          </w:tcPr>
          <w:p w14:paraId="714A323E" w14:textId="77777777" w:rsidR="0039093C" w:rsidRPr="005844C5" w:rsidRDefault="0039093C" w:rsidP="004853F6">
            <w:pPr>
              <w:overflowPunct w:val="0"/>
              <w:autoSpaceDE w:val="0"/>
              <w:autoSpaceDN w:val="0"/>
              <w:adjustRightInd w:val="0"/>
              <w:spacing w:line="276" w:lineRule="auto"/>
              <w:textAlignment w:val="baseline"/>
              <w:outlineLvl w:val="1"/>
              <w:rPr>
                <w:i/>
              </w:rPr>
            </w:pPr>
            <w:r w:rsidRPr="005844C5">
              <w:rPr>
                <w:i/>
              </w:rPr>
              <w:t>Tel.</w:t>
            </w:r>
          </w:p>
        </w:tc>
        <w:tc>
          <w:tcPr>
            <w:tcW w:w="7567" w:type="dxa"/>
          </w:tcPr>
          <w:p w14:paraId="46765661" w14:textId="77777777" w:rsidR="0039093C" w:rsidRPr="005844C5" w:rsidRDefault="0039093C" w:rsidP="004853F6">
            <w:pPr>
              <w:overflowPunct w:val="0"/>
              <w:autoSpaceDE w:val="0"/>
              <w:autoSpaceDN w:val="0"/>
              <w:adjustRightInd w:val="0"/>
              <w:spacing w:line="276" w:lineRule="auto"/>
              <w:textAlignment w:val="baseline"/>
              <w:outlineLvl w:val="1"/>
              <w:rPr>
                <w:i/>
                <w:iCs/>
              </w:rPr>
            </w:pPr>
            <w:r w:rsidRPr="005844C5">
              <w:rPr>
                <w:i/>
              </w:rPr>
              <w:t>+32 2 546 82 28</w:t>
            </w:r>
          </w:p>
        </w:tc>
      </w:tr>
      <w:tr w:rsidR="0039093C" w:rsidRPr="0039093C" w14:paraId="3E645883" w14:textId="77777777" w:rsidTr="005844C5">
        <w:trPr>
          <w:trHeight w:val="300"/>
        </w:trPr>
        <w:tc>
          <w:tcPr>
            <w:tcW w:w="2093" w:type="dxa"/>
          </w:tcPr>
          <w:p w14:paraId="6069BEEF" w14:textId="77777777" w:rsidR="0039093C" w:rsidRPr="005844C5" w:rsidRDefault="0039093C" w:rsidP="004853F6">
            <w:pPr>
              <w:overflowPunct w:val="0"/>
              <w:autoSpaceDE w:val="0"/>
              <w:autoSpaceDN w:val="0"/>
              <w:adjustRightInd w:val="0"/>
              <w:spacing w:line="276" w:lineRule="auto"/>
              <w:textAlignment w:val="baseline"/>
              <w:outlineLvl w:val="1"/>
              <w:rPr>
                <w:i/>
              </w:rPr>
            </w:pPr>
            <w:r w:rsidRPr="005844C5">
              <w:rPr>
                <w:i/>
              </w:rPr>
              <w:t>Endereço eletrónico</w:t>
            </w:r>
          </w:p>
        </w:tc>
        <w:tc>
          <w:tcPr>
            <w:tcW w:w="7567" w:type="dxa"/>
          </w:tcPr>
          <w:p w14:paraId="53CEC4E5" w14:textId="77777777" w:rsidR="0039093C" w:rsidRPr="005844C5" w:rsidRDefault="008D063E" w:rsidP="004853F6">
            <w:pPr>
              <w:overflowPunct w:val="0"/>
              <w:autoSpaceDE w:val="0"/>
              <w:autoSpaceDN w:val="0"/>
              <w:adjustRightInd w:val="0"/>
              <w:spacing w:line="276" w:lineRule="auto"/>
              <w:textAlignment w:val="baseline"/>
              <w:outlineLvl w:val="1"/>
              <w:rPr>
                <w:i/>
                <w:iCs/>
                <w:u w:val="single"/>
              </w:rPr>
            </w:pPr>
            <w:hyperlink r:id="rId55" w:history="1">
              <w:r w:rsidR="0039093C" w:rsidRPr="005844C5">
                <w:rPr>
                  <w:rStyle w:val="Hyperlink"/>
                  <w:i/>
                </w:rPr>
                <w:t>Anna.Cameron@eesc.europa.eu</w:t>
              </w:r>
            </w:hyperlink>
          </w:p>
        </w:tc>
      </w:tr>
    </w:tbl>
    <w:p w14:paraId="19C31E20" w14:textId="45F2D7D1" w:rsidR="007D7A17" w:rsidRDefault="007D7A17" w:rsidP="00360C1A">
      <w:pPr>
        <w:overflowPunct w:val="0"/>
        <w:autoSpaceDE w:val="0"/>
        <w:autoSpaceDN w:val="0"/>
        <w:adjustRightInd w:val="0"/>
        <w:spacing w:line="276" w:lineRule="auto"/>
        <w:textAlignment w:val="baseline"/>
        <w:outlineLvl w:val="1"/>
        <w:rPr>
          <w:szCs w:val="20"/>
          <w:lang w:val="en-GB"/>
        </w:rPr>
      </w:pPr>
    </w:p>
    <w:p w14:paraId="104E4E43" w14:textId="77777777" w:rsidR="007D7A17" w:rsidRDefault="007D7A17">
      <w:pPr>
        <w:spacing w:after="160" w:line="259" w:lineRule="auto"/>
        <w:jc w:val="left"/>
        <w:rPr>
          <w:szCs w:val="20"/>
        </w:rPr>
      </w:pPr>
      <w:r>
        <w:br w:type="page"/>
      </w:r>
    </w:p>
    <w:p w14:paraId="028EF279" w14:textId="77777777" w:rsidR="00360C1A" w:rsidRDefault="00360C1A" w:rsidP="00360C1A">
      <w:pPr>
        <w:overflowPunct w:val="0"/>
        <w:autoSpaceDE w:val="0"/>
        <w:autoSpaceDN w:val="0"/>
        <w:adjustRightInd w:val="0"/>
        <w:spacing w:line="276" w:lineRule="auto"/>
        <w:textAlignment w:val="baseline"/>
        <w:outlineLvl w:val="1"/>
        <w:rPr>
          <w:szCs w:val="20"/>
          <w:lang w:val="en-GB"/>
        </w:rPr>
      </w:pPr>
    </w:p>
    <w:p w14:paraId="2604F6A5" w14:textId="77777777" w:rsidR="007323B9" w:rsidRPr="004C6742" w:rsidRDefault="007323B9" w:rsidP="004C6742">
      <w:pPr>
        <w:widowControl w:val="0"/>
        <w:overflowPunct w:val="0"/>
        <w:autoSpaceDE w:val="0"/>
        <w:autoSpaceDN w:val="0"/>
        <w:adjustRightInd w:val="0"/>
        <w:ind w:left="284"/>
        <w:textAlignment w:val="baseline"/>
        <w:rPr>
          <w:b/>
          <w:lang w:val="en-GB"/>
        </w:rPr>
      </w:pPr>
    </w:p>
    <w:p w14:paraId="48D068B9" w14:textId="7ED02479" w:rsidR="00403683" w:rsidRPr="004C6742" w:rsidRDefault="008D063E" w:rsidP="004C6742">
      <w:pPr>
        <w:widowControl w:val="0"/>
        <w:numPr>
          <w:ilvl w:val="0"/>
          <w:numId w:val="4"/>
        </w:numPr>
        <w:overflowPunct w:val="0"/>
        <w:autoSpaceDE w:val="0"/>
        <w:autoSpaceDN w:val="0"/>
        <w:adjustRightInd w:val="0"/>
        <w:ind w:hanging="567"/>
        <w:textAlignment w:val="baseline"/>
        <w:rPr>
          <w:b/>
        </w:rPr>
      </w:pPr>
      <w:hyperlink r:id="rId56" w:history="1">
        <w:r w:rsidR="00A067F3">
          <w:rPr>
            <w:b/>
            <w:i/>
            <w:color w:val="0000FF"/>
            <w:sz w:val="28"/>
            <w:u w:val="single"/>
          </w:rPr>
          <w:t xml:space="preserve">Géneros alimentícios e alimentos para animais – Pacote </w:t>
        </w:r>
        <w:r w:rsidR="00A067F3">
          <w:rPr>
            <w:b/>
            <w:i/>
            <w:iCs/>
            <w:color w:val="0000FF"/>
            <w:sz w:val="28"/>
            <w:u w:val="single"/>
          </w:rPr>
          <w:t>omnibus</w:t>
        </w:r>
        <w:r w:rsidR="00A067F3">
          <w:rPr>
            <w:b/>
            <w:i/>
            <w:color w:val="0000FF"/>
            <w:sz w:val="28"/>
            <w:u w:val="single"/>
          </w:rPr>
          <w:t xml:space="preserve"> Simpli</w:t>
        </w:r>
        <w:r w:rsidR="00A067F3">
          <w:rPr>
            <w:b/>
            <w:i/>
            <w:color w:val="0000FF"/>
            <w:sz w:val="28"/>
            <w:u w:val="single"/>
          </w:rPr>
          <w:t>f</w:t>
        </w:r>
        <w:r w:rsidR="00A067F3">
          <w:rPr>
            <w:b/>
            <w:i/>
            <w:color w:val="0000FF"/>
            <w:sz w:val="28"/>
            <w:u w:val="single"/>
          </w:rPr>
          <w:t>icação</w:t>
        </w:r>
      </w:hyperlink>
    </w:p>
    <w:p w14:paraId="2887B6E5" w14:textId="77777777" w:rsidR="00D245DB" w:rsidRDefault="00D245DB" w:rsidP="00D245DB">
      <w:pPr>
        <w:widowControl w:val="0"/>
        <w:overflowPunct w:val="0"/>
        <w:autoSpaceDE w:val="0"/>
        <w:autoSpaceDN w:val="0"/>
        <w:adjustRightInd w:val="0"/>
        <w:textAlignment w:val="baseline"/>
        <w:rPr>
          <w:b/>
        </w:rPr>
      </w:pPr>
    </w:p>
    <w:p w14:paraId="2CC9FD3B" w14:textId="77777777" w:rsidR="00D245DB" w:rsidRPr="00403683" w:rsidRDefault="00D245DB" w:rsidP="004C6742">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E2BB842" w14:textId="77777777" w:rsidTr="002E7EFB">
        <w:tc>
          <w:tcPr>
            <w:tcW w:w="1077" w:type="pct"/>
          </w:tcPr>
          <w:p w14:paraId="7E4E51AD" w14:textId="77777777" w:rsidR="00403683" w:rsidRPr="005844C5" w:rsidRDefault="00403683" w:rsidP="00403683">
            <w:pPr>
              <w:tabs>
                <w:tab w:val="center" w:pos="284"/>
              </w:tabs>
              <w:overflowPunct w:val="0"/>
              <w:autoSpaceDE w:val="0"/>
              <w:autoSpaceDN w:val="0"/>
              <w:adjustRightInd w:val="0"/>
              <w:ind w:left="266" w:hanging="266"/>
              <w:textAlignment w:val="baseline"/>
              <w:rPr>
                <w:b/>
                <w:sz w:val="22"/>
                <w:szCs w:val="22"/>
              </w:rPr>
            </w:pPr>
            <w:r w:rsidRPr="005844C5">
              <w:rPr>
                <w:b/>
                <w:sz w:val="22"/>
                <w:szCs w:val="22"/>
              </w:rPr>
              <w:t>Relator</w:t>
            </w:r>
          </w:p>
          <w:p w14:paraId="1DA05D33" w14:textId="77777777" w:rsidR="00403683" w:rsidRPr="005844C5" w:rsidRDefault="00403683" w:rsidP="00403683">
            <w:pPr>
              <w:tabs>
                <w:tab w:val="center" w:pos="284"/>
              </w:tabs>
              <w:overflowPunct w:val="0"/>
              <w:autoSpaceDE w:val="0"/>
              <w:autoSpaceDN w:val="0"/>
              <w:adjustRightInd w:val="0"/>
              <w:ind w:left="266" w:hanging="266"/>
              <w:textAlignment w:val="baseline"/>
              <w:rPr>
                <w:b/>
                <w:sz w:val="22"/>
                <w:szCs w:val="22"/>
              </w:rPr>
            </w:pPr>
            <w:r w:rsidRPr="005844C5">
              <w:rPr>
                <w:b/>
                <w:sz w:val="22"/>
                <w:szCs w:val="22"/>
              </w:rPr>
              <w:t>Correlator</w:t>
            </w:r>
          </w:p>
        </w:tc>
        <w:tc>
          <w:tcPr>
            <w:tcW w:w="3923" w:type="pct"/>
          </w:tcPr>
          <w:p w14:paraId="2C24310A" w14:textId="58067842" w:rsidR="00403683" w:rsidRPr="005844C5" w:rsidRDefault="00403683" w:rsidP="00403683">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Felipe Medina Martín (ES – Grupo dos Empregadores)</w:t>
            </w:r>
          </w:p>
          <w:p w14:paraId="3D560AB1" w14:textId="7A3E50CA" w:rsidR="00403683" w:rsidRPr="005844C5" w:rsidRDefault="00403683" w:rsidP="00403683">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John Comer (IE – Grupo das Organizações da Sociedade Civil)</w:t>
            </w:r>
          </w:p>
          <w:p w14:paraId="5CFB0DE6" w14:textId="77777777" w:rsidR="00F10208" w:rsidRPr="005844C5" w:rsidRDefault="00F10208" w:rsidP="00403683">
            <w:pPr>
              <w:tabs>
                <w:tab w:val="center" w:pos="284"/>
              </w:tabs>
              <w:overflowPunct w:val="0"/>
              <w:autoSpaceDE w:val="0"/>
              <w:autoSpaceDN w:val="0"/>
              <w:adjustRightInd w:val="0"/>
              <w:ind w:left="266" w:right="-3091" w:hanging="266"/>
              <w:textAlignment w:val="baseline"/>
              <w:rPr>
                <w:sz w:val="22"/>
                <w:szCs w:val="22"/>
              </w:rPr>
            </w:pPr>
          </w:p>
          <w:p w14:paraId="037A195D" w14:textId="77777777" w:rsidR="00F10208" w:rsidRPr="005844C5" w:rsidRDefault="00F10208" w:rsidP="00403683">
            <w:pPr>
              <w:tabs>
                <w:tab w:val="center" w:pos="284"/>
              </w:tabs>
              <w:overflowPunct w:val="0"/>
              <w:autoSpaceDE w:val="0"/>
              <w:autoSpaceDN w:val="0"/>
              <w:adjustRightInd w:val="0"/>
              <w:ind w:left="266" w:right="-3091" w:hanging="266"/>
              <w:textAlignment w:val="baseline"/>
              <w:rPr>
                <w:sz w:val="22"/>
                <w:szCs w:val="22"/>
              </w:rPr>
            </w:pPr>
          </w:p>
        </w:tc>
      </w:tr>
      <w:tr w:rsidR="00403683" w:rsidRPr="00403683" w14:paraId="783AECB9" w14:textId="77777777" w:rsidTr="002E7EFB">
        <w:tc>
          <w:tcPr>
            <w:tcW w:w="1077" w:type="pct"/>
          </w:tcPr>
          <w:p w14:paraId="6E48B402" w14:textId="77777777" w:rsidR="00403683" w:rsidRPr="005844C5" w:rsidRDefault="00403683" w:rsidP="00403683">
            <w:pPr>
              <w:tabs>
                <w:tab w:val="center" w:pos="284"/>
              </w:tabs>
              <w:overflowPunct w:val="0"/>
              <w:autoSpaceDE w:val="0"/>
              <w:autoSpaceDN w:val="0"/>
              <w:adjustRightInd w:val="0"/>
              <w:ind w:left="266" w:hanging="266"/>
              <w:textAlignment w:val="baseline"/>
              <w:rPr>
                <w:b/>
                <w:sz w:val="22"/>
                <w:szCs w:val="22"/>
              </w:rPr>
            </w:pPr>
            <w:r w:rsidRPr="005844C5">
              <w:rPr>
                <w:b/>
                <w:sz w:val="22"/>
                <w:szCs w:val="22"/>
              </w:rPr>
              <w:t>Referências</w:t>
            </w:r>
          </w:p>
        </w:tc>
        <w:tc>
          <w:tcPr>
            <w:tcW w:w="3923" w:type="pct"/>
          </w:tcPr>
          <w:p w14:paraId="3053CB7C" w14:textId="4CC39F23" w:rsidR="00F10208" w:rsidRPr="005844C5" w:rsidRDefault="007C5358" w:rsidP="00403683">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COM(2025) 1030 final</w:t>
            </w:r>
          </w:p>
          <w:p w14:paraId="762EB0A0" w14:textId="5D841CDA" w:rsidR="00403683" w:rsidRPr="005844C5" w:rsidRDefault="00403683" w:rsidP="00403683">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Pontos principais</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O Comité Económico e Social Europeu:</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1FCFD917"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8" w:name="_Toc228805442"/>
      <w:r>
        <w:t>congratula-se com a orientação geral do pacote Simplificação relativo aos géneros alimentícios e aos alimentos para animais, que deverá reduzir os encargos administrativos e os custos desnecessários, mas salienta que tal simplificação não deve comprometer as normas elevadas da UE em matéria de segurança dos géneros alimentícios e alimentos para animais, de proteção do ambiente e de saúde pública e que teria sido benéfico uma maior simplificação;</w:t>
      </w:r>
      <w:bookmarkEnd w:id="28"/>
    </w:p>
    <w:p w14:paraId="03C81D74"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9" w:name="_Toc228805443"/>
      <w:r>
        <w:t>salienta a importância da qualidade da regulamentação e a necessidade de consolidar o papel da sociedade civil no acompanhamento e na aplicação da legislação;</w:t>
      </w:r>
      <w:bookmarkEnd w:id="29"/>
    </w:p>
    <w:p w14:paraId="2F1E934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0" w:name="_Toc228805444"/>
      <w:r>
        <w:t>congratula-se com a proposta de facilitar uma maior utilização de aeronaves não tripuladas para pulverizar pesticidas, salientando simultaneamente a necessidade de proteções e salvaguardas adequadas para a saúde e o ambiente da população rural não agrícola e de todos os trabalhadores;</w:t>
      </w:r>
      <w:bookmarkEnd w:id="30"/>
    </w:p>
    <w:p w14:paraId="4305D899"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1" w:name="_Toc228805445"/>
      <w:r>
        <w:t>considera que a Autoridade Europeia para a Segurança dos Alimentos (EFSA) deve ter o direito de alertar para a necessidade de reavaliações específicas das substâncias ativas aprovadas por um período ilimitado e ser convidada a emitir um parecer sobre a adequação de um determinado período de tolerância;</w:t>
      </w:r>
      <w:bookmarkEnd w:id="31"/>
      <w:r>
        <w:t xml:space="preserve"> </w:t>
      </w:r>
    </w:p>
    <w:p w14:paraId="52534770"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2" w:name="_Toc228805446"/>
      <w:r>
        <w:t>considera positiva a aceleração e simplificação dos processos de autorização dos produtos de controlo biológico;</w:t>
      </w:r>
      <w:bookmarkEnd w:id="32"/>
      <w:r>
        <w:t xml:space="preserve"> </w:t>
      </w:r>
    </w:p>
    <w:p w14:paraId="5FE87611"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3" w:name="_Toc228805447"/>
      <w:r>
        <w:t>insta à harmonização dos períodos de tolerância ao nível de proteção mais elevado em toda a UE e à facilitação do reconhecimento mútuo;</w:t>
      </w:r>
      <w:bookmarkEnd w:id="33"/>
    </w:p>
    <w:p w14:paraId="740656F8"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4" w:name="_Toc228805448"/>
      <w:r>
        <w:t>apoia a autorização de produtos fitofarmacêuticos que contenham substâncias ativas aprovadas pela UE para tratamentos de sementes destinadas à exportação, desde que essa utilização cumpra os requisitos regulamentares do país de destino;</w:t>
      </w:r>
      <w:bookmarkEnd w:id="34"/>
    </w:p>
    <w:p w14:paraId="32435E68"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5" w:name="_Toc228805449"/>
      <w:r>
        <w:t>propõe que as análises sanitárias e de certificação privadas realizadas por empresas sejam reconhecidas como oficiais, a fim de simplificar o procedimento de exportação de produtos fitofarmacêuticos para países terceiros, e que se instituam controlos e coimas mais rigorosos para permitir tal reconhecimento;</w:t>
      </w:r>
      <w:bookmarkEnd w:id="35"/>
    </w:p>
    <w:p w14:paraId="5D898E6D"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6" w:name="_Toc228805450"/>
      <w:r>
        <w:t xml:space="preserve">embora reconheça a importância da equivalência das normas, está preocupado com a eliminação das tolerâncias de importação para determinadas substâncias não autorizadas na UE e considera que é essencial realizar uma avaliação de impacto para tais alterações importantes, em </w:t>
      </w:r>
      <w:r>
        <w:lastRenderedPageBreak/>
        <w:t>conformidade com o princípio da precaução e tendo em conta as potenciais implicações para todos os intervenientes na cadeia que dependem fortemente das importações;</w:t>
      </w:r>
      <w:bookmarkEnd w:id="36"/>
    </w:p>
    <w:p w14:paraId="0129D2DA"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7" w:name="_Toc228805451"/>
      <w:r>
        <w:t>considera que as substâncias de controlo biológico devem ter autorização para utilizar metais pesados como o cobre, desde que a saúde humana, animal e dos solos e a biodiversidade sejam garantidas;</w:t>
      </w:r>
      <w:bookmarkEnd w:id="37"/>
    </w:p>
    <w:p w14:paraId="3C8AB436"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8" w:name="_Toc228805452"/>
      <w:r>
        <w:t>tem para si que, antes de retirar uma substância ativa candidata a substituição, cumpre assegurar que há uma alternativa economicamente viável e com um nível de eficácia equiparável;</w:t>
      </w:r>
      <w:bookmarkEnd w:id="38"/>
    </w:p>
    <w:p w14:paraId="30304C3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9" w:name="_Toc228805453"/>
      <w:r>
        <w:t>considera que a UE deve respeitar os padrões mais elevados de transparência e segurança em alimentos novos e geneticamente modificados;</w:t>
      </w:r>
      <w:bookmarkEnd w:id="39"/>
    </w:p>
    <w:p w14:paraId="47E9B68C"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40" w:name="_Toc228805454"/>
      <w:r>
        <w:t>solicita que a harmonização da rotulagem das sementes inclua medidas de precaução e de gestão dos riscos pertinentes.</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288"/>
      </w:tblGrid>
      <w:tr w:rsidR="00403683" w:rsidRPr="00403683" w14:paraId="70675006" w14:textId="77777777" w:rsidTr="005844C5">
        <w:tc>
          <w:tcPr>
            <w:tcW w:w="1116" w:type="pct"/>
          </w:tcPr>
          <w:p w14:paraId="47BC0F37" w14:textId="77777777" w:rsidR="00403683" w:rsidRPr="005844C5" w:rsidRDefault="00403683" w:rsidP="00403683">
            <w:pPr>
              <w:overflowPunct w:val="0"/>
              <w:autoSpaceDE w:val="0"/>
              <w:autoSpaceDN w:val="0"/>
              <w:adjustRightInd w:val="0"/>
              <w:textAlignment w:val="baseline"/>
              <w:rPr>
                <w:i/>
                <w:sz w:val="22"/>
                <w:szCs w:val="22"/>
              </w:rPr>
            </w:pPr>
            <w:r w:rsidRPr="005844C5">
              <w:rPr>
                <w:b/>
                <w:i/>
                <w:sz w:val="22"/>
                <w:szCs w:val="22"/>
              </w:rPr>
              <w:t>Contacto</w:t>
            </w:r>
          </w:p>
        </w:tc>
        <w:tc>
          <w:tcPr>
            <w:tcW w:w="3884" w:type="pct"/>
          </w:tcPr>
          <w:p w14:paraId="14A09B02" w14:textId="54C774A1" w:rsidR="00403683" w:rsidRPr="005844C5" w:rsidRDefault="00403683" w:rsidP="00403683">
            <w:pPr>
              <w:overflowPunct w:val="0"/>
              <w:autoSpaceDE w:val="0"/>
              <w:autoSpaceDN w:val="0"/>
              <w:adjustRightInd w:val="0"/>
              <w:textAlignment w:val="baseline"/>
              <w:rPr>
                <w:i/>
                <w:sz w:val="22"/>
                <w:szCs w:val="22"/>
              </w:rPr>
            </w:pPr>
            <w:r w:rsidRPr="005844C5">
              <w:rPr>
                <w:i/>
                <w:sz w:val="22"/>
                <w:szCs w:val="22"/>
              </w:rPr>
              <w:t>Martine Delanoy</w:t>
            </w:r>
          </w:p>
        </w:tc>
      </w:tr>
      <w:tr w:rsidR="00403683" w:rsidRPr="00403683" w14:paraId="1A38B9B8" w14:textId="77777777" w:rsidTr="005844C5">
        <w:tc>
          <w:tcPr>
            <w:tcW w:w="1116" w:type="pct"/>
          </w:tcPr>
          <w:p w14:paraId="4675EE24" w14:textId="77777777" w:rsidR="00403683" w:rsidRPr="005844C5" w:rsidRDefault="00403683" w:rsidP="00403683">
            <w:pPr>
              <w:overflowPunct w:val="0"/>
              <w:autoSpaceDE w:val="0"/>
              <w:autoSpaceDN w:val="0"/>
              <w:adjustRightInd w:val="0"/>
              <w:textAlignment w:val="baseline"/>
              <w:rPr>
                <w:i/>
                <w:sz w:val="22"/>
                <w:szCs w:val="22"/>
              </w:rPr>
            </w:pPr>
            <w:r w:rsidRPr="005844C5">
              <w:rPr>
                <w:i/>
                <w:sz w:val="22"/>
                <w:szCs w:val="22"/>
              </w:rPr>
              <w:t>Tel.</w:t>
            </w:r>
          </w:p>
        </w:tc>
        <w:tc>
          <w:tcPr>
            <w:tcW w:w="3884" w:type="pct"/>
          </w:tcPr>
          <w:p w14:paraId="353DAD93" w14:textId="77777777" w:rsidR="00403683" w:rsidRPr="005844C5" w:rsidRDefault="00403683" w:rsidP="00403683">
            <w:pPr>
              <w:overflowPunct w:val="0"/>
              <w:autoSpaceDE w:val="0"/>
              <w:autoSpaceDN w:val="0"/>
              <w:adjustRightInd w:val="0"/>
              <w:textAlignment w:val="baseline"/>
              <w:rPr>
                <w:i/>
                <w:sz w:val="22"/>
                <w:szCs w:val="22"/>
              </w:rPr>
            </w:pPr>
            <w:r w:rsidRPr="005844C5">
              <w:rPr>
                <w:i/>
                <w:sz w:val="22"/>
                <w:szCs w:val="22"/>
              </w:rPr>
              <w:t>+32 2 546 98 02</w:t>
            </w:r>
          </w:p>
        </w:tc>
      </w:tr>
      <w:tr w:rsidR="00403683" w:rsidRPr="00403683" w14:paraId="7CCD1D63" w14:textId="77777777" w:rsidTr="005844C5">
        <w:tc>
          <w:tcPr>
            <w:tcW w:w="1116" w:type="pct"/>
          </w:tcPr>
          <w:p w14:paraId="0D398F1B" w14:textId="77777777" w:rsidR="00403683" w:rsidRPr="005844C5" w:rsidRDefault="00403683" w:rsidP="00403683">
            <w:pPr>
              <w:overflowPunct w:val="0"/>
              <w:autoSpaceDE w:val="0"/>
              <w:autoSpaceDN w:val="0"/>
              <w:adjustRightInd w:val="0"/>
              <w:textAlignment w:val="baseline"/>
              <w:rPr>
                <w:i/>
                <w:sz w:val="22"/>
                <w:szCs w:val="22"/>
              </w:rPr>
            </w:pPr>
            <w:r w:rsidRPr="005844C5">
              <w:rPr>
                <w:i/>
                <w:sz w:val="22"/>
                <w:szCs w:val="22"/>
              </w:rPr>
              <w:t>Endereço eletrónico</w:t>
            </w:r>
          </w:p>
        </w:tc>
        <w:tc>
          <w:tcPr>
            <w:tcW w:w="3884" w:type="pct"/>
          </w:tcPr>
          <w:p w14:paraId="40D17F4B" w14:textId="77777777" w:rsidR="00403683" w:rsidRPr="005844C5" w:rsidRDefault="008D063E" w:rsidP="00403683">
            <w:pPr>
              <w:overflowPunct w:val="0"/>
              <w:autoSpaceDE w:val="0"/>
              <w:autoSpaceDN w:val="0"/>
              <w:adjustRightInd w:val="0"/>
              <w:textAlignment w:val="baseline"/>
              <w:rPr>
                <w:i/>
                <w:sz w:val="22"/>
                <w:szCs w:val="22"/>
              </w:rPr>
            </w:pPr>
            <w:hyperlink r:id="rId57" w:history="1">
              <w:r w:rsidR="00A912EA" w:rsidRPr="005844C5">
                <w:rPr>
                  <w:i/>
                  <w:color w:val="0000FF"/>
                  <w:sz w:val="22"/>
                  <w:szCs w:val="22"/>
                  <w:u w:val="single"/>
                </w:rPr>
                <w:t>Martine.Delanoy@eesc.europa.eu</w:t>
              </w:r>
            </w:hyperlink>
            <w:r w:rsidR="00A912EA" w:rsidRPr="005844C5">
              <w:rPr>
                <w:i/>
                <w:sz w:val="22"/>
                <w:szCs w:val="22"/>
              </w:rPr>
              <w:t xml:space="preserve"> </w:t>
            </w:r>
          </w:p>
          <w:p w14:paraId="01C39410" w14:textId="77777777" w:rsidR="00CA6EC9" w:rsidRPr="005844C5" w:rsidRDefault="00CA6EC9" w:rsidP="00403683">
            <w:pPr>
              <w:overflowPunct w:val="0"/>
              <w:autoSpaceDE w:val="0"/>
              <w:autoSpaceDN w:val="0"/>
              <w:adjustRightInd w:val="0"/>
              <w:textAlignment w:val="baseline"/>
              <w:rPr>
                <w:i/>
                <w:sz w:val="22"/>
                <w:szCs w:val="22"/>
              </w:rPr>
            </w:pPr>
          </w:p>
          <w:p w14:paraId="7433A851" w14:textId="77777777" w:rsidR="00CA6EC9" w:rsidRPr="005844C5" w:rsidRDefault="00CA6EC9" w:rsidP="00403683">
            <w:pPr>
              <w:overflowPunct w:val="0"/>
              <w:autoSpaceDE w:val="0"/>
              <w:autoSpaceDN w:val="0"/>
              <w:adjustRightInd w:val="0"/>
              <w:textAlignment w:val="baseline"/>
              <w:rPr>
                <w:i/>
                <w:sz w:val="22"/>
                <w:szCs w:val="22"/>
              </w:rPr>
            </w:pPr>
          </w:p>
        </w:tc>
      </w:tr>
    </w:tbl>
    <w:p w14:paraId="2EE3ACD5" w14:textId="77777777" w:rsidR="007B6F06" w:rsidRDefault="007B6F06" w:rsidP="004C6742">
      <w:pPr>
        <w:widowControl w:val="0"/>
        <w:overflowPunct w:val="0"/>
        <w:autoSpaceDE w:val="0"/>
        <w:autoSpaceDN w:val="0"/>
        <w:adjustRightInd w:val="0"/>
        <w:ind w:left="284"/>
        <w:jc w:val="left"/>
        <w:textAlignment w:val="baseline"/>
        <w:rPr>
          <w:b/>
          <w:bCs/>
          <w:i/>
          <w:iCs/>
          <w:sz w:val="28"/>
          <w:szCs w:val="28"/>
          <w:lang w:val="en-GB"/>
        </w:rPr>
      </w:pPr>
    </w:p>
    <w:p w14:paraId="2F50326F" w14:textId="7DB24ABB" w:rsidR="00A230F1" w:rsidRPr="007B6F06" w:rsidRDefault="007B6F06" w:rsidP="004C6742">
      <w:pPr>
        <w:pStyle w:val="ListParagraph"/>
        <w:numPr>
          <w:ilvl w:val="0"/>
          <w:numId w:val="14"/>
        </w:numPr>
        <w:spacing w:after="160" w:line="259" w:lineRule="auto"/>
        <w:ind w:left="567" w:hanging="567"/>
        <w:jc w:val="left"/>
        <w:rPr>
          <w:b/>
          <w:bCs/>
          <w:szCs w:val="20"/>
        </w:rPr>
      </w:pPr>
      <w:r>
        <w:br w:type="page"/>
      </w:r>
      <w:hyperlink r:id="rId58" w:history="1">
        <w:r>
          <w:rPr>
            <w:b/>
            <w:i/>
            <w:color w:val="0000FF"/>
            <w:sz w:val="28"/>
            <w:u w:val="single"/>
          </w:rPr>
          <w:t xml:space="preserve">Equivalência das inspeções de campo de culturas produtoras de sementes efetuadas em </w:t>
        </w:r>
        <w:r>
          <w:rPr>
            <w:b/>
            <w:i/>
            <w:color w:val="0000FF"/>
            <w:sz w:val="28"/>
            <w:u w:val="single"/>
          </w:rPr>
          <w:t>p</w:t>
        </w:r>
        <w:r>
          <w:rPr>
            <w:b/>
            <w:i/>
            <w:color w:val="0000FF"/>
            <w:sz w:val="28"/>
            <w:u w:val="single"/>
          </w:rPr>
          <w:t>aíses terceiros e equivalência das sementes produzidas em países terceiros</w:t>
        </w:r>
      </w:hyperlink>
      <w:r>
        <w:rPr>
          <w:b/>
          <w:i/>
          <w:sz w:val="28"/>
        </w:rPr>
        <w:t xml:space="preserve"> </w:t>
      </w:r>
    </w:p>
    <w:p w14:paraId="32AB9036" w14:textId="77777777" w:rsidR="00A230F1" w:rsidRPr="00A230F1" w:rsidRDefault="00A230F1" w:rsidP="00A230F1">
      <w:pPr>
        <w:widowControl w:val="0"/>
        <w:overflowPunct w:val="0"/>
        <w:autoSpaceDE w:val="0"/>
        <w:autoSpaceDN w:val="0"/>
        <w:adjustRightInd w:val="0"/>
        <w:ind w:left="266"/>
        <w:textAlignment w:val="baseline"/>
        <w:rPr>
          <w:b/>
          <w:bCs/>
          <w:i/>
          <w:iCs/>
          <w:sz w:val="28"/>
          <w:szCs w:val="28"/>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230F1" w:rsidRPr="00A230F1" w14:paraId="427B5DF2" w14:textId="77777777" w:rsidTr="002E7EFB">
        <w:tc>
          <w:tcPr>
            <w:tcW w:w="1077" w:type="pct"/>
            <w:vMerge w:val="restart"/>
          </w:tcPr>
          <w:p w14:paraId="6D05D3E2" w14:textId="77777777" w:rsidR="00A230F1" w:rsidRPr="005844C5" w:rsidRDefault="00A230F1" w:rsidP="00A230F1">
            <w:pPr>
              <w:tabs>
                <w:tab w:val="center" w:pos="284"/>
              </w:tabs>
              <w:overflowPunct w:val="0"/>
              <w:autoSpaceDE w:val="0"/>
              <w:autoSpaceDN w:val="0"/>
              <w:adjustRightInd w:val="0"/>
              <w:ind w:left="266" w:hanging="266"/>
              <w:textAlignment w:val="baseline"/>
              <w:rPr>
                <w:b/>
                <w:sz w:val="22"/>
                <w:szCs w:val="22"/>
              </w:rPr>
            </w:pPr>
            <w:r w:rsidRPr="005844C5">
              <w:rPr>
                <w:b/>
                <w:sz w:val="22"/>
                <w:szCs w:val="22"/>
              </w:rPr>
              <w:t>Referências</w:t>
            </w:r>
          </w:p>
        </w:tc>
        <w:tc>
          <w:tcPr>
            <w:tcW w:w="3923" w:type="pct"/>
          </w:tcPr>
          <w:p w14:paraId="54297B64" w14:textId="7C4F1EAB" w:rsidR="005D0FED" w:rsidRPr="005844C5" w:rsidRDefault="005D0FED" w:rsidP="00A230F1">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Parecer da categoria C</w:t>
            </w:r>
          </w:p>
          <w:p w14:paraId="139E7F03" w14:textId="312ADB3D" w:rsidR="00A230F1" w:rsidRPr="005844C5" w:rsidRDefault="00A230F1" w:rsidP="00A230F1">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COM(2026) 128 final</w:t>
            </w:r>
          </w:p>
        </w:tc>
      </w:tr>
      <w:tr w:rsidR="00A230F1" w:rsidRPr="00A230F1" w14:paraId="63A72A95" w14:textId="77777777" w:rsidTr="002E7EFB">
        <w:tc>
          <w:tcPr>
            <w:tcW w:w="1077" w:type="pct"/>
            <w:vMerge/>
          </w:tcPr>
          <w:p w14:paraId="11CFEE2D" w14:textId="77777777" w:rsidR="00A230F1" w:rsidRPr="005844C5" w:rsidRDefault="00A230F1" w:rsidP="00A230F1">
            <w:pPr>
              <w:tabs>
                <w:tab w:val="center" w:pos="284"/>
              </w:tabs>
              <w:overflowPunct w:val="0"/>
              <w:autoSpaceDE w:val="0"/>
              <w:autoSpaceDN w:val="0"/>
              <w:adjustRightInd w:val="0"/>
              <w:ind w:left="266" w:hanging="266"/>
              <w:textAlignment w:val="baseline"/>
              <w:rPr>
                <w:b/>
                <w:sz w:val="22"/>
                <w:szCs w:val="22"/>
              </w:rPr>
            </w:pPr>
          </w:p>
        </w:tc>
        <w:tc>
          <w:tcPr>
            <w:tcW w:w="3923" w:type="pct"/>
          </w:tcPr>
          <w:p w14:paraId="70F0DEFB" w14:textId="77777777" w:rsidR="00A230F1" w:rsidRPr="005844C5" w:rsidRDefault="00A230F1" w:rsidP="00A230F1">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EESC-2026-01152-00-00-AC</w:t>
            </w:r>
          </w:p>
        </w:tc>
      </w:tr>
    </w:tbl>
    <w:p w14:paraId="1F198972" w14:textId="77777777" w:rsidR="00A230F1" w:rsidRPr="00A230F1" w:rsidRDefault="00A230F1" w:rsidP="00A230F1">
      <w:pPr>
        <w:tabs>
          <w:tab w:val="center" w:pos="284"/>
        </w:tabs>
        <w:overflowPunct w:val="0"/>
        <w:autoSpaceDE w:val="0"/>
        <w:autoSpaceDN w:val="0"/>
        <w:adjustRightInd w:val="0"/>
        <w:ind w:left="266" w:hanging="266"/>
        <w:textAlignment w:val="baseline"/>
        <w:rPr>
          <w:b/>
          <w:lang w:val="en-GB"/>
        </w:rPr>
      </w:pPr>
    </w:p>
    <w:p w14:paraId="64BE0F4D" w14:textId="4AFB8AA4" w:rsidR="002B30F4" w:rsidRPr="002B30F4" w:rsidRDefault="005844C5" w:rsidP="004C6742">
      <w:pPr>
        <w:pStyle w:val="Footer"/>
        <w:rPr>
          <w:bCs/>
          <w:iCs/>
        </w:rPr>
      </w:pPr>
      <w:r>
        <w:t>C</w:t>
      </w:r>
      <w:r w:rsidR="00A230F1">
        <w:t>onsiderando que já se pronunciara sobre o conteúdo desta proposta nos pareceres EESC</w:t>
      </w:r>
      <w:r w:rsidR="00C418F1">
        <w:noBreakHyphen/>
      </w:r>
      <w:r w:rsidR="00A230F1">
        <w:t>2018</w:t>
      </w:r>
      <w:r w:rsidR="00C418F1">
        <w:noBreakHyphen/>
      </w:r>
      <w:r w:rsidR="00A230F1">
        <w:t>00043-00-00-AC-TRA, adotado em 14.2.2018</w:t>
      </w:r>
      <w:r w:rsidR="002B30F4" w:rsidRPr="002B30F4">
        <w:rPr>
          <w:sz w:val="24"/>
          <w:vertAlign w:val="superscript"/>
          <w:lang w:val="en-GB"/>
        </w:rPr>
        <w:footnoteReference w:id="2"/>
      </w:r>
      <w:r w:rsidR="00A230F1">
        <w:t>, e EESC</w:t>
      </w:r>
      <w:r w:rsidR="00C418F1">
        <w:noBreakHyphen/>
      </w:r>
      <w:r w:rsidR="00A230F1">
        <w:t>2020</w:t>
      </w:r>
      <w:r w:rsidR="00C418F1">
        <w:noBreakHyphen/>
      </w:r>
      <w:r w:rsidR="00A230F1">
        <w:t>02029</w:t>
      </w:r>
      <w:r w:rsidR="00C418F1">
        <w:noBreakHyphen/>
      </w:r>
      <w:r w:rsidR="00A230F1">
        <w:t>00</w:t>
      </w:r>
      <w:r w:rsidR="00C418F1">
        <w:noBreakHyphen/>
      </w:r>
      <w:r w:rsidR="00A230F1">
        <w:t>00</w:t>
      </w:r>
      <w:r w:rsidR="00C418F1">
        <w:noBreakHyphen/>
      </w:r>
      <w:r w:rsidR="00A230F1">
        <w:t>AC</w:t>
      </w:r>
      <w:r w:rsidR="00C418F1">
        <w:noBreakHyphen/>
      </w:r>
      <w:r w:rsidR="00A230F1">
        <w:t>TRA</w:t>
      </w:r>
      <w:r w:rsidR="00C418F1">
        <w:noBreakHyphen/>
      </w:r>
      <w:r w:rsidR="00A230F1">
        <w:t>EN, adotado em 18.9.2020</w:t>
      </w:r>
      <w:r w:rsidR="002B30F4" w:rsidRPr="002B30F4">
        <w:rPr>
          <w:sz w:val="24"/>
          <w:vertAlign w:val="superscript"/>
          <w:lang w:val="en-GB"/>
        </w:rPr>
        <w:footnoteReference w:id="3"/>
      </w:r>
      <w:r w:rsidR="00A230F1">
        <w:t xml:space="preserve">, </w:t>
      </w:r>
      <w:r>
        <w:t xml:space="preserve">o Comité </w:t>
      </w:r>
      <w:r w:rsidR="00A230F1">
        <w:t>decidiu não emitir parecer, remetendo para a posição defendida nos documentos mencionados.</w:t>
      </w:r>
    </w:p>
    <w:p w14:paraId="23AFABFB" w14:textId="193EFDF4" w:rsidR="00A230F1" w:rsidRDefault="00A230F1" w:rsidP="00A230F1">
      <w:pPr>
        <w:overflowPunct w:val="0"/>
        <w:autoSpaceDE w:val="0"/>
        <w:autoSpaceDN w:val="0"/>
        <w:adjustRightInd w:val="0"/>
        <w:textAlignment w:val="baseline"/>
        <w:rPr>
          <w:szCs w:val="20"/>
          <w:lang w:val="en-GB"/>
        </w:rPr>
      </w:pPr>
    </w:p>
    <w:p w14:paraId="25658E9B" w14:textId="02F0CF44" w:rsidR="00A230F1" w:rsidRPr="00A230F1" w:rsidRDefault="00A230F1" w:rsidP="00A230F1">
      <w:pPr>
        <w:widowControl w:val="0"/>
        <w:overflowPunct w:val="0"/>
        <w:autoSpaceDE w:val="0"/>
        <w:autoSpaceDN w:val="0"/>
        <w:adjustRightInd w:val="0"/>
        <w:ind w:left="709"/>
        <w:textAlignment w:val="baseline"/>
        <w:rPr>
          <w:szCs w:val="20"/>
          <w:lang w:val="en-GB"/>
        </w:rPr>
      </w:pPr>
    </w:p>
    <w:tbl>
      <w:tblPr>
        <w:tblStyle w:val="TableGrid22"/>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288"/>
      </w:tblGrid>
      <w:tr w:rsidR="00A230F1" w:rsidRPr="00A230F1" w14:paraId="16CCD5A5" w14:textId="77777777" w:rsidTr="005844C5">
        <w:tc>
          <w:tcPr>
            <w:tcW w:w="1116" w:type="pct"/>
          </w:tcPr>
          <w:p w14:paraId="441CA2A8" w14:textId="77777777" w:rsidR="00A230F1" w:rsidRPr="005844C5" w:rsidRDefault="00A230F1" w:rsidP="00A230F1">
            <w:pPr>
              <w:overflowPunct w:val="0"/>
              <w:autoSpaceDE w:val="0"/>
              <w:autoSpaceDN w:val="0"/>
              <w:adjustRightInd w:val="0"/>
              <w:textAlignment w:val="baseline"/>
              <w:rPr>
                <w:i/>
                <w:sz w:val="22"/>
                <w:szCs w:val="22"/>
              </w:rPr>
            </w:pPr>
            <w:r w:rsidRPr="005844C5">
              <w:rPr>
                <w:b/>
                <w:i/>
                <w:sz w:val="22"/>
                <w:szCs w:val="22"/>
              </w:rPr>
              <w:t>Contacto</w:t>
            </w:r>
          </w:p>
        </w:tc>
        <w:tc>
          <w:tcPr>
            <w:tcW w:w="3884" w:type="pct"/>
          </w:tcPr>
          <w:p w14:paraId="1998D269" w14:textId="77777777" w:rsidR="00A230F1" w:rsidRPr="005844C5" w:rsidRDefault="00A230F1" w:rsidP="00A230F1">
            <w:pPr>
              <w:overflowPunct w:val="0"/>
              <w:autoSpaceDE w:val="0"/>
              <w:autoSpaceDN w:val="0"/>
              <w:adjustRightInd w:val="0"/>
              <w:textAlignment w:val="baseline"/>
              <w:rPr>
                <w:i/>
                <w:sz w:val="22"/>
                <w:szCs w:val="22"/>
              </w:rPr>
            </w:pPr>
            <w:r w:rsidRPr="005844C5">
              <w:rPr>
                <w:i/>
                <w:sz w:val="22"/>
                <w:szCs w:val="22"/>
              </w:rPr>
              <w:t>Arturo Iniguez Yuste</w:t>
            </w:r>
          </w:p>
        </w:tc>
      </w:tr>
      <w:tr w:rsidR="00A230F1" w:rsidRPr="00A230F1" w14:paraId="7CBB3F89" w14:textId="77777777" w:rsidTr="005844C5">
        <w:tc>
          <w:tcPr>
            <w:tcW w:w="1116" w:type="pct"/>
          </w:tcPr>
          <w:p w14:paraId="4B2CEA11" w14:textId="77777777" w:rsidR="00A230F1" w:rsidRPr="005844C5" w:rsidRDefault="00A230F1" w:rsidP="00A230F1">
            <w:pPr>
              <w:overflowPunct w:val="0"/>
              <w:autoSpaceDE w:val="0"/>
              <w:autoSpaceDN w:val="0"/>
              <w:adjustRightInd w:val="0"/>
              <w:textAlignment w:val="baseline"/>
              <w:rPr>
                <w:i/>
                <w:sz w:val="22"/>
                <w:szCs w:val="22"/>
              </w:rPr>
            </w:pPr>
            <w:r w:rsidRPr="005844C5">
              <w:rPr>
                <w:i/>
                <w:sz w:val="22"/>
                <w:szCs w:val="22"/>
              </w:rPr>
              <w:t>Tel.</w:t>
            </w:r>
          </w:p>
        </w:tc>
        <w:tc>
          <w:tcPr>
            <w:tcW w:w="3884" w:type="pct"/>
          </w:tcPr>
          <w:p w14:paraId="151C60D3" w14:textId="77777777" w:rsidR="00A230F1" w:rsidRPr="005844C5" w:rsidRDefault="00A230F1" w:rsidP="00A230F1">
            <w:pPr>
              <w:overflowPunct w:val="0"/>
              <w:autoSpaceDE w:val="0"/>
              <w:autoSpaceDN w:val="0"/>
              <w:adjustRightInd w:val="0"/>
              <w:textAlignment w:val="baseline"/>
              <w:rPr>
                <w:i/>
                <w:sz w:val="22"/>
                <w:szCs w:val="22"/>
              </w:rPr>
            </w:pPr>
            <w:r w:rsidRPr="005844C5">
              <w:rPr>
                <w:i/>
                <w:sz w:val="22"/>
                <w:szCs w:val="22"/>
              </w:rPr>
              <w:t>+32 2 546 87 68</w:t>
            </w:r>
          </w:p>
        </w:tc>
      </w:tr>
      <w:tr w:rsidR="00A230F1" w:rsidRPr="00A230F1" w14:paraId="3090F269" w14:textId="77777777" w:rsidTr="005844C5">
        <w:tc>
          <w:tcPr>
            <w:tcW w:w="1116" w:type="pct"/>
          </w:tcPr>
          <w:p w14:paraId="36817683" w14:textId="77777777" w:rsidR="00A230F1" w:rsidRPr="005844C5" w:rsidRDefault="00A230F1" w:rsidP="00A230F1">
            <w:pPr>
              <w:overflowPunct w:val="0"/>
              <w:autoSpaceDE w:val="0"/>
              <w:autoSpaceDN w:val="0"/>
              <w:adjustRightInd w:val="0"/>
              <w:textAlignment w:val="baseline"/>
              <w:rPr>
                <w:i/>
                <w:sz w:val="22"/>
                <w:szCs w:val="22"/>
              </w:rPr>
            </w:pPr>
            <w:r w:rsidRPr="005844C5">
              <w:rPr>
                <w:i/>
                <w:sz w:val="22"/>
                <w:szCs w:val="22"/>
              </w:rPr>
              <w:t>Endereço eletrónico</w:t>
            </w:r>
          </w:p>
        </w:tc>
        <w:tc>
          <w:tcPr>
            <w:tcW w:w="3884" w:type="pct"/>
          </w:tcPr>
          <w:p w14:paraId="1FAC504A" w14:textId="77777777" w:rsidR="00A230F1" w:rsidRPr="005844C5" w:rsidRDefault="008D063E" w:rsidP="00A230F1">
            <w:pPr>
              <w:overflowPunct w:val="0"/>
              <w:autoSpaceDE w:val="0"/>
              <w:autoSpaceDN w:val="0"/>
              <w:adjustRightInd w:val="0"/>
              <w:textAlignment w:val="baseline"/>
              <w:rPr>
                <w:i/>
                <w:iCs/>
                <w:sz w:val="22"/>
                <w:szCs w:val="22"/>
              </w:rPr>
            </w:pPr>
            <w:hyperlink r:id="rId59" w:history="1">
              <w:r w:rsidR="00A912EA" w:rsidRPr="005844C5">
                <w:rPr>
                  <w:i/>
                  <w:color w:val="0000FF"/>
                  <w:sz w:val="22"/>
                  <w:szCs w:val="22"/>
                  <w:u w:val="single"/>
                </w:rPr>
                <w:t>Arturo.Iniguez@eesc.europa.eu</w:t>
              </w:r>
            </w:hyperlink>
            <w:r w:rsidR="00A912EA" w:rsidRPr="005844C5">
              <w:rPr>
                <w:i/>
                <w:sz w:val="22"/>
                <w:szCs w:val="22"/>
              </w:rPr>
              <w:t xml:space="preserve"> </w:t>
            </w:r>
          </w:p>
        </w:tc>
      </w:tr>
    </w:tbl>
    <w:p w14:paraId="60213BA5" w14:textId="23657EAA" w:rsidR="00A230F1" w:rsidRDefault="00A230F1" w:rsidP="001766B2">
      <w:pPr>
        <w:jc w:val="left"/>
      </w:pPr>
    </w:p>
    <w:p w14:paraId="4B9B21DA" w14:textId="77777777" w:rsidR="00553BE0" w:rsidRDefault="00553BE0" w:rsidP="001766B2">
      <w:pPr>
        <w:jc w:val="left"/>
      </w:pPr>
    </w:p>
    <w:p w14:paraId="272CD546" w14:textId="77777777" w:rsidR="00553BE0" w:rsidRDefault="00553BE0" w:rsidP="001766B2">
      <w:pPr>
        <w:jc w:val="left"/>
      </w:pPr>
    </w:p>
    <w:p w14:paraId="1CFD6392" w14:textId="77777777" w:rsidR="00553BE0" w:rsidRDefault="00553BE0" w:rsidP="001766B2">
      <w:pPr>
        <w:jc w:val="left"/>
      </w:pPr>
    </w:p>
    <w:p w14:paraId="2804502A" w14:textId="77777777" w:rsidR="00553BE0" w:rsidRDefault="00553BE0" w:rsidP="001766B2">
      <w:pPr>
        <w:jc w:val="left"/>
      </w:pPr>
    </w:p>
    <w:p w14:paraId="7224D954" w14:textId="77777777" w:rsidR="00553BE0" w:rsidRDefault="00553BE0" w:rsidP="001766B2">
      <w:pPr>
        <w:jc w:val="left"/>
      </w:pPr>
    </w:p>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331BEA9D" w:rsidR="00EC4D43" w:rsidRPr="00EC4D43" w:rsidRDefault="008D063E" w:rsidP="004C6742">
      <w:pPr>
        <w:widowControl w:val="0"/>
        <w:numPr>
          <w:ilvl w:val="0"/>
          <w:numId w:val="4"/>
        </w:numPr>
        <w:overflowPunct w:val="0"/>
        <w:autoSpaceDE w:val="0"/>
        <w:autoSpaceDN w:val="0"/>
        <w:adjustRightInd w:val="0"/>
        <w:ind w:hanging="567"/>
        <w:textAlignment w:val="baseline"/>
        <w:rPr>
          <w:b/>
        </w:rPr>
      </w:pPr>
      <w:hyperlink r:id="rId60" w:history="1">
        <w:r w:rsidR="00A067F3">
          <w:rPr>
            <w:b/>
            <w:i/>
            <w:color w:val="0000FF"/>
            <w:sz w:val="28"/>
            <w:u w:val="single"/>
          </w:rPr>
          <w:t>Invali</w:t>
        </w:r>
        <w:r w:rsidR="00A067F3">
          <w:rPr>
            <w:b/>
            <w:i/>
            <w:color w:val="0000FF"/>
            <w:sz w:val="28"/>
            <w:u w:val="single"/>
          </w:rPr>
          <w:t>d</w:t>
        </w:r>
        <w:r w:rsidR="00A067F3">
          <w:rPr>
            <w:b/>
            <w:i/>
            <w:color w:val="0000FF"/>
            <w:sz w:val="28"/>
            <w:u w:val="single"/>
          </w:rPr>
          <w:t>ação de licenças de emissão na reserva de estabilização do mercado</w:t>
        </w:r>
      </w:hyperlink>
    </w:p>
    <w:p w14:paraId="2C3AAF47" w14:textId="77777777" w:rsidR="00EC4D43" w:rsidRDefault="00EC4D43" w:rsidP="00EC4D43">
      <w:pPr>
        <w:widowControl w:val="0"/>
        <w:overflowPunct w:val="0"/>
        <w:autoSpaceDE w:val="0"/>
        <w:autoSpaceDN w:val="0"/>
        <w:adjustRightInd w:val="0"/>
        <w:ind w:left="266"/>
        <w:textAlignment w:val="baseline"/>
        <w:rPr>
          <w:b/>
          <w:lang w:val="en-GB"/>
        </w:rPr>
      </w:pPr>
    </w:p>
    <w:p w14:paraId="757D5F4E" w14:textId="77777777" w:rsidR="00F1581A" w:rsidRPr="00EC4D43" w:rsidRDefault="00F1581A"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C4D43" w:rsidRPr="00EC4D43" w14:paraId="22D897E0" w14:textId="77777777" w:rsidTr="002E7EFB">
        <w:tc>
          <w:tcPr>
            <w:tcW w:w="1077" w:type="pct"/>
            <w:vMerge w:val="restart"/>
          </w:tcPr>
          <w:p w14:paraId="6262FEF2" w14:textId="77777777" w:rsidR="00EC4D43" w:rsidRPr="005844C5" w:rsidRDefault="00EC4D43" w:rsidP="00EC4D43">
            <w:pPr>
              <w:tabs>
                <w:tab w:val="center" w:pos="284"/>
              </w:tabs>
              <w:overflowPunct w:val="0"/>
              <w:autoSpaceDE w:val="0"/>
              <w:autoSpaceDN w:val="0"/>
              <w:adjustRightInd w:val="0"/>
              <w:ind w:left="266" w:hanging="266"/>
              <w:textAlignment w:val="baseline"/>
              <w:rPr>
                <w:b/>
                <w:sz w:val="22"/>
                <w:szCs w:val="22"/>
              </w:rPr>
            </w:pPr>
            <w:r w:rsidRPr="005844C5">
              <w:rPr>
                <w:b/>
                <w:sz w:val="22"/>
                <w:szCs w:val="22"/>
              </w:rPr>
              <w:t>Referências</w:t>
            </w:r>
          </w:p>
        </w:tc>
        <w:tc>
          <w:tcPr>
            <w:tcW w:w="3923" w:type="pct"/>
          </w:tcPr>
          <w:p w14:paraId="60CAA90A" w14:textId="2B344929" w:rsidR="00447A14" w:rsidRPr="005844C5" w:rsidRDefault="00F1581A" w:rsidP="00EC4D43">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Parecer da categoria C</w:t>
            </w:r>
          </w:p>
          <w:p w14:paraId="0ADB870C" w14:textId="3DA0E6FF" w:rsidR="00EC4D43" w:rsidRPr="005844C5" w:rsidRDefault="00EC4D43" w:rsidP="00EC4D43">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COM(2026) 153 final</w:t>
            </w:r>
          </w:p>
        </w:tc>
      </w:tr>
      <w:tr w:rsidR="00EC4D43" w:rsidRPr="00EC4D43" w14:paraId="651FA50F" w14:textId="77777777" w:rsidTr="002E7EFB">
        <w:tc>
          <w:tcPr>
            <w:tcW w:w="1077" w:type="pct"/>
            <w:vMerge/>
          </w:tcPr>
          <w:p w14:paraId="6A472EE9" w14:textId="77777777" w:rsidR="00EC4D43" w:rsidRPr="005844C5" w:rsidRDefault="00EC4D43" w:rsidP="00EC4D43">
            <w:pPr>
              <w:tabs>
                <w:tab w:val="center" w:pos="284"/>
              </w:tabs>
              <w:overflowPunct w:val="0"/>
              <w:autoSpaceDE w:val="0"/>
              <w:autoSpaceDN w:val="0"/>
              <w:adjustRightInd w:val="0"/>
              <w:ind w:left="266" w:hanging="266"/>
              <w:textAlignment w:val="baseline"/>
              <w:rPr>
                <w:b/>
                <w:sz w:val="22"/>
                <w:szCs w:val="22"/>
              </w:rPr>
            </w:pPr>
          </w:p>
        </w:tc>
        <w:tc>
          <w:tcPr>
            <w:tcW w:w="3923" w:type="pct"/>
          </w:tcPr>
          <w:p w14:paraId="47DF85DF" w14:textId="77777777" w:rsidR="00EC4D43" w:rsidRPr="005844C5" w:rsidRDefault="00EC4D43" w:rsidP="00EC4D43">
            <w:pPr>
              <w:tabs>
                <w:tab w:val="center" w:pos="284"/>
              </w:tabs>
              <w:overflowPunct w:val="0"/>
              <w:autoSpaceDE w:val="0"/>
              <w:autoSpaceDN w:val="0"/>
              <w:adjustRightInd w:val="0"/>
              <w:ind w:left="266" w:right="-3091" w:hanging="266"/>
              <w:textAlignment w:val="baseline"/>
              <w:rPr>
                <w:sz w:val="22"/>
                <w:szCs w:val="22"/>
              </w:rPr>
            </w:pPr>
            <w:r w:rsidRPr="005844C5">
              <w:rPr>
                <w:sz w:val="22"/>
                <w:szCs w:val="22"/>
              </w:rPr>
              <w:t>EESC-2026-01164-00-00-AC</w:t>
            </w:r>
          </w:p>
        </w:tc>
      </w:tr>
    </w:tbl>
    <w:p w14:paraId="0A0C239E" w14:textId="77777777" w:rsidR="00EC4D43" w:rsidRDefault="00EC4D43" w:rsidP="00EC4D43">
      <w:pPr>
        <w:tabs>
          <w:tab w:val="center" w:pos="284"/>
        </w:tabs>
        <w:overflowPunct w:val="0"/>
        <w:autoSpaceDE w:val="0"/>
        <w:autoSpaceDN w:val="0"/>
        <w:adjustRightInd w:val="0"/>
        <w:ind w:left="266" w:hanging="266"/>
        <w:textAlignment w:val="baseline"/>
        <w:rPr>
          <w:b/>
          <w:lang w:val="en-GB"/>
        </w:rPr>
      </w:pPr>
    </w:p>
    <w:p w14:paraId="6B206414" w14:textId="77777777" w:rsidR="00517E07" w:rsidRDefault="00517E07" w:rsidP="00EC4D43">
      <w:pPr>
        <w:tabs>
          <w:tab w:val="center" w:pos="284"/>
        </w:tabs>
        <w:overflowPunct w:val="0"/>
        <w:autoSpaceDE w:val="0"/>
        <w:autoSpaceDN w:val="0"/>
        <w:adjustRightInd w:val="0"/>
        <w:ind w:left="266" w:hanging="266"/>
        <w:textAlignment w:val="baseline"/>
        <w:rPr>
          <w:b/>
          <w:lang w:val="en-GB"/>
        </w:rPr>
      </w:pPr>
    </w:p>
    <w:p w14:paraId="0FC42288" w14:textId="77777777" w:rsidR="00517E07" w:rsidRPr="00EC4D43" w:rsidRDefault="00517E07" w:rsidP="00EC4D43">
      <w:pPr>
        <w:tabs>
          <w:tab w:val="center" w:pos="284"/>
        </w:tabs>
        <w:overflowPunct w:val="0"/>
        <w:autoSpaceDE w:val="0"/>
        <w:autoSpaceDN w:val="0"/>
        <w:adjustRightInd w:val="0"/>
        <w:ind w:left="266" w:hanging="266"/>
        <w:textAlignment w:val="baseline"/>
        <w:rPr>
          <w:b/>
          <w:lang w:val="en-GB"/>
        </w:rPr>
      </w:pPr>
    </w:p>
    <w:p w14:paraId="3ABFEF49" w14:textId="29C71EC0" w:rsidR="008548EA" w:rsidRPr="008548EA" w:rsidRDefault="00F166E7" w:rsidP="004C6742">
      <w:pPr>
        <w:widowControl w:val="0"/>
        <w:overflowPunct w:val="0"/>
        <w:autoSpaceDE w:val="0"/>
        <w:autoSpaceDN w:val="0"/>
        <w:adjustRightInd w:val="0"/>
        <w:textAlignment w:val="baseline"/>
        <w:rPr>
          <w:bCs/>
          <w:iCs/>
        </w:rPr>
      </w:pPr>
      <w:r>
        <w:t>C</w:t>
      </w:r>
      <w:r w:rsidR="00EC4D43">
        <w:t>onsiderando que o conteúdo da proposta é satisfatório e que, de resto, havia sido já objeto do Parecer EESC-2021-03918-00-00-AC-TRA, adotado em 8 de dezembro de 2021</w:t>
      </w:r>
      <w:r w:rsidR="008548EA" w:rsidRPr="008548EA">
        <w:rPr>
          <w:sz w:val="24"/>
          <w:szCs w:val="20"/>
          <w:vertAlign w:val="superscript"/>
          <w:lang w:val="en-GB"/>
        </w:rPr>
        <w:footnoteReference w:id="4"/>
      </w:r>
      <w:r w:rsidR="00EC4D43">
        <w:t xml:space="preserve">, </w:t>
      </w:r>
      <w:r>
        <w:t xml:space="preserve">o Comité </w:t>
      </w:r>
      <w:r w:rsidR="00EC4D43">
        <w:t>decidiu emitir parecer favorável ao texto proposto, remetendo para a posição defendida no documento mencionado.</w:t>
      </w:r>
    </w:p>
    <w:p w14:paraId="7DCC2B7B" w14:textId="77777777" w:rsidR="00EC4D43" w:rsidRPr="00EC4D43" w:rsidRDefault="00EC4D43" w:rsidP="00EC4D43">
      <w:pPr>
        <w:widowControl w:val="0"/>
        <w:overflowPunct w:val="0"/>
        <w:autoSpaceDE w:val="0"/>
        <w:autoSpaceDN w:val="0"/>
        <w:adjustRightInd w:val="0"/>
        <w:ind w:left="709"/>
        <w:textAlignment w:val="baseline"/>
        <w:rPr>
          <w:szCs w:val="20"/>
          <w:lang w:val="en-GB"/>
        </w:rPr>
      </w:pPr>
    </w:p>
    <w:tbl>
      <w:tblPr>
        <w:tblStyle w:val="TableGrid23"/>
        <w:tblW w:w="52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7289"/>
      </w:tblGrid>
      <w:tr w:rsidR="00EC4D43" w:rsidRPr="00EC4D43" w14:paraId="2D162523" w14:textId="77777777" w:rsidTr="00017C59">
        <w:tc>
          <w:tcPr>
            <w:tcW w:w="1229" w:type="pct"/>
          </w:tcPr>
          <w:p w14:paraId="1CAD14A2" w14:textId="77777777" w:rsidR="00EC4D43" w:rsidRPr="00017C59" w:rsidRDefault="00EC4D43" w:rsidP="00EC4D43">
            <w:pPr>
              <w:overflowPunct w:val="0"/>
              <w:autoSpaceDE w:val="0"/>
              <w:autoSpaceDN w:val="0"/>
              <w:adjustRightInd w:val="0"/>
              <w:textAlignment w:val="baseline"/>
              <w:rPr>
                <w:i/>
                <w:sz w:val="22"/>
                <w:szCs w:val="22"/>
              </w:rPr>
            </w:pPr>
            <w:r w:rsidRPr="00017C59">
              <w:rPr>
                <w:b/>
                <w:i/>
                <w:sz w:val="22"/>
                <w:szCs w:val="22"/>
              </w:rPr>
              <w:t>Contacto</w:t>
            </w:r>
          </w:p>
        </w:tc>
        <w:tc>
          <w:tcPr>
            <w:tcW w:w="3771" w:type="pct"/>
          </w:tcPr>
          <w:p w14:paraId="36FD4393" w14:textId="46A780E6" w:rsidR="00EC4D43" w:rsidRPr="00017C59" w:rsidRDefault="00EC4D43" w:rsidP="00EC4D43">
            <w:pPr>
              <w:overflowPunct w:val="0"/>
              <w:autoSpaceDE w:val="0"/>
              <w:autoSpaceDN w:val="0"/>
              <w:adjustRightInd w:val="0"/>
              <w:textAlignment w:val="baseline"/>
              <w:rPr>
                <w:i/>
                <w:sz w:val="22"/>
                <w:szCs w:val="22"/>
              </w:rPr>
            </w:pPr>
            <w:r w:rsidRPr="00017C59">
              <w:rPr>
                <w:i/>
                <w:sz w:val="22"/>
                <w:szCs w:val="22"/>
              </w:rPr>
              <w:t>Gaizka Malo Elcoro-Iribe</w:t>
            </w:r>
          </w:p>
        </w:tc>
      </w:tr>
      <w:tr w:rsidR="00EC4D43" w:rsidRPr="00EC4D43" w14:paraId="0DA2E11C" w14:textId="77777777" w:rsidTr="00017C59">
        <w:tc>
          <w:tcPr>
            <w:tcW w:w="1229" w:type="pct"/>
          </w:tcPr>
          <w:p w14:paraId="459B752C" w14:textId="77777777" w:rsidR="00EC4D43" w:rsidRPr="00017C59" w:rsidRDefault="00EC4D43" w:rsidP="00EC4D43">
            <w:pPr>
              <w:overflowPunct w:val="0"/>
              <w:autoSpaceDE w:val="0"/>
              <w:autoSpaceDN w:val="0"/>
              <w:adjustRightInd w:val="0"/>
              <w:textAlignment w:val="baseline"/>
              <w:rPr>
                <w:i/>
                <w:sz w:val="22"/>
                <w:szCs w:val="22"/>
              </w:rPr>
            </w:pPr>
            <w:r w:rsidRPr="00017C59">
              <w:rPr>
                <w:i/>
                <w:sz w:val="22"/>
                <w:szCs w:val="22"/>
              </w:rPr>
              <w:t>Tel.</w:t>
            </w:r>
          </w:p>
        </w:tc>
        <w:tc>
          <w:tcPr>
            <w:tcW w:w="3771" w:type="pct"/>
          </w:tcPr>
          <w:p w14:paraId="77EB016E" w14:textId="77777777" w:rsidR="00EC4D43" w:rsidRPr="00017C59" w:rsidRDefault="00EC4D43" w:rsidP="00EC4D43">
            <w:pPr>
              <w:overflowPunct w:val="0"/>
              <w:autoSpaceDE w:val="0"/>
              <w:autoSpaceDN w:val="0"/>
              <w:adjustRightInd w:val="0"/>
              <w:textAlignment w:val="baseline"/>
              <w:rPr>
                <w:i/>
                <w:sz w:val="22"/>
                <w:szCs w:val="22"/>
              </w:rPr>
            </w:pPr>
            <w:r w:rsidRPr="00017C59">
              <w:rPr>
                <w:i/>
                <w:sz w:val="22"/>
                <w:szCs w:val="22"/>
              </w:rPr>
              <w:t>+32 2 546 85 26</w:t>
            </w:r>
          </w:p>
        </w:tc>
      </w:tr>
      <w:tr w:rsidR="00EC4D43" w:rsidRPr="00EC4D43" w14:paraId="1581E8CF" w14:textId="77777777" w:rsidTr="00017C59">
        <w:tc>
          <w:tcPr>
            <w:tcW w:w="1229" w:type="pct"/>
          </w:tcPr>
          <w:p w14:paraId="3CA2A44C" w14:textId="77777777" w:rsidR="00EC4D43" w:rsidRPr="00017C59" w:rsidRDefault="00EC4D43" w:rsidP="00EC4D43">
            <w:pPr>
              <w:overflowPunct w:val="0"/>
              <w:autoSpaceDE w:val="0"/>
              <w:autoSpaceDN w:val="0"/>
              <w:adjustRightInd w:val="0"/>
              <w:textAlignment w:val="baseline"/>
              <w:rPr>
                <w:i/>
                <w:sz w:val="22"/>
                <w:szCs w:val="22"/>
              </w:rPr>
            </w:pPr>
            <w:r w:rsidRPr="00017C59">
              <w:rPr>
                <w:i/>
                <w:sz w:val="22"/>
                <w:szCs w:val="22"/>
              </w:rPr>
              <w:t>Endereço eletrónico</w:t>
            </w:r>
          </w:p>
        </w:tc>
        <w:tc>
          <w:tcPr>
            <w:tcW w:w="3771" w:type="pct"/>
          </w:tcPr>
          <w:p w14:paraId="4685C922" w14:textId="77777777" w:rsidR="00EC4D43" w:rsidRPr="00017C59" w:rsidRDefault="008D063E" w:rsidP="00EC4D43">
            <w:pPr>
              <w:overflowPunct w:val="0"/>
              <w:autoSpaceDE w:val="0"/>
              <w:autoSpaceDN w:val="0"/>
              <w:adjustRightInd w:val="0"/>
              <w:textAlignment w:val="baseline"/>
              <w:rPr>
                <w:i/>
                <w:iCs/>
                <w:sz w:val="22"/>
                <w:szCs w:val="22"/>
              </w:rPr>
            </w:pPr>
            <w:hyperlink r:id="rId61" w:history="1">
              <w:r w:rsidR="00A912EA" w:rsidRPr="00017C59">
                <w:rPr>
                  <w:i/>
                  <w:color w:val="0000FF"/>
                  <w:sz w:val="22"/>
                  <w:szCs w:val="22"/>
                  <w:u w:val="single"/>
                </w:rPr>
                <w:t>Gaizka.Maloelcoro-iribe@eesc.europa.eu</w:t>
              </w:r>
            </w:hyperlink>
            <w:r w:rsidR="00A912EA" w:rsidRPr="00017C59">
              <w:rPr>
                <w:i/>
                <w:sz w:val="22"/>
                <w:szCs w:val="22"/>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715DB2BD" w14:textId="48BF0F05" w:rsidR="007F5784" w:rsidRDefault="007F5784" w:rsidP="001766B2">
      <w:pPr>
        <w:jc w:val="left"/>
      </w:pPr>
    </w:p>
    <w:p w14:paraId="14026A78" w14:textId="34519E14" w:rsidR="007F5784" w:rsidRDefault="007F5784" w:rsidP="004C6742">
      <w:pPr>
        <w:pStyle w:val="Heading2"/>
      </w:pPr>
      <w:bookmarkStart w:id="41" w:name="_Toc229495802"/>
      <w:r>
        <w:t>RELAÇÕES EXTERNAS</w:t>
      </w:r>
      <w:bookmarkEnd w:id="41"/>
    </w:p>
    <w:p w14:paraId="3BBB3E68" w14:textId="77777777" w:rsidR="007F5784" w:rsidRDefault="007F5784" w:rsidP="001766B2"/>
    <w:p w14:paraId="1A338A4C" w14:textId="4F132571" w:rsidR="00D16830" w:rsidRPr="00D16830" w:rsidRDefault="008D063E" w:rsidP="00D16830">
      <w:pPr>
        <w:widowControl w:val="0"/>
        <w:numPr>
          <w:ilvl w:val="0"/>
          <w:numId w:val="4"/>
        </w:numPr>
        <w:overflowPunct w:val="0"/>
        <w:autoSpaceDE w:val="0"/>
        <w:autoSpaceDN w:val="0"/>
        <w:adjustRightInd w:val="0"/>
        <w:ind w:hanging="567"/>
        <w:textAlignment w:val="baseline"/>
        <w:rPr>
          <w:b/>
          <w:bCs/>
          <w:i/>
          <w:iCs/>
          <w:sz w:val="24"/>
          <w:szCs w:val="24"/>
        </w:rPr>
      </w:pPr>
      <w:hyperlink r:id="rId62" w:history="1">
        <w:r w:rsidR="00D16830">
          <w:rPr>
            <w:b/>
            <w:i/>
            <w:color w:val="0000FF"/>
            <w:sz w:val="24"/>
            <w:u w:val="single"/>
          </w:rPr>
          <w:t>Papel da sociedade civil no apoio às reformas no âmbito dos planos de crescimento para</w:t>
        </w:r>
        <w:r w:rsidR="00D16830">
          <w:rPr>
            <w:b/>
            <w:i/>
            <w:color w:val="0000FF"/>
            <w:sz w:val="24"/>
            <w:u w:val="single"/>
          </w:rPr>
          <w:t xml:space="preserve"> </w:t>
        </w:r>
        <w:r w:rsidR="00D16830">
          <w:rPr>
            <w:b/>
            <w:i/>
            <w:color w:val="0000FF"/>
            <w:sz w:val="24"/>
            <w:u w:val="single"/>
          </w:rPr>
          <w:t>os Balcãs Ocidentais e a Moldávia, bem como no processo de reformas da Ucrânia</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D16830" w:rsidRPr="00D16830" w14:paraId="10A26714" w14:textId="77777777" w:rsidTr="004C6742">
        <w:tc>
          <w:tcPr>
            <w:tcW w:w="1701" w:type="dxa"/>
          </w:tcPr>
          <w:p w14:paraId="1F036B18" w14:textId="77777777" w:rsidR="00D16830" w:rsidRPr="00017C59" w:rsidRDefault="00D16830" w:rsidP="00D16830">
            <w:pPr>
              <w:tabs>
                <w:tab w:val="center" w:pos="284"/>
              </w:tabs>
              <w:overflowPunct w:val="0"/>
              <w:autoSpaceDE w:val="0"/>
              <w:autoSpaceDN w:val="0"/>
              <w:adjustRightInd w:val="0"/>
              <w:ind w:left="266" w:hanging="266"/>
              <w:textAlignment w:val="baseline"/>
              <w:rPr>
                <w:b/>
                <w:sz w:val="22"/>
                <w:szCs w:val="22"/>
              </w:rPr>
            </w:pPr>
            <w:r w:rsidRPr="00017C59">
              <w:rPr>
                <w:b/>
                <w:sz w:val="22"/>
                <w:szCs w:val="22"/>
              </w:rPr>
              <w:t>Relator</w:t>
            </w:r>
          </w:p>
        </w:tc>
        <w:tc>
          <w:tcPr>
            <w:tcW w:w="6804" w:type="dxa"/>
          </w:tcPr>
          <w:p w14:paraId="61302FB0" w14:textId="2C902EF4" w:rsidR="00D16830" w:rsidRPr="00017C59" w:rsidRDefault="00D16830" w:rsidP="00D16830">
            <w:pPr>
              <w:tabs>
                <w:tab w:val="center" w:pos="284"/>
              </w:tabs>
              <w:overflowPunct w:val="0"/>
              <w:autoSpaceDE w:val="0"/>
              <w:autoSpaceDN w:val="0"/>
              <w:adjustRightInd w:val="0"/>
              <w:ind w:left="266" w:hanging="266"/>
              <w:textAlignment w:val="baseline"/>
              <w:rPr>
                <w:sz w:val="22"/>
                <w:szCs w:val="22"/>
              </w:rPr>
            </w:pPr>
            <w:r w:rsidRPr="00017C59">
              <w:rPr>
                <w:sz w:val="22"/>
                <w:szCs w:val="22"/>
              </w:rPr>
              <w:t>Oleg Roibu (RO – Grupo dos Empregadores)</w:t>
            </w:r>
          </w:p>
        </w:tc>
      </w:tr>
      <w:tr w:rsidR="00D16830" w:rsidRPr="00D16830" w14:paraId="16FB2AA9" w14:textId="77777777" w:rsidTr="004C6742">
        <w:tc>
          <w:tcPr>
            <w:tcW w:w="1701" w:type="dxa"/>
          </w:tcPr>
          <w:p w14:paraId="41593292" w14:textId="77777777" w:rsidR="00D16830" w:rsidRPr="00017C59" w:rsidRDefault="00D16830" w:rsidP="00D16830">
            <w:pPr>
              <w:tabs>
                <w:tab w:val="center" w:pos="284"/>
              </w:tabs>
              <w:overflowPunct w:val="0"/>
              <w:autoSpaceDE w:val="0"/>
              <w:autoSpaceDN w:val="0"/>
              <w:adjustRightInd w:val="0"/>
              <w:ind w:left="266" w:hanging="266"/>
              <w:textAlignment w:val="baseline"/>
              <w:rPr>
                <w:b/>
                <w:sz w:val="22"/>
                <w:szCs w:val="22"/>
              </w:rPr>
            </w:pPr>
            <w:r w:rsidRPr="00017C59">
              <w:rPr>
                <w:b/>
                <w:sz w:val="22"/>
                <w:szCs w:val="22"/>
              </w:rPr>
              <w:t>Correlator</w:t>
            </w:r>
          </w:p>
        </w:tc>
        <w:tc>
          <w:tcPr>
            <w:tcW w:w="6804" w:type="dxa"/>
          </w:tcPr>
          <w:p w14:paraId="15F5EFBF" w14:textId="32660462" w:rsidR="00D16830" w:rsidRPr="00017C59" w:rsidRDefault="00D16830" w:rsidP="00D16830">
            <w:pPr>
              <w:tabs>
                <w:tab w:val="center" w:pos="284"/>
              </w:tabs>
              <w:overflowPunct w:val="0"/>
              <w:autoSpaceDE w:val="0"/>
              <w:autoSpaceDN w:val="0"/>
              <w:adjustRightInd w:val="0"/>
              <w:ind w:left="266" w:hanging="266"/>
              <w:textAlignment w:val="baseline"/>
              <w:rPr>
                <w:sz w:val="22"/>
                <w:szCs w:val="22"/>
              </w:rPr>
            </w:pPr>
            <w:r w:rsidRPr="00017C59">
              <w:rPr>
                <w:sz w:val="22"/>
                <w:szCs w:val="22"/>
              </w:rPr>
              <w:t>Andrej Zorko (SI – Grupo dos Trabalhadores)</w:t>
            </w:r>
          </w:p>
        </w:tc>
      </w:tr>
      <w:tr w:rsidR="00D16830" w:rsidRPr="00D16830" w14:paraId="6E76E965" w14:textId="77777777" w:rsidTr="004C6742">
        <w:tc>
          <w:tcPr>
            <w:tcW w:w="8505" w:type="dxa"/>
            <w:gridSpan w:val="2"/>
          </w:tcPr>
          <w:p w14:paraId="3CA058AE" w14:textId="77777777" w:rsidR="00D16830" w:rsidRPr="00017C59" w:rsidRDefault="00D16830" w:rsidP="00D16830">
            <w:pPr>
              <w:tabs>
                <w:tab w:val="center" w:pos="284"/>
              </w:tabs>
              <w:overflowPunct w:val="0"/>
              <w:autoSpaceDE w:val="0"/>
              <w:autoSpaceDN w:val="0"/>
              <w:adjustRightInd w:val="0"/>
              <w:spacing w:line="160" w:lineRule="exact"/>
              <w:ind w:left="266" w:hanging="266"/>
              <w:textAlignment w:val="baseline"/>
              <w:rPr>
                <w:sz w:val="22"/>
                <w:szCs w:val="22"/>
              </w:rPr>
            </w:pPr>
          </w:p>
        </w:tc>
      </w:tr>
      <w:tr w:rsidR="00D16830" w:rsidRPr="00D16830" w14:paraId="0673089E" w14:textId="77777777" w:rsidTr="004C6742">
        <w:tc>
          <w:tcPr>
            <w:tcW w:w="1701" w:type="dxa"/>
            <w:vMerge w:val="restart"/>
          </w:tcPr>
          <w:p w14:paraId="62E4ADE4" w14:textId="77777777" w:rsidR="00D16830" w:rsidRPr="00017C59" w:rsidRDefault="00D16830" w:rsidP="00D16830">
            <w:pPr>
              <w:tabs>
                <w:tab w:val="center" w:pos="284"/>
              </w:tabs>
              <w:overflowPunct w:val="0"/>
              <w:autoSpaceDE w:val="0"/>
              <w:autoSpaceDN w:val="0"/>
              <w:adjustRightInd w:val="0"/>
              <w:ind w:left="266" w:hanging="266"/>
              <w:textAlignment w:val="baseline"/>
              <w:rPr>
                <w:b/>
                <w:sz w:val="22"/>
                <w:szCs w:val="22"/>
              </w:rPr>
            </w:pPr>
            <w:r w:rsidRPr="00017C59">
              <w:rPr>
                <w:b/>
                <w:sz w:val="22"/>
                <w:szCs w:val="22"/>
              </w:rPr>
              <w:t>Referências</w:t>
            </w:r>
          </w:p>
        </w:tc>
        <w:tc>
          <w:tcPr>
            <w:tcW w:w="6804" w:type="dxa"/>
          </w:tcPr>
          <w:p w14:paraId="7F3E1AFA" w14:textId="712E7546" w:rsidR="006717BA" w:rsidRPr="00017C59" w:rsidRDefault="006717BA" w:rsidP="00D16830">
            <w:pPr>
              <w:tabs>
                <w:tab w:val="center" w:pos="284"/>
              </w:tabs>
              <w:overflowPunct w:val="0"/>
              <w:autoSpaceDE w:val="0"/>
              <w:autoSpaceDN w:val="0"/>
              <w:adjustRightInd w:val="0"/>
              <w:ind w:left="266" w:hanging="266"/>
              <w:textAlignment w:val="baseline"/>
              <w:rPr>
                <w:sz w:val="22"/>
                <w:szCs w:val="22"/>
              </w:rPr>
            </w:pPr>
            <w:r w:rsidRPr="00017C59">
              <w:rPr>
                <w:sz w:val="22"/>
                <w:szCs w:val="22"/>
              </w:rPr>
              <w:t>Parecer exploratório a pedido da Presidência cipriota do Conselho da UE</w:t>
            </w:r>
          </w:p>
          <w:p w14:paraId="79EFFABC" w14:textId="224D0178" w:rsidR="00D16830" w:rsidRPr="00017C59" w:rsidRDefault="00D16830" w:rsidP="00D16830">
            <w:pPr>
              <w:tabs>
                <w:tab w:val="center" w:pos="284"/>
              </w:tabs>
              <w:overflowPunct w:val="0"/>
              <w:autoSpaceDE w:val="0"/>
              <w:autoSpaceDN w:val="0"/>
              <w:adjustRightInd w:val="0"/>
              <w:ind w:left="266" w:hanging="266"/>
              <w:textAlignment w:val="baseline"/>
              <w:rPr>
                <w:sz w:val="22"/>
                <w:szCs w:val="22"/>
              </w:rPr>
            </w:pPr>
            <w:r w:rsidRPr="00017C59">
              <w:rPr>
                <w:sz w:val="22"/>
                <w:szCs w:val="22"/>
              </w:rPr>
              <w:t>EESC-2026-00143-00-00-AC</w:t>
            </w:r>
          </w:p>
        </w:tc>
      </w:tr>
      <w:tr w:rsidR="00D16830" w:rsidRPr="00D16830" w14:paraId="2A8B5342" w14:textId="77777777" w:rsidTr="004C6742">
        <w:tc>
          <w:tcPr>
            <w:tcW w:w="1701" w:type="dxa"/>
            <w:vMerge/>
          </w:tcPr>
          <w:p w14:paraId="061E54DE"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
        </w:tc>
        <w:tc>
          <w:tcPr>
            <w:tcW w:w="6804" w:type="dxa"/>
          </w:tcPr>
          <w:p w14:paraId="329BF5D6" w14:textId="77777777" w:rsidR="00D16830" w:rsidRDefault="00D16830" w:rsidP="00D16830">
            <w:pPr>
              <w:tabs>
                <w:tab w:val="center" w:pos="284"/>
              </w:tabs>
              <w:overflowPunct w:val="0"/>
              <w:autoSpaceDE w:val="0"/>
              <w:autoSpaceDN w:val="0"/>
              <w:adjustRightInd w:val="0"/>
              <w:ind w:left="266" w:hanging="266"/>
              <w:textAlignment w:val="baseline"/>
            </w:pPr>
          </w:p>
          <w:p w14:paraId="54AA765B" w14:textId="77777777" w:rsidR="007C36BF" w:rsidRPr="00D16830" w:rsidRDefault="007C36BF" w:rsidP="00D16830">
            <w:pPr>
              <w:tabs>
                <w:tab w:val="center" w:pos="284"/>
              </w:tabs>
              <w:overflowPunct w:val="0"/>
              <w:autoSpaceDE w:val="0"/>
              <w:autoSpaceDN w:val="0"/>
              <w:adjustRightInd w:val="0"/>
              <w:ind w:left="266" w:hanging="266"/>
              <w:textAlignment w:val="baseline"/>
            </w:pPr>
          </w:p>
        </w:tc>
      </w:tr>
    </w:tbl>
    <w:p w14:paraId="3E05C86B"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rPr>
      </w:pPr>
      <w:r>
        <w:rPr>
          <w:b/>
        </w:rPr>
        <w:t xml:space="preserve">Pontos principais </w:t>
      </w:r>
    </w:p>
    <w:p w14:paraId="7EE6889C"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p>
    <w:p w14:paraId="6D13BD68" w14:textId="77777777" w:rsidR="00D16830" w:rsidRDefault="00D16830" w:rsidP="00D16830">
      <w:pPr>
        <w:overflowPunct w:val="0"/>
        <w:autoSpaceDE w:val="0"/>
        <w:autoSpaceDN w:val="0"/>
        <w:adjustRightInd w:val="0"/>
        <w:textAlignment w:val="baseline"/>
        <w:rPr>
          <w:bCs/>
          <w:iCs/>
        </w:rPr>
      </w:pPr>
      <w:r>
        <w:t>O Comité Económico e Social Europeu:</w:t>
      </w:r>
    </w:p>
    <w:p w14:paraId="34AABBC4" w14:textId="77777777" w:rsidR="00037101" w:rsidRPr="00D16830" w:rsidRDefault="00037101" w:rsidP="00D16830">
      <w:pPr>
        <w:overflowPunct w:val="0"/>
        <w:autoSpaceDE w:val="0"/>
        <w:autoSpaceDN w:val="0"/>
        <w:adjustRightInd w:val="0"/>
        <w:textAlignment w:val="baseline"/>
        <w:rPr>
          <w:bCs/>
          <w:iCs/>
          <w:lang w:val="en-GB"/>
        </w:rPr>
      </w:pPr>
    </w:p>
    <w:p w14:paraId="29563EFC"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salienta que os três mecanismos para os Balcãs Ocidentais, a Ucrânia e a Moldávia </w:t>
      </w:r>
      <w:r>
        <w:rPr>
          <w:b/>
        </w:rPr>
        <w:t>devem favorecer ativamente a participação da sociedade civil</w:t>
      </w:r>
      <w:r>
        <w:t xml:space="preserve"> enquanto condição estrutural de governação subjacente à </w:t>
      </w:r>
      <w:r>
        <w:rPr>
          <w:b/>
        </w:rPr>
        <w:t>sustentabilidade do processo de alargamento</w:t>
      </w:r>
      <w:r>
        <w:t>;</w:t>
      </w:r>
    </w:p>
    <w:p w14:paraId="6CBB1B4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salienta que a apropriação pela sociedade civil das reformas apoiadas pelos três mecanismos deve basear-se num papel </w:t>
      </w:r>
      <w:r>
        <w:rPr>
          <w:b/>
        </w:rPr>
        <w:t>permanente, ativo, estruturado e formalmente institucionalizado dos parceiros sociais e das organizações da sociedade civil</w:t>
      </w:r>
      <w:r>
        <w:t>, lado a lado com as autoridades nacionais;</w:t>
      </w:r>
    </w:p>
    <w:p w14:paraId="6112EC9A"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frisa que o </w:t>
      </w:r>
      <w:r>
        <w:rPr>
          <w:b/>
        </w:rPr>
        <w:t>financiamento deve contribuir ativamente para preparar os países para a adesão à UE</w:t>
      </w:r>
      <w:r>
        <w:t>, em consonância com o modelo social e económico europeu, e não limitar-se a apoiar a integração no mercado único;</w:t>
      </w:r>
    </w:p>
    <w:p w14:paraId="2E0BC090"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szCs w:val="20"/>
        </w:rPr>
      </w:pPr>
      <w:r>
        <w:t xml:space="preserve">salienta que os </w:t>
      </w:r>
      <w:r>
        <w:rPr>
          <w:b/>
        </w:rPr>
        <w:t>prazos não devem comprometer os procedimentos democráticos, o debate público, a consulta obrigatória ou o diálogo</w:t>
      </w:r>
      <w:r>
        <w:t xml:space="preserve"> com os parceiros sociais e as organizações da sociedade civil, nem justificar atalhos legislativos de emergência que excluam os parceiros sociais e as organizações da sociedade civil;</w:t>
      </w:r>
    </w:p>
    <w:p w14:paraId="13E72E61"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assinala que os governos devem estabelecer um </w:t>
      </w:r>
      <w:r>
        <w:rPr>
          <w:b/>
        </w:rPr>
        <w:t>quadro estruturado para o diálogo social</w:t>
      </w:r>
      <w:r>
        <w:t xml:space="preserve"> que assegure a participação das organizações representativas de empregadores, trabalhadores e da sociedade civil com um alcance nacional e um número adequado de membros, </w:t>
      </w:r>
      <w:r>
        <w:rPr>
          <w:b/>
        </w:rPr>
        <w:t xml:space="preserve">respeitando </w:t>
      </w:r>
      <w:r>
        <w:t xml:space="preserve">simultaneamente </w:t>
      </w:r>
      <w:r>
        <w:rPr>
          <w:b/>
        </w:rPr>
        <w:t>o papel específico e a autonomia dos parceiros sociais</w:t>
      </w:r>
      <w:r>
        <w:t>;</w:t>
      </w:r>
    </w:p>
    <w:p w14:paraId="26EAFF74"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recomenda que a Comissão Europeia elabore orientações públicas claras sobre a avaliação do </w:t>
      </w:r>
      <w:r>
        <w:rPr>
          <w:b/>
        </w:rPr>
        <w:t xml:space="preserve">cumprimento </w:t>
      </w:r>
      <w:r>
        <w:t xml:space="preserve">total e parcial </w:t>
      </w:r>
      <w:r>
        <w:rPr>
          <w:b/>
        </w:rPr>
        <w:t>dos indicadores de execução dos programas de reformas</w:t>
      </w:r>
      <w:r>
        <w:t>, incluindo as normas de verificação e a reversão das condições anteriormente cumpridas;</w:t>
      </w:r>
    </w:p>
    <w:p w14:paraId="2056D22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recomenda que se assegure um </w:t>
      </w:r>
      <w:r>
        <w:rPr>
          <w:b/>
        </w:rPr>
        <w:t xml:space="preserve">apoio financeiro </w:t>
      </w:r>
      <w:r>
        <w:t xml:space="preserve">adaptado, sustentável e previsível </w:t>
      </w:r>
      <w:r>
        <w:rPr>
          <w:b/>
        </w:rPr>
        <w:t xml:space="preserve">às organizações da sociedade civil e aos parceiros sociais </w:t>
      </w:r>
      <w:r>
        <w:t xml:space="preserve">através de </w:t>
      </w:r>
      <w:r>
        <w:rPr>
          <w:b/>
        </w:rPr>
        <w:t>mecanismos de financiamento plurianuais e transparentes</w:t>
      </w:r>
      <w:r>
        <w:t>;</w:t>
      </w:r>
    </w:p>
    <w:p w14:paraId="3DC98AF8"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exorta a Comissão a </w:t>
      </w:r>
      <w:r>
        <w:rPr>
          <w:b/>
        </w:rPr>
        <w:t>basear-se em avaliações intercalares</w:t>
      </w:r>
      <w:r>
        <w:t xml:space="preserve"> dos atuais quadros de governação e execução dos mecanismos e a </w:t>
      </w:r>
      <w:r>
        <w:rPr>
          <w:b/>
        </w:rPr>
        <w:t>continuar a melhorar a aplicação dos instrumentos de alargamento da UE pertinentes, atuais e futuros, baseados no desempenho</w:t>
      </w:r>
      <w:r>
        <w:t>.</w:t>
      </w:r>
    </w:p>
    <w:p w14:paraId="77E533A4" w14:textId="77777777" w:rsidR="00D16830" w:rsidRPr="00D16830" w:rsidRDefault="00D16830" w:rsidP="00037101">
      <w:pPr>
        <w:widowControl w:val="0"/>
        <w:overflowPunct w:val="0"/>
        <w:autoSpaceDE w:val="0"/>
        <w:autoSpaceDN w:val="0"/>
        <w:adjustRightInd w:val="0"/>
        <w:ind w:left="284" w:hanging="284"/>
        <w:textAlignment w:val="baseline"/>
        <w:rPr>
          <w:szCs w:val="20"/>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670"/>
      </w:tblGrid>
      <w:tr w:rsidR="00D16830" w:rsidRPr="00017C59" w14:paraId="06D6E640" w14:textId="77777777" w:rsidTr="00017C59">
        <w:tc>
          <w:tcPr>
            <w:tcW w:w="2093" w:type="dxa"/>
          </w:tcPr>
          <w:p w14:paraId="2EFB1BD5" w14:textId="77777777" w:rsidR="00D16830" w:rsidRPr="00017C59" w:rsidRDefault="00D16830" w:rsidP="00D16830">
            <w:pPr>
              <w:overflowPunct w:val="0"/>
              <w:autoSpaceDE w:val="0"/>
              <w:autoSpaceDN w:val="0"/>
              <w:adjustRightInd w:val="0"/>
              <w:spacing w:line="240" w:lineRule="auto"/>
              <w:textAlignment w:val="baseline"/>
              <w:rPr>
                <w:i/>
                <w:sz w:val="22"/>
                <w:szCs w:val="22"/>
              </w:rPr>
            </w:pPr>
            <w:r w:rsidRPr="00017C59">
              <w:rPr>
                <w:b/>
                <w:i/>
                <w:sz w:val="22"/>
                <w:szCs w:val="22"/>
              </w:rPr>
              <w:lastRenderedPageBreak/>
              <w:t>Contacto</w:t>
            </w:r>
          </w:p>
        </w:tc>
        <w:tc>
          <w:tcPr>
            <w:tcW w:w="5670" w:type="dxa"/>
          </w:tcPr>
          <w:p w14:paraId="72677A97" w14:textId="77777777" w:rsidR="00D16830" w:rsidRPr="00017C59" w:rsidRDefault="00D16830" w:rsidP="00D16830">
            <w:pPr>
              <w:overflowPunct w:val="0"/>
              <w:autoSpaceDE w:val="0"/>
              <w:autoSpaceDN w:val="0"/>
              <w:adjustRightInd w:val="0"/>
              <w:spacing w:line="240" w:lineRule="auto"/>
              <w:textAlignment w:val="baseline"/>
              <w:rPr>
                <w:i/>
                <w:sz w:val="22"/>
                <w:szCs w:val="22"/>
              </w:rPr>
            </w:pPr>
            <w:r w:rsidRPr="00017C59">
              <w:rPr>
                <w:i/>
                <w:sz w:val="22"/>
                <w:szCs w:val="22"/>
              </w:rPr>
              <w:t>David Hoić</w:t>
            </w:r>
          </w:p>
        </w:tc>
      </w:tr>
      <w:tr w:rsidR="00D16830" w:rsidRPr="00017C59" w14:paraId="3BA7205F" w14:textId="77777777" w:rsidTr="00017C59">
        <w:tc>
          <w:tcPr>
            <w:tcW w:w="2093" w:type="dxa"/>
          </w:tcPr>
          <w:p w14:paraId="7D4BCE3B" w14:textId="77777777" w:rsidR="00D16830" w:rsidRPr="00017C59" w:rsidRDefault="00D16830" w:rsidP="00D16830">
            <w:pPr>
              <w:overflowPunct w:val="0"/>
              <w:autoSpaceDE w:val="0"/>
              <w:autoSpaceDN w:val="0"/>
              <w:adjustRightInd w:val="0"/>
              <w:spacing w:line="240" w:lineRule="auto"/>
              <w:textAlignment w:val="baseline"/>
              <w:rPr>
                <w:i/>
                <w:sz w:val="22"/>
                <w:szCs w:val="22"/>
              </w:rPr>
            </w:pPr>
            <w:r w:rsidRPr="00017C59">
              <w:rPr>
                <w:i/>
                <w:sz w:val="22"/>
                <w:szCs w:val="22"/>
              </w:rPr>
              <w:t>Tel.</w:t>
            </w:r>
          </w:p>
        </w:tc>
        <w:tc>
          <w:tcPr>
            <w:tcW w:w="5670" w:type="dxa"/>
          </w:tcPr>
          <w:p w14:paraId="6033BB59" w14:textId="77777777" w:rsidR="00D16830" w:rsidRPr="00017C59" w:rsidRDefault="00D16830" w:rsidP="00D16830">
            <w:pPr>
              <w:overflowPunct w:val="0"/>
              <w:autoSpaceDE w:val="0"/>
              <w:autoSpaceDN w:val="0"/>
              <w:adjustRightInd w:val="0"/>
              <w:spacing w:line="240" w:lineRule="auto"/>
              <w:textAlignment w:val="baseline"/>
              <w:rPr>
                <w:i/>
                <w:sz w:val="22"/>
                <w:szCs w:val="22"/>
              </w:rPr>
            </w:pPr>
            <w:r w:rsidRPr="00017C59">
              <w:rPr>
                <w:i/>
                <w:sz w:val="22"/>
                <w:szCs w:val="22"/>
              </w:rPr>
              <w:t>+32 2 546 90 69</w:t>
            </w:r>
          </w:p>
        </w:tc>
      </w:tr>
      <w:tr w:rsidR="00D16830" w:rsidRPr="00017C59" w14:paraId="06D43AB5" w14:textId="77777777" w:rsidTr="00017C59">
        <w:tc>
          <w:tcPr>
            <w:tcW w:w="2093" w:type="dxa"/>
          </w:tcPr>
          <w:p w14:paraId="1591AA97" w14:textId="77777777" w:rsidR="00D16830" w:rsidRPr="00017C59" w:rsidRDefault="00D16830" w:rsidP="00D16830">
            <w:pPr>
              <w:overflowPunct w:val="0"/>
              <w:autoSpaceDE w:val="0"/>
              <w:autoSpaceDN w:val="0"/>
              <w:adjustRightInd w:val="0"/>
              <w:spacing w:line="240" w:lineRule="auto"/>
              <w:textAlignment w:val="baseline"/>
              <w:rPr>
                <w:i/>
                <w:sz w:val="22"/>
                <w:szCs w:val="22"/>
              </w:rPr>
            </w:pPr>
            <w:r w:rsidRPr="00017C59">
              <w:rPr>
                <w:i/>
                <w:sz w:val="22"/>
                <w:szCs w:val="22"/>
              </w:rPr>
              <w:t>Endereço eletrónico</w:t>
            </w:r>
          </w:p>
        </w:tc>
        <w:tc>
          <w:tcPr>
            <w:tcW w:w="5670" w:type="dxa"/>
          </w:tcPr>
          <w:p w14:paraId="104A20AD" w14:textId="77777777" w:rsidR="00D16830" w:rsidRPr="00017C59" w:rsidRDefault="008D063E" w:rsidP="00D16830">
            <w:pPr>
              <w:overflowPunct w:val="0"/>
              <w:autoSpaceDE w:val="0"/>
              <w:autoSpaceDN w:val="0"/>
              <w:adjustRightInd w:val="0"/>
              <w:spacing w:line="240" w:lineRule="auto"/>
              <w:textAlignment w:val="baseline"/>
              <w:rPr>
                <w:i/>
                <w:sz w:val="22"/>
                <w:szCs w:val="22"/>
              </w:rPr>
            </w:pPr>
            <w:hyperlink r:id="rId63" w:history="1">
              <w:r w:rsidR="00A912EA" w:rsidRPr="00017C59">
                <w:rPr>
                  <w:i/>
                  <w:color w:val="0000FF"/>
                  <w:sz w:val="22"/>
                  <w:szCs w:val="22"/>
                  <w:u w:val="single"/>
                </w:rPr>
                <w:t>David.Hoic@eesc.europa.eu</w:t>
              </w:r>
            </w:hyperlink>
            <w:r w:rsidR="00A912EA" w:rsidRPr="00017C59">
              <w:rPr>
                <w:i/>
                <w:sz w:val="22"/>
                <w:szCs w:val="22"/>
              </w:rPr>
              <w:t xml:space="preserve"> </w:t>
            </w:r>
          </w:p>
        </w:tc>
      </w:tr>
    </w:tbl>
    <w:p w14:paraId="126BFE8C" w14:textId="2B629BAC" w:rsidR="00A3691D" w:rsidRDefault="00A3691D" w:rsidP="0066696D">
      <w:pPr>
        <w:pStyle w:val="ListParagraph"/>
        <w:ind w:left="567" w:hanging="567"/>
        <w:jc w:val="left"/>
      </w:pPr>
    </w:p>
    <w:p w14:paraId="09BE7192" w14:textId="77777777" w:rsidR="00A067F3" w:rsidRDefault="00A067F3">
      <w:pPr>
        <w:spacing w:after="160" w:line="259" w:lineRule="auto"/>
        <w:jc w:val="left"/>
      </w:pPr>
      <w:r>
        <w:br w:type="page"/>
      </w:r>
    </w:p>
    <w:p w14:paraId="00FAE656" w14:textId="0EC2F0DB" w:rsidR="00A3691D" w:rsidRDefault="00A3691D">
      <w:pPr>
        <w:spacing w:after="160" w:line="259" w:lineRule="auto"/>
        <w:jc w:val="left"/>
      </w:pPr>
    </w:p>
    <w:p w14:paraId="41D04A86" w14:textId="49CFB439" w:rsidR="00297F0C" w:rsidRPr="00297F0C" w:rsidRDefault="008D063E" w:rsidP="00297F0C">
      <w:pPr>
        <w:widowControl w:val="0"/>
        <w:numPr>
          <w:ilvl w:val="0"/>
          <w:numId w:val="4"/>
        </w:numPr>
        <w:overflowPunct w:val="0"/>
        <w:autoSpaceDE w:val="0"/>
        <w:autoSpaceDN w:val="0"/>
        <w:adjustRightInd w:val="0"/>
        <w:ind w:hanging="567"/>
        <w:jc w:val="left"/>
        <w:textAlignment w:val="baseline"/>
        <w:rPr>
          <w:sz w:val="20"/>
          <w:szCs w:val="20"/>
        </w:rPr>
      </w:pPr>
      <w:hyperlink r:id="rId64" w:history="1">
        <w:r w:rsidR="00297F0C">
          <w:rPr>
            <w:b/>
            <w:i/>
            <w:color w:val="0000FF"/>
            <w:sz w:val="28"/>
            <w:u w:val="single"/>
          </w:rPr>
          <w:t>Papel do setor privado e da sociedade civil no reforço da cooperação económica no âmbit</w:t>
        </w:r>
        <w:r w:rsidR="00297F0C">
          <w:rPr>
            <w:b/>
            <w:i/>
            <w:color w:val="0000FF"/>
            <w:sz w:val="28"/>
            <w:u w:val="single"/>
          </w:rPr>
          <w:t>o</w:t>
        </w:r>
        <w:r w:rsidR="00297F0C">
          <w:rPr>
            <w:b/>
            <w:i/>
            <w:color w:val="0000FF"/>
            <w:sz w:val="28"/>
            <w:u w:val="single"/>
          </w:rPr>
          <w:t xml:space="preserve"> do Pacto para o Mediterrâneo</w:t>
        </w:r>
      </w:hyperlink>
    </w:p>
    <w:p w14:paraId="6EC7DE74" w14:textId="77777777" w:rsidR="00297F0C" w:rsidRPr="00297F0C" w:rsidRDefault="00297F0C" w:rsidP="00297F0C">
      <w:pPr>
        <w:widowControl w:val="0"/>
        <w:overflowPunct w:val="0"/>
        <w:autoSpaceDE w:val="0"/>
        <w:autoSpaceDN w:val="0"/>
        <w:adjustRightInd w:val="0"/>
        <w:ind w:left="567"/>
        <w:jc w:val="left"/>
        <w:textAlignment w:val="baseline"/>
        <w:rPr>
          <w:sz w:val="20"/>
          <w:szCs w:val="20"/>
          <w:lang w:val="en-GB"/>
        </w:rPr>
      </w:pPr>
    </w:p>
    <w:p w14:paraId="04ADF7F0" w14:textId="77777777" w:rsidR="00297F0C" w:rsidRPr="00297F0C"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5788EB" w14:textId="77777777" w:rsidTr="002E7EFB">
        <w:trPr>
          <w:trHeight w:val="70"/>
        </w:trPr>
        <w:tc>
          <w:tcPr>
            <w:tcW w:w="1077" w:type="pct"/>
          </w:tcPr>
          <w:p w14:paraId="210D65F7" w14:textId="77777777" w:rsidR="00297F0C" w:rsidRPr="00017C59" w:rsidRDefault="00297F0C" w:rsidP="00297F0C">
            <w:pPr>
              <w:tabs>
                <w:tab w:val="center" w:pos="284"/>
              </w:tabs>
              <w:overflowPunct w:val="0"/>
              <w:autoSpaceDE w:val="0"/>
              <w:autoSpaceDN w:val="0"/>
              <w:adjustRightInd w:val="0"/>
              <w:ind w:left="266" w:hanging="266"/>
              <w:textAlignment w:val="baseline"/>
              <w:rPr>
                <w:b/>
                <w:sz w:val="22"/>
                <w:szCs w:val="22"/>
              </w:rPr>
            </w:pPr>
            <w:r w:rsidRPr="00017C59">
              <w:rPr>
                <w:b/>
                <w:sz w:val="22"/>
                <w:szCs w:val="22"/>
              </w:rPr>
              <w:t>Relator</w:t>
            </w:r>
          </w:p>
        </w:tc>
        <w:tc>
          <w:tcPr>
            <w:tcW w:w="3923" w:type="pct"/>
          </w:tcPr>
          <w:p w14:paraId="1A0D7BEA" w14:textId="77777777" w:rsidR="00297F0C" w:rsidRPr="00017C59" w:rsidRDefault="00297F0C" w:rsidP="00297F0C">
            <w:pPr>
              <w:tabs>
                <w:tab w:val="center" w:pos="284"/>
              </w:tabs>
              <w:overflowPunct w:val="0"/>
              <w:autoSpaceDE w:val="0"/>
              <w:autoSpaceDN w:val="0"/>
              <w:adjustRightInd w:val="0"/>
              <w:ind w:left="266" w:right="-3091" w:hanging="266"/>
              <w:textAlignment w:val="baseline"/>
              <w:rPr>
                <w:sz w:val="22"/>
                <w:szCs w:val="22"/>
              </w:rPr>
            </w:pPr>
            <w:r w:rsidRPr="00017C59">
              <w:rPr>
                <w:sz w:val="22"/>
                <w:szCs w:val="22"/>
              </w:rPr>
              <w:t>Thomas Wagnsonner (AT – Grupo dos Trabalhadores)</w:t>
            </w:r>
          </w:p>
        </w:tc>
      </w:tr>
      <w:tr w:rsidR="00297F0C" w:rsidRPr="00297F0C" w14:paraId="3290F704" w14:textId="77777777" w:rsidTr="002E7EFB">
        <w:tc>
          <w:tcPr>
            <w:tcW w:w="1077" w:type="pct"/>
          </w:tcPr>
          <w:p w14:paraId="432C48BB" w14:textId="77777777" w:rsidR="00297F0C" w:rsidRPr="00017C59" w:rsidRDefault="00297F0C" w:rsidP="00297F0C">
            <w:pPr>
              <w:tabs>
                <w:tab w:val="center" w:pos="284"/>
              </w:tabs>
              <w:overflowPunct w:val="0"/>
              <w:autoSpaceDE w:val="0"/>
              <w:autoSpaceDN w:val="0"/>
              <w:adjustRightInd w:val="0"/>
              <w:ind w:left="266" w:hanging="266"/>
              <w:textAlignment w:val="baseline"/>
              <w:rPr>
                <w:b/>
                <w:sz w:val="22"/>
                <w:szCs w:val="22"/>
              </w:rPr>
            </w:pPr>
            <w:r w:rsidRPr="00017C59">
              <w:rPr>
                <w:b/>
                <w:sz w:val="22"/>
                <w:szCs w:val="22"/>
              </w:rPr>
              <w:t>Correlatora</w:t>
            </w:r>
          </w:p>
        </w:tc>
        <w:tc>
          <w:tcPr>
            <w:tcW w:w="3923" w:type="pct"/>
          </w:tcPr>
          <w:p w14:paraId="78BBD0C8" w14:textId="77777777" w:rsidR="00297F0C" w:rsidRPr="00017C59" w:rsidRDefault="00297F0C" w:rsidP="00297F0C">
            <w:pPr>
              <w:tabs>
                <w:tab w:val="center" w:pos="284"/>
              </w:tabs>
              <w:overflowPunct w:val="0"/>
              <w:autoSpaceDE w:val="0"/>
              <w:autoSpaceDN w:val="0"/>
              <w:adjustRightInd w:val="0"/>
              <w:ind w:left="266" w:right="-3091" w:hanging="266"/>
              <w:textAlignment w:val="baseline"/>
              <w:rPr>
                <w:sz w:val="22"/>
                <w:szCs w:val="22"/>
              </w:rPr>
            </w:pPr>
            <w:r w:rsidRPr="00017C59">
              <w:rPr>
                <w:sz w:val="22"/>
                <w:szCs w:val="22"/>
              </w:rPr>
              <w:t>Lidija Pavić-Rogošić (HR – Grupo das Organizações da Sociedade Civil)</w:t>
            </w:r>
          </w:p>
          <w:p w14:paraId="112D4104" w14:textId="77777777" w:rsidR="00F76EE7" w:rsidRPr="00017C59" w:rsidRDefault="00F76EE7" w:rsidP="00297F0C">
            <w:pPr>
              <w:tabs>
                <w:tab w:val="center" w:pos="284"/>
              </w:tabs>
              <w:overflowPunct w:val="0"/>
              <w:autoSpaceDE w:val="0"/>
              <w:autoSpaceDN w:val="0"/>
              <w:adjustRightInd w:val="0"/>
              <w:ind w:left="266" w:right="-3091" w:hanging="266"/>
              <w:textAlignment w:val="baseline"/>
              <w:rPr>
                <w:sz w:val="22"/>
                <w:szCs w:val="22"/>
              </w:rPr>
            </w:pPr>
          </w:p>
          <w:p w14:paraId="14EF11F7" w14:textId="77777777" w:rsidR="00F76EE7" w:rsidRPr="00017C59" w:rsidRDefault="00F76EE7" w:rsidP="00297F0C">
            <w:pPr>
              <w:tabs>
                <w:tab w:val="center" w:pos="284"/>
              </w:tabs>
              <w:overflowPunct w:val="0"/>
              <w:autoSpaceDE w:val="0"/>
              <w:autoSpaceDN w:val="0"/>
              <w:adjustRightInd w:val="0"/>
              <w:ind w:left="266" w:right="-3091" w:hanging="266"/>
              <w:textAlignment w:val="baseline"/>
              <w:rPr>
                <w:sz w:val="22"/>
                <w:szCs w:val="22"/>
              </w:rPr>
            </w:pPr>
          </w:p>
        </w:tc>
      </w:tr>
      <w:tr w:rsidR="00297F0C" w:rsidRPr="00297F0C" w14:paraId="54CCBB87" w14:textId="77777777" w:rsidTr="002E7EFB">
        <w:tc>
          <w:tcPr>
            <w:tcW w:w="1077" w:type="pct"/>
          </w:tcPr>
          <w:p w14:paraId="7E611676" w14:textId="77777777" w:rsidR="00297F0C" w:rsidRPr="00017C59" w:rsidRDefault="00297F0C" w:rsidP="00297F0C">
            <w:pPr>
              <w:tabs>
                <w:tab w:val="center" w:pos="284"/>
              </w:tabs>
              <w:overflowPunct w:val="0"/>
              <w:autoSpaceDE w:val="0"/>
              <w:autoSpaceDN w:val="0"/>
              <w:adjustRightInd w:val="0"/>
              <w:ind w:left="266" w:hanging="266"/>
              <w:textAlignment w:val="baseline"/>
              <w:rPr>
                <w:b/>
                <w:sz w:val="22"/>
                <w:szCs w:val="22"/>
              </w:rPr>
            </w:pPr>
            <w:r w:rsidRPr="00017C59">
              <w:rPr>
                <w:b/>
                <w:sz w:val="22"/>
                <w:szCs w:val="22"/>
              </w:rPr>
              <w:t>Referências</w:t>
            </w:r>
          </w:p>
        </w:tc>
        <w:tc>
          <w:tcPr>
            <w:tcW w:w="3923" w:type="pct"/>
          </w:tcPr>
          <w:p w14:paraId="4F6E33CF" w14:textId="1323A011" w:rsidR="005D6457" w:rsidRPr="00017C59" w:rsidRDefault="005D6457" w:rsidP="00297F0C">
            <w:pPr>
              <w:tabs>
                <w:tab w:val="center" w:pos="284"/>
              </w:tabs>
              <w:overflowPunct w:val="0"/>
              <w:autoSpaceDE w:val="0"/>
              <w:autoSpaceDN w:val="0"/>
              <w:adjustRightInd w:val="0"/>
              <w:ind w:left="266" w:right="-3091" w:hanging="266"/>
              <w:textAlignment w:val="baseline"/>
              <w:rPr>
                <w:sz w:val="22"/>
                <w:szCs w:val="22"/>
              </w:rPr>
            </w:pPr>
            <w:r w:rsidRPr="00017C59">
              <w:rPr>
                <w:sz w:val="22"/>
                <w:szCs w:val="22"/>
              </w:rPr>
              <w:t>Parecer exploratório a pedido da Presidência cipriota do Conselho da UE</w:t>
            </w:r>
          </w:p>
          <w:p w14:paraId="6DA7AE0B" w14:textId="1B6A132C" w:rsidR="00297F0C" w:rsidRPr="00017C59" w:rsidRDefault="00297F0C" w:rsidP="00297F0C">
            <w:pPr>
              <w:tabs>
                <w:tab w:val="center" w:pos="284"/>
              </w:tabs>
              <w:overflowPunct w:val="0"/>
              <w:autoSpaceDE w:val="0"/>
              <w:autoSpaceDN w:val="0"/>
              <w:adjustRightInd w:val="0"/>
              <w:ind w:left="266" w:right="-3091" w:hanging="266"/>
              <w:textAlignment w:val="baseline"/>
              <w:rPr>
                <w:sz w:val="22"/>
                <w:szCs w:val="22"/>
              </w:rPr>
            </w:pPr>
            <w:r w:rsidRPr="00017C59">
              <w:rPr>
                <w:sz w:val="22"/>
                <w:szCs w:val="22"/>
              </w:rP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Pontos principais</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297F0C">
      <w:pPr>
        <w:overflowPunct w:val="0"/>
        <w:autoSpaceDE w:val="0"/>
        <w:autoSpaceDN w:val="0"/>
        <w:adjustRightInd w:val="0"/>
        <w:spacing w:after="120"/>
        <w:textAlignment w:val="baseline"/>
        <w:rPr>
          <w:bCs/>
          <w:iCs/>
        </w:rPr>
      </w:pPr>
      <w:r>
        <w:t>O Comité Económico e Social Europeu:</w:t>
      </w:r>
    </w:p>
    <w:p w14:paraId="26DA286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considera que o Pacto para o Mediterrâneo só pode ter êxito através de uma parceria equitativa entre a União Europeia (UE), os seus Estados-Membros e os parceiros do sul do Mediterrâneo, com benefícios visíveis para os cidadãos comuns e as comunidades;</w:t>
      </w:r>
    </w:p>
    <w:p w14:paraId="1A4BF8CB"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afirma que a sociedade civil organizada deve participar de forma permanente e estruturada, e não apenas através de consultas ocasionais, o que inclui os sindicatos, os grupos de empregadores e as organizações da sociedade civil;</w:t>
      </w:r>
    </w:p>
    <w:p w14:paraId="6F943845"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considera que, para reforçar o setor privado, especialmente as micro, pequenas e médias empresas, a região necessita de reformas que melhorem o acesso ao financiamento, simplifiquem os procedimentos e apoiem a digitalização e a conectividade, para que as empresas possam aderir às cadeias de valor regionais;</w:t>
      </w:r>
    </w:p>
    <w:p w14:paraId="243F959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considera que os acordos comerciais da UE em vigor com muitos países do sul do Mediterrâneo estão desatualizados e devem ser modernizados, devendo a sociedade civil ajudar a acompanhar os compromissos em matéria laboral, ambiental e de direitos humanos;</w:t>
      </w:r>
    </w:p>
    <w:p w14:paraId="3659C819"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considera que o comércio e o investimento devem estar ligados ao desenvolvimento sustentável e ao trabalho digno, o que inclui salários justos, condições de trabalho seguras, normas aplicáveis e investimento em projetos regionais sustentáveis;</w:t>
      </w:r>
    </w:p>
    <w:p w14:paraId="2D5E3A8E"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salienta que a transição da economia informal para a economia formal deve seguir a Recomendação n.º 204 da OIT, o que significa que deve ser gradual, inclusiva, economicamente viável e não punitiva;</w:t>
      </w:r>
    </w:p>
    <w:p w14:paraId="12F91A67"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considera que o plano de ação do pacto deve garantir a proteção social, os direitos laborais e o cumprimento das convenções fundamentais da OIT, assegurando simultaneamente que a Estratégia Global Gateway e outros grandes projetos associam os parceiros sociais e a sociedade civil desde o início;</w:t>
      </w:r>
    </w:p>
    <w:p w14:paraId="79769976"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rPr>
          <w:b/>
          <w:bCs/>
        </w:rPr>
      </w:pPr>
      <w:r>
        <w:t>solicita que se dê especial atenção aos intervenientes da economia social, às mulheres e aos jovens, prevendo, para tal, financiamento, um reforço das capacidades, apoio jurídico, programas de empreendedorismo e a participação na governação; ao mesmo tempo, a mobilidade laboral deve respeitar os direitos humanos e evitar a fuga de cérebros;</w:t>
      </w:r>
    </w:p>
    <w:p w14:paraId="55EA3EF9" w14:textId="6A17B226" w:rsidR="00297F0C" w:rsidRDefault="00297F0C">
      <w:pPr>
        <w:numPr>
          <w:ilvl w:val="0"/>
          <w:numId w:val="64"/>
        </w:numPr>
        <w:overflowPunct w:val="0"/>
        <w:autoSpaceDE w:val="0"/>
        <w:autoSpaceDN w:val="0"/>
        <w:adjustRightInd w:val="0"/>
        <w:spacing w:before="100" w:beforeAutospacing="1" w:line="276" w:lineRule="auto"/>
        <w:ind w:left="284" w:hanging="284"/>
        <w:textAlignment w:val="baseline"/>
      </w:pPr>
      <w:r>
        <w:t xml:space="preserve">considera que importa reforçar a coordenação entre as instituições financeiras financiadas pela UE e as instituições financeiras internacionais, a fim de aumentar o impacto; entende que a criação de um banco de desenvolvimento regional ou de um mecanismo financeiro análogo poderia ajudar a </w:t>
      </w:r>
      <w:r>
        <w:lastRenderedPageBreak/>
        <w:t>financiar as infraestruturas, as micro, pequenas e médias empresas, as empresas em fase de arranque e os projetos de economia social, envolvendo a sociedade civil de forma transparente.</w:t>
      </w:r>
    </w:p>
    <w:p w14:paraId="2A1A39EB" w14:textId="77777777" w:rsidR="00A067F3" w:rsidRPr="00297F0C" w:rsidRDefault="00A067F3" w:rsidP="004C6742">
      <w:pPr>
        <w:overflowPunct w:val="0"/>
        <w:autoSpaceDE w:val="0"/>
        <w:autoSpaceDN w:val="0"/>
        <w:adjustRightInd w:val="0"/>
        <w:spacing w:before="100" w:beforeAutospacing="1" w:line="276" w:lineRule="auto"/>
        <w:ind w:left="284"/>
        <w:textAlignment w:val="baseline"/>
        <w:rPr>
          <w:lang w:val="en-GB" w:eastAsia="fr-BE"/>
        </w:rPr>
      </w:pPr>
    </w:p>
    <w:tbl>
      <w:tblPr>
        <w:tblStyle w:val="TableGrid25"/>
        <w:tblW w:w="51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7289"/>
      </w:tblGrid>
      <w:tr w:rsidR="00297F0C" w:rsidRPr="00297F0C" w14:paraId="12ED4367" w14:textId="77777777" w:rsidTr="00017C59">
        <w:tc>
          <w:tcPr>
            <w:tcW w:w="1173" w:type="pct"/>
          </w:tcPr>
          <w:p w14:paraId="17C20851" w14:textId="4041C4F3" w:rsidR="00297F0C" w:rsidRPr="00017C59" w:rsidRDefault="00297F0C">
            <w:pPr>
              <w:overflowPunct w:val="0"/>
              <w:autoSpaceDE w:val="0"/>
              <w:autoSpaceDN w:val="0"/>
              <w:adjustRightInd w:val="0"/>
              <w:textAlignment w:val="baseline"/>
              <w:rPr>
                <w:i/>
                <w:sz w:val="22"/>
                <w:szCs w:val="22"/>
              </w:rPr>
            </w:pPr>
            <w:r w:rsidRPr="00017C59">
              <w:rPr>
                <w:sz w:val="22"/>
                <w:szCs w:val="22"/>
              </w:rPr>
              <w:br w:type="page"/>
            </w:r>
            <w:r w:rsidRPr="00017C59">
              <w:rPr>
                <w:b/>
                <w:i/>
                <w:sz w:val="22"/>
                <w:szCs w:val="22"/>
              </w:rPr>
              <w:t>Contacto</w:t>
            </w:r>
          </w:p>
        </w:tc>
        <w:tc>
          <w:tcPr>
            <w:tcW w:w="3827" w:type="pct"/>
          </w:tcPr>
          <w:p w14:paraId="01CC3A82" w14:textId="77777777" w:rsidR="00297F0C" w:rsidRPr="00017C59" w:rsidRDefault="00297F0C" w:rsidP="00297F0C">
            <w:pPr>
              <w:overflowPunct w:val="0"/>
              <w:autoSpaceDE w:val="0"/>
              <w:autoSpaceDN w:val="0"/>
              <w:adjustRightInd w:val="0"/>
              <w:textAlignment w:val="baseline"/>
              <w:rPr>
                <w:i/>
                <w:sz w:val="22"/>
                <w:szCs w:val="22"/>
              </w:rPr>
            </w:pPr>
            <w:r w:rsidRPr="00017C59">
              <w:rPr>
                <w:i/>
                <w:sz w:val="22"/>
                <w:szCs w:val="22"/>
              </w:rPr>
              <w:t>Andreas Berger</w:t>
            </w:r>
          </w:p>
        </w:tc>
      </w:tr>
      <w:tr w:rsidR="00297F0C" w:rsidRPr="00297F0C" w14:paraId="4DE5DEB6" w14:textId="77777777" w:rsidTr="00017C59">
        <w:tc>
          <w:tcPr>
            <w:tcW w:w="1173" w:type="pct"/>
          </w:tcPr>
          <w:p w14:paraId="333F8669" w14:textId="77777777" w:rsidR="00297F0C" w:rsidRPr="00017C59" w:rsidRDefault="00297F0C" w:rsidP="00297F0C">
            <w:pPr>
              <w:overflowPunct w:val="0"/>
              <w:autoSpaceDE w:val="0"/>
              <w:autoSpaceDN w:val="0"/>
              <w:adjustRightInd w:val="0"/>
              <w:textAlignment w:val="baseline"/>
              <w:rPr>
                <w:i/>
                <w:sz w:val="22"/>
                <w:szCs w:val="22"/>
              </w:rPr>
            </w:pPr>
            <w:r w:rsidRPr="00017C59">
              <w:rPr>
                <w:i/>
                <w:sz w:val="22"/>
                <w:szCs w:val="22"/>
              </w:rPr>
              <w:t>Tel.</w:t>
            </w:r>
          </w:p>
        </w:tc>
        <w:tc>
          <w:tcPr>
            <w:tcW w:w="3827" w:type="pct"/>
          </w:tcPr>
          <w:p w14:paraId="27143945" w14:textId="77777777" w:rsidR="00297F0C" w:rsidRPr="00017C59" w:rsidRDefault="00297F0C" w:rsidP="00297F0C">
            <w:pPr>
              <w:overflowPunct w:val="0"/>
              <w:autoSpaceDE w:val="0"/>
              <w:autoSpaceDN w:val="0"/>
              <w:adjustRightInd w:val="0"/>
              <w:textAlignment w:val="baseline"/>
              <w:rPr>
                <w:i/>
                <w:sz w:val="22"/>
                <w:szCs w:val="22"/>
              </w:rPr>
            </w:pPr>
            <w:r w:rsidRPr="00017C59">
              <w:rPr>
                <w:i/>
                <w:sz w:val="22"/>
                <w:szCs w:val="22"/>
              </w:rPr>
              <w:t>+32 2 546 90 62</w:t>
            </w:r>
          </w:p>
        </w:tc>
      </w:tr>
      <w:tr w:rsidR="00297F0C" w:rsidRPr="00297F0C" w14:paraId="18E1E5AB" w14:textId="77777777" w:rsidTr="00017C59">
        <w:tc>
          <w:tcPr>
            <w:tcW w:w="1173" w:type="pct"/>
          </w:tcPr>
          <w:p w14:paraId="069DD35F" w14:textId="77777777" w:rsidR="00297F0C" w:rsidRPr="00017C59" w:rsidRDefault="00297F0C" w:rsidP="00297F0C">
            <w:pPr>
              <w:overflowPunct w:val="0"/>
              <w:autoSpaceDE w:val="0"/>
              <w:autoSpaceDN w:val="0"/>
              <w:adjustRightInd w:val="0"/>
              <w:textAlignment w:val="baseline"/>
              <w:rPr>
                <w:i/>
                <w:sz w:val="22"/>
                <w:szCs w:val="22"/>
              </w:rPr>
            </w:pPr>
            <w:r w:rsidRPr="00017C59">
              <w:rPr>
                <w:i/>
                <w:sz w:val="22"/>
                <w:szCs w:val="22"/>
              </w:rPr>
              <w:t>Endereço eletrónico</w:t>
            </w:r>
          </w:p>
        </w:tc>
        <w:tc>
          <w:tcPr>
            <w:tcW w:w="3827" w:type="pct"/>
          </w:tcPr>
          <w:p w14:paraId="6FC2A286" w14:textId="77777777" w:rsidR="00297F0C" w:rsidRPr="00017C59" w:rsidRDefault="008D063E" w:rsidP="00297F0C">
            <w:pPr>
              <w:overflowPunct w:val="0"/>
              <w:autoSpaceDE w:val="0"/>
              <w:autoSpaceDN w:val="0"/>
              <w:adjustRightInd w:val="0"/>
              <w:textAlignment w:val="baseline"/>
              <w:rPr>
                <w:i/>
                <w:sz w:val="22"/>
                <w:szCs w:val="22"/>
              </w:rPr>
            </w:pPr>
            <w:hyperlink r:id="rId65" w:history="1">
              <w:r w:rsidR="00A912EA" w:rsidRPr="00017C59">
                <w:rPr>
                  <w:i/>
                  <w:color w:val="0000FF"/>
                  <w:sz w:val="22"/>
                  <w:szCs w:val="22"/>
                  <w:u w:val="single"/>
                </w:rPr>
                <w:t>Andreas.Berger@eesc.europa.eu</w:t>
              </w:r>
            </w:hyperlink>
            <w:r w:rsidR="00A912EA" w:rsidRPr="00017C59">
              <w:rPr>
                <w:i/>
                <w:sz w:val="22"/>
                <w:szCs w:val="22"/>
              </w:rPr>
              <w:t xml:space="preserve"> </w:t>
            </w:r>
          </w:p>
        </w:tc>
      </w:tr>
    </w:tbl>
    <w:p w14:paraId="12CF0795" w14:textId="1C00578F" w:rsidR="00A067F3" w:rsidRDefault="00A067F3" w:rsidP="0066696D">
      <w:pPr>
        <w:pStyle w:val="ListParagraph"/>
        <w:ind w:left="567" w:hanging="567"/>
        <w:jc w:val="left"/>
      </w:pPr>
    </w:p>
    <w:p w14:paraId="542BD5E6" w14:textId="77777777" w:rsidR="00A067F3" w:rsidRDefault="00A067F3">
      <w:pPr>
        <w:spacing w:after="160" w:line="259" w:lineRule="auto"/>
        <w:jc w:val="left"/>
      </w:pPr>
      <w:r>
        <w:br w:type="page"/>
      </w:r>
    </w:p>
    <w:p w14:paraId="1BF4DE49" w14:textId="77777777" w:rsidR="007F5784" w:rsidRDefault="007F5784" w:rsidP="0066696D">
      <w:pPr>
        <w:pStyle w:val="ListParagraph"/>
        <w:ind w:left="567" w:hanging="567"/>
        <w:jc w:val="left"/>
      </w:pPr>
    </w:p>
    <w:p w14:paraId="528C73AA" w14:textId="46DE726B" w:rsidR="006D2C8A" w:rsidRPr="006D2C8A" w:rsidRDefault="006D2C8A" w:rsidP="004C6742">
      <w:pPr>
        <w:pStyle w:val="Heading2"/>
      </w:pPr>
      <w:bookmarkStart w:id="42" w:name="_Toc229140651"/>
      <w:bookmarkStart w:id="43" w:name="_Toc229140658"/>
      <w:bookmarkStart w:id="44" w:name="_Toc229495803"/>
      <w:bookmarkEnd w:id="42"/>
      <w:bookmarkEnd w:id="43"/>
      <w:r>
        <w:t>COMISSÃO CONSULTIVA DAS MUTAÇÕES INDUSTRIAIS</w:t>
      </w:r>
      <w:bookmarkEnd w:id="44"/>
    </w:p>
    <w:p w14:paraId="713E272F" w14:textId="77777777" w:rsidR="006D2C8A" w:rsidRDefault="006D2C8A" w:rsidP="001766B2"/>
    <w:p w14:paraId="1B9F790A" w14:textId="3E791C1C" w:rsidR="00814A54" w:rsidRPr="00814A54" w:rsidRDefault="008D063E" w:rsidP="00814A54">
      <w:pPr>
        <w:widowControl w:val="0"/>
        <w:numPr>
          <w:ilvl w:val="0"/>
          <w:numId w:val="19"/>
        </w:numPr>
        <w:spacing w:after="200" w:line="276" w:lineRule="auto"/>
        <w:ind w:left="567" w:hanging="567"/>
        <w:contextualSpacing/>
        <w:jc w:val="left"/>
        <w:rPr>
          <w:sz w:val="28"/>
          <w:szCs w:val="28"/>
        </w:rPr>
      </w:pPr>
      <w:hyperlink r:id="rId66" w:history="1">
        <w:r w:rsidR="00814A54">
          <w:rPr>
            <w:b/>
            <w:i/>
            <w:color w:val="0000FF"/>
            <w:sz w:val="28"/>
            <w:u w:val="single"/>
          </w:rPr>
          <w:t>Programa para a Ino</w:t>
        </w:r>
        <w:r w:rsidR="00814A54">
          <w:rPr>
            <w:b/>
            <w:i/>
            <w:color w:val="0000FF"/>
            <w:sz w:val="28"/>
            <w:u w:val="single"/>
          </w:rPr>
          <w:t>v</w:t>
        </w:r>
        <w:r w:rsidR="00814A54">
          <w:rPr>
            <w:b/>
            <w:i/>
            <w:color w:val="0000FF"/>
            <w:sz w:val="28"/>
            <w:u w:val="single"/>
          </w:rPr>
          <w:t>a</w:t>
        </w:r>
        <w:r w:rsidR="00814A54">
          <w:rPr>
            <w:b/>
            <w:i/>
            <w:color w:val="0000FF"/>
            <w:sz w:val="28"/>
            <w:u w:val="single"/>
          </w:rPr>
          <w:t>ç</w:t>
        </w:r>
        <w:r w:rsidR="00814A54">
          <w:rPr>
            <w:b/>
            <w:i/>
            <w:color w:val="0000FF"/>
            <w:sz w:val="28"/>
            <w:u w:val="single"/>
          </w:rPr>
          <w:t>ão Ágil e Ráp</w:t>
        </w:r>
        <w:r w:rsidR="00814A54">
          <w:rPr>
            <w:b/>
            <w:i/>
            <w:color w:val="0000FF"/>
            <w:sz w:val="28"/>
            <w:u w:val="single"/>
          </w:rPr>
          <w:t>i</w:t>
        </w:r>
        <w:r w:rsidR="00814A54">
          <w:rPr>
            <w:b/>
            <w:i/>
            <w:color w:val="0000FF"/>
            <w:sz w:val="28"/>
            <w:u w:val="single"/>
          </w:rPr>
          <w:t>da no domínio da Defesa (AGILE)</w:t>
        </w:r>
      </w:hyperlink>
      <w:r w:rsidR="00814A54">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814A54" w:rsidRPr="00814A54" w14:paraId="37988BA0" w14:textId="77777777" w:rsidTr="002E7EFB">
        <w:tc>
          <w:tcPr>
            <w:tcW w:w="1701" w:type="dxa"/>
          </w:tcPr>
          <w:p w14:paraId="4FF33EA9" w14:textId="77777777" w:rsidR="00814A54" w:rsidRPr="00017C59" w:rsidRDefault="00814A54" w:rsidP="00814A54">
            <w:pPr>
              <w:tabs>
                <w:tab w:val="center" w:pos="284"/>
              </w:tabs>
              <w:rPr>
                <w:b/>
                <w:sz w:val="22"/>
                <w:szCs w:val="22"/>
              </w:rPr>
            </w:pPr>
          </w:p>
          <w:p w14:paraId="44EB374B" w14:textId="77777777" w:rsidR="007173CF" w:rsidRPr="00017C59" w:rsidRDefault="007173CF" w:rsidP="00814A54">
            <w:pPr>
              <w:tabs>
                <w:tab w:val="center" w:pos="284"/>
              </w:tabs>
              <w:rPr>
                <w:b/>
                <w:sz w:val="22"/>
                <w:szCs w:val="22"/>
              </w:rPr>
            </w:pPr>
          </w:p>
          <w:p w14:paraId="41B7C4EB" w14:textId="77777777" w:rsidR="00814A54" w:rsidRPr="00017C59" w:rsidRDefault="00814A54" w:rsidP="00814A54">
            <w:pPr>
              <w:tabs>
                <w:tab w:val="center" w:pos="284"/>
              </w:tabs>
              <w:ind w:left="266" w:hanging="266"/>
              <w:rPr>
                <w:b/>
                <w:sz w:val="22"/>
                <w:szCs w:val="22"/>
              </w:rPr>
            </w:pPr>
            <w:r w:rsidRPr="00017C59">
              <w:rPr>
                <w:b/>
                <w:sz w:val="22"/>
                <w:szCs w:val="22"/>
              </w:rPr>
              <w:t>Relatora</w:t>
            </w:r>
          </w:p>
        </w:tc>
        <w:tc>
          <w:tcPr>
            <w:tcW w:w="5670" w:type="dxa"/>
          </w:tcPr>
          <w:p w14:paraId="420A37F3" w14:textId="77777777" w:rsidR="00814A54" w:rsidRPr="00017C59" w:rsidRDefault="00814A54" w:rsidP="00814A54">
            <w:pPr>
              <w:tabs>
                <w:tab w:val="center" w:pos="284"/>
              </w:tabs>
              <w:ind w:left="266" w:hanging="266"/>
              <w:rPr>
                <w:sz w:val="22"/>
                <w:szCs w:val="22"/>
              </w:rPr>
            </w:pPr>
          </w:p>
          <w:p w14:paraId="6883D11C" w14:textId="77777777" w:rsidR="007173CF" w:rsidRPr="00017C59" w:rsidRDefault="007173CF" w:rsidP="00814A54">
            <w:pPr>
              <w:tabs>
                <w:tab w:val="center" w:pos="284"/>
              </w:tabs>
              <w:ind w:left="266" w:hanging="266"/>
              <w:rPr>
                <w:sz w:val="22"/>
                <w:szCs w:val="22"/>
              </w:rPr>
            </w:pPr>
          </w:p>
          <w:p w14:paraId="1D11312F" w14:textId="073C09C2" w:rsidR="00814A54" w:rsidRPr="00017C59" w:rsidRDefault="00814A54" w:rsidP="00814A54">
            <w:pPr>
              <w:tabs>
                <w:tab w:val="center" w:pos="284"/>
              </w:tabs>
              <w:ind w:left="266" w:hanging="266"/>
              <w:rPr>
                <w:sz w:val="22"/>
                <w:szCs w:val="22"/>
              </w:rPr>
            </w:pPr>
            <w:r w:rsidRPr="00017C59">
              <w:rPr>
                <w:sz w:val="22"/>
                <w:szCs w:val="22"/>
              </w:rPr>
              <w:t>Monika Sitárová (SK – Grupo dos Trabalhadores)</w:t>
            </w:r>
          </w:p>
        </w:tc>
      </w:tr>
      <w:tr w:rsidR="00814A54" w:rsidRPr="00814A54" w14:paraId="3DB16DB5" w14:textId="77777777" w:rsidTr="002E7EFB">
        <w:tc>
          <w:tcPr>
            <w:tcW w:w="1701" w:type="dxa"/>
          </w:tcPr>
          <w:p w14:paraId="723151C3" w14:textId="77777777" w:rsidR="00814A54" w:rsidRPr="00017C59" w:rsidRDefault="00814A54" w:rsidP="00814A54">
            <w:pPr>
              <w:tabs>
                <w:tab w:val="center" w:pos="284"/>
              </w:tabs>
              <w:ind w:left="266" w:hanging="266"/>
              <w:rPr>
                <w:b/>
                <w:sz w:val="22"/>
                <w:szCs w:val="22"/>
              </w:rPr>
            </w:pPr>
            <w:r w:rsidRPr="00017C59">
              <w:rPr>
                <w:b/>
                <w:sz w:val="22"/>
                <w:szCs w:val="22"/>
              </w:rPr>
              <w:t>Correlatora</w:t>
            </w:r>
          </w:p>
        </w:tc>
        <w:tc>
          <w:tcPr>
            <w:tcW w:w="5670" w:type="dxa"/>
          </w:tcPr>
          <w:p w14:paraId="691AA178" w14:textId="77BDBBFF" w:rsidR="00814A54" w:rsidRPr="00017C59" w:rsidRDefault="00814A54" w:rsidP="00814A54">
            <w:pPr>
              <w:tabs>
                <w:tab w:val="center" w:pos="284"/>
              </w:tabs>
              <w:ind w:left="266" w:hanging="266"/>
              <w:rPr>
                <w:sz w:val="22"/>
                <w:szCs w:val="22"/>
              </w:rPr>
            </w:pPr>
            <w:r w:rsidRPr="00017C59">
              <w:rPr>
                <w:sz w:val="22"/>
                <w:szCs w:val="22"/>
              </w:rPr>
              <w:t>Srita Heide (DE – Cat. 3)</w:t>
            </w:r>
          </w:p>
        </w:tc>
      </w:tr>
      <w:tr w:rsidR="00814A54" w:rsidRPr="00814A54" w14:paraId="27D9C93B" w14:textId="77777777" w:rsidTr="002E7EFB">
        <w:tc>
          <w:tcPr>
            <w:tcW w:w="7371" w:type="dxa"/>
            <w:gridSpan w:val="2"/>
          </w:tcPr>
          <w:p w14:paraId="5ACA8EEC" w14:textId="77777777" w:rsidR="00814A54" w:rsidRPr="00017C59" w:rsidRDefault="00814A54" w:rsidP="00814A54">
            <w:pPr>
              <w:tabs>
                <w:tab w:val="center" w:pos="284"/>
              </w:tabs>
              <w:spacing w:line="160" w:lineRule="exact"/>
              <w:ind w:left="266" w:hanging="266"/>
              <w:rPr>
                <w:sz w:val="22"/>
                <w:szCs w:val="22"/>
              </w:rPr>
            </w:pPr>
          </w:p>
        </w:tc>
      </w:tr>
      <w:tr w:rsidR="00814A54" w:rsidRPr="00814A54" w14:paraId="5AE7EBB6" w14:textId="77777777" w:rsidTr="002E7EFB">
        <w:tc>
          <w:tcPr>
            <w:tcW w:w="1701" w:type="dxa"/>
            <w:vMerge w:val="restart"/>
          </w:tcPr>
          <w:p w14:paraId="69099993" w14:textId="77777777" w:rsidR="00814A54" w:rsidRPr="00017C59" w:rsidRDefault="00814A54" w:rsidP="00814A54">
            <w:pPr>
              <w:tabs>
                <w:tab w:val="center" w:pos="284"/>
              </w:tabs>
              <w:ind w:left="266" w:hanging="266"/>
              <w:rPr>
                <w:b/>
                <w:sz w:val="22"/>
                <w:szCs w:val="22"/>
              </w:rPr>
            </w:pPr>
            <w:r w:rsidRPr="00017C59">
              <w:rPr>
                <w:b/>
                <w:sz w:val="22"/>
                <w:szCs w:val="22"/>
              </w:rPr>
              <w:t>Referências</w:t>
            </w:r>
          </w:p>
        </w:tc>
        <w:tc>
          <w:tcPr>
            <w:tcW w:w="5670" w:type="dxa"/>
          </w:tcPr>
          <w:p w14:paraId="699F0B48" w14:textId="3F25C095" w:rsidR="00BA2BB0" w:rsidRPr="00017C59" w:rsidRDefault="00BA2BB0" w:rsidP="00814A54">
            <w:pPr>
              <w:tabs>
                <w:tab w:val="center" w:pos="284"/>
              </w:tabs>
              <w:ind w:left="266" w:hanging="266"/>
              <w:rPr>
                <w:sz w:val="22"/>
                <w:szCs w:val="22"/>
              </w:rPr>
            </w:pPr>
            <w:r w:rsidRPr="00017C59">
              <w:rPr>
                <w:sz w:val="22"/>
                <w:szCs w:val="22"/>
              </w:rPr>
              <w:t>COM(2026) 135 final</w:t>
            </w:r>
          </w:p>
          <w:p w14:paraId="30557EA2" w14:textId="294C27C9" w:rsidR="00814A54" w:rsidRPr="00017C59" w:rsidRDefault="00814A54" w:rsidP="00814A54">
            <w:pPr>
              <w:tabs>
                <w:tab w:val="center" w:pos="284"/>
              </w:tabs>
              <w:ind w:left="266" w:hanging="266"/>
              <w:rPr>
                <w:sz w:val="22"/>
                <w:szCs w:val="22"/>
              </w:rPr>
            </w:pPr>
            <w:r w:rsidRPr="00017C59">
              <w:rPr>
                <w:sz w:val="22"/>
                <w:szCs w:val="22"/>
              </w:rPr>
              <w:t>EESC-2026-01126-00-00-AC</w:t>
            </w:r>
          </w:p>
        </w:tc>
      </w:tr>
      <w:tr w:rsidR="00814A54" w:rsidRPr="00814A54" w14:paraId="15CB02A5" w14:textId="77777777" w:rsidTr="002E7EFB">
        <w:tc>
          <w:tcPr>
            <w:tcW w:w="1701" w:type="dxa"/>
            <w:vMerge/>
          </w:tcPr>
          <w:p w14:paraId="0E4A7D50" w14:textId="77777777" w:rsidR="00814A54" w:rsidRPr="00814A54" w:rsidRDefault="00814A54" w:rsidP="00814A54">
            <w:pPr>
              <w:tabs>
                <w:tab w:val="center" w:pos="284"/>
              </w:tabs>
              <w:ind w:left="266" w:hanging="266"/>
              <w:rPr>
                <w:b/>
              </w:rPr>
            </w:pPr>
          </w:p>
        </w:tc>
        <w:tc>
          <w:tcPr>
            <w:tcW w:w="5670"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814A54">
      <w:pPr>
        <w:keepNext/>
        <w:keepLines/>
        <w:tabs>
          <w:tab w:val="center" w:pos="284"/>
        </w:tabs>
        <w:ind w:left="266" w:hanging="266"/>
        <w:rPr>
          <w:b/>
        </w:rPr>
      </w:pPr>
      <w:r>
        <w:rPr>
          <w:b/>
        </w:rPr>
        <w:t>Pontos principais</w:t>
      </w:r>
    </w:p>
    <w:p w14:paraId="0388059A" w14:textId="77777777" w:rsidR="00814A54" w:rsidRPr="00814A54" w:rsidRDefault="00814A54" w:rsidP="00814A54">
      <w:pPr>
        <w:keepNext/>
        <w:keepLines/>
        <w:tabs>
          <w:tab w:val="center" w:pos="284"/>
        </w:tabs>
        <w:ind w:left="266" w:hanging="266"/>
        <w:rPr>
          <w:b/>
        </w:rPr>
      </w:pPr>
    </w:p>
    <w:p w14:paraId="144BA9E2" w14:textId="77777777" w:rsidR="00814A54" w:rsidRPr="00814A54" w:rsidRDefault="00814A54" w:rsidP="00814A54">
      <w:pPr>
        <w:keepNext/>
        <w:keepLines/>
        <w:tabs>
          <w:tab w:val="center" w:pos="284"/>
        </w:tabs>
        <w:ind w:left="266" w:hanging="266"/>
        <w:rPr>
          <w:bCs/>
        </w:rPr>
      </w:pPr>
      <w:r>
        <w:t>O Comité Económico e Social Europeu:</w:t>
      </w:r>
    </w:p>
    <w:p w14:paraId="35C0FAC6" w14:textId="77777777" w:rsidR="00814A54" w:rsidRPr="00814A54" w:rsidRDefault="00814A54" w:rsidP="00814A54">
      <w:pPr>
        <w:keepNext/>
        <w:keepLines/>
        <w:tabs>
          <w:tab w:val="center" w:pos="284"/>
        </w:tabs>
        <w:ind w:left="266" w:hanging="266"/>
        <w:rPr>
          <w:bCs/>
        </w:rPr>
      </w:pPr>
    </w:p>
    <w:p w14:paraId="47615632" w14:textId="77777777" w:rsidR="00814A54" w:rsidRPr="00814A54" w:rsidRDefault="00814A54" w:rsidP="004C6742">
      <w:pPr>
        <w:numPr>
          <w:ilvl w:val="1"/>
          <w:numId w:val="65"/>
        </w:numPr>
        <w:outlineLvl w:val="1"/>
        <w:rPr>
          <w:b/>
          <w:bCs/>
          <w:color w:val="111111"/>
        </w:rPr>
      </w:pPr>
      <w:bookmarkStart w:id="45" w:name="_Toc228805457"/>
      <w:r>
        <w:t>apoia os esforços no sentido de melhorar a celeridade, a reatividade e a capacidade de inovação da base tecnológica e industrial de defesa europeia (BTIDE), dada a natureza evolutiva do ambiente de segurança, pelo que se congratula com o Programa para a Inovação Ágil e Rápida no domínio da Defesa (Programa AGILE) proposto pela Comissão;</w:t>
      </w:r>
      <w:bookmarkEnd w:id="45"/>
    </w:p>
    <w:p w14:paraId="7C3494F3" w14:textId="77777777" w:rsidR="00814A54" w:rsidRPr="00814A54" w:rsidRDefault="00814A54" w:rsidP="004C6742">
      <w:pPr>
        <w:numPr>
          <w:ilvl w:val="1"/>
          <w:numId w:val="65"/>
        </w:numPr>
        <w:outlineLvl w:val="1"/>
      </w:pPr>
      <w:bookmarkStart w:id="46" w:name="_Toc228805458"/>
      <w:r>
        <w:t>congratula-se com o Programa AGILE enquanto plataforma para as pequenas e médias empresas (PME), as empresas em fase de arranque, as empresas de tecnologia civil e os empreendedores apresentarem soluções rápidas e de alta qualidade para a prontidão da defesa na UE; salienta o papel importante que os novos intervenientes no setor da defesa desempenham na transformação da indústria de defesa da UE;</w:t>
      </w:r>
      <w:bookmarkEnd w:id="46"/>
      <w:r>
        <w:t xml:space="preserve"> </w:t>
      </w:r>
    </w:p>
    <w:p w14:paraId="084337D9" w14:textId="77777777" w:rsidR="00814A54" w:rsidRPr="00814A54" w:rsidRDefault="00814A54" w:rsidP="004C6742">
      <w:pPr>
        <w:numPr>
          <w:ilvl w:val="1"/>
          <w:numId w:val="65"/>
        </w:numPr>
        <w:outlineLvl w:val="1"/>
      </w:pPr>
      <w:bookmarkStart w:id="47" w:name="_Toc228805459"/>
      <w:r>
        <w:t>sublinha que a aceleração não deve ser feita em detrimento da transparência, da responsabilização e do controlo democrático, que continuam a ser essenciais para a legitimidade e a eficácia da ação da UE;</w:t>
      </w:r>
      <w:bookmarkEnd w:id="47"/>
    </w:p>
    <w:p w14:paraId="15C24631" w14:textId="77777777" w:rsidR="00814A54" w:rsidRPr="00814A54" w:rsidRDefault="00814A54" w:rsidP="004C6742">
      <w:pPr>
        <w:numPr>
          <w:ilvl w:val="1"/>
          <w:numId w:val="65"/>
        </w:numPr>
        <w:outlineLvl w:val="1"/>
      </w:pPr>
      <w:bookmarkStart w:id="48" w:name="_Toc228805460"/>
      <w:r>
        <w:t>solicita que os fundos no âmbito do Programa AGILE complementem os fundos existentes nos atuais programas de defesa da UE; recomenda um aumento considerável do orçamento deste instrumento no próximo período de programação do Quadro Financeiro Plurianual, com base nos resultados da avaliação do programa-piloto;</w:t>
      </w:r>
      <w:bookmarkEnd w:id="48"/>
      <w:r>
        <w:t xml:space="preserve"> </w:t>
      </w:r>
    </w:p>
    <w:p w14:paraId="590B8EC8" w14:textId="77777777" w:rsidR="00814A54" w:rsidRPr="00814A54" w:rsidRDefault="00814A54" w:rsidP="004C6742">
      <w:pPr>
        <w:numPr>
          <w:ilvl w:val="1"/>
          <w:numId w:val="65"/>
        </w:numPr>
        <w:outlineLvl w:val="1"/>
      </w:pPr>
      <w:bookmarkStart w:id="49" w:name="_Toc228805461"/>
      <w:r>
        <w:t>recomenda que se incluam disposições para assegurar que os processos de sensibilização, seleção e avaliação dos projetos no âmbito do Programa AGILE associem proativamente as PME, as empresas em fase de arranque e as empresas individuais inovadoras de todos os Estados-Membros e setores, com vista a reforçar o equilíbrio geográfico e a inclusividade na União;</w:t>
      </w:r>
      <w:bookmarkEnd w:id="49"/>
    </w:p>
    <w:p w14:paraId="2B71655A" w14:textId="77777777" w:rsidR="00814A54" w:rsidRPr="00814A54" w:rsidRDefault="00814A54" w:rsidP="004C6742">
      <w:pPr>
        <w:numPr>
          <w:ilvl w:val="1"/>
          <w:numId w:val="65"/>
        </w:numPr>
        <w:outlineLvl w:val="1"/>
      </w:pPr>
      <w:bookmarkStart w:id="50" w:name="_Toc228805462"/>
      <w:r>
        <w:t>recomenda que se adotem medidas exequíveis e robustas para assegurar o cumprimento efetivo do artigo 9.º, n.º 5, referente à elegibilidade. A fim de salvaguardar a autonomia estratégica e os interesses de segurança da União, este artigo deve especificar claramente os critérios de exclusão e torná-los mais rigorosos;</w:t>
      </w:r>
      <w:bookmarkEnd w:id="50"/>
    </w:p>
    <w:p w14:paraId="3849E73E" w14:textId="77777777" w:rsidR="00814A54" w:rsidRPr="00814A54" w:rsidRDefault="00814A54" w:rsidP="004C6742">
      <w:pPr>
        <w:numPr>
          <w:ilvl w:val="1"/>
          <w:numId w:val="65"/>
        </w:numPr>
        <w:outlineLvl w:val="1"/>
      </w:pPr>
      <w:bookmarkStart w:id="51" w:name="_Toc228805463"/>
      <w:r>
        <w:t>recomenda que os projetos no âmbito do Programa AGILE se norteiem com firmeza por requisitos claramente identificados em matéria de capacidades de defesa e estreitamente alinhados pelas necessidades dos utilizadores finais; realça que esses projetos devem ter acesso a ambientes de ensaio em condições reais, incluindo exercícios militares e locais de teste, a fim de validar soluções em condições operacionais e acelerar a sua adoção;</w:t>
      </w:r>
      <w:bookmarkEnd w:id="51"/>
    </w:p>
    <w:p w14:paraId="0638FC2F" w14:textId="77777777" w:rsidR="00814A54" w:rsidRPr="00814A54" w:rsidRDefault="00814A54" w:rsidP="004C6742">
      <w:pPr>
        <w:numPr>
          <w:ilvl w:val="1"/>
          <w:numId w:val="65"/>
        </w:numPr>
        <w:outlineLvl w:val="1"/>
      </w:pPr>
      <w:bookmarkStart w:id="52" w:name="_Toc228805464"/>
      <w:r>
        <w:lastRenderedPageBreak/>
        <w:t>recomenda que se integre explicitamente o respeito da legislação laboral, social e ambiental da UE na aplicação do Programa AGILE; sublinha que a participação no Programa AGILE deve estar subordinada a compromissos em matéria de desenvolvimento de competências, emprego de qualidade e pleno respeito dos direitos dos trabalhadores, em consonância com o modelo social europeu.</w:t>
      </w:r>
      <w:bookmarkEnd w:id="52"/>
      <w:r>
        <w:t xml:space="preserve"> </w:t>
      </w:r>
    </w:p>
    <w:p w14:paraId="532F5590" w14:textId="77777777" w:rsidR="00814A54" w:rsidRPr="00814A54"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670"/>
      </w:tblGrid>
      <w:tr w:rsidR="00814A54" w:rsidRPr="00814A54" w14:paraId="5B60E629" w14:textId="77777777" w:rsidTr="00017C59">
        <w:tc>
          <w:tcPr>
            <w:tcW w:w="2093" w:type="dxa"/>
          </w:tcPr>
          <w:p w14:paraId="59F261E2" w14:textId="77777777" w:rsidR="00814A54" w:rsidRPr="00017C59" w:rsidRDefault="00814A54" w:rsidP="00814A54">
            <w:pPr>
              <w:spacing w:line="240" w:lineRule="auto"/>
              <w:rPr>
                <w:i/>
                <w:sz w:val="22"/>
                <w:szCs w:val="22"/>
              </w:rPr>
            </w:pPr>
            <w:r w:rsidRPr="00017C59">
              <w:rPr>
                <w:b/>
                <w:i/>
                <w:sz w:val="22"/>
                <w:szCs w:val="22"/>
              </w:rPr>
              <w:t>Contacto</w:t>
            </w:r>
          </w:p>
        </w:tc>
        <w:tc>
          <w:tcPr>
            <w:tcW w:w="5670" w:type="dxa"/>
          </w:tcPr>
          <w:p w14:paraId="42A1FC82" w14:textId="7A465A63" w:rsidR="00814A54" w:rsidRPr="00017C59" w:rsidRDefault="00814A54" w:rsidP="00814A54">
            <w:pPr>
              <w:spacing w:line="240" w:lineRule="auto"/>
              <w:rPr>
                <w:bCs/>
                <w:i/>
                <w:sz w:val="22"/>
                <w:szCs w:val="22"/>
              </w:rPr>
            </w:pPr>
            <w:r w:rsidRPr="00017C59">
              <w:rPr>
                <w:i/>
                <w:sz w:val="22"/>
                <w:szCs w:val="22"/>
              </w:rPr>
              <w:t>Ioannis Diamantopoulos</w:t>
            </w:r>
          </w:p>
        </w:tc>
      </w:tr>
      <w:tr w:rsidR="00814A54" w:rsidRPr="00814A54" w14:paraId="7C2F36B8" w14:textId="77777777" w:rsidTr="00017C59">
        <w:tc>
          <w:tcPr>
            <w:tcW w:w="2093" w:type="dxa"/>
          </w:tcPr>
          <w:p w14:paraId="2F6A920E" w14:textId="77777777" w:rsidR="00814A54" w:rsidRPr="00017C59" w:rsidRDefault="00814A54" w:rsidP="00814A54">
            <w:pPr>
              <w:spacing w:line="240" w:lineRule="auto"/>
              <w:rPr>
                <w:i/>
                <w:sz w:val="22"/>
                <w:szCs w:val="22"/>
              </w:rPr>
            </w:pPr>
            <w:r w:rsidRPr="00017C59">
              <w:rPr>
                <w:i/>
                <w:sz w:val="22"/>
                <w:szCs w:val="22"/>
              </w:rPr>
              <w:t>Tel.</w:t>
            </w:r>
          </w:p>
        </w:tc>
        <w:tc>
          <w:tcPr>
            <w:tcW w:w="5670" w:type="dxa"/>
          </w:tcPr>
          <w:p w14:paraId="2671F0CA" w14:textId="77777777" w:rsidR="00814A54" w:rsidRPr="00017C59" w:rsidRDefault="00814A54" w:rsidP="00814A54">
            <w:pPr>
              <w:spacing w:line="240" w:lineRule="auto"/>
              <w:rPr>
                <w:i/>
                <w:sz w:val="22"/>
                <w:szCs w:val="22"/>
              </w:rPr>
            </w:pPr>
            <w:r w:rsidRPr="00017C59">
              <w:rPr>
                <w:i/>
                <w:sz w:val="22"/>
                <w:szCs w:val="22"/>
              </w:rPr>
              <w:t>+32 2 546 91 70</w:t>
            </w:r>
          </w:p>
        </w:tc>
      </w:tr>
      <w:tr w:rsidR="00814A54" w:rsidRPr="00814A54" w14:paraId="7A81BD47" w14:textId="77777777" w:rsidTr="00017C59">
        <w:trPr>
          <w:trHeight w:val="244"/>
        </w:trPr>
        <w:tc>
          <w:tcPr>
            <w:tcW w:w="2093" w:type="dxa"/>
          </w:tcPr>
          <w:p w14:paraId="3A5319AB" w14:textId="77777777" w:rsidR="00814A54" w:rsidRPr="00017C59" w:rsidRDefault="00814A54" w:rsidP="00814A54">
            <w:pPr>
              <w:spacing w:line="240" w:lineRule="auto"/>
              <w:rPr>
                <w:i/>
                <w:sz w:val="22"/>
                <w:szCs w:val="22"/>
              </w:rPr>
            </w:pPr>
            <w:r w:rsidRPr="00017C59">
              <w:rPr>
                <w:i/>
                <w:sz w:val="22"/>
                <w:szCs w:val="22"/>
              </w:rPr>
              <w:t>Endereço eletrónico</w:t>
            </w:r>
          </w:p>
        </w:tc>
        <w:tc>
          <w:tcPr>
            <w:tcW w:w="5670" w:type="dxa"/>
          </w:tcPr>
          <w:p w14:paraId="210C9375" w14:textId="77777777" w:rsidR="00814A54" w:rsidRPr="00017C59" w:rsidRDefault="008D063E" w:rsidP="00814A54">
            <w:pPr>
              <w:spacing w:line="240" w:lineRule="auto"/>
              <w:rPr>
                <w:i/>
                <w:sz w:val="22"/>
                <w:szCs w:val="22"/>
              </w:rPr>
            </w:pPr>
            <w:hyperlink r:id="rId67" w:history="1">
              <w:r w:rsidR="00A912EA" w:rsidRPr="00017C59">
                <w:rPr>
                  <w:i/>
                  <w:color w:val="0000FF"/>
                  <w:sz w:val="22"/>
                  <w:szCs w:val="22"/>
                  <w:u w:val="single"/>
                </w:rPr>
                <w:t>Ioannis.Diamantopoulos@eesc.europa.eu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D40A83">
      <w:footerReference w:type="even" r:id="rId68"/>
      <w:footerReference w:type="default" r:id="rId69"/>
      <w:footerReference w:type="first" r:id="rId7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r w:rsidR="008D063E">
      <w:fldChar w:fldCharType="begin"/>
    </w:r>
    <w:r w:rsidR="008D063E">
      <w:instrText xml:space="preserve"> NUMPAGES </w:instrText>
    </w:r>
    <w:r w:rsidR="008D063E">
      <w:fldChar w:fldCharType="separate"/>
    </w:r>
    <w:r w:rsidR="0004480F">
      <w:t>1</w:t>
    </w:r>
    <w:r w:rsidR="008D06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2857" w14:textId="77777777" w:rsidR="00A067F3" w:rsidRDefault="00A067F3" w:rsidP="00A06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r w:rsidR="008D063E">
      <w:fldChar w:fldCharType="begin"/>
    </w:r>
    <w:r w:rsidR="008D063E">
      <w:instrText xml:space="preserve"> NUMPAGES </w:instrText>
    </w:r>
    <w:r w:rsidR="008D063E">
      <w:fldChar w:fldCharType="separate"/>
    </w:r>
    <w:r>
      <w:t>33</w:t>
    </w:r>
    <w:r w:rsidR="008D063E">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7B651DAB" w14:textId="77777777" w:rsidR="00944198" w:rsidRPr="00BD72B3" w:rsidRDefault="00944198" w:rsidP="00944198">
      <w:pPr>
        <w:pStyle w:val="FootnoteText"/>
      </w:pPr>
      <w:r>
        <w:rPr>
          <w:rStyle w:val="FootnoteReference"/>
        </w:rPr>
        <w:footnoteRef/>
      </w:r>
      <w:r>
        <w:tab/>
        <w:t xml:space="preserve">JO C, C/2024/6880, 28.11.2024, ELI: </w:t>
      </w:r>
      <w:hyperlink r:id="rId1" w:history="1">
        <w:r>
          <w:rPr>
            <w:rStyle w:val="Hyperlink"/>
          </w:rPr>
          <w:t>http://data.europa.eu/eli/C/2024/6880/oj</w:t>
        </w:r>
      </w:hyperlink>
      <w:r>
        <w:t>.</w:t>
      </w:r>
    </w:p>
  </w:footnote>
  <w:footnote w:id="2">
    <w:p w14:paraId="6A5DF5FB" w14:textId="77777777" w:rsidR="002B30F4" w:rsidRDefault="002B30F4" w:rsidP="002B30F4">
      <w:pPr>
        <w:pStyle w:val="FootnoteText"/>
      </w:pPr>
      <w:r>
        <w:rPr>
          <w:rStyle w:val="FootnoteReference"/>
        </w:rPr>
        <w:footnoteRef/>
      </w:r>
      <w:r>
        <w:tab/>
        <w:t xml:space="preserve">Parecer do CESE – </w:t>
      </w:r>
      <w:hyperlink r:id="rId2" w:history="1">
        <w:hyperlink r:id="rId3" w:history="1"/>
        <w:r>
          <w:rPr>
            <w:rStyle w:val="Hyperlink"/>
            <w:i/>
          </w:rPr>
          <w:t>Equivalência das inspeções – Culturas produtoras de sementes no Brasil e na Moldávia (alteração)</w:t>
        </w:r>
      </w:hyperlink>
      <w:r>
        <w:rPr>
          <w:i/>
        </w:rPr>
        <w:t xml:space="preserve"> </w:t>
      </w:r>
      <w:r>
        <w:t xml:space="preserve">, </w:t>
      </w:r>
      <w:hyperlink r:id="rId4" w:history="1">
        <w:r>
          <w:rPr>
            <w:rStyle w:val="Hyperlink"/>
          </w:rPr>
          <w:t>JO C 227 de 28.6.2018, p. 76.</w:t>
        </w:r>
      </w:hyperlink>
    </w:p>
  </w:footnote>
  <w:footnote w:id="3">
    <w:p w14:paraId="31B28570" w14:textId="0A8711BB" w:rsidR="002B30F4" w:rsidRDefault="002B30F4" w:rsidP="002B30F4">
      <w:pPr>
        <w:pStyle w:val="FootnoteText"/>
      </w:pPr>
      <w:r>
        <w:rPr>
          <w:rStyle w:val="FootnoteReference"/>
        </w:rPr>
        <w:footnoteRef/>
      </w:r>
      <w:r>
        <w:t xml:space="preserve"> </w:t>
      </w:r>
      <w:r>
        <w:tab/>
        <w:t xml:space="preserve">Parecer do CESE – </w:t>
      </w:r>
      <w:hyperlink r:id="rId5" w:history="1">
        <w:r>
          <w:rPr>
            <w:rStyle w:val="Hyperlink"/>
            <w:i/>
          </w:rPr>
          <w:t xml:space="preserve">Equivalência de sementes – Ucrânia, </w:t>
        </w:r>
      </w:hyperlink>
      <w:r>
        <w:rPr>
          <w:i/>
        </w:rPr>
        <w:t>,</w:t>
      </w:r>
      <w:hyperlink r:id="rId6" w:history="1">
        <w:r>
          <w:rPr>
            <w:rStyle w:val="Hyperlink"/>
          </w:rPr>
          <w:t>JO C 429 de 11.12.2020, p. 276.</w:t>
        </w:r>
      </w:hyperlink>
    </w:p>
  </w:footnote>
  <w:footnote w:id="4">
    <w:p w14:paraId="704BA872" w14:textId="77777777" w:rsidR="008548EA" w:rsidRDefault="008548EA" w:rsidP="008548EA">
      <w:pPr>
        <w:pStyle w:val="FootnoteText"/>
      </w:pPr>
      <w:r>
        <w:rPr>
          <w:rStyle w:val="FootnoteReference"/>
        </w:rPr>
        <w:footnoteRef/>
      </w:r>
      <w:r>
        <w:tab/>
        <w:t xml:space="preserve">Parecer do CESE — </w:t>
      </w:r>
      <w:hyperlink r:id="rId7">
        <w:r>
          <w:rPr>
            <w:rStyle w:val="Hyperlink"/>
            <w:i/>
          </w:rPr>
          <w:t>Revisão do Sistema de Comércio de Licenças de Emissão da UE (CELE), incluindo o transporte marítimo e a reserva de estabilização do mercado</w:t>
        </w:r>
      </w:hyperlink>
      <w:r>
        <w:t xml:space="preserve">, </w:t>
      </w:r>
      <w:hyperlink r:id="rId8">
        <w:r>
          <w:rPr>
            <w:rStyle w:val="Hyperlink"/>
          </w:rPr>
          <w:t>JO C 152 de 6.4.2022, p. 175.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61"/>
  </w:num>
  <w:num w:numId="3">
    <w:abstractNumId w:val="68"/>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62"/>
  </w:num>
  <w:num w:numId="6">
    <w:abstractNumId w:val="69"/>
  </w:num>
  <w:num w:numId="7">
    <w:abstractNumId w:val="25"/>
  </w:num>
  <w:num w:numId="8">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abstractNumId w:val="56"/>
  </w:num>
  <w:num w:numId="10">
    <w:abstractNumId w:val="46"/>
  </w:num>
  <w:num w:numId="11">
    <w:abstractNumId w:val="58"/>
  </w:num>
  <w:num w:numId="12">
    <w:abstractNumId w:val="47"/>
  </w:num>
  <w:num w:numId="13">
    <w:abstractNumId w:val="60"/>
  </w:num>
  <w:num w:numId="14">
    <w:abstractNumId w:val="54"/>
  </w:num>
  <w:num w:numId="15">
    <w:abstractNumId w:val="10"/>
  </w:num>
  <w:num w:numId="16">
    <w:abstractNumId w:val="53"/>
  </w:num>
  <w:num w:numId="17">
    <w:abstractNumId w:val="32"/>
  </w:num>
  <w:num w:numId="18">
    <w:abstractNumId w:val="23"/>
  </w:num>
  <w:num w:numId="19">
    <w:abstractNumId w:val="8"/>
  </w:num>
  <w:num w:numId="20">
    <w:abstractNumId w:val="71"/>
  </w:num>
  <w:num w:numId="21">
    <w:abstractNumId w:val="51"/>
  </w:num>
  <w:num w:numId="22">
    <w:abstractNumId w:val="3"/>
  </w:num>
  <w:num w:numId="23">
    <w:abstractNumId w:val="39"/>
  </w:num>
  <w:num w:numId="24">
    <w:abstractNumId w:val="40"/>
  </w:num>
  <w:num w:numId="25">
    <w:abstractNumId w:val="55"/>
  </w:num>
  <w:num w:numId="26">
    <w:abstractNumId w:val="14"/>
  </w:num>
  <w:num w:numId="27">
    <w:abstractNumId w:val="11"/>
  </w:num>
  <w:num w:numId="28">
    <w:abstractNumId w:val="37"/>
  </w:num>
  <w:num w:numId="29">
    <w:abstractNumId w:val="38"/>
  </w:num>
  <w:num w:numId="30">
    <w:abstractNumId w:val="31"/>
  </w:num>
  <w:num w:numId="31">
    <w:abstractNumId w:val="45"/>
  </w:num>
  <w:num w:numId="32">
    <w:abstractNumId w:val="7"/>
  </w:num>
  <w:num w:numId="33">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abstractNumId w:val="19"/>
  </w:num>
  <w:num w:numId="35">
    <w:abstractNumId w:val="65"/>
  </w:num>
  <w:num w:numId="36">
    <w:abstractNumId w:val="43"/>
  </w:num>
  <w:num w:numId="37">
    <w:abstractNumId w:val="33"/>
  </w:num>
  <w:num w:numId="38">
    <w:abstractNumId w:val="36"/>
  </w:num>
  <w:num w:numId="39">
    <w:abstractNumId w:val="63"/>
  </w:num>
  <w:num w:numId="40">
    <w:abstractNumId w:val="6"/>
  </w:num>
  <w:num w:numId="41">
    <w:abstractNumId w:val="48"/>
  </w:num>
  <w:num w:numId="42">
    <w:abstractNumId w:val="67"/>
  </w:num>
  <w:num w:numId="43">
    <w:abstractNumId w:val="13"/>
  </w:num>
  <w:num w:numId="44">
    <w:abstractNumId w:val="18"/>
  </w:num>
  <w:num w:numId="45">
    <w:abstractNumId w:val="4"/>
  </w:num>
  <w:num w:numId="46">
    <w:abstractNumId w:val="64"/>
  </w:num>
  <w:num w:numId="47">
    <w:abstractNumId w:val="41"/>
  </w:num>
  <w:num w:numId="48">
    <w:abstractNumId w:val="12"/>
  </w:num>
  <w:num w:numId="49">
    <w:abstractNumId w:val="57"/>
  </w:num>
  <w:num w:numId="50">
    <w:abstractNumId w:val="26"/>
  </w:num>
  <w:num w:numId="51">
    <w:abstractNumId w:val="66"/>
  </w:num>
  <w:num w:numId="52">
    <w:abstractNumId w:val="50"/>
  </w:num>
  <w:num w:numId="53">
    <w:abstractNumId w:val="22"/>
  </w:num>
  <w:num w:numId="54">
    <w:abstractNumId w:val="5"/>
  </w:num>
  <w:num w:numId="55">
    <w:abstractNumId w:val="52"/>
  </w:num>
  <w:num w:numId="56">
    <w:abstractNumId w:val="9"/>
  </w:num>
  <w:num w:numId="57">
    <w:abstractNumId w:val="30"/>
  </w:num>
  <w:num w:numId="58">
    <w:abstractNumId w:val="44"/>
  </w:num>
  <w:num w:numId="59">
    <w:abstractNumId w:val="28"/>
  </w:num>
  <w:num w:numId="60">
    <w:abstractNumId w:val="27"/>
  </w:num>
  <w:num w:numId="61">
    <w:abstractNumId w:val="20"/>
  </w:num>
  <w:num w:numId="62">
    <w:abstractNumId w:val="49"/>
  </w:num>
  <w:num w:numId="63">
    <w:abstractNumId w:val="29"/>
  </w:num>
  <w:num w:numId="64">
    <w:abstractNumId w:val="21"/>
  </w:num>
  <w:num w:numId="65">
    <w:abstractNumId w:val="35"/>
  </w:num>
  <w:num w:numId="6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abstractNumId w:val="24"/>
  </w:num>
  <w:num w:numId="6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abstractNumId w:val="17"/>
  </w:num>
  <w:num w:numId="70">
    <w:abstractNumId w:val="34"/>
  </w:num>
  <w:num w:numId="71">
    <w:abstractNumId w:val="2"/>
  </w:num>
  <w:num w:numId="72">
    <w:abstractNumId w:val="16"/>
  </w:num>
  <w:num w:numId="73">
    <w:abstractNumId w:val="59"/>
  </w:num>
  <w:num w:numId="74">
    <w:abstractNumId w:val="72"/>
  </w:num>
  <w:num w:numId="75">
    <w:abstractNumId w:val="42"/>
  </w:num>
  <w:num w:numId="76">
    <w:abstractNumId w:val="15"/>
  </w:num>
  <w:num w:numId="77">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17C59"/>
    <w:rsid w:val="00023DB5"/>
    <w:rsid w:val="00032C87"/>
    <w:rsid w:val="00037101"/>
    <w:rsid w:val="00043BEF"/>
    <w:rsid w:val="0004480F"/>
    <w:rsid w:val="000501F7"/>
    <w:rsid w:val="00050D04"/>
    <w:rsid w:val="000517F6"/>
    <w:rsid w:val="0006268B"/>
    <w:rsid w:val="00063DFF"/>
    <w:rsid w:val="00070ED2"/>
    <w:rsid w:val="00092ACC"/>
    <w:rsid w:val="00096B93"/>
    <w:rsid w:val="000A2AF0"/>
    <w:rsid w:val="000A2B8D"/>
    <w:rsid w:val="000C5A16"/>
    <w:rsid w:val="000D394D"/>
    <w:rsid w:val="000F4673"/>
    <w:rsid w:val="001110F2"/>
    <w:rsid w:val="00121D18"/>
    <w:rsid w:val="00125D6F"/>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52A9"/>
    <w:rsid w:val="002079FC"/>
    <w:rsid w:val="00212AD9"/>
    <w:rsid w:val="00224B1B"/>
    <w:rsid w:val="00227AA1"/>
    <w:rsid w:val="00235BA4"/>
    <w:rsid w:val="00235CEA"/>
    <w:rsid w:val="0024677E"/>
    <w:rsid w:val="00251ADD"/>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5363"/>
    <w:rsid w:val="004F74E4"/>
    <w:rsid w:val="00506669"/>
    <w:rsid w:val="00512479"/>
    <w:rsid w:val="00516EEE"/>
    <w:rsid w:val="00517E07"/>
    <w:rsid w:val="00532089"/>
    <w:rsid w:val="00535A65"/>
    <w:rsid w:val="00537B03"/>
    <w:rsid w:val="005478EC"/>
    <w:rsid w:val="00553BE0"/>
    <w:rsid w:val="0055505B"/>
    <w:rsid w:val="00556299"/>
    <w:rsid w:val="00563D40"/>
    <w:rsid w:val="00567A6B"/>
    <w:rsid w:val="005844C5"/>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0499"/>
    <w:rsid w:val="00641262"/>
    <w:rsid w:val="0064411A"/>
    <w:rsid w:val="00650BED"/>
    <w:rsid w:val="00651838"/>
    <w:rsid w:val="00665940"/>
    <w:rsid w:val="0066696D"/>
    <w:rsid w:val="006717BA"/>
    <w:rsid w:val="006765AF"/>
    <w:rsid w:val="0069052D"/>
    <w:rsid w:val="00690DC9"/>
    <w:rsid w:val="0069265D"/>
    <w:rsid w:val="006A69F4"/>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063E"/>
    <w:rsid w:val="008D2468"/>
    <w:rsid w:val="008D4F95"/>
    <w:rsid w:val="008E331E"/>
    <w:rsid w:val="008F062E"/>
    <w:rsid w:val="008F51E1"/>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12EA"/>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7ABD"/>
    <w:rsid w:val="00C25029"/>
    <w:rsid w:val="00C26C67"/>
    <w:rsid w:val="00C3123A"/>
    <w:rsid w:val="00C31776"/>
    <w:rsid w:val="00C32E41"/>
    <w:rsid w:val="00C37CA1"/>
    <w:rsid w:val="00C418F1"/>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B70DA"/>
    <w:rsid w:val="00CC7257"/>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29FA"/>
    <w:rsid w:val="00E77899"/>
    <w:rsid w:val="00E810F8"/>
    <w:rsid w:val="00E85346"/>
    <w:rsid w:val="00E8783B"/>
    <w:rsid w:val="00E92C8E"/>
    <w:rsid w:val="00EB0AFC"/>
    <w:rsid w:val="00EC4D43"/>
    <w:rsid w:val="00ED1C2B"/>
    <w:rsid w:val="00ED374C"/>
    <w:rsid w:val="00ED4376"/>
    <w:rsid w:val="00EE6B95"/>
    <w:rsid w:val="00EE6C3C"/>
    <w:rsid w:val="00EF7725"/>
    <w:rsid w:val="00F10208"/>
    <w:rsid w:val="00F1424E"/>
    <w:rsid w:val="00F146AD"/>
    <w:rsid w:val="00F1581A"/>
    <w:rsid w:val="00F166E7"/>
    <w:rsid w:val="00F170AA"/>
    <w:rsid w:val="00F2612C"/>
    <w:rsid w:val="00F32F97"/>
    <w:rsid w:val="00F3633D"/>
    <w:rsid w:val="00F3654D"/>
    <w:rsid w:val="00F37962"/>
    <w:rsid w:val="00F41F1D"/>
    <w:rsid w:val="00F5080F"/>
    <w:rsid w:val="00F55F11"/>
    <w:rsid w:val="00F76EE7"/>
    <w:rsid w:val="00F80BEB"/>
    <w:rsid w:val="00F83C17"/>
    <w:rsid w:val="00F96D7F"/>
    <w:rsid w:val="00FA1401"/>
    <w:rsid w:val="00FA15B5"/>
    <w:rsid w:val="00FB1E95"/>
    <w:rsid w:val="00FC01B9"/>
    <w:rsid w:val="00FC1C8F"/>
    <w:rsid w:val="00FC456F"/>
    <w:rsid w:val="00FC7343"/>
    <w:rsid w:val="00FD5585"/>
    <w:rsid w:val="00FD6A81"/>
    <w:rsid w:val="00FE552E"/>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pt/our-work/opinions-information-reports/plenary-session-summaries" TargetMode="External"/><Relationship Id="rId18" Type="http://schemas.openxmlformats.org/officeDocument/2006/relationships/hyperlink" Target="https://www.eesc.europa.eu/pt/our-work/opinions-information-reports/opinions/supplementary-pensions-package-pepp-and-iorp" TargetMode="External"/><Relationship Id="rId26" Type="http://schemas.openxmlformats.org/officeDocument/2006/relationships/hyperlink" Target="https://www.eesc.europa.eu/pt/our-work/opinions-information-reports/opinions/eu-drugs-strategy" TargetMode="External"/><Relationship Id="rId39" Type="http://schemas.openxmlformats.org/officeDocument/2006/relationships/hyperlink" Target="mailto:Silvia.Staffa@eesc.europa.eu" TargetMode="External"/><Relationship Id="rId21" Type="http://schemas.openxmlformats.org/officeDocument/2006/relationships/hyperlink" Target="mailto:Bartek.Bednarowicz@eesc.europa.eu" TargetMode="External"/><Relationship Id="rId34" Type="http://schemas.openxmlformats.org/officeDocument/2006/relationships/hyperlink" Target="https://www.eesc.europa.eu/pt/our-work/opinions-information-reports/information-reports/evaluation-regulation-eu-20191020-market-surveillance-and-compliance-products" TargetMode="External"/><Relationship Id="rId42" Type="http://schemas.openxmlformats.org/officeDocument/2006/relationships/hyperlink" Target="https://www.eesc.europa.eu/pt/our-work/opinions-information-reports/opinions/new-rules-drug-precursors" TargetMode="External"/><Relationship Id="rId47" Type="http://schemas.openxmlformats.org/officeDocument/2006/relationships/hyperlink" Target="mailto:Silvia.Staffa@eesc.europa.eu" TargetMode="External"/><Relationship Id="rId50" Type="http://schemas.openxmlformats.org/officeDocument/2006/relationships/hyperlink" Target="https://www.eesc.europa.eu/pt/our-work/opinions-information-reports/opinions/eu-startups-and-scale-strategy-focus-european-innovation-act" TargetMode="External"/><Relationship Id="rId55" Type="http://schemas.openxmlformats.org/officeDocument/2006/relationships/hyperlink" Target="mailto:Anna.Cameron@eesc.europa.eu" TargetMode="External"/><Relationship Id="rId63" Type="http://schemas.openxmlformats.org/officeDocument/2006/relationships/hyperlink" Target="mailto:David.Hoic@eesc.europa.eu"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sc.europa.eu/pt/our-work/opinions-information-reports/opinions/eu-policy-agenda-liveable-cities" TargetMode="External"/><Relationship Id="rId29" Type="http://schemas.openxmlformats.org/officeDocument/2006/relationships/hyperlink" Target="mailto:JeanMarie.Rogue@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pt/our-work/opinions-information-reports/opinions/eu-competitiveness-and-youth-entrepreneurship" TargetMode="External"/><Relationship Id="rId32" Type="http://schemas.openxmlformats.org/officeDocument/2006/relationships/hyperlink" Target="https://www.eesc.europa.eu/pt/our-work/opinions-information-reports/opinions/revision-co2-standards-cars-and-vans" TargetMode="External"/><Relationship Id="rId37" Type="http://schemas.openxmlformats.org/officeDocument/2006/relationships/hyperlink" Target="mailto:Radoslava.Stefankova@eesc.europa.eu" TargetMode="External"/><Relationship Id="rId40" Type="http://schemas.openxmlformats.org/officeDocument/2006/relationships/hyperlink" Target="https://www.eesc.europa.eu/pt/our-work/opinions-information-reports/opinions/developing-european-centre-clinical-excellence-pharmaceuticals" TargetMode="External"/><Relationship Id="rId45" Type="http://schemas.openxmlformats.org/officeDocument/2006/relationships/hyperlink" Target="mailto:Silvia.Staffa@eesc.europa.eu" TargetMode="External"/><Relationship Id="rId53" Type="http://schemas.openxmlformats.org/officeDocument/2006/relationships/hyperlink" Target="mailto:Caroline.Verhelst@eesc.europa.eu" TargetMode="External"/><Relationship Id="rId58" Type="http://schemas.openxmlformats.org/officeDocument/2006/relationships/hyperlink" Target="https://www.eesc.europa.eu/pt/our-work/opinions-information-reports/opinions/equivalence-field-inspections-carried-out-third-countries-seed-producing-crops-and-equivalence-seed-produced-third" TargetMode="External"/><Relationship Id="rId66" Type="http://schemas.openxmlformats.org/officeDocument/2006/relationships/hyperlink" Target="https://www.eesc.europa.eu/pt/our-work/opinions-information-reports/opinions/programme-agile-and-rapid-defence-innovation-agil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rewritten://8da35b6f-64c2-4d79-b754-e2ec3a611b38" TargetMode="External"/><Relationship Id="rId28" Type="http://schemas.openxmlformats.org/officeDocument/2006/relationships/hyperlink" Target="https://www.eesc.europa.eu/pt/our-work/opinions-information-reports/opinions/culture-compass-europe" TargetMode="External"/><Relationship Id="rId36" Type="http://schemas.openxmlformats.org/officeDocument/2006/relationships/hyperlink" Target="https://www.eesc.europa.eu/pt/our-work/opinions-information-reports/opinions/2030-consumer-agenda" TargetMode="External"/><Relationship Id="rId49" Type="http://schemas.openxmlformats.org/officeDocument/2006/relationships/hyperlink" Target="mailto:Annalisa.Tessarolo@eesc.europa.eu" TargetMode="External"/><Relationship Id="rId57" Type="http://schemas.openxmlformats.org/officeDocument/2006/relationships/hyperlink" Target="mailto:Martine.Delanoy@eesc.europa.eu" TargetMode="External"/><Relationship Id="rId61" Type="http://schemas.openxmlformats.org/officeDocument/2006/relationships/hyperlink" Target="mailto:Gaizka.Maloelcoro-iribe@eesc.europa.eu" TargetMode="External"/><Relationship Id="rId10" Type="http://schemas.openxmlformats.org/officeDocument/2006/relationships/footnotes" Target="footnotes.xml"/><Relationship Id="rId19" Type="http://schemas.openxmlformats.org/officeDocument/2006/relationships/hyperlink" Target="mailto:Sergio.LorencioMatallana@eesc.europa.eu" TargetMode="External"/><Relationship Id="rId31" Type="http://schemas.openxmlformats.org/officeDocument/2006/relationships/hyperlink" Target="mailto:Silvia.Staffa@eesc.europa.eu" TargetMode="External"/><Relationship Id="rId44" Type="http://schemas.openxmlformats.org/officeDocument/2006/relationships/hyperlink" Target="https://www.eesc.europa.eu/pt/our-work/opinions-information-reports/opinions/proposal-regulation-targeted-revision-eu-rules-medical-devices-and-vitro-diagnostics" TargetMode="External"/><Relationship Id="rId52" Type="http://schemas.openxmlformats.org/officeDocument/2006/relationships/hyperlink" Target="https://www.eesc.europa.eu/pt/our-work/opinions-information-reports/opinions/comprehensive-strategy-nature-based-biodegradable-materials-foster-circularity-and-resource-efficiency-strengthen-agri" TargetMode="External"/><Relationship Id="rId60" Type="http://schemas.openxmlformats.org/officeDocument/2006/relationships/hyperlink" Target="https://www.eesc.europa.eu/pt/our-work/opinions-information-reports/opinions/invalidation-allowances-market-stability-reserve" TargetMode="External"/><Relationship Id="rId65" Type="http://schemas.openxmlformats.org/officeDocument/2006/relationships/hyperlink" Target="mailto:Andreas.Berger@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pt/our-work/opinions-information-reports/opinions/union-equality-lgbtiq-equality-strategy-2026-2030" TargetMode="External"/><Relationship Id="rId27" Type="http://schemas.openxmlformats.org/officeDocument/2006/relationships/hyperlink" Target="mailto:Gemma.Amran@eesc.europa.eu" TargetMode="External"/><Relationship Id="rId30" Type="http://schemas.openxmlformats.org/officeDocument/2006/relationships/hyperlink" Target="https://www.eesc.europa.eu/pt/our-work/opinions-information-reports/opinions/over-tourism-short-term-rentals-and-crowding-out-local-populations-finding-right-balance" TargetMode="External"/><Relationship Id="rId35" Type="http://schemas.openxmlformats.org/officeDocument/2006/relationships/hyperlink" Target="mailto:Annalisa.Tessarolo@eesc.europa.eu" TargetMode="External"/><Relationship Id="rId43" Type="http://schemas.openxmlformats.org/officeDocument/2006/relationships/hyperlink" Target="mailto:Radoslava.Stefankova@eesc.europa.eu" TargetMode="External"/><Relationship Id="rId48" Type="http://schemas.openxmlformats.org/officeDocument/2006/relationships/hyperlink" Target="https://www.eesc.europa.eu/pt/our-work/opinions-information-reports/opinions/single-market-tackling-unjustified-territorial-supply-constraints" TargetMode="External"/><Relationship Id="rId56" Type="http://schemas.openxmlformats.org/officeDocument/2006/relationships/hyperlink" Target="https://www.eesc.europa.eu/pt/our-work/opinions-information-reports/opinions/food-and-feed-safety-simplification-omnibus" TargetMode="External"/><Relationship Id="rId64" Type="http://schemas.openxmlformats.org/officeDocument/2006/relationships/hyperlink" Target="https://www.eesc.europa.eu/pt/our-work/opinions-information-reports/opinions/role-private-sector-and-civil-society-strengthening-economic-cooperation-within-pact-mediterranean" TargetMode="External"/><Relationship Id="rId69"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mailto:Jana.Valant@eesc.europa.e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Georgios.Meleas@eesc.europa.eu" TargetMode="External"/><Relationship Id="rId25" Type="http://schemas.openxmlformats.org/officeDocument/2006/relationships/hyperlink" Target="mailto:Bartek.Bednarowicz@eesc.europa.eu" TargetMode="External"/><Relationship Id="rId33" Type="http://schemas.openxmlformats.org/officeDocument/2006/relationships/hyperlink" Target="mailto:Silvia.Staffa@eesc.europa.eu" TargetMode="External"/><Relationship Id="rId38" Type="http://schemas.openxmlformats.org/officeDocument/2006/relationships/hyperlink" Target="https://www.eesc.europa.eu/pt/our-work/opinions-information-reports/opinions/cybersecurity-act-1" TargetMode="External"/><Relationship Id="rId46" Type="http://schemas.openxmlformats.org/officeDocument/2006/relationships/hyperlink" Target="https://www.eesc.europa.eu/pt/our-work/opinions-information-reports/opinions/strategic-standardisation-stronger-single-market" TargetMode="External"/><Relationship Id="rId59" Type="http://schemas.openxmlformats.org/officeDocument/2006/relationships/hyperlink" Target="mailto:Arturo.Iniguez@eesc.europa.eu" TargetMode="External"/><Relationship Id="rId67" Type="http://schemas.openxmlformats.org/officeDocument/2006/relationships/hyperlink" Target="mailto:Ioannis.Diamantopoulos@eesc.europa.eu" TargetMode="External"/><Relationship Id="rId20" Type="http://schemas.openxmlformats.org/officeDocument/2006/relationships/hyperlink" Target="https://www.eesc.europa.eu/pt/our-work/opinions-information-reports/opinions/ban-conversion-practices-european-union" TargetMode="External"/><Relationship Id="rId41" Type="http://schemas.openxmlformats.org/officeDocument/2006/relationships/hyperlink" Target="mailto:Radoslava.stefankova@eesc.europa.eu" TargetMode="External"/><Relationship Id="rId54" Type="http://schemas.openxmlformats.org/officeDocument/2006/relationships/hyperlink" Target="https://www.eesc.europa.eu/pt/our-work/opinions-information-reports/opinions/eu-bioeconomy-strategy-towards-circular-regenerative-and-competitive-bioeconomy" TargetMode="External"/><Relationship Id="rId62" Type="http://schemas.openxmlformats.org/officeDocument/2006/relationships/hyperlink" Target="https://www.eesc.europa.eu/pt/our-work/opinions-information-reports/opinions/civil-societys-role-supporting-reform-under-growth-plans-western-balkans-and-moldova-well-ukraines-reform-path" TargetMode="External"/><Relationship Id="rId70"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T/TXT/?uri=uriserv%3AOJ.C_.2022.152.01.0175.01.POR&amp;toc=OJ%3AC%3A2022%3A152%3ATOC" TargetMode="External"/><Relationship Id="rId3" Type="http://schemas.openxmlformats.org/officeDocument/2006/relationships/hyperlink" Target="https://www.eesc.europa.eu/pt/our-work/opinions-information-reports/opinions/equivalence-inspections-seed-produced-brazil-and-moldova-modification" TargetMode="External"/><Relationship Id="rId7" Type="http://schemas.openxmlformats.org/officeDocument/2006/relationships/hyperlink" Target="https://www.eesc.europa.eu/pt/our-work/opinions-information-reports/opinions/revision-eu-emissions-trading-system-ets-including-maritime-transport-and-market-stability-reserve" TargetMode="External"/><Relationship Id="rId2" Type="http://schemas.openxmlformats.org/officeDocument/2006/relationships/hyperlink" Target="https://www.eesc.europa.eu/pt/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eur-lex.europa.eu/legal-content/PT/TXT/?uri=uriserv%3AOJ.C_.2020.429.01.0276.01.POR&amp;toc=OJ%3AC%3A2020%3A429%3ATOC" TargetMode="External"/><Relationship Id="rId5" Type="http://schemas.openxmlformats.org/officeDocument/2006/relationships/hyperlink" Target="https://www.eesc.europa.eu/pt/our-work/opinions-information-reports/opinions/seed-equivalence-ukraine" TargetMode="External"/><Relationship Id="rId4" Type="http://schemas.openxmlformats.org/officeDocument/2006/relationships/hyperlink" Target="https://eur-lex.europa.eu/legal-content/PT/TXT/?uri=uriserv:OJ.C_.2018.227.01.0076.01.POR&amp;toc=OJ:C:2018:227: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VP3JK3XSEPRV-2087481956-8587</_dlc_DocId>
    <_dlc_DocIdUrl xmlns="7d640e6d-779c-472f-a269-6b546787f1c9">
      <Url>http://dm/eesc/2026/_layouts/15/DocIdRedir.aspx?ID=VP3JK3XSEPRV-2087481956-8587</Url>
      <Description>VP3JK3XSEPRV-2087481956-8587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2026-05-12T12:00:00+00:00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Kupriyanova Edita</DisplayName>
        <AccountId>1410</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2.xml><?xml version="1.0" encoding="utf-8"?>
<ds:datastoreItem xmlns:ds="http://schemas.openxmlformats.org/officeDocument/2006/customXml" ds:itemID="{F9DC3978-1B22-45DB-86C2-927BC37D1BDA}"/>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11196</Words>
  <Characters>60464</Characters>
  <Application>Microsoft Office Word</Application>
  <DocSecurity>0</DocSecurity>
  <Lines>503</Lines>
  <Paragraphs>143</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71517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Síntese dos Pareceres - 605.ª reunião plenária - abril de 2026</dc:title>
  <dc:subject>ADMIN</dc:subject>
  <dc:creator/>
  <cp:keywords>COR-EESC-2022-02583-00-00-ADMIN-TRA-EN</cp:keywords>
  <dc:description>Rapporteur:  - Original language: EN - Date of document: 20/05/2022 - Date of meeting:  - External documents:  - Administrator:  SUCIU Serban</dc:description>
  <cp:lastModifiedBy/>
  <cp:revision>23</cp:revision>
  <dcterms:created xsi:type="dcterms:W3CDTF">2026-05-08T11:50:00Z</dcterms:created>
  <dcterms:modified xsi:type="dcterms:W3CDTF">2026-05-12T15:05:00Z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e18cdcf5-60ce-4ca3-92e9-5c95d7f22626</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45;#SV|c2ed69e7-a339-43d7-8f22-d93680a92aa0;#31;#SL|98a412ae-eb01-49e9-ae3d-585a81724cfc;#13;#IT|0774613c-01ed-4e5d-a25d-11d2388de825;#18;#TCD|cd9d6eb6-3f4f-424a-b2d1-57c9d450eaaf;#11;#DE|f6b31e5a-26fa-4935-b661-318e46daf27e;#9;#TRA|150d2a88-1431-44e6-a8ca-0bb753ab8672;#59;#SPL-CES|32d8cb1f-c9ec-4365-95c7-8385a18618ac;#7;#Final|ea5e6674-7b27-4bac-b091-73adbb394efe;#4;#EN|f2175f21-25d7-44a3-96da-d6a61b075e1b;#19;#Unrestricted|826e22d7-d029-4ec0-a450-0c28ff673572;#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28;#PT|50ccc04a-eadd-42ae-a0cb-acaf45f812ba</vt:lpwstr>
  </property>
  <property fmtid="{D5CDD505-2E9C-101B-9397-08002B2CF9AE}" pid="33" name="AvailableTranslations_0">
    <vt:lpwstr>EN|f2175f21-25d7-44a3-96da-d6a61b075e1b;IT|0774613c-01ed-4e5d-a25d-11d2388de825;SL|98a412ae-eb01-49e9-ae3d-585a81724cfc;DE|f6b31e5a-26fa-4935-b661-318e46daf27e;SV|c2ed69e7-a339-43d7-8f22-d93680a92aa0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