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DD4D" w14:textId="6E79CB3C" w:rsidR="004D7AC0" w:rsidRDefault="008A7292" w:rsidP="001766B2">
      <w:pPr>
        <w:jc w:val="center"/>
      </w:pPr>
      <w:r>
        <w:rPr>
          <w:noProof/>
        </w:rPr>
        <w:drawing>
          <wp:inline distT="0" distB="0" distL="0" distR="0" wp14:anchorId="50B7F67C" wp14:editId="6C5DB532">
            <wp:extent cx="1792605" cy="1239520"/>
            <wp:effectExtent l="0" t="0" r="0" b="0"/>
            <wp:docPr id="259592797" name="Picture 2" title="EESCLogo_PL"/>
            <wp:cNvGraphicFramePr/>
            <a:graphic xmlns:a="http://schemas.openxmlformats.org/drawingml/2006/main">
              <a:graphicData uri="http://schemas.openxmlformats.org/drawingml/2006/picture">
                <pic:pic xmlns:pic="http://schemas.openxmlformats.org/drawingml/2006/picture">
                  <pic:nvPicPr>
                    <pic:cNvPr id="259592797" name="Picture 2" title="EESCLogo_PL"/>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7216" behindDoc="1" locked="0" layoutInCell="0" allowOverlap="1" wp14:anchorId="4982DE48" wp14:editId="5176A4DF">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PL</w:t>
                      </w:r>
                    </w:p>
                  </w:txbxContent>
                </v:textbox>
                <w10:wrap anchorx="page" anchory="page"/>
              </v:shape>
            </w:pict>
          </mc:Fallback>
        </mc:AlternateContent>
      </w:r>
    </w:p>
    <w:p w14:paraId="4982DD4E" w14:textId="77777777" w:rsidR="004D7AC0" w:rsidRDefault="004D7AC0" w:rsidP="001766B2"/>
    <w:p w14:paraId="4982DD4F" w14:textId="1B0C2982" w:rsidR="004D7AC0" w:rsidRDefault="004D7AC0" w:rsidP="001766B2">
      <w:pPr>
        <w:jc w:val="right"/>
      </w:pPr>
      <w:r>
        <w:t>Bruksela, 22 maja 2026 r.</w:t>
      </w:r>
    </w:p>
    <w:p w14:paraId="4982DD50" w14:textId="77777777" w:rsidR="004D7AC0" w:rsidRDefault="004D7AC0" w:rsidP="001766B2"/>
    <w:p w14:paraId="4982DD51" w14:textId="77777777" w:rsidR="004D7AC0" w:rsidRDefault="004D7AC0" w:rsidP="001766B2"/>
    <w:p w14:paraId="4982DD52" w14:textId="77777777" w:rsidR="004D7AC0" w:rsidRDefault="004D7AC0" w:rsidP="001766B2"/>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3CA13160" w:rsidR="003066BE" w:rsidRDefault="003E263E" w:rsidP="001766B2">
            <w:pPr>
              <w:snapToGrid w:val="0"/>
              <w:jc w:val="center"/>
              <w:rPr>
                <w:b/>
                <w:sz w:val="32"/>
                <w:szCs w:val="32"/>
              </w:rPr>
            </w:pPr>
            <w:r>
              <w:rPr>
                <w:b/>
                <w:sz w:val="32"/>
              </w:rPr>
              <w:t>605. SESJA PLENARNA</w:t>
            </w:r>
          </w:p>
          <w:p w14:paraId="4982DD54" w14:textId="77777777" w:rsidR="003066BE" w:rsidRDefault="003066BE" w:rsidP="001766B2">
            <w:pPr>
              <w:snapToGrid w:val="0"/>
              <w:jc w:val="center"/>
              <w:rPr>
                <w:b/>
                <w:sz w:val="32"/>
                <w:szCs w:val="32"/>
              </w:rPr>
            </w:pPr>
          </w:p>
          <w:p w14:paraId="4982DD55" w14:textId="0EEFFEDA" w:rsidR="003066BE" w:rsidRDefault="003E263E" w:rsidP="001766B2">
            <w:pPr>
              <w:snapToGrid w:val="0"/>
              <w:jc w:val="center"/>
              <w:rPr>
                <w:b/>
                <w:sz w:val="32"/>
                <w:szCs w:val="32"/>
              </w:rPr>
            </w:pPr>
            <w:r>
              <w:rPr>
                <w:b/>
                <w:sz w:val="32"/>
              </w:rPr>
              <w:t>29 i 30 kwietnia 2026 r.</w:t>
            </w:r>
          </w:p>
          <w:p w14:paraId="4982DD56" w14:textId="77777777" w:rsidR="003066BE" w:rsidRDefault="003066BE" w:rsidP="001766B2">
            <w:pPr>
              <w:snapToGrid w:val="0"/>
              <w:jc w:val="center"/>
              <w:rPr>
                <w:b/>
                <w:sz w:val="32"/>
                <w:szCs w:val="32"/>
              </w:rPr>
            </w:pPr>
          </w:p>
          <w:p w14:paraId="4982DD57" w14:textId="5A35E792" w:rsidR="004D7AC0" w:rsidRPr="0081153B" w:rsidRDefault="00754027" w:rsidP="001766B2">
            <w:pPr>
              <w:snapToGrid w:val="0"/>
              <w:jc w:val="center"/>
              <w:rPr>
                <w:rFonts w:eastAsia="MS Mincho"/>
                <w:b/>
                <w:sz w:val="32"/>
                <w:szCs w:val="32"/>
              </w:rPr>
            </w:pPr>
            <w:r>
              <w:rPr>
                <w:b/>
                <w:sz w:val="32"/>
              </w:rPr>
              <w:t xml:space="preserve">STRESZCZENIE PRZYJĘTYCH OPINII, REZOLUCJI </w:t>
            </w:r>
            <w:r>
              <w:rPr>
                <w:b/>
                <w:sz w:val="32"/>
              </w:rPr>
              <w:br/>
              <w:t>ORAZ RAPORTÓW INFORMACYJNYCH/</w:t>
            </w:r>
            <w:r>
              <w:rPr>
                <w:b/>
                <w:sz w:val="32"/>
              </w:rPr>
              <w:br/>
              <w:t>RAPORTÓW Z OCENY</w:t>
            </w:r>
          </w:p>
          <w:p w14:paraId="4982DD58" w14:textId="77777777" w:rsidR="004D7AC0" w:rsidRDefault="004D7AC0" w:rsidP="001766B2">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1134C678" w:rsidR="004D7AC0" w:rsidRPr="0081153B" w:rsidRDefault="004D7AC0" w:rsidP="001766B2">
            <w:pPr>
              <w:snapToGrid w:val="0"/>
              <w:jc w:val="center"/>
            </w:pPr>
            <w:r>
              <w:t>Niniejszy dokument jest dostępny w językach urzędowych Unii Europejskiej na stronie internetowej EKES-u pod adresem:</w:t>
            </w:r>
            <w:r>
              <w:br/>
            </w:r>
            <w:r>
              <w:br/>
            </w:r>
            <w:hyperlink r:id="rId13" w:history="1">
              <w:r>
                <w:rPr>
                  <w:rStyle w:val="Hyperlink"/>
                </w:rPr>
                <w:t>https://www.eesc.europa.eu/pl/our-work/opinions-information-reports/plenary-session-summaries</w:t>
              </w:r>
            </w:hyperlink>
          </w:p>
          <w:p w14:paraId="4982DD5B" w14:textId="77777777" w:rsidR="004D7AC0" w:rsidRPr="0081153B" w:rsidRDefault="004D7AC0" w:rsidP="001766B2">
            <w:pPr>
              <w:snapToGrid w:val="0"/>
              <w:jc w:val="center"/>
            </w:pPr>
          </w:p>
          <w:p w14:paraId="4982DD5C" w14:textId="77777777" w:rsidR="004D7AC0" w:rsidRPr="0081153B" w:rsidRDefault="004D7AC0" w:rsidP="001766B2">
            <w:pPr>
              <w:snapToGrid w:val="0"/>
              <w:jc w:val="center"/>
              <w:rPr>
                <w:rFonts w:eastAsia="SimSun"/>
              </w:rPr>
            </w:pPr>
          </w:p>
          <w:p w14:paraId="4982DD5D" w14:textId="37171E57" w:rsidR="004D7AC0" w:rsidRPr="00044561" w:rsidRDefault="004D7AC0" w:rsidP="001766B2">
            <w:pPr>
              <w:snapToGrid w:val="0"/>
              <w:jc w:val="center"/>
            </w:pPr>
            <w:r>
              <w:t>Niżej wymienione opinie można także znaleźć w formie elektronicznej za pomocą internetowej wyszukiwarki EKES-u:</w:t>
            </w:r>
            <w:r>
              <w:br/>
            </w:r>
            <w:r>
              <w:br/>
            </w:r>
            <w:hyperlink r:id="rId14" w:history="1">
              <w:r>
                <w:rPr>
                  <w:rStyle w:val="Hyperlink"/>
                </w:rPr>
                <w:t>https://dmsearch.eesc.europa.eu/search/opinion</w:t>
              </w:r>
            </w:hyperlink>
          </w:p>
          <w:p w14:paraId="4982DD5E" w14:textId="77777777" w:rsidR="004D7AC0" w:rsidRPr="00044561" w:rsidRDefault="004D7AC0" w:rsidP="001766B2">
            <w:pPr>
              <w:snapToGrid w:val="0"/>
              <w:jc w:val="center"/>
            </w:pPr>
          </w:p>
        </w:tc>
      </w:tr>
    </w:tbl>
    <w:p w14:paraId="4982DD60" w14:textId="77777777" w:rsidR="004D7AC0" w:rsidRDefault="004D7AC0" w:rsidP="001766B2"/>
    <w:p w14:paraId="4982DD61" w14:textId="77777777" w:rsidR="004D7AC0" w:rsidRDefault="004D7AC0" w:rsidP="001766B2"/>
    <w:p w14:paraId="4982DD62" w14:textId="77777777" w:rsidR="004D7AC0" w:rsidRDefault="004D7AC0" w:rsidP="001766B2">
      <w:pPr>
        <w:sectPr w:rsidR="004D7AC0" w:rsidSect="00A067F3">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14:paraId="4982DD63" w14:textId="0D160970" w:rsidR="004D7AC0" w:rsidRDefault="004D7AC0" w:rsidP="001766B2">
      <w:pPr>
        <w:rPr>
          <w:b/>
        </w:rPr>
      </w:pPr>
      <w:r>
        <w:rPr>
          <w:b/>
        </w:rPr>
        <w:lastRenderedPageBreak/>
        <w:t>Spis treści:</w:t>
      </w:r>
    </w:p>
    <w:p w14:paraId="2174B63A" w14:textId="77777777" w:rsidR="00A067F3" w:rsidRPr="00A81AFE" w:rsidRDefault="00A067F3" w:rsidP="001766B2">
      <w:pPr>
        <w:rPr>
          <w:b/>
        </w:rPr>
      </w:pPr>
    </w:p>
    <w:p w14:paraId="3D6CB852" w14:textId="1DF2B313" w:rsidR="00A067F3" w:rsidRDefault="00A067F3">
      <w:pPr>
        <w:pStyle w:val="TOC1"/>
        <w:tabs>
          <w:tab w:val="left" w:pos="440"/>
          <w:tab w:val="right" w:leader="dot" w:pos="9063"/>
        </w:tabs>
        <w:rPr>
          <w:rFonts w:asciiTheme="minorHAnsi" w:eastAsiaTheme="minorEastAsia" w:hAnsiTheme="minorHAnsi" w:cstheme="minorBidi"/>
          <w:noProof/>
        </w:rPr>
      </w:pPr>
      <w:r>
        <w:fldChar w:fldCharType="begin"/>
      </w:r>
      <w:r>
        <w:instrText xml:space="preserve"> TOC \h \z \u \t "Heading 2,1" </w:instrText>
      </w:r>
      <w:r>
        <w:fldChar w:fldCharType="separate"/>
      </w:r>
      <w:hyperlink w:anchor="_Toc229140653" w:history="1">
        <w:r w:rsidRPr="007E618C">
          <w:rPr>
            <w:rStyle w:val="Hyperlink"/>
            <w:noProof/>
          </w:rPr>
          <w:t>1.</w:t>
        </w:r>
        <w:r>
          <w:rPr>
            <w:rFonts w:asciiTheme="minorHAnsi" w:eastAsiaTheme="minorEastAsia" w:hAnsiTheme="minorHAnsi" w:cstheme="minorBidi"/>
            <w:noProof/>
          </w:rPr>
          <w:tab/>
        </w:r>
        <w:r w:rsidR="007B5DF5">
          <w:rPr>
            <w:noProof/>
          </w:rPr>
          <w:t>UNIA GOSPODARCZA I WALUTOWA ORAZ SPÓJNOŚĆ GOSPODARCZA I SPOŁECZNA</w:t>
        </w:r>
        <w:r>
          <w:rPr>
            <w:noProof/>
            <w:webHidden/>
          </w:rPr>
          <w:tab/>
        </w:r>
        <w:r>
          <w:rPr>
            <w:noProof/>
            <w:webHidden/>
          </w:rPr>
          <w:fldChar w:fldCharType="begin"/>
        </w:r>
        <w:r>
          <w:rPr>
            <w:noProof/>
            <w:webHidden/>
          </w:rPr>
          <w:instrText xml:space="preserve"> PAGEREF _Toc229140653 \h </w:instrText>
        </w:r>
        <w:r>
          <w:rPr>
            <w:noProof/>
            <w:webHidden/>
          </w:rPr>
        </w:r>
        <w:r>
          <w:rPr>
            <w:noProof/>
            <w:webHidden/>
          </w:rPr>
          <w:fldChar w:fldCharType="separate"/>
        </w:r>
        <w:r w:rsidR="007B5DF5">
          <w:rPr>
            <w:noProof/>
            <w:webHidden/>
          </w:rPr>
          <w:t>3</w:t>
        </w:r>
        <w:r>
          <w:rPr>
            <w:noProof/>
            <w:webHidden/>
          </w:rPr>
          <w:fldChar w:fldCharType="end"/>
        </w:r>
      </w:hyperlink>
    </w:p>
    <w:p w14:paraId="0EE7F81C" w14:textId="16CAE43B"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4" w:history="1">
        <w:r w:rsidRPr="007E618C">
          <w:rPr>
            <w:rStyle w:val="Hyperlink"/>
            <w:noProof/>
          </w:rPr>
          <w:t>2.</w:t>
        </w:r>
        <w:r>
          <w:rPr>
            <w:rFonts w:asciiTheme="minorHAnsi" w:eastAsiaTheme="minorEastAsia" w:hAnsiTheme="minorHAnsi" w:cstheme="minorBidi"/>
            <w:noProof/>
          </w:rPr>
          <w:tab/>
        </w:r>
        <w:r w:rsidR="007B5DF5">
          <w:t>ZATRUDNIENIE, SPRAWY SPOŁ</w:t>
        </w:r>
        <w:r w:rsidR="007B5DF5">
          <w:t>E</w:t>
        </w:r>
        <w:r w:rsidR="007B5DF5">
          <w:t>CZNE I OBYWATELSTWO</w:t>
        </w:r>
        <w:r>
          <w:rPr>
            <w:noProof/>
            <w:webHidden/>
          </w:rPr>
          <w:tab/>
        </w:r>
        <w:r>
          <w:rPr>
            <w:noProof/>
            <w:webHidden/>
          </w:rPr>
          <w:fldChar w:fldCharType="begin"/>
        </w:r>
        <w:r>
          <w:rPr>
            <w:noProof/>
            <w:webHidden/>
          </w:rPr>
          <w:instrText xml:space="preserve"> PAGEREF _Toc229140654 \h </w:instrText>
        </w:r>
        <w:r>
          <w:rPr>
            <w:noProof/>
            <w:webHidden/>
          </w:rPr>
        </w:r>
        <w:r>
          <w:rPr>
            <w:noProof/>
            <w:webHidden/>
          </w:rPr>
          <w:fldChar w:fldCharType="separate"/>
        </w:r>
        <w:r w:rsidR="007B5DF5">
          <w:rPr>
            <w:noProof/>
            <w:webHidden/>
          </w:rPr>
          <w:t>7</w:t>
        </w:r>
        <w:r>
          <w:rPr>
            <w:noProof/>
            <w:webHidden/>
          </w:rPr>
          <w:fldChar w:fldCharType="end"/>
        </w:r>
      </w:hyperlink>
    </w:p>
    <w:p w14:paraId="7426073C" w14:textId="322A2A4F"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5" w:history="1">
        <w:r w:rsidRPr="007E618C">
          <w:rPr>
            <w:rStyle w:val="Hyperlink"/>
            <w:noProof/>
          </w:rPr>
          <w:t>3.</w:t>
        </w:r>
        <w:r>
          <w:rPr>
            <w:rFonts w:asciiTheme="minorHAnsi" w:eastAsiaTheme="minorEastAsia" w:hAnsiTheme="minorHAnsi" w:cstheme="minorBidi"/>
            <w:noProof/>
          </w:rPr>
          <w:tab/>
        </w:r>
        <w:r w:rsidR="007B5DF5">
          <w:t>JEDNOLITY RYNEK, PRODUKCJA I KONSUMPCJA</w:t>
        </w:r>
        <w:r>
          <w:rPr>
            <w:noProof/>
            <w:webHidden/>
          </w:rPr>
          <w:tab/>
        </w:r>
        <w:r>
          <w:rPr>
            <w:noProof/>
            <w:webHidden/>
          </w:rPr>
          <w:fldChar w:fldCharType="begin"/>
        </w:r>
        <w:r>
          <w:rPr>
            <w:noProof/>
            <w:webHidden/>
          </w:rPr>
          <w:instrText xml:space="preserve"> PAGEREF _Toc229140655 \h </w:instrText>
        </w:r>
        <w:r>
          <w:rPr>
            <w:noProof/>
            <w:webHidden/>
          </w:rPr>
        </w:r>
        <w:r>
          <w:rPr>
            <w:noProof/>
            <w:webHidden/>
          </w:rPr>
          <w:fldChar w:fldCharType="separate"/>
        </w:r>
        <w:r w:rsidR="007B5DF5">
          <w:rPr>
            <w:noProof/>
            <w:webHidden/>
          </w:rPr>
          <w:t>13</w:t>
        </w:r>
        <w:r>
          <w:rPr>
            <w:noProof/>
            <w:webHidden/>
          </w:rPr>
          <w:fldChar w:fldCharType="end"/>
        </w:r>
      </w:hyperlink>
    </w:p>
    <w:p w14:paraId="71F08A6C" w14:textId="565E7E11"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6" w:history="1">
        <w:r w:rsidRPr="007E618C">
          <w:rPr>
            <w:rStyle w:val="Hyperlink"/>
            <w:noProof/>
          </w:rPr>
          <w:t>4.</w:t>
        </w:r>
        <w:r>
          <w:rPr>
            <w:rFonts w:asciiTheme="minorHAnsi" w:eastAsiaTheme="minorEastAsia" w:hAnsiTheme="minorHAnsi" w:cstheme="minorBidi"/>
            <w:noProof/>
          </w:rPr>
          <w:tab/>
        </w:r>
        <w:r w:rsidR="007B5DF5">
          <w:t>ROLNICTWO, ROZWÓJ WSI I ŚRODOWISKO NATURALNE</w:t>
        </w:r>
        <w:r>
          <w:rPr>
            <w:noProof/>
            <w:webHidden/>
          </w:rPr>
          <w:tab/>
        </w:r>
        <w:r>
          <w:rPr>
            <w:noProof/>
            <w:webHidden/>
          </w:rPr>
          <w:fldChar w:fldCharType="begin"/>
        </w:r>
        <w:r>
          <w:rPr>
            <w:noProof/>
            <w:webHidden/>
          </w:rPr>
          <w:instrText xml:space="preserve"> PAGEREF _Toc229140656 \h </w:instrText>
        </w:r>
        <w:r>
          <w:rPr>
            <w:noProof/>
            <w:webHidden/>
          </w:rPr>
        </w:r>
        <w:r>
          <w:rPr>
            <w:noProof/>
            <w:webHidden/>
          </w:rPr>
          <w:fldChar w:fldCharType="separate"/>
        </w:r>
        <w:r w:rsidR="007B5DF5">
          <w:rPr>
            <w:noProof/>
            <w:webHidden/>
          </w:rPr>
          <w:t>25</w:t>
        </w:r>
        <w:r>
          <w:rPr>
            <w:noProof/>
            <w:webHidden/>
          </w:rPr>
          <w:fldChar w:fldCharType="end"/>
        </w:r>
      </w:hyperlink>
    </w:p>
    <w:p w14:paraId="33FB345E" w14:textId="13D96D92"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7" w:history="1">
        <w:r w:rsidRPr="007E618C">
          <w:rPr>
            <w:rStyle w:val="Hyperlink"/>
            <w:noProof/>
          </w:rPr>
          <w:t>5.</w:t>
        </w:r>
        <w:r>
          <w:rPr>
            <w:rFonts w:asciiTheme="minorHAnsi" w:eastAsiaTheme="minorEastAsia" w:hAnsiTheme="minorHAnsi" w:cstheme="minorBidi"/>
            <w:noProof/>
          </w:rPr>
          <w:tab/>
        </w:r>
        <w:r w:rsidR="007B5DF5">
          <w:t>STOSUNKI ZEWNĘTRZNE</w:t>
        </w:r>
        <w:r>
          <w:rPr>
            <w:noProof/>
            <w:webHidden/>
          </w:rPr>
          <w:tab/>
        </w:r>
        <w:r>
          <w:rPr>
            <w:noProof/>
            <w:webHidden/>
          </w:rPr>
          <w:fldChar w:fldCharType="begin"/>
        </w:r>
        <w:r>
          <w:rPr>
            <w:noProof/>
            <w:webHidden/>
          </w:rPr>
          <w:instrText xml:space="preserve"> PAGEREF _Toc229140657 \h </w:instrText>
        </w:r>
        <w:r>
          <w:rPr>
            <w:noProof/>
            <w:webHidden/>
          </w:rPr>
        </w:r>
        <w:r>
          <w:rPr>
            <w:noProof/>
            <w:webHidden/>
          </w:rPr>
          <w:fldChar w:fldCharType="separate"/>
        </w:r>
        <w:r w:rsidR="007B5DF5">
          <w:rPr>
            <w:noProof/>
            <w:webHidden/>
          </w:rPr>
          <w:t>32</w:t>
        </w:r>
        <w:r>
          <w:rPr>
            <w:noProof/>
            <w:webHidden/>
          </w:rPr>
          <w:fldChar w:fldCharType="end"/>
        </w:r>
      </w:hyperlink>
    </w:p>
    <w:p w14:paraId="4714B99D" w14:textId="797F9112" w:rsidR="00A067F3" w:rsidRDefault="00A067F3">
      <w:pPr>
        <w:pStyle w:val="TOC1"/>
        <w:tabs>
          <w:tab w:val="left" w:pos="440"/>
          <w:tab w:val="right" w:leader="dot" w:pos="9063"/>
        </w:tabs>
        <w:rPr>
          <w:rFonts w:asciiTheme="minorHAnsi" w:eastAsiaTheme="minorEastAsia" w:hAnsiTheme="minorHAnsi" w:cstheme="minorBidi"/>
          <w:noProof/>
        </w:rPr>
      </w:pPr>
      <w:hyperlink w:anchor="_Toc229140659" w:history="1">
        <w:r w:rsidRPr="007E618C">
          <w:rPr>
            <w:rStyle w:val="Hyperlink"/>
            <w:noProof/>
          </w:rPr>
          <w:t>6.</w:t>
        </w:r>
        <w:r>
          <w:rPr>
            <w:rFonts w:asciiTheme="minorHAnsi" w:eastAsiaTheme="minorEastAsia" w:hAnsiTheme="minorHAnsi" w:cstheme="minorBidi"/>
            <w:noProof/>
          </w:rPr>
          <w:tab/>
        </w:r>
        <w:r w:rsidR="007B5DF5">
          <w:t>KOMISJA KONSULTACYJNA DS. PRZEMIAN W PRZEMYŚLE</w:t>
        </w:r>
        <w:r>
          <w:rPr>
            <w:noProof/>
            <w:webHidden/>
          </w:rPr>
          <w:tab/>
        </w:r>
        <w:r>
          <w:rPr>
            <w:noProof/>
            <w:webHidden/>
          </w:rPr>
          <w:fldChar w:fldCharType="begin"/>
        </w:r>
        <w:r>
          <w:rPr>
            <w:noProof/>
            <w:webHidden/>
          </w:rPr>
          <w:instrText xml:space="preserve"> PAGEREF _Toc229140659 \h </w:instrText>
        </w:r>
        <w:r>
          <w:rPr>
            <w:noProof/>
            <w:webHidden/>
          </w:rPr>
        </w:r>
        <w:r>
          <w:rPr>
            <w:noProof/>
            <w:webHidden/>
          </w:rPr>
          <w:fldChar w:fldCharType="separate"/>
        </w:r>
        <w:r w:rsidR="007B5DF5">
          <w:rPr>
            <w:noProof/>
            <w:webHidden/>
          </w:rPr>
          <w:t>36</w:t>
        </w:r>
        <w:r>
          <w:rPr>
            <w:noProof/>
            <w:webHidden/>
          </w:rPr>
          <w:fldChar w:fldCharType="end"/>
        </w:r>
      </w:hyperlink>
    </w:p>
    <w:p w14:paraId="4982DD6B" w14:textId="0121901C" w:rsidR="004D7AC0" w:rsidRDefault="00A067F3" w:rsidP="001766B2">
      <w:r>
        <w:fldChar w:fldCharType="end"/>
      </w:r>
    </w:p>
    <w:p w14:paraId="4982DD6C" w14:textId="77777777" w:rsidR="004D7AC0" w:rsidRDefault="004D7AC0" w:rsidP="001766B2">
      <w:pPr>
        <w:jc w:val="left"/>
      </w:pPr>
      <w:r>
        <w:br w:type="page"/>
      </w:r>
    </w:p>
    <w:p w14:paraId="4982DD6D" w14:textId="512FE664" w:rsidR="004D7AC0" w:rsidRPr="00A067F3" w:rsidRDefault="004D7AC0" w:rsidP="004C6742">
      <w:pPr>
        <w:pStyle w:val="Heading2"/>
      </w:pPr>
      <w:bookmarkStart w:id="0" w:name="_Toc229140653"/>
      <w:r>
        <w:lastRenderedPageBreak/>
        <w:t>UNIA GOSPODARCZA I WALUTOWA ORAZ SPÓJNOŚĆ GOSPODARCZA I</w:t>
      </w:r>
      <w:r w:rsidR="008B545D">
        <w:t> </w:t>
      </w:r>
      <w:r>
        <w:t>SPOŁECZNA</w:t>
      </w:r>
      <w:bookmarkEnd w:id="0"/>
    </w:p>
    <w:p w14:paraId="4982DD6E" w14:textId="77777777" w:rsidR="004D7AC0" w:rsidRDefault="004D7AC0" w:rsidP="001766B2"/>
    <w:p w14:paraId="258C871E" w14:textId="6E7F880F" w:rsidR="00F37962" w:rsidRPr="004C6742" w:rsidRDefault="00651F28" w:rsidP="00F37962">
      <w:pPr>
        <w:widowControl w:val="0"/>
        <w:numPr>
          <w:ilvl w:val="0"/>
          <w:numId w:val="4"/>
        </w:numPr>
        <w:overflowPunct w:val="0"/>
        <w:autoSpaceDE w:val="0"/>
        <w:autoSpaceDN w:val="0"/>
        <w:adjustRightInd w:val="0"/>
        <w:spacing w:after="120"/>
        <w:ind w:hanging="567"/>
        <w:textAlignment w:val="baseline"/>
        <w:rPr>
          <w:b/>
          <w:i/>
          <w:iCs/>
          <w:sz w:val="28"/>
          <w:szCs w:val="28"/>
        </w:rPr>
      </w:pPr>
      <w:hyperlink r:id="rId21" w:history="1">
        <w:r>
          <w:rPr>
            <w:b/>
            <w:i/>
            <w:color w:val="0000FF"/>
            <w:sz w:val="28"/>
            <w:u w:val="single"/>
          </w:rPr>
          <w:t>Agenda UE dla miast przyjaznych do życia</w:t>
        </w:r>
      </w:hyperlink>
    </w:p>
    <w:p w14:paraId="050FF4D0" w14:textId="77777777" w:rsidR="00435FF5" w:rsidRPr="00E129EB" w:rsidRDefault="00435FF5" w:rsidP="004C6742">
      <w:pPr>
        <w:widowControl w:val="0"/>
        <w:overflowPunct w:val="0"/>
        <w:autoSpaceDE w:val="0"/>
        <w:autoSpaceDN w:val="0"/>
        <w:adjustRightInd w:val="0"/>
        <w:spacing w:after="120"/>
        <w:ind w:left="284" w:hanging="284"/>
        <w:textAlignment w:val="baseline"/>
        <w:rPr>
          <w:b/>
          <w:i/>
          <w:iCs/>
          <w:sz w:val="28"/>
          <w:szCs w:val="28"/>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7305"/>
      </w:tblGrid>
      <w:tr w:rsidR="00F37962" w:rsidRPr="00E129EB" w14:paraId="60D343A5" w14:textId="77777777" w:rsidTr="002E7EFB">
        <w:tc>
          <w:tcPr>
            <w:tcW w:w="1701" w:type="dxa"/>
          </w:tcPr>
          <w:p w14:paraId="1B284A7D"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Sprawozdawca</w:t>
            </w:r>
          </w:p>
          <w:p w14:paraId="73BE66E9" w14:textId="77777777" w:rsidR="00F37962" w:rsidRPr="00E129EB" w:rsidRDefault="00F37962" w:rsidP="002E7EFB">
            <w:pPr>
              <w:tabs>
                <w:tab w:val="center" w:pos="284"/>
              </w:tabs>
              <w:overflowPunct w:val="0"/>
              <w:autoSpaceDE w:val="0"/>
              <w:autoSpaceDN w:val="0"/>
              <w:adjustRightInd w:val="0"/>
              <w:ind w:left="266" w:hanging="266"/>
              <w:textAlignment w:val="baseline"/>
              <w:rPr>
                <w:b/>
                <w:bCs/>
              </w:rPr>
            </w:pPr>
            <w:r>
              <w:rPr>
                <w:b/>
              </w:rPr>
              <w:t>Współsprawozdawca</w:t>
            </w:r>
          </w:p>
        </w:tc>
        <w:tc>
          <w:tcPr>
            <w:tcW w:w="7621" w:type="dxa"/>
          </w:tcPr>
          <w:p w14:paraId="6A7F001D" w14:textId="5F7AE198" w:rsidR="00F37962" w:rsidRPr="00E129EB" w:rsidRDefault="00F37962" w:rsidP="002E7EFB">
            <w:pPr>
              <w:tabs>
                <w:tab w:val="center" w:pos="284"/>
              </w:tabs>
              <w:overflowPunct w:val="0"/>
              <w:autoSpaceDE w:val="0"/>
              <w:autoSpaceDN w:val="0"/>
              <w:adjustRightInd w:val="0"/>
              <w:ind w:left="266" w:hanging="266"/>
              <w:textAlignment w:val="baseline"/>
            </w:pPr>
            <w:r>
              <w:t>Florian MARIN (Grupa Pracowników – RO)</w:t>
            </w:r>
          </w:p>
          <w:p w14:paraId="5228A3F8" w14:textId="082D71FE" w:rsidR="00F37962" w:rsidRDefault="00F37962" w:rsidP="002E7EFB">
            <w:pPr>
              <w:tabs>
                <w:tab w:val="center" w:pos="284"/>
              </w:tabs>
              <w:overflowPunct w:val="0"/>
              <w:autoSpaceDE w:val="0"/>
              <w:autoSpaceDN w:val="0"/>
              <w:adjustRightInd w:val="0"/>
              <w:ind w:left="266" w:hanging="266"/>
              <w:textAlignment w:val="baseline"/>
            </w:pPr>
            <w:r>
              <w:t>Roman HAKEN (Grupa Organizacji Społeczeństwa Obywatelskiego – CZ)</w:t>
            </w:r>
          </w:p>
          <w:p w14:paraId="253441F6" w14:textId="77777777" w:rsidR="00D923C9" w:rsidRPr="00E129EB" w:rsidRDefault="00D923C9" w:rsidP="002E7EFB">
            <w:pPr>
              <w:tabs>
                <w:tab w:val="center" w:pos="284"/>
              </w:tabs>
              <w:overflowPunct w:val="0"/>
              <w:autoSpaceDE w:val="0"/>
              <w:autoSpaceDN w:val="0"/>
              <w:adjustRightInd w:val="0"/>
              <w:ind w:left="266" w:hanging="266"/>
              <w:textAlignment w:val="baseline"/>
              <w:rPr>
                <w:bCs/>
              </w:rPr>
            </w:pPr>
          </w:p>
        </w:tc>
      </w:tr>
      <w:tr w:rsidR="00F37962" w:rsidRPr="00E129EB" w14:paraId="5EE50BD3" w14:textId="77777777" w:rsidTr="002E7EFB">
        <w:tc>
          <w:tcPr>
            <w:tcW w:w="1701" w:type="dxa"/>
          </w:tcPr>
          <w:p w14:paraId="23D70382" w14:textId="77777777" w:rsidR="00F37962" w:rsidRPr="00E129EB" w:rsidRDefault="00F37962" w:rsidP="002E7EFB">
            <w:pPr>
              <w:tabs>
                <w:tab w:val="center" w:pos="284"/>
              </w:tabs>
              <w:overflowPunct w:val="0"/>
              <w:autoSpaceDE w:val="0"/>
              <w:autoSpaceDN w:val="0"/>
              <w:adjustRightInd w:val="0"/>
              <w:ind w:left="266" w:hanging="266"/>
              <w:textAlignment w:val="baseline"/>
              <w:rPr>
                <w:b/>
              </w:rPr>
            </w:pPr>
            <w:r>
              <w:rPr>
                <w:b/>
              </w:rPr>
              <w:t>Dokumenty</w:t>
            </w:r>
          </w:p>
        </w:tc>
        <w:tc>
          <w:tcPr>
            <w:tcW w:w="7621" w:type="dxa"/>
          </w:tcPr>
          <w:p w14:paraId="5B4DE008" w14:textId="77777777" w:rsidR="00D923C9" w:rsidRDefault="00F37962" w:rsidP="002E7EFB">
            <w:pPr>
              <w:tabs>
                <w:tab w:val="center" w:pos="284"/>
              </w:tabs>
              <w:overflowPunct w:val="0"/>
              <w:autoSpaceDE w:val="0"/>
              <w:autoSpaceDN w:val="0"/>
              <w:adjustRightInd w:val="0"/>
              <w:ind w:left="266" w:hanging="266"/>
              <w:textAlignment w:val="baseline"/>
            </w:pPr>
            <w:r>
              <w:t>COM(2025) 552 final</w:t>
            </w:r>
          </w:p>
          <w:p w14:paraId="0AAE61A7" w14:textId="18341FD5" w:rsidR="00F37962" w:rsidRPr="00E129EB" w:rsidRDefault="00F37962" w:rsidP="002E7EFB">
            <w:pPr>
              <w:tabs>
                <w:tab w:val="center" w:pos="284"/>
              </w:tabs>
              <w:overflowPunct w:val="0"/>
              <w:autoSpaceDE w:val="0"/>
              <w:autoSpaceDN w:val="0"/>
              <w:adjustRightInd w:val="0"/>
              <w:ind w:left="266" w:hanging="266"/>
              <w:textAlignment w:val="baseline"/>
            </w:pPr>
            <w:r>
              <w:t>EESC-2025-04288-00-00-AC</w:t>
            </w:r>
          </w:p>
        </w:tc>
      </w:tr>
    </w:tbl>
    <w:p w14:paraId="1403746C"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rPr>
      </w:pPr>
      <w:r>
        <w:rPr>
          <w:b/>
        </w:rPr>
        <w:t>Główne punkty</w:t>
      </w:r>
    </w:p>
    <w:p w14:paraId="639613BF" w14:textId="77777777" w:rsidR="00F37962" w:rsidRPr="00E129EB" w:rsidRDefault="00F37962" w:rsidP="00F37962">
      <w:pPr>
        <w:keepNext/>
        <w:keepLines/>
        <w:tabs>
          <w:tab w:val="center" w:pos="284"/>
        </w:tabs>
        <w:overflowPunct w:val="0"/>
        <w:autoSpaceDE w:val="0"/>
        <w:autoSpaceDN w:val="0"/>
        <w:adjustRightInd w:val="0"/>
        <w:spacing w:before="120"/>
        <w:ind w:left="266" w:hanging="266"/>
        <w:textAlignment w:val="baseline"/>
        <w:rPr>
          <w:b/>
          <w:lang w:val="en-GB"/>
        </w:rPr>
      </w:pPr>
    </w:p>
    <w:p w14:paraId="0F806F4A" w14:textId="77777777" w:rsidR="00F37962" w:rsidRDefault="00F37962" w:rsidP="00F37962">
      <w:pPr>
        <w:overflowPunct w:val="0"/>
        <w:autoSpaceDE w:val="0"/>
        <w:autoSpaceDN w:val="0"/>
        <w:adjustRightInd w:val="0"/>
        <w:textAlignment w:val="baseline"/>
        <w:rPr>
          <w:bCs/>
          <w:iCs/>
        </w:rPr>
      </w:pPr>
      <w:r>
        <w:t>EKES:</w:t>
      </w:r>
    </w:p>
    <w:p w14:paraId="49864E90" w14:textId="77777777" w:rsidR="00ED1C2B" w:rsidRPr="00E129EB" w:rsidRDefault="00ED1C2B" w:rsidP="00F37962">
      <w:pPr>
        <w:overflowPunct w:val="0"/>
        <w:autoSpaceDE w:val="0"/>
        <w:autoSpaceDN w:val="0"/>
        <w:adjustRightInd w:val="0"/>
        <w:textAlignment w:val="baseline"/>
        <w:rPr>
          <w:bCs/>
          <w:iCs/>
          <w:lang w:val="en-GB"/>
        </w:rPr>
      </w:pPr>
    </w:p>
    <w:p w14:paraId="4D3A28BF" w14:textId="28CCF1B4" w:rsidR="00F37962" w:rsidRPr="00E129EB" w:rsidRDefault="00F37962" w:rsidP="004C6742">
      <w:pPr>
        <w:numPr>
          <w:ilvl w:val="0"/>
          <w:numId w:val="20"/>
        </w:numPr>
        <w:overflowPunct w:val="0"/>
        <w:autoSpaceDE w:val="0"/>
        <w:autoSpaceDN w:val="0"/>
        <w:adjustRightInd w:val="0"/>
        <w:contextualSpacing/>
        <w:textAlignment w:val="baseline"/>
        <w:rPr>
          <w:szCs w:val="20"/>
        </w:rPr>
      </w:pPr>
      <w:r>
        <w:t>Uważa, że miasta są filarem rozwoju gospodarczego, społecznego i terytorialnego Unii Europejskiej. Są to kluczowe przestrzenie dla transformacji społecznej, ekologicznej i</w:t>
      </w:r>
      <w:r w:rsidR="005C5C88">
        <w:t> </w:t>
      </w:r>
      <w:r>
        <w:t>gospodarczej, w których innowacje powinny być ukierunkowane na poprawę jakości życia.</w:t>
      </w:r>
    </w:p>
    <w:p w14:paraId="4B3A1070" w14:textId="03741A20" w:rsidR="00F37962" w:rsidRPr="00E129EB" w:rsidRDefault="00F37962" w:rsidP="004C6742">
      <w:pPr>
        <w:numPr>
          <w:ilvl w:val="0"/>
          <w:numId w:val="20"/>
        </w:numPr>
        <w:overflowPunct w:val="0"/>
        <w:autoSpaceDE w:val="0"/>
        <w:autoSpaceDN w:val="0"/>
        <w:adjustRightInd w:val="0"/>
        <w:contextualSpacing/>
        <w:textAlignment w:val="baseline"/>
        <w:rPr>
          <w:szCs w:val="20"/>
        </w:rPr>
      </w:pPr>
      <w:r>
        <w:t>Z zadowoleniem przyjmuje złożone podejście Komisji i jej zamiar wzmocnienia Agendy UE dla miast oraz zawartej w niej nadrzędnej wizji dostatnich miast, które są przyjazne do życia i</w:t>
      </w:r>
      <w:r w:rsidR="005C5C88">
        <w:t> </w:t>
      </w:r>
      <w:r>
        <w:t xml:space="preserve">sprzyjają włączeniu społecznemu, uważa jednak, że proponowana agenda nie odpowiada jeszcze deklarowanym ambicjom. </w:t>
      </w:r>
    </w:p>
    <w:p w14:paraId="0D95657E"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 xml:space="preserve">Zaleca, aby formalnie włączyć go – wraz z Komitetem Regionów – do proponowanej Agendy UE dla miast. Pozwoli to odzwierciedlić uznaną oficjalną rolę EKES-u przewidzianą w porozumieniu lublańskim i pakcie amsterdamskim, a także jego aktywne zaangażowanie we wszystkie obszary agendy miejskiej. </w:t>
      </w:r>
    </w:p>
    <w:p w14:paraId="37634D38" w14:textId="5AE877E7" w:rsidR="00F37962" w:rsidRPr="00E129EB" w:rsidRDefault="00F37962" w:rsidP="004C6742">
      <w:pPr>
        <w:numPr>
          <w:ilvl w:val="0"/>
          <w:numId w:val="20"/>
        </w:numPr>
        <w:overflowPunct w:val="0"/>
        <w:autoSpaceDE w:val="0"/>
        <w:autoSpaceDN w:val="0"/>
        <w:adjustRightInd w:val="0"/>
        <w:contextualSpacing/>
        <w:textAlignment w:val="baseline"/>
        <w:rPr>
          <w:szCs w:val="20"/>
        </w:rPr>
      </w:pPr>
      <w:r>
        <w:t>Proponuje, by Agenda UE dla miast była mocno zakorzeniona w wielopoziomowym sprawowaniu rządów i opierała na zasadzie partnerstwa i podejściu ukierunkowanym na konkretny obszar. Musi ona zapewniać zrównoważony rozwój terytorialny oraz wzmacniać dialog społeczny i</w:t>
      </w:r>
      <w:r w:rsidR="005C5C88">
        <w:t> </w:t>
      </w:r>
      <w:r>
        <w:t>obywatelski.</w:t>
      </w:r>
    </w:p>
    <w:p w14:paraId="77962AE4" w14:textId="77777777" w:rsidR="00F37962" w:rsidRPr="00E129EB" w:rsidRDefault="00F37962" w:rsidP="004C6742">
      <w:pPr>
        <w:numPr>
          <w:ilvl w:val="0"/>
          <w:numId w:val="20"/>
        </w:numPr>
        <w:overflowPunct w:val="0"/>
        <w:autoSpaceDE w:val="0"/>
        <w:autoSpaceDN w:val="0"/>
        <w:adjustRightInd w:val="0"/>
        <w:contextualSpacing/>
        <w:textAlignment w:val="baseline"/>
        <w:rPr>
          <w:szCs w:val="20"/>
        </w:rPr>
      </w:pPr>
      <w:r>
        <w:t>W związku z tym wzywa Komisję, aby:</w:t>
      </w:r>
    </w:p>
    <w:p w14:paraId="56F86CF4" w14:textId="52E25215" w:rsidR="00F37962" w:rsidRPr="00E129EB" w:rsidRDefault="00F37962" w:rsidP="00F37962">
      <w:pPr>
        <w:numPr>
          <w:ilvl w:val="0"/>
          <w:numId w:val="6"/>
        </w:numPr>
        <w:overflowPunct w:val="0"/>
        <w:autoSpaceDE w:val="0"/>
        <w:autoSpaceDN w:val="0"/>
        <w:adjustRightInd w:val="0"/>
        <w:contextualSpacing/>
        <w:textAlignment w:val="baseline"/>
        <w:rPr>
          <w:szCs w:val="20"/>
        </w:rPr>
      </w:pPr>
      <w:r>
        <w:t>formalnie uznała zarówno EKES, jak i miasta za równorzędnych partnerów w kształtowaniu polityki miejskiej UE, a nie tylko za podmioty wdrażające, poprzez ustanowienie stałych i</w:t>
      </w:r>
      <w:r w:rsidR="005C5C88">
        <w:t> </w:t>
      </w:r>
      <w:r>
        <w:t>ustrukturyzowanych rozwiązań w zakresie wielopoziomowego sprawowania rządów;</w:t>
      </w:r>
    </w:p>
    <w:p w14:paraId="1378BDDC" w14:textId="37E29201" w:rsidR="00F37962" w:rsidRPr="00E129EB" w:rsidRDefault="00F37962" w:rsidP="00F37962">
      <w:pPr>
        <w:numPr>
          <w:ilvl w:val="0"/>
          <w:numId w:val="6"/>
        </w:numPr>
        <w:overflowPunct w:val="0"/>
        <w:autoSpaceDE w:val="0"/>
        <w:autoSpaceDN w:val="0"/>
        <w:adjustRightInd w:val="0"/>
        <w:contextualSpacing/>
        <w:textAlignment w:val="baseline"/>
        <w:rPr>
          <w:szCs w:val="20"/>
        </w:rPr>
      </w:pPr>
      <w:r>
        <w:t>wzmocniła zasady partnerstwa poprzez zagwarantowanie systematycznego i znaczącego zaangażowania zorganizowanego społeczeństwa obywatelskiego w cały cykl polityczny Agendy UE dla miast;</w:t>
      </w:r>
    </w:p>
    <w:p w14:paraId="1A186602" w14:textId="0A0810CD" w:rsidR="00F37962" w:rsidRPr="00E129EB" w:rsidRDefault="00F37962" w:rsidP="00F37962">
      <w:pPr>
        <w:numPr>
          <w:ilvl w:val="0"/>
          <w:numId w:val="6"/>
        </w:numPr>
        <w:overflowPunct w:val="0"/>
        <w:autoSpaceDE w:val="0"/>
        <w:autoSpaceDN w:val="0"/>
        <w:adjustRightInd w:val="0"/>
        <w:contextualSpacing/>
        <w:textAlignment w:val="baseline"/>
        <w:rPr>
          <w:szCs w:val="20"/>
        </w:rPr>
      </w:pPr>
      <w:r>
        <w:t>uzupełniła Agendę UE dla miast o konkretne i operacyjne ramy działania, obejmujące jasno określone obowiązki, harmonogramy i mierzalne wskaźniki, a także by wprowadziła systematyczne oceny oddziaływania terytorialnego w celu oceny wpływu prawodawstwa UE na miasta;</w:t>
      </w:r>
    </w:p>
    <w:p w14:paraId="350E2056" w14:textId="7279332E" w:rsidR="00F37962" w:rsidRPr="00E129EB" w:rsidRDefault="00F37962" w:rsidP="00F37962">
      <w:pPr>
        <w:numPr>
          <w:ilvl w:val="0"/>
          <w:numId w:val="6"/>
        </w:numPr>
        <w:overflowPunct w:val="0"/>
        <w:autoSpaceDE w:val="0"/>
        <w:autoSpaceDN w:val="0"/>
        <w:adjustRightInd w:val="0"/>
        <w:contextualSpacing/>
        <w:textAlignment w:val="baseline"/>
        <w:rPr>
          <w:szCs w:val="20"/>
        </w:rPr>
      </w:pPr>
      <w:r>
        <w:t>zapewniła odpowiednie, przewidywalne i dostępne finansowanie rozwoju obszarów miejskich, w tym bezpośredni dostęp miast do finansowania unijnego;</w:t>
      </w:r>
    </w:p>
    <w:p w14:paraId="79FB5343" w14:textId="2BEA4564" w:rsidR="00F37962" w:rsidRPr="00E129EB" w:rsidRDefault="00F37962" w:rsidP="00F37962">
      <w:pPr>
        <w:numPr>
          <w:ilvl w:val="0"/>
          <w:numId w:val="6"/>
        </w:numPr>
        <w:overflowPunct w:val="0"/>
        <w:autoSpaceDE w:val="0"/>
        <w:autoSpaceDN w:val="0"/>
        <w:adjustRightInd w:val="0"/>
        <w:contextualSpacing/>
        <w:textAlignment w:val="baseline"/>
        <w:rPr>
          <w:szCs w:val="20"/>
        </w:rPr>
      </w:pPr>
      <w:r>
        <w:lastRenderedPageBreak/>
        <w:t>propagowała zintegrowane, ukierunkowane na projekty i na konkretny obszar podejście do spójności terytorialnej, wyraźnie wzmacniające komplementarność między miastami a</w:t>
      </w:r>
      <w:r w:rsidR="005C5C88">
        <w:t> </w:t>
      </w:r>
      <w:r>
        <w:t>obszarami wiejskimi;</w:t>
      </w:r>
    </w:p>
    <w:p w14:paraId="39B6313E" w14:textId="4B65A089" w:rsidR="00F37962" w:rsidRPr="00E129EB" w:rsidRDefault="00F37962" w:rsidP="00F37962">
      <w:pPr>
        <w:numPr>
          <w:ilvl w:val="0"/>
          <w:numId w:val="6"/>
        </w:numPr>
        <w:overflowPunct w:val="0"/>
        <w:autoSpaceDE w:val="0"/>
        <w:autoSpaceDN w:val="0"/>
        <w:adjustRightInd w:val="0"/>
        <w:contextualSpacing/>
        <w:textAlignment w:val="baseline"/>
        <w:rPr>
          <w:szCs w:val="20"/>
        </w:rPr>
      </w:pPr>
      <w:r>
        <w:t>rozwijała dialog miejski na szczeblu UE w ramach unijnej platformy „Miasta”, mający podkreślić znaczenie roli dialogu społecznego i obywatelskiego, jeśli chodzi o kwestie związane z zatrudnieniem;</w:t>
      </w:r>
    </w:p>
    <w:p w14:paraId="1D8BF3C3" w14:textId="14CC777F" w:rsidR="00F37962" w:rsidRPr="00E129EB" w:rsidRDefault="00F37962" w:rsidP="00F37962">
      <w:pPr>
        <w:numPr>
          <w:ilvl w:val="0"/>
          <w:numId w:val="6"/>
        </w:numPr>
        <w:overflowPunct w:val="0"/>
        <w:autoSpaceDE w:val="0"/>
        <w:autoSpaceDN w:val="0"/>
        <w:adjustRightInd w:val="0"/>
        <w:contextualSpacing/>
        <w:textAlignment w:val="baseline"/>
        <w:rPr>
          <w:szCs w:val="20"/>
        </w:rPr>
      </w:pPr>
      <w:r>
        <w:t>zwiększyła fundusz pomocy technicznej przeznaczonej dla miast oraz wprowadziła specjalną inicjatywę europejską lub specjalny fundusz europejski, skupiające się bezpośrednio na projektach miejskich;</w:t>
      </w:r>
    </w:p>
    <w:p w14:paraId="1D134A52"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 xml:space="preserve">zaproponowała jasne standardy konsultacji, aby zapewnić konstruktywne, odpowiednio wczesne i reprezentatywne zaangażowanie partnerów społecznych i społeczeństwa obywatelskiego na wszystkich szczeblach; </w:t>
      </w:r>
    </w:p>
    <w:p w14:paraId="0816F466" w14:textId="77777777" w:rsidR="00F37962" w:rsidRPr="00E129EB" w:rsidRDefault="00F37962" w:rsidP="00F37962">
      <w:pPr>
        <w:numPr>
          <w:ilvl w:val="0"/>
          <w:numId w:val="6"/>
        </w:numPr>
        <w:overflowPunct w:val="0"/>
        <w:autoSpaceDE w:val="0"/>
        <w:autoSpaceDN w:val="0"/>
        <w:adjustRightInd w:val="0"/>
        <w:contextualSpacing/>
        <w:textAlignment w:val="baseline"/>
        <w:rPr>
          <w:szCs w:val="20"/>
        </w:rPr>
      </w:pPr>
      <w:r>
        <w:t>ustanowiła jednolite ramy na szczeblu UE w zakresie gromadzenia danych dotyczących obszarów miejskich i sprawozdawczości w tym zakresie, aby zapewnić porównywalność wskaźników i skuteczność monitorowania we wszystkich państwach członkowskich;</w:t>
      </w:r>
    </w:p>
    <w:p w14:paraId="73AAA0E7" w14:textId="031100CF" w:rsidR="00F37962" w:rsidRPr="00E129EB" w:rsidRDefault="00F37962" w:rsidP="00F37962">
      <w:pPr>
        <w:numPr>
          <w:ilvl w:val="0"/>
          <w:numId w:val="6"/>
        </w:numPr>
        <w:overflowPunct w:val="0"/>
        <w:autoSpaceDE w:val="0"/>
        <w:autoSpaceDN w:val="0"/>
        <w:adjustRightInd w:val="0"/>
        <w:contextualSpacing/>
        <w:textAlignment w:val="baseline"/>
        <w:rPr>
          <w:szCs w:val="20"/>
        </w:rPr>
      </w:pPr>
      <w:r>
        <w:t>uznała mieszkalnictwo za strukturalną kwestię społeczną i gospodarczą, a nie rynkową, oraz dążyła do opracowania unijnych ram zapewniających dostęp do przystępnych cenowo mieszkań.</w:t>
      </w:r>
    </w:p>
    <w:p w14:paraId="73EBB26E"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Uważa, że głównym mechanizmem wykorzystywanym do wdrażania finansowania w ramach europejskiej polityki spójności w sposób zintegrowany i ukierunkowany na konkretny obszar jest rozwój lokalny kierowany przez społeczność (RLKS). Rozwój lokalny kierowany przez społeczność w miastach/na obszarach miejskich (RLKS-M) musi wyjść poza obecny status pilotażowy i zostać uznany za jeden z najskuteczniejszych instrumentów aktywizacji społeczności lokalnych, tworzenia miejsc pracy, wzmacniania gospodarki społecznej i angażowania zainteresowanych stron.</w:t>
      </w:r>
    </w:p>
    <w:p w14:paraId="3429112F" w14:textId="77777777" w:rsidR="00F37962" w:rsidRPr="00E129EB" w:rsidRDefault="00F37962" w:rsidP="004C6742">
      <w:pPr>
        <w:numPr>
          <w:ilvl w:val="0"/>
          <w:numId w:val="21"/>
        </w:numPr>
        <w:overflowPunct w:val="0"/>
        <w:autoSpaceDE w:val="0"/>
        <w:autoSpaceDN w:val="0"/>
        <w:adjustRightInd w:val="0"/>
        <w:contextualSpacing/>
        <w:textAlignment w:val="baseline"/>
        <w:rPr>
          <w:szCs w:val="20"/>
        </w:rPr>
      </w:pPr>
      <w:r>
        <w:t xml:space="preserve">Uważa, że w przyszłości należy wprowadzić specjalny środek w celu konsolidacji RLKS-M poprzez jego formalne włączenie w procesy decyzyjne na szczeblu UE oraz w ukierunkowane konsultacje techniczne z ekspertami. </w:t>
      </w:r>
    </w:p>
    <w:p w14:paraId="26850F38" w14:textId="77777777" w:rsidR="00F37962" w:rsidRPr="00E129EB" w:rsidRDefault="00F37962" w:rsidP="00F37962">
      <w:pPr>
        <w:overflowPunct w:val="0"/>
        <w:autoSpaceDE w:val="0"/>
        <w:autoSpaceDN w:val="0"/>
        <w:adjustRightInd w:val="0"/>
        <w:ind w:left="360"/>
        <w:contextualSpacing/>
        <w:textAlignment w:val="baseline"/>
        <w:rPr>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F37962" w:rsidRPr="00E129EB" w14:paraId="51E81DDF" w14:textId="77777777" w:rsidTr="002E7EFB">
        <w:tc>
          <w:tcPr>
            <w:tcW w:w="1418" w:type="dxa"/>
          </w:tcPr>
          <w:p w14:paraId="59A59456" w14:textId="77777777" w:rsidR="00F37962" w:rsidRPr="00E129EB" w:rsidRDefault="00F37962" w:rsidP="002E7EFB">
            <w:pPr>
              <w:overflowPunct w:val="0"/>
              <w:autoSpaceDE w:val="0"/>
              <w:autoSpaceDN w:val="0"/>
              <w:adjustRightInd w:val="0"/>
              <w:textAlignment w:val="baseline"/>
              <w:rPr>
                <w:i/>
              </w:rPr>
            </w:pPr>
            <w:r>
              <w:rPr>
                <w:b/>
                <w:i/>
              </w:rPr>
              <w:t>Kontakt</w:t>
            </w:r>
          </w:p>
        </w:tc>
        <w:tc>
          <w:tcPr>
            <w:tcW w:w="7904" w:type="dxa"/>
          </w:tcPr>
          <w:p w14:paraId="40387B89" w14:textId="50D56D72" w:rsidR="00F37962" w:rsidRPr="00E129EB" w:rsidRDefault="00F37962" w:rsidP="002E7EFB">
            <w:pPr>
              <w:overflowPunct w:val="0"/>
              <w:autoSpaceDE w:val="0"/>
              <w:autoSpaceDN w:val="0"/>
              <w:adjustRightInd w:val="0"/>
              <w:textAlignment w:val="baseline"/>
              <w:rPr>
                <w:i/>
              </w:rPr>
            </w:pPr>
            <w:r>
              <w:rPr>
                <w:i/>
              </w:rPr>
              <w:t>Georgios Meleas</w:t>
            </w:r>
          </w:p>
        </w:tc>
      </w:tr>
      <w:tr w:rsidR="00F37962" w:rsidRPr="00E129EB" w14:paraId="0506E28A" w14:textId="77777777" w:rsidTr="002E7EFB">
        <w:tc>
          <w:tcPr>
            <w:tcW w:w="1418" w:type="dxa"/>
          </w:tcPr>
          <w:p w14:paraId="50CECB74" w14:textId="77777777" w:rsidR="00F37962" w:rsidRPr="00E129EB" w:rsidRDefault="00F37962" w:rsidP="002E7EFB">
            <w:pPr>
              <w:overflowPunct w:val="0"/>
              <w:autoSpaceDE w:val="0"/>
              <w:autoSpaceDN w:val="0"/>
              <w:adjustRightInd w:val="0"/>
              <w:textAlignment w:val="baseline"/>
              <w:rPr>
                <w:i/>
              </w:rPr>
            </w:pPr>
            <w:r>
              <w:rPr>
                <w:i/>
              </w:rPr>
              <w:t>tel.</w:t>
            </w:r>
          </w:p>
        </w:tc>
        <w:tc>
          <w:tcPr>
            <w:tcW w:w="7904" w:type="dxa"/>
          </w:tcPr>
          <w:p w14:paraId="285FFA02" w14:textId="69C35846" w:rsidR="00F37962" w:rsidRPr="00E129EB" w:rsidRDefault="00F37962" w:rsidP="002E7EFB">
            <w:pPr>
              <w:overflowPunct w:val="0"/>
              <w:autoSpaceDE w:val="0"/>
              <w:autoSpaceDN w:val="0"/>
              <w:adjustRightInd w:val="0"/>
              <w:textAlignment w:val="baseline"/>
              <w:rPr>
                <w:i/>
              </w:rPr>
            </w:pPr>
            <w:r>
              <w:rPr>
                <w:i/>
              </w:rPr>
              <w:t>+32 25469795</w:t>
            </w:r>
          </w:p>
        </w:tc>
      </w:tr>
      <w:tr w:rsidR="00F37962" w:rsidRPr="00E129EB" w14:paraId="436042E5" w14:textId="77777777" w:rsidTr="002E7EFB">
        <w:tc>
          <w:tcPr>
            <w:tcW w:w="1418" w:type="dxa"/>
          </w:tcPr>
          <w:p w14:paraId="742D8A5E" w14:textId="77777777" w:rsidR="00F37962" w:rsidRPr="00E129EB" w:rsidRDefault="00F37962" w:rsidP="002E7EFB">
            <w:pPr>
              <w:overflowPunct w:val="0"/>
              <w:autoSpaceDE w:val="0"/>
              <w:autoSpaceDN w:val="0"/>
              <w:adjustRightInd w:val="0"/>
              <w:textAlignment w:val="baseline"/>
              <w:rPr>
                <w:i/>
              </w:rPr>
            </w:pPr>
            <w:r>
              <w:rPr>
                <w:i/>
              </w:rPr>
              <w:t>e-mail</w:t>
            </w:r>
          </w:p>
        </w:tc>
        <w:tc>
          <w:tcPr>
            <w:tcW w:w="7904" w:type="dxa"/>
          </w:tcPr>
          <w:p w14:paraId="122227DF" w14:textId="1365B112" w:rsidR="00F37962" w:rsidRPr="00E129EB" w:rsidRDefault="00651F28" w:rsidP="002E7EFB">
            <w:pPr>
              <w:overflowPunct w:val="0"/>
              <w:autoSpaceDE w:val="0"/>
              <w:autoSpaceDN w:val="0"/>
              <w:adjustRightInd w:val="0"/>
              <w:textAlignment w:val="baseline"/>
              <w:rPr>
                <w:i/>
                <w:iCs/>
              </w:rPr>
            </w:pPr>
            <w:hyperlink r:id="rId22" w:history="1">
              <w:r>
                <w:rPr>
                  <w:i/>
                  <w:color w:val="0000FF"/>
                  <w:u w:val="single"/>
                </w:rPr>
                <w:t>Georgios.Meleas@eesc.europa.eu</w:t>
              </w:r>
            </w:hyperlink>
          </w:p>
        </w:tc>
      </w:tr>
    </w:tbl>
    <w:p w14:paraId="5EF31D76" w14:textId="20B5A01D" w:rsidR="005D1BBF" w:rsidRDefault="005D1BBF" w:rsidP="00F37962"/>
    <w:p w14:paraId="72CC36F3" w14:textId="77777777" w:rsidR="005D1BBF" w:rsidRDefault="005D1BBF">
      <w:pPr>
        <w:spacing w:after="160" w:line="259" w:lineRule="auto"/>
        <w:jc w:val="left"/>
      </w:pPr>
      <w:r>
        <w:br w:type="page"/>
      </w:r>
    </w:p>
    <w:p w14:paraId="461B4F15" w14:textId="19EEE85B" w:rsidR="00F37962" w:rsidRDefault="00A067F3" w:rsidP="004C6742">
      <w:pPr>
        <w:pStyle w:val="ListParagraph"/>
        <w:numPr>
          <w:ilvl w:val="0"/>
          <w:numId w:val="76"/>
        </w:numPr>
      </w:pPr>
      <w:hyperlink r:id="rId23" w:history="1">
        <w:r>
          <w:rPr>
            <w:b/>
            <w:i/>
            <w:color w:val="0000FF"/>
            <w:sz w:val="28"/>
            <w:u w:val="single"/>
          </w:rPr>
          <w:t>Pakiet dotyczący emerytur dodatkowych: OIPE i IORP</w:t>
        </w:r>
      </w:hyperlink>
    </w:p>
    <w:p w14:paraId="3E579047" w14:textId="77777777" w:rsidR="00F37962" w:rsidRPr="009360D7" w:rsidRDefault="00F37962" w:rsidP="00F37962">
      <w:pPr>
        <w:tabs>
          <w:tab w:val="center" w:pos="284"/>
        </w:tabs>
        <w:overflowPunct w:val="0"/>
        <w:autoSpaceDE w:val="0"/>
        <w:autoSpaceDN w:val="0"/>
        <w:adjustRightInd w:val="0"/>
        <w:ind w:left="266" w:hanging="266"/>
        <w:textAlignment w:val="baseline"/>
        <w:rPr>
          <w:b/>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0DA0566E" w14:textId="77777777" w:rsidTr="002E7EFB">
        <w:tc>
          <w:tcPr>
            <w:tcW w:w="1077" w:type="pct"/>
          </w:tcPr>
          <w:p w14:paraId="4046C9F6"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Sprawozdawczyni</w:t>
            </w:r>
          </w:p>
        </w:tc>
        <w:tc>
          <w:tcPr>
            <w:tcW w:w="3923" w:type="pct"/>
          </w:tcPr>
          <w:p w14:paraId="76BEB7DB" w14:textId="53F5F0D5"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BARRERA CHAMORRO Maria del Carmen (Grupa Pracowników – ES)</w:t>
            </w:r>
          </w:p>
        </w:tc>
      </w:tr>
      <w:tr w:rsidR="00F37962" w:rsidRPr="009360D7" w14:paraId="68747D90" w14:textId="77777777" w:rsidTr="002E7EFB">
        <w:tc>
          <w:tcPr>
            <w:tcW w:w="1077" w:type="pct"/>
          </w:tcPr>
          <w:p w14:paraId="5B2075D4"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lang w:val="es-ES"/>
              </w:rPr>
            </w:pPr>
          </w:p>
        </w:tc>
        <w:tc>
          <w:tcPr>
            <w:tcW w:w="3923" w:type="pct"/>
          </w:tcPr>
          <w:p w14:paraId="075524E1" w14:textId="77777777" w:rsidR="00F37962" w:rsidRPr="009360D7" w:rsidRDefault="00F37962" w:rsidP="004C6742">
            <w:pPr>
              <w:tabs>
                <w:tab w:val="center" w:pos="284"/>
              </w:tabs>
              <w:overflowPunct w:val="0"/>
              <w:autoSpaceDE w:val="0"/>
              <w:autoSpaceDN w:val="0"/>
              <w:adjustRightInd w:val="0"/>
              <w:spacing w:line="240" w:lineRule="auto"/>
              <w:ind w:left="266" w:right="-3091" w:hanging="266"/>
              <w:textAlignment w:val="baseline"/>
              <w:rPr>
                <w:lang w:val="es-ES"/>
              </w:rPr>
            </w:pPr>
          </w:p>
        </w:tc>
      </w:tr>
      <w:tr w:rsidR="00F37962" w:rsidRPr="009360D7" w14:paraId="5E5AA138" w14:textId="77777777" w:rsidTr="002E7EFB">
        <w:tc>
          <w:tcPr>
            <w:tcW w:w="1077" w:type="pct"/>
          </w:tcPr>
          <w:p w14:paraId="5801F57F" w14:textId="77777777" w:rsidR="00F37962" w:rsidRPr="009360D7" w:rsidRDefault="00F37962" w:rsidP="004C6742">
            <w:pPr>
              <w:tabs>
                <w:tab w:val="center" w:pos="284"/>
              </w:tabs>
              <w:overflowPunct w:val="0"/>
              <w:autoSpaceDE w:val="0"/>
              <w:autoSpaceDN w:val="0"/>
              <w:adjustRightInd w:val="0"/>
              <w:spacing w:line="240" w:lineRule="auto"/>
              <w:ind w:left="266" w:hanging="266"/>
              <w:textAlignment w:val="baseline"/>
              <w:rPr>
                <w:b/>
              </w:rPr>
            </w:pPr>
            <w:r>
              <w:rPr>
                <w:b/>
              </w:rPr>
              <w:t>Dokumenty</w:t>
            </w:r>
          </w:p>
        </w:tc>
        <w:tc>
          <w:tcPr>
            <w:tcW w:w="3923" w:type="pct"/>
          </w:tcPr>
          <w:p w14:paraId="5E33F076"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839 final </w:t>
            </w:r>
          </w:p>
          <w:p w14:paraId="099CCB38" w14:textId="1D24FF1C"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 xml:space="preserve">COM(2025) 840 final </w:t>
            </w:r>
          </w:p>
          <w:p w14:paraId="5F2CC97B" w14:textId="2F5BA5F2"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COM(2025) 842 final</w:t>
            </w:r>
          </w:p>
          <w:p w14:paraId="543A5EFB" w14:textId="77777777" w:rsidR="00F37962" w:rsidRPr="009360D7" w:rsidRDefault="00F37962" w:rsidP="004C6742">
            <w:pPr>
              <w:tabs>
                <w:tab w:val="center" w:pos="284"/>
              </w:tabs>
              <w:overflowPunct w:val="0"/>
              <w:autoSpaceDE w:val="0"/>
              <w:autoSpaceDN w:val="0"/>
              <w:adjustRightInd w:val="0"/>
              <w:spacing w:line="240" w:lineRule="auto"/>
              <w:ind w:left="550" w:right="-3091" w:hanging="266"/>
              <w:textAlignment w:val="baseline"/>
            </w:pPr>
            <w:r>
              <w:t>EESC-2025-04204-00-00-AC</w:t>
            </w:r>
          </w:p>
        </w:tc>
      </w:tr>
    </w:tbl>
    <w:p w14:paraId="55E7B99C" w14:textId="2C46A19E" w:rsidR="00F37962" w:rsidRPr="009360D7" w:rsidRDefault="00F37962" w:rsidP="00F37962">
      <w:pPr>
        <w:tabs>
          <w:tab w:val="center" w:pos="284"/>
        </w:tabs>
        <w:overflowPunct w:val="0"/>
        <w:autoSpaceDE w:val="0"/>
        <w:autoSpaceDN w:val="0"/>
        <w:adjustRightInd w:val="0"/>
        <w:ind w:left="266" w:hanging="266"/>
        <w:textAlignment w:val="baseline"/>
        <w:rPr>
          <w:b/>
          <w:lang w:val="pt-PT"/>
        </w:rPr>
      </w:pPr>
    </w:p>
    <w:p w14:paraId="35C86E76"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rPr>
      </w:pPr>
      <w:r>
        <w:rPr>
          <w:b/>
        </w:rPr>
        <w:t>Główne punkty</w:t>
      </w:r>
    </w:p>
    <w:p w14:paraId="65428812" w14:textId="77777777" w:rsidR="00F37962" w:rsidRPr="009360D7" w:rsidRDefault="00F37962" w:rsidP="00F37962">
      <w:pPr>
        <w:keepNext/>
        <w:keepLines/>
        <w:tabs>
          <w:tab w:val="center" w:pos="284"/>
        </w:tabs>
        <w:overflowPunct w:val="0"/>
        <w:autoSpaceDE w:val="0"/>
        <w:autoSpaceDN w:val="0"/>
        <w:adjustRightInd w:val="0"/>
        <w:ind w:left="266" w:hanging="266"/>
        <w:textAlignment w:val="baseline"/>
        <w:rPr>
          <w:b/>
          <w:lang w:val="en-GB"/>
        </w:rPr>
      </w:pPr>
    </w:p>
    <w:p w14:paraId="446B0743" w14:textId="77777777" w:rsidR="00F37962" w:rsidRDefault="00F37962" w:rsidP="00F37962">
      <w:pPr>
        <w:overflowPunct w:val="0"/>
        <w:autoSpaceDE w:val="0"/>
        <w:autoSpaceDN w:val="0"/>
        <w:adjustRightInd w:val="0"/>
        <w:textAlignment w:val="baseline"/>
        <w:rPr>
          <w:bCs/>
          <w:iCs/>
        </w:rPr>
      </w:pPr>
      <w:r>
        <w:t>EKES:</w:t>
      </w:r>
    </w:p>
    <w:p w14:paraId="3B37DD9F" w14:textId="7DAE49C8"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Uznaje</w:t>
      </w:r>
      <w:r>
        <w:t xml:space="preserve"> korzyści płynące z </w:t>
      </w:r>
      <w:r>
        <w:rPr>
          <w:b/>
        </w:rPr>
        <w:t>wielofilarowego systemu emerytalnego</w:t>
      </w:r>
      <w:r>
        <w:t xml:space="preserve"> i uważa, że dodatkowe emerytury nie powinny usprawiedliwiać osłabienia emerytur publicznych, zapewniając wszystkim obywatelom w całej UE możliwość przejścia na emeryturę z godnością, bezpieczeństwem i</w:t>
      </w:r>
      <w:r w:rsidR="005C5C88">
        <w:t> </w:t>
      </w:r>
      <w:r>
        <w:t xml:space="preserve">odpowiednim dochodem. </w:t>
      </w:r>
      <w:r>
        <w:rPr>
          <w:b/>
        </w:rPr>
        <w:t>Konieczne jest całościowe podejście</w:t>
      </w:r>
      <w:r>
        <w:t xml:space="preserve"> na właściwym szczeblu – krajowym lub europejskim, które powinno obejmować poprawę zarówno rynku pracy, jak i</w:t>
      </w:r>
      <w:r w:rsidR="005C5C88">
        <w:t> </w:t>
      </w:r>
      <w:r>
        <w:t>systemu emerytur dodatkowych.</w:t>
      </w:r>
    </w:p>
    <w:p w14:paraId="693DE00C" w14:textId="382B9FC2"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Zaleca</w:t>
      </w:r>
      <w:r>
        <w:t xml:space="preserve"> podjęcie odpowiednich środków w celu </w:t>
      </w:r>
      <w:r>
        <w:rPr>
          <w:b/>
        </w:rPr>
        <w:t>wzmocnienia zarządzania partycypacyjnego</w:t>
      </w:r>
      <w:r>
        <w:t xml:space="preserve"> i</w:t>
      </w:r>
      <w:r w:rsidR="005C5C88">
        <w:t> </w:t>
      </w:r>
      <w:r>
        <w:t>promowania zaangażowania partnerów społecznych, z zachowaniem ich swobody negocjowania i</w:t>
      </w:r>
      <w:r w:rsidR="005C5C88">
        <w:t> </w:t>
      </w:r>
      <w:r>
        <w:t>z poszanowaniem różnorodności systemów w UE.</w:t>
      </w:r>
    </w:p>
    <w:p w14:paraId="05C90A8C"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Zaleca</w:t>
      </w:r>
      <w:r>
        <w:t xml:space="preserve"> wprowadzenie konkretnych zmian do </w:t>
      </w:r>
      <w:r>
        <w:rPr>
          <w:b/>
        </w:rPr>
        <w:t>dyrektywy IORP</w:t>
      </w:r>
      <w:r>
        <w:t xml:space="preserve"> w celu ograniczenia fragmentacji, zwiększenia porównywalności i przejrzystości oraz zapewnienia zaufania uczestników programów.</w:t>
      </w:r>
    </w:p>
    <w:p w14:paraId="0CA65CB4"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Zaleca</w:t>
      </w:r>
      <w:r>
        <w:t xml:space="preserve"> wprowadzenie konkretnych zmian do </w:t>
      </w:r>
      <w:r>
        <w:rPr>
          <w:b/>
        </w:rPr>
        <w:t>rozporządzenia w sprawie OIPE</w:t>
      </w:r>
      <w:r>
        <w:t>, w tym zmian dotyczących informacji i doradztwa, roli EIOPA oraz transferów transgranicznych.</w:t>
      </w:r>
    </w:p>
    <w:p w14:paraId="653F0F93"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Zaleca</w:t>
      </w:r>
      <w:r>
        <w:t xml:space="preserve"> środki na rzecz większej </w:t>
      </w:r>
      <w:r>
        <w:rPr>
          <w:b/>
        </w:rPr>
        <w:t>równowagi płci</w:t>
      </w:r>
      <w:r>
        <w:t xml:space="preserve"> oraz </w:t>
      </w:r>
      <w:r>
        <w:rPr>
          <w:b/>
        </w:rPr>
        <w:t>wzmocnienia zaufania publicznego</w:t>
      </w:r>
      <w:r>
        <w:t xml:space="preserve"> do produktów emerytalnych, a także </w:t>
      </w:r>
      <w:r>
        <w:rPr>
          <w:b/>
        </w:rPr>
        <w:t>zachowanie indywidualnego charakteru OIPE</w:t>
      </w:r>
      <w:r>
        <w:t>, bez zezwalania na transakcje grupowe.</w:t>
      </w:r>
    </w:p>
    <w:p w14:paraId="3F455E5B"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Wzywa</w:t>
      </w:r>
      <w:r>
        <w:t xml:space="preserve"> współprawodawców do rozważenia </w:t>
      </w:r>
      <w:r>
        <w:rPr>
          <w:b/>
        </w:rPr>
        <w:t>przeformułowania zasady „ostrożnego inwestora”</w:t>
      </w:r>
      <w:r>
        <w:t xml:space="preserve">, o której mowa w dyrektywie IORP, w celu </w:t>
      </w:r>
      <w:r>
        <w:rPr>
          <w:b/>
        </w:rPr>
        <w:t>znalezienia właściwej równowagi</w:t>
      </w:r>
      <w:r>
        <w:t xml:space="preserve"> między ryzykiem inwestycyjnym a gwarantowaniem składek z systemu.</w:t>
      </w:r>
    </w:p>
    <w:p w14:paraId="6341AEBC" w14:textId="1FC281D6"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Zaleca</w:t>
      </w:r>
      <w:r>
        <w:t xml:space="preserve">, aby </w:t>
      </w:r>
      <w:r>
        <w:rPr>
          <w:b/>
        </w:rPr>
        <w:t>automatyczna rejestracja</w:t>
      </w:r>
      <w:r>
        <w:t xml:space="preserve"> była wynikiem wzmocnionego </w:t>
      </w:r>
      <w:r>
        <w:rPr>
          <w:b/>
        </w:rPr>
        <w:t>dialogu społecznego</w:t>
      </w:r>
      <w:r>
        <w:t xml:space="preserve"> i</w:t>
      </w:r>
      <w:r w:rsidR="005C5C88">
        <w:t> </w:t>
      </w:r>
      <w:r>
        <w:t>rokowań zbiorowych, w stosownych przypadkach, przy zachowaniu swobody partnerów społecznych w zakresie negocjowania, opracowywania i decydowania o automatycznej rejestracji.</w:t>
      </w:r>
    </w:p>
    <w:p w14:paraId="69D94ECA"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Rekomenduje</w:t>
      </w:r>
      <w:r>
        <w:t xml:space="preserve"> powołanie przez Komisję Europejską </w:t>
      </w:r>
      <w:r>
        <w:rPr>
          <w:b/>
        </w:rPr>
        <w:t>komitetu monitorującego</w:t>
      </w:r>
      <w:r>
        <w:t xml:space="preserve"> w celu skutecznego </w:t>
      </w:r>
      <w:r>
        <w:rPr>
          <w:b/>
        </w:rPr>
        <w:t>monitorowania postępów w zakresie emerytur dodatkowych</w:t>
      </w:r>
      <w:r>
        <w:t xml:space="preserve">. Powinien on obejmować organy publiczne, partnerów społecznych i organizacje społeczeństwa obywatelskiego. Jego prace powinny </w:t>
      </w:r>
      <w:r>
        <w:rPr>
          <w:b/>
        </w:rPr>
        <w:t>stanowić podstawę</w:t>
      </w:r>
      <w:r>
        <w:t xml:space="preserve"> przyszłych zmian regulacyjnych i wkład w prace europejskiego semestru i Rady.</w:t>
      </w:r>
    </w:p>
    <w:p w14:paraId="50B09C2F"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Zaleca środki</w:t>
      </w:r>
      <w:r>
        <w:t xml:space="preserve"> mające na celu </w:t>
      </w:r>
      <w:r>
        <w:rPr>
          <w:b/>
        </w:rPr>
        <w:t>złagodzenie</w:t>
      </w:r>
      <w:r>
        <w:t xml:space="preserve"> potencjalnego wpływu na </w:t>
      </w:r>
      <w:r>
        <w:rPr>
          <w:b/>
        </w:rPr>
        <w:t>stabilność</w:t>
      </w:r>
      <w:r>
        <w:t xml:space="preserve"> emerytur oraz na </w:t>
      </w:r>
      <w:r>
        <w:rPr>
          <w:b/>
        </w:rPr>
        <w:t>ubóstwo</w:t>
      </w:r>
      <w:r>
        <w:t xml:space="preserve"> i </w:t>
      </w:r>
      <w:r>
        <w:rPr>
          <w:b/>
        </w:rPr>
        <w:t>nierówności</w:t>
      </w:r>
      <w:r>
        <w:t>.</w:t>
      </w:r>
    </w:p>
    <w:p w14:paraId="22649A22"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szCs w:val="20"/>
        </w:rPr>
      </w:pPr>
      <w:r>
        <w:rPr>
          <w:b/>
        </w:rPr>
        <w:t>Rekomenduje</w:t>
      </w:r>
      <w:r>
        <w:t xml:space="preserve"> zakończenie prac nad koordynacją </w:t>
      </w:r>
      <w:r>
        <w:rPr>
          <w:b/>
        </w:rPr>
        <w:t>cyfryzacji europejskich systemów zabezpieczenia społecznego</w:t>
      </w:r>
      <w:r>
        <w:t>.</w:t>
      </w:r>
    </w:p>
    <w:p w14:paraId="0879C2C7" w14:textId="77777777" w:rsidR="00A40127" w:rsidRPr="00A40127" w:rsidRDefault="00A40127" w:rsidP="004C6742">
      <w:pPr>
        <w:numPr>
          <w:ilvl w:val="0"/>
          <w:numId w:val="74"/>
        </w:numPr>
        <w:overflowPunct w:val="0"/>
        <w:autoSpaceDE w:val="0"/>
        <w:autoSpaceDN w:val="0"/>
        <w:adjustRightInd w:val="0"/>
        <w:spacing w:line="283" w:lineRule="auto"/>
        <w:ind w:left="284" w:hanging="284"/>
        <w:textAlignment w:val="baseline"/>
        <w:outlineLvl w:val="1"/>
        <w:rPr>
          <w:bCs/>
          <w:iCs/>
          <w:szCs w:val="20"/>
        </w:rPr>
      </w:pPr>
      <w:r>
        <w:rPr>
          <w:b/>
        </w:rPr>
        <w:t>Podkreśla</w:t>
      </w:r>
      <w:r>
        <w:t xml:space="preserve"> potrzebę </w:t>
      </w:r>
      <w:r>
        <w:rPr>
          <w:b/>
        </w:rPr>
        <w:t>edukacji finansowej</w:t>
      </w:r>
      <w:r>
        <w:t xml:space="preserve"> wspieranej przez przyjazne dla użytkownika </w:t>
      </w:r>
      <w:r>
        <w:rPr>
          <w:b/>
        </w:rPr>
        <w:t>narzędzia śledzenia</w:t>
      </w:r>
      <w:r>
        <w:t xml:space="preserve"> oraz dostęp do </w:t>
      </w:r>
      <w:r>
        <w:rPr>
          <w:b/>
        </w:rPr>
        <w:t>wytycznych i porad</w:t>
      </w:r>
      <w:r>
        <w:t xml:space="preserve"> w celu podejmowania decyzji.</w:t>
      </w:r>
    </w:p>
    <w:p w14:paraId="029BFBEF" w14:textId="77777777" w:rsidR="00613302" w:rsidRDefault="00613302" w:rsidP="00F37962">
      <w:pPr>
        <w:widowControl w:val="0"/>
        <w:overflowPunct w:val="0"/>
        <w:autoSpaceDE w:val="0"/>
        <w:autoSpaceDN w:val="0"/>
        <w:adjustRightInd w:val="0"/>
        <w:ind w:left="709"/>
        <w:textAlignment w:val="baseline"/>
        <w:rPr>
          <w:szCs w:val="20"/>
          <w:lang w:val="en-GB"/>
        </w:rPr>
      </w:pPr>
    </w:p>
    <w:p w14:paraId="77373850" w14:textId="77777777" w:rsidR="00AF59A8" w:rsidRPr="009360D7" w:rsidRDefault="00AF59A8" w:rsidP="00F37962">
      <w:pPr>
        <w:widowControl w:val="0"/>
        <w:overflowPunct w:val="0"/>
        <w:autoSpaceDE w:val="0"/>
        <w:autoSpaceDN w:val="0"/>
        <w:adjustRightInd w:val="0"/>
        <w:ind w:left="709"/>
        <w:textAlignment w:val="baseline"/>
        <w:rPr>
          <w:szCs w:val="20"/>
          <w:lang w:val="en-GB"/>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F37962" w:rsidRPr="009360D7" w14:paraId="2F150675" w14:textId="77777777" w:rsidTr="002E7EFB">
        <w:tc>
          <w:tcPr>
            <w:tcW w:w="1077" w:type="pct"/>
          </w:tcPr>
          <w:p w14:paraId="0E22D454" w14:textId="77777777" w:rsidR="00F37962" w:rsidRPr="009360D7" w:rsidRDefault="00F37962" w:rsidP="002E7EFB">
            <w:pPr>
              <w:overflowPunct w:val="0"/>
              <w:autoSpaceDE w:val="0"/>
              <w:autoSpaceDN w:val="0"/>
              <w:adjustRightInd w:val="0"/>
              <w:textAlignment w:val="baseline"/>
              <w:rPr>
                <w:i/>
              </w:rPr>
            </w:pPr>
            <w:r>
              <w:rPr>
                <w:b/>
                <w:i/>
              </w:rPr>
              <w:lastRenderedPageBreak/>
              <w:t>Kontakt</w:t>
            </w:r>
          </w:p>
        </w:tc>
        <w:tc>
          <w:tcPr>
            <w:tcW w:w="3923" w:type="pct"/>
          </w:tcPr>
          <w:p w14:paraId="69384752" w14:textId="77777777" w:rsidR="00F37962" w:rsidRPr="009360D7" w:rsidRDefault="00F37962" w:rsidP="002E7EFB">
            <w:pPr>
              <w:overflowPunct w:val="0"/>
              <w:autoSpaceDE w:val="0"/>
              <w:autoSpaceDN w:val="0"/>
              <w:adjustRightInd w:val="0"/>
              <w:textAlignment w:val="baseline"/>
              <w:rPr>
                <w:i/>
              </w:rPr>
            </w:pPr>
            <w:r>
              <w:rPr>
                <w:i/>
              </w:rPr>
              <w:t>Sergio Lorencio Matallana</w:t>
            </w:r>
          </w:p>
        </w:tc>
      </w:tr>
      <w:tr w:rsidR="00F37962" w:rsidRPr="009360D7" w14:paraId="6F824D39" w14:textId="77777777" w:rsidTr="002E7EFB">
        <w:tc>
          <w:tcPr>
            <w:tcW w:w="1077" w:type="pct"/>
          </w:tcPr>
          <w:p w14:paraId="54A57F09" w14:textId="77777777" w:rsidR="00F37962" w:rsidRPr="009360D7" w:rsidRDefault="00F37962" w:rsidP="002E7EFB">
            <w:pPr>
              <w:overflowPunct w:val="0"/>
              <w:autoSpaceDE w:val="0"/>
              <w:autoSpaceDN w:val="0"/>
              <w:adjustRightInd w:val="0"/>
              <w:textAlignment w:val="baseline"/>
              <w:rPr>
                <w:i/>
              </w:rPr>
            </w:pPr>
            <w:r>
              <w:rPr>
                <w:i/>
              </w:rPr>
              <w:t>tel.</w:t>
            </w:r>
          </w:p>
        </w:tc>
        <w:tc>
          <w:tcPr>
            <w:tcW w:w="3923" w:type="pct"/>
          </w:tcPr>
          <w:p w14:paraId="6C074F83" w14:textId="77777777" w:rsidR="00F37962" w:rsidRPr="009360D7" w:rsidRDefault="00F37962" w:rsidP="002E7EFB">
            <w:pPr>
              <w:overflowPunct w:val="0"/>
              <w:autoSpaceDE w:val="0"/>
              <w:autoSpaceDN w:val="0"/>
              <w:adjustRightInd w:val="0"/>
              <w:textAlignment w:val="baseline"/>
              <w:rPr>
                <w:i/>
              </w:rPr>
            </w:pPr>
            <w:r>
              <w:rPr>
                <w:i/>
              </w:rPr>
              <w:t>+32 25469240</w:t>
            </w:r>
          </w:p>
        </w:tc>
      </w:tr>
      <w:tr w:rsidR="00F37962" w:rsidRPr="009360D7" w14:paraId="4CBC8AD0" w14:textId="77777777" w:rsidTr="002E7EFB">
        <w:tc>
          <w:tcPr>
            <w:tcW w:w="1077" w:type="pct"/>
          </w:tcPr>
          <w:p w14:paraId="74D96EA0" w14:textId="77777777" w:rsidR="00F37962" w:rsidRPr="009360D7" w:rsidRDefault="00F37962" w:rsidP="002E7EFB">
            <w:pPr>
              <w:overflowPunct w:val="0"/>
              <w:autoSpaceDE w:val="0"/>
              <w:autoSpaceDN w:val="0"/>
              <w:adjustRightInd w:val="0"/>
              <w:textAlignment w:val="baseline"/>
              <w:rPr>
                <w:i/>
              </w:rPr>
            </w:pPr>
            <w:r>
              <w:rPr>
                <w:i/>
              </w:rPr>
              <w:t>e-mail</w:t>
            </w:r>
          </w:p>
        </w:tc>
        <w:tc>
          <w:tcPr>
            <w:tcW w:w="3923" w:type="pct"/>
          </w:tcPr>
          <w:p w14:paraId="5475F81E" w14:textId="33FF0C2C" w:rsidR="00F37962" w:rsidRPr="009360D7" w:rsidRDefault="00651F28" w:rsidP="002E7EFB">
            <w:pPr>
              <w:overflowPunct w:val="0"/>
              <w:autoSpaceDE w:val="0"/>
              <w:autoSpaceDN w:val="0"/>
              <w:adjustRightInd w:val="0"/>
              <w:textAlignment w:val="baseline"/>
              <w:rPr>
                <w:i/>
              </w:rPr>
            </w:pPr>
            <w:hyperlink r:id="rId24" w:history="1">
              <w:r>
                <w:rPr>
                  <w:i/>
                  <w:color w:val="0000FF"/>
                  <w:u w:val="single"/>
                </w:rPr>
                <w:t>Sergio.LorencioMatallana@eesc.europa.eu</w:t>
              </w:r>
            </w:hyperlink>
          </w:p>
        </w:tc>
      </w:tr>
      <w:tr w:rsidR="00BC1478" w:rsidRPr="009360D7" w14:paraId="0B098D50" w14:textId="77777777" w:rsidTr="002E7EFB">
        <w:tc>
          <w:tcPr>
            <w:tcW w:w="1077" w:type="pct"/>
          </w:tcPr>
          <w:p w14:paraId="16C6980E" w14:textId="77777777" w:rsidR="00BC1478" w:rsidRPr="009360D7" w:rsidRDefault="00BC1478" w:rsidP="002E7EFB">
            <w:pPr>
              <w:overflowPunct w:val="0"/>
              <w:autoSpaceDE w:val="0"/>
              <w:autoSpaceDN w:val="0"/>
              <w:adjustRightInd w:val="0"/>
              <w:textAlignment w:val="baseline"/>
              <w:rPr>
                <w:i/>
              </w:rPr>
            </w:pPr>
          </w:p>
        </w:tc>
        <w:tc>
          <w:tcPr>
            <w:tcW w:w="3923" w:type="pct"/>
          </w:tcPr>
          <w:p w14:paraId="5BC40BE7" w14:textId="77777777" w:rsidR="00BC1478" w:rsidRPr="009360D7" w:rsidRDefault="00BC1478" w:rsidP="002E7EFB">
            <w:pPr>
              <w:overflowPunct w:val="0"/>
              <w:autoSpaceDE w:val="0"/>
              <w:autoSpaceDN w:val="0"/>
              <w:adjustRightInd w:val="0"/>
              <w:textAlignment w:val="baseline"/>
              <w:rPr>
                <w:lang w:val="en-GB"/>
              </w:rPr>
            </w:pPr>
          </w:p>
        </w:tc>
      </w:tr>
      <w:tr w:rsidR="00BC1478" w:rsidRPr="009360D7" w14:paraId="50525A98" w14:textId="77777777" w:rsidTr="002E7EFB">
        <w:tc>
          <w:tcPr>
            <w:tcW w:w="1077" w:type="pct"/>
          </w:tcPr>
          <w:p w14:paraId="75CC5483" w14:textId="417D7763" w:rsidR="00BC1478" w:rsidRPr="009360D7" w:rsidRDefault="00BC1478" w:rsidP="002E7EFB">
            <w:pPr>
              <w:overflowPunct w:val="0"/>
              <w:autoSpaceDE w:val="0"/>
              <w:autoSpaceDN w:val="0"/>
              <w:adjustRightInd w:val="0"/>
              <w:textAlignment w:val="baseline"/>
              <w:rPr>
                <w:i/>
              </w:rPr>
            </w:pPr>
          </w:p>
        </w:tc>
        <w:tc>
          <w:tcPr>
            <w:tcW w:w="3923" w:type="pct"/>
          </w:tcPr>
          <w:p w14:paraId="3AD31ED3" w14:textId="77777777" w:rsidR="00BC1478" w:rsidRPr="009360D7" w:rsidRDefault="00BC1478" w:rsidP="002E7EFB">
            <w:pPr>
              <w:overflowPunct w:val="0"/>
              <w:autoSpaceDE w:val="0"/>
              <w:autoSpaceDN w:val="0"/>
              <w:adjustRightInd w:val="0"/>
              <w:textAlignment w:val="baseline"/>
              <w:rPr>
                <w:lang w:val="en-GB"/>
              </w:rPr>
            </w:pPr>
          </w:p>
        </w:tc>
      </w:tr>
    </w:tbl>
    <w:p w14:paraId="78262753" w14:textId="248BD617" w:rsidR="00A067F3" w:rsidRDefault="00A067F3" w:rsidP="001766B2">
      <w:pPr>
        <w:jc w:val="left"/>
      </w:pPr>
    </w:p>
    <w:p w14:paraId="23A0EDCC" w14:textId="77777777" w:rsidR="00A067F3" w:rsidRDefault="00A067F3">
      <w:pPr>
        <w:spacing w:after="160" w:line="259" w:lineRule="auto"/>
        <w:jc w:val="left"/>
      </w:pPr>
      <w:r>
        <w:br w:type="page"/>
      </w:r>
    </w:p>
    <w:p w14:paraId="4982DD99" w14:textId="592F9C95" w:rsidR="004D7AC0" w:rsidRDefault="004D7AC0" w:rsidP="004C6742">
      <w:pPr>
        <w:pStyle w:val="Heading2"/>
      </w:pPr>
      <w:bookmarkStart w:id="1" w:name="_Toc75527081"/>
      <w:bookmarkStart w:id="2" w:name="_Toc229140654"/>
      <w:r>
        <w:lastRenderedPageBreak/>
        <w:t>ZATRUDNIENIE, SPRAWY SPOŁECZNE I OBYWATELSTWO</w:t>
      </w:r>
      <w:bookmarkEnd w:id="1"/>
      <w:bookmarkEnd w:id="2"/>
    </w:p>
    <w:p w14:paraId="4982DD9A" w14:textId="77777777" w:rsidR="004D7AC0" w:rsidRDefault="004D7AC0" w:rsidP="001766B2"/>
    <w:p w14:paraId="0FBA9E33" w14:textId="6707EA5B" w:rsidR="00943240" w:rsidRPr="00943240" w:rsidRDefault="00943240" w:rsidP="00943240">
      <w:pPr>
        <w:widowControl w:val="0"/>
        <w:numPr>
          <w:ilvl w:val="0"/>
          <w:numId w:val="8"/>
        </w:numPr>
        <w:overflowPunct w:val="0"/>
        <w:autoSpaceDE w:val="0"/>
        <w:autoSpaceDN w:val="0"/>
        <w:adjustRightInd w:val="0"/>
        <w:ind w:left="567" w:hanging="567"/>
        <w:textAlignment w:val="baseline"/>
        <w:rPr>
          <w:b/>
        </w:rPr>
      </w:pPr>
      <w:hyperlink r:id="rId25" w:history="1">
        <w:r>
          <w:rPr>
            <w:b/>
            <w:i/>
            <w:color w:val="0000FF"/>
            <w:sz w:val="28"/>
            <w:u w:val="single"/>
          </w:rPr>
          <w:t>Zakaz praktyk konwersyjnych w Unii Europejskiej</w:t>
        </w:r>
      </w:hyperlink>
    </w:p>
    <w:p w14:paraId="0553C86C" w14:textId="77777777" w:rsidR="00943240" w:rsidRPr="007B5DF5" w:rsidRDefault="00943240" w:rsidP="00943240">
      <w:pPr>
        <w:tabs>
          <w:tab w:val="center" w:pos="284"/>
        </w:tabs>
        <w:overflowPunct w:val="0"/>
        <w:autoSpaceDE w:val="0"/>
        <w:autoSpaceDN w:val="0"/>
        <w:adjustRightInd w:val="0"/>
        <w:ind w:left="567" w:hanging="567"/>
        <w:textAlignment w:val="baseline"/>
        <w:rPr>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6237"/>
      </w:tblGrid>
      <w:tr w:rsidR="00943240" w:rsidRPr="00943240" w14:paraId="4E8345CE" w14:textId="77777777" w:rsidTr="007B5DF5">
        <w:tc>
          <w:tcPr>
            <w:tcW w:w="2017" w:type="dxa"/>
          </w:tcPr>
          <w:p w14:paraId="7A3C8C0E"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Sprawozdawca</w:t>
            </w:r>
          </w:p>
        </w:tc>
        <w:tc>
          <w:tcPr>
            <w:tcW w:w="6237" w:type="dxa"/>
          </w:tcPr>
          <w:p w14:paraId="7FD5F775" w14:textId="77777777" w:rsidR="00943240" w:rsidRPr="00943240" w:rsidRDefault="00943240" w:rsidP="00943240">
            <w:pPr>
              <w:overflowPunct w:val="0"/>
              <w:autoSpaceDE w:val="0"/>
              <w:autoSpaceDN w:val="0"/>
              <w:adjustRightInd w:val="0"/>
              <w:ind w:left="567" w:hanging="567"/>
              <w:textAlignment w:val="baseline"/>
            </w:pPr>
            <w:r>
              <w:t>Pascal DEBAY (Grupa Pracowników – FR)</w:t>
            </w:r>
          </w:p>
        </w:tc>
      </w:tr>
      <w:tr w:rsidR="00943240" w:rsidRPr="00943240" w14:paraId="007125B5" w14:textId="77777777" w:rsidTr="007B5DF5">
        <w:tc>
          <w:tcPr>
            <w:tcW w:w="2017" w:type="dxa"/>
          </w:tcPr>
          <w:p w14:paraId="1D19C4E2"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Współsprawozdawca</w:t>
            </w:r>
          </w:p>
        </w:tc>
        <w:tc>
          <w:tcPr>
            <w:tcW w:w="6237" w:type="dxa"/>
          </w:tcPr>
          <w:p w14:paraId="00A2CBCD" w14:textId="77777777" w:rsidR="00943240" w:rsidRPr="00943240" w:rsidRDefault="00943240" w:rsidP="00943240">
            <w:pPr>
              <w:overflowPunct w:val="0"/>
              <w:autoSpaceDE w:val="0"/>
              <w:autoSpaceDN w:val="0"/>
              <w:adjustRightInd w:val="0"/>
              <w:ind w:left="567" w:hanging="567"/>
              <w:textAlignment w:val="baseline"/>
            </w:pPr>
            <w:r>
              <w:t>Ionuţ SIBIAN (Grupa Organizacji Społeczeństwa Obywatelskiego – RO)</w:t>
            </w:r>
          </w:p>
        </w:tc>
      </w:tr>
      <w:tr w:rsidR="00943240" w:rsidRPr="00943240" w14:paraId="2715214D" w14:textId="77777777" w:rsidTr="007B5DF5">
        <w:tc>
          <w:tcPr>
            <w:tcW w:w="2017" w:type="dxa"/>
          </w:tcPr>
          <w:p w14:paraId="0FC04702" w14:textId="77777777" w:rsidR="00943240" w:rsidRPr="00943240" w:rsidRDefault="00943240" w:rsidP="00943240">
            <w:pPr>
              <w:tabs>
                <w:tab w:val="center" w:pos="284"/>
              </w:tabs>
              <w:overflowPunct w:val="0"/>
              <w:autoSpaceDE w:val="0"/>
              <w:autoSpaceDN w:val="0"/>
              <w:adjustRightInd w:val="0"/>
              <w:ind w:left="567" w:hanging="567"/>
              <w:textAlignment w:val="baseline"/>
              <w:rPr>
                <w:b/>
                <w:lang w:val="en-IE"/>
              </w:rPr>
            </w:pPr>
          </w:p>
        </w:tc>
        <w:tc>
          <w:tcPr>
            <w:tcW w:w="6237" w:type="dxa"/>
          </w:tcPr>
          <w:p w14:paraId="5E70C3D1" w14:textId="77777777" w:rsidR="00943240" w:rsidRPr="00943240" w:rsidRDefault="00943240" w:rsidP="00943240">
            <w:pPr>
              <w:overflowPunct w:val="0"/>
              <w:autoSpaceDE w:val="0"/>
              <w:autoSpaceDN w:val="0"/>
              <w:adjustRightInd w:val="0"/>
              <w:ind w:left="567" w:hanging="567"/>
              <w:textAlignment w:val="baseline"/>
              <w:rPr>
                <w:lang w:val="en-IE"/>
              </w:rPr>
            </w:pPr>
          </w:p>
        </w:tc>
      </w:tr>
      <w:tr w:rsidR="00943240" w:rsidRPr="00943240" w14:paraId="65C847A0" w14:textId="77777777" w:rsidTr="007B5DF5">
        <w:tc>
          <w:tcPr>
            <w:tcW w:w="2017" w:type="dxa"/>
            <w:vMerge w:val="restart"/>
          </w:tcPr>
          <w:p w14:paraId="70AB4636" w14:textId="77777777" w:rsidR="00943240" w:rsidRPr="00943240" w:rsidRDefault="00943240" w:rsidP="00943240">
            <w:pPr>
              <w:tabs>
                <w:tab w:val="center" w:pos="284"/>
              </w:tabs>
              <w:overflowPunct w:val="0"/>
              <w:autoSpaceDE w:val="0"/>
              <w:autoSpaceDN w:val="0"/>
              <w:adjustRightInd w:val="0"/>
              <w:ind w:left="567" w:hanging="567"/>
              <w:textAlignment w:val="baseline"/>
              <w:rPr>
                <w:b/>
              </w:rPr>
            </w:pPr>
            <w:r>
              <w:rPr>
                <w:b/>
              </w:rPr>
              <w:t>Dokumenty</w:t>
            </w:r>
          </w:p>
        </w:tc>
        <w:tc>
          <w:tcPr>
            <w:tcW w:w="6237" w:type="dxa"/>
          </w:tcPr>
          <w:p w14:paraId="75B16B24" w14:textId="77777777" w:rsidR="00943240" w:rsidRPr="00943240" w:rsidRDefault="00943240" w:rsidP="00943240">
            <w:pPr>
              <w:tabs>
                <w:tab w:val="center" w:pos="284"/>
              </w:tabs>
              <w:overflowPunct w:val="0"/>
              <w:autoSpaceDE w:val="0"/>
              <w:autoSpaceDN w:val="0"/>
              <w:adjustRightInd w:val="0"/>
              <w:ind w:left="567" w:hanging="567"/>
              <w:textAlignment w:val="baseline"/>
            </w:pPr>
            <w:r>
              <w:t>Opinia z inicjatywy własnej</w:t>
            </w:r>
          </w:p>
          <w:p w14:paraId="32684914" w14:textId="77777777" w:rsidR="00943240" w:rsidRPr="00943240" w:rsidRDefault="00943240" w:rsidP="00943240">
            <w:pPr>
              <w:tabs>
                <w:tab w:val="center" w:pos="284"/>
              </w:tabs>
              <w:overflowPunct w:val="0"/>
              <w:autoSpaceDE w:val="0"/>
              <w:autoSpaceDN w:val="0"/>
              <w:adjustRightInd w:val="0"/>
              <w:ind w:left="567" w:hanging="567"/>
              <w:textAlignment w:val="baseline"/>
            </w:pPr>
            <w:r>
              <w:t>EESC-2025-04295-00-00-AC</w:t>
            </w:r>
          </w:p>
        </w:tc>
      </w:tr>
      <w:tr w:rsidR="00943240" w:rsidRPr="00943240" w14:paraId="536F2D4C" w14:textId="77777777" w:rsidTr="007B5DF5">
        <w:tc>
          <w:tcPr>
            <w:tcW w:w="2017" w:type="dxa"/>
            <w:vMerge/>
          </w:tcPr>
          <w:p w14:paraId="4F70AA47" w14:textId="77777777" w:rsidR="00943240" w:rsidRPr="00943240" w:rsidRDefault="00943240" w:rsidP="00943240">
            <w:pPr>
              <w:tabs>
                <w:tab w:val="center" w:pos="284"/>
              </w:tabs>
              <w:overflowPunct w:val="0"/>
              <w:autoSpaceDE w:val="0"/>
              <w:autoSpaceDN w:val="0"/>
              <w:adjustRightInd w:val="0"/>
              <w:ind w:left="266" w:hanging="266"/>
              <w:textAlignment w:val="baseline"/>
              <w:rPr>
                <w:b/>
                <w:lang w:val="en-IE"/>
              </w:rPr>
            </w:pPr>
          </w:p>
        </w:tc>
        <w:tc>
          <w:tcPr>
            <w:tcW w:w="6237" w:type="dxa"/>
          </w:tcPr>
          <w:p w14:paraId="304147E0" w14:textId="77777777" w:rsidR="00943240" w:rsidRPr="00943240" w:rsidRDefault="00943240" w:rsidP="00943240">
            <w:pPr>
              <w:tabs>
                <w:tab w:val="center" w:pos="284"/>
              </w:tabs>
              <w:overflowPunct w:val="0"/>
              <w:autoSpaceDE w:val="0"/>
              <w:autoSpaceDN w:val="0"/>
              <w:adjustRightInd w:val="0"/>
              <w:ind w:left="266" w:hanging="266"/>
              <w:textAlignment w:val="baseline"/>
              <w:rPr>
                <w:sz w:val="16"/>
                <w:szCs w:val="16"/>
                <w:lang w:val="en-IE"/>
              </w:rPr>
            </w:pPr>
          </w:p>
        </w:tc>
      </w:tr>
    </w:tbl>
    <w:p w14:paraId="6B299D0A" w14:textId="77777777" w:rsidR="00943240" w:rsidRPr="00943240" w:rsidRDefault="00943240" w:rsidP="00943240">
      <w:pPr>
        <w:keepNext/>
        <w:keepLines/>
        <w:tabs>
          <w:tab w:val="center" w:pos="284"/>
        </w:tabs>
        <w:overflowPunct w:val="0"/>
        <w:autoSpaceDE w:val="0"/>
        <w:autoSpaceDN w:val="0"/>
        <w:adjustRightInd w:val="0"/>
        <w:ind w:left="266" w:hanging="266"/>
        <w:textAlignment w:val="baseline"/>
        <w:rPr>
          <w:b/>
        </w:rPr>
      </w:pPr>
      <w:r>
        <w:rPr>
          <w:b/>
        </w:rPr>
        <w:t>Główne punkty</w:t>
      </w:r>
    </w:p>
    <w:p w14:paraId="367A8012" w14:textId="77777777" w:rsidR="00943240" w:rsidRPr="00943240" w:rsidRDefault="00943240" w:rsidP="00943240">
      <w:pPr>
        <w:spacing w:before="100" w:beforeAutospacing="1" w:after="100" w:afterAutospacing="1" w:line="240" w:lineRule="auto"/>
        <w:jc w:val="left"/>
        <w:rPr>
          <w:b/>
          <w:bCs/>
        </w:rPr>
      </w:pPr>
      <w:r>
        <w:t>EKES:</w:t>
      </w:r>
    </w:p>
    <w:p w14:paraId="148FFAB3"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3" w:name="_Toc228805417"/>
      <w:r>
        <w:t>EKES zdecydowanie potępia wszelkie formy praktyk konwersyjnych, które mają na celu zmianę, stłumienie lub wymazanie orientacji seksualnej, tożsamości płciowej lub ekspresji płciowej danej osoby i uważa, że naruszają one całkowity zakaz tortur i nieludzkiego lub poniżającego traktowania albo karania.</w:t>
      </w:r>
      <w:bookmarkEnd w:id="3"/>
    </w:p>
    <w:p w14:paraId="7291556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4" w:name="_Toc228805418"/>
      <w:r>
        <w:t>Przypomina, że dyskryminacja, przemoc i tortury wymierzone w osoby LGBTIQ+ w UE są niezgodne z podstawowymi prawami i wartościami UE.</w:t>
      </w:r>
      <w:bookmarkEnd w:id="4"/>
    </w:p>
    <w:p w14:paraId="4C8743D6" w14:textId="69A777B3"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5" w:name="_Toc228805419"/>
      <w:r>
        <w:t>Wzywa Komisję Europejską do zaproponowania prawnie wiążącego unijnego zakazu praktyk konwersyjnych obejmującego zarówno prowadzenie, jak i reklamowanie takich działań, poprzez dodanie praktyk konwersyjnych do wykazu „europrzestępstw” oraz uznanie ich za przestępstwa z</w:t>
      </w:r>
      <w:r w:rsidR="005C5C88">
        <w:t> </w:t>
      </w:r>
      <w:r>
        <w:t>nienawiści, co zapewni jednolity poziom ochrony w całej UE.</w:t>
      </w:r>
      <w:bookmarkEnd w:id="5"/>
    </w:p>
    <w:p w14:paraId="7C4251B7"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6" w:name="_Toc228805420"/>
      <w:r>
        <w:t>Nalega, aby zakaz ten był sformułowany w sposób wyczerpujący i precyzyjny, zabraniał praktyk konwersyjnych wobec dzieci i dorosłych, miał zastosowanie do wszystkich podmiotów publicznych i prywatnych (profesjonalnych i nieprofesjonalnych) oraz nie był wykorzystywany do nakładania odpowiedzialności karnej lub cywilnej na osoby, które poddano praktykom konwersyjnym.</w:t>
      </w:r>
      <w:bookmarkEnd w:id="6"/>
    </w:p>
    <w:p w14:paraId="1745C5AE"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7" w:name="_Toc228805421"/>
      <w:r>
        <w:t>Nalega, aby zakaz obejmował skuteczne, proporcjonalne i odstraszające kary odzwierciedlające poważną szkodę, jaką powodują praktyki konwersyjne.</w:t>
      </w:r>
      <w:bookmarkEnd w:id="7"/>
    </w:p>
    <w:p w14:paraId="6ABD62C6" w14:textId="77777777"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8" w:name="_Toc228805422"/>
      <w:r>
        <w:t>Apeluje, aby zakaz jednoznacznie obejmował cechy płciowe, tak by chronić osoby interseksualne przed niemającymi zastosowania leczniczego i przeprowadzanymi bez ich zgody zabiegami, które stanowią formę praktyki konwersyjnej poprzez wymuszenie binaryzmu płciowego.</w:t>
      </w:r>
      <w:bookmarkEnd w:id="8"/>
    </w:p>
    <w:p w14:paraId="7E833977" w14:textId="7D9B6541" w:rsidR="00943240" w:rsidRPr="00943240" w:rsidRDefault="00943240" w:rsidP="004C6742">
      <w:pPr>
        <w:numPr>
          <w:ilvl w:val="0"/>
          <w:numId w:val="23"/>
        </w:numPr>
        <w:overflowPunct w:val="0"/>
        <w:autoSpaceDE w:val="0"/>
        <w:autoSpaceDN w:val="0"/>
        <w:adjustRightInd w:val="0"/>
        <w:ind w:left="284" w:hanging="284"/>
        <w:textAlignment w:val="baseline"/>
        <w:outlineLvl w:val="1"/>
        <w:rPr>
          <w:szCs w:val="20"/>
        </w:rPr>
      </w:pPr>
      <w:bookmarkStart w:id="9" w:name="_Toc228805423"/>
      <w:r>
        <w:t>Zaleca zdecydowane środki wykonawcze w ramach strategii na rzecz równości osób LGBTIQ+ na lata 2026–2030. Powinny one obejmować coroczne monitorowanie w porozumieniu ze zorganizowanym społeczeństwem obywatelskim, specjalne finansowanie szkolenia zawodowego i</w:t>
      </w:r>
      <w:r w:rsidR="005C5C88">
        <w:t> </w:t>
      </w:r>
      <w:r>
        <w:t>organizacji działających na rzecz równości oraz wspierane przez UE inicjatywy edukacyjne i</w:t>
      </w:r>
      <w:r w:rsidR="005C5C88">
        <w:t> </w:t>
      </w:r>
      <w:r>
        <w:t>uświadamiające, które są konieczne do rozpoznawania i eliminowania takich praktyk.</w:t>
      </w:r>
      <w:bookmarkEnd w:id="9"/>
    </w:p>
    <w:p w14:paraId="0B408DE2" w14:textId="77777777" w:rsidR="00943240" w:rsidRPr="00943240" w:rsidRDefault="00943240" w:rsidP="00943240">
      <w:pPr>
        <w:overflowPunct w:val="0"/>
        <w:autoSpaceDE w:val="0"/>
        <w:autoSpaceDN w:val="0"/>
        <w:adjustRightInd w:val="0"/>
        <w:textAlignment w:val="baseline"/>
        <w:rPr>
          <w:szCs w:val="20"/>
          <w:lang w:val="en-IE"/>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943240" w:rsidRPr="00943240" w14:paraId="4E107AFC" w14:textId="77777777" w:rsidTr="002E7EFB">
        <w:tc>
          <w:tcPr>
            <w:tcW w:w="1210" w:type="dxa"/>
          </w:tcPr>
          <w:p w14:paraId="468FD01F" w14:textId="77777777" w:rsidR="00943240" w:rsidRPr="00943240" w:rsidRDefault="00943240" w:rsidP="00943240">
            <w:pPr>
              <w:overflowPunct w:val="0"/>
              <w:autoSpaceDE w:val="0"/>
              <w:autoSpaceDN w:val="0"/>
              <w:adjustRightInd w:val="0"/>
              <w:spacing w:line="240" w:lineRule="auto"/>
              <w:textAlignment w:val="baseline"/>
              <w:rPr>
                <w:i/>
              </w:rPr>
            </w:pPr>
            <w:r>
              <w:rPr>
                <w:b/>
                <w:i/>
              </w:rPr>
              <w:t>Kontakt</w:t>
            </w:r>
          </w:p>
        </w:tc>
        <w:tc>
          <w:tcPr>
            <w:tcW w:w="4493" w:type="dxa"/>
          </w:tcPr>
          <w:p w14:paraId="163017DF" w14:textId="63CCAD3A" w:rsidR="00943240" w:rsidRPr="00943240" w:rsidRDefault="00943240" w:rsidP="00943240">
            <w:pPr>
              <w:overflowPunct w:val="0"/>
              <w:autoSpaceDE w:val="0"/>
              <w:autoSpaceDN w:val="0"/>
              <w:adjustRightInd w:val="0"/>
              <w:spacing w:line="240" w:lineRule="auto"/>
              <w:ind w:hanging="12"/>
              <w:textAlignment w:val="baseline"/>
              <w:rPr>
                <w:i/>
              </w:rPr>
            </w:pPr>
            <w:r>
              <w:rPr>
                <w:i/>
              </w:rPr>
              <w:t>Bartek Bednarowicz</w:t>
            </w:r>
          </w:p>
        </w:tc>
      </w:tr>
      <w:tr w:rsidR="00943240" w:rsidRPr="00943240" w14:paraId="7B668718" w14:textId="77777777" w:rsidTr="002E7EFB">
        <w:tc>
          <w:tcPr>
            <w:tcW w:w="1210" w:type="dxa"/>
          </w:tcPr>
          <w:p w14:paraId="694AFF7E" w14:textId="77777777" w:rsidR="00943240" w:rsidRPr="00943240" w:rsidRDefault="00943240" w:rsidP="00943240">
            <w:pPr>
              <w:overflowPunct w:val="0"/>
              <w:autoSpaceDE w:val="0"/>
              <w:autoSpaceDN w:val="0"/>
              <w:adjustRightInd w:val="0"/>
              <w:spacing w:line="240" w:lineRule="auto"/>
              <w:textAlignment w:val="baseline"/>
              <w:rPr>
                <w:i/>
              </w:rPr>
            </w:pPr>
            <w:r>
              <w:rPr>
                <w:i/>
              </w:rPr>
              <w:t>tel.</w:t>
            </w:r>
          </w:p>
        </w:tc>
        <w:tc>
          <w:tcPr>
            <w:tcW w:w="4493" w:type="dxa"/>
          </w:tcPr>
          <w:p w14:paraId="7D387ED4" w14:textId="77777777" w:rsidR="00943240" w:rsidRPr="00943240" w:rsidRDefault="00943240" w:rsidP="00943240">
            <w:pPr>
              <w:overflowPunct w:val="0"/>
              <w:autoSpaceDE w:val="0"/>
              <w:autoSpaceDN w:val="0"/>
              <w:adjustRightInd w:val="0"/>
              <w:spacing w:line="240" w:lineRule="auto"/>
              <w:textAlignment w:val="baseline"/>
              <w:rPr>
                <w:i/>
              </w:rPr>
            </w:pPr>
            <w:r>
              <w:rPr>
                <w:i/>
              </w:rPr>
              <w:t>+32 25469229</w:t>
            </w:r>
          </w:p>
        </w:tc>
      </w:tr>
      <w:tr w:rsidR="00943240" w:rsidRPr="00943240" w14:paraId="65C7A403" w14:textId="77777777" w:rsidTr="002E7EFB">
        <w:tc>
          <w:tcPr>
            <w:tcW w:w="1210" w:type="dxa"/>
          </w:tcPr>
          <w:p w14:paraId="27599C21" w14:textId="77777777" w:rsidR="00943240" w:rsidRPr="00943240" w:rsidRDefault="00943240" w:rsidP="00943240">
            <w:pPr>
              <w:overflowPunct w:val="0"/>
              <w:autoSpaceDE w:val="0"/>
              <w:autoSpaceDN w:val="0"/>
              <w:adjustRightInd w:val="0"/>
              <w:spacing w:line="240" w:lineRule="auto"/>
              <w:textAlignment w:val="baseline"/>
              <w:rPr>
                <w:i/>
              </w:rPr>
            </w:pPr>
            <w:r>
              <w:rPr>
                <w:i/>
              </w:rPr>
              <w:t>e-mail</w:t>
            </w:r>
          </w:p>
        </w:tc>
        <w:tc>
          <w:tcPr>
            <w:tcW w:w="4493" w:type="dxa"/>
          </w:tcPr>
          <w:p w14:paraId="33C773EF" w14:textId="3A0E971A" w:rsidR="00943240" w:rsidRPr="00943240" w:rsidRDefault="00651F28" w:rsidP="00943240">
            <w:pPr>
              <w:overflowPunct w:val="0"/>
              <w:autoSpaceDE w:val="0"/>
              <w:autoSpaceDN w:val="0"/>
              <w:adjustRightInd w:val="0"/>
              <w:spacing w:line="240" w:lineRule="auto"/>
              <w:textAlignment w:val="baseline"/>
              <w:rPr>
                <w:i/>
                <w:iCs/>
              </w:rPr>
            </w:pPr>
            <w:hyperlink r:id="rId26" w:history="1">
              <w:r>
                <w:rPr>
                  <w:i/>
                  <w:color w:val="0000FF"/>
                  <w:u w:val="single"/>
                </w:rPr>
                <w:t>Bartek.Bednarowicz@eesc.europa.eu</w:t>
              </w:r>
            </w:hyperlink>
          </w:p>
          <w:p w14:paraId="05B7586B" w14:textId="77777777" w:rsidR="00943240" w:rsidRPr="00943240" w:rsidRDefault="00943240" w:rsidP="00943240">
            <w:pPr>
              <w:overflowPunct w:val="0"/>
              <w:autoSpaceDE w:val="0"/>
              <w:autoSpaceDN w:val="0"/>
              <w:adjustRightInd w:val="0"/>
              <w:spacing w:line="240" w:lineRule="auto"/>
              <w:textAlignment w:val="baseline"/>
              <w:rPr>
                <w:i/>
                <w:lang w:val="en-IE"/>
              </w:rPr>
            </w:pPr>
          </w:p>
        </w:tc>
      </w:tr>
    </w:tbl>
    <w:p w14:paraId="78E447C3" w14:textId="176CF351" w:rsidR="004F74E4" w:rsidRDefault="004F74E4" w:rsidP="001766B2"/>
    <w:p w14:paraId="49BF2B8A" w14:textId="77777777" w:rsidR="004F74E4" w:rsidRDefault="004F74E4">
      <w:pPr>
        <w:spacing w:after="160" w:line="259" w:lineRule="auto"/>
        <w:jc w:val="left"/>
      </w:pPr>
      <w:r>
        <w:br w:type="page"/>
      </w:r>
    </w:p>
    <w:p w14:paraId="37568C0D" w14:textId="6CD35E17" w:rsidR="00354B98" w:rsidRPr="00354B98" w:rsidRDefault="00651F28" w:rsidP="00354B98">
      <w:pPr>
        <w:widowControl w:val="0"/>
        <w:numPr>
          <w:ilvl w:val="0"/>
          <w:numId w:val="10"/>
        </w:numPr>
        <w:overflowPunct w:val="0"/>
        <w:autoSpaceDE w:val="0"/>
        <w:autoSpaceDN w:val="0"/>
        <w:adjustRightInd w:val="0"/>
        <w:spacing w:after="200" w:line="276" w:lineRule="auto"/>
        <w:ind w:left="567" w:hanging="567"/>
        <w:contextualSpacing/>
        <w:jc w:val="left"/>
        <w:textAlignment w:val="baseline"/>
        <w:rPr>
          <w:b/>
          <w:i/>
          <w:sz w:val="28"/>
          <w:szCs w:val="28"/>
        </w:rPr>
      </w:pPr>
      <w:hyperlink r:id="rId27" w:history="1">
        <w:r>
          <w:rPr>
            <w:b/>
            <w:i/>
            <w:color w:val="0000FF"/>
            <w:sz w:val="28"/>
            <w:u w:val="single"/>
          </w:rPr>
          <w:t>Unia równości: strategia na rzecz równości osób LGBTIQ+ na lata 2026–2030</w:t>
        </w:r>
      </w:hyperlink>
    </w:p>
    <w:p w14:paraId="0E47B1B5" w14:textId="2D9E1616" w:rsidR="00354B98" w:rsidRPr="00354B98" w:rsidRDefault="00354B98" w:rsidP="004C6742">
      <w:pPr>
        <w:widowControl w:val="0"/>
        <w:overflowPunct w:val="0"/>
        <w:autoSpaceDE w:val="0"/>
        <w:autoSpaceDN w:val="0"/>
        <w:adjustRightInd w:val="0"/>
        <w:jc w:val="left"/>
        <w:textAlignment w:val="baseline"/>
        <w:rPr>
          <w:b/>
          <w:bCs/>
          <w:i/>
          <w:iCs/>
          <w:sz w:val="28"/>
          <w:szCs w:val="28"/>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1"/>
        <w:gridCol w:w="6804"/>
      </w:tblGrid>
      <w:tr w:rsidR="00354B98" w:rsidRPr="00354B98" w14:paraId="5A523F39" w14:textId="77777777" w:rsidTr="002E7EFB">
        <w:tc>
          <w:tcPr>
            <w:tcW w:w="1701" w:type="dxa"/>
          </w:tcPr>
          <w:p w14:paraId="6F791E3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Sprawozdawczyni</w:t>
            </w:r>
          </w:p>
        </w:tc>
        <w:tc>
          <w:tcPr>
            <w:tcW w:w="6804" w:type="dxa"/>
          </w:tcPr>
          <w:p w14:paraId="1488AC9A" w14:textId="16EE367D" w:rsidR="00354B98" w:rsidRPr="00354B98" w:rsidRDefault="00354B98" w:rsidP="00354B98">
            <w:pPr>
              <w:tabs>
                <w:tab w:val="center" w:pos="284"/>
              </w:tabs>
              <w:overflowPunct w:val="0"/>
              <w:autoSpaceDE w:val="0"/>
              <w:autoSpaceDN w:val="0"/>
              <w:adjustRightInd w:val="0"/>
              <w:ind w:left="266" w:hanging="266"/>
              <w:textAlignment w:val="baseline"/>
            </w:pPr>
            <w:r>
              <w:t>Juliane Marie NEIIENDAM (Grupa Organizacji Społeczeństwa Obywatelskiego – DK)</w:t>
            </w:r>
          </w:p>
        </w:tc>
      </w:tr>
      <w:tr w:rsidR="00354B98" w:rsidRPr="00354B98" w14:paraId="47C7615B" w14:textId="77777777" w:rsidTr="002E7EFB">
        <w:tc>
          <w:tcPr>
            <w:tcW w:w="1701" w:type="dxa"/>
          </w:tcPr>
          <w:p w14:paraId="20505F27"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p>
        </w:tc>
        <w:tc>
          <w:tcPr>
            <w:tcW w:w="6804" w:type="dxa"/>
          </w:tcPr>
          <w:p w14:paraId="465F0ECB" w14:textId="77777777" w:rsidR="00354B98" w:rsidRPr="00354B98" w:rsidRDefault="00354B98" w:rsidP="00354B98">
            <w:pPr>
              <w:tabs>
                <w:tab w:val="center" w:pos="284"/>
              </w:tabs>
              <w:overflowPunct w:val="0"/>
              <w:autoSpaceDE w:val="0"/>
              <w:autoSpaceDN w:val="0"/>
              <w:adjustRightInd w:val="0"/>
              <w:textAlignment w:val="baseline"/>
            </w:pPr>
          </w:p>
        </w:tc>
      </w:tr>
      <w:tr w:rsidR="00354B98" w:rsidRPr="00354B98" w14:paraId="4E110D3A" w14:textId="77777777" w:rsidTr="002E7EFB">
        <w:tc>
          <w:tcPr>
            <w:tcW w:w="8505" w:type="dxa"/>
            <w:gridSpan w:val="2"/>
          </w:tcPr>
          <w:p w14:paraId="46EEB135" w14:textId="77777777" w:rsidR="00354B98" w:rsidRPr="00354B98" w:rsidRDefault="00354B98" w:rsidP="00354B98">
            <w:pPr>
              <w:tabs>
                <w:tab w:val="center" w:pos="284"/>
              </w:tabs>
              <w:overflowPunct w:val="0"/>
              <w:autoSpaceDE w:val="0"/>
              <w:autoSpaceDN w:val="0"/>
              <w:adjustRightInd w:val="0"/>
              <w:spacing w:line="160" w:lineRule="exact"/>
              <w:ind w:left="266" w:hanging="266"/>
              <w:textAlignment w:val="baseline"/>
            </w:pPr>
          </w:p>
        </w:tc>
      </w:tr>
      <w:tr w:rsidR="00354B98" w:rsidRPr="00354B98" w14:paraId="54E406AB" w14:textId="77777777" w:rsidTr="002E7EFB">
        <w:tc>
          <w:tcPr>
            <w:tcW w:w="1701" w:type="dxa"/>
            <w:vMerge w:val="restart"/>
          </w:tcPr>
          <w:p w14:paraId="7F355524" w14:textId="77777777" w:rsidR="00354B98" w:rsidRPr="00354B98" w:rsidRDefault="00354B98" w:rsidP="00354B98">
            <w:pPr>
              <w:tabs>
                <w:tab w:val="center" w:pos="284"/>
              </w:tabs>
              <w:overflowPunct w:val="0"/>
              <w:autoSpaceDE w:val="0"/>
              <w:autoSpaceDN w:val="0"/>
              <w:adjustRightInd w:val="0"/>
              <w:ind w:left="266" w:hanging="266"/>
              <w:textAlignment w:val="baseline"/>
              <w:rPr>
                <w:b/>
              </w:rPr>
            </w:pPr>
            <w:r>
              <w:rPr>
                <w:b/>
              </w:rPr>
              <w:t xml:space="preserve">Dokumenty </w:t>
            </w:r>
          </w:p>
        </w:tc>
        <w:tc>
          <w:tcPr>
            <w:tcW w:w="6804" w:type="dxa"/>
          </w:tcPr>
          <w:p w14:paraId="3C103592" w14:textId="4ABCDC27" w:rsidR="00354B98" w:rsidRPr="00354B98" w:rsidRDefault="00354B98" w:rsidP="00354B98">
            <w:pPr>
              <w:tabs>
                <w:tab w:val="center" w:pos="284"/>
              </w:tabs>
              <w:overflowPunct w:val="0"/>
              <w:autoSpaceDE w:val="0"/>
              <w:autoSpaceDN w:val="0"/>
              <w:adjustRightInd w:val="0"/>
              <w:ind w:left="266" w:hanging="266"/>
              <w:textAlignment w:val="baseline"/>
            </w:pPr>
            <w:r>
              <w:t>COM(2025) 725 final</w:t>
            </w:r>
          </w:p>
        </w:tc>
      </w:tr>
      <w:tr w:rsidR="00354B98" w:rsidRPr="00354B98" w14:paraId="1CC90C32" w14:textId="77777777" w:rsidTr="002E7EFB">
        <w:tc>
          <w:tcPr>
            <w:tcW w:w="1701" w:type="dxa"/>
            <w:vMerge/>
          </w:tcPr>
          <w:p w14:paraId="4AE0A5C9" w14:textId="77777777" w:rsidR="00354B98" w:rsidRPr="00354B98" w:rsidRDefault="00354B98" w:rsidP="00354B98">
            <w:pPr>
              <w:tabs>
                <w:tab w:val="center" w:pos="284"/>
              </w:tabs>
              <w:overflowPunct w:val="0"/>
              <w:autoSpaceDE w:val="0"/>
              <w:autoSpaceDN w:val="0"/>
              <w:adjustRightInd w:val="0"/>
              <w:ind w:left="266" w:hanging="266"/>
              <w:textAlignment w:val="baseline"/>
              <w:rPr>
                <w:b/>
                <w:lang w:val="en-GB"/>
              </w:rPr>
            </w:pPr>
          </w:p>
        </w:tc>
        <w:tc>
          <w:tcPr>
            <w:tcW w:w="6804" w:type="dxa"/>
          </w:tcPr>
          <w:p w14:paraId="2744FDCB" w14:textId="4A569384" w:rsidR="00354B98" w:rsidRPr="00354B98" w:rsidRDefault="00354B98" w:rsidP="00354B98">
            <w:pPr>
              <w:tabs>
                <w:tab w:val="center" w:pos="284"/>
              </w:tabs>
              <w:overflowPunct w:val="0"/>
              <w:autoSpaceDE w:val="0"/>
              <w:autoSpaceDN w:val="0"/>
              <w:adjustRightInd w:val="0"/>
              <w:ind w:left="266" w:hanging="266"/>
              <w:textAlignment w:val="baseline"/>
            </w:pPr>
            <w:r>
              <w:t>EESC-2025-03887-00-00-AC</w:t>
            </w:r>
          </w:p>
        </w:tc>
      </w:tr>
    </w:tbl>
    <w:p w14:paraId="67E59D86" w14:textId="77777777" w:rsidR="00354B98" w:rsidRPr="00354B98" w:rsidRDefault="00354B98" w:rsidP="00354B98">
      <w:pPr>
        <w:tabs>
          <w:tab w:val="center" w:pos="284"/>
        </w:tabs>
        <w:overflowPunct w:val="0"/>
        <w:autoSpaceDE w:val="0"/>
        <w:autoSpaceDN w:val="0"/>
        <w:adjustRightInd w:val="0"/>
        <w:ind w:left="266" w:hanging="266"/>
        <w:textAlignment w:val="baseline"/>
        <w:rPr>
          <w:lang w:val="en-GB"/>
        </w:rPr>
      </w:pPr>
    </w:p>
    <w:p w14:paraId="6ED902D5"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rPr>
      </w:pPr>
      <w:r>
        <w:rPr>
          <w:b/>
        </w:rPr>
        <w:t>Główne punkty</w:t>
      </w:r>
    </w:p>
    <w:p w14:paraId="164E8777" w14:textId="77777777" w:rsidR="00354B98" w:rsidRPr="00354B98" w:rsidRDefault="00354B98" w:rsidP="00354B98">
      <w:pPr>
        <w:keepNext/>
        <w:keepLines/>
        <w:tabs>
          <w:tab w:val="center" w:pos="284"/>
        </w:tabs>
        <w:overflowPunct w:val="0"/>
        <w:autoSpaceDE w:val="0"/>
        <w:autoSpaceDN w:val="0"/>
        <w:adjustRightInd w:val="0"/>
        <w:ind w:left="266" w:hanging="266"/>
        <w:textAlignment w:val="baseline"/>
        <w:rPr>
          <w:b/>
          <w:lang w:val="en-GB"/>
        </w:rPr>
      </w:pPr>
    </w:p>
    <w:p w14:paraId="5DAF8ADD" w14:textId="77777777" w:rsidR="00354B98" w:rsidRDefault="00354B98" w:rsidP="00354B98">
      <w:pPr>
        <w:overflowPunct w:val="0"/>
        <w:autoSpaceDE w:val="0"/>
        <w:autoSpaceDN w:val="0"/>
        <w:adjustRightInd w:val="0"/>
        <w:textAlignment w:val="baseline"/>
        <w:rPr>
          <w:bCs/>
          <w:iCs/>
        </w:rPr>
      </w:pPr>
      <w:r>
        <w:t>EKES:</w:t>
      </w:r>
    </w:p>
    <w:p w14:paraId="62497E7D" w14:textId="77777777" w:rsidR="00755E1E" w:rsidRPr="00354B98" w:rsidRDefault="00755E1E" w:rsidP="00354B98">
      <w:pPr>
        <w:overflowPunct w:val="0"/>
        <w:autoSpaceDE w:val="0"/>
        <w:autoSpaceDN w:val="0"/>
        <w:adjustRightInd w:val="0"/>
        <w:textAlignment w:val="baseline"/>
        <w:rPr>
          <w:bCs/>
          <w:iCs/>
          <w:lang w:val="en-GB"/>
        </w:rPr>
      </w:pPr>
    </w:p>
    <w:p w14:paraId="326F27B0"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Z zadowoleniem przyjmuje nową strategię na rzecz równości osób LGBTIQ+ na lata 2026–2030, wzywając jednocześnie do podjęcia bardziej zdecydowanych działań, ponieważ utrzymująca się dyskryminacja, przemoc, nękanie i wykluczenie, zwłaszcza dotykające osoby transpłciowe, niebinarne i interseksualne, wymagają bardziej zdecydowanych działań politycznych. </w:t>
      </w:r>
    </w:p>
    <w:p w14:paraId="6D5257E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Domaga się skuteczniejszego egzekwowania i rozliczalności poprzez wiążące poziomy odniesienia, systematyczne postępowania w sprawie uchybienia zobowiązaniom państwa członkowskiego, warunkowość w zakresie praworządności oraz wdrażanie krajowych strategii na rzecz osób LGBTIQ+. </w:t>
      </w:r>
    </w:p>
    <w:p w14:paraId="0B028E36"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 xml:space="preserve">Wzywa do podjęcia zdecydowanych działań w celu ochrony praw podstawowych i przestrzeni społeczeństwa obywatelskiego poprzez przeciwdziałanie regresowi, dezinformacji i mowie nienawiści oraz zapewnienie trwałego wsparcia dla społeczeństwa obywatelskiego. </w:t>
      </w:r>
    </w:p>
    <w:p w14:paraId="7C167313"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Apeluje o pełną równość w życiu codziennym poprzez zagwarantowanie inkluzywnego dostępu do opieki zdrowotnej, edukacji i zatrudnienia poprzez wzmocnienie integracji w miejscu pracy.</w:t>
      </w:r>
    </w:p>
    <w:p w14:paraId="0449885B" w14:textId="0826C19F"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Wzywa Komisję Europejską do zaproponowania prawnie wiążącego unijnego zakazu praktyk konwersyjnych obejmującego zarówno prowadzenie, jak i reklamowanie takich działań, poprzez dodanie praktyk konwersyjnych do wykazu „europrzestępstw” oraz uznanie ich za przestępstwa z</w:t>
      </w:r>
      <w:r w:rsidR="005C5C88">
        <w:t> </w:t>
      </w:r>
      <w:r>
        <w:t>nienawiści, co zapewni jednolity poziom ochrony w całej UE.</w:t>
      </w:r>
    </w:p>
    <w:p w14:paraId="1400C6A1"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szCs w:val="20"/>
        </w:rPr>
      </w:pPr>
      <w:r>
        <w:t>Apeluje o rozwiązanie problemu nierówności strukturalnych poprzez włączenie równości osób LGBTIQ+ do polityki włączenia społecznego, polityki mieszkaniowej i polityki przeciwdziałania ubóstwu, z ukierunkowanym wsparciem dla osób borykających się z dyskryminacją krzyżową.</w:t>
      </w:r>
    </w:p>
    <w:p w14:paraId="7CD0D179" w14:textId="77777777" w:rsidR="00354B98" w:rsidRPr="00354B98" w:rsidRDefault="00354B98" w:rsidP="004C6742">
      <w:pPr>
        <w:widowControl w:val="0"/>
        <w:numPr>
          <w:ilvl w:val="0"/>
          <w:numId w:val="24"/>
        </w:numPr>
        <w:overflowPunct w:val="0"/>
        <w:autoSpaceDE w:val="0"/>
        <w:autoSpaceDN w:val="0"/>
        <w:adjustRightInd w:val="0"/>
        <w:ind w:left="284" w:hanging="284"/>
        <w:textAlignment w:val="baseline"/>
        <w:rPr>
          <w:rFonts w:asciiTheme="minorHAnsi" w:hAnsiTheme="minorHAnsi"/>
          <w:szCs w:val="20"/>
        </w:rPr>
      </w:pPr>
      <w:r>
        <w:t>Domaga się ram nieulegających dezaktualizacji i opartych na prawach poprzez wyeliminowanie luk prawnych, zapewnienie samostanowienia w kwestii uznawania płci, poprawę dostępu do wymiaru sprawiedliwości, zapewnienie odpowiedniego finansowania organizacjom społeczeństwa obywatelskiego, poprawę danych intersekcjonalnych oraz ochronę równości w zakresie technologii cyfrowych i sztucznej inteligencji.</w:t>
      </w:r>
    </w:p>
    <w:p w14:paraId="7200F7A1" w14:textId="77777777" w:rsidR="00354B98" w:rsidRPr="00354B98" w:rsidRDefault="00354B98" w:rsidP="00755E1E">
      <w:pPr>
        <w:widowControl w:val="0"/>
        <w:overflowPunct w:val="0"/>
        <w:autoSpaceDE w:val="0"/>
        <w:autoSpaceDN w:val="0"/>
        <w:adjustRightInd w:val="0"/>
        <w:ind w:left="284" w:hanging="284"/>
        <w:textAlignment w:val="baseline"/>
        <w:rPr>
          <w:szCs w:val="20"/>
          <w:lang w:val="en-GB"/>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354B98" w:rsidRPr="00354B98" w14:paraId="3184797F" w14:textId="77777777" w:rsidTr="002E7EFB">
        <w:tc>
          <w:tcPr>
            <w:tcW w:w="1418" w:type="dxa"/>
          </w:tcPr>
          <w:p w14:paraId="2A28D240" w14:textId="77777777" w:rsidR="00354B98" w:rsidRPr="00354B98" w:rsidRDefault="00354B98" w:rsidP="00354B98">
            <w:pPr>
              <w:overflowPunct w:val="0"/>
              <w:autoSpaceDE w:val="0"/>
              <w:autoSpaceDN w:val="0"/>
              <w:adjustRightInd w:val="0"/>
              <w:spacing w:line="240" w:lineRule="auto"/>
              <w:textAlignment w:val="baseline"/>
              <w:rPr>
                <w:i/>
              </w:rPr>
            </w:pPr>
            <w:r>
              <w:rPr>
                <w:b/>
                <w:i/>
              </w:rPr>
              <w:t>Kontakt</w:t>
            </w:r>
          </w:p>
        </w:tc>
        <w:tc>
          <w:tcPr>
            <w:tcW w:w="5670" w:type="dxa"/>
          </w:tcPr>
          <w:p w14:paraId="7B16B757" w14:textId="08FB7356" w:rsidR="00354B98" w:rsidRPr="00354B98" w:rsidRDefault="00354B98" w:rsidP="00354B98">
            <w:pPr>
              <w:overflowPunct w:val="0"/>
              <w:autoSpaceDE w:val="0"/>
              <w:autoSpaceDN w:val="0"/>
              <w:adjustRightInd w:val="0"/>
              <w:spacing w:line="240" w:lineRule="auto"/>
              <w:textAlignment w:val="baseline"/>
              <w:rPr>
                <w:i/>
              </w:rPr>
            </w:pPr>
            <w:r>
              <w:rPr>
                <w:i/>
              </w:rPr>
              <w:t>Bartek Bednarowicz</w:t>
            </w:r>
          </w:p>
        </w:tc>
      </w:tr>
      <w:tr w:rsidR="00354B98" w:rsidRPr="00354B98" w14:paraId="0E1F3D07" w14:textId="77777777" w:rsidTr="002E7EFB">
        <w:tc>
          <w:tcPr>
            <w:tcW w:w="1418" w:type="dxa"/>
          </w:tcPr>
          <w:p w14:paraId="4235BE66" w14:textId="77777777" w:rsidR="00354B98" w:rsidRPr="00354B98" w:rsidRDefault="00354B98" w:rsidP="00354B98">
            <w:pPr>
              <w:overflowPunct w:val="0"/>
              <w:autoSpaceDE w:val="0"/>
              <w:autoSpaceDN w:val="0"/>
              <w:adjustRightInd w:val="0"/>
              <w:spacing w:line="240" w:lineRule="auto"/>
              <w:textAlignment w:val="baseline"/>
              <w:rPr>
                <w:i/>
              </w:rPr>
            </w:pPr>
            <w:r>
              <w:rPr>
                <w:i/>
              </w:rPr>
              <w:t>tel.</w:t>
            </w:r>
          </w:p>
        </w:tc>
        <w:tc>
          <w:tcPr>
            <w:tcW w:w="5670" w:type="dxa"/>
          </w:tcPr>
          <w:p w14:paraId="22D630EA" w14:textId="77777777" w:rsidR="00354B98" w:rsidRPr="00354B98" w:rsidRDefault="00354B98" w:rsidP="00354B98">
            <w:pPr>
              <w:overflowPunct w:val="0"/>
              <w:autoSpaceDE w:val="0"/>
              <w:autoSpaceDN w:val="0"/>
              <w:adjustRightInd w:val="0"/>
              <w:spacing w:line="240" w:lineRule="auto"/>
              <w:textAlignment w:val="baseline"/>
              <w:rPr>
                <w:i/>
              </w:rPr>
            </w:pPr>
            <w:r>
              <w:rPr>
                <w:i/>
              </w:rPr>
              <w:t>+32 25469229</w:t>
            </w:r>
          </w:p>
        </w:tc>
      </w:tr>
      <w:tr w:rsidR="00354B98" w:rsidRPr="00354B98" w14:paraId="07F9D924" w14:textId="77777777" w:rsidTr="002E7EFB">
        <w:tc>
          <w:tcPr>
            <w:tcW w:w="1418" w:type="dxa"/>
          </w:tcPr>
          <w:p w14:paraId="5F74FBF9" w14:textId="76661680" w:rsidR="00354B98" w:rsidRPr="00354B98" w:rsidRDefault="00755E1E" w:rsidP="00354B98">
            <w:pPr>
              <w:overflowPunct w:val="0"/>
              <w:autoSpaceDE w:val="0"/>
              <w:autoSpaceDN w:val="0"/>
              <w:adjustRightInd w:val="0"/>
              <w:spacing w:line="240" w:lineRule="auto"/>
              <w:textAlignment w:val="baseline"/>
              <w:rPr>
                <w:i/>
              </w:rPr>
            </w:pPr>
            <w:r>
              <w:rPr>
                <w:i/>
              </w:rPr>
              <w:t>e-mail</w:t>
            </w:r>
          </w:p>
        </w:tc>
        <w:tc>
          <w:tcPr>
            <w:tcW w:w="5670" w:type="dxa"/>
          </w:tcPr>
          <w:p w14:paraId="25F375C5" w14:textId="0031C569" w:rsidR="00354B98" w:rsidRPr="00354B98" w:rsidRDefault="00651F28" w:rsidP="00354B98">
            <w:pPr>
              <w:overflowPunct w:val="0"/>
              <w:autoSpaceDE w:val="0"/>
              <w:autoSpaceDN w:val="0"/>
              <w:adjustRightInd w:val="0"/>
              <w:spacing w:line="240" w:lineRule="auto"/>
              <w:textAlignment w:val="baseline"/>
              <w:rPr>
                <w:i/>
                <w:iCs/>
              </w:rPr>
            </w:pPr>
            <w:hyperlink r:id="rId28" w:history="1">
              <w:r>
                <w:rPr>
                  <w:i/>
                  <w:color w:val="0000FF"/>
                  <w:u w:val="single"/>
                </w:rPr>
                <w:t xml:space="preserve">Bartek.Bednarowicz@eesc.europa.eu </w:t>
              </w:r>
            </w:hyperlink>
          </w:p>
        </w:tc>
      </w:tr>
    </w:tbl>
    <w:p w14:paraId="170BF400" w14:textId="77777777" w:rsidR="00354B98" w:rsidRPr="00354B98" w:rsidRDefault="00354B98" w:rsidP="00354B98">
      <w:pPr>
        <w:overflowPunct w:val="0"/>
        <w:autoSpaceDE w:val="0"/>
        <w:autoSpaceDN w:val="0"/>
        <w:adjustRightInd w:val="0"/>
        <w:jc w:val="center"/>
        <w:textAlignment w:val="baseline"/>
        <w:rPr>
          <w:szCs w:val="20"/>
          <w:lang w:val="en-GB"/>
        </w:rPr>
      </w:pPr>
    </w:p>
    <w:p w14:paraId="14FBB575" w14:textId="54D599FA" w:rsidR="00C82A9F" w:rsidRDefault="00C82A9F">
      <w:pPr>
        <w:spacing w:after="160" w:line="259" w:lineRule="auto"/>
        <w:jc w:val="left"/>
      </w:pPr>
      <w:r>
        <w:br w:type="page"/>
      </w:r>
    </w:p>
    <w:p w14:paraId="7477FCDA" w14:textId="0AEB22CC" w:rsidR="005D43B9" w:rsidRPr="005D43B9" w:rsidRDefault="00651F28" w:rsidP="005D43B9">
      <w:pPr>
        <w:widowControl w:val="0"/>
        <w:numPr>
          <w:ilvl w:val="0"/>
          <w:numId w:val="8"/>
        </w:numPr>
        <w:overflowPunct w:val="0"/>
        <w:autoSpaceDE w:val="0"/>
        <w:autoSpaceDN w:val="0"/>
        <w:adjustRightInd w:val="0"/>
        <w:ind w:left="567" w:hanging="567"/>
        <w:textAlignment w:val="baseline"/>
        <w:rPr>
          <w:sz w:val="16"/>
          <w:szCs w:val="16"/>
        </w:rPr>
      </w:pPr>
      <w:hyperlink r:id="rId29" w:history="1">
        <w:r>
          <w:rPr>
            <w:b/>
            <w:i/>
            <w:color w:val="0000FF"/>
            <w:sz w:val="28"/>
            <w:u w:val="single"/>
          </w:rPr>
          <w:t>Konkurencyjność UE a przedsiębiorczość młodzieży</w:t>
        </w:r>
      </w:hyperlink>
    </w:p>
    <w:p w14:paraId="3A2C24D1" w14:textId="77777777" w:rsidR="005D43B9" w:rsidRPr="005D43B9" w:rsidRDefault="005D43B9" w:rsidP="004C6742">
      <w:pPr>
        <w:widowControl w:val="0"/>
        <w:overflowPunct w:val="0"/>
        <w:autoSpaceDE w:val="0"/>
        <w:autoSpaceDN w:val="0"/>
        <w:adjustRightInd w:val="0"/>
        <w:jc w:val="left"/>
        <w:textAlignment w:val="baseline"/>
        <w:rPr>
          <w:bCs/>
          <w:iCs/>
          <w:lang w:val="en-GB"/>
        </w:rPr>
      </w:pP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5D43B9" w:rsidRPr="005D43B9" w14:paraId="2FF33FAA" w14:textId="77777777" w:rsidTr="004C6742">
        <w:tc>
          <w:tcPr>
            <w:tcW w:w="1701" w:type="dxa"/>
          </w:tcPr>
          <w:p w14:paraId="4A8D35E0"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Sprawozdawca</w:t>
            </w:r>
          </w:p>
          <w:p w14:paraId="2658A4F3"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p>
        </w:tc>
        <w:tc>
          <w:tcPr>
            <w:tcW w:w="6663" w:type="dxa"/>
          </w:tcPr>
          <w:p w14:paraId="31BCB833" w14:textId="7B3A0553" w:rsidR="005D43B9" w:rsidRPr="005D43B9" w:rsidRDefault="005D43B9" w:rsidP="005D43B9">
            <w:pPr>
              <w:overflowPunct w:val="0"/>
              <w:autoSpaceDE w:val="0"/>
              <w:autoSpaceDN w:val="0"/>
              <w:adjustRightInd w:val="0"/>
              <w:spacing w:line="240" w:lineRule="auto"/>
              <w:ind w:left="567" w:hanging="567"/>
              <w:textAlignment w:val="baseline"/>
            </w:pPr>
            <w:r>
              <w:t>Giuseppe GUERINI (Grupa Organizacji Społeczeństwa Obywatelskiego – IT)</w:t>
            </w:r>
          </w:p>
        </w:tc>
      </w:tr>
      <w:tr w:rsidR="005D43B9" w:rsidRPr="005D43B9" w14:paraId="118E6E00" w14:textId="77777777" w:rsidTr="004C6742">
        <w:tc>
          <w:tcPr>
            <w:tcW w:w="1701" w:type="dxa"/>
            <w:vMerge w:val="restart"/>
          </w:tcPr>
          <w:p w14:paraId="21DE2D02" w14:textId="77777777" w:rsidR="005D43B9" w:rsidRPr="005D43B9" w:rsidRDefault="005D43B9" w:rsidP="005D43B9">
            <w:pPr>
              <w:tabs>
                <w:tab w:val="center" w:pos="284"/>
              </w:tabs>
              <w:overflowPunct w:val="0"/>
              <w:autoSpaceDE w:val="0"/>
              <w:autoSpaceDN w:val="0"/>
              <w:adjustRightInd w:val="0"/>
              <w:spacing w:line="240" w:lineRule="auto"/>
              <w:ind w:left="567" w:hanging="567"/>
              <w:textAlignment w:val="baseline"/>
              <w:rPr>
                <w:b/>
              </w:rPr>
            </w:pPr>
            <w:r>
              <w:rPr>
                <w:b/>
              </w:rPr>
              <w:t>Dokumenty</w:t>
            </w:r>
          </w:p>
        </w:tc>
        <w:tc>
          <w:tcPr>
            <w:tcW w:w="6663" w:type="dxa"/>
          </w:tcPr>
          <w:p w14:paraId="2EF0047D" w14:textId="66FB81B3" w:rsidR="004A4B18" w:rsidRDefault="005E01B5" w:rsidP="005D43B9">
            <w:pPr>
              <w:tabs>
                <w:tab w:val="center" w:pos="284"/>
              </w:tabs>
              <w:overflowPunct w:val="0"/>
              <w:autoSpaceDE w:val="0"/>
              <w:autoSpaceDN w:val="0"/>
              <w:adjustRightInd w:val="0"/>
              <w:spacing w:line="240" w:lineRule="auto"/>
              <w:ind w:left="567" w:hanging="567"/>
              <w:textAlignment w:val="baseline"/>
            </w:pPr>
            <w:r>
              <w:t>Opinia rozpoznawcza na wniosek cypryjskiej prezydencji Rady UE</w:t>
            </w:r>
          </w:p>
          <w:p w14:paraId="63716DCE" w14:textId="39FCB672" w:rsidR="005D43B9" w:rsidRPr="005D43B9" w:rsidRDefault="005D43B9" w:rsidP="005D43B9">
            <w:pPr>
              <w:tabs>
                <w:tab w:val="center" w:pos="284"/>
              </w:tabs>
              <w:overflowPunct w:val="0"/>
              <w:autoSpaceDE w:val="0"/>
              <w:autoSpaceDN w:val="0"/>
              <w:adjustRightInd w:val="0"/>
              <w:spacing w:line="240" w:lineRule="auto"/>
              <w:ind w:left="567" w:hanging="567"/>
              <w:textAlignment w:val="baseline"/>
            </w:pPr>
            <w:r>
              <w:t>EESC-2025-04305-00-00-AC</w:t>
            </w:r>
          </w:p>
        </w:tc>
      </w:tr>
      <w:tr w:rsidR="005D43B9" w:rsidRPr="005D43B9" w14:paraId="2A0968A0" w14:textId="77777777" w:rsidTr="004C6742">
        <w:tc>
          <w:tcPr>
            <w:tcW w:w="1701" w:type="dxa"/>
            <w:vMerge/>
          </w:tcPr>
          <w:p w14:paraId="201EBAA3"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b/>
                <w:lang w:val="pt-PT"/>
              </w:rPr>
            </w:pPr>
          </w:p>
        </w:tc>
        <w:tc>
          <w:tcPr>
            <w:tcW w:w="6663" w:type="dxa"/>
          </w:tcPr>
          <w:p w14:paraId="55EAC160" w14:textId="77777777" w:rsidR="005D43B9" w:rsidRPr="005D43B9" w:rsidRDefault="005D43B9" w:rsidP="005D43B9">
            <w:pPr>
              <w:tabs>
                <w:tab w:val="center" w:pos="284"/>
              </w:tabs>
              <w:overflowPunct w:val="0"/>
              <w:autoSpaceDE w:val="0"/>
              <w:autoSpaceDN w:val="0"/>
              <w:adjustRightInd w:val="0"/>
              <w:spacing w:line="240" w:lineRule="auto"/>
              <w:ind w:left="266" w:hanging="266"/>
              <w:textAlignment w:val="baseline"/>
              <w:rPr>
                <w:sz w:val="16"/>
                <w:szCs w:val="16"/>
                <w:lang w:val="pt-PT"/>
              </w:rPr>
            </w:pPr>
          </w:p>
        </w:tc>
      </w:tr>
    </w:tbl>
    <w:p w14:paraId="45FF996B" w14:textId="77777777" w:rsidR="005D43B9" w:rsidRPr="005D43B9" w:rsidRDefault="005D43B9" w:rsidP="005D43B9">
      <w:pPr>
        <w:keepNext/>
        <w:keepLines/>
        <w:tabs>
          <w:tab w:val="center" w:pos="284"/>
        </w:tabs>
        <w:overflowPunct w:val="0"/>
        <w:autoSpaceDE w:val="0"/>
        <w:autoSpaceDN w:val="0"/>
        <w:adjustRightInd w:val="0"/>
        <w:spacing w:line="240" w:lineRule="auto"/>
        <w:ind w:left="266" w:hanging="266"/>
        <w:textAlignment w:val="baseline"/>
        <w:rPr>
          <w:b/>
        </w:rPr>
      </w:pPr>
      <w:r>
        <w:rPr>
          <w:b/>
        </w:rPr>
        <w:t>Główne punkty</w:t>
      </w:r>
    </w:p>
    <w:p w14:paraId="79AD68CC" w14:textId="77777777" w:rsidR="005D43B9" w:rsidRPr="005D43B9" w:rsidRDefault="005D43B9" w:rsidP="005D43B9">
      <w:pPr>
        <w:spacing w:before="100" w:beforeAutospacing="1" w:after="100" w:afterAutospacing="1" w:line="240" w:lineRule="auto"/>
        <w:rPr>
          <w:sz w:val="24"/>
          <w:szCs w:val="24"/>
        </w:rPr>
      </w:pPr>
      <w:r>
        <w:rPr>
          <w:sz w:val="24"/>
        </w:rPr>
        <w:t>EKES:</w:t>
      </w:r>
    </w:p>
    <w:p w14:paraId="0C9A4C87" w14:textId="66665D49"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0" w:name="_Toc228805424"/>
      <w:r>
        <w:t>Domaga się kompleksowej i skoordynowanej strategii UE i państw członkowskich, która zapewni zintegrowany pakiet wsparcia dla młodych przedsiębiorców, łączący dostępne finansowanie, dostosowane do potrzeb szkolenia, mentoring, coaching, programy inkubatorów i silne ekosystemy lokalne w celu stymulowania w jak największym stopniu tworzenia przedsiębiorstw i</w:t>
      </w:r>
      <w:r w:rsidR="005C5C88">
        <w:t> </w:t>
      </w:r>
      <w:r>
        <w:t>zrównoważonego rozwoju.</w:t>
      </w:r>
      <w:bookmarkEnd w:id="10"/>
    </w:p>
    <w:p w14:paraId="1676989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1" w:name="_Toc228805425"/>
      <w:r>
        <w:t>Apeluje o radykalną zmianę w dostępie do finansowania przez rozszerzenie instrumentów finansowania dostosowanych do potrzeb młodzieży poza tradycyjne kredyty bankowe, włączając w to mikrofinansowanie, kapitał alternatywny oraz ukierunkowane wsparcie dla przedsiębiorstw gospodarki społecznej i innych modeli ukierunkowanych na skutki.</w:t>
      </w:r>
      <w:bookmarkEnd w:id="11"/>
    </w:p>
    <w:p w14:paraId="5EC949AC"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2" w:name="_Toc228805426"/>
      <w:r>
        <w:t>Wzywa do zdecydowanego uproszczenia ram administracyjnych i regulacyjnych na szczeblu unijnym, krajowym i lokalnym, aby ograniczyć biurokrację, obniżyć koszty przestrzegania przepisów i stworzyć stabilne, przyjazne dla biznesu otoczenie dla młodych przedsiębiorców.</w:t>
      </w:r>
      <w:bookmarkEnd w:id="12"/>
    </w:p>
    <w:p w14:paraId="6B1C43BE" w14:textId="5A077C75"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3" w:name="_Toc228805427"/>
      <w:r>
        <w:t>Zaleca włączenie edukacji w zakresie przedsiębiorczości, wiedzy finansowej i postaw przedsiębiorczych do wszystkich systemów kształcenia i szkolenia, w szczególności ścieżek zawodowych i dualnych, przy jednoczesnym wzmocnieniu umiejętności cyfrowych i</w:t>
      </w:r>
      <w:r w:rsidR="005C5C88">
        <w:t> </w:t>
      </w:r>
      <w:r>
        <w:t>zaawansowanych, w tym AI, w celu przygotowania młodych ludzi do przyszłych rynków.</w:t>
      </w:r>
      <w:bookmarkEnd w:id="13"/>
    </w:p>
    <w:p w14:paraId="365FBE52"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4" w:name="_Toc228805428"/>
      <w:r>
        <w:t>Apeluje o silniejsze ekosystemy wsparcia poprzez mentoring, sponsorowanie, tworzenie sieci kontaktów i możliwości umiędzynarodowienia, włączając w to programy mobilności i dostęp do rynków transgranicznych, w celu zwiększenia innowacji, skalowalności i konkurencyjności.</w:t>
      </w:r>
      <w:bookmarkEnd w:id="14"/>
    </w:p>
    <w:p w14:paraId="121511A7" w14:textId="77777777" w:rsidR="005D43B9" w:rsidRPr="005D43B9" w:rsidRDefault="005D43B9" w:rsidP="004C6742">
      <w:pPr>
        <w:numPr>
          <w:ilvl w:val="0"/>
          <w:numId w:val="25"/>
        </w:numPr>
        <w:overflowPunct w:val="0"/>
        <w:autoSpaceDE w:val="0"/>
        <w:autoSpaceDN w:val="0"/>
        <w:adjustRightInd w:val="0"/>
        <w:textAlignment w:val="baseline"/>
        <w:outlineLvl w:val="1"/>
        <w:rPr>
          <w:szCs w:val="20"/>
        </w:rPr>
      </w:pPr>
      <w:bookmarkStart w:id="15" w:name="_Toc228805429"/>
      <w:r>
        <w:t>Apeluje o inkluzywną i zrównoważoną politykę przedsiębiorczości, która wyeliminuje luki dla grup niedostatecznie reprezentowanych, będzie promować kulturę drugiej szansy, zapewni odpowiednią ochronę socjalną i uwypukli przedsiębiorczość młodzieży jako dobrowolną, ale strategiczną ścieżkę na rzecz odpornych rynków pracy i długoterminowej konkurencyjności UE.</w:t>
      </w:r>
      <w:bookmarkEnd w:id="15"/>
    </w:p>
    <w:p w14:paraId="4D53008B" w14:textId="77777777" w:rsidR="005D43B9" w:rsidRPr="005D43B9" w:rsidRDefault="005D43B9" w:rsidP="005D43B9">
      <w:pPr>
        <w:overflowPunct w:val="0"/>
        <w:autoSpaceDE w:val="0"/>
        <w:autoSpaceDN w:val="0"/>
        <w:adjustRightInd w:val="0"/>
        <w:textAlignment w:val="baseline"/>
        <w:rPr>
          <w:szCs w:val="20"/>
          <w:lang w:val="en-GB"/>
        </w:rPr>
      </w:pPr>
    </w:p>
    <w:tbl>
      <w:tblPr>
        <w:tblStyle w:val="TableGrid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71"/>
      </w:tblGrid>
      <w:tr w:rsidR="005D43B9" w:rsidRPr="005D43B9" w14:paraId="3AEDDC10" w14:textId="77777777" w:rsidTr="002E7EFB">
        <w:tc>
          <w:tcPr>
            <w:tcW w:w="2263" w:type="dxa"/>
          </w:tcPr>
          <w:p w14:paraId="0448BC47" w14:textId="77777777" w:rsidR="005D43B9" w:rsidRPr="005D43B9" w:rsidRDefault="005D43B9" w:rsidP="005D43B9">
            <w:pPr>
              <w:overflowPunct w:val="0"/>
              <w:autoSpaceDE w:val="0"/>
              <w:autoSpaceDN w:val="0"/>
              <w:adjustRightInd w:val="0"/>
              <w:textAlignment w:val="baseline"/>
              <w:rPr>
                <w:i/>
                <w:iCs/>
              </w:rPr>
            </w:pPr>
            <w:r>
              <w:rPr>
                <w:i/>
              </w:rPr>
              <w:t>Kontakt</w:t>
            </w:r>
          </w:p>
        </w:tc>
        <w:tc>
          <w:tcPr>
            <w:tcW w:w="7371" w:type="dxa"/>
          </w:tcPr>
          <w:p w14:paraId="756B92DB" w14:textId="77777777" w:rsidR="005D43B9" w:rsidRPr="005D43B9" w:rsidRDefault="005D43B9" w:rsidP="005D43B9">
            <w:pPr>
              <w:overflowPunct w:val="0"/>
              <w:autoSpaceDE w:val="0"/>
              <w:autoSpaceDN w:val="0"/>
              <w:adjustRightInd w:val="0"/>
              <w:textAlignment w:val="baseline"/>
              <w:rPr>
                <w:i/>
                <w:iCs/>
              </w:rPr>
            </w:pPr>
            <w:r>
              <w:rPr>
                <w:i/>
              </w:rPr>
              <w:t>Bartek Bednarowicz</w:t>
            </w:r>
          </w:p>
        </w:tc>
      </w:tr>
      <w:tr w:rsidR="005D43B9" w:rsidRPr="005D43B9" w14:paraId="11B3891D" w14:textId="77777777" w:rsidTr="002E7EFB">
        <w:tc>
          <w:tcPr>
            <w:tcW w:w="2263" w:type="dxa"/>
          </w:tcPr>
          <w:p w14:paraId="52201912" w14:textId="77777777" w:rsidR="005D43B9" w:rsidRPr="005D43B9" w:rsidRDefault="005D43B9" w:rsidP="005D43B9">
            <w:pPr>
              <w:overflowPunct w:val="0"/>
              <w:autoSpaceDE w:val="0"/>
              <w:autoSpaceDN w:val="0"/>
              <w:adjustRightInd w:val="0"/>
              <w:textAlignment w:val="baseline"/>
              <w:rPr>
                <w:i/>
                <w:iCs/>
              </w:rPr>
            </w:pPr>
            <w:r>
              <w:rPr>
                <w:i/>
              </w:rPr>
              <w:t>tel.</w:t>
            </w:r>
          </w:p>
        </w:tc>
        <w:tc>
          <w:tcPr>
            <w:tcW w:w="7371" w:type="dxa"/>
          </w:tcPr>
          <w:p w14:paraId="346E976A" w14:textId="77777777" w:rsidR="005D43B9" w:rsidRPr="005D43B9" w:rsidRDefault="005D43B9" w:rsidP="005D43B9">
            <w:pPr>
              <w:overflowPunct w:val="0"/>
              <w:autoSpaceDE w:val="0"/>
              <w:autoSpaceDN w:val="0"/>
              <w:adjustRightInd w:val="0"/>
              <w:textAlignment w:val="baseline"/>
              <w:rPr>
                <w:i/>
                <w:iCs/>
              </w:rPr>
            </w:pPr>
            <w:r>
              <w:rPr>
                <w:i/>
              </w:rPr>
              <w:t>+32 25469229</w:t>
            </w:r>
          </w:p>
        </w:tc>
      </w:tr>
      <w:tr w:rsidR="005D43B9" w:rsidRPr="005D43B9" w14:paraId="74A431CF" w14:textId="77777777" w:rsidTr="002E7EFB">
        <w:tc>
          <w:tcPr>
            <w:tcW w:w="2263" w:type="dxa"/>
          </w:tcPr>
          <w:p w14:paraId="2F9FDB94" w14:textId="77777777" w:rsidR="005D43B9" w:rsidRPr="005D43B9" w:rsidRDefault="005D43B9" w:rsidP="005D43B9">
            <w:pPr>
              <w:overflowPunct w:val="0"/>
              <w:autoSpaceDE w:val="0"/>
              <w:autoSpaceDN w:val="0"/>
              <w:adjustRightInd w:val="0"/>
              <w:textAlignment w:val="baseline"/>
              <w:rPr>
                <w:i/>
                <w:iCs/>
              </w:rPr>
            </w:pPr>
            <w:r>
              <w:rPr>
                <w:i/>
              </w:rPr>
              <w:t>e-mail</w:t>
            </w:r>
          </w:p>
        </w:tc>
        <w:tc>
          <w:tcPr>
            <w:tcW w:w="7371" w:type="dxa"/>
          </w:tcPr>
          <w:p w14:paraId="22B77F87" w14:textId="6D5D87E1" w:rsidR="005D43B9" w:rsidRPr="005D43B9" w:rsidRDefault="00651F28" w:rsidP="005D43B9">
            <w:pPr>
              <w:overflowPunct w:val="0"/>
              <w:autoSpaceDE w:val="0"/>
              <w:autoSpaceDN w:val="0"/>
              <w:adjustRightInd w:val="0"/>
              <w:textAlignment w:val="baseline"/>
              <w:rPr>
                <w:i/>
                <w:iCs/>
              </w:rPr>
            </w:pPr>
            <w:hyperlink r:id="rId30" w:history="1">
              <w:r>
                <w:rPr>
                  <w:i/>
                  <w:color w:val="0000FF"/>
                  <w:u w:val="single"/>
                </w:rPr>
                <w:t>Bartek.Bednarowicz@eesc.europa.eu</w:t>
              </w:r>
            </w:hyperlink>
          </w:p>
        </w:tc>
      </w:tr>
    </w:tbl>
    <w:p w14:paraId="2180EF54" w14:textId="6B9FAAB4" w:rsidR="005D43B9" w:rsidRDefault="005D43B9" w:rsidP="001766B2"/>
    <w:p w14:paraId="6764B06D" w14:textId="77777777" w:rsidR="005D43B9" w:rsidRDefault="005D43B9">
      <w:pPr>
        <w:spacing w:after="160" w:line="259" w:lineRule="auto"/>
        <w:jc w:val="left"/>
      </w:pPr>
      <w:r>
        <w:br w:type="page"/>
      </w:r>
    </w:p>
    <w:p w14:paraId="05853DC0" w14:textId="0965A33D" w:rsidR="001A42F8" w:rsidRPr="007B5DF5" w:rsidRDefault="00651F28" w:rsidP="001A42F8">
      <w:pPr>
        <w:widowControl w:val="0"/>
        <w:numPr>
          <w:ilvl w:val="0"/>
          <w:numId w:val="8"/>
        </w:numPr>
        <w:overflowPunct w:val="0"/>
        <w:autoSpaceDE w:val="0"/>
        <w:autoSpaceDN w:val="0"/>
        <w:adjustRightInd w:val="0"/>
        <w:ind w:left="567" w:hanging="567"/>
        <w:textAlignment w:val="baseline"/>
        <w:rPr>
          <w:sz w:val="16"/>
          <w:szCs w:val="16"/>
        </w:rPr>
      </w:pPr>
      <w:hyperlink r:id="rId31" w:history="1">
        <w:r>
          <w:rPr>
            <w:b/>
            <w:i/>
            <w:color w:val="0000FF"/>
            <w:sz w:val="28"/>
            <w:u w:val="single"/>
          </w:rPr>
          <w:t>Strategia UE w dziedzinie narkotyków</w:t>
        </w:r>
      </w:hyperlink>
    </w:p>
    <w:p w14:paraId="7314D464" w14:textId="77777777" w:rsidR="007B5DF5" w:rsidRPr="007B5DF5" w:rsidRDefault="007B5DF5" w:rsidP="007B5DF5">
      <w:pPr>
        <w:widowControl w:val="0"/>
        <w:overflowPunct w:val="0"/>
        <w:autoSpaceDE w:val="0"/>
        <w:autoSpaceDN w:val="0"/>
        <w:adjustRightInd w:val="0"/>
        <w:textAlignment w:val="baseline"/>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1A42F8" w:rsidRPr="001A42F8" w14:paraId="662136A7" w14:textId="77777777" w:rsidTr="004C6742">
        <w:tc>
          <w:tcPr>
            <w:tcW w:w="1701" w:type="dxa"/>
          </w:tcPr>
          <w:p w14:paraId="58B9919E"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Sprawozdawca</w:t>
            </w:r>
          </w:p>
          <w:p w14:paraId="6214510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p>
        </w:tc>
        <w:tc>
          <w:tcPr>
            <w:tcW w:w="6237" w:type="dxa"/>
          </w:tcPr>
          <w:p w14:paraId="56646FC8" w14:textId="63FDEAFD" w:rsidR="001A42F8" w:rsidRPr="001A42F8" w:rsidRDefault="001A42F8" w:rsidP="001A42F8">
            <w:pPr>
              <w:overflowPunct w:val="0"/>
              <w:autoSpaceDE w:val="0"/>
              <w:autoSpaceDN w:val="0"/>
              <w:adjustRightInd w:val="0"/>
              <w:ind w:left="567" w:hanging="567"/>
              <w:textAlignment w:val="baseline"/>
            </w:pPr>
            <w:r>
              <w:t>Diego DUTTO (Grupa Organizacji Społeczeństwa Obywatelskiego – IT)</w:t>
            </w:r>
          </w:p>
        </w:tc>
      </w:tr>
      <w:tr w:rsidR="001A42F8" w:rsidRPr="001A42F8" w14:paraId="090EED85" w14:textId="77777777" w:rsidTr="004C6742">
        <w:tc>
          <w:tcPr>
            <w:tcW w:w="1701" w:type="dxa"/>
            <w:vMerge w:val="restart"/>
          </w:tcPr>
          <w:p w14:paraId="233A8D32" w14:textId="77777777" w:rsidR="001A42F8" w:rsidRPr="001A42F8" w:rsidRDefault="001A42F8" w:rsidP="001A42F8">
            <w:pPr>
              <w:tabs>
                <w:tab w:val="center" w:pos="284"/>
              </w:tabs>
              <w:overflowPunct w:val="0"/>
              <w:autoSpaceDE w:val="0"/>
              <w:autoSpaceDN w:val="0"/>
              <w:adjustRightInd w:val="0"/>
              <w:ind w:left="567" w:hanging="567"/>
              <w:textAlignment w:val="baseline"/>
              <w:rPr>
                <w:b/>
              </w:rPr>
            </w:pPr>
            <w:r>
              <w:rPr>
                <w:b/>
              </w:rPr>
              <w:t>Dokumenty</w:t>
            </w:r>
          </w:p>
        </w:tc>
        <w:tc>
          <w:tcPr>
            <w:tcW w:w="6237" w:type="dxa"/>
          </w:tcPr>
          <w:p w14:paraId="5D489118" w14:textId="0B2B133B" w:rsidR="00E8783B" w:rsidRDefault="002C3C5F" w:rsidP="001A42F8">
            <w:pPr>
              <w:tabs>
                <w:tab w:val="center" w:pos="284"/>
              </w:tabs>
              <w:overflowPunct w:val="0"/>
              <w:autoSpaceDE w:val="0"/>
              <w:autoSpaceDN w:val="0"/>
              <w:adjustRightInd w:val="0"/>
              <w:ind w:left="567" w:hanging="567"/>
              <w:textAlignment w:val="baseline"/>
            </w:pPr>
            <w:r>
              <w:t>COM(2025) 743 final</w:t>
            </w:r>
          </w:p>
          <w:p w14:paraId="04484E34" w14:textId="756ABE61" w:rsidR="002C3C5F" w:rsidRDefault="002C3C5F" w:rsidP="001A42F8">
            <w:pPr>
              <w:tabs>
                <w:tab w:val="center" w:pos="284"/>
              </w:tabs>
              <w:overflowPunct w:val="0"/>
              <w:autoSpaceDE w:val="0"/>
              <w:autoSpaceDN w:val="0"/>
              <w:adjustRightInd w:val="0"/>
              <w:ind w:left="567" w:hanging="567"/>
              <w:textAlignment w:val="baseline"/>
            </w:pPr>
            <w:r>
              <w:t>COM(2025 744 final</w:t>
            </w:r>
          </w:p>
          <w:p w14:paraId="1847798E" w14:textId="37891D3B" w:rsidR="001A42F8" w:rsidRPr="001A42F8" w:rsidRDefault="001A42F8" w:rsidP="001A42F8">
            <w:pPr>
              <w:tabs>
                <w:tab w:val="center" w:pos="284"/>
              </w:tabs>
              <w:overflowPunct w:val="0"/>
              <w:autoSpaceDE w:val="0"/>
              <w:autoSpaceDN w:val="0"/>
              <w:adjustRightInd w:val="0"/>
              <w:ind w:left="567" w:hanging="567"/>
              <w:textAlignment w:val="baseline"/>
            </w:pPr>
            <w:r>
              <w:t>EESC-2026-00238-00-00-AC</w:t>
            </w:r>
          </w:p>
        </w:tc>
      </w:tr>
      <w:tr w:rsidR="001A42F8" w:rsidRPr="001A42F8" w14:paraId="5C11C504" w14:textId="77777777" w:rsidTr="004C6742">
        <w:tc>
          <w:tcPr>
            <w:tcW w:w="1701" w:type="dxa"/>
            <w:vMerge/>
          </w:tcPr>
          <w:p w14:paraId="1CBAABE2" w14:textId="77777777" w:rsidR="001A42F8" w:rsidRPr="001A42F8" w:rsidRDefault="001A42F8" w:rsidP="001A42F8">
            <w:pPr>
              <w:tabs>
                <w:tab w:val="center" w:pos="284"/>
              </w:tabs>
              <w:overflowPunct w:val="0"/>
              <w:autoSpaceDE w:val="0"/>
              <w:autoSpaceDN w:val="0"/>
              <w:adjustRightInd w:val="0"/>
              <w:ind w:left="266" w:hanging="266"/>
              <w:textAlignment w:val="baseline"/>
              <w:rPr>
                <w:b/>
                <w:lang w:val="pt-PT"/>
              </w:rPr>
            </w:pPr>
          </w:p>
        </w:tc>
        <w:tc>
          <w:tcPr>
            <w:tcW w:w="6237" w:type="dxa"/>
          </w:tcPr>
          <w:p w14:paraId="4060C927" w14:textId="77777777" w:rsidR="001A42F8" w:rsidRPr="001A42F8" w:rsidRDefault="001A42F8" w:rsidP="001A42F8">
            <w:pPr>
              <w:tabs>
                <w:tab w:val="center" w:pos="284"/>
              </w:tabs>
              <w:overflowPunct w:val="0"/>
              <w:autoSpaceDE w:val="0"/>
              <w:autoSpaceDN w:val="0"/>
              <w:adjustRightInd w:val="0"/>
              <w:ind w:left="266" w:hanging="266"/>
              <w:textAlignment w:val="baseline"/>
              <w:rPr>
                <w:sz w:val="16"/>
                <w:szCs w:val="16"/>
                <w:lang w:val="pt-PT"/>
              </w:rPr>
            </w:pPr>
          </w:p>
        </w:tc>
      </w:tr>
    </w:tbl>
    <w:p w14:paraId="30C02137" w14:textId="77777777" w:rsidR="001A42F8" w:rsidRPr="001A42F8" w:rsidRDefault="001A42F8" w:rsidP="001A42F8">
      <w:pPr>
        <w:keepNext/>
        <w:keepLines/>
        <w:tabs>
          <w:tab w:val="center" w:pos="284"/>
        </w:tabs>
        <w:overflowPunct w:val="0"/>
        <w:autoSpaceDE w:val="0"/>
        <w:autoSpaceDN w:val="0"/>
        <w:adjustRightInd w:val="0"/>
        <w:ind w:left="266" w:hanging="266"/>
        <w:textAlignment w:val="baseline"/>
        <w:rPr>
          <w:b/>
        </w:rPr>
      </w:pPr>
      <w:r>
        <w:rPr>
          <w:b/>
        </w:rPr>
        <w:t>Główne punkty</w:t>
      </w:r>
    </w:p>
    <w:p w14:paraId="55C710FF" w14:textId="77777777" w:rsidR="001A42F8" w:rsidRPr="001A42F8" w:rsidRDefault="001A42F8" w:rsidP="001A42F8">
      <w:pPr>
        <w:overflowPunct w:val="0"/>
        <w:autoSpaceDE w:val="0"/>
        <w:autoSpaceDN w:val="0"/>
        <w:adjustRightInd w:val="0"/>
        <w:textAlignment w:val="baseline"/>
        <w:rPr>
          <w:szCs w:val="20"/>
          <w:lang w:val="en-GB"/>
        </w:rPr>
      </w:pPr>
    </w:p>
    <w:p w14:paraId="50E3F48E" w14:textId="77777777" w:rsidR="001A42F8" w:rsidRPr="004C6742" w:rsidRDefault="001A42F8" w:rsidP="001A42F8">
      <w:pPr>
        <w:spacing w:before="100" w:beforeAutospacing="1" w:after="100" w:afterAutospacing="1" w:line="240" w:lineRule="auto"/>
      </w:pPr>
      <w:r>
        <w:rPr>
          <w:b/>
        </w:rPr>
        <w:t>EKES:</w:t>
      </w:r>
    </w:p>
    <w:p w14:paraId="5429D755" w14:textId="77777777" w:rsidR="001A42F8" w:rsidRPr="001A42F8" w:rsidRDefault="001A42F8" w:rsidP="002C3C5F">
      <w:pPr>
        <w:ind w:left="1134" w:hanging="1134"/>
        <w:rPr>
          <w:lang w:val="en-GB" w:eastAsia="fr-BE"/>
        </w:rPr>
      </w:pPr>
    </w:p>
    <w:p w14:paraId="6436B95C" w14:textId="364C350A"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Podkreśla, że skuteczność strategii UE będzie zależała od jej zdolności przewidywania tendencji. Zaleca, aby Komisja nie ograniczała się do wskaźników reaktywnych (konfiskaty narkotyków i</w:t>
      </w:r>
      <w:r w:rsidR="005C5C88">
        <w:t> </w:t>
      </w:r>
      <w:r>
        <w:t>zgony), lecz zapewniła strukturalne, obowiązkowe wsparcie dla znormalizowanych systemów monitorowania.</w:t>
      </w:r>
    </w:p>
    <w:p w14:paraId="2271E454"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Z niepokojem zauważa, że strategia niewspółmiernie skupia się na tradycyjnych substancjach nielegalnych. Młodzi ludzie zmierzają w kierunku używania legalnych narkotyków poza wskazaniami rejestracyjnymi. Zaleca zatem wprowadzenie europejskich wytycznych dotyczących monitorowania przepisywania leków oraz rozpoczęcie specjalnych kampanii uświadamiających na temat ryzyka uzależnienia od dostępnych legalnie leków psychoaktywnych.</w:t>
      </w:r>
    </w:p>
    <w:p w14:paraId="06511F3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Zaleca rygorystyczne monitorowanie występowania opioidowych środków przeciwbólowych. Należy dołożyć starań, aby zapobiec uzależnieniu od takich substancji – pozyskiwanych legalnymi drogami – tej części społeczeństwa, która nie wydaje się zagrożona.</w:t>
      </w:r>
    </w:p>
    <w:p w14:paraId="712668E0"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Zauważa, że należy opracować unijne protokoły dotyczące wczesnej interwencji, aby wspierać usługi społeczne i zdrowotne w wykrywaniu nowych użytkowników na wczesnym etapie zażywania narkotyków.</w:t>
      </w:r>
    </w:p>
    <w:p w14:paraId="69923D8D"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Zaleca opracowanie szczegółowych kluczowych wskaźników efektywności (KPI) służących ocenie skuteczności polityk zapobiegania. Ocena ta powinna uwzględniać nie tylko wyniki w zakresie konfiskaty narkotyków, lecz także ograniczenie częstości występowania nowych uzależnień oraz skuteczność działań reintegracyjnych.</w:t>
      </w:r>
    </w:p>
    <w:p w14:paraId="2A5044E2"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Podkreśla, że zwalczanie handlu narkotykami musi być powiązane z solidną polityką zdrowia publicznego.</w:t>
      </w:r>
    </w:p>
    <w:p w14:paraId="646F52D6" w14:textId="77777777"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Zauważa, że w planie działania skoncentrowano się niemal wyłącznie na ochronie infrastruktury fizycznej (porty, centra logistyczne) oraz cyfrowej, a pominięto wymiar wspólnotowy.</w:t>
      </w:r>
    </w:p>
    <w:p w14:paraId="1DC9D98D" w14:textId="006526ED" w:rsidR="001A42F8" w:rsidRPr="001A42F8" w:rsidRDefault="001A42F8" w:rsidP="004C6742">
      <w:pPr>
        <w:numPr>
          <w:ilvl w:val="0"/>
          <w:numId w:val="26"/>
        </w:numPr>
        <w:tabs>
          <w:tab w:val="clear" w:pos="720"/>
          <w:tab w:val="num" w:pos="284"/>
        </w:tabs>
        <w:overflowPunct w:val="0"/>
        <w:autoSpaceDE w:val="0"/>
        <w:autoSpaceDN w:val="0"/>
        <w:adjustRightInd w:val="0"/>
        <w:ind w:left="284" w:hanging="284"/>
        <w:textAlignment w:val="baseline"/>
      </w:pPr>
      <w:r>
        <w:t>Wskazuje, że plan działania nie zawiera wystarczających wytycznych dla państw członkowskich w</w:t>
      </w:r>
      <w:r w:rsidR="005C5C88">
        <w:t> </w:t>
      </w:r>
      <w:r>
        <w:t>zakresie polityki publicznej niezbędnej do ograniczenia problemu zażywania narkotyków.</w:t>
      </w:r>
    </w:p>
    <w:p w14:paraId="7CC45175" w14:textId="77777777" w:rsidR="001A42F8" w:rsidRPr="001A42F8" w:rsidRDefault="001A42F8" w:rsidP="001A42F8">
      <w:pPr>
        <w:overflowPunct w:val="0"/>
        <w:autoSpaceDE w:val="0"/>
        <w:autoSpaceDN w:val="0"/>
        <w:adjustRightInd w:val="0"/>
        <w:textAlignment w:val="baseline"/>
        <w:rPr>
          <w:szCs w:val="20"/>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1A42F8" w:rsidRPr="001A42F8" w14:paraId="6F6F0875" w14:textId="77777777" w:rsidTr="002E7EFB">
        <w:tc>
          <w:tcPr>
            <w:tcW w:w="1210" w:type="dxa"/>
          </w:tcPr>
          <w:p w14:paraId="1275EF0A" w14:textId="77777777" w:rsidR="001A42F8" w:rsidRPr="001A42F8" w:rsidRDefault="001A42F8" w:rsidP="001A42F8">
            <w:pPr>
              <w:overflowPunct w:val="0"/>
              <w:autoSpaceDE w:val="0"/>
              <w:autoSpaceDN w:val="0"/>
              <w:adjustRightInd w:val="0"/>
              <w:spacing w:line="240" w:lineRule="auto"/>
              <w:textAlignment w:val="baseline"/>
              <w:rPr>
                <w:i/>
              </w:rPr>
            </w:pPr>
            <w:r>
              <w:rPr>
                <w:b/>
                <w:i/>
              </w:rPr>
              <w:t>Kontakt</w:t>
            </w:r>
          </w:p>
        </w:tc>
        <w:tc>
          <w:tcPr>
            <w:tcW w:w="4493" w:type="dxa"/>
          </w:tcPr>
          <w:p w14:paraId="51601E16" w14:textId="77777777" w:rsidR="001A42F8" w:rsidRPr="001A42F8" w:rsidRDefault="001A42F8" w:rsidP="001A42F8">
            <w:pPr>
              <w:overflowPunct w:val="0"/>
              <w:autoSpaceDE w:val="0"/>
              <w:autoSpaceDN w:val="0"/>
              <w:adjustRightInd w:val="0"/>
              <w:spacing w:line="240" w:lineRule="auto"/>
              <w:ind w:hanging="12"/>
              <w:textAlignment w:val="baseline"/>
              <w:rPr>
                <w:i/>
              </w:rPr>
            </w:pPr>
            <w:r>
              <w:rPr>
                <w:i/>
              </w:rPr>
              <w:t>Gemma Amran</w:t>
            </w:r>
          </w:p>
        </w:tc>
      </w:tr>
      <w:tr w:rsidR="001A42F8" w:rsidRPr="001A42F8" w14:paraId="6CBEA581" w14:textId="77777777" w:rsidTr="002E7EFB">
        <w:tc>
          <w:tcPr>
            <w:tcW w:w="1210" w:type="dxa"/>
          </w:tcPr>
          <w:p w14:paraId="11A461E0" w14:textId="77777777" w:rsidR="001A42F8" w:rsidRPr="001A42F8" w:rsidRDefault="001A42F8" w:rsidP="001A42F8">
            <w:pPr>
              <w:overflowPunct w:val="0"/>
              <w:autoSpaceDE w:val="0"/>
              <w:autoSpaceDN w:val="0"/>
              <w:adjustRightInd w:val="0"/>
              <w:spacing w:line="240" w:lineRule="auto"/>
              <w:textAlignment w:val="baseline"/>
              <w:rPr>
                <w:i/>
              </w:rPr>
            </w:pPr>
            <w:r>
              <w:rPr>
                <w:i/>
              </w:rPr>
              <w:t>tel.</w:t>
            </w:r>
          </w:p>
        </w:tc>
        <w:tc>
          <w:tcPr>
            <w:tcW w:w="4493" w:type="dxa"/>
          </w:tcPr>
          <w:p w14:paraId="6A4B7B1B" w14:textId="77777777" w:rsidR="001A42F8" w:rsidRPr="001A42F8" w:rsidRDefault="001A42F8" w:rsidP="001A42F8">
            <w:pPr>
              <w:overflowPunct w:val="0"/>
              <w:autoSpaceDE w:val="0"/>
              <w:autoSpaceDN w:val="0"/>
              <w:adjustRightInd w:val="0"/>
              <w:spacing w:line="240" w:lineRule="auto"/>
              <w:textAlignment w:val="baseline"/>
              <w:rPr>
                <w:i/>
              </w:rPr>
            </w:pPr>
            <w:r>
              <w:rPr>
                <w:i/>
              </w:rPr>
              <w:t>+32 25469</w:t>
            </w:r>
            <w:r>
              <w:t>415</w:t>
            </w:r>
          </w:p>
        </w:tc>
      </w:tr>
      <w:tr w:rsidR="001A42F8" w:rsidRPr="001A42F8" w14:paraId="0CEF3057" w14:textId="77777777" w:rsidTr="002E7EFB">
        <w:tc>
          <w:tcPr>
            <w:tcW w:w="1210" w:type="dxa"/>
          </w:tcPr>
          <w:p w14:paraId="68E038E0" w14:textId="77777777" w:rsidR="001A42F8" w:rsidRPr="001A42F8" w:rsidRDefault="001A42F8" w:rsidP="001A42F8">
            <w:pPr>
              <w:overflowPunct w:val="0"/>
              <w:autoSpaceDE w:val="0"/>
              <w:autoSpaceDN w:val="0"/>
              <w:adjustRightInd w:val="0"/>
              <w:spacing w:line="240" w:lineRule="auto"/>
              <w:textAlignment w:val="baseline"/>
              <w:rPr>
                <w:i/>
              </w:rPr>
            </w:pPr>
            <w:r>
              <w:rPr>
                <w:i/>
              </w:rPr>
              <w:t>e-mail</w:t>
            </w:r>
          </w:p>
        </w:tc>
        <w:tc>
          <w:tcPr>
            <w:tcW w:w="4493" w:type="dxa"/>
          </w:tcPr>
          <w:p w14:paraId="7CF2E2AE" w14:textId="38D4615C" w:rsidR="001A42F8" w:rsidRPr="001A42F8" w:rsidRDefault="00651F28" w:rsidP="001A42F8">
            <w:pPr>
              <w:overflowPunct w:val="0"/>
              <w:autoSpaceDE w:val="0"/>
              <w:autoSpaceDN w:val="0"/>
              <w:adjustRightInd w:val="0"/>
              <w:spacing w:line="240" w:lineRule="auto"/>
              <w:textAlignment w:val="baseline"/>
              <w:rPr>
                <w:i/>
                <w:iCs/>
              </w:rPr>
            </w:pPr>
            <w:hyperlink r:id="rId32" w:history="1">
              <w:r>
                <w:rPr>
                  <w:i/>
                  <w:color w:val="0000FF"/>
                  <w:u w:val="single"/>
                </w:rPr>
                <w:t>Gemma.Amran@eesc.europa.eu</w:t>
              </w:r>
            </w:hyperlink>
          </w:p>
        </w:tc>
      </w:tr>
    </w:tbl>
    <w:p w14:paraId="6961E51E" w14:textId="5180950B" w:rsidR="001A42F8" w:rsidRDefault="001A42F8" w:rsidP="001766B2"/>
    <w:p w14:paraId="4CE2AFBF" w14:textId="77777777" w:rsidR="001A42F8" w:rsidRDefault="001A42F8">
      <w:pPr>
        <w:spacing w:after="160" w:line="259" w:lineRule="auto"/>
        <w:jc w:val="left"/>
      </w:pPr>
      <w:r>
        <w:br w:type="page"/>
      </w:r>
    </w:p>
    <w:p w14:paraId="6E89C215" w14:textId="2FFD2B67" w:rsidR="00C53E67" w:rsidRPr="00C53E67" w:rsidRDefault="00A067F3" w:rsidP="004C6742">
      <w:pPr>
        <w:widowControl w:val="0"/>
        <w:numPr>
          <w:ilvl w:val="0"/>
          <w:numId w:val="4"/>
        </w:numPr>
        <w:overflowPunct w:val="0"/>
        <w:autoSpaceDE w:val="0"/>
        <w:autoSpaceDN w:val="0"/>
        <w:adjustRightInd w:val="0"/>
        <w:ind w:hanging="567"/>
        <w:textAlignment w:val="baseline"/>
        <w:rPr>
          <w:b/>
        </w:rPr>
      </w:pPr>
      <w:hyperlink r:id="rId33" w:history="1">
        <w:r>
          <w:rPr>
            <w:b/>
            <w:i/>
            <w:color w:val="0000FF"/>
            <w:sz w:val="28"/>
            <w:u w:val="single"/>
          </w:rPr>
          <w:t>Kompas kultury dla Europy</w:t>
        </w:r>
      </w:hyperlink>
    </w:p>
    <w:p w14:paraId="4A204B30" w14:textId="77777777" w:rsidR="001D292C" w:rsidRPr="005C5C88" w:rsidRDefault="001D292C" w:rsidP="00C53E67">
      <w:pPr>
        <w:widowControl w:val="0"/>
        <w:overflowPunct w:val="0"/>
        <w:autoSpaceDE w:val="0"/>
        <w:autoSpaceDN w:val="0"/>
        <w:adjustRightInd w:val="0"/>
        <w:ind w:left="266"/>
        <w:textAlignment w:val="baseline"/>
        <w:rPr>
          <w:b/>
          <w:lang w:val="en-GB"/>
        </w:rPr>
      </w:pPr>
    </w:p>
    <w:tbl>
      <w:tblPr>
        <w:tblStyle w:val="TableGrid7"/>
        <w:tblW w:w="41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5661"/>
      </w:tblGrid>
      <w:tr w:rsidR="00C53E67" w:rsidRPr="005C5C88" w14:paraId="2091F211" w14:textId="77777777" w:rsidTr="002E7EFB">
        <w:tc>
          <w:tcPr>
            <w:tcW w:w="1321" w:type="pct"/>
          </w:tcPr>
          <w:p w14:paraId="10C92D44" w14:textId="77777777" w:rsidR="00C53E67" w:rsidRPr="005C5C88" w:rsidRDefault="00C53E67" w:rsidP="00C53E67">
            <w:pPr>
              <w:overflowPunct w:val="0"/>
              <w:autoSpaceDE w:val="0"/>
              <w:autoSpaceDN w:val="0"/>
              <w:adjustRightInd w:val="0"/>
              <w:ind w:left="-113"/>
              <w:textAlignment w:val="baseline"/>
              <w:rPr>
                <w:b/>
                <w:sz w:val="22"/>
                <w:szCs w:val="22"/>
              </w:rPr>
            </w:pPr>
            <w:r w:rsidRPr="005C5C88">
              <w:rPr>
                <w:b/>
                <w:sz w:val="22"/>
                <w:szCs w:val="22"/>
              </w:rPr>
              <w:t xml:space="preserve">Sprawozdawca </w:t>
            </w:r>
          </w:p>
        </w:tc>
        <w:tc>
          <w:tcPr>
            <w:tcW w:w="3679" w:type="pct"/>
          </w:tcPr>
          <w:p w14:paraId="10DA44E6" w14:textId="77777777" w:rsidR="00C53E67" w:rsidRPr="005C5C88" w:rsidRDefault="00C53E67" w:rsidP="00C53E67">
            <w:pPr>
              <w:overflowPunct w:val="0"/>
              <w:autoSpaceDE w:val="0"/>
              <w:autoSpaceDN w:val="0"/>
              <w:adjustRightInd w:val="0"/>
              <w:ind w:left="-113"/>
              <w:textAlignment w:val="baseline"/>
              <w:rPr>
                <w:sz w:val="22"/>
                <w:szCs w:val="22"/>
              </w:rPr>
            </w:pPr>
            <w:r w:rsidRPr="005C5C88">
              <w:rPr>
                <w:sz w:val="22"/>
                <w:szCs w:val="22"/>
              </w:rPr>
              <w:t>Luca JAHIER (Grupa Organizacji Społeczeństwa Obywatelskiego – IT)</w:t>
            </w:r>
          </w:p>
        </w:tc>
      </w:tr>
      <w:tr w:rsidR="00C53E67" w:rsidRPr="005C5C88" w14:paraId="12DAA263" w14:textId="77777777" w:rsidTr="002E7EFB">
        <w:tc>
          <w:tcPr>
            <w:tcW w:w="5000" w:type="pct"/>
            <w:gridSpan w:val="2"/>
          </w:tcPr>
          <w:p w14:paraId="1A0026BB" w14:textId="77777777" w:rsidR="00C53E67" w:rsidRPr="005C5C88" w:rsidRDefault="00C53E67" w:rsidP="00C53E67">
            <w:pPr>
              <w:overflowPunct w:val="0"/>
              <w:autoSpaceDE w:val="0"/>
              <w:autoSpaceDN w:val="0"/>
              <w:adjustRightInd w:val="0"/>
              <w:spacing w:line="160" w:lineRule="exact"/>
              <w:ind w:left="-113"/>
              <w:textAlignment w:val="baseline"/>
              <w:rPr>
                <w:sz w:val="22"/>
                <w:szCs w:val="22"/>
              </w:rPr>
            </w:pPr>
          </w:p>
        </w:tc>
      </w:tr>
      <w:tr w:rsidR="00C53E67" w:rsidRPr="005C5C88" w14:paraId="1917B1A6" w14:textId="77777777" w:rsidTr="002E7EFB">
        <w:tc>
          <w:tcPr>
            <w:tcW w:w="1321" w:type="pct"/>
          </w:tcPr>
          <w:p w14:paraId="68946A42" w14:textId="77777777" w:rsidR="00C53E67" w:rsidRPr="005C5C88" w:rsidRDefault="00C53E67" w:rsidP="00C53E67">
            <w:pPr>
              <w:overflowPunct w:val="0"/>
              <w:autoSpaceDE w:val="0"/>
              <w:autoSpaceDN w:val="0"/>
              <w:adjustRightInd w:val="0"/>
              <w:ind w:left="-113"/>
              <w:textAlignment w:val="baseline"/>
              <w:rPr>
                <w:b/>
                <w:sz w:val="22"/>
                <w:szCs w:val="22"/>
              </w:rPr>
            </w:pPr>
            <w:r w:rsidRPr="005C5C88">
              <w:rPr>
                <w:b/>
                <w:sz w:val="22"/>
                <w:szCs w:val="22"/>
              </w:rPr>
              <w:t>Dokumenty</w:t>
            </w:r>
          </w:p>
        </w:tc>
        <w:tc>
          <w:tcPr>
            <w:tcW w:w="3679" w:type="pct"/>
          </w:tcPr>
          <w:p w14:paraId="3649F935" w14:textId="5EC0AA86" w:rsidR="00DE1BF7" w:rsidRPr="005C5C88" w:rsidRDefault="00DE1BF7" w:rsidP="00C53E67">
            <w:pPr>
              <w:overflowPunct w:val="0"/>
              <w:autoSpaceDE w:val="0"/>
              <w:autoSpaceDN w:val="0"/>
              <w:adjustRightInd w:val="0"/>
              <w:ind w:left="-113"/>
              <w:textAlignment w:val="baseline"/>
              <w:rPr>
                <w:sz w:val="22"/>
                <w:szCs w:val="22"/>
              </w:rPr>
            </w:pPr>
            <w:r w:rsidRPr="005C5C88">
              <w:rPr>
                <w:sz w:val="22"/>
                <w:szCs w:val="22"/>
              </w:rPr>
              <w:t>COM(2025) 785 final</w:t>
            </w:r>
          </w:p>
          <w:p w14:paraId="72ADC23E" w14:textId="431F11BB" w:rsidR="00DE1BF7" w:rsidRPr="005C5C88" w:rsidRDefault="00DE1BF7" w:rsidP="00C53E67">
            <w:pPr>
              <w:overflowPunct w:val="0"/>
              <w:autoSpaceDE w:val="0"/>
              <w:autoSpaceDN w:val="0"/>
              <w:adjustRightInd w:val="0"/>
              <w:ind w:left="-113"/>
              <w:textAlignment w:val="baseline"/>
              <w:rPr>
                <w:sz w:val="22"/>
                <w:szCs w:val="22"/>
              </w:rPr>
            </w:pPr>
            <w:r w:rsidRPr="005C5C88">
              <w:rPr>
                <w:sz w:val="22"/>
                <w:szCs w:val="22"/>
              </w:rPr>
              <w:t>COM(2025) 786 final</w:t>
            </w:r>
          </w:p>
          <w:p w14:paraId="20BD4BF5" w14:textId="0E4CE06A" w:rsidR="00C53E67" w:rsidRPr="005C5C88" w:rsidRDefault="00C53E67" w:rsidP="00C53E67">
            <w:pPr>
              <w:overflowPunct w:val="0"/>
              <w:autoSpaceDE w:val="0"/>
              <w:autoSpaceDN w:val="0"/>
              <w:adjustRightInd w:val="0"/>
              <w:ind w:left="-113"/>
              <w:textAlignment w:val="baseline"/>
              <w:rPr>
                <w:sz w:val="22"/>
                <w:szCs w:val="22"/>
              </w:rPr>
            </w:pPr>
            <w:r w:rsidRPr="005C5C88">
              <w:rPr>
                <w:sz w:val="22"/>
                <w:szCs w:val="22"/>
              </w:rPr>
              <w:t>EESC-2025-04241-00-00-AC</w:t>
            </w:r>
          </w:p>
        </w:tc>
      </w:tr>
    </w:tbl>
    <w:p w14:paraId="3D06F742" w14:textId="77777777" w:rsidR="00C53E67" w:rsidRPr="005C5C88"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4F488388" w14:textId="77777777" w:rsidR="00C53E67" w:rsidRPr="005C5C88" w:rsidRDefault="00C53E67" w:rsidP="00C53E67">
      <w:pPr>
        <w:keepNext/>
        <w:keepLines/>
        <w:tabs>
          <w:tab w:val="center" w:pos="284"/>
        </w:tabs>
        <w:overflowPunct w:val="0"/>
        <w:autoSpaceDE w:val="0"/>
        <w:autoSpaceDN w:val="0"/>
        <w:adjustRightInd w:val="0"/>
        <w:ind w:left="266" w:hanging="266"/>
        <w:textAlignment w:val="baseline"/>
        <w:rPr>
          <w:b/>
        </w:rPr>
      </w:pPr>
      <w:r w:rsidRPr="005C5C88">
        <w:rPr>
          <w:b/>
        </w:rPr>
        <w:t>Główne punkty</w:t>
      </w:r>
    </w:p>
    <w:p w14:paraId="2BEAC91B" w14:textId="77777777" w:rsidR="00C53E67" w:rsidRPr="005C5C88" w:rsidRDefault="00C53E67" w:rsidP="00C53E67">
      <w:pPr>
        <w:keepNext/>
        <w:keepLines/>
        <w:tabs>
          <w:tab w:val="center" w:pos="284"/>
        </w:tabs>
        <w:overflowPunct w:val="0"/>
        <w:autoSpaceDE w:val="0"/>
        <w:autoSpaceDN w:val="0"/>
        <w:adjustRightInd w:val="0"/>
        <w:ind w:left="266" w:hanging="266"/>
        <w:textAlignment w:val="baseline"/>
        <w:rPr>
          <w:b/>
          <w:lang w:val="en-GB"/>
        </w:rPr>
      </w:pPr>
    </w:p>
    <w:p w14:paraId="6931DC56" w14:textId="77777777" w:rsidR="00C53E67" w:rsidRPr="005C5C88" w:rsidRDefault="00C53E67" w:rsidP="00C53E67">
      <w:pPr>
        <w:overflowPunct w:val="0"/>
        <w:autoSpaceDE w:val="0"/>
        <w:autoSpaceDN w:val="0"/>
        <w:adjustRightInd w:val="0"/>
        <w:spacing w:line="240" w:lineRule="auto"/>
        <w:contextualSpacing/>
        <w:textAlignment w:val="baseline"/>
        <w:rPr>
          <w:bCs/>
          <w:iCs/>
        </w:rPr>
      </w:pPr>
      <w:r w:rsidRPr="005C5C88">
        <w:t>EKES:</w:t>
      </w:r>
    </w:p>
    <w:p w14:paraId="38DEACAE" w14:textId="77777777" w:rsidR="00C53E67" w:rsidRPr="00C53E67" w:rsidRDefault="00C53E67" w:rsidP="004C6742">
      <w:pPr>
        <w:numPr>
          <w:ilvl w:val="0"/>
          <w:numId w:val="27"/>
        </w:numPr>
        <w:overflowPunct w:val="0"/>
        <w:autoSpaceDE w:val="0"/>
        <w:autoSpaceDN w:val="0"/>
        <w:adjustRightInd w:val="0"/>
        <w:spacing w:line="276" w:lineRule="auto"/>
        <w:textAlignment w:val="baseline"/>
      </w:pPr>
      <w:r>
        <w:rPr>
          <w:b/>
        </w:rPr>
        <w:t>W pełni popiera Kompas kultury dla Europy</w:t>
      </w:r>
      <w:r>
        <w:t xml:space="preserve"> jako aktualną przekrojową strategię na rzecz promowania kultury i europejskich wartości oraz dobrze prosperującego sektora kultury.</w:t>
      </w:r>
    </w:p>
    <w:p w14:paraId="51935618" w14:textId="7AA5A5EF"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Podkreśla </w:t>
      </w:r>
      <w:r>
        <w:rPr>
          <w:b/>
        </w:rPr>
        <w:t>rolę kultury we wzmacnianiu demokracji</w:t>
      </w:r>
      <w:r>
        <w:t>, przeciwdziałaniu populistycznym i</w:t>
      </w:r>
      <w:r w:rsidR="005C5C88">
        <w:t> </w:t>
      </w:r>
      <w:r>
        <w:t>autorytarnym narracjom oraz wspieraniu spójności społecznej, gotowości i zrównoważonego rozwoju.</w:t>
      </w:r>
    </w:p>
    <w:p w14:paraId="1C5AAA1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Zaleca </w:t>
      </w:r>
      <w:r>
        <w:rPr>
          <w:b/>
        </w:rPr>
        <w:t>rozwijanie synergii</w:t>
      </w:r>
      <w:r>
        <w:t xml:space="preserve"> między Kompasem kultury a inicjatywami takimi jak europejska tarcza demokracji, zwłaszcza w sferze cyfrowej.</w:t>
      </w:r>
    </w:p>
    <w:p w14:paraId="5D3CFABE" w14:textId="6C421D34"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Podkreśla potrzebę opracowania </w:t>
      </w:r>
      <w:r>
        <w:rPr>
          <w:b/>
        </w:rPr>
        <w:t>specjalnej strategii w zakresie AI dla sektora kultury i</w:t>
      </w:r>
      <w:r w:rsidR="005C5C88">
        <w:rPr>
          <w:b/>
        </w:rPr>
        <w:t> </w:t>
      </w:r>
      <w:r>
        <w:rPr>
          <w:b/>
        </w:rPr>
        <w:t>sektora kreatywnego</w:t>
      </w:r>
      <w:r>
        <w:t xml:space="preserve"> z uwzględnieniem ochrony własności twórczej, rozwoju rynków licencyjnych oraz wytycznych opartych na akcie w sprawie AI.</w:t>
      </w:r>
    </w:p>
    <w:p w14:paraId="076C2D8F" w14:textId="75C4FFEB"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Apeluje o </w:t>
      </w:r>
      <w:r>
        <w:rPr>
          <w:b/>
        </w:rPr>
        <w:t>silne i przekrojowe wsparcie finansowe w kolejnych WRF (2028–2034)</w:t>
      </w:r>
      <w:r>
        <w:t>, w tym o</w:t>
      </w:r>
      <w:r w:rsidR="005C5C88">
        <w:t> </w:t>
      </w:r>
      <w:r>
        <w:t>przeznaczenie 2% budżetu UE na kulturę i zapewnienie jej włączenia do głównych programów UE.</w:t>
      </w:r>
    </w:p>
    <w:p w14:paraId="5C1C74F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Wzywa do solidnego, </w:t>
      </w:r>
      <w:r>
        <w:rPr>
          <w:b/>
        </w:rPr>
        <w:t>ukierunkowanego na cele wdrożenia Kompasu kultury poprzez jasny plan działania</w:t>
      </w:r>
      <w:r>
        <w:t>, odpowiednie zdolności administracyjne i długoterminową ciągłość polityki.</w:t>
      </w:r>
    </w:p>
    <w:p w14:paraId="4ABFA2B6" w14:textId="4D80A28F"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Zaleca </w:t>
      </w:r>
      <w:r>
        <w:rPr>
          <w:b/>
        </w:rPr>
        <w:t>systematyczne angażowanie na wczesnym etapie podmiotów kulturalnych i innych</w:t>
      </w:r>
      <w:r>
        <w:t>, w</w:t>
      </w:r>
      <w:r w:rsidR="005C5C88">
        <w:t> </w:t>
      </w:r>
      <w:r>
        <w:t>tym władz lokalnych, MŚP oraz sektora kultury i sektora kreatywnego, w celu zwiększenia odpowiedzialności i wpływu.</w:t>
      </w:r>
    </w:p>
    <w:p w14:paraId="34D1F370" w14:textId="3DA529D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Wzywa do </w:t>
      </w:r>
      <w:r>
        <w:rPr>
          <w:b/>
        </w:rPr>
        <w:t>silniejszego włączenia</w:t>
      </w:r>
      <w:r>
        <w:t xml:space="preserve"> do polityki publicznej </w:t>
      </w:r>
      <w:r>
        <w:rPr>
          <w:b/>
        </w:rPr>
        <w:t>podmiotów gospodarki społecznej</w:t>
      </w:r>
      <w:r>
        <w:t xml:space="preserve"> i</w:t>
      </w:r>
      <w:r w:rsidR="005C5C88">
        <w:t> </w:t>
      </w:r>
      <w:r>
        <w:t>inicjatyw kulturalnych opartych na społeczności, z uwzględnieniem odpowiednich instrumentów fiskalnych i finansowych.</w:t>
      </w:r>
    </w:p>
    <w:p w14:paraId="7574E8ED" w14:textId="152B7491"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Z zadowoleniem przyjmuje proponowany zorganizowany dialog UE z zainteresowanymi stronami</w:t>
      </w:r>
      <w:r>
        <w:t xml:space="preserve"> i proponuje, że będzie pełnił rolę kluczowego partnera w ułatwianiu wymiany z</w:t>
      </w:r>
      <w:r w:rsidR="005C5C88">
        <w:t> </w:t>
      </w:r>
      <w:r>
        <w:t>podmiotami instytucjonalnymi i sektorowymi.</w:t>
      </w:r>
    </w:p>
    <w:p w14:paraId="2118B2C0" w14:textId="54DB3A9F"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Podkreśla, że sektor kultury i sektor kreatywny są </w:t>
      </w:r>
      <w:r>
        <w:rPr>
          <w:b/>
        </w:rPr>
        <w:t>strategicznym ekosystemem gospodarczym</w:t>
      </w:r>
      <w:r>
        <w:t>, i</w:t>
      </w:r>
      <w:r w:rsidR="005C5C88">
        <w:t> </w:t>
      </w:r>
      <w:r>
        <w:t>wzywa do lepszej integracji z Kompasem kluczowych sektorów, takich jak sektor gier, filmu, muzyki i mody.</w:t>
      </w:r>
    </w:p>
    <w:p w14:paraId="4B8E43E5"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t xml:space="preserve">Popiera </w:t>
      </w:r>
      <w:r>
        <w:rPr>
          <w:b/>
        </w:rPr>
        <w:t>edukację kulturalną i rozwój umiejętności</w:t>
      </w:r>
      <w:r>
        <w:t>, apelując o inkluzywny dostęp, specjalne finansowanie i silniejsze powiązania z programami UE, takimi jak Erasmus+ i polityka spójności.</w:t>
      </w:r>
    </w:p>
    <w:p w14:paraId="2BCF815C"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rPr>
          <w:b/>
        </w:rPr>
        <w:t>Popiera opracowanie unijnej karty artystów</w:t>
      </w:r>
      <w:r>
        <w:t xml:space="preserve"> w celu zapewnienia sprawiedliwych warunków pracy, silniejszej ochrony socjalnej i dostosowania finansowania UE do standardów wysokiej jakości zatrudnienia.</w:t>
      </w:r>
    </w:p>
    <w:p w14:paraId="52A25FBE"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rPr>
          <w:sz w:val="24"/>
          <w:szCs w:val="24"/>
        </w:rPr>
      </w:pPr>
      <w:r>
        <w:t xml:space="preserve">Podkreśla </w:t>
      </w:r>
      <w:r>
        <w:rPr>
          <w:b/>
        </w:rPr>
        <w:t>znaczenie trwałych inwestycji publicznych</w:t>
      </w:r>
      <w:r>
        <w:t xml:space="preserve"> w sektorze kultury i sektorze kreatywnym przy jednoczesnym wspieraniu lepszego dostępu MŚP do finansowania poprzez zwiększoną mobilizację instrumentów EBI i EFI oraz rozwój uzupełniających ram wsparcia prywatnego.</w:t>
      </w:r>
    </w:p>
    <w:p w14:paraId="3A3FD424" w14:textId="77777777" w:rsidR="00C53E67" w:rsidRPr="00C53E67" w:rsidRDefault="00C53E67" w:rsidP="004C6742">
      <w:pPr>
        <w:numPr>
          <w:ilvl w:val="0"/>
          <w:numId w:val="27"/>
        </w:numPr>
        <w:overflowPunct w:val="0"/>
        <w:autoSpaceDE w:val="0"/>
        <w:autoSpaceDN w:val="0"/>
        <w:adjustRightInd w:val="0"/>
        <w:spacing w:before="100" w:beforeAutospacing="1" w:after="100" w:afterAutospacing="1" w:line="276" w:lineRule="auto"/>
        <w:textAlignment w:val="baseline"/>
      </w:pPr>
      <w:r>
        <w:lastRenderedPageBreak/>
        <w:t xml:space="preserve">Opowiada się za </w:t>
      </w:r>
      <w:r>
        <w:rPr>
          <w:b/>
        </w:rPr>
        <w:t>instytucjonalnym poparciem wspólnej deklaracji</w:t>
      </w:r>
      <w:r>
        <w:t xml:space="preserve"> przez instytucje UE (w tym EKES i Komitet Regionów) i zainteresowane strony w celu zapewnienia szerokiego poczucia odpowiedzialności i legitymacji.</w:t>
      </w:r>
    </w:p>
    <w:p w14:paraId="3DBA33EF" w14:textId="77777777" w:rsidR="00C53E67" w:rsidRPr="004C6742" w:rsidRDefault="00C53E67" w:rsidP="008F6AA0">
      <w:pPr>
        <w:numPr>
          <w:ilvl w:val="0"/>
          <w:numId w:val="27"/>
        </w:numPr>
        <w:overflowPunct w:val="0"/>
        <w:autoSpaceDE w:val="0"/>
        <w:autoSpaceDN w:val="0"/>
        <w:adjustRightInd w:val="0"/>
        <w:spacing w:line="276" w:lineRule="auto"/>
        <w:textAlignment w:val="baseline"/>
        <w:rPr>
          <w:sz w:val="24"/>
          <w:szCs w:val="24"/>
        </w:rPr>
      </w:pPr>
      <w:r>
        <w:t xml:space="preserve">Podkreśla </w:t>
      </w:r>
      <w:r>
        <w:rPr>
          <w:b/>
        </w:rPr>
        <w:t>znaczenie międzynarodowego wymiaru kultury</w:t>
      </w:r>
      <w:r>
        <w:t>, wzywa do jego pełnego przywrócenia we wspólnej deklaracji oraz do opracowania kompleksowego planu działania opartego na strategii UE w zakresie międzynarodowych stosunków kulturalnych.</w:t>
      </w:r>
    </w:p>
    <w:p w14:paraId="481BD40E" w14:textId="77777777" w:rsidR="008F6AA0" w:rsidRPr="00C53E67" w:rsidRDefault="008F6AA0" w:rsidP="004C6742">
      <w:pPr>
        <w:overflowPunct w:val="0"/>
        <w:autoSpaceDE w:val="0"/>
        <w:autoSpaceDN w:val="0"/>
        <w:adjustRightInd w:val="0"/>
        <w:spacing w:line="276" w:lineRule="auto"/>
        <w:textAlignment w:val="baseline"/>
        <w:rPr>
          <w:sz w:val="24"/>
          <w:szCs w:val="24"/>
          <w:lang w:val="en-GB"/>
        </w:rPr>
      </w:pPr>
    </w:p>
    <w:tbl>
      <w:tblPr>
        <w:tblStyle w:val="TableGrid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C53E67" w:rsidRPr="00C53E67" w14:paraId="272A79A3" w14:textId="77777777" w:rsidTr="002E7EFB">
        <w:tc>
          <w:tcPr>
            <w:tcW w:w="1556" w:type="pct"/>
          </w:tcPr>
          <w:p w14:paraId="2B671CE9" w14:textId="77777777" w:rsidR="00C53E67" w:rsidRPr="00C53E67" w:rsidRDefault="00C53E67" w:rsidP="00C53E67">
            <w:pPr>
              <w:overflowPunct w:val="0"/>
              <w:autoSpaceDE w:val="0"/>
              <w:autoSpaceDN w:val="0"/>
              <w:adjustRightInd w:val="0"/>
              <w:spacing w:line="240" w:lineRule="auto"/>
              <w:textAlignment w:val="baseline"/>
              <w:rPr>
                <w:i/>
              </w:rPr>
            </w:pPr>
            <w:r>
              <w:rPr>
                <w:b/>
                <w:i/>
              </w:rPr>
              <w:t>Kontakt</w:t>
            </w:r>
          </w:p>
        </w:tc>
        <w:tc>
          <w:tcPr>
            <w:tcW w:w="3444" w:type="pct"/>
          </w:tcPr>
          <w:p w14:paraId="2DCCDC41" w14:textId="3A36641B" w:rsidR="00C53E67" w:rsidRPr="00C53E67" w:rsidRDefault="00C53E67" w:rsidP="00C53E67">
            <w:pPr>
              <w:overflowPunct w:val="0"/>
              <w:autoSpaceDE w:val="0"/>
              <w:autoSpaceDN w:val="0"/>
              <w:adjustRightInd w:val="0"/>
              <w:spacing w:line="240" w:lineRule="auto"/>
              <w:textAlignment w:val="baseline"/>
              <w:rPr>
                <w:i/>
              </w:rPr>
            </w:pPr>
            <w:r>
              <w:rPr>
                <w:i/>
              </w:rPr>
              <w:t>Jean Marie Rogue</w:t>
            </w:r>
          </w:p>
        </w:tc>
      </w:tr>
      <w:tr w:rsidR="00C53E67" w:rsidRPr="00C53E67" w14:paraId="6943624D" w14:textId="77777777" w:rsidTr="002E7EFB">
        <w:tc>
          <w:tcPr>
            <w:tcW w:w="1556" w:type="pct"/>
          </w:tcPr>
          <w:p w14:paraId="23893BC2" w14:textId="77777777" w:rsidR="00C53E67" w:rsidRPr="00C53E67" w:rsidRDefault="00C53E67" w:rsidP="00C53E67">
            <w:pPr>
              <w:overflowPunct w:val="0"/>
              <w:autoSpaceDE w:val="0"/>
              <w:autoSpaceDN w:val="0"/>
              <w:adjustRightInd w:val="0"/>
              <w:spacing w:line="240" w:lineRule="auto"/>
              <w:textAlignment w:val="baseline"/>
              <w:rPr>
                <w:i/>
              </w:rPr>
            </w:pPr>
            <w:r>
              <w:rPr>
                <w:i/>
              </w:rPr>
              <w:t>tel.</w:t>
            </w:r>
          </w:p>
        </w:tc>
        <w:tc>
          <w:tcPr>
            <w:tcW w:w="3444" w:type="pct"/>
          </w:tcPr>
          <w:p w14:paraId="62C63746" w14:textId="77777777" w:rsidR="00C53E67" w:rsidRPr="00C53E67" w:rsidRDefault="00C53E67" w:rsidP="00C53E67">
            <w:pPr>
              <w:overflowPunct w:val="0"/>
              <w:autoSpaceDE w:val="0"/>
              <w:autoSpaceDN w:val="0"/>
              <w:adjustRightInd w:val="0"/>
              <w:spacing w:line="240" w:lineRule="auto"/>
              <w:textAlignment w:val="baseline"/>
              <w:rPr>
                <w:i/>
              </w:rPr>
            </w:pPr>
            <w:r>
              <w:rPr>
                <w:i/>
              </w:rPr>
              <w:t>+32 25468909</w:t>
            </w:r>
          </w:p>
        </w:tc>
      </w:tr>
      <w:tr w:rsidR="00C53E67" w:rsidRPr="00C53E67" w14:paraId="496DCA57" w14:textId="77777777" w:rsidTr="002E7EFB">
        <w:tc>
          <w:tcPr>
            <w:tcW w:w="1556" w:type="pct"/>
          </w:tcPr>
          <w:p w14:paraId="591F1710" w14:textId="77777777" w:rsidR="00C53E67" w:rsidRPr="00C53E67" w:rsidRDefault="00C53E67" w:rsidP="00C53E67">
            <w:pPr>
              <w:overflowPunct w:val="0"/>
              <w:autoSpaceDE w:val="0"/>
              <w:autoSpaceDN w:val="0"/>
              <w:adjustRightInd w:val="0"/>
              <w:spacing w:line="240" w:lineRule="auto"/>
              <w:textAlignment w:val="baseline"/>
              <w:rPr>
                <w:i/>
              </w:rPr>
            </w:pPr>
            <w:r>
              <w:rPr>
                <w:i/>
              </w:rPr>
              <w:t>e-mail</w:t>
            </w:r>
          </w:p>
        </w:tc>
        <w:tc>
          <w:tcPr>
            <w:tcW w:w="3444" w:type="pct"/>
          </w:tcPr>
          <w:p w14:paraId="18C49AA7" w14:textId="5168ACC7" w:rsidR="00C53E67" w:rsidRPr="00C53E67" w:rsidRDefault="00651F28" w:rsidP="00C53E67">
            <w:pPr>
              <w:overflowPunct w:val="0"/>
              <w:autoSpaceDE w:val="0"/>
              <w:autoSpaceDN w:val="0"/>
              <w:adjustRightInd w:val="0"/>
              <w:spacing w:line="240" w:lineRule="auto"/>
              <w:textAlignment w:val="baseline"/>
              <w:rPr>
                <w:i/>
              </w:rPr>
            </w:pPr>
            <w:hyperlink r:id="rId34" w:history="1">
              <w:r>
                <w:rPr>
                  <w:i/>
                  <w:color w:val="0000FF"/>
                  <w:u w:val="single"/>
                </w:rPr>
                <w:t>JeanMarie.Rogue@eesc.europa.eu</w:t>
              </w:r>
            </w:hyperlink>
          </w:p>
        </w:tc>
      </w:tr>
    </w:tbl>
    <w:p w14:paraId="3887EC4A" w14:textId="660A26B1" w:rsidR="00A067F3" w:rsidRDefault="00A067F3" w:rsidP="001766B2">
      <w:pPr>
        <w:jc w:val="left"/>
      </w:pPr>
    </w:p>
    <w:p w14:paraId="2E7B45AB" w14:textId="77777777" w:rsidR="00A067F3" w:rsidRDefault="00A067F3">
      <w:pPr>
        <w:spacing w:after="160" w:line="259" w:lineRule="auto"/>
        <w:jc w:val="left"/>
      </w:pPr>
      <w:r>
        <w:br w:type="page"/>
      </w:r>
    </w:p>
    <w:p w14:paraId="4982DDF3" w14:textId="77616464" w:rsidR="004D7AC0" w:rsidRDefault="004D7AC0" w:rsidP="004C6742">
      <w:pPr>
        <w:pStyle w:val="Heading2"/>
      </w:pPr>
      <w:bookmarkStart w:id="16" w:name="_Toc75527083"/>
      <w:bookmarkStart w:id="17" w:name="_Toc229140655"/>
      <w:r>
        <w:lastRenderedPageBreak/>
        <w:t>JEDNOLITY RYNEK, PRODUKCJA I KONSUMPCJA</w:t>
      </w:r>
      <w:bookmarkEnd w:id="16"/>
      <w:bookmarkEnd w:id="17"/>
    </w:p>
    <w:p w14:paraId="4982DDF4" w14:textId="77777777" w:rsidR="004D7AC0" w:rsidRDefault="004D7AC0" w:rsidP="001766B2"/>
    <w:p w14:paraId="566598A4" w14:textId="5878AD2A" w:rsidR="00392AE5" w:rsidRPr="00392AE5" w:rsidRDefault="00392AE5" w:rsidP="00392AE5">
      <w:pPr>
        <w:widowControl w:val="0"/>
        <w:numPr>
          <w:ilvl w:val="0"/>
          <w:numId w:val="4"/>
        </w:numPr>
        <w:tabs>
          <w:tab w:val="left" w:pos="2127"/>
        </w:tabs>
        <w:overflowPunct w:val="0"/>
        <w:autoSpaceDE w:val="0"/>
        <w:autoSpaceDN w:val="0"/>
        <w:adjustRightInd w:val="0"/>
        <w:ind w:hanging="567"/>
        <w:textAlignment w:val="baseline"/>
        <w:rPr>
          <w:sz w:val="20"/>
          <w:szCs w:val="20"/>
        </w:rPr>
      </w:pPr>
      <w:hyperlink r:id="rId35" w:history="1">
        <w:r>
          <w:rPr>
            <w:b/>
            <w:i/>
            <w:color w:val="0000FF"/>
            <w:sz w:val="28"/>
            <w:u w:val="single"/>
          </w:rPr>
          <w:t>Nadmierna turystyka, najem krótkoterminowy i wypieranie ludności lokalnej – znalezienie odpowiedniej równowagi</w:t>
        </w:r>
      </w:hyperlink>
    </w:p>
    <w:p w14:paraId="129DAC63"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6A67318C" w14:textId="77777777" w:rsidTr="002E7EFB">
        <w:tc>
          <w:tcPr>
            <w:tcW w:w="1077" w:type="pct"/>
          </w:tcPr>
          <w:p w14:paraId="45EB1F84"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Sprawozdawca</w:t>
            </w:r>
          </w:p>
        </w:tc>
        <w:tc>
          <w:tcPr>
            <w:tcW w:w="3923" w:type="pct"/>
          </w:tcPr>
          <w:p w14:paraId="4123F63B" w14:textId="58C6E72D" w:rsidR="00392AE5" w:rsidRDefault="00392AE5" w:rsidP="00392AE5">
            <w:pPr>
              <w:tabs>
                <w:tab w:val="center" w:pos="284"/>
              </w:tabs>
              <w:overflowPunct w:val="0"/>
              <w:autoSpaceDE w:val="0"/>
              <w:autoSpaceDN w:val="0"/>
              <w:adjustRightInd w:val="0"/>
              <w:ind w:left="266" w:right="-3091" w:hanging="266"/>
              <w:textAlignment w:val="baseline"/>
            </w:pPr>
            <w:r>
              <w:t>Marinel Dănuț MUREŞAN (Grupa Pracodawców – RO)</w:t>
            </w:r>
          </w:p>
          <w:p w14:paraId="6824E4B7" w14:textId="3A5073A7" w:rsidR="003F20DF" w:rsidRPr="00392AE5" w:rsidRDefault="003F20DF" w:rsidP="00392AE5">
            <w:pPr>
              <w:tabs>
                <w:tab w:val="center" w:pos="284"/>
              </w:tabs>
              <w:overflowPunct w:val="0"/>
              <w:autoSpaceDE w:val="0"/>
              <w:autoSpaceDN w:val="0"/>
              <w:adjustRightInd w:val="0"/>
              <w:ind w:left="266" w:right="-3091" w:hanging="266"/>
              <w:textAlignment w:val="baseline"/>
              <w:rPr>
                <w:bCs/>
              </w:rPr>
            </w:pPr>
          </w:p>
        </w:tc>
      </w:tr>
      <w:tr w:rsidR="00392AE5" w:rsidRPr="00392AE5" w14:paraId="241C9609" w14:textId="77777777" w:rsidTr="002E7EFB">
        <w:tc>
          <w:tcPr>
            <w:tcW w:w="1077" w:type="pct"/>
          </w:tcPr>
          <w:p w14:paraId="13E4A55F" w14:textId="77777777" w:rsidR="00392AE5" w:rsidRPr="00392AE5" w:rsidRDefault="00392AE5" w:rsidP="00392AE5">
            <w:pPr>
              <w:tabs>
                <w:tab w:val="center" w:pos="284"/>
              </w:tabs>
              <w:overflowPunct w:val="0"/>
              <w:autoSpaceDE w:val="0"/>
              <w:autoSpaceDN w:val="0"/>
              <w:adjustRightInd w:val="0"/>
              <w:ind w:left="266" w:hanging="266"/>
              <w:textAlignment w:val="baseline"/>
              <w:rPr>
                <w:b/>
              </w:rPr>
            </w:pPr>
            <w:r>
              <w:rPr>
                <w:b/>
              </w:rPr>
              <w:t>Dokumenty</w:t>
            </w:r>
          </w:p>
        </w:tc>
        <w:tc>
          <w:tcPr>
            <w:tcW w:w="3923" w:type="pct"/>
          </w:tcPr>
          <w:p w14:paraId="45A8FB5D" w14:textId="281DE309" w:rsidR="00392AE5" w:rsidRPr="00392AE5" w:rsidRDefault="00392AE5" w:rsidP="00392AE5">
            <w:pPr>
              <w:tabs>
                <w:tab w:val="center" w:pos="284"/>
              </w:tabs>
              <w:overflowPunct w:val="0"/>
              <w:autoSpaceDE w:val="0"/>
              <w:autoSpaceDN w:val="0"/>
              <w:adjustRightInd w:val="0"/>
              <w:ind w:left="266" w:right="-3091" w:hanging="266"/>
              <w:textAlignment w:val="baseline"/>
            </w:pPr>
            <w:r>
              <w:t>Opinia rozpoznawcza na wniosek cypryjskiej prezydencji Rady UE</w:t>
            </w:r>
          </w:p>
          <w:p w14:paraId="7EBFEE0E" w14:textId="619F9385" w:rsidR="00392AE5" w:rsidRPr="00392AE5" w:rsidRDefault="00392AE5" w:rsidP="00392AE5">
            <w:pPr>
              <w:tabs>
                <w:tab w:val="center" w:pos="284"/>
              </w:tabs>
              <w:overflowPunct w:val="0"/>
              <w:autoSpaceDE w:val="0"/>
              <w:autoSpaceDN w:val="0"/>
              <w:adjustRightInd w:val="0"/>
              <w:ind w:left="266" w:right="-3091" w:hanging="266"/>
              <w:textAlignment w:val="baseline"/>
            </w:pPr>
            <w:r>
              <w:t>EESC-2025-03939-00-00-AC</w:t>
            </w:r>
          </w:p>
        </w:tc>
      </w:tr>
    </w:tbl>
    <w:p w14:paraId="77B48FFD" w14:textId="77777777" w:rsidR="00392AE5" w:rsidRPr="00392AE5" w:rsidRDefault="00392AE5" w:rsidP="00392AE5">
      <w:pPr>
        <w:tabs>
          <w:tab w:val="center" w:pos="284"/>
        </w:tabs>
        <w:overflowPunct w:val="0"/>
        <w:autoSpaceDE w:val="0"/>
        <w:autoSpaceDN w:val="0"/>
        <w:adjustRightInd w:val="0"/>
        <w:ind w:left="266" w:hanging="266"/>
        <w:textAlignment w:val="baseline"/>
        <w:rPr>
          <w:b/>
          <w:lang w:val="en-GB"/>
        </w:rPr>
      </w:pPr>
    </w:p>
    <w:p w14:paraId="6504CA01"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rPr>
      </w:pPr>
      <w:r>
        <w:rPr>
          <w:b/>
        </w:rPr>
        <w:t>Główne punkty</w:t>
      </w:r>
    </w:p>
    <w:p w14:paraId="03C67430" w14:textId="77777777" w:rsidR="00392AE5" w:rsidRPr="00392AE5" w:rsidRDefault="00392AE5" w:rsidP="00392AE5">
      <w:pPr>
        <w:keepNext/>
        <w:keepLines/>
        <w:tabs>
          <w:tab w:val="center" w:pos="284"/>
        </w:tabs>
        <w:overflowPunct w:val="0"/>
        <w:autoSpaceDE w:val="0"/>
        <w:autoSpaceDN w:val="0"/>
        <w:adjustRightInd w:val="0"/>
        <w:ind w:left="266" w:hanging="266"/>
        <w:textAlignment w:val="baseline"/>
        <w:rPr>
          <w:b/>
          <w:lang w:val="en-GB"/>
        </w:rPr>
      </w:pPr>
    </w:p>
    <w:p w14:paraId="6F641786" w14:textId="77777777" w:rsidR="00392AE5" w:rsidRPr="00392AE5" w:rsidRDefault="00392AE5" w:rsidP="00392AE5">
      <w:pPr>
        <w:overflowPunct w:val="0"/>
        <w:autoSpaceDE w:val="0"/>
        <w:autoSpaceDN w:val="0"/>
        <w:adjustRightInd w:val="0"/>
        <w:textAlignment w:val="baseline"/>
        <w:rPr>
          <w:bCs/>
          <w:iCs/>
        </w:rPr>
      </w:pPr>
      <w:r>
        <w:t>EKES:</w:t>
      </w:r>
    </w:p>
    <w:p w14:paraId="6DE75175" w14:textId="77777777" w:rsidR="00392AE5" w:rsidRPr="00392AE5" w:rsidRDefault="00392AE5" w:rsidP="00392AE5">
      <w:pPr>
        <w:overflowPunct w:val="0"/>
        <w:autoSpaceDE w:val="0"/>
        <w:autoSpaceDN w:val="0"/>
        <w:adjustRightInd w:val="0"/>
        <w:textAlignment w:val="baseline"/>
        <w:rPr>
          <w:bCs/>
          <w:iCs/>
          <w:lang w:val="en-GB"/>
        </w:rPr>
      </w:pPr>
    </w:p>
    <w:p w14:paraId="5E2CF75A"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Podkreśla, że turystyka jest strategicznym ekosystemem napędzającym wzrost gospodarczy, tworzenie miejsc pracy i rozwój społeczny w UE, oraz wzywa do przejścia na bardziej stabilny, zrównoważony i konkurencyjny model, który chroni jakość życia społeczności lokalnych. </w:t>
      </w:r>
    </w:p>
    <w:p w14:paraId="7E1A2FA7" w14:textId="5408BDBC"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Ostrzega przed rosnącą presją związaną z nadmierną turystyką i wynajmem krótkoterminowym w</w:t>
      </w:r>
      <w:r w:rsidR="005C5C88">
        <w:t> </w:t>
      </w:r>
      <w:r>
        <w:t xml:space="preserve">niektórych miejscach docelowych i </w:t>
      </w:r>
      <w:r>
        <w:rPr>
          <w:b/>
        </w:rPr>
        <w:t>wzywa do skoordynowanych działań UE</w:t>
      </w:r>
      <w:r>
        <w:t xml:space="preserve"> w celu wsparcia państw członkowskich w opracowywaniu opartych na dowodach, proporcjonalnych i</w:t>
      </w:r>
      <w:r w:rsidR="005C5C88">
        <w:t> </w:t>
      </w:r>
      <w:r>
        <w:t xml:space="preserve">ukierunkowanych na konkretny obszar rozwiązań. </w:t>
      </w:r>
    </w:p>
    <w:p w14:paraId="4DA31274" w14:textId="4E03DD54"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Proponuje wspierane przez UE narzędzia i strategie służące lepszemu zarządzaniu przepływami turystycznymi, w tym cyfrowe systemy monitorowania, dywersyfikację kierunków turystycznych i</w:t>
      </w:r>
      <w:r w:rsidR="005C5C88">
        <w:t> </w:t>
      </w:r>
      <w:r>
        <w:t>sezonów oraz silniejsze powiązania między turystyką a lokalnymi gospodarkami, kulturą i</w:t>
      </w:r>
      <w:r w:rsidR="005C5C88">
        <w:t> </w:t>
      </w:r>
      <w:r>
        <w:t xml:space="preserve">tradycyjnym rzemiosłem. </w:t>
      </w:r>
    </w:p>
    <w:p w14:paraId="0407BE7E" w14:textId="77777777" w:rsidR="00392AE5" w:rsidRPr="00392AE5" w:rsidRDefault="00392AE5" w:rsidP="004C6742">
      <w:pPr>
        <w:numPr>
          <w:ilvl w:val="0"/>
          <w:numId w:val="28"/>
        </w:numPr>
        <w:overflowPunct w:val="0"/>
        <w:autoSpaceDE w:val="0"/>
        <w:autoSpaceDN w:val="0"/>
        <w:adjustRightInd w:val="0"/>
        <w:spacing w:line="276" w:lineRule="auto"/>
        <w:ind w:left="284" w:hanging="284"/>
        <w:textAlignment w:val="baseline"/>
        <w:rPr>
          <w:szCs w:val="20"/>
        </w:rPr>
      </w:pPr>
      <w:r>
        <w:t xml:space="preserve">Opowiada się za innowacyjnymi modelami zarządzania i finansowania, łączącymi inwestycje publiczne i prywatne w celu wspierania zrównoważonej turystyki, przystępnych cenowo mieszkań i lokalnych ekosystemów biznesowych, z silną rolą MŚP i społeczności lokalnych. </w:t>
      </w:r>
    </w:p>
    <w:p w14:paraId="38238CCA" w14:textId="77777777" w:rsidR="00392AE5" w:rsidRPr="00392AE5" w:rsidRDefault="00392AE5" w:rsidP="004C6742">
      <w:pPr>
        <w:widowControl w:val="0"/>
        <w:numPr>
          <w:ilvl w:val="0"/>
          <w:numId w:val="28"/>
        </w:numPr>
        <w:overflowPunct w:val="0"/>
        <w:autoSpaceDE w:val="0"/>
        <w:autoSpaceDN w:val="0"/>
        <w:adjustRightInd w:val="0"/>
        <w:spacing w:line="276" w:lineRule="auto"/>
        <w:ind w:left="284" w:hanging="284"/>
        <w:textAlignment w:val="baseline"/>
        <w:rPr>
          <w:bCs/>
          <w:iCs/>
        </w:rPr>
      </w:pPr>
      <w:r>
        <w:t xml:space="preserve">Zaleca wzmocnienie umiejętności, szkoleń i zaangażowania młodzieży oraz wzywa do utworzenia </w:t>
      </w:r>
      <w:r>
        <w:rPr>
          <w:b/>
        </w:rPr>
        <w:t>Europejskiego Centrum Rzemiosła Tradycyjnego i Zawodów Dziedzictwa</w:t>
      </w:r>
      <w:r>
        <w:t>, aby wspierać lokalne gospodarki i zrównoważony rozwój kulturowy w całej UE.</w:t>
      </w:r>
    </w:p>
    <w:p w14:paraId="46DCF0E2" w14:textId="77777777" w:rsidR="00392AE5" w:rsidRPr="00392AE5" w:rsidRDefault="00392AE5" w:rsidP="00392AE5">
      <w:pPr>
        <w:widowControl w:val="0"/>
        <w:overflowPunct w:val="0"/>
        <w:autoSpaceDE w:val="0"/>
        <w:autoSpaceDN w:val="0"/>
        <w:adjustRightInd w:val="0"/>
        <w:ind w:left="709"/>
        <w:textAlignment w:val="baseline"/>
        <w:rPr>
          <w:szCs w:val="20"/>
          <w:lang w:val="en-GB"/>
        </w:rPr>
      </w:pPr>
    </w:p>
    <w:tbl>
      <w:tblPr>
        <w:tblStyle w:val="TableGrid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92AE5" w:rsidRPr="00392AE5" w14:paraId="519A6FBB" w14:textId="77777777" w:rsidTr="002E7EFB">
        <w:tc>
          <w:tcPr>
            <w:tcW w:w="1077" w:type="pct"/>
          </w:tcPr>
          <w:p w14:paraId="2511DD3A" w14:textId="77777777" w:rsidR="00392AE5" w:rsidRPr="00392AE5" w:rsidRDefault="00392AE5" w:rsidP="00392AE5">
            <w:pPr>
              <w:overflowPunct w:val="0"/>
              <w:autoSpaceDE w:val="0"/>
              <w:autoSpaceDN w:val="0"/>
              <w:adjustRightInd w:val="0"/>
              <w:textAlignment w:val="baseline"/>
              <w:rPr>
                <w:i/>
              </w:rPr>
            </w:pPr>
            <w:r>
              <w:rPr>
                <w:b/>
                <w:i/>
              </w:rPr>
              <w:t>Kontakt</w:t>
            </w:r>
          </w:p>
        </w:tc>
        <w:tc>
          <w:tcPr>
            <w:tcW w:w="3923" w:type="pct"/>
          </w:tcPr>
          <w:p w14:paraId="3960CCB8" w14:textId="77777777" w:rsidR="00392AE5" w:rsidRPr="00392AE5" w:rsidRDefault="00392AE5" w:rsidP="00392AE5">
            <w:pPr>
              <w:overflowPunct w:val="0"/>
              <w:autoSpaceDE w:val="0"/>
              <w:autoSpaceDN w:val="0"/>
              <w:adjustRightInd w:val="0"/>
              <w:textAlignment w:val="baseline"/>
              <w:rPr>
                <w:i/>
              </w:rPr>
            </w:pPr>
            <w:r>
              <w:rPr>
                <w:i/>
              </w:rPr>
              <w:t>Silvia Staffa</w:t>
            </w:r>
          </w:p>
        </w:tc>
      </w:tr>
      <w:tr w:rsidR="00392AE5" w:rsidRPr="00392AE5" w14:paraId="3AF34B7F" w14:textId="77777777" w:rsidTr="002E7EFB">
        <w:tc>
          <w:tcPr>
            <w:tcW w:w="1077" w:type="pct"/>
          </w:tcPr>
          <w:p w14:paraId="2CBD3E50" w14:textId="77777777" w:rsidR="00392AE5" w:rsidRPr="00392AE5" w:rsidRDefault="00392AE5" w:rsidP="00392AE5">
            <w:pPr>
              <w:overflowPunct w:val="0"/>
              <w:autoSpaceDE w:val="0"/>
              <w:autoSpaceDN w:val="0"/>
              <w:adjustRightInd w:val="0"/>
              <w:textAlignment w:val="baseline"/>
              <w:rPr>
                <w:i/>
              </w:rPr>
            </w:pPr>
            <w:r>
              <w:rPr>
                <w:i/>
              </w:rPr>
              <w:t>tel.</w:t>
            </w:r>
          </w:p>
        </w:tc>
        <w:tc>
          <w:tcPr>
            <w:tcW w:w="3923" w:type="pct"/>
          </w:tcPr>
          <w:p w14:paraId="730C53AF" w14:textId="77777777" w:rsidR="00392AE5" w:rsidRPr="00392AE5" w:rsidRDefault="00392AE5" w:rsidP="00392AE5">
            <w:pPr>
              <w:overflowPunct w:val="0"/>
              <w:autoSpaceDE w:val="0"/>
              <w:autoSpaceDN w:val="0"/>
              <w:adjustRightInd w:val="0"/>
              <w:textAlignment w:val="baseline"/>
              <w:rPr>
                <w:i/>
              </w:rPr>
            </w:pPr>
            <w:r>
              <w:rPr>
                <w:i/>
              </w:rPr>
              <w:t>+32 25468378</w:t>
            </w:r>
          </w:p>
        </w:tc>
      </w:tr>
      <w:tr w:rsidR="00392AE5" w:rsidRPr="00392AE5" w14:paraId="7E2C07CA" w14:textId="77777777" w:rsidTr="002E7EFB">
        <w:tc>
          <w:tcPr>
            <w:tcW w:w="1077" w:type="pct"/>
          </w:tcPr>
          <w:p w14:paraId="22A428C5" w14:textId="77777777" w:rsidR="00392AE5" w:rsidRPr="00392AE5" w:rsidRDefault="00392AE5" w:rsidP="00392AE5">
            <w:pPr>
              <w:overflowPunct w:val="0"/>
              <w:autoSpaceDE w:val="0"/>
              <w:autoSpaceDN w:val="0"/>
              <w:adjustRightInd w:val="0"/>
              <w:textAlignment w:val="baseline"/>
              <w:rPr>
                <w:i/>
              </w:rPr>
            </w:pPr>
            <w:r>
              <w:rPr>
                <w:i/>
              </w:rPr>
              <w:t>e-mail</w:t>
            </w:r>
          </w:p>
        </w:tc>
        <w:tc>
          <w:tcPr>
            <w:tcW w:w="3923" w:type="pct"/>
          </w:tcPr>
          <w:p w14:paraId="0EBCDB0C" w14:textId="6C20DE0D" w:rsidR="00392AE5" w:rsidRPr="00392AE5" w:rsidRDefault="00651F28" w:rsidP="00392AE5">
            <w:pPr>
              <w:overflowPunct w:val="0"/>
              <w:autoSpaceDE w:val="0"/>
              <w:autoSpaceDN w:val="0"/>
              <w:adjustRightInd w:val="0"/>
              <w:spacing w:line="240" w:lineRule="auto"/>
              <w:textAlignment w:val="baseline"/>
              <w:rPr>
                <w:i/>
              </w:rPr>
            </w:pPr>
            <w:hyperlink r:id="rId36" w:history="1">
              <w:r>
                <w:rPr>
                  <w:i/>
                  <w:color w:val="0000FF"/>
                  <w:u w:val="single"/>
                </w:rPr>
                <w:t>Silvia.Staffa@eesc.europa.eu</w:t>
              </w:r>
            </w:hyperlink>
          </w:p>
        </w:tc>
      </w:tr>
    </w:tbl>
    <w:p w14:paraId="4982DE1D" w14:textId="4077BBDD" w:rsidR="00A456BF" w:rsidRDefault="00A456BF" w:rsidP="001766B2">
      <w:pPr>
        <w:pStyle w:val="ListParagraph"/>
        <w:ind w:left="0"/>
      </w:pPr>
    </w:p>
    <w:p w14:paraId="4C6ED66A" w14:textId="77777777" w:rsidR="00A456BF" w:rsidRDefault="00A456BF">
      <w:pPr>
        <w:spacing w:after="160" w:line="259" w:lineRule="auto"/>
        <w:jc w:val="left"/>
      </w:pPr>
      <w:r>
        <w:br w:type="page"/>
      </w:r>
    </w:p>
    <w:p w14:paraId="6B9F0C27" w14:textId="703390D0" w:rsidR="008E331E" w:rsidRPr="008E331E" w:rsidRDefault="00651F28" w:rsidP="008E331E">
      <w:pPr>
        <w:widowControl w:val="0"/>
        <w:numPr>
          <w:ilvl w:val="0"/>
          <w:numId w:val="4"/>
        </w:numPr>
        <w:overflowPunct w:val="0"/>
        <w:autoSpaceDE w:val="0"/>
        <w:autoSpaceDN w:val="0"/>
        <w:adjustRightInd w:val="0"/>
        <w:ind w:hanging="567"/>
        <w:textAlignment w:val="baseline"/>
        <w:rPr>
          <w:sz w:val="20"/>
          <w:szCs w:val="20"/>
        </w:rPr>
      </w:pPr>
      <w:hyperlink r:id="rId37" w:tgtFrame="_blank" w:history="1">
        <w:r>
          <w:rPr>
            <w:b/>
            <w:i/>
            <w:color w:val="0000FF"/>
            <w:sz w:val="28"/>
            <w:u w:val="single"/>
          </w:rPr>
          <w:t>Normy emisji CO</w:t>
        </w:r>
        <w:r>
          <w:rPr>
            <w:b/>
            <w:i/>
            <w:color w:val="0000FF"/>
            <w:sz w:val="28"/>
            <w:u w:val="single"/>
            <w:vertAlign w:val="subscript"/>
          </w:rPr>
          <w:t>2</w:t>
        </w:r>
        <w:r>
          <w:rPr>
            <w:b/>
            <w:i/>
            <w:color w:val="0000FF"/>
            <w:sz w:val="28"/>
            <w:u w:val="single"/>
          </w:rPr>
          <w:t xml:space="preserve"> dla samochodów osobowych i dostawczych – przegląd</w:t>
        </w:r>
      </w:hyperlink>
    </w:p>
    <w:p w14:paraId="4FA234D2"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E331E" w:rsidRPr="008E331E" w14:paraId="3544A5AD" w14:textId="77777777" w:rsidTr="002E7EFB">
        <w:tc>
          <w:tcPr>
            <w:tcW w:w="1701" w:type="dxa"/>
          </w:tcPr>
          <w:p w14:paraId="1CD1317C"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Sprawozdawca</w:t>
            </w:r>
          </w:p>
        </w:tc>
        <w:tc>
          <w:tcPr>
            <w:tcW w:w="5387" w:type="dxa"/>
          </w:tcPr>
          <w:p w14:paraId="206429AE" w14:textId="78B329B9" w:rsidR="008E331E" w:rsidRPr="008E331E" w:rsidRDefault="008E331E" w:rsidP="008E331E">
            <w:pPr>
              <w:tabs>
                <w:tab w:val="center" w:pos="284"/>
              </w:tabs>
              <w:overflowPunct w:val="0"/>
              <w:autoSpaceDE w:val="0"/>
              <w:autoSpaceDN w:val="0"/>
              <w:adjustRightInd w:val="0"/>
              <w:ind w:left="266" w:hanging="266"/>
              <w:textAlignment w:val="baseline"/>
            </w:pPr>
            <w:r>
              <w:t>Matteo BORSANI (Grupa Pracodawców – IT)</w:t>
            </w:r>
          </w:p>
          <w:p w14:paraId="3D9FC490" w14:textId="77777777" w:rsidR="008E331E" w:rsidRPr="008E331E" w:rsidRDefault="008E331E" w:rsidP="008E331E">
            <w:pPr>
              <w:tabs>
                <w:tab w:val="center" w:pos="284"/>
              </w:tabs>
              <w:overflowPunct w:val="0"/>
              <w:autoSpaceDE w:val="0"/>
              <w:autoSpaceDN w:val="0"/>
              <w:adjustRightInd w:val="0"/>
              <w:ind w:left="266" w:hanging="266"/>
              <w:textAlignment w:val="baseline"/>
            </w:pPr>
          </w:p>
        </w:tc>
      </w:tr>
      <w:tr w:rsidR="008E331E" w:rsidRPr="008E331E" w14:paraId="5175195B" w14:textId="77777777" w:rsidTr="002E7EFB">
        <w:tc>
          <w:tcPr>
            <w:tcW w:w="7088" w:type="dxa"/>
            <w:gridSpan w:val="2"/>
          </w:tcPr>
          <w:p w14:paraId="25949DC3" w14:textId="77777777" w:rsidR="008E331E" w:rsidRPr="008E331E" w:rsidRDefault="008E331E" w:rsidP="008E331E">
            <w:pPr>
              <w:tabs>
                <w:tab w:val="center" w:pos="284"/>
              </w:tabs>
              <w:overflowPunct w:val="0"/>
              <w:autoSpaceDE w:val="0"/>
              <w:autoSpaceDN w:val="0"/>
              <w:adjustRightInd w:val="0"/>
              <w:spacing w:line="160" w:lineRule="exact"/>
              <w:ind w:left="266" w:hanging="266"/>
              <w:textAlignment w:val="baseline"/>
            </w:pPr>
          </w:p>
        </w:tc>
      </w:tr>
      <w:tr w:rsidR="008E331E" w:rsidRPr="008E331E" w14:paraId="0E58D564" w14:textId="77777777" w:rsidTr="002E7EFB">
        <w:tc>
          <w:tcPr>
            <w:tcW w:w="1701" w:type="dxa"/>
            <w:vMerge w:val="restart"/>
          </w:tcPr>
          <w:p w14:paraId="145A97E5" w14:textId="77777777" w:rsidR="008E331E" w:rsidRPr="008E331E" w:rsidRDefault="008E331E" w:rsidP="008E331E">
            <w:pPr>
              <w:tabs>
                <w:tab w:val="center" w:pos="284"/>
              </w:tabs>
              <w:overflowPunct w:val="0"/>
              <w:autoSpaceDE w:val="0"/>
              <w:autoSpaceDN w:val="0"/>
              <w:adjustRightInd w:val="0"/>
              <w:ind w:left="266" w:hanging="266"/>
              <w:textAlignment w:val="baseline"/>
              <w:rPr>
                <w:b/>
              </w:rPr>
            </w:pPr>
            <w:r>
              <w:rPr>
                <w:b/>
              </w:rPr>
              <w:t>Dokumenty</w:t>
            </w:r>
          </w:p>
        </w:tc>
        <w:tc>
          <w:tcPr>
            <w:tcW w:w="5387" w:type="dxa"/>
          </w:tcPr>
          <w:p w14:paraId="7281EBE1" w14:textId="0C5497BF" w:rsidR="008E331E" w:rsidRPr="008E331E" w:rsidRDefault="008E331E" w:rsidP="008E331E">
            <w:pPr>
              <w:tabs>
                <w:tab w:val="center" w:pos="284"/>
              </w:tabs>
              <w:overflowPunct w:val="0"/>
              <w:autoSpaceDE w:val="0"/>
              <w:autoSpaceDN w:val="0"/>
              <w:adjustRightInd w:val="0"/>
              <w:ind w:left="266" w:hanging="266"/>
              <w:textAlignment w:val="baseline"/>
            </w:pPr>
            <w:r>
              <w:t xml:space="preserve">COM(2025) 995 final </w:t>
            </w:r>
          </w:p>
          <w:p w14:paraId="7D42FFB6" w14:textId="77777777" w:rsidR="008E331E" w:rsidRPr="008E331E" w:rsidRDefault="008E331E" w:rsidP="008E331E">
            <w:pPr>
              <w:tabs>
                <w:tab w:val="center" w:pos="284"/>
              </w:tabs>
              <w:overflowPunct w:val="0"/>
              <w:autoSpaceDE w:val="0"/>
              <w:autoSpaceDN w:val="0"/>
              <w:adjustRightInd w:val="0"/>
              <w:ind w:left="266" w:hanging="266"/>
              <w:textAlignment w:val="baseline"/>
            </w:pPr>
            <w:r>
              <w:t>EESC-2025-04308-00-00-AC</w:t>
            </w:r>
          </w:p>
        </w:tc>
      </w:tr>
      <w:tr w:rsidR="008E331E" w:rsidRPr="008E331E" w14:paraId="3BC2EE29" w14:textId="77777777" w:rsidTr="002E7EFB">
        <w:tc>
          <w:tcPr>
            <w:tcW w:w="1701" w:type="dxa"/>
            <w:vMerge/>
          </w:tcPr>
          <w:p w14:paraId="00FF22F1" w14:textId="77777777" w:rsidR="008E331E" w:rsidRPr="008E331E" w:rsidRDefault="008E331E" w:rsidP="008E331E">
            <w:pPr>
              <w:tabs>
                <w:tab w:val="center" w:pos="284"/>
              </w:tabs>
              <w:overflowPunct w:val="0"/>
              <w:autoSpaceDE w:val="0"/>
              <w:autoSpaceDN w:val="0"/>
              <w:adjustRightInd w:val="0"/>
              <w:ind w:left="266" w:hanging="266"/>
              <w:textAlignment w:val="baseline"/>
              <w:rPr>
                <w:b/>
                <w:lang w:val="pt-PT"/>
              </w:rPr>
            </w:pPr>
          </w:p>
        </w:tc>
        <w:tc>
          <w:tcPr>
            <w:tcW w:w="5387" w:type="dxa"/>
          </w:tcPr>
          <w:p w14:paraId="56EC2136"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tc>
      </w:tr>
    </w:tbl>
    <w:p w14:paraId="40375C28" w14:textId="77777777" w:rsidR="008E331E" w:rsidRPr="008E331E" w:rsidRDefault="008E331E" w:rsidP="008E331E">
      <w:pPr>
        <w:tabs>
          <w:tab w:val="center" w:pos="284"/>
        </w:tabs>
        <w:overflowPunct w:val="0"/>
        <w:autoSpaceDE w:val="0"/>
        <w:autoSpaceDN w:val="0"/>
        <w:adjustRightInd w:val="0"/>
        <w:ind w:left="266" w:hanging="266"/>
        <w:textAlignment w:val="baseline"/>
        <w:rPr>
          <w:lang w:val="pt-PT"/>
        </w:rPr>
      </w:pPr>
    </w:p>
    <w:p w14:paraId="26D74C64"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rPr>
      </w:pPr>
      <w:r>
        <w:rPr>
          <w:b/>
        </w:rPr>
        <w:t>Główne punkty</w:t>
      </w:r>
    </w:p>
    <w:p w14:paraId="2C9A5459" w14:textId="77777777" w:rsidR="008E331E" w:rsidRPr="008E331E" w:rsidRDefault="008E331E" w:rsidP="008E331E">
      <w:pPr>
        <w:keepNext/>
        <w:keepLines/>
        <w:tabs>
          <w:tab w:val="center" w:pos="284"/>
        </w:tabs>
        <w:overflowPunct w:val="0"/>
        <w:autoSpaceDE w:val="0"/>
        <w:autoSpaceDN w:val="0"/>
        <w:adjustRightInd w:val="0"/>
        <w:ind w:left="266" w:hanging="266"/>
        <w:textAlignment w:val="baseline"/>
        <w:rPr>
          <w:b/>
          <w:lang w:val="en-GB"/>
        </w:rPr>
      </w:pPr>
    </w:p>
    <w:p w14:paraId="37A2A0C4" w14:textId="77777777" w:rsidR="008E331E" w:rsidRPr="008E331E" w:rsidRDefault="008E331E" w:rsidP="008E331E">
      <w:pPr>
        <w:overflowPunct w:val="0"/>
        <w:autoSpaceDE w:val="0"/>
        <w:autoSpaceDN w:val="0"/>
        <w:adjustRightInd w:val="0"/>
        <w:textAlignment w:val="baseline"/>
        <w:rPr>
          <w:bCs/>
          <w:iCs/>
        </w:rPr>
      </w:pPr>
      <w:r>
        <w:t>EKES:</w:t>
      </w:r>
    </w:p>
    <w:p w14:paraId="74FE4F26" w14:textId="77777777" w:rsidR="008E331E" w:rsidRPr="008E331E" w:rsidRDefault="008E331E" w:rsidP="008E331E">
      <w:pPr>
        <w:overflowPunct w:val="0"/>
        <w:autoSpaceDE w:val="0"/>
        <w:autoSpaceDN w:val="0"/>
        <w:adjustRightInd w:val="0"/>
        <w:textAlignment w:val="baseline"/>
        <w:rPr>
          <w:bCs/>
          <w:iCs/>
          <w:lang w:val="en-GB"/>
        </w:rPr>
      </w:pPr>
    </w:p>
    <w:p w14:paraId="5B2F5DBD"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Apeluje o wyważone i spójne ramy UE</w:t>
      </w:r>
      <w:r>
        <w:t xml:space="preserve"> dotyczące transformacji sektora motoryzacyjnego, łączące silny nacisk na mobilność bezemisyjną i niskoemisyjną z neutralnością technologiczną, wzmocnionym wymiarem łańcucha wartości pod znakiem „Made in the EU” oraz zabezpieczeniem wysokiej jakości zatrudnienia, zdolności przemysłowych i innowacji.</w:t>
      </w:r>
    </w:p>
    <w:p w14:paraId="432BFC18" w14:textId="3B48C5C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Wzywa do pragmatycznego przeglądu norm emisji CO</w:t>
      </w:r>
      <w:r>
        <w:rPr>
          <w:b/>
          <w:vertAlign w:val="subscript"/>
        </w:rPr>
        <w:t>2</w:t>
      </w:r>
      <w:r>
        <w:t xml:space="preserve"> dla samochodów osobowych i</w:t>
      </w:r>
      <w:r w:rsidR="005C5C88">
        <w:t> </w:t>
      </w:r>
      <w:r>
        <w:t>dostawczych, opartego na warunkach rynkowych i celach klimatycznych, by przywrócić konkurencyjność przy jednoczesnym zachowaniu długoterminowej ścieżki dekarbonizacji.</w:t>
      </w:r>
    </w:p>
    <w:p w14:paraId="0972F5CB" w14:textId="10660AC0"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Opowiada się za wzmocnieniem roli technologii przejściowych</w:t>
      </w:r>
      <w:r>
        <w:t>, w tym pojazdów hybrydowych, zrównoważonych paliw odnawialnych i materiałów niskoemisyjnych, oraz wzywa do zmniejszenia wyłącznej zależności od emisji z rury wydechowej, aby umożliwić bardziej realistyczną i</w:t>
      </w:r>
      <w:r w:rsidR="005C5C88">
        <w:t> </w:t>
      </w:r>
      <w:r>
        <w:t>społecznie zrównoważoną transformację.</w:t>
      </w:r>
    </w:p>
    <w:p w14:paraId="1A4C34C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Z zadowoleniem przyjmuje większej elastyczności odnośnie do celów na 2030 r.</w:t>
      </w:r>
      <w:r>
        <w:t>, w tym wieloletniej zgodności, i apeluje o ukierunkowane wsparcie dla infrastruktury ładowania, elektryfikacji flot korporacyjnych i lekkich pojazdów użytkowych w sytuacji, gdy obecne rozpowszechnienie na rynku jest ograniczone.</w:t>
      </w:r>
    </w:p>
    <w:p w14:paraId="789098F1" w14:textId="77777777" w:rsidR="008E331E" w:rsidRPr="008E331E" w:rsidRDefault="008E331E" w:rsidP="004C6742">
      <w:pPr>
        <w:numPr>
          <w:ilvl w:val="0"/>
          <w:numId w:val="29"/>
        </w:numPr>
        <w:overflowPunct w:val="0"/>
        <w:autoSpaceDE w:val="0"/>
        <w:autoSpaceDN w:val="0"/>
        <w:adjustRightInd w:val="0"/>
        <w:spacing w:after="200" w:line="276" w:lineRule="auto"/>
        <w:ind w:left="284" w:hanging="284"/>
        <w:contextualSpacing/>
        <w:textAlignment w:val="baseline"/>
      </w:pPr>
      <w:r>
        <w:rPr>
          <w:b/>
        </w:rPr>
        <w:t>Zaleca wzmocnienie wiodącej pozycji UE w przemyśle</w:t>
      </w:r>
      <w:r>
        <w:t xml:space="preserve"> poprzez zachęty takie jak zawartość produktów „Made in the EU”, wsparcie dla stali ekologicznej oraz przedłużenie superjednostek dla pojazdów elektrycznych wraz z bardziej kompleksową metodyką badania emisji oraz przystępną cenowo, inkluzywną i sprzyjającą zatrudnieniu transformacją.</w:t>
      </w:r>
    </w:p>
    <w:p w14:paraId="4D3AEF35" w14:textId="77777777" w:rsidR="008E331E" w:rsidRPr="008E331E" w:rsidRDefault="008E331E" w:rsidP="008E331E">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E331E" w:rsidRPr="008E331E" w14:paraId="1B085562" w14:textId="77777777" w:rsidTr="002E7EFB">
        <w:tc>
          <w:tcPr>
            <w:tcW w:w="1418" w:type="dxa"/>
          </w:tcPr>
          <w:p w14:paraId="68F7AC07" w14:textId="77777777" w:rsidR="008E331E" w:rsidRPr="008E331E" w:rsidRDefault="008E331E" w:rsidP="008E331E">
            <w:pPr>
              <w:overflowPunct w:val="0"/>
              <w:autoSpaceDE w:val="0"/>
              <w:autoSpaceDN w:val="0"/>
              <w:adjustRightInd w:val="0"/>
              <w:spacing w:line="240" w:lineRule="auto"/>
              <w:textAlignment w:val="baseline"/>
              <w:rPr>
                <w:i/>
              </w:rPr>
            </w:pPr>
            <w:r>
              <w:rPr>
                <w:b/>
                <w:i/>
              </w:rPr>
              <w:t>Kontakt</w:t>
            </w:r>
          </w:p>
        </w:tc>
        <w:tc>
          <w:tcPr>
            <w:tcW w:w="5670" w:type="dxa"/>
          </w:tcPr>
          <w:p w14:paraId="008F7857" w14:textId="5A00880C" w:rsidR="008E331E" w:rsidRPr="008E331E" w:rsidRDefault="008E331E" w:rsidP="008E331E">
            <w:pPr>
              <w:overflowPunct w:val="0"/>
              <w:autoSpaceDE w:val="0"/>
              <w:autoSpaceDN w:val="0"/>
              <w:adjustRightInd w:val="0"/>
              <w:spacing w:line="240" w:lineRule="auto"/>
              <w:textAlignment w:val="baseline"/>
              <w:rPr>
                <w:i/>
              </w:rPr>
            </w:pPr>
            <w:r>
              <w:rPr>
                <w:i/>
              </w:rPr>
              <w:t>Silvia Staffa</w:t>
            </w:r>
          </w:p>
        </w:tc>
      </w:tr>
      <w:tr w:rsidR="008E331E" w:rsidRPr="008E331E" w14:paraId="0B08C9F9" w14:textId="77777777" w:rsidTr="002E7EFB">
        <w:tc>
          <w:tcPr>
            <w:tcW w:w="1418" w:type="dxa"/>
          </w:tcPr>
          <w:p w14:paraId="29C057C9" w14:textId="77777777" w:rsidR="008E331E" w:rsidRPr="008E331E" w:rsidRDefault="008E331E" w:rsidP="008E331E">
            <w:pPr>
              <w:overflowPunct w:val="0"/>
              <w:autoSpaceDE w:val="0"/>
              <w:autoSpaceDN w:val="0"/>
              <w:adjustRightInd w:val="0"/>
              <w:spacing w:line="240" w:lineRule="auto"/>
              <w:textAlignment w:val="baseline"/>
              <w:rPr>
                <w:i/>
              </w:rPr>
            </w:pPr>
            <w:r>
              <w:rPr>
                <w:i/>
              </w:rPr>
              <w:t>tel.</w:t>
            </w:r>
          </w:p>
        </w:tc>
        <w:tc>
          <w:tcPr>
            <w:tcW w:w="5670" w:type="dxa"/>
          </w:tcPr>
          <w:p w14:paraId="52F48E6D" w14:textId="77777777" w:rsidR="008E331E" w:rsidRPr="008E331E" w:rsidRDefault="008E331E" w:rsidP="008E331E">
            <w:pPr>
              <w:overflowPunct w:val="0"/>
              <w:autoSpaceDE w:val="0"/>
              <w:autoSpaceDN w:val="0"/>
              <w:adjustRightInd w:val="0"/>
              <w:spacing w:line="240" w:lineRule="auto"/>
              <w:textAlignment w:val="baseline"/>
              <w:rPr>
                <w:i/>
              </w:rPr>
            </w:pPr>
            <w:r>
              <w:rPr>
                <w:i/>
              </w:rPr>
              <w:t>+ 32 25468378</w:t>
            </w:r>
          </w:p>
        </w:tc>
      </w:tr>
      <w:tr w:rsidR="008E331E" w:rsidRPr="008E331E" w14:paraId="5F4D2CBA" w14:textId="77777777" w:rsidTr="002E7EFB">
        <w:tc>
          <w:tcPr>
            <w:tcW w:w="1418" w:type="dxa"/>
          </w:tcPr>
          <w:p w14:paraId="6B39137F" w14:textId="244E1F7A" w:rsidR="008E331E" w:rsidRPr="008E331E" w:rsidRDefault="00C32E41" w:rsidP="008E331E">
            <w:pPr>
              <w:overflowPunct w:val="0"/>
              <w:autoSpaceDE w:val="0"/>
              <w:autoSpaceDN w:val="0"/>
              <w:adjustRightInd w:val="0"/>
              <w:spacing w:line="240" w:lineRule="auto"/>
              <w:textAlignment w:val="baseline"/>
              <w:rPr>
                <w:i/>
              </w:rPr>
            </w:pPr>
            <w:r>
              <w:rPr>
                <w:i/>
              </w:rPr>
              <w:t>e-mail</w:t>
            </w:r>
          </w:p>
        </w:tc>
        <w:tc>
          <w:tcPr>
            <w:tcW w:w="5670" w:type="dxa"/>
          </w:tcPr>
          <w:p w14:paraId="07ADD844" w14:textId="22F6796E" w:rsidR="008E331E" w:rsidRPr="008E331E" w:rsidRDefault="00651F28" w:rsidP="008E331E">
            <w:pPr>
              <w:overflowPunct w:val="0"/>
              <w:autoSpaceDE w:val="0"/>
              <w:autoSpaceDN w:val="0"/>
              <w:adjustRightInd w:val="0"/>
              <w:spacing w:line="240" w:lineRule="auto"/>
              <w:textAlignment w:val="baseline"/>
              <w:rPr>
                <w:i/>
              </w:rPr>
            </w:pPr>
            <w:hyperlink r:id="rId38" w:history="1">
              <w:r>
                <w:rPr>
                  <w:i/>
                  <w:color w:val="0000FF"/>
                  <w:u w:val="single"/>
                </w:rPr>
                <w:t>Silvia.Staffa@eesc.europa.eu</w:t>
              </w:r>
            </w:hyperlink>
          </w:p>
          <w:p w14:paraId="334E5630" w14:textId="77777777" w:rsidR="008E331E" w:rsidRPr="008E331E" w:rsidRDefault="008E331E" w:rsidP="008E331E">
            <w:pPr>
              <w:overflowPunct w:val="0"/>
              <w:autoSpaceDE w:val="0"/>
              <w:autoSpaceDN w:val="0"/>
              <w:adjustRightInd w:val="0"/>
              <w:spacing w:line="240" w:lineRule="auto"/>
              <w:textAlignment w:val="baseline"/>
              <w:rPr>
                <w:i/>
              </w:rPr>
            </w:pPr>
          </w:p>
        </w:tc>
      </w:tr>
    </w:tbl>
    <w:p w14:paraId="05023353" w14:textId="7CA572C4" w:rsidR="008E331E" w:rsidRDefault="008E331E" w:rsidP="001766B2">
      <w:pPr>
        <w:pStyle w:val="ListParagraph"/>
        <w:ind w:left="0"/>
      </w:pPr>
    </w:p>
    <w:p w14:paraId="7230B300" w14:textId="77777777" w:rsidR="008E331E" w:rsidRDefault="008E331E">
      <w:pPr>
        <w:spacing w:after="160" w:line="259" w:lineRule="auto"/>
        <w:jc w:val="left"/>
      </w:pPr>
      <w:r>
        <w:br w:type="page"/>
      </w:r>
    </w:p>
    <w:p w14:paraId="70CF40EF" w14:textId="0090948E" w:rsidR="00882D0D" w:rsidRPr="004C6742" w:rsidRDefault="00882D0D" w:rsidP="004815E0">
      <w:pPr>
        <w:widowControl w:val="0"/>
        <w:numPr>
          <w:ilvl w:val="0"/>
          <w:numId w:val="15"/>
        </w:numPr>
        <w:overflowPunct w:val="0"/>
        <w:autoSpaceDE w:val="0"/>
        <w:autoSpaceDN w:val="0"/>
        <w:adjustRightInd w:val="0"/>
        <w:spacing w:after="200" w:line="276" w:lineRule="auto"/>
        <w:ind w:left="426" w:hanging="568"/>
        <w:contextualSpacing/>
        <w:jc w:val="left"/>
        <w:textAlignment w:val="baseline"/>
        <w:rPr>
          <w:b/>
          <w:i/>
          <w:sz w:val="32"/>
          <w:szCs w:val="32"/>
        </w:rPr>
      </w:pPr>
      <w:hyperlink r:id="rId39" w:tgtFrame="_blank" w:history="1">
        <w:r>
          <w:rPr>
            <w:b/>
            <w:i/>
            <w:color w:val="0000FF"/>
            <w:sz w:val="32"/>
            <w:u w:val="single"/>
          </w:rPr>
          <w:t>Ocena rozporządzenia (UE) 2019/1020 w sprawie nadzoru rynku i zgodności produktów</w:t>
        </w:r>
      </w:hyperlink>
    </w:p>
    <w:p w14:paraId="3DC7A7FA" w14:textId="77777777" w:rsidR="002A0F5D" w:rsidRPr="005C5C88" w:rsidRDefault="002A0F5D" w:rsidP="004C6742">
      <w:pPr>
        <w:widowControl w:val="0"/>
        <w:overflowPunct w:val="0"/>
        <w:autoSpaceDE w:val="0"/>
        <w:autoSpaceDN w:val="0"/>
        <w:adjustRightInd w:val="0"/>
        <w:spacing w:after="200" w:line="276" w:lineRule="auto"/>
        <w:ind w:left="360"/>
        <w:contextualSpacing/>
        <w:jc w:val="left"/>
        <w:textAlignment w:val="baseline"/>
        <w:rPr>
          <w:b/>
          <w:i/>
          <w:lang w:val="en-GB" w:eastAsia="zh-CN"/>
        </w:rPr>
      </w:pPr>
    </w:p>
    <w:tbl>
      <w:tblPr>
        <w:tblStyle w:val="TableGrid10"/>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882D0D" w:rsidRPr="00882D0D" w14:paraId="5D4233BC" w14:textId="77777777" w:rsidTr="002E7EFB">
        <w:tc>
          <w:tcPr>
            <w:tcW w:w="1148" w:type="pct"/>
          </w:tcPr>
          <w:p w14:paraId="59FB145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Sprawozdawczyni</w:t>
            </w:r>
          </w:p>
          <w:p w14:paraId="1047859A"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Współsprawozdawca</w:t>
            </w:r>
          </w:p>
        </w:tc>
        <w:tc>
          <w:tcPr>
            <w:tcW w:w="3852" w:type="pct"/>
          </w:tcPr>
          <w:p w14:paraId="22DD296F" w14:textId="5FEE8890" w:rsidR="00882D0D" w:rsidRPr="00882D0D" w:rsidRDefault="00882D0D" w:rsidP="00882D0D">
            <w:pPr>
              <w:tabs>
                <w:tab w:val="center" w:pos="284"/>
              </w:tabs>
              <w:overflowPunct w:val="0"/>
              <w:autoSpaceDE w:val="0"/>
              <w:autoSpaceDN w:val="0"/>
              <w:adjustRightInd w:val="0"/>
              <w:ind w:left="266" w:hanging="266"/>
              <w:textAlignment w:val="baseline"/>
            </w:pPr>
            <w:r>
              <w:t>Antje GERSTEIN (Grupa Pracodawców – DE)</w:t>
            </w:r>
          </w:p>
          <w:p w14:paraId="198B3B8D" w14:textId="1C9D367D" w:rsidR="00882D0D" w:rsidRPr="00882D0D" w:rsidRDefault="00882D0D" w:rsidP="00882D0D">
            <w:pPr>
              <w:tabs>
                <w:tab w:val="center" w:pos="284"/>
              </w:tabs>
              <w:overflowPunct w:val="0"/>
              <w:autoSpaceDE w:val="0"/>
              <w:autoSpaceDN w:val="0"/>
              <w:adjustRightInd w:val="0"/>
              <w:ind w:left="266" w:hanging="266"/>
              <w:textAlignment w:val="baseline"/>
            </w:pPr>
            <w:r>
              <w:t>Anastasis YIAPANIS (Grupa Organizacji Społeczeństwa Obywatelskiego – CY)</w:t>
            </w:r>
          </w:p>
          <w:p w14:paraId="0D785ADB" w14:textId="77777777" w:rsidR="00882D0D" w:rsidRPr="00882D0D" w:rsidRDefault="00882D0D" w:rsidP="00882D0D">
            <w:pPr>
              <w:tabs>
                <w:tab w:val="center" w:pos="284"/>
              </w:tabs>
              <w:overflowPunct w:val="0"/>
              <w:autoSpaceDE w:val="0"/>
              <w:autoSpaceDN w:val="0"/>
              <w:adjustRightInd w:val="0"/>
              <w:ind w:left="266" w:hanging="266"/>
              <w:textAlignment w:val="baseline"/>
              <w:rPr>
                <w:lang w:val="fr-BE"/>
              </w:rPr>
            </w:pPr>
          </w:p>
        </w:tc>
      </w:tr>
      <w:tr w:rsidR="00882D0D" w:rsidRPr="00882D0D" w14:paraId="1AC48DDB" w14:textId="77777777" w:rsidTr="002E7EFB">
        <w:tc>
          <w:tcPr>
            <w:tcW w:w="1148" w:type="pct"/>
            <w:vMerge w:val="restart"/>
          </w:tcPr>
          <w:p w14:paraId="4FC7ABA2" w14:textId="77777777" w:rsidR="00882D0D" w:rsidRPr="00882D0D" w:rsidRDefault="00882D0D" w:rsidP="00882D0D">
            <w:pPr>
              <w:tabs>
                <w:tab w:val="center" w:pos="284"/>
              </w:tabs>
              <w:overflowPunct w:val="0"/>
              <w:autoSpaceDE w:val="0"/>
              <w:autoSpaceDN w:val="0"/>
              <w:adjustRightInd w:val="0"/>
              <w:ind w:left="266" w:hanging="376"/>
              <w:textAlignment w:val="baseline"/>
              <w:rPr>
                <w:b/>
              </w:rPr>
            </w:pPr>
            <w:r>
              <w:rPr>
                <w:b/>
              </w:rPr>
              <w:t>Dokumenty</w:t>
            </w:r>
          </w:p>
        </w:tc>
        <w:tc>
          <w:tcPr>
            <w:tcW w:w="3852" w:type="pct"/>
          </w:tcPr>
          <w:p w14:paraId="15CC71FE" w14:textId="0F11AA03" w:rsidR="00E43713" w:rsidRDefault="00E43713" w:rsidP="00882D0D">
            <w:pPr>
              <w:tabs>
                <w:tab w:val="center" w:pos="284"/>
              </w:tabs>
              <w:overflowPunct w:val="0"/>
              <w:autoSpaceDE w:val="0"/>
              <w:autoSpaceDN w:val="0"/>
              <w:adjustRightInd w:val="0"/>
              <w:ind w:left="266" w:hanging="266"/>
              <w:textAlignment w:val="baseline"/>
            </w:pPr>
            <w:r>
              <w:t>Raport z oceny</w:t>
            </w:r>
          </w:p>
          <w:p w14:paraId="3A1034C0" w14:textId="47DA1E62" w:rsidR="00882D0D" w:rsidRPr="00882D0D" w:rsidRDefault="00882D0D" w:rsidP="00882D0D">
            <w:pPr>
              <w:tabs>
                <w:tab w:val="center" w:pos="284"/>
              </w:tabs>
              <w:overflowPunct w:val="0"/>
              <w:autoSpaceDE w:val="0"/>
              <w:autoSpaceDN w:val="0"/>
              <w:adjustRightInd w:val="0"/>
              <w:ind w:left="266" w:hanging="266"/>
              <w:textAlignment w:val="baseline"/>
            </w:pPr>
            <w:r>
              <w:t>COM(2025) 63 final</w:t>
            </w:r>
          </w:p>
        </w:tc>
      </w:tr>
      <w:tr w:rsidR="00882D0D" w:rsidRPr="00882D0D" w14:paraId="301DB155" w14:textId="77777777" w:rsidTr="002E7EFB">
        <w:tc>
          <w:tcPr>
            <w:tcW w:w="1148" w:type="pct"/>
            <w:vMerge/>
          </w:tcPr>
          <w:p w14:paraId="0182D7D0" w14:textId="77777777" w:rsidR="00882D0D" w:rsidRPr="00882D0D" w:rsidRDefault="00882D0D" w:rsidP="00882D0D">
            <w:pPr>
              <w:tabs>
                <w:tab w:val="center" w:pos="284"/>
              </w:tabs>
              <w:overflowPunct w:val="0"/>
              <w:autoSpaceDE w:val="0"/>
              <w:autoSpaceDN w:val="0"/>
              <w:adjustRightInd w:val="0"/>
              <w:ind w:left="266" w:hanging="266"/>
              <w:textAlignment w:val="baseline"/>
              <w:rPr>
                <w:b/>
              </w:rPr>
            </w:pPr>
          </w:p>
        </w:tc>
        <w:tc>
          <w:tcPr>
            <w:tcW w:w="3852" w:type="pct"/>
          </w:tcPr>
          <w:p w14:paraId="139E0475" w14:textId="23675999" w:rsidR="00882D0D" w:rsidRPr="00882D0D" w:rsidRDefault="00882D0D" w:rsidP="00882D0D">
            <w:pPr>
              <w:tabs>
                <w:tab w:val="center" w:pos="284"/>
              </w:tabs>
              <w:overflowPunct w:val="0"/>
              <w:autoSpaceDE w:val="0"/>
              <w:autoSpaceDN w:val="0"/>
              <w:adjustRightInd w:val="0"/>
              <w:ind w:left="266" w:hanging="266"/>
              <w:textAlignment w:val="baseline"/>
            </w:pPr>
            <w:r>
              <w:t>EESC-2025-003345-00-00-RE</w:t>
            </w:r>
          </w:p>
        </w:tc>
      </w:tr>
    </w:tbl>
    <w:p w14:paraId="7E28CB07"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rPr>
      </w:pPr>
      <w:r>
        <w:rPr>
          <w:b/>
        </w:rPr>
        <w:t>Główne punkty</w:t>
      </w:r>
    </w:p>
    <w:p w14:paraId="7E01B620" w14:textId="77777777" w:rsidR="00882D0D" w:rsidRPr="00882D0D" w:rsidRDefault="00882D0D" w:rsidP="00882D0D">
      <w:pPr>
        <w:keepNext/>
        <w:keepLines/>
        <w:tabs>
          <w:tab w:val="center" w:pos="284"/>
        </w:tabs>
        <w:overflowPunct w:val="0"/>
        <w:autoSpaceDE w:val="0"/>
        <w:autoSpaceDN w:val="0"/>
        <w:adjustRightInd w:val="0"/>
        <w:ind w:left="266" w:hanging="266"/>
        <w:textAlignment w:val="baseline"/>
        <w:rPr>
          <w:b/>
          <w:lang w:val="en-GB"/>
        </w:rPr>
      </w:pPr>
    </w:p>
    <w:p w14:paraId="22B4E57C" w14:textId="77777777" w:rsidR="00882D0D" w:rsidRPr="00882D0D" w:rsidRDefault="00882D0D" w:rsidP="00882D0D">
      <w:pPr>
        <w:overflowPunct w:val="0"/>
        <w:autoSpaceDE w:val="0"/>
        <w:autoSpaceDN w:val="0"/>
        <w:adjustRightInd w:val="0"/>
        <w:textAlignment w:val="baseline"/>
        <w:rPr>
          <w:bCs/>
          <w:iCs/>
        </w:rPr>
      </w:pPr>
      <w:r>
        <w:t>EKES zaleca:</w:t>
      </w:r>
    </w:p>
    <w:p w14:paraId="10D48344" w14:textId="77777777" w:rsidR="00882D0D" w:rsidRPr="00882D0D" w:rsidRDefault="00882D0D" w:rsidP="00882D0D">
      <w:pPr>
        <w:overflowPunct w:val="0"/>
        <w:autoSpaceDE w:val="0"/>
        <w:autoSpaceDN w:val="0"/>
        <w:adjustRightInd w:val="0"/>
        <w:textAlignment w:val="baseline"/>
        <w:rPr>
          <w:bCs/>
          <w:iCs/>
          <w:lang w:val="en-GB"/>
        </w:rPr>
      </w:pPr>
    </w:p>
    <w:p w14:paraId="43BC8A8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dążenie do przyjęcia skonsolidowanego europejskiego aktu o produktach,</w:t>
      </w:r>
    </w:p>
    <w:p w14:paraId="331BAADF" w14:textId="4D48C9FB"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zapewnienie spójności między rozporządzeniem w sprawie nadzoru rynku, rozporządzeniem w</w:t>
      </w:r>
      <w:r w:rsidR="005C5C88">
        <w:t> </w:t>
      </w:r>
      <w:r>
        <w:t>sprawie ogólnego bezpieczeństwa produktów, przepisami sektorowymi i unijnym kodeksem celnym,</w:t>
      </w:r>
    </w:p>
    <w:p w14:paraId="47770594"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wzmocnienie zorganizowanej współpracy między organami celnymi a organami nadzoru rynku,</w:t>
      </w:r>
    </w:p>
    <w:p w14:paraId="3C1DCD11"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uwzględnienie specyfiki sztucznej inteligencji i innych technologii cyfrowych w ramach przyszłych przeglądów rozporządzenia w sprawie nadzoru rynku,</w:t>
      </w:r>
    </w:p>
    <w:p w14:paraId="5E50D7E5" w14:textId="5EB6DFE6"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zapewnienie odpowiednich, przewidywalnych i opartych na wynikach zasobów ludzkich i</w:t>
      </w:r>
      <w:r w:rsidR="005C5C88">
        <w:t> </w:t>
      </w:r>
      <w:r>
        <w:t>finansowych dla organów nadzoru rynku i organów celnych, w połączeniu z mierzalnymi wskaźnikami wdrażania,</w:t>
      </w:r>
    </w:p>
    <w:p w14:paraId="5E775A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zapewnienie organom krajowym skutecznych, proporcjonalnych i odstraszających narzędzi egzekwowania przepisów,</w:t>
      </w:r>
    </w:p>
    <w:p w14:paraId="23D44F67"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 xml:space="preserve">stworzenie wzmocnionego europejskiego potencjału w zakresie egzekwowania, który pozwoli zająć się systemowymi zagrożeniami transgranicznymi i wielkoskalowymi przepływami w ramach handlu cyfrowego, </w:t>
      </w:r>
    </w:p>
    <w:p w14:paraId="22F6F36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przyjęcie jasnych ram egzekwowania przepisów opartych na analizie ryzyka,</w:t>
      </w:r>
    </w:p>
    <w:p w14:paraId="76E510E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dostosowanie ram egzekwowania rozporządzenia w sprawie nadzoru rynku do logiki ustanowionej na mocy aktu o usługach cyfrowych poprzez wprowadzenie proporcjonalnych dodatkowych obowiązków dla podmiotów, których skala stwarza systemowe ryzyko związane z przestrzeganiem przepisów,</w:t>
      </w:r>
    </w:p>
    <w:p w14:paraId="4CC68798"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opracowanie ustrukturyzowanych ram partnerstwa w zakresie zgodności umożliwiających organom proaktywne współdziałanie z podmiotami gospodarczymi,</w:t>
      </w:r>
    </w:p>
    <w:p w14:paraId="774CC109" w14:textId="43427016"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zwiększenie proporcjonalności i przystępności rozporządzenia w sprawie nadzoru rynku dla MŚP i</w:t>
      </w:r>
      <w:r w:rsidR="005C5C88">
        <w:t> </w:t>
      </w:r>
      <w:r>
        <w:t>mikroprzedsiębiorstw,</w:t>
      </w:r>
    </w:p>
    <w:p w14:paraId="569668E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utworzenie europejskiego obserwatorium produktów niezgodnych z wymogami,</w:t>
      </w:r>
    </w:p>
    <w:p w14:paraId="6343892F"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wyjaśnienie łańcucha odpowiedzialności i umożliwienie jego funkcjonowania poprzez wprowadzenie minimalnych kryteriów jakości dla upoważnionych przedstawicieli,</w:t>
      </w:r>
    </w:p>
    <w:p w14:paraId="30F2C869"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poprawa interoperacyjności między systemem informacyjnym i komunikacyjnym do celów nadzoru rynku (ICSMS), Safety Gate, bazami danych organów celnych i innymi odpowiednimi systemami,</w:t>
      </w:r>
    </w:p>
    <w:p w14:paraId="6CFF330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zapewnienie regularnego i łatwo dostępnego publikowania i rozpowszechniania wyników egzekwowania przepisów,</w:t>
      </w:r>
    </w:p>
    <w:p w14:paraId="1556111A"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lastRenderedPageBreak/>
        <w:t>wzmocnienie zorganizowanego zaangażowania społeczeństwa obywatelskiego i partnerów społecznych (formalne mechanizmy konsultacji, stałe platformy dialogu, wczesne zaangażowanie w opracowywanie prawodawstwa oraz lepszy dostęp do informacji i interfejsów cyfrowych na potrzeby interakcji z organami),</w:t>
      </w:r>
    </w:p>
    <w:p w14:paraId="21DADFB3"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zapewnienie wsparcia w zakresie budowania zdolności i ukierunkowane szkolenia zarówno dla organów, jak i podmiotów społeczeństwa obywatelskiego,</w:t>
      </w:r>
    </w:p>
    <w:p w14:paraId="64C493EB" w14:textId="77777777" w:rsidR="00882D0D" w:rsidRPr="00882D0D" w:rsidRDefault="00882D0D" w:rsidP="004C6742">
      <w:pPr>
        <w:widowControl w:val="0"/>
        <w:numPr>
          <w:ilvl w:val="0"/>
          <w:numId w:val="30"/>
        </w:numPr>
        <w:overflowPunct w:val="0"/>
        <w:autoSpaceDE w:val="0"/>
        <w:autoSpaceDN w:val="0"/>
        <w:adjustRightInd w:val="0"/>
        <w:ind w:left="284" w:hanging="284"/>
        <w:textAlignment w:val="baseline"/>
        <w:rPr>
          <w:szCs w:val="20"/>
        </w:rPr>
      </w:pPr>
      <w:r>
        <w:t>wprowadzenie prostych i skutecznych narzędzi zgłaszania oszukańczych reklam.</w:t>
      </w:r>
    </w:p>
    <w:p w14:paraId="646B798F" w14:textId="77777777" w:rsidR="00882D0D" w:rsidRPr="00882D0D" w:rsidRDefault="00882D0D" w:rsidP="00B37567">
      <w:pPr>
        <w:widowControl w:val="0"/>
        <w:overflowPunct w:val="0"/>
        <w:autoSpaceDE w:val="0"/>
        <w:autoSpaceDN w:val="0"/>
        <w:adjustRightInd w:val="0"/>
        <w:ind w:left="567"/>
        <w:textAlignment w:val="baseline"/>
        <w:rPr>
          <w:szCs w:val="20"/>
          <w:lang w:val="en-GB"/>
        </w:rPr>
      </w:pPr>
    </w:p>
    <w:tbl>
      <w:tblPr>
        <w:tblStyle w:val="TableGrid10"/>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882D0D" w:rsidRPr="00882D0D" w14:paraId="027E516E" w14:textId="77777777" w:rsidTr="002E7EFB">
        <w:tc>
          <w:tcPr>
            <w:tcW w:w="1556" w:type="pct"/>
          </w:tcPr>
          <w:p w14:paraId="05333F4F" w14:textId="77777777" w:rsidR="00882D0D" w:rsidRPr="00882D0D" w:rsidRDefault="00882D0D" w:rsidP="00882D0D">
            <w:pPr>
              <w:overflowPunct w:val="0"/>
              <w:autoSpaceDE w:val="0"/>
              <w:autoSpaceDN w:val="0"/>
              <w:adjustRightInd w:val="0"/>
              <w:spacing w:line="240" w:lineRule="auto"/>
              <w:textAlignment w:val="baseline"/>
              <w:rPr>
                <w:i/>
              </w:rPr>
            </w:pPr>
            <w:r>
              <w:rPr>
                <w:b/>
                <w:i/>
              </w:rPr>
              <w:t>Kontakt</w:t>
            </w:r>
          </w:p>
        </w:tc>
        <w:tc>
          <w:tcPr>
            <w:tcW w:w="3444" w:type="pct"/>
          </w:tcPr>
          <w:p w14:paraId="1A10684F" w14:textId="77777777" w:rsidR="00882D0D" w:rsidRPr="00882D0D" w:rsidRDefault="00882D0D" w:rsidP="00882D0D">
            <w:pPr>
              <w:overflowPunct w:val="0"/>
              <w:autoSpaceDE w:val="0"/>
              <w:autoSpaceDN w:val="0"/>
              <w:adjustRightInd w:val="0"/>
              <w:spacing w:line="240" w:lineRule="auto"/>
              <w:textAlignment w:val="baseline"/>
              <w:rPr>
                <w:i/>
              </w:rPr>
            </w:pPr>
            <w:r>
              <w:rPr>
                <w:i/>
              </w:rPr>
              <w:t>Annalisa Tessarolo</w:t>
            </w:r>
          </w:p>
        </w:tc>
      </w:tr>
      <w:tr w:rsidR="00882D0D" w:rsidRPr="00882D0D" w14:paraId="48F3F374" w14:textId="77777777" w:rsidTr="002E7EFB">
        <w:tc>
          <w:tcPr>
            <w:tcW w:w="1556" w:type="pct"/>
          </w:tcPr>
          <w:p w14:paraId="43069B50" w14:textId="77777777" w:rsidR="00882D0D" w:rsidRPr="00882D0D" w:rsidRDefault="00882D0D" w:rsidP="00882D0D">
            <w:pPr>
              <w:overflowPunct w:val="0"/>
              <w:autoSpaceDE w:val="0"/>
              <w:autoSpaceDN w:val="0"/>
              <w:adjustRightInd w:val="0"/>
              <w:spacing w:line="240" w:lineRule="auto"/>
              <w:textAlignment w:val="baseline"/>
              <w:rPr>
                <w:i/>
              </w:rPr>
            </w:pPr>
            <w:r>
              <w:rPr>
                <w:i/>
              </w:rPr>
              <w:t>tel.</w:t>
            </w:r>
          </w:p>
        </w:tc>
        <w:tc>
          <w:tcPr>
            <w:tcW w:w="3444" w:type="pct"/>
          </w:tcPr>
          <w:p w14:paraId="6F81284D" w14:textId="77777777" w:rsidR="00882D0D" w:rsidRPr="00882D0D" w:rsidRDefault="00882D0D" w:rsidP="00882D0D">
            <w:pPr>
              <w:overflowPunct w:val="0"/>
              <w:autoSpaceDE w:val="0"/>
              <w:autoSpaceDN w:val="0"/>
              <w:adjustRightInd w:val="0"/>
              <w:spacing w:line="240" w:lineRule="auto"/>
              <w:textAlignment w:val="baseline"/>
              <w:rPr>
                <w:i/>
              </w:rPr>
            </w:pPr>
            <w:r>
              <w:rPr>
                <w:i/>
              </w:rPr>
              <w:t>+32 25469732</w:t>
            </w:r>
          </w:p>
        </w:tc>
      </w:tr>
      <w:tr w:rsidR="00882D0D" w:rsidRPr="00882D0D" w14:paraId="2E49B53D" w14:textId="77777777" w:rsidTr="002E7EFB">
        <w:tc>
          <w:tcPr>
            <w:tcW w:w="1556" w:type="pct"/>
          </w:tcPr>
          <w:p w14:paraId="51CF8F1E" w14:textId="7C3F724C" w:rsidR="00882D0D" w:rsidRPr="00882D0D" w:rsidRDefault="00B37567" w:rsidP="00882D0D">
            <w:pPr>
              <w:overflowPunct w:val="0"/>
              <w:autoSpaceDE w:val="0"/>
              <w:autoSpaceDN w:val="0"/>
              <w:adjustRightInd w:val="0"/>
              <w:spacing w:line="240" w:lineRule="auto"/>
              <w:textAlignment w:val="baseline"/>
              <w:rPr>
                <w:i/>
              </w:rPr>
            </w:pPr>
            <w:r>
              <w:rPr>
                <w:i/>
              </w:rPr>
              <w:t>e-mail</w:t>
            </w:r>
          </w:p>
        </w:tc>
        <w:tc>
          <w:tcPr>
            <w:tcW w:w="3444" w:type="pct"/>
          </w:tcPr>
          <w:p w14:paraId="22B253E8" w14:textId="1C467C6E" w:rsidR="00882D0D" w:rsidRPr="00882D0D" w:rsidRDefault="00651F28" w:rsidP="00882D0D">
            <w:pPr>
              <w:overflowPunct w:val="0"/>
              <w:autoSpaceDE w:val="0"/>
              <w:autoSpaceDN w:val="0"/>
              <w:adjustRightInd w:val="0"/>
              <w:spacing w:line="240" w:lineRule="auto"/>
              <w:textAlignment w:val="baseline"/>
              <w:rPr>
                <w:i/>
                <w:iCs/>
              </w:rPr>
            </w:pPr>
            <w:hyperlink r:id="rId40" w:history="1">
              <w:r>
                <w:rPr>
                  <w:i/>
                  <w:color w:val="0000FF"/>
                  <w:u w:val="single"/>
                </w:rPr>
                <w:t>Annalisa.Tessarolo@eesc.europa.eu</w:t>
              </w:r>
            </w:hyperlink>
          </w:p>
        </w:tc>
      </w:tr>
    </w:tbl>
    <w:p w14:paraId="5CBAA359" w14:textId="1C551085" w:rsidR="00A067F3" w:rsidRDefault="00A067F3">
      <w:pPr>
        <w:spacing w:after="160" w:line="259" w:lineRule="auto"/>
        <w:jc w:val="left"/>
        <w:rPr>
          <w:szCs w:val="20"/>
          <w:lang w:val="nl-BE"/>
        </w:rPr>
      </w:pPr>
    </w:p>
    <w:p w14:paraId="0667917E" w14:textId="77777777" w:rsidR="00A067F3" w:rsidRDefault="00A067F3">
      <w:pPr>
        <w:spacing w:after="160" w:line="259" w:lineRule="auto"/>
        <w:jc w:val="left"/>
        <w:rPr>
          <w:szCs w:val="20"/>
        </w:rPr>
      </w:pPr>
      <w:r>
        <w:br w:type="page"/>
      </w:r>
    </w:p>
    <w:p w14:paraId="58C55E8F" w14:textId="09FF9017" w:rsidR="00426604" w:rsidRPr="00426604" w:rsidRDefault="00651F28" w:rsidP="00426604">
      <w:pPr>
        <w:widowControl w:val="0"/>
        <w:numPr>
          <w:ilvl w:val="0"/>
          <w:numId w:val="4"/>
        </w:numPr>
        <w:overflowPunct w:val="0"/>
        <w:autoSpaceDE w:val="0"/>
        <w:autoSpaceDN w:val="0"/>
        <w:adjustRightInd w:val="0"/>
        <w:ind w:hanging="567"/>
        <w:textAlignment w:val="baseline"/>
        <w:rPr>
          <w:sz w:val="20"/>
          <w:szCs w:val="20"/>
        </w:rPr>
      </w:pPr>
      <w:hyperlink r:id="rId41" w:history="1">
        <w:r>
          <w:rPr>
            <w:b/>
            <w:i/>
            <w:color w:val="0000FF"/>
            <w:sz w:val="28"/>
            <w:u w:val="single"/>
          </w:rPr>
          <w:t>Program na rzecz konsumentów do 2030 r.</w:t>
        </w:r>
      </w:hyperlink>
    </w:p>
    <w:p w14:paraId="26C97129"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812"/>
      </w:tblGrid>
      <w:tr w:rsidR="00426604" w:rsidRPr="00426604" w14:paraId="7FCA49AB" w14:textId="77777777" w:rsidTr="002E7EFB">
        <w:tc>
          <w:tcPr>
            <w:tcW w:w="1701" w:type="dxa"/>
          </w:tcPr>
          <w:p w14:paraId="19070A3D"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Sprawozdawca</w:t>
            </w:r>
          </w:p>
        </w:tc>
        <w:tc>
          <w:tcPr>
            <w:tcW w:w="5812" w:type="dxa"/>
          </w:tcPr>
          <w:p w14:paraId="3E207F8E" w14:textId="63147845" w:rsidR="00426604" w:rsidRPr="00426604" w:rsidRDefault="00426604" w:rsidP="00426604">
            <w:pPr>
              <w:tabs>
                <w:tab w:val="center" w:pos="284"/>
              </w:tabs>
              <w:overflowPunct w:val="0"/>
              <w:autoSpaceDE w:val="0"/>
              <w:autoSpaceDN w:val="0"/>
              <w:adjustRightInd w:val="0"/>
              <w:ind w:left="266" w:hanging="266"/>
              <w:textAlignment w:val="baseline"/>
            </w:pPr>
            <w:r>
              <w:t>Thierry LIBAERT (Grupa Organizacji Społeczeństwa Obywatelskiego – FR)</w:t>
            </w:r>
          </w:p>
        </w:tc>
      </w:tr>
      <w:tr w:rsidR="00426604" w:rsidRPr="00426604" w14:paraId="55BCB3CD" w14:textId="77777777" w:rsidTr="002E7EFB">
        <w:tc>
          <w:tcPr>
            <w:tcW w:w="7513" w:type="dxa"/>
            <w:gridSpan w:val="2"/>
          </w:tcPr>
          <w:p w14:paraId="0E791238" w14:textId="77777777" w:rsidR="00426604" w:rsidRPr="00426604" w:rsidRDefault="00426604" w:rsidP="00426604">
            <w:pPr>
              <w:tabs>
                <w:tab w:val="center" w:pos="284"/>
              </w:tabs>
              <w:overflowPunct w:val="0"/>
              <w:autoSpaceDE w:val="0"/>
              <w:autoSpaceDN w:val="0"/>
              <w:adjustRightInd w:val="0"/>
              <w:spacing w:line="160" w:lineRule="exact"/>
              <w:ind w:left="266" w:hanging="266"/>
              <w:textAlignment w:val="baseline"/>
            </w:pPr>
          </w:p>
        </w:tc>
      </w:tr>
      <w:tr w:rsidR="00426604" w:rsidRPr="00426604" w14:paraId="0E79D1B5" w14:textId="77777777" w:rsidTr="002E7EFB">
        <w:tc>
          <w:tcPr>
            <w:tcW w:w="1701" w:type="dxa"/>
            <w:vMerge w:val="restart"/>
          </w:tcPr>
          <w:p w14:paraId="434AA7EC" w14:textId="77777777" w:rsidR="00426604" w:rsidRPr="00426604" w:rsidRDefault="00426604" w:rsidP="00426604">
            <w:pPr>
              <w:tabs>
                <w:tab w:val="center" w:pos="284"/>
              </w:tabs>
              <w:overflowPunct w:val="0"/>
              <w:autoSpaceDE w:val="0"/>
              <w:autoSpaceDN w:val="0"/>
              <w:adjustRightInd w:val="0"/>
              <w:ind w:left="266" w:hanging="266"/>
              <w:textAlignment w:val="baseline"/>
              <w:rPr>
                <w:b/>
              </w:rPr>
            </w:pPr>
            <w:r>
              <w:rPr>
                <w:b/>
              </w:rPr>
              <w:t>Dokumenty</w:t>
            </w:r>
          </w:p>
        </w:tc>
        <w:tc>
          <w:tcPr>
            <w:tcW w:w="5812" w:type="dxa"/>
          </w:tcPr>
          <w:p w14:paraId="2218EA85" w14:textId="77777777" w:rsidR="00426604" w:rsidRPr="00426604" w:rsidRDefault="00426604" w:rsidP="00426604">
            <w:pPr>
              <w:tabs>
                <w:tab w:val="center" w:pos="284"/>
              </w:tabs>
              <w:overflowPunct w:val="0"/>
              <w:autoSpaceDE w:val="0"/>
              <w:autoSpaceDN w:val="0"/>
              <w:adjustRightInd w:val="0"/>
              <w:ind w:left="266" w:hanging="266"/>
              <w:textAlignment w:val="baseline"/>
            </w:pPr>
            <w:r>
              <w:t>COM(2025) 848 final</w:t>
            </w:r>
          </w:p>
          <w:p w14:paraId="30E9A55E" w14:textId="77777777" w:rsidR="00426604" w:rsidRPr="00426604" w:rsidRDefault="00426604" w:rsidP="00426604">
            <w:pPr>
              <w:tabs>
                <w:tab w:val="center" w:pos="284"/>
              </w:tabs>
              <w:overflowPunct w:val="0"/>
              <w:autoSpaceDE w:val="0"/>
              <w:autoSpaceDN w:val="0"/>
              <w:adjustRightInd w:val="0"/>
              <w:ind w:left="266" w:hanging="266"/>
              <w:textAlignment w:val="baseline"/>
            </w:pPr>
            <w:r>
              <w:t>EESC-2025-03969-00-00-AC</w:t>
            </w:r>
          </w:p>
        </w:tc>
      </w:tr>
      <w:tr w:rsidR="00426604" w:rsidRPr="00426604" w14:paraId="020B5F42" w14:textId="77777777" w:rsidTr="002E7EFB">
        <w:tc>
          <w:tcPr>
            <w:tcW w:w="1701" w:type="dxa"/>
            <w:vMerge/>
          </w:tcPr>
          <w:p w14:paraId="726EB5F6" w14:textId="77777777" w:rsidR="00426604" w:rsidRPr="00426604" w:rsidRDefault="00426604" w:rsidP="00426604">
            <w:pPr>
              <w:tabs>
                <w:tab w:val="center" w:pos="284"/>
              </w:tabs>
              <w:overflowPunct w:val="0"/>
              <w:autoSpaceDE w:val="0"/>
              <w:autoSpaceDN w:val="0"/>
              <w:adjustRightInd w:val="0"/>
              <w:ind w:left="266" w:hanging="266"/>
              <w:textAlignment w:val="baseline"/>
              <w:rPr>
                <w:b/>
                <w:lang w:val="pt-PT"/>
              </w:rPr>
            </w:pPr>
          </w:p>
        </w:tc>
        <w:tc>
          <w:tcPr>
            <w:tcW w:w="5812" w:type="dxa"/>
          </w:tcPr>
          <w:p w14:paraId="1C479AD3"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tc>
      </w:tr>
    </w:tbl>
    <w:p w14:paraId="095208D9" w14:textId="77777777" w:rsidR="00426604" w:rsidRPr="00426604" w:rsidRDefault="00426604" w:rsidP="00426604">
      <w:pPr>
        <w:tabs>
          <w:tab w:val="center" w:pos="284"/>
        </w:tabs>
        <w:overflowPunct w:val="0"/>
        <w:autoSpaceDE w:val="0"/>
        <w:autoSpaceDN w:val="0"/>
        <w:adjustRightInd w:val="0"/>
        <w:ind w:left="266" w:hanging="266"/>
        <w:textAlignment w:val="baseline"/>
        <w:rPr>
          <w:lang w:val="pt-PT"/>
        </w:rPr>
      </w:pPr>
    </w:p>
    <w:p w14:paraId="2B2A243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rPr>
      </w:pPr>
      <w:r>
        <w:rPr>
          <w:b/>
        </w:rPr>
        <w:t>Główne punkty</w:t>
      </w:r>
    </w:p>
    <w:p w14:paraId="0ABBD8A5" w14:textId="77777777" w:rsidR="00426604" w:rsidRPr="00426604" w:rsidRDefault="00426604" w:rsidP="00426604">
      <w:pPr>
        <w:keepNext/>
        <w:keepLines/>
        <w:tabs>
          <w:tab w:val="center" w:pos="284"/>
        </w:tabs>
        <w:overflowPunct w:val="0"/>
        <w:autoSpaceDE w:val="0"/>
        <w:autoSpaceDN w:val="0"/>
        <w:adjustRightInd w:val="0"/>
        <w:ind w:left="266" w:hanging="266"/>
        <w:textAlignment w:val="baseline"/>
        <w:rPr>
          <w:b/>
          <w:lang w:val="en-GB"/>
        </w:rPr>
      </w:pPr>
    </w:p>
    <w:p w14:paraId="6372DC89" w14:textId="77777777" w:rsidR="00426604" w:rsidRPr="00426604" w:rsidRDefault="00426604" w:rsidP="00426604">
      <w:pPr>
        <w:overflowPunct w:val="0"/>
        <w:autoSpaceDE w:val="0"/>
        <w:autoSpaceDN w:val="0"/>
        <w:adjustRightInd w:val="0"/>
        <w:textAlignment w:val="baseline"/>
        <w:rPr>
          <w:bCs/>
          <w:iCs/>
        </w:rPr>
      </w:pPr>
      <w:r>
        <w:t>EKES:</w:t>
      </w:r>
    </w:p>
    <w:p w14:paraId="48836ADE" w14:textId="77777777" w:rsidR="00426604" w:rsidRPr="00426604" w:rsidRDefault="00426604" w:rsidP="00426604">
      <w:pPr>
        <w:overflowPunct w:val="0"/>
        <w:autoSpaceDE w:val="0"/>
        <w:autoSpaceDN w:val="0"/>
        <w:adjustRightInd w:val="0"/>
        <w:textAlignment w:val="baseline"/>
        <w:rPr>
          <w:bCs/>
          <w:iCs/>
          <w:lang w:val="en-GB"/>
        </w:rPr>
      </w:pPr>
    </w:p>
    <w:p w14:paraId="74A7A8CD"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Z zadowoleniem przyjmuje program na rzecz konsumentów na okres 2025–2030; jest to znakomity dokument ramowy, który dotyczy ochrony konsumentów w nadchodzących latach.</w:t>
      </w:r>
    </w:p>
    <w:p w14:paraId="5F03BEB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Ma nadzieję, że Komisja będzie mogła zaproponować bardziej kompleksowe podejście do konsumentów, które nie będzie ograniczać się do kwestii praw.</w:t>
      </w:r>
    </w:p>
    <w:p w14:paraId="2DB8C1F5"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bCs/>
          <w:iCs/>
        </w:rPr>
      </w:pPr>
      <w:r>
        <w:t>Z zadowoleniem przyjąłby ustrukturyzowaną, szczegółową i opartą na danych ocenę poprzedniego programu, aby uzyskać bardziej kompleksową wizję.</w:t>
      </w:r>
    </w:p>
    <w:p w14:paraId="23F5AC6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pPr>
      <w:r>
        <w:t>Popiera środki upraszczające, jednak podkreśla, że nie mogą one w żadnym razie skutkować obniżeniem poziomu ochrony konsumentów.</w:t>
      </w:r>
    </w:p>
    <w:p w14:paraId="22E46B9A"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Uważa, że ochrona konsumentów musi koniecznie uwzględniać różnorodność sytuacji, zwłaszcza w odniesieniu do pustyń handlowych, a także podatność niektórych rodzajów konsumentów na zagrożenia.</w:t>
      </w:r>
    </w:p>
    <w:p w14:paraId="3000A78C"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Opowiada się za szybszą i intensywniejszą kontrolą stopnia zagrożenia stwarzanego przez produkty importowane, zwłaszcza za pośrednictwem internetowych platform handlowych położonych poza Unią Europejską.</w:t>
      </w:r>
    </w:p>
    <w:p w14:paraId="24286CF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Zaleca poświęcenie większej uwagi praktykom dostępu do podstawowych usług prawnych dla jednostek [„microjustice”] w celu rozstrzygania sporów dotyczących niewielkich kwot.</w:t>
      </w:r>
    </w:p>
    <w:p w14:paraId="3DE9280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Popiera środki cyfryzacji, ale podkreśla, że w przypadku każdej skargi konsument musi mieć ostatecznie możliwość kontaktu z prawdziwym konsultantem.</w:t>
      </w:r>
    </w:p>
    <w:p w14:paraId="34B18EC1"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Wzywa Komisję do większego zainteresowania się obiegiem zamkniętym i zrównoważonym charakterem produktów.</w:t>
      </w:r>
    </w:p>
    <w:p w14:paraId="1ABE3F68"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Zaleca wprowadzenie silnej polityki ochrony konsumentów przed przekazami handlowymi pochodzącymi od influencerów, zwłaszcza gdy są one skierowane do dzieci.</w:t>
      </w:r>
    </w:p>
    <w:p w14:paraId="0F934297" w14:textId="77777777" w:rsidR="00426604" w:rsidRPr="00426604" w:rsidRDefault="00426604" w:rsidP="004C6742">
      <w:pPr>
        <w:widowControl w:val="0"/>
        <w:numPr>
          <w:ilvl w:val="0"/>
          <w:numId w:val="31"/>
        </w:numPr>
        <w:overflowPunct w:val="0"/>
        <w:autoSpaceDE w:val="0"/>
        <w:autoSpaceDN w:val="0"/>
        <w:adjustRightInd w:val="0"/>
        <w:ind w:left="284" w:hanging="284"/>
        <w:textAlignment w:val="baseline"/>
        <w:rPr>
          <w:rFonts w:asciiTheme="minorHAnsi" w:hAnsiTheme="minorHAnsi"/>
          <w:szCs w:val="20"/>
        </w:rPr>
      </w:pPr>
      <w:r>
        <w:t>Zachęca państwa członkowskie do wspierania stowarzyszeń konsumenckich.</w:t>
      </w:r>
    </w:p>
    <w:p w14:paraId="1F6E4B1D" w14:textId="77777777" w:rsidR="00426604" w:rsidRPr="00426604" w:rsidRDefault="00426604" w:rsidP="00426604">
      <w:pPr>
        <w:widowControl w:val="0"/>
        <w:overflowPunct w:val="0"/>
        <w:autoSpaceDE w:val="0"/>
        <w:autoSpaceDN w:val="0"/>
        <w:adjustRightInd w:val="0"/>
        <w:ind w:left="709"/>
        <w:textAlignment w:val="baseline"/>
        <w:rPr>
          <w:szCs w:val="20"/>
          <w:lang w:val="en-GB"/>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26604" w:rsidRPr="00426604" w14:paraId="1EC4B28B" w14:textId="77777777" w:rsidTr="002E7EFB">
        <w:tc>
          <w:tcPr>
            <w:tcW w:w="1418" w:type="dxa"/>
          </w:tcPr>
          <w:p w14:paraId="65444A1C" w14:textId="77777777" w:rsidR="00426604" w:rsidRPr="00426604" w:rsidRDefault="00426604" w:rsidP="00426604">
            <w:pPr>
              <w:overflowPunct w:val="0"/>
              <w:autoSpaceDE w:val="0"/>
              <w:autoSpaceDN w:val="0"/>
              <w:adjustRightInd w:val="0"/>
              <w:spacing w:line="240" w:lineRule="auto"/>
              <w:textAlignment w:val="baseline"/>
              <w:rPr>
                <w:i/>
              </w:rPr>
            </w:pPr>
            <w:r>
              <w:rPr>
                <w:b/>
                <w:i/>
              </w:rPr>
              <w:t>Kontakt</w:t>
            </w:r>
          </w:p>
        </w:tc>
        <w:tc>
          <w:tcPr>
            <w:tcW w:w="5670" w:type="dxa"/>
          </w:tcPr>
          <w:p w14:paraId="07DC0551" w14:textId="77777777" w:rsidR="00426604" w:rsidRPr="00426604" w:rsidRDefault="00426604" w:rsidP="00426604">
            <w:pPr>
              <w:overflowPunct w:val="0"/>
              <w:autoSpaceDE w:val="0"/>
              <w:autoSpaceDN w:val="0"/>
              <w:adjustRightInd w:val="0"/>
              <w:spacing w:line="240" w:lineRule="auto"/>
              <w:textAlignment w:val="baseline"/>
              <w:rPr>
                <w:i/>
              </w:rPr>
            </w:pPr>
            <w:r>
              <w:rPr>
                <w:i/>
              </w:rPr>
              <w:t>Radoslava Stefankova</w:t>
            </w:r>
          </w:p>
        </w:tc>
      </w:tr>
      <w:tr w:rsidR="00426604" w:rsidRPr="00426604" w14:paraId="1EEA77FB" w14:textId="77777777" w:rsidTr="002E7EFB">
        <w:tc>
          <w:tcPr>
            <w:tcW w:w="1418" w:type="dxa"/>
          </w:tcPr>
          <w:p w14:paraId="7B024839" w14:textId="77777777" w:rsidR="00426604" w:rsidRPr="00426604" w:rsidRDefault="00426604" w:rsidP="00426604">
            <w:pPr>
              <w:overflowPunct w:val="0"/>
              <w:autoSpaceDE w:val="0"/>
              <w:autoSpaceDN w:val="0"/>
              <w:adjustRightInd w:val="0"/>
              <w:spacing w:line="240" w:lineRule="auto"/>
              <w:textAlignment w:val="baseline"/>
              <w:rPr>
                <w:i/>
              </w:rPr>
            </w:pPr>
            <w:r>
              <w:rPr>
                <w:i/>
              </w:rPr>
              <w:t>tel.</w:t>
            </w:r>
          </w:p>
        </w:tc>
        <w:tc>
          <w:tcPr>
            <w:tcW w:w="5670" w:type="dxa"/>
          </w:tcPr>
          <w:p w14:paraId="2199A8B9" w14:textId="77777777" w:rsidR="00426604" w:rsidRPr="00426604" w:rsidRDefault="00426604" w:rsidP="00426604">
            <w:pPr>
              <w:overflowPunct w:val="0"/>
              <w:autoSpaceDE w:val="0"/>
              <w:autoSpaceDN w:val="0"/>
              <w:adjustRightInd w:val="0"/>
              <w:spacing w:line="240" w:lineRule="auto"/>
              <w:textAlignment w:val="baseline"/>
              <w:rPr>
                <w:i/>
              </w:rPr>
            </w:pPr>
            <w:r>
              <w:rPr>
                <w:i/>
              </w:rPr>
              <w:t>+32 25468188</w:t>
            </w:r>
          </w:p>
        </w:tc>
      </w:tr>
      <w:tr w:rsidR="00426604" w:rsidRPr="00426604" w14:paraId="2BB4FECE" w14:textId="77777777" w:rsidTr="002E7EFB">
        <w:tc>
          <w:tcPr>
            <w:tcW w:w="1418" w:type="dxa"/>
          </w:tcPr>
          <w:p w14:paraId="2409A98F" w14:textId="77777777" w:rsidR="00426604" w:rsidRPr="00426604" w:rsidRDefault="00426604" w:rsidP="00426604">
            <w:pPr>
              <w:overflowPunct w:val="0"/>
              <w:autoSpaceDE w:val="0"/>
              <w:autoSpaceDN w:val="0"/>
              <w:adjustRightInd w:val="0"/>
              <w:spacing w:line="240" w:lineRule="auto"/>
              <w:textAlignment w:val="baseline"/>
              <w:rPr>
                <w:i/>
              </w:rPr>
            </w:pPr>
            <w:r>
              <w:rPr>
                <w:i/>
              </w:rPr>
              <w:t>e-mail</w:t>
            </w:r>
          </w:p>
        </w:tc>
        <w:tc>
          <w:tcPr>
            <w:tcW w:w="5670" w:type="dxa"/>
          </w:tcPr>
          <w:p w14:paraId="21BA9078" w14:textId="4A0D9A3E" w:rsidR="00426604" w:rsidRPr="00426604" w:rsidRDefault="00651F28" w:rsidP="00426604">
            <w:pPr>
              <w:overflowPunct w:val="0"/>
              <w:autoSpaceDE w:val="0"/>
              <w:autoSpaceDN w:val="0"/>
              <w:adjustRightInd w:val="0"/>
              <w:spacing w:line="240" w:lineRule="auto"/>
              <w:textAlignment w:val="baseline"/>
              <w:rPr>
                <w:i/>
              </w:rPr>
            </w:pPr>
            <w:hyperlink r:id="rId42" w:history="1">
              <w:r>
                <w:rPr>
                  <w:i/>
                  <w:color w:val="0000FF"/>
                  <w:u w:val="single"/>
                </w:rPr>
                <w:t>Radoslava.Stefankova@eesc.europa.eu</w:t>
              </w:r>
            </w:hyperlink>
          </w:p>
          <w:p w14:paraId="0D4503F1" w14:textId="77777777" w:rsidR="00426604" w:rsidRPr="00426604" w:rsidRDefault="00426604" w:rsidP="00426604">
            <w:pPr>
              <w:overflowPunct w:val="0"/>
              <w:autoSpaceDE w:val="0"/>
              <w:autoSpaceDN w:val="0"/>
              <w:adjustRightInd w:val="0"/>
              <w:spacing w:line="240" w:lineRule="auto"/>
              <w:textAlignment w:val="baseline"/>
              <w:rPr>
                <w:i/>
              </w:rPr>
            </w:pPr>
          </w:p>
        </w:tc>
      </w:tr>
    </w:tbl>
    <w:p w14:paraId="45F867FE" w14:textId="6F56A0E6" w:rsidR="00426604" w:rsidRDefault="00426604" w:rsidP="001766B2">
      <w:pPr>
        <w:pStyle w:val="ListParagraph"/>
        <w:ind w:left="0"/>
      </w:pPr>
    </w:p>
    <w:p w14:paraId="696781BA" w14:textId="77777777" w:rsidR="00426604" w:rsidRDefault="00426604">
      <w:pPr>
        <w:spacing w:after="160" w:line="259" w:lineRule="auto"/>
        <w:jc w:val="left"/>
      </w:pPr>
      <w:r>
        <w:br w:type="page"/>
      </w:r>
    </w:p>
    <w:p w14:paraId="1F8A3A37" w14:textId="5333A48E" w:rsidR="00A83352" w:rsidRPr="00A83352" w:rsidRDefault="00651F28" w:rsidP="00A83352">
      <w:pPr>
        <w:widowControl w:val="0"/>
        <w:numPr>
          <w:ilvl w:val="0"/>
          <w:numId w:val="4"/>
        </w:numPr>
        <w:overflowPunct w:val="0"/>
        <w:autoSpaceDE w:val="0"/>
        <w:autoSpaceDN w:val="0"/>
        <w:adjustRightInd w:val="0"/>
        <w:ind w:hanging="567"/>
        <w:textAlignment w:val="baseline"/>
        <w:rPr>
          <w:sz w:val="20"/>
          <w:szCs w:val="20"/>
        </w:rPr>
      </w:pPr>
      <w:hyperlink r:id="rId43" w:history="1">
        <w:r>
          <w:rPr>
            <w:b/>
            <w:i/>
            <w:color w:val="0000FF"/>
            <w:sz w:val="28"/>
            <w:u w:val="single"/>
          </w:rPr>
          <w:t>Akt o cyberbezpieczeństwie</w:t>
        </w:r>
      </w:hyperlink>
    </w:p>
    <w:p w14:paraId="14E814B1" w14:textId="77777777" w:rsidR="00A83352" w:rsidRPr="00A83352" w:rsidRDefault="00A83352" w:rsidP="00A83352">
      <w:pPr>
        <w:tabs>
          <w:tab w:val="center" w:pos="284"/>
        </w:tabs>
        <w:overflowPunct w:val="0"/>
        <w:autoSpaceDE w:val="0"/>
        <w:autoSpaceDN w:val="0"/>
        <w:adjustRightInd w:val="0"/>
        <w:ind w:left="266" w:hanging="266"/>
        <w:textAlignment w:val="baseline"/>
        <w:rPr>
          <w:b/>
          <w:lang w:val="en-GB"/>
        </w:rPr>
      </w:pPr>
    </w:p>
    <w:tbl>
      <w:tblPr>
        <w:tblStyle w:val="TableGrid27"/>
        <w:tblpPr w:leftFromText="141" w:rightFromText="141" w:vertAnchor="text" w:tblpX="142"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946"/>
      </w:tblGrid>
      <w:tr w:rsidR="007A3096" w:rsidRPr="007A3096" w14:paraId="73A340D2" w14:textId="77777777" w:rsidTr="00B56575">
        <w:tc>
          <w:tcPr>
            <w:tcW w:w="1701" w:type="dxa"/>
          </w:tcPr>
          <w:p w14:paraId="189AB4BF"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Sprawozdawca</w:t>
            </w:r>
          </w:p>
        </w:tc>
        <w:tc>
          <w:tcPr>
            <w:tcW w:w="6946" w:type="dxa"/>
          </w:tcPr>
          <w:p w14:paraId="0214D104" w14:textId="5371BD6F" w:rsidR="007A3096" w:rsidRPr="007A3096" w:rsidRDefault="007A3096" w:rsidP="00B56575">
            <w:pPr>
              <w:tabs>
                <w:tab w:val="center" w:pos="284"/>
              </w:tabs>
              <w:overflowPunct w:val="0"/>
              <w:autoSpaceDE w:val="0"/>
              <w:autoSpaceDN w:val="0"/>
              <w:adjustRightInd w:val="0"/>
              <w:ind w:left="266" w:hanging="266"/>
              <w:textAlignment w:val="baseline"/>
            </w:pPr>
            <w:r>
              <w:t>Miroslav HAJNOŠ (Grupa Pracowników – SK)</w:t>
            </w:r>
          </w:p>
        </w:tc>
      </w:tr>
      <w:tr w:rsidR="007A3096" w:rsidRPr="007A3096" w14:paraId="22A1E3C3" w14:textId="77777777" w:rsidTr="00B56575">
        <w:tc>
          <w:tcPr>
            <w:tcW w:w="8645" w:type="dxa"/>
            <w:gridSpan w:val="2"/>
          </w:tcPr>
          <w:p w14:paraId="58FAA53C" w14:textId="77777777" w:rsidR="007A3096" w:rsidRPr="007A3096" w:rsidRDefault="007A3096" w:rsidP="00B56575">
            <w:pPr>
              <w:tabs>
                <w:tab w:val="center" w:pos="284"/>
              </w:tabs>
              <w:overflowPunct w:val="0"/>
              <w:autoSpaceDE w:val="0"/>
              <w:autoSpaceDN w:val="0"/>
              <w:adjustRightInd w:val="0"/>
              <w:spacing w:line="160" w:lineRule="exact"/>
              <w:ind w:left="266" w:hanging="266"/>
              <w:textAlignment w:val="baseline"/>
            </w:pPr>
          </w:p>
        </w:tc>
      </w:tr>
      <w:tr w:rsidR="007A3096" w:rsidRPr="007A3096" w14:paraId="5EDF0409" w14:textId="77777777" w:rsidTr="00B56575">
        <w:tc>
          <w:tcPr>
            <w:tcW w:w="1701" w:type="dxa"/>
            <w:vMerge w:val="restart"/>
          </w:tcPr>
          <w:p w14:paraId="37AB7812" w14:textId="77777777" w:rsidR="007A3096" w:rsidRPr="007A3096" w:rsidRDefault="007A3096" w:rsidP="00B56575">
            <w:pPr>
              <w:tabs>
                <w:tab w:val="center" w:pos="284"/>
              </w:tabs>
              <w:overflowPunct w:val="0"/>
              <w:autoSpaceDE w:val="0"/>
              <w:autoSpaceDN w:val="0"/>
              <w:adjustRightInd w:val="0"/>
              <w:ind w:left="266" w:hanging="266"/>
              <w:textAlignment w:val="baseline"/>
              <w:rPr>
                <w:b/>
              </w:rPr>
            </w:pPr>
            <w:r>
              <w:rPr>
                <w:b/>
              </w:rPr>
              <w:t>Dokumenty</w:t>
            </w:r>
          </w:p>
        </w:tc>
        <w:tc>
          <w:tcPr>
            <w:tcW w:w="6946" w:type="dxa"/>
          </w:tcPr>
          <w:p w14:paraId="482A2846" w14:textId="4D7D3A98" w:rsidR="007A3096" w:rsidRPr="007A3096" w:rsidRDefault="007A3096" w:rsidP="00B56575">
            <w:pPr>
              <w:tabs>
                <w:tab w:val="center" w:pos="284"/>
              </w:tabs>
              <w:overflowPunct w:val="0"/>
              <w:autoSpaceDE w:val="0"/>
              <w:autoSpaceDN w:val="0"/>
              <w:adjustRightInd w:val="0"/>
              <w:ind w:left="266" w:hanging="266"/>
              <w:textAlignment w:val="baseline"/>
            </w:pPr>
            <w:r>
              <w:t xml:space="preserve">COM(2026) 11 final </w:t>
            </w:r>
          </w:p>
          <w:p w14:paraId="1457E830" w14:textId="583DA8F1" w:rsidR="007A3096" w:rsidRPr="007A3096" w:rsidRDefault="007A3096" w:rsidP="00B56575">
            <w:pPr>
              <w:tabs>
                <w:tab w:val="center" w:pos="284"/>
              </w:tabs>
              <w:overflowPunct w:val="0"/>
              <w:autoSpaceDE w:val="0"/>
              <w:autoSpaceDN w:val="0"/>
              <w:adjustRightInd w:val="0"/>
              <w:ind w:left="266" w:right="1458" w:hanging="266"/>
              <w:textAlignment w:val="baseline"/>
            </w:pPr>
            <w:r>
              <w:t xml:space="preserve">COM(2026) 13 final </w:t>
            </w:r>
          </w:p>
          <w:p w14:paraId="426BA912" w14:textId="77777777" w:rsidR="007A3096" w:rsidRDefault="007A3096" w:rsidP="00B56575">
            <w:pPr>
              <w:tabs>
                <w:tab w:val="center" w:pos="284"/>
              </w:tabs>
              <w:overflowPunct w:val="0"/>
              <w:autoSpaceDE w:val="0"/>
              <w:autoSpaceDN w:val="0"/>
              <w:adjustRightInd w:val="0"/>
              <w:ind w:left="266" w:hanging="266"/>
              <w:textAlignment w:val="baseline"/>
            </w:pPr>
            <w:r>
              <w:t>EESC-2026-00075-00-00-AC</w:t>
            </w:r>
          </w:p>
          <w:p w14:paraId="387C4E93" w14:textId="77777777" w:rsidR="004D2D6F" w:rsidRDefault="004D2D6F" w:rsidP="00843847">
            <w:pPr>
              <w:tabs>
                <w:tab w:val="center" w:pos="-1198"/>
              </w:tabs>
              <w:overflowPunct w:val="0"/>
              <w:autoSpaceDE w:val="0"/>
              <w:autoSpaceDN w:val="0"/>
              <w:adjustRightInd w:val="0"/>
              <w:ind w:left="-1668" w:hanging="1464"/>
              <w:jc w:val="left"/>
              <w:textAlignment w:val="baseline"/>
            </w:pPr>
            <w:r>
              <w:t>EKES:</w:t>
            </w:r>
          </w:p>
          <w:p w14:paraId="0B733C5A" w14:textId="48DD0FA0" w:rsidR="004D2D6F" w:rsidRPr="007A3096" w:rsidRDefault="004D2D6F" w:rsidP="00B56575">
            <w:pPr>
              <w:tabs>
                <w:tab w:val="center" w:pos="284"/>
              </w:tabs>
              <w:overflowPunct w:val="0"/>
              <w:autoSpaceDE w:val="0"/>
              <w:autoSpaceDN w:val="0"/>
              <w:adjustRightInd w:val="0"/>
              <w:ind w:left="266" w:hanging="266"/>
              <w:textAlignment w:val="baseline"/>
              <w:rPr>
                <w:lang w:val="pt-PT"/>
              </w:rPr>
            </w:pPr>
          </w:p>
        </w:tc>
      </w:tr>
      <w:tr w:rsidR="007A3096" w:rsidRPr="007A3096" w14:paraId="281B6DC0" w14:textId="77777777" w:rsidTr="00B56575">
        <w:tc>
          <w:tcPr>
            <w:tcW w:w="1701" w:type="dxa"/>
            <w:vMerge/>
          </w:tcPr>
          <w:p w14:paraId="2CAAC814" w14:textId="77777777" w:rsidR="007A3096" w:rsidRPr="007A3096" w:rsidRDefault="007A3096" w:rsidP="00B56575">
            <w:pPr>
              <w:tabs>
                <w:tab w:val="center" w:pos="284"/>
              </w:tabs>
              <w:overflowPunct w:val="0"/>
              <w:autoSpaceDE w:val="0"/>
              <w:autoSpaceDN w:val="0"/>
              <w:adjustRightInd w:val="0"/>
              <w:ind w:left="266" w:hanging="266"/>
              <w:textAlignment w:val="baseline"/>
              <w:rPr>
                <w:b/>
                <w:lang w:val="pt-PT"/>
              </w:rPr>
            </w:pPr>
          </w:p>
        </w:tc>
        <w:tc>
          <w:tcPr>
            <w:tcW w:w="6946" w:type="dxa"/>
          </w:tcPr>
          <w:p w14:paraId="2ECA75F1" w14:textId="77777777" w:rsidR="00B56575" w:rsidRPr="007A3096" w:rsidRDefault="00B56575" w:rsidP="00B56575">
            <w:pPr>
              <w:tabs>
                <w:tab w:val="center" w:pos="284"/>
              </w:tabs>
              <w:overflowPunct w:val="0"/>
              <w:autoSpaceDE w:val="0"/>
              <w:autoSpaceDN w:val="0"/>
              <w:adjustRightInd w:val="0"/>
              <w:ind w:left="266" w:hanging="2218"/>
              <w:textAlignment w:val="baseline"/>
              <w:rPr>
                <w:lang w:val="pt-PT"/>
              </w:rPr>
            </w:pPr>
          </w:p>
        </w:tc>
      </w:tr>
    </w:tbl>
    <w:p w14:paraId="5A2D7504" w14:textId="026BC9A3" w:rsidR="008676ED" w:rsidRPr="00C95C7D" w:rsidRDefault="008676ED" w:rsidP="00C95C7D">
      <w:pPr>
        <w:widowControl w:val="0"/>
        <w:overflowPunct w:val="0"/>
        <w:autoSpaceDE w:val="0"/>
        <w:autoSpaceDN w:val="0"/>
        <w:adjustRightInd w:val="0"/>
        <w:textAlignment w:val="baseline"/>
        <w:rPr>
          <w:b/>
          <w:iCs/>
        </w:rPr>
      </w:pPr>
      <w:r>
        <w:rPr>
          <w:b/>
        </w:rPr>
        <w:t>Główne punkty</w:t>
      </w:r>
    </w:p>
    <w:p w14:paraId="4EE32F42" w14:textId="77777777" w:rsidR="00C95C7D" w:rsidRDefault="00C95C7D" w:rsidP="00C95C7D">
      <w:pPr>
        <w:widowControl w:val="0"/>
        <w:overflowPunct w:val="0"/>
        <w:autoSpaceDE w:val="0"/>
        <w:autoSpaceDN w:val="0"/>
        <w:adjustRightInd w:val="0"/>
        <w:textAlignment w:val="baseline"/>
        <w:rPr>
          <w:bCs/>
          <w:iCs/>
          <w:lang w:val="en-GB"/>
        </w:rPr>
      </w:pPr>
    </w:p>
    <w:p w14:paraId="34C0B99D" w14:textId="66F2EA90" w:rsidR="008676ED" w:rsidRDefault="008676ED" w:rsidP="008676ED">
      <w:pPr>
        <w:widowControl w:val="0"/>
        <w:overflowPunct w:val="0"/>
        <w:autoSpaceDE w:val="0"/>
        <w:autoSpaceDN w:val="0"/>
        <w:adjustRightInd w:val="0"/>
        <w:textAlignment w:val="baseline"/>
        <w:rPr>
          <w:bCs/>
          <w:iCs/>
        </w:rPr>
      </w:pPr>
      <w:r>
        <w:t xml:space="preserve">EKES: </w:t>
      </w:r>
    </w:p>
    <w:p w14:paraId="484C3E18" w14:textId="77777777" w:rsidR="008676ED" w:rsidRDefault="008676ED" w:rsidP="00C95C7D">
      <w:pPr>
        <w:widowControl w:val="0"/>
        <w:overflowPunct w:val="0"/>
        <w:autoSpaceDE w:val="0"/>
        <w:autoSpaceDN w:val="0"/>
        <w:adjustRightInd w:val="0"/>
        <w:ind w:left="284"/>
        <w:textAlignment w:val="baseline"/>
        <w:rPr>
          <w:bCs/>
          <w:iCs/>
          <w:lang w:val="en-GB"/>
        </w:rPr>
      </w:pPr>
    </w:p>
    <w:p w14:paraId="5EC47414" w14:textId="04B90046" w:rsidR="007A3096" w:rsidRPr="007A3096" w:rsidRDefault="008A47F4" w:rsidP="004C6742">
      <w:pPr>
        <w:widowControl w:val="0"/>
        <w:numPr>
          <w:ilvl w:val="0"/>
          <w:numId w:val="37"/>
        </w:numPr>
        <w:overflowPunct w:val="0"/>
        <w:autoSpaceDE w:val="0"/>
        <w:autoSpaceDN w:val="0"/>
        <w:adjustRightInd w:val="0"/>
        <w:ind w:left="284" w:hanging="284"/>
        <w:textAlignment w:val="baseline"/>
        <w:rPr>
          <w:bCs/>
          <w:iCs/>
        </w:rPr>
      </w:pPr>
      <w:r>
        <w:t xml:space="preserve">Z zadowoleniem przyjmuje przegląd aktu o cyberbezpieczeństwie i wprowadzenie zmian do dyrektywy NIS 2, podkreślając, że cyberbezpieczeństwo należy traktować jako </w:t>
      </w:r>
      <w:r>
        <w:rPr>
          <w:b/>
        </w:rPr>
        <w:t>kluczową kwestię bezpieczeństwa gospodarczego i odporności geopolitycznej</w:t>
      </w:r>
      <w:r>
        <w:t>, przy jednoczesnym uproszczeniu przepisów i zmniejszeniu obciążeń administracyjnych dla przedsiębiorstw.</w:t>
      </w:r>
    </w:p>
    <w:p w14:paraId="31A5FE88"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Apeluje o </w:t>
      </w:r>
      <w:r>
        <w:rPr>
          <w:b/>
        </w:rPr>
        <w:t>silniejszą ENISA dysponującą większymi zasobami</w:t>
      </w:r>
      <w:r>
        <w:t>, jasnym, skonsolidowanym mandatem oraz wystarczającymi środkami finansowymi i personelem, aby mogła skutecznie wypełniać swoje rozszerzone obowiązki, w tym w zakresie rozwoju umiejętności i certyfikacji.</w:t>
      </w:r>
    </w:p>
    <w:p w14:paraId="48226406" w14:textId="4208D68D"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Podkreśla kluczową rolę </w:t>
      </w:r>
      <w:r>
        <w:rPr>
          <w:b/>
        </w:rPr>
        <w:t>umiejętności oraz szkoleń pracownic i pracowników</w:t>
      </w:r>
      <w:r>
        <w:t xml:space="preserve"> dotyczących odporności w zakresie cyberbezpieczeństwa, wspierających ogólnounijne ramy umiejętności i</w:t>
      </w:r>
      <w:r w:rsidR="005C5C88">
        <w:t> </w:t>
      </w:r>
      <w:r>
        <w:t>systemy certyfikacji, przy jednoczesnym zapewnieniu, aby pozostały one praktyczne, skoordynowane i dostępne we wszystkich państwach członkowskich.</w:t>
      </w:r>
    </w:p>
    <w:p w14:paraId="6A6411FE"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Podkreśla rosnące znaczenie cyberbezpieczeństwa dla </w:t>
      </w:r>
      <w:r>
        <w:rPr>
          <w:b/>
        </w:rPr>
        <w:t>odporności demokratycznej</w:t>
      </w:r>
      <w:r>
        <w:t xml:space="preserve"> i wzywa do </w:t>
      </w:r>
      <w:r>
        <w:rPr>
          <w:b/>
        </w:rPr>
        <w:t>ściślejszej koordynacji na szczeblu UE</w:t>
      </w:r>
      <w:r>
        <w:t xml:space="preserve"> w celu ochrony wyborów i infrastruktury krytycznej przed cyberatakami, dezinformacją i ingerencją zagraniczną.</w:t>
      </w:r>
    </w:p>
    <w:p w14:paraId="1C1338FC" w14:textId="77777777"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Popiera </w:t>
      </w:r>
      <w:r>
        <w:rPr>
          <w:b/>
        </w:rPr>
        <w:t>usprawnione i skuteczne ramy certyfikacji</w:t>
      </w:r>
      <w:r>
        <w:t>, oparte na podejściu „certyfikowane raz, certyfikowane wszędzie”, zapewniające jasność prawa, przejrzystość i proporcjonalność, zwłaszcza dla MŚP i podmiotów transgranicznych.</w:t>
      </w:r>
    </w:p>
    <w:p w14:paraId="287DCAC1" w14:textId="36857FC5" w:rsidR="007A3096" w:rsidRPr="007A3096" w:rsidRDefault="007A3096" w:rsidP="004C6742">
      <w:pPr>
        <w:widowControl w:val="0"/>
        <w:numPr>
          <w:ilvl w:val="0"/>
          <w:numId w:val="37"/>
        </w:numPr>
        <w:overflowPunct w:val="0"/>
        <w:autoSpaceDE w:val="0"/>
        <w:autoSpaceDN w:val="0"/>
        <w:adjustRightInd w:val="0"/>
        <w:ind w:left="284" w:hanging="284"/>
        <w:textAlignment w:val="baseline"/>
        <w:rPr>
          <w:bCs/>
          <w:iCs/>
        </w:rPr>
      </w:pPr>
      <w:r>
        <w:t xml:space="preserve">Apeluje o </w:t>
      </w:r>
      <w:r>
        <w:rPr>
          <w:b/>
        </w:rPr>
        <w:t>zrównoważone podejście do bezpieczeństwa łańcucha dostaw ICT</w:t>
      </w:r>
      <w:r>
        <w:t>, obejmujące przejrzyste środki oparte na analizie ryzyka oraz pełną ocenę skutków gospodarczych, operacyjnych i społecznych, przy jednoczesnym unikaniu nadmiernych obciążeń związanych z</w:t>
      </w:r>
      <w:r w:rsidR="005C5C88">
        <w:t> </w:t>
      </w:r>
      <w:r>
        <w:t>przestrzeganiem przepisów i zapewnieniu silnego zaangażowania partnerów społecznych i</w:t>
      </w:r>
      <w:r w:rsidR="005C5C88">
        <w:t> </w:t>
      </w:r>
      <w:r>
        <w:t>zainteresowanych stron.</w:t>
      </w:r>
    </w:p>
    <w:p w14:paraId="0CA060C5" w14:textId="77777777" w:rsidR="00251ADD" w:rsidRPr="00A83352" w:rsidRDefault="00251ADD" w:rsidP="00212AD9">
      <w:pPr>
        <w:widowControl w:val="0"/>
        <w:overflowPunct w:val="0"/>
        <w:autoSpaceDE w:val="0"/>
        <w:autoSpaceDN w:val="0"/>
        <w:adjustRightInd w:val="0"/>
        <w:ind w:left="709" w:hanging="567"/>
        <w:textAlignment w:val="baseline"/>
        <w:rPr>
          <w:szCs w:val="20"/>
          <w:lang w:val="en-GB"/>
        </w:rPr>
      </w:pP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A83352" w:rsidRPr="00A83352" w14:paraId="6378B503" w14:textId="77777777" w:rsidTr="002E7EFB">
        <w:tc>
          <w:tcPr>
            <w:tcW w:w="1418" w:type="dxa"/>
          </w:tcPr>
          <w:p w14:paraId="76B1935C" w14:textId="77777777" w:rsidR="00A83352" w:rsidRPr="00A83352" w:rsidRDefault="00A83352" w:rsidP="00A83352">
            <w:pPr>
              <w:overflowPunct w:val="0"/>
              <w:autoSpaceDE w:val="0"/>
              <w:autoSpaceDN w:val="0"/>
              <w:adjustRightInd w:val="0"/>
              <w:spacing w:line="240" w:lineRule="auto"/>
              <w:textAlignment w:val="baseline"/>
              <w:rPr>
                <w:i/>
              </w:rPr>
            </w:pPr>
            <w:r>
              <w:rPr>
                <w:b/>
                <w:i/>
              </w:rPr>
              <w:t>Kontakt</w:t>
            </w:r>
          </w:p>
        </w:tc>
        <w:tc>
          <w:tcPr>
            <w:tcW w:w="5670" w:type="dxa"/>
          </w:tcPr>
          <w:p w14:paraId="156F2204" w14:textId="77777777" w:rsidR="00A83352" w:rsidRPr="00A83352" w:rsidRDefault="00A83352" w:rsidP="00A83352">
            <w:pPr>
              <w:overflowPunct w:val="0"/>
              <w:autoSpaceDE w:val="0"/>
              <w:autoSpaceDN w:val="0"/>
              <w:adjustRightInd w:val="0"/>
              <w:spacing w:line="240" w:lineRule="auto"/>
              <w:textAlignment w:val="baseline"/>
              <w:rPr>
                <w:i/>
              </w:rPr>
            </w:pPr>
            <w:r>
              <w:rPr>
                <w:i/>
              </w:rPr>
              <w:t>Silvia Staffa</w:t>
            </w:r>
          </w:p>
        </w:tc>
      </w:tr>
      <w:tr w:rsidR="00A83352" w:rsidRPr="00A83352" w14:paraId="3427545F" w14:textId="77777777" w:rsidTr="002E7EFB">
        <w:tc>
          <w:tcPr>
            <w:tcW w:w="1418" w:type="dxa"/>
          </w:tcPr>
          <w:p w14:paraId="28C531D2" w14:textId="77777777" w:rsidR="00A83352" w:rsidRPr="00A83352" w:rsidRDefault="00A83352" w:rsidP="00A83352">
            <w:pPr>
              <w:overflowPunct w:val="0"/>
              <w:autoSpaceDE w:val="0"/>
              <w:autoSpaceDN w:val="0"/>
              <w:adjustRightInd w:val="0"/>
              <w:spacing w:line="240" w:lineRule="auto"/>
              <w:textAlignment w:val="baseline"/>
              <w:rPr>
                <w:i/>
              </w:rPr>
            </w:pPr>
            <w:r>
              <w:rPr>
                <w:i/>
              </w:rPr>
              <w:t>tel.</w:t>
            </w:r>
          </w:p>
        </w:tc>
        <w:tc>
          <w:tcPr>
            <w:tcW w:w="5670" w:type="dxa"/>
          </w:tcPr>
          <w:p w14:paraId="30151730" w14:textId="77777777" w:rsidR="00A83352" w:rsidRPr="00A83352" w:rsidRDefault="00A83352" w:rsidP="00A83352">
            <w:pPr>
              <w:overflowPunct w:val="0"/>
              <w:autoSpaceDE w:val="0"/>
              <w:autoSpaceDN w:val="0"/>
              <w:adjustRightInd w:val="0"/>
              <w:spacing w:line="240" w:lineRule="auto"/>
              <w:textAlignment w:val="baseline"/>
              <w:rPr>
                <w:i/>
              </w:rPr>
            </w:pPr>
            <w:r>
              <w:rPr>
                <w:i/>
              </w:rPr>
              <w:t>+32 25468378</w:t>
            </w:r>
          </w:p>
        </w:tc>
      </w:tr>
      <w:tr w:rsidR="00A83352" w:rsidRPr="00A83352" w14:paraId="72DC4E78" w14:textId="77777777" w:rsidTr="002E7EFB">
        <w:tc>
          <w:tcPr>
            <w:tcW w:w="1418" w:type="dxa"/>
          </w:tcPr>
          <w:p w14:paraId="63DC825F" w14:textId="77777777" w:rsidR="00A83352" w:rsidRPr="00A83352" w:rsidRDefault="00A83352" w:rsidP="00A83352">
            <w:pPr>
              <w:overflowPunct w:val="0"/>
              <w:autoSpaceDE w:val="0"/>
              <w:autoSpaceDN w:val="0"/>
              <w:adjustRightInd w:val="0"/>
              <w:spacing w:line="240" w:lineRule="auto"/>
              <w:textAlignment w:val="baseline"/>
              <w:rPr>
                <w:i/>
              </w:rPr>
            </w:pPr>
            <w:r>
              <w:rPr>
                <w:i/>
              </w:rPr>
              <w:t>e-mail</w:t>
            </w:r>
          </w:p>
        </w:tc>
        <w:tc>
          <w:tcPr>
            <w:tcW w:w="5670" w:type="dxa"/>
          </w:tcPr>
          <w:p w14:paraId="1D8269C1" w14:textId="5ABD7D97" w:rsidR="00A83352" w:rsidRPr="00A83352" w:rsidRDefault="00651F28" w:rsidP="00A83352">
            <w:pPr>
              <w:overflowPunct w:val="0"/>
              <w:autoSpaceDE w:val="0"/>
              <w:autoSpaceDN w:val="0"/>
              <w:adjustRightInd w:val="0"/>
              <w:spacing w:line="240" w:lineRule="auto"/>
              <w:textAlignment w:val="baseline"/>
              <w:rPr>
                <w:i/>
              </w:rPr>
            </w:pPr>
            <w:hyperlink r:id="rId44" w:history="1">
              <w:r>
                <w:rPr>
                  <w:i/>
                  <w:color w:val="0000FF"/>
                  <w:u w:val="single"/>
                </w:rPr>
                <w:t>Silvia.Staffa@eesc.europa.eu</w:t>
              </w:r>
            </w:hyperlink>
          </w:p>
          <w:p w14:paraId="2F1FD287" w14:textId="77777777" w:rsidR="00A83352" w:rsidRPr="00A83352" w:rsidRDefault="00A83352" w:rsidP="00A83352">
            <w:pPr>
              <w:overflowPunct w:val="0"/>
              <w:autoSpaceDE w:val="0"/>
              <w:autoSpaceDN w:val="0"/>
              <w:adjustRightInd w:val="0"/>
              <w:spacing w:line="240" w:lineRule="auto"/>
              <w:textAlignment w:val="baseline"/>
              <w:rPr>
                <w:i/>
              </w:rPr>
            </w:pPr>
          </w:p>
        </w:tc>
      </w:tr>
    </w:tbl>
    <w:p w14:paraId="1735359E" w14:textId="7BC358BF" w:rsidR="00A83352" w:rsidRDefault="00A83352" w:rsidP="001766B2">
      <w:pPr>
        <w:pStyle w:val="ListParagraph"/>
        <w:ind w:left="0"/>
      </w:pPr>
    </w:p>
    <w:p w14:paraId="10308D54" w14:textId="77777777" w:rsidR="00A83352" w:rsidRDefault="00A83352">
      <w:pPr>
        <w:spacing w:after="160" w:line="259" w:lineRule="auto"/>
        <w:jc w:val="left"/>
      </w:pPr>
      <w:r>
        <w:br w:type="page"/>
      </w:r>
    </w:p>
    <w:p w14:paraId="67EB829A" w14:textId="255051A5" w:rsidR="00665940" w:rsidRPr="00665940" w:rsidRDefault="00651F28" w:rsidP="00665940">
      <w:pPr>
        <w:widowControl w:val="0"/>
        <w:numPr>
          <w:ilvl w:val="0"/>
          <w:numId w:val="4"/>
        </w:numPr>
        <w:overflowPunct w:val="0"/>
        <w:autoSpaceDE w:val="0"/>
        <w:autoSpaceDN w:val="0"/>
        <w:adjustRightInd w:val="0"/>
        <w:ind w:hanging="567"/>
        <w:textAlignment w:val="baseline"/>
        <w:rPr>
          <w:sz w:val="20"/>
          <w:szCs w:val="20"/>
        </w:rPr>
      </w:pPr>
      <w:hyperlink r:id="rId45" w:history="1">
        <w:r>
          <w:rPr>
            <w:b/>
            <w:i/>
            <w:color w:val="0000FF"/>
            <w:sz w:val="28"/>
            <w:u w:val="single"/>
          </w:rPr>
          <w:t>Utworzenie europejskiego centrum doskonałości klinicznej w dziedzinie produktów farmaceutycznych</w:t>
        </w:r>
      </w:hyperlink>
    </w:p>
    <w:p w14:paraId="50FE4DFF" w14:textId="77777777" w:rsidR="00665940" w:rsidRPr="00665940" w:rsidRDefault="00665940" w:rsidP="00665940">
      <w:pPr>
        <w:tabs>
          <w:tab w:val="center" w:pos="284"/>
        </w:tabs>
        <w:overflowPunct w:val="0"/>
        <w:autoSpaceDE w:val="0"/>
        <w:autoSpaceDN w:val="0"/>
        <w:adjustRightInd w:val="0"/>
        <w:ind w:left="266" w:hanging="266"/>
        <w:textAlignment w:val="baseline"/>
        <w:rPr>
          <w:b/>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665940" w:rsidRPr="00665940" w14:paraId="42EBD1F0" w14:textId="77777777" w:rsidTr="004C6742">
        <w:tc>
          <w:tcPr>
            <w:tcW w:w="1701" w:type="dxa"/>
          </w:tcPr>
          <w:p w14:paraId="470319BC"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Sprawozdawca</w:t>
            </w:r>
          </w:p>
        </w:tc>
        <w:tc>
          <w:tcPr>
            <w:tcW w:w="6663" w:type="dxa"/>
          </w:tcPr>
          <w:p w14:paraId="5CFF22ED" w14:textId="4F642785" w:rsidR="00665940" w:rsidRPr="00665940" w:rsidRDefault="00665940" w:rsidP="00665940">
            <w:pPr>
              <w:tabs>
                <w:tab w:val="center" w:pos="284"/>
              </w:tabs>
              <w:overflowPunct w:val="0"/>
              <w:autoSpaceDE w:val="0"/>
              <w:autoSpaceDN w:val="0"/>
              <w:adjustRightInd w:val="0"/>
              <w:ind w:left="266" w:hanging="266"/>
              <w:textAlignment w:val="baseline"/>
            </w:pPr>
            <w:r>
              <w:t>Weselin MITOW (Grupa Pracowników – BG)</w:t>
            </w:r>
          </w:p>
        </w:tc>
      </w:tr>
      <w:tr w:rsidR="00665940" w:rsidRPr="00665940" w14:paraId="4D35B05F" w14:textId="77777777" w:rsidTr="004C6742">
        <w:tc>
          <w:tcPr>
            <w:tcW w:w="8364" w:type="dxa"/>
            <w:gridSpan w:val="2"/>
          </w:tcPr>
          <w:p w14:paraId="6BE1B6FB" w14:textId="77777777" w:rsidR="00665940" w:rsidRPr="00665940" w:rsidRDefault="00665940" w:rsidP="00665940">
            <w:pPr>
              <w:tabs>
                <w:tab w:val="center" w:pos="284"/>
              </w:tabs>
              <w:overflowPunct w:val="0"/>
              <w:autoSpaceDE w:val="0"/>
              <w:autoSpaceDN w:val="0"/>
              <w:adjustRightInd w:val="0"/>
              <w:spacing w:line="160" w:lineRule="exact"/>
              <w:ind w:left="266" w:hanging="266"/>
              <w:textAlignment w:val="baseline"/>
            </w:pPr>
          </w:p>
        </w:tc>
      </w:tr>
      <w:tr w:rsidR="00665940" w:rsidRPr="00665940" w14:paraId="5F1B7447" w14:textId="77777777" w:rsidTr="004C6742">
        <w:trPr>
          <w:trHeight w:val="404"/>
        </w:trPr>
        <w:tc>
          <w:tcPr>
            <w:tcW w:w="1701" w:type="dxa"/>
          </w:tcPr>
          <w:p w14:paraId="1FBC09A6" w14:textId="77777777" w:rsidR="00665940" w:rsidRPr="00665940" w:rsidRDefault="00665940" w:rsidP="00665940">
            <w:pPr>
              <w:tabs>
                <w:tab w:val="center" w:pos="284"/>
              </w:tabs>
              <w:overflowPunct w:val="0"/>
              <w:autoSpaceDE w:val="0"/>
              <w:autoSpaceDN w:val="0"/>
              <w:adjustRightInd w:val="0"/>
              <w:ind w:left="266" w:hanging="266"/>
              <w:textAlignment w:val="baseline"/>
              <w:rPr>
                <w:b/>
              </w:rPr>
            </w:pPr>
            <w:r>
              <w:rPr>
                <w:b/>
              </w:rPr>
              <w:t>Dokumenty</w:t>
            </w:r>
          </w:p>
        </w:tc>
        <w:tc>
          <w:tcPr>
            <w:tcW w:w="6663" w:type="dxa"/>
          </w:tcPr>
          <w:p w14:paraId="0BCAF6AE" w14:textId="03E7889E" w:rsidR="00665940" w:rsidRPr="00665940" w:rsidRDefault="00665940" w:rsidP="00F170AA">
            <w:pPr>
              <w:tabs>
                <w:tab w:val="center" w:pos="284"/>
              </w:tabs>
              <w:overflowPunct w:val="0"/>
              <w:autoSpaceDE w:val="0"/>
              <w:autoSpaceDN w:val="0"/>
              <w:adjustRightInd w:val="0"/>
              <w:ind w:left="266" w:right="-254" w:hanging="266"/>
              <w:textAlignment w:val="baseline"/>
            </w:pPr>
            <w:r>
              <w:t>Opinia rozpoznawcza na wniosek cypryjskiej prezydencji Rady UE</w:t>
            </w:r>
          </w:p>
          <w:p w14:paraId="04662EBB" w14:textId="504CF421" w:rsidR="00665940" w:rsidRPr="00665940" w:rsidRDefault="00665940" w:rsidP="00665940">
            <w:pPr>
              <w:tabs>
                <w:tab w:val="center" w:pos="284"/>
              </w:tabs>
              <w:overflowPunct w:val="0"/>
              <w:autoSpaceDE w:val="0"/>
              <w:autoSpaceDN w:val="0"/>
              <w:adjustRightInd w:val="0"/>
              <w:ind w:left="266" w:hanging="266"/>
              <w:textAlignment w:val="baseline"/>
            </w:pPr>
            <w:r>
              <w:t>EESC-2025-03937-00-00-AC</w:t>
            </w:r>
          </w:p>
        </w:tc>
      </w:tr>
    </w:tbl>
    <w:p w14:paraId="3B48B869" w14:textId="77777777" w:rsidR="00665940" w:rsidRPr="00665940" w:rsidRDefault="00665940" w:rsidP="00665940">
      <w:pPr>
        <w:tabs>
          <w:tab w:val="center" w:pos="284"/>
        </w:tabs>
        <w:overflowPunct w:val="0"/>
        <w:autoSpaceDE w:val="0"/>
        <w:autoSpaceDN w:val="0"/>
        <w:adjustRightInd w:val="0"/>
        <w:ind w:left="266" w:hanging="266"/>
        <w:textAlignment w:val="baseline"/>
      </w:pPr>
    </w:p>
    <w:p w14:paraId="6FD76E3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rPr>
      </w:pPr>
      <w:r>
        <w:rPr>
          <w:b/>
        </w:rPr>
        <w:t>Główne punkty</w:t>
      </w:r>
    </w:p>
    <w:p w14:paraId="36ABCDD5" w14:textId="77777777" w:rsidR="00665940" w:rsidRPr="00665940" w:rsidRDefault="00665940" w:rsidP="00665940">
      <w:pPr>
        <w:keepNext/>
        <w:keepLines/>
        <w:tabs>
          <w:tab w:val="center" w:pos="284"/>
        </w:tabs>
        <w:overflowPunct w:val="0"/>
        <w:autoSpaceDE w:val="0"/>
        <w:autoSpaceDN w:val="0"/>
        <w:adjustRightInd w:val="0"/>
        <w:ind w:left="266" w:hanging="266"/>
        <w:textAlignment w:val="baseline"/>
        <w:rPr>
          <w:b/>
          <w:lang w:val="en-GB"/>
        </w:rPr>
      </w:pPr>
    </w:p>
    <w:p w14:paraId="7804317A" w14:textId="77777777" w:rsidR="00665940" w:rsidRPr="00665940" w:rsidRDefault="00665940" w:rsidP="00665940">
      <w:pPr>
        <w:overflowPunct w:val="0"/>
        <w:autoSpaceDE w:val="0"/>
        <w:autoSpaceDN w:val="0"/>
        <w:adjustRightInd w:val="0"/>
        <w:textAlignment w:val="baseline"/>
        <w:rPr>
          <w:bCs/>
          <w:iCs/>
        </w:rPr>
      </w:pPr>
      <w:r>
        <w:t>EKES:</w:t>
      </w:r>
    </w:p>
    <w:p w14:paraId="53EB1200" w14:textId="77777777" w:rsidR="00665940" w:rsidRPr="00665940" w:rsidRDefault="00665940" w:rsidP="00665940">
      <w:pPr>
        <w:overflowPunct w:val="0"/>
        <w:autoSpaceDE w:val="0"/>
        <w:autoSpaceDN w:val="0"/>
        <w:adjustRightInd w:val="0"/>
        <w:textAlignment w:val="baseline"/>
        <w:rPr>
          <w:bCs/>
          <w:iCs/>
          <w:lang w:val="en-GB"/>
        </w:rPr>
      </w:pPr>
    </w:p>
    <w:p w14:paraId="7C1E6D6D"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Zaleca ustanowienie europejskiego centrum doskonałości klinicznej (ECCE) jako unijnego organu referencyjnego, który w sposób niewiążący przekładałby dowody naukowe na wysokiej jakości wytyczne kliniczne, przy pełnym poszanowaniu pomocniczości i proporcjonalności oraz promowaniu sprawiedliwego dostępu do opieki w całej UE.</w:t>
      </w:r>
    </w:p>
    <w:p w14:paraId="3658F039"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Sądzi, że ECCE powinno być elementem szerszej unijnej strategii na rzecz odporności systemów zdrowotnych, mającej pobudzić współpracę naukową, wykorzystanie innowacji i strategiczną autonomię UE.</w:t>
      </w:r>
    </w:p>
    <w:p w14:paraId="0D049DD7"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Uważa, że ECCE powinno uzupełniać, a nie zastępować istniejące struktury unijne i krajowe, służyć jako wspólny naukowy punkt odniesienia i działać w silnych ramach zarządzania.</w:t>
      </w:r>
    </w:p>
    <w:p w14:paraId="05280080" w14:textId="6245A06B" w:rsidR="00665940" w:rsidRPr="00665940" w:rsidRDefault="00665940" w:rsidP="004C6742">
      <w:pPr>
        <w:widowControl w:val="0"/>
        <w:numPr>
          <w:ilvl w:val="0"/>
          <w:numId w:val="38"/>
        </w:numPr>
        <w:overflowPunct w:val="0"/>
        <w:autoSpaceDE w:val="0"/>
        <w:autoSpaceDN w:val="0"/>
        <w:adjustRightInd w:val="0"/>
        <w:ind w:left="426" w:hanging="426"/>
        <w:textAlignment w:val="baseline"/>
        <w:rPr>
          <w:bCs/>
          <w:iCs/>
        </w:rPr>
      </w:pPr>
      <w:r>
        <w:t>Jest zdania, że mandat ECCE powinien być jasno zdefiniowany i koncentrować się na doskonałości naukowej, przejrzystości i praktycznym zastosowaniu. Centrum ma zajmować się przede wszystkim systematyczną analizą i syntezą danych klinicznych, w tym i wspólnych ocen klinicznych oraz dowodów zebranych w warunkach rzeczywistej praktyki klinicznej. Powinno ono opracowywać niewiążące, oparte na dowodach zalecenia dotyczące farmakoterapii i</w:t>
      </w:r>
      <w:r w:rsidR="005C5C88">
        <w:t> </w:t>
      </w:r>
      <w:r>
        <w:t>protokoły kliniczne, które ułatwią krajowe procesy decyzyjne.</w:t>
      </w:r>
    </w:p>
    <w:p w14:paraId="6AA7D53C"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pPr>
      <w:r>
        <w:t>Zaleca ustanowienie ECCE jako nowego zdecentralizowanego organu UE w celu zapewnienia spójności naukowej, ciągłości instytucjonalnej i niezależności. ECCE powinno być zarządzane według wyważonego, wielowarstwowego modelu, który łączy państwa członkowskie, Komisję Europejską i zorganizowane społeczeństwo obywatelskie.</w:t>
      </w:r>
    </w:p>
    <w:p w14:paraId="43AC5B7A" w14:textId="77777777" w:rsidR="00665940" w:rsidRPr="00665940" w:rsidRDefault="00665940" w:rsidP="004C6742">
      <w:pPr>
        <w:widowControl w:val="0"/>
        <w:numPr>
          <w:ilvl w:val="0"/>
          <w:numId w:val="38"/>
        </w:numPr>
        <w:overflowPunct w:val="0"/>
        <w:autoSpaceDE w:val="0"/>
        <w:autoSpaceDN w:val="0"/>
        <w:adjustRightInd w:val="0"/>
        <w:ind w:left="426" w:hanging="426"/>
        <w:textAlignment w:val="baseline"/>
        <w:rPr>
          <w:rFonts w:asciiTheme="minorHAnsi" w:hAnsiTheme="minorHAnsi"/>
          <w:szCs w:val="20"/>
        </w:rPr>
      </w:pPr>
      <w:r>
        <w:t>Uważa, że stabilne, odpowiednie i przewidywalne finansowanie z budżetu UE jest podstawowym warunkiem wiarygodności, niezależności i długoterminowej skuteczności ECCE. Wszelkie finansowanie uzupełniające musi być ściśle uregulowane i w pełni przejrzyste, aby zapobiec nadmiernemu wpływowi na wyniki badań naukowych.</w:t>
      </w:r>
    </w:p>
    <w:p w14:paraId="457BFD9C" w14:textId="77777777" w:rsidR="001D292C" w:rsidRPr="00665940" w:rsidRDefault="001D292C" w:rsidP="00665940">
      <w:pPr>
        <w:widowControl w:val="0"/>
        <w:overflowPunct w:val="0"/>
        <w:autoSpaceDE w:val="0"/>
        <w:autoSpaceDN w:val="0"/>
        <w:adjustRightInd w:val="0"/>
        <w:ind w:left="709"/>
        <w:textAlignment w:val="baseline"/>
        <w:rPr>
          <w:szCs w:val="20"/>
          <w:lang w:val="en-GB"/>
        </w:rPr>
      </w:pP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665940" w:rsidRPr="00665940" w14:paraId="62BF535A" w14:textId="77777777" w:rsidTr="002E7EFB">
        <w:tc>
          <w:tcPr>
            <w:tcW w:w="1418" w:type="dxa"/>
          </w:tcPr>
          <w:p w14:paraId="5C60B303" w14:textId="77777777" w:rsidR="00665940" w:rsidRPr="00665940" w:rsidRDefault="00665940" w:rsidP="00665940">
            <w:pPr>
              <w:overflowPunct w:val="0"/>
              <w:autoSpaceDE w:val="0"/>
              <w:autoSpaceDN w:val="0"/>
              <w:adjustRightInd w:val="0"/>
              <w:spacing w:line="240" w:lineRule="auto"/>
              <w:textAlignment w:val="baseline"/>
              <w:rPr>
                <w:i/>
              </w:rPr>
            </w:pPr>
            <w:r>
              <w:rPr>
                <w:b/>
                <w:i/>
              </w:rPr>
              <w:t>Kontakt</w:t>
            </w:r>
          </w:p>
        </w:tc>
        <w:tc>
          <w:tcPr>
            <w:tcW w:w="5670" w:type="dxa"/>
          </w:tcPr>
          <w:p w14:paraId="04C05D13" w14:textId="77777777" w:rsidR="00665940" w:rsidRPr="00665940" w:rsidRDefault="00665940" w:rsidP="00665940">
            <w:pPr>
              <w:overflowPunct w:val="0"/>
              <w:autoSpaceDE w:val="0"/>
              <w:autoSpaceDN w:val="0"/>
              <w:adjustRightInd w:val="0"/>
              <w:spacing w:line="240" w:lineRule="auto"/>
              <w:textAlignment w:val="baseline"/>
              <w:rPr>
                <w:i/>
              </w:rPr>
            </w:pPr>
            <w:r>
              <w:rPr>
                <w:i/>
              </w:rPr>
              <w:t>Radoslava Stefankova</w:t>
            </w:r>
          </w:p>
        </w:tc>
      </w:tr>
      <w:tr w:rsidR="00665940" w:rsidRPr="00665940" w14:paraId="50843905" w14:textId="77777777" w:rsidTr="002E7EFB">
        <w:tc>
          <w:tcPr>
            <w:tcW w:w="1418" w:type="dxa"/>
          </w:tcPr>
          <w:p w14:paraId="60ED9F66" w14:textId="77777777" w:rsidR="00665940" w:rsidRPr="00665940" w:rsidRDefault="00665940" w:rsidP="00665940">
            <w:pPr>
              <w:overflowPunct w:val="0"/>
              <w:autoSpaceDE w:val="0"/>
              <w:autoSpaceDN w:val="0"/>
              <w:adjustRightInd w:val="0"/>
              <w:spacing w:line="240" w:lineRule="auto"/>
              <w:textAlignment w:val="baseline"/>
              <w:rPr>
                <w:i/>
              </w:rPr>
            </w:pPr>
            <w:r>
              <w:rPr>
                <w:i/>
              </w:rPr>
              <w:t>tel.</w:t>
            </w:r>
          </w:p>
        </w:tc>
        <w:tc>
          <w:tcPr>
            <w:tcW w:w="5670" w:type="dxa"/>
          </w:tcPr>
          <w:p w14:paraId="170907FD" w14:textId="77777777" w:rsidR="00665940" w:rsidRPr="00665940" w:rsidRDefault="00665940" w:rsidP="00665940">
            <w:pPr>
              <w:overflowPunct w:val="0"/>
              <w:autoSpaceDE w:val="0"/>
              <w:autoSpaceDN w:val="0"/>
              <w:adjustRightInd w:val="0"/>
              <w:spacing w:line="240" w:lineRule="auto"/>
              <w:textAlignment w:val="baseline"/>
              <w:rPr>
                <w:i/>
              </w:rPr>
            </w:pPr>
            <w:r>
              <w:rPr>
                <w:i/>
              </w:rPr>
              <w:t>+32 25468188</w:t>
            </w:r>
          </w:p>
        </w:tc>
      </w:tr>
      <w:tr w:rsidR="00665940" w:rsidRPr="00665940" w14:paraId="7215EA9F" w14:textId="77777777" w:rsidTr="002E7EFB">
        <w:tc>
          <w:tcPr>
            <w:tcW w:w="1418" w:type="dxa"/>
          </w:tcPr>
          <w:p w14:paraId="7B8C52EC" w14:textId="333E7586" w:rsidR="00665940" w:rsidRPr="00665940" w:rsidRDefault="0019037A" w:rsidP="00665940">
            <w:pPr>
              <w:overflowPunct w:val="0"/>
              <w:autoSpaceDE w:val="0"/>
              <w:autoSpaceDN w:val="0"/>
              <w:adjustRightInd w:val="0"/>
              <w:spacing w:line="240" w:lineRule="auto"/>
              <w:textAlignment w:val="baseline"/>
              <w:rPr>
                <w:i/>
              </w:rPr>
            </w:pPr>
            <w:r>
              <w:rPr>
                <w:i/>
              </w:rPr>
              <w:t>e-mail</w:t>
            </w:r>
          </w:p>
        </w:tc>
        <w:tc>
          <w:tcPr>
            <w:tcW w:w="5670" w:type="dxa"/>
          </w:tcPr>
          <w:p w14:paraId="51562D55" w14:textId="0EB4360B" w:rsidR="00665940" w:rsidRPr="00665940" w:rsidRDefault="00651F28" w:rsidP="00665940">
            <w:pPr>
              <w:overflowPunct w:val="0"/>
              <w:autoSpaceDE w:val="0"/>
              <w:autoSpaceDN w:val="0"/>
              <w:adjustRightInd w:val="0"/>
              <w:spacing w:line="240" w:lineRule="auto"/>
              <w:textAlignment w:val="baseline"/>
              <w:rPr>
                <w:i/>
              </w:rPr>
            </w:pPr>
            <w:hyperlink r:id="rId46" w:history="1">
              <w:r>
                <w:rPr>
                  <w:i/>
                  <w:color w:val="0000FF"/>
                  <w:u w:val="single"/>
                </w:rPr>
                <w:t>Radoslava.Stefankova@eesc.europa.eu</w:t>
              </w:r>
            </w:hyperlink>
          </w:p>
        </w:tc>
      </w:tr>
    </w:tbl>
    <w:p w14:paraId="57693FD9" w14:textId="6D060F2B" w:rsidR="00665940" w:rsidRDefault="00665940" w:rsidP="001766B2">
      <w:pPr>
        <w:pStyle w:val="ListParagraph"/>
        <w:ind w:left="0"/>
      </w:pPr>
    </w:p>
    <w:p w14:paraId="1C80C6A1" w14:textId="77777777" w:rsidR="00665940" w:rsidRDefault="00665940">
      <w:pPr>
        <w:spacing w:after="160" w:line="259" w:lineRule="auto"/>
        <w:jc w:val="left"/>
      </w:pPr>
      <w:r>
        <w:br w:type="page"/>
      </w:r>
    </w:p>
    <w:p w14:paraId="38DDDDCE" w14:textId="739C9AF8" w:rsidR="00445258" w:rsidRPr="00445258" w:rsidRDefault="00445258"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47" w:tgtFrame="_blank" w:history="1">
        <w:r>
          <w:rPr>
            <w:b/>
            <w:i/>
            <w:color w:val="0000FF"/>
            <w:sz w:val="28"/>
            <w:u w:val="single"/>
          </w:rPr>
          <w:t>Nowe przepisy dotyczące prekursorów narkotyków</w:t>
        </w:r>
      </w:hyperlink>
    </w:p>
    <w:tbl>
      <w:tblPr>
        <w:tblStyle w:val="TableGrid14"/>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445258" w:rsidRPr="00445258" w14:paraId="7E507868" w14:textId="77777777" w:rsidTr="002E7EFB">
        <w:tc>
          <w:tcPr>
            <w:tcW w:w="1148" w:type="pct"/>
          </w:tcPr>
          <w:p w14:paraId="3292FCF5"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p w14:paraId="4BFF03AB"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Sprawozdawca</w:t>
            </w:r>
          </w:p>
          <w:p w14:paraId="113C8799"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p>
        </w:tc>
        <w:tc>
          <w:tcPr>
            <w:tcW w:w="3852" w:type="pct"/>
          </w:tcPr>
          <w:p w14:paraId="5A2AAF34" w14:textId="77777777" w:rsidR="00445258" w:rsidRPr="00445258" w:rsidRDefault="00445258" w:rsidP="00445258">
            <w:pPr>
              <w:tabs>
                <w:tab w:val="center" w:pos="284"/>
              </w:tabs>
              <w:overflowPunct w:val="0"/>
              <w:autoSpaceDE w:val="0"/>
              <w:autoSpaceDN w:val="0"/>
              <w:adjustRightInd w:val="0"/>
              <w:ind w:left="266" w:hanging="266"/>
              <w:textAlignment w:val="baseline"/>
            </w:pPr>
          </w:p>
          <w:p w14:paraId="329047B1" w14:textId="723B0F81" w:rsidR="00445258" w:rsidRPr="00445258" w:rsidRDefault="00445258" w:rsidP="00445258">
            <w:pPr>
              <w:tabs>
                <w:tab w:val="center" w:pos="284"/>
              </w:tabs>
              <w:overflowPunct w:val="0"/>
              <w:autoSpaceDE w:val="0"/>
              <w:autoSpaceDN w:val="0"/>
              <w:adjustRightInd w:val="0"/>
              <w:ind w:left="266" w:hanging="266"/>
              <w:textAlignment w:val="baseline"/>
            </w:pPr>
            <w:r>
              <w:t>Diego DUTTO (Grupa Organizacji Społeczeństwa Obywatelskiego – IT)</w:t>
            </w:r>
          </w:p>
          <w:p w14:paraId="641B170F" w14:textId="77777777" w:rsidR="00445258" w:rsidRPr="00445258" w:rsidRDefault="00445258" w:rsidP="00445258">
            <w:pPr>
              <w:tabs>
                <w:tab w:val="center" w:pos="284"/>
              </w:tabs>
              <w:overflowPunct w:val="0"/>
              <w:autoSpaceDE w:val="0"/>
              <w:autoSpaceDN w:val="0"/>
              <w:adjustRightInd w:val="0"/>
              <w:ind w:left="266" w:hanging="266"/>
              <w:textAlignment w:val="baseline"/>
              <w:rPr>
                <w:lang w:val="en-GB"/>
              </w:rPr>
            </w:pPr>
          </w:p>
        </w:tc>
      </w:tr>
      <w:tr w:rsidR="00445258" w:rsidRPr="00445258" w14:paraId="2EFF6C25" w14:textId="77777777" w:rsidTr="002E7EFB">
        <w:tc>
          <w:tcPr>
            <w:tcW w:w="1148" w:type="pct"/>
            <w:vMerge w:val="restart"/>
          </w:tcPr>
          <w:p w14:paraId="70282570" w14:textId="77777777" w:rsidR="00445258" w:rsidRPr="00445258" w:rsidRDefault="00445258" w:rsidP="00445258">
            <w:pPr>
              <w:tabs>
                <w:tab w:val="center" w:pos="284"/>
              </w:tabs>
              <w:overflowPunct w:val="0"/>
              <w:autoSpaceDE w:val="0"/>
              <w:autoSpaceDN w:val="0"/>
              <w:adjustRightInd w:val="0"/>
              <w:ind w:left="266" w:hanging="376"/>
              <w:textAlignment w:val="baseline"/>
              <w:rPr>
                <w:b/>
              </w:rPr>
            </w:pPr>
            <w:r>
              <w:rPr>
                <w:b/>
              </w:rPr>
              <w:t>Dokumenty</w:t>
            </w:r>
          </w:p>
        </w:tc>
        <w:tc>
          <w:tcPr>
            <w:tcW w:w="3852" w:type="pct"/>
          </w:tcPr>
          <w:p w14:paraId="4F313D09" w14:textId="3A34F015" w:rsidR="00445258" w:rsidRPr="00445258" w:rsidRDefault="00445258" w:rsidP="00445258">
            <w:pPr>
              <w:tabs>
                <w:tab w:val="center" w:pos="284"/>
              </w:tabs>
              <w:overflowPunct w:val="0"/>
              <w:autoSpaceDE w:val="0"/>
              <w:autoSpaceDN w:val="0"/>
              <w:adjustRightInd w:val="0"/>
              <w:ind w:left="266" w:hanging="266"/>
              <w:textAlignment w:val="baseline"/>
            </w:pPr>
            <w:r>
              <w:t xml:space="preserve">COM(2025) 747 final </w:t>
            </w:r>
          </w:p>
        </w:tc>
      </w:tr>
      <w:tr w:rsidR="00445258" w:rsidRPr="00445258" w14:paraId="3DFEF38A" w14:textId="77777777" w:rsidTr="002E7EFB">
        <w:tc>
          <w:tcPr>
            <w:tcW w:w="1148" w:type="pct"/>
            <w:vMerge/>
          </w:tcPr>
          <w:p w14:paraId="17E4942C" w14:textId="77777777" w:rsidR="00445258" w:rsidRPr="00445258" w:rsidRDefault="00445258" w:rsidP="00445258">
            <w:pPr>
              <w:tabs>
                <w:tab w:val="center" w:pos="284"/>
              </w:tabs>
              <w:overflowPunct w:val="0"/>
              <w:autoSpaceDE w:val="0"/>
              <w:autoSpaceDN w:val="0"/>
              <w:adjustRightInd w:val="0"/>
              <w:ind w:left="266" w:hanging="266"/>
              <w:textAlignment w:val="baseline"/>
              <w:rPr>
                <w:b/>
              </w:rPr>
            </w:pPr>
          </w:p>
        </w:tc>
        <w:tc>
          <w:tcPr>
            <w:tcW w:w="3852" w:type="pct"/>
          </w:tcPr>
          <w:p w14:paraId="37150F76" w14:textId="77777777" w:rsidR="00445258" w:rsidRPr="00445258" w:rsidRDefault="00445258" w:rsidP="00445258">
            <w:pPr>
              <w:tabs>
                <w:tab w:val="center" w:pos="284"/>
              </w:tabs>
              <w:overflowPunct w:val="0"/>
              <w:autoSpaceDE w:val="0"/>
              <w:autoSpaceDN w:val="0"/>
              <w:adjustRightInd w:val="0"/>
              <w:ind w:left="266" w:hanging="266"/>
              <w:textAlignment w:val="baseline"/>
            </w:pPr>
            <w:r>
              <w:t>EESC-2025-04277-00-00-AC</w:t>
            </w:r>
          </w:p>
        </w:tc>
      </w:tr>
    </w:tbl>
    <w:p w14:paraId="78D1CE85"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23ECB8E8"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rPr>
      </w:pPr>
      <w:r>
        <w:rPr>
          <w:b/>
        </w:rPr>
        <w:t>Główne punkty</w:t>
      </w:r>
    </w:p>
    <w:p w14:paraId="4B7E6809" w14:textId="77777777" w:rsidR="00445258" w:rsidRPr="00445258" w:rsidRDefault="00445258" w:rsidP="00445258">
      <w:pPr>
        <w:keepNext/>
        <w:keepLines/>
        <w:tabs>
          <w:tab w:val="center" w:pos="284"/>
        </w:tabs>
        <w:overflowPunct w:val="0"/>
        <w:autoSpaceDE w:val="0"/>
        <w:autoSpaceDN w:val="0"/>
        <w:adjustRightInd w:val="0"/>
        <w:ind w:left="266" w:hanging="266"/>
        <w:textAlignment w:val="baseline"/>
        <w:rPr>
          <w:b/>
          <w:lang w:val="en-GB"/>
        </w:rPr>
      </w:pPr>
    </w:p>
    <w:p w14:paraId="4B69ED3F" w14:textId="77777777" w:rsidR="00445258" w:rsidRPr="00445258" w:rsidRDefault="00445258" w:rsidP="00445258">
      <w:pPr>
        <w:overflowPunct w:val="0"/>
        <w:autoSpaceDE w:val="0"/>
        <w:autoSpaceDN w:val="0"/>
        <w:adjustRightInd w:val="0"/>
        <w:textAlignment w:val="baseline"/>
        <w:rPr>
          <w:bCs/>
          <w:iCs/>
        </w:rPr>
      </w:pPr>
      <w:r>
        <w:t>EKES zaleca:</w:t>
      </w:r>
    </w:p>
    <w:p w14:paraId="39BF6AC5" w14:textId="77777777" w:rsidR="00445258" w:rsidRPr="00445258" w:rsidRDefault="00445258" w:rsidP="00445258">
      <w:pPr>
        <w:overflowPunct w:val="0"/>
        <w:autoSpaceDE w:val="0"/>
        <w:autoSpaceDN w:val="0"/>
        <w:adjustRightInd w:val="0"/>
        <w:textAlignment w:val="baseline"/>
        <w:rPr>
          <w:bCs/>
          <w:iCs/>
          <w:lang w:val="en-GB"/>
        </w:rPr>
      </w:pPr>
    </w:p>
    <w:p w14:paraId="7F6FDC1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zapewnienie, aby dostęp do „repozytorium informacji o prekursorach narkotyków” był całkowicie bezpłatny;</w:t>
      </w:r>
    </w:p>
    <w:p w14:paraId="015B0DA4"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przewidzenie całkowitego zwolnienia lub znacznych obniżek opłat za wydawanie licencji uniwersytetom, instytutom badawczym i organizacjom charytatywnym;</w:t>
      </w:r>
    </w:p>
    <w:p w14:paraId="1D26F15F"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usprawnienie procedur uprzedniego powiadamiania o stosowaniu małych ilości prekursorów „projektowanych”;</w:t>
      </w:r>
    </w:p>
    <w:p w14:paraId="7A06841B"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ustanowienie specjalnego kanału wytycznych technicznych dla wszystkich zainteresowanych stron, w tym organizacji trzeciego sektora, a także pilne wyjaśnienie klasyfikacji wariantów substancji;</w:t>
      </w:r>
    </w:p>
    <w:p w14:paraId="6706E6CC"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unikanie niepewności prawa dla laboratoriów badawczych spowodowanej ogólnym włączeniem grup substancji do kategorii 3 poprzez publikowanie jasnych, terminowych i wyczerpujących wykazów wyłączeń;</w:t>
      </w:r>
    </w:p>
    <w:p w14:paraId="0ED1006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zaangażowanie organizacji społeczeństwa obywatelskiego specjalizujących się w zapobieganiu uzależnieniom i ograniczaniu szkód w działania uświadamiające i szkoleniowe; </w:t>
      </w:r>
    </w:p>
    <w:p w14:paraId="0308E5D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stosowanie obowiązku wyznaczenia „osoby odpowiedzialnej” z elastycznością dla małych organizacji obywatelskich, co umożliwi wyznaczenie istniejącego personelu wewnętrznego;</w:t>
      </w:r>
    </w:p>
    <w:p w14:paraId="0765C645" w14:textId="77777777"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 xml:space="preserve">dążenie do osiągnięcia jednorodnych regulacji w UE – pomoże to organom w śledzeniu handlu substancjami i stosowania substancji w badaniach naukowych w Europie; </w:t>
      </w:r>
    </w:p>
    <w:p w14:paraId="6673E6C9" w14:textId="2EBA8941" w:rsidR="00445258" w:rsidRPr="00445258" w:rsidRDefault="00445258" w:rsidP="004C6742">
      <w:pPr>
        <w:widowControl w:val="0"/>
        <w:numPr>
          <w:ilvl w:val="0"/>
          <w:numId w:val="40"/>
        </w:numPr>
        <w:overflowPunct w:val="0"/>
        <w:autoSpaceDE w:val="0"/>
        <w:autoSpaceDN w:val="0"/>
        <w:adjustRightInd w:val="0"/>
        <w:spacing w:line="276" w:lineRule="auto"/>
        <w:ind w:left="284" w:hanging="284"/>
        <w:textAlignment w:val="baseline"/>
        <w:rPr>
          <w:szCs w:val="20"/>
        </w:rPr>
      </w:pPr>
      <w:r>
        <w:t>ochronę autonomii naukowczyń i naukowców stosujących prekursory kategorii 3 poprzez zapewnienie, aby kontrole przeprowadzane przez właściwe organy były oparte na analizie ryzyka i</w:t>
      </w:r>
      <w:r w:rsidR="005C5C88">
        <w:t> </w:t>
      </w:r>
      <w:r>
        <w:t>nie naruszały poufności ani integralności protokołów badań naukowych.</w:t>
      </w:r>
    </w:p>
    <w:p w14:paraId="78586535" w14:textId="77777777" w:rsidR="00445258" w:rsidRPr="00445258" w:rsidRDefault="00445258" w:rsidP="00445258">
      <w:pPr>
        <w:widowControl w:val="0"/>
        <w:overflowPunct w:val="0"/>
        <w:autoSpaceDE w:val="0"/>
        <w:autoSpaceDN w:val="0"/>
        <w:adjustRightInd w:val="0"/>
        <w:ind w:left="567"/>
        <w:textAlignment w:val="baseline"/>
        <w:rPr>
          <w:szCs w:val="20"/>
          <w:lang w:val="en-GB"/>
        </w:rPr>
      </w:pPr>
    </w:p>
    <w:tbl>
      <w:tblPr>
        <w:tblStyle w:val="TableGrid14"/>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445258" w:rsidRPr="00445258" w14:paraId="34E47DF7" w14:textId="77777777" w:rsidTr="002E7EFB">
        <w:tc>
          <w:tcPr>
            <w:tcW w:w="1556" w:type="pct"/>
          </w:tcPr>
          <w:p w14:paraId="722F8981" w14:textId="77777777" w:rsidR="00445258" w:rsidRPr="00445258" w:rsidRDefault="00445258" w:rsidP="00445258">
            <w:pPr>
              <w:overflowPunct w:val="0"/>
              <w:autoSpaceDE w:val="0"/>
              <w:autoSpaceDN w:val="0"/>
              <w:adjustRightInd w:val="0"/>
              <w:spacing w:line="240" w:lineRule="auto"/>
              <w:textAlignment w:val="baseline"/>
              <w:rPr>
                <w:i/>
              </w:rPr>
            </w:pPr>
            <w:r>
              <w:rPr>
                <w:b/>
                <w:i/>
              </w:rPr>
              <w:t>Kontakt</w:t>
            </w:r>
          </w:p>
        </w:tc>
        <w:tc>
          <w:tcPr>
            <w:tcW w:w="3444" w:type="pct"/>
          </w:tcPr>
          <w:p w14:paraId="24BAFF65" w14:textId="77777777" w:rsidR="00445258" w:rsidRPr="00445258" w:rsidRDefault="00445258" w:rsidP="00445258">
            <w:pPr>
              <w:overflowPunct w:val="0"/>
              <w:autoSpaceDE w:val="0"/>
              <w:autoSpaceDN w:val="0"/>
              <w:adjustRightInd w:val="0"/>
              <w:spacing w:line="240" w:lineRule="auto"/>
              <w:textAlignment w:val="baseline"/>
              <w:rPr>
                <w:i/>
              </w:rPr>
            </w:pPr>
            <w:r>
              <w:rPr>
                <w:i/>
              </w:rPr>
              <w:t>Radoslava Stefankova</w:t>
            </w:r>
          </w:p>
        </w:tc>
      </w:tr>
      <w:tr w:rsidR="00445258" w:rsidRPr="00445258" w14:paraId="12D23E6C" w14:textId="77777777" w:rsidTr="002E7EFB">
        <w:tc>
          <w:tcPr>
            <w:tcW w:w="1556" w:type="pct"/>
          </w:tcPr>
          <w:p w14:paraId="3CC13004" w14:textId="77777777" w:rsidR="00445258" w:rsidRPr="00445258" w:rsidRDefault="00445258" w:rsidP="00445258">
            <w:pPr>
              <w:overflowPunct w:val="0"/>
              <w:autoSpaceDE w:val="0"/>
              <w:autoSpaceDN w:val="0"/>
              <w:adjustRightInd w:val="0"/>
              <w:spacing w:line="240" w:lineRule="auto"/>
              <w:textAlignment w:val="baseline"/>
              <w:rPr>
                <w:i/>
              </w:rPr>
            </w:pPr>
            <w:r>
              <w:rPr>
                <w:i/>
              </w:rPr>
              <w:t>tel.</w:t>
            </w:r>
          </w:p>
        </w:tc>
        <w:tc>
          <w:tcPr>
            <w:tcW w:w="3444" w:type="pct"/>
          </w:tcPr>
          <w:p w14:paraId="5A5BE7A3" w14:textId="77777777" w:rsidR="00445258" w:rsidRPr="00445258" w:rsidRDefault="00445258" w:rsidP="00445258">
            <w:pPr>
              <w:overflowPunct w:val="0"/>
              <w:autoSpaceDE w:val="0"/>
              <w:autoSpaceDN w:val="0"/>
              <w:adjustRightInd w:val="0"/>
              <w:spacing w:line="240" w:lineRule="auto"/>
              <w:textAlignment w:val="baseline"/>
              <w:rPr>
                <w:i/>
              </w:rPr>
            </w:pPr>
            <w:r>
              <w:rPr>
                <w:i/>
              </w:rPr>
              <w:t>+32 25468188</w:t>
            </w:r>
          </w:p>
        </w:tc>
      </w:tr>
      <w:tr w:rsidR="00445258" w:rsidRPr="00445258" w14:paraId="751CD754" w14:textId="77777777" w:rsidTr="002E7EFB">
        <w:tc>
          <w:tcPr>
            <w:tcW w:w="1556" w:type="pct"/>
          </w:tcPr>
          <w:p w14:paraId="26B15F6C" w14:textId="299FB3B9" w:rsidR="00445258" w:rsidRPr="00445258" w:rsidRDefault="00070ED2" w:rsidP="00445258">
            <w:pPr>
              <w:overflowPunct w:val="0"/>
              <w:autoSpaceDE w:val="0"/>
              <w:autoSpaceDN w:val="0"/>
              <w:adjustRightInd w:val="0"/>
              <w:spacing w:line="240" w:lineRule="auto"/>
              <w:textAlignment w:val="baseline"/>
              <w:rPr>
                <w:i/>
              </w:rPr>
            </w:pPr>
            <w:r>
              <w:rPr>
                <w:i/>
              </w:rPr>
              <w:t>e-mail</w:t>
            </w:r>
          </w:p>
        </w:tc>
        <w:tc>
          <w:tcPr>
            <w:tcW w:w="3444" w:type="pct"/>
          </w:tcPr>
          <w:p w14:paraId="7DA66FD2" w14:textId="364037DC" w:rsidR="00445258" w:rsidRPr="00445258" w:rsidRDefault="00651F28" w:rsidP="00445258">
            <w:pPr>
              <w:overflowPunct w:val="0"/>
              <w:autoSpaceDE w:val="0"/>
              <w:autoSpaceDN w:val="0"/>
              <w:adjustRightInd w:val="0"/>
              <w:spacing w:line="240" w:lineRule="auto"/>
              <w:textAlignment w:val="baseline"/>
              <w:rPr>
                <w:i/>
                <w:iCs/>
              </w:rPr>
            </w:pPr>
            <w:hyperlink r:id="rId48" w:history="1">
              <w:r>
                <w:rPr>
                  <w:i/>
                  <w:color w:val="0000FF"/>
                  <w:u w:val="single"/>
                </w:rPr>
                <w:t>Radoslava.Stefankova@eesc.europa.eu</w:t>
              </w:r>
            </w:hyperlink>
          </w:p>
        </w:tc>
      </w:tr>
    </w:tbl>
    <w:p w14:paraId="2314B8E6" w14:textId="45059B39" w:rsidR="00445258" w:rsidRDefault="00445258" w:rsidP="001766B2">
      <w:pPr>
        <w:pStyle w:val="ListParagraph"/>
        <w:ind w:left="0"/>
      </w:pPr>
    </w:p>
    <w:p w14:paraId="0320B460" w14:textId="77777777" w:rsidR="00445258" w:rsidRDefault="00445258">
      <w:pPr>
        <w:spacing w:after="160" w:line="259" w:lineRule="auto"/>
        <w:jc w:val="left"/>
      </w:pPr>
      <w:r>
        <w:br w:type="page"/>
      </w:r>
    </w:p>
    <w:p w14:paraId="6BC63409" w14:textId="510F0FB1" w:rsidR="00DE758A" w:rsidRPr="00DE758A" w:rsidRDefault="00DE758A" w:rsidP="00DE758A">
      <w:pPr>
        <w:widowControl w:val="0"/>
        <w:numPr>
          <w:ilvl w:val="0"/>
          <w:numId w:val="4"/>
        </w:numPr>
        <w:overflowPunct w:val="0"/>
        <w:autoSpaceDE w:val="0"/>
        <w:autoSpaceDN w:val="0"/>
        <w:adjustRightInd w:val="0"/>
        <w:ind w:hanging="567"/>
        <w:textAlignment w:val="baseline"/>
        <w:rPr>
          <w:b/>
          <w:bCs/>
          <w:i/>
          <w:iCs/>
          <w:color w:val="0000FF"/>
          <w:sz w:val="28"/>
          <w:szCs w:val="28"/>
          <w:u w:val="single"/>
        </w:rPr>
      </w:pPr>
      <w:hyperlink r:id="rId49" w:history="1">
        <w:r>
          <w:rPr>
            <w:b/>
            <w:i/>
            <w:color w:val="0000FF"/>
            <w:sz w:val="28"/>
            <w:u w:val="single"/>
          </w:rPr>
          <w:t>Wniosek dotyczący rozporządzenia – Ukierunkowany przegląd przepisów UE dotyczących wyrobów medycznych i diagnostyki in vitro</w:t>
        </w:r>
      </w:hyperlink>
    </w:p>
    <w:p w14:paraId="2DC72C04"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bl>
      <w:tblPr>
        <w:tblStyle w:val="TableGrid15"/>
        <w:tblW w:w="445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6239"/>
      </w:tblGrid>
      <w:tr w:rsidR="00DE758A" w:rsidRPr="00DE758A" w14:paraId="6B8DC8E9" w14:textId="77777777" w:rsidTr="002E7EFB">
        <w:trPr>
          <w:trHeight w:val="406"/>
        </w:trPr>
        <w:tc>
          <w:tcPr>
            <w:tcW w:w="1229" w:type="pct"/>
          </w:tcPr>
          <w:p w14:paraId="4CF05AE9"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Sprawozdawca</w:t>
            </w:r>
          </w:p>
          <w:p w14:paraId="3BDC8518"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p>
        </w:tc>
        <w:tc>
          <w:tcPr>
            <w:tcW w:w="3771" w:type="pct"/>
          </w:tcPr>
          <w:p w14:paraId="15EACB81" w14:textId="174540E6" w:rsidR="00DE758A" w:rsidRPr="00DE758A" w:rsidRDefault="00DE758A" w:rsidP="00DE758A">
            <w:pPr>
              <w:tabs>
                <w:tab w:val="center" w:pos="0"/>
              </w:tabs>
              <w:overflowPunct w:val="0"/>
              <w:autoSpaceDE w:val="0"/>
              <w:autoSpaceDN w:val="0"/>
              <w:adjustRightInd w:val="0"/>
              <w:ind w:left="266" w:hanging="266"/>
              <w:textAlignment w:val="baseline"/>
            </w:pPr>
            <w:r>
              <w:t>Danko RELIĆ (Grupa Organizacji Społeczeństwa Obywatelskiego – HR)</w:t>
            </w:r>
          </w:p>
        </w:tc>
      </w:tr>
      <w:tr w:rsidR="00DE758A" w:rsidRPr="00DE758A" w14:paraId="32202284" w14:textId="77777777" w:rsidTr="002E7EFB">
        <w:tc>
          <w:tcPr>
            <w:tcW w:w="1229" w:type="pct"/>
          </w:tcPr>
          <w:p w14:paraId="39618390" w14:textId="77777777" w:rsidR="00DE758A" w:rsidRPr="00DE758A" w:rsidRDefault="00DE758A" w:rsidP="00DE758A">
            <w:pPr>
              <w:tabs>
                <w:tab w:val="center" w:pos="284"/>
              </w:tabs>
              <w:overflowPunct w:val="0"/>
              <w:autoSpaceDE w:val="0"/>
              <w:autoSpaceDN w:val="0"/>
              <w:adjustRightInd w:val="0"/>
              <w:ind w:left="266" w:hanging="266"/>
              <w:textAlignment w:val="baseline"/>
              <w:rPr>
                <w:b/>
              </w:rPr>
            </w:pPr>
            <w:r>
              <w:rPr>
                <w:b/>
              </w:rPr>
              <w:t>Dokumenty</w:t>
            </w:r>
          </w:p>
        </w:tc>
        <w:tc>
          <w:tcPr>
            <w:tcW w:w="3771" w:type="pct"/>
          </w:tcPr>
          <w:p w14:paraId="6D00FAF5" w14:textId="56D763D6" w:rsidR="00DE758A" w:rsidRPr="00DE758A" w:rsidRDefault="00DE758A" w:rsidP="00DE758A">
            <w:pPr>
              <w:tabs>
                <w:tab w:val="center" w:pos="284"/>
              </w:tabs>
              <w:overflowPunct w:val="0"/>
              <w:autoSpaceDE w:val="0"/>
              <w:autoSpaceDN w:val="0"/>
              <w:adjustRightInd w:val="0"/>
              <w:ind w:left="266" w:hanging="266"/>
              <w:textAlignment w:val="baseline"/>
            </w:pPr>
            <w:r>
              <w:t xml:space="preserve">COM(2025) 1023 final </w:t>
            </w:r>
          </w:p>
          <w:p w14:paraId="59A88C6D" w14:textId="77777777" w:rsidR="00DE758A" w:rsidRPr="00DE758A" w:rsidRDefault="00DE758A" w:rsidP="00DE758A">
            <w:pPr>
              <w:tabs>
                <w:tab w:val="center" w:pos="284"/>
              </w:tabs>
              <w:overflowPunct w:val="0"/>
              <w:autoSpaceDE w:val="0"/>
              <w:autoSpaceDN w:val="0"/>
              <w:adjustRightInd w:val="0"/>
              <w:ind w:left="266" w:hanging="266"/>
              <w:textAlignment w:val="baseline"/>
            </w:pPr>
            <w:r>
              <w:t>EESC-2025-04298-00-00-AC</w:t>
            </w:r>
          </w:p>
        </w:tc>
      </w:tr>
    </w:tbl>
    <w:p w14:paraId="15D8F188"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lang w:val="pt-PT"/>
        </w:rPr>
      </w:pPr>
    </w:p>
    <w:p w14:paraId="3EB69E23"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
        </w:rPr>
      </w:pPr>
      <w:r>
        <w:rPr>
          <w:b/>
        </w:rPr>
        <w:t>Główne punkty</w:t>
      </w:r>
    </w:p>
    <w:p w14:paraId="7EDD733C" w14:textId="77777777" w:rsidR="00DE758A" w:rsidRPr="00DE758A" w:rsidRDefault="00DE758A" w:rsidP="00DE758A">
      <w:pPr>
        <w:keepNext/>
        <w:keepLines/>
        <w:tabs>
          <w:tab w:val="center" w:pos="284"/>
        </w:tabs>
        <w:overflowPunct w:val="0"/>
        <w:autoSpaceDE w:val="0"/>
        <w:autoSpaceDN w:val="0"/>
        <w:adjustRightInd w:val="0"/>
        <w:ind w:left="266" w:hanging="266"/>
        <w:textAlignment w:val="baseline"/>
        <w:rPr>
          <w:bCs/>
          <w:lang w:val="en-GB"/>
        </w:rPr>
      </w:pPr>
    </w:p>
    <w:p w14:paraId="109AD2CA" w14:textId="77777777" w:rsidR="00DE758A" w:rsidRPr="00DE758A" w:rsidRDefault="00DE758A" w:rsidP="00DE758A">
      <w:pPr>
        <w:overflowPunct w:val="0"/>
        <w:autoSpaceDE w:val="0"/>
        <w:autoSpaceDN w:val="0"/>
        <w:adjustRightInd w:val="0"/>
        <w:textAlignment w:val="baseline"/>
        <w:rPr>
          <w:bCs/>
          <w:iCs/>
        </w:rPr>
      </w:pPr>
      <w:r>
        <w:t>EKES:</w:t>
      </w:r>
    </w:p>
    <w:p w14:paraId="1E954AF4" w14:textId="77777777" w:rsidR="00DE758A" w:rsidRPr="00DE758A" w:rsidRDefault="00DE758A" w:rsidP="00DE758A">
      <w:pPr>
        <w:overflowPunct w:val="0"/>
        <w:autoSpaceDE w:val="0"/>
        <w:autoSpaceDN w:val="0"/>
        <w:adjustRightInd w:val="0"/>
        <w:textAlignment w:val="baseline"/>
        <w:rPr>
          <w:bCs/>
          <w:iCs/>
          <w:lang w:val="en-GB"/>
        </w:rPr>
      </w:pPr>
    </w:p>
    <w:p w14:paraId="606935A0" w14:textId="77777777" w:rsidR="00DE758A" w:rsidRPr="004C6742" w:rsidRDefault="00DE758A" w:rsidP="004C6742">
      <w:pPr>
        <w:pStyle w:val="ListParagraph"/>
        <w:numPr>
          <w:ilvl w:val="0"/>
          <w:numId w:val="77"/>
        </w:numPr>
        <w:ind w:left="567" w:hanging="567"/>
      </w:pPr>
      <w:r>
        <w:t>Z zadowoleniem przyjmuje wniosek Komisji dotyczący uproszczenia i usprawnienia rozporządzenia w sprawie wyrobów medycznych (MDR) i rozporządzenia w sprawie wyrobów medycznych do diagnostyki in vitro (IVDR), przy jednoczesnym zapewnieniu bezpieczeństwa pacjentów, ochrony zdrowia publicznego i zaufania do systemu regulacyjnego.</w:t>
      </w:r>
    </w:p>
    <w:p w14:paraId="3F3B23CD" w14:textId="77777777" w:rsidR="00DE758A" w:rsidRPr="004C6742" w:rsidRDefault="00DE758A" w:rsidP="004C6742">
      <w:pPr>
        <w:pStyle w:val="ListParagraph"/>
        <w:numPr>
          <w:ilvl w:val="0"/>
          <w:numId w:val="77"/>
        </w:numPr>
        <w:ind w:left="567" w:hanging="567"/>
      </w:pPr>
      <w:r>
        <w:t xml:space="preserve">Podkreśla, że </w:t>
      </w:r>
      <w:r>
        <w:rPr>
          <w:b/>
        </w:rPr>
        <w:t>przy uproszczeniu należy zapewnić pewność prawa, przewidywalne wyniki certyfikacji i zharmonizowane praktyki w państwach członkowskich</w:t>
      </w:r>
      <w:r>
        <w:t>, przy unikaniu rozbieżności między jednostkami notyfikowanymi oraz chronieniu MŚP i mikroprzedsiębiorstw przed niepewnością.</w:t>
      </w:r>
    </w:p>
    <w:p w14:paraId="5AD93FCB" w14:textId="77777777" w:rsidR="00DE758A" w:rsidRPr="004C6742" w:rsidRDefault="00DE758A" w:rsidP="004C6742">
      <w:pPr>
        <w:pStyle w:val="ListParagraph"/>
        <w:numPr>
          <w:ilvl w:val="0"/>
          <w:numId w:val="77"/>
        </w:numPr>
        <w:ind w:left="567" w:hanging="567"/>
      </w:pPr>
      <w:r>
        <w:t xml:space="preserve">Zaznacza, że </w:t>
      </w:r>
      <w:r>
        <w:rPr>
          <w:b/>
        </w:rPr>
        <w:t>przy cyfryzacji oceny zgodności i audytów należy unikać powielania wymogów i dodatkowych kosztów</w:t>
      </w:r>
      <w:r>
        <w:t>, zwłaszcza dla MŚP, pracowników i pracowników służby zdrowia, oraz należy je wspierać jasnymi wytycznymi, szkoleniami i pomocą techniczną.</w:t>
      </w:r>
    </w:p>
    <w:p w14:paraId="5B714428" w14:textId="6AC22689" w:rsidR="00DE758A" w:rsidRPr="004C6742" w:rsidRDefault="00DE758A" w:rsidP="004C6742">
      <w:pPr>
        <w:pStyle w:val="ListParagraph"/>
        <w:numPr>
          <w:ilvl w:val="0"/>
          <w:numId w:val="77"/>
        </w:numPr>
        <w:ind w:left="567" w:hanging="567"/>
      </w:pPr>
      <w:r>
        <w:t xml:space="preserve">Podkreśla, że </w:t>
      </w:r>
      <w:r>
        <w:rPr>
          <w:b/>
        </w:rPr>
        <w:t>nie wolno podważać uproszczenia poprzez podnoszenie podwyższonych opłat pobieranych od jednostek notyfikowanych oraz że należy wzmocnić systemy nadzoru i</w:t>
      </w:r>
      <w:r w:rsidR="005C5C88">
        <w:rPr>
          <w:b/>
        </w:rPr>
        <w:t> </w:t>
      </w:r>
      <w:r>
        <w:rPr>
          <w:b/>
        </w:rPr>
        <w:t>obserwacji</w:t>
      </w:r>
      <w:r>
        <w:t xml:space="preserve"> jako kluczowy mechanizm kompensacyjny w odniesieniu do bardziej elastycznych wymogów przed wprowadzeniem do obrotu.</w:t>
      </w:r>
    </w:p>
    <w:p w14:paraId="2350A493" w14:textId="77777777" w:rsidR="00DE758A" w:rsidRPr="004C6742" w:rsidRDefault="00DE758A" w:rsidP="004C6742">
      <w:pPr>
        <w:pStyle w:val="ListParagraph"/>
        <w:numPr>
          <w:ilvl w:val="0"/>
          <w:numId w:val="77"/>
        </w:numPr>
        <w:ind w:left="567" w:hanging="567"/>
      </w:pPr>
      <w:r>
        <w:t xml:space="preserve">Popiera </w:t>
      </w:r>
      <w:r>
        <w:rPr>
          <w:b/>
        </w:rPr>
        <w:t>przyjazne innowacjom ścieżki regulacyjne dla przełomowych i sierocych wyrobów przy jednoczesnym zapewnieniu przejrzystości</w:t>
      </w:r>
      <w:r>
        <w:t xml:space="preserve"> (w tym za pośrednictwem bazy EUDAMED) i wzywa do systematycznego </w:t>
      </w:r>
      <w:r>
        <w:rPr>
          <w:b/>
        </w:rPr>
        <w:t>angażowania partnerów społecznych, pracowników służby zdrowia i społeczeństwa obywatelskiego</w:t>
      </w:r>
      <w:r>
        <w:t xml:space="preserve"> w monitorowanie wdrażania i skutków.</w:t>
      </w:r>
    </w:p>
    <w:p w14:paraId="67C66069" w14:textId="77777777" w:rsidR="00DE758A" w:rsidRPr="00DE758A" w:rsidRDefault="00DE758A" w:rsidP="001E4147">
      <w:pPr>
        <w:overflowPunct w:val="0"/>
        <w:autoSpaceDE w:val="0"/>
        <w:autoSpaceDN w:val="0"/>
        <w:adjustRightInd w:val="0"/>
        <w:ind w:left="284" w:hanging="284"/>
        <w:textAlignment w:val="baseline"/>
        <w:rPr>
          <w:bCs/>
          <w:iCs/>
          <w:szCs w:val="20"/>
        </w:rPr>
      </w:pPr>
    </w:p>
    <w:tbl>
      <w:tblPr>
        <w:tblStyle w:val="TableGrid15"/>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3"/>
        <w:gridCol w:w="5149"/>
      </w:tblGrid>
      <w:tr w:rsidR="00DE758A" w:rsidRPr="00DE758A" w14:paraId="5DE0DD71" w14:textId="77777777" w:rsidTr="002E7EFB">
        <w:tc>
          <w:tcPr>
            <w:tcW w:w="1059" w:type="pct"/>
          </w:tcPr>
          <w:p w14:paraId="406D8126" w14:textId="77777777" w:rsidR="00DE758A" w:rsidRPr="00DE758A" w:rsidRDefault="00DE758A" w:rsidP="00DE758A">
            <w:pPr>
              <w:overflowPunct w:val="0"/>
              <w:autoSpaceDE w:val="0"/>
              <w:autoSpaceDN w:val="0"/>
              <w:adjustRightInd w:val="0"/>
              <w:spacing w:line="240" w:lineRule="auto"/>
              <w:textAlignment w:val="baseline"/>
              <w:rPr>
                <w:i/>
              </w:rPr>
            </w:pPr>
            <w:r>
              <w:rPr>
                <w:b/>
                <w:i/>
              </w:rPr>
              <w:t>Kontakt</w:t>
            </w:r>
          </w:p>
        </w:tc>
        <w:tc>
          <w:tcPr>
            <w:tcW w:w="3941" w:type="pct"/>
          </w:tcPr>
          <w:p w14:paraId="440062F3" w14:textId="44031FFA" w:rsidR="00DE758A" w:rsidRPr="00DE758A" w:rsidRDefault="00DE758A" w:rsidP="00DE758A">
            <w:pPr>
              <w:overflowPunct w:val="0"/>
              <w:autoSpaceDE w:val="0"/>
              <w:autoSpaceDN w:val="0"/>
              <w:adjustRightInd w:val="0"/>
              <w:spacing w:line="240" w:lineRule="auto"/>
              <w:textAlignment w:val="baseline"/>
              <w:rPr>
                <w:i/>
              </w:rPr>
            </w:pPr>
            <w:r>
              <w:rPr>
                <w:i/>
              </w:rPr>
              <w:t>Silvia Staffa</w:t>
            </w:r>
          </w:p>
        </w:tc>
      </w:tr>
      <w:tr w:rsidR="00DE758A" w:rsidRPr="00DE758A" w14:paraId="3624305D" w14:textId="77777777" w:rsidTr="002E7EFB">
        <w:tc>
          <w:tcPr>
            <w:tcW w:w="1059" w:type="pct"/>
          </w:tcPr>
          <w:p w14:paraId="169C17BD" w14:textId="77777777" w:rsidR="00DE758A" w:rsidRPr="00DE758A" w:rsidRDefault="00DE758A" w:rsidP="00DE758A">
            <w:pPr>
              <w:overflowPunct w:val="0"/>
              <w:autoSpaceDE w:val="0"/>
              <w:autoSpaceDN w:val="0"/>
              <w:adjustRightInd w:val="0"/>
              <w:spacing w:line="240" w:lineRule="auto"/>
              <w:textAlignment w:val="baseline"/>
              <w:rPr>
                <w:i/>
              </w:rPr>
            </w:pPr>
            <w:r>
              <w:rPr>
                <w:i/>
              </w:rPr>
              <w:t>tel.</w:t>
            </w:r>
          </w:p>
        </w:tc>
        <w:tc>
          <w:tcPr>
            <w:tcW w:w="3941" w:type="pct"/>
          </w:tcPr>
          <w:p w14:paraId="7D475F69" w14:textId="77777777" w:rsidR="00DE758A" w:rsidRPr="00DE758A" w:rsidRDefault="00DE758A" w:rsidP="00DE758A">
            <w:pPr>
              <w:overflowPunct w:val="0"/>
              <w:autoSpaceDE w:val="0"/>
              <w:autoSpaceDN w:val="0"/>
              <w:adjustRightInd w:val="0"/>
              <w:spacing w:line="240" w:lineRule="auto"/>
              <w:textAlignment w:val="baseline"/>
              <w:rPr>
                <w:i/>
              </w:rPr>
            </w:pPr>
            <w:r>
              <w:rPr>
                <w:i/>
              </w:rPr>
              <w:t>+ 32 25468378</w:t>
            </w:r>
          </w:p>
        </w:tc>
      </w:tr>
      <w:tr w:rsidR="00DE758A" w:rsidRPr="00DE758A" w14:paraId="7362C1AC" w14:textId="77777777" w:rsidTr="002E7EFB">
        <w:tc>
          <w:tcPr>
            <w:tcW w:w="1059" w:type="pct"/>
          </w:tcPr>
          <w:p w14:paraId="256024F2" w14:textId="77777777" w:rsidR="00DE758A" w:rsidRPr="00DE758A" w:rsidRDefault="00DE758A" w:rsidP="00DE758A">
            <w:pPr>
              <w:overflowPunct w:val="0"/>
              <w:autoSpaceDE w:val="0"/>
              <w:autoSpaceDN w:val="0"/>
              <w:adjustRightInd w:val="0"/>
              <w:spacing w:line="240" w:lineRule="auto"/>
              <w:textAlignment w:val="baseline"/>
              <w:rPr>
                <w:i/>
              </w:rPr>
            </w:pPr>
            <w:r>
              <w:rPr>
                <w:i/>
              </w:rPr>
              <w:t>e-mail</w:t>
            </w:r>
          </w:p>
        </w:tc>
        <w:tc>
          <w:tcPr>
            <w:tcW w:w="3941" w:type="pct"/>
          </w:tcPr>
          <w:p w14:paraId="7476247D" w14:textId="480F5503" w:rsidR="00DE758A" w:rsidRPr="00DE758A" w:rsidRDefault="00651F28" w:rsidP="00DE758A">
            <w:pPr>
              <w:overflowPunct w:val="0"/>
              <w:autoSpaceDE w:val="0"/>
              <w:autoSpaceDN w:val="0"/>
              <w:adjustRightInd w:val="0"/>
              <w:spacing w:line="240" w:lineRule="auto"/>
              <w:textAlignment w:val="baseline"/>
              <w:rPr>
                <w:i/>
                <w:iCs/>
              </w:rPr>
            </w:pPr>
            <w:hyperlink r:id="rId50" w:history="1">
              <w:r>
                <w:rPr>
                  <w:i/>
                  <w:color w:val="0000FF"/>
                  <w:u w:val="single"/>
                </w:rPr>
                <w:t>Silvia.Staffa@eesc.europa.eu</w:t>
              </w:r>
            </w:hyperlink>
          </w:p>
        </w:tc>
      </w:tr>
    </w:tbl>
    <w:p w14:paraId="22CD9CD0" w14:textId="459E6F1C" w:rsidR="00DE758A" w:rsidRDefault="00DE758A" w:rsidP="001766B2">
      <w:pPr>
        <w:pStyle w:val="ListParagraph"/>
        <w:ind w:left="0"/>
      </w:pPr>
    </w:p>
    <w:p w14:paraId="6A195B69" w14:textId="77777777" w:rsidR="00DE758A" w:rsidRDefault="00DE758A">
      <w:pPr>
        <w:spacing w:after="160" w:line="259" w:lineRule="auto"/>
        <w:jc w:val="left"/>
      </w:pPr>
      <w:r>
        <w:br w:type="page"/>
      </w:r>
    </w:p>
    <w:p w14:paraId="05089E5F" w14:textId="39F52B2D" w:rsidR="00CB6F1C" w:rsidRPr="00CB6F1C" w:rsidRDefault="00CB6F1C" w:rsidP="00CB6F1C">
      <w:pPr>
        <w:widowControl w:val="0"/>
        <w:numPr>
          <w:ilvl w:val="0"/>
          <w:numId w:val="4"/>
        </w:numPr>
        <w:overflowPunct w:val="0"/>
        <w:autoSpaceDE w:val="0"/>
        <w:autoSpaceDN w:val="0"/>
        <w:adjustRightInd w:val="0"/>
        <w:ind w:hanging="567"/>
        <w:textAlignment w:val="baseline"/>
        <w:rPr>
          <w:sz w:val="20"/>
          <w:szCs w:val="20"/>
        </w:rPr>
      </w:pPr>
      <w:hyperlink r:id="rId51" w:history="1">
        <w:r>
          <w:rPr>
            <w:b/>
            <w:i/>
            <w:color w:val="0000FF"/>
            <w:sz w:val="28"/>
            <w:u w:val="single"/>
          </w:rPr>
          <w:t>Strategiczna normalizacja na rzecz silniejszego jednolitego rynku</w:t>
        </w:r>
      </w:hyperlink>
    </w:p>
    <w:p w14:paraId="36B05829" w14:textId="439E11FF" w:rsidR="00CB6F1C" w:rsidRPr="00CB6F1C" w:rsidRDefault="00CB6F1C" w:rsidP="00CB6F1C">
      <w:pPr>
        <w:tabs>
          <w:tab w:val="center" w:pos="284"/>
        </w:tabs>
        <w:overflowPunct w:val="0"/>
        <w:autoSpaceDE w:val="0"/>
        <w:autoSpaceDN w:val="0"/>
        <w:adjustRightInd w:val="0"/>
        <w:ind w:left="266" w:hanging="266"/>
        <w:textAlignment w:val="baseline"/>
        <w:rPr>
          <w:b/>
          <w:lang w:val="en-GB"/>
        </w:rPr>
      </w:pPr>
    </w:p>
    <w:tbl>
      <w:tblPr>
        <w:tblStyle w:val="TableGrid16"/>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371"/>
      </w:tblGrid>
      <w:tr w:rsidR="00CB6F1C" w:rsidRPr="00CB6F1C" w14:paraId="45F8A76C" w14:textId="77777777" w:rsidTr="004B48B1">
        <w:tc>
          <w:tcPr>
            <w:tcW w:w="1701" w:type="dxa"/>
          </w:tcPr>
          <w:p w14:paraId="2632F8D5"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Sprawozdawca</w:t>
            </w:r>
          </w:p>
        </w:tc>
        <w:tc>
          <w:tcPr>
            <w:tcW w:w="7371" w:type="dxa"/>
          </w:tcPr>
          <w:p w14:paraId="0C80D85A" w14:textId="5AF224CE" w:rsidR="00CB6F1C" w:rsidRPr="00CB6F1C" w:rsidRDefault="00CB6F1C" w:rsidP="00CB6F1C">
            <w:pPr>
              <w:tabs>
                <w:tab w:val="center" w:pos="284"/>
              </w:tabs>
              <w:overflowPunct w:val="0"/>
              <w:autoSpaceDE w:val="0"/>
              <w:autoSpaceDN w:val="0"/>
              <w:adjustRightInd w:val="0"/>
              <w:ind w:left="266" w:hanging="266"/>
              <w:textAlignment w:val="baseline"/>
            </w:pPr>
            <w:r>
              <w:t>Angelo PAGLIARA (Grupa Pracowników – IT)</w:t>
            </w:r>
          </w:p>
        </w:tc>
      </w:tr>
      <w:tr w:rsidR="00CB6F1C" w:rsidRPr="00CB6F1C" w14:paraId="604CF083" w14:textId="77777777" w:rsidTr="004B48B1">
        <w:tc>
          <w:tcPr>
            <w:tcW w:w="9072" w:type="dxa"/>
            <w:gridSpan w:val="2"/>
          </w:tcPr>
          <w:p w14:paraId="6F3BB2F2" w14:textId="77777777" w:rsidR="00CB6F1C" w:rsidRPr="00CB6F1C" w:rsidRDefault="00CB6F1C" w:rsidP="00CB6F1C">
            <w:pPr>
              <w:tabs>
                <w:tab w:val="center" w:pos="284"/>
              </w:tabs>
              <w:overflowPunct w:val="0"/>
              <w:autoSpaceDE w:val="0"/>
              <w:autoSpaceDN w:val="0"/>
              <w:adjustRightInd w:val="0"/>
              <w:spacing w:line="160" w:lineRule="exact"/>
              <w:ind w:left="266" w:hanging="266"/>
              <w:textAlignment w:val="baseline"/>
            </w:pPr>
          </w:p>
        </w:tc>
      </w:tr>
      <w:tr w:rsidR="00CB6F1C" w:rsidRPr="00CB6F1C" w14:paraId="2D181A35" w14:textId="77777777" w:rsidTr="004B48B1">
        <w:tc>
          <w:tcPr>
            <w:tcW w:w="1701" w:type="dxa"/>
            <w:vMerge w:val="restart"/>
          </w:tcPr>
          <w:p w14:paraId="02B3C283"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r>
              <w:rPr>
                <w:b/>
              </w:rPr>
              <w:t>Dokumenty</w:t>
            </w:r>
          </w:p>
        </w:tc>
        <w:tc>
          <w:tcPr>
            <w:tcW w:w="7371" w:type="dxa"/>
          </w:tcPr>
          <w:p w14:paraId="4539C4CD" w14:textId="77777777" w:rsidR="00CB6F1C" w:rsidRPr="00CB6F1C" w:rsidRDefault="00CB6F1C" w:rsidP="00CB6F1C">
            <w:pPr>
              <w:tabs>
                <w:tab w:val="center" w:pos="284"/>
              </w:tabs>
              <w:overflowPunct w:val="0"/>
              <w:autoSpaceDE w:val="0"/>
              <w:autoSpaceDN w:val="0"/>
              <w:adjustRightInd w:val="0"/>
              <w:ind w:left="266" w:hanging="266"/>
              <w:textAlignment w:val="baseline"/>
            </w:pPr>
            <w:r>
              <w:t>Opinia z inicjatywy własnej</w:t>
            </w:r>
          </w:p>
          <w:p w14:paraId="543FC291" w14:textId="77777777" w:rsidR="00CB6F1C" w:rsidRPr="00CB6F1C" w:rsidRDefault="00CB6F1C" w:rsidP="00CB6F1C">
            <w:pPr>
              <w:tabs>
                <w:tab w:val="center" w:pos="284"/>
              </w:tabs>
              <w:overflowPunct w:val="0"/>
              <w:autoSpaceDE w:val="0"/>
              <w:autoSpaceDN w:val="0"/>
              <w:adjustRightInd w:val="0"/>
              <w:ind w:left="266" w:hanging="266"/>
              <w:textAlignment w:val="baseline"/>
            </w:pPr>
            <w:r>
              <w:t>EESC-2026-00549-00-00-AC</w:t>
            </w:r>
          </w:p>
        </w:tc>
      </w:tr>
      <w:tr w:rsidR="00CB6F1C" w:rsidRPr="00CB6F1C" w14:paraId="2C4983D0" w14:textId="77777777" w:rsidTr="004B48B1">
        <w:tc>
          <w:tcPr>
            <w:tcW w:w="1701" w:type="dxa"/>
            <w:vMerge/>
          </w:tcPr>
          <w:p w14:paraId="10B21B74" w14:textId="77777777" w:rsidR="00CB6F1C" w:rsidRPr="00CB6F1C" w:rsidRDefault="00CB6F1C" w:rsidP="00CB6F1C">
            <w:pPr>
              <w:tabs>
                <w:tab w:val="center" w:pos="284"/>
              </w:tabs>
              <w:overflowPunct w:val="0"/>
              <w:autoSpaceDE w:val="0"/>
              <w:autoSpaceDN w:val="0"/>
              <w:adjustRightInd w:val="0"/>
              <w:ind w:left="266" w:hanging="266"/>
              <w:textAlignment w:val="baseline"/>
              <w:rPr>
                <w:b/>
              </w:rPr>
            </w:pPr>
          </w:p>
        </w:tc>
        <w:tc>
          <w:tcPr>
            <w:tcW w:w="7371" w:type="dxa"/>
          </w:tcPr>
          <w:p w14:paraId="1BD3ED76" w14:textId="77777777" w:rsidR="00CB6F1C" w:rsidRPr="00CB6F1C" w:rsidRDefault="00CB6F1C" w:rsidP="00CB6F1C">
            <w:pPr>
              <w:tabs>
                <w:tab w:val="center" w:pos="284"/>
              </w:tabs>
              <w:overflowPunct w:val="0"/>
              <w:autoSpaceDE w:val="0"/>
              <w:autoSpaceDN w:val="0"/>
              <w:adjustRightInd w:val="0"/>
              <w:ind w:left="266" w:hanging="266"/>
              <w:textAlignment w:val="baseline"/>
            </w:pPr>
          </w:p>
        </w:tc>
      </w:tr>
    </w:tbl>
    <w:p w14:paraId="1B528208" w14:textId="167AD465" w:rsidR="00CB6F1C" w:rsidRPr="00CB6F1C" w:rsidRDefault="00CB6F1C" w:rsidP="00CB6F1C">
      <w:pPr>
        <w:tabs>
          <w:tab w:val="center" w:pos="284"/>
        </w:tabs>
        <w:overflowPunct w:val="0"/>
        <w:autoSpaceDE w:val="0"/>
        <w:autoSpaceDN w:val="0"/>
        <w:adjustRightInd w:val="0"/>
        <w:ind w:left="266" w:hanging="266"/>
        <w:textAlignment w:val="baseline"/>
      </w:pPr>
    </w:p>
    <w:p w14:paraId="47531A9D"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rPr>
      </w:pPr>
      <w:r>
        <w:rPr>
          <w:b/>
        </w:rPr>
        <w:t>Główne punkty</w:t>
      </w:r>
    </w:p>
    <w:p w14:paraId="5A30CB3B" w14:textId="77777777" w:rsidR="00CB6F1C" w:rsidRPr="00CB6F1C" w:rsidRDefault="00CB6F1C" w:rsidP="00CB6F1C">
      <w:pPr>
        <w:keepNext/>
        <w:keepLines/>
        <w:tabs>
          <w:tab w:val="center" w:pos="284"/>
        </w:tabs>
        <w:overflowPunct w:val="0"/>
        <w:autoSpaceDE w:val="0"/>
        <w:autoSpaceDN w:val="0"/>
        <w:adjustRightInd w:val="0"/>
        <w:ind w:left="266" w:hanging="266"/>
        <w:textAlignment w:val="baseline"/>
        <w:rPr>
          <w:b/>
          <w:lang w:val="en-GB"/>
        </w:rPr>
      </w:pPr>
    </w:p>
    <w:p w14:paraId="1CF17A3E" w14:textId="77777777" w:rsidR="00CB6F1C" w:rsidRPr="00CB6F1C" w:rsidRDefault="00CB6F1C" w:rsidP="00CB6F1C">
      <w:pPr>
        <w:overflowPunct w:val="0"/>
        <w:autoSpaceDE w:val="0"/>
        <w:autoSpaceDN w:val="0"/>
        <w:adjustRightInd w:val="0"/>
        <w:textAlignment w:val="baseline"/>
        <w:rPr>
          <w:bCs/>
          <w:iCs/>
        </w:rPr>
      </w:pPr>
      <w:r>
        <w:t>EKES:</w:t>
      </w:r>
    </w:p>
    <w:p w14:paraId="76EB4DE6" w14:textId="77777777" w:rsidR="00CB6F1C" w:rsidRPr="00CB6F1C" w:rsidRDefault="00CB6F1C" w:rsidP="00CB6F1C">
      <w:pPr>
        <w:overflowPunct w:val="0"/>
        <w:autoSpaceDE w:val="0"/>
        <w:autoSpaceDN w:val="0"/>
        <w:adjustRightInd w:val="0"/>
        <w:textAlignment w:val="baseline"/>
        <w:rPr>
          <w:bCs/>
          <w:iCs/>
          <w:lang w:val="en-GB"/>
        </w:rPr>
      </w:pPr>
    </w:p>
    <w:p w14:paraId="3C18654B" w14:textId="70755F52"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Podkreśla, że </w:t>
      </w:r>
      <w:r>
        <w:rPr>
          <w:b/>
        </w:rPr>
        <w:t>inkluzywność</w:t>
      </w:r>
      <w:r>
        <w:t xml:space="preserve"> ma zasadnicze znaczenie dla legalnego i skutecznego systemu normalizacji, co wymaga </w:t>
      </w:r>
      <w:r>
        <w:rPr>
          <w:b/>
        </w:rPr>
        <w:t>większego udziału MŚP, związków zawodowych i społeczeństwa obywatelskiego</w:t>
      </w:r>
      <w:r>
        <w:t>, wspieranych przez odpowiednie finansowanie, budowanie zdolności i</w:t>
      </w:r>
      <w:r w:rsidR="005C5C88">
        <w:t> </w:t>
      </w:r>
      <w:r>
        <w:t>uproszczony dostęp.</w:t>
      </w:r>
    </w:p>
    <w:p w14:paraId="0EF2C817"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Wzywa do wprowadzenia jasnych zabezpieczeń w celu ochrony dialogu społecznego, podkreślając, że </w:t>
      </w:r>
      <w:r>
        <w:rPr>
          <w:b/>
        </w:rPr>
        <w:t>normy europejskie muszą pozostać narzędziami technicznymi wspierającymi prawodawstwo</w:t>
      </w:r>
      <w:r>
        <w:t xml:space="preserve"> i nie mogą regulować praw pracowniczych, warunków pracy ani rokowań zbiorowych ani ingerować w nie.</w:t>
      </w:r>
    </w:p>
    <w:p w14:paraId="12F2C5AB"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Zaleca </w:t>
      </w:r>
      <w:r>
        <w:rPr>
          <w:b/>
        </w:rPr>
        <w:t>większą przejrzystość</w:t>
      </w:r>
      <w:r>
        <w:t xml:space="preserve"> i dostępność, w tym </w:t>
      </w:r>
      <w:r>
        <w:rPr>
          <w:b/>
        </w:rPr>
        <w:t>łatwiejszy publiczny dostęp do norm</w:t>
      </w:r>
      <w:r>
        <w:t xml:space="preserve">, </w:t>
      </w:r>
      <w:r>
        <w:rPr>
          <w:b/>
        </w:rPr>
        <w:t>jaśniejsze zarządzanie komitetami technicznymi</w:t>
      </w:r>
      <w:r>
        <w:t xml:space="preserve"> oraz </w:t>
      </w:r>
      <w:r>
        <w:rPr>
          <w:b/>
        </w:rPr>
        <w:t>ocenę ex ante wniosków o normalizację</w:t>
      </w:r>
      <w:r>
        <w:t xml:space="preserve"> w celu zapewnienia zgodności z prawami podstawowymi i prawodawstwem UE.</w:t>
      </w:r>
    </w:p>
    <w:p w14:paraId="0695E427" w14:textId="7086D8CF"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Podkreśla strategiczną rolę normalizacji w pobudzaniu jednolitego rynku, konkurencyjności i</w:t>
      </w:r>
      <w:r w:rsidR="005C5C88">
        <w:t> </w:t>
      </w:r>
      <w:r>
        <w:t xml:space="preserve">otwartej strategicznej autonomii, a jednocześnie wzywa do </w:t>
      </w:r>
      <w:r>
        <w:rPr>
          <w:b/>
        </w:rPr>
        <w:t>ściślejszej koordynacji UE w</w:t>
      </w:r>
      <w:r w:rsidR="005C5C88">
        <w:rPr>
          <w:b/>
        </w:rPr>
        <w:t> </w:t>
      </w:r>
      <w:r>
        <w:rPr>
          <w:b/>
        </w:rPr>
        <w:t>ustanawianiu norm międzynarodowych</w:t>
      </w:r>
      <w:r>
        <w:t xml:space="preserve"> w celu ochrony interesów europejskich i wysokich standardów.</w:t>
      </w:r>
    </w:p>
    <w:p w14:paraId="3F5E5408" w14:textId="77777777" w:rsidR="00CB6F1C" w:rsidRPr="00CB6F1C" w:rsidRDefault="00CB6F1C" w:rsidP="004C6742">
      <w:pPr>
        <w:widowControl w:val="0"/>
        <w:numPr>
          <w:ilvl w:val="0"/>
          <w:numId w:val="42"/>
        </w:numPr>
        <w:overflowPunct w:val="0"/>
        <w:autoSpaceDE w:val="0"/>
        <w:autoSpaceDN w:val="0"/>
        <w:adjustRightInd w:val="0"/>
        <w:spacing w:line="276" w:lineRule="auto"/>
        <w:ind w:left="284" w:hanging="284"/>
        <w:textAlignment w:val="baseline"/>
        <w:rPr>
          <w:bCs/>
          <w:iCs/>
        </w:rPr>
      </w:pPr>
      <w:r>
        <w:t xml:space="preserve">Opowiada się za bardziej skutecznym i </w:t>
      </w:r>
      <w:r>
        <w:rPr>
          <w:b/>
        </w:rPr>
        <w:t>dostosowanym do przyszłych wyzwań</w:t>
      </w:r>
      <w:r>
        <w:t xml:space="preserve"> systemem, który poprawi </w:t>
      </w:r>
      <w:r>
        <w:rPr>
          <w:b/>
        </w:rPr>
        <w:t>aktualność</w:t>
      </w:r>
      <w:r>
        <w:t xml:space="preserve"> i jakość, a jednocześnie zajmie się </w:t>
      </w:r>
      <w:r>
        <w:rPr>
          <w:b/>
        </w:rPr>
        <w:t>powstającymi technologiami</w:t>
      </w:r>
      <w:r>
        <w:t xml:space="preserve"> i zapewni, aby normy wspierały innowacje, zrównoważony rozwój i </w:t>
      </w:r>
      <w:r>
        <w:rPr>
          <w:b/>
        </w:rPr>
        <w:t>wysoki poziom ochrony pracowników, konsumentów i środowiska</w:t>
      </w:r>
      <w:r>
        <w:t>.</w:t>
      </w:r>
    </w:p>
    <w:p w14:paraId="20CA82A9" w14:textId="77777777" w:rsidR="00CB6F1C" w:rsidRPr="00CB6F1C" w:rsidRDefault="00CB6F1C" w:rsidP="00CB6F1C">
      <w:pPr>
        <w:widowControl w:val="0"/>
        <w:overflowPunct w:val="0"/>
        <w:autoSpaceDE w:val="0"/>
        <w:autoSpaceDN w:val="0"/>
        <w:adjustRightInd w:val="0"/>
        <w:ind w:left="709"/>
        <w:textAlignment w:val="baseline"/>
        <w:rPr>
          <w:szCs w:val="20"/>
          <w:lang w:val="en-GB"/>
        </w:rPr>
      </w:pPr>
    </w:p>
    <w:tbl>
      <w:tblPr>
        <w:tblStyle w:val="TableGrid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CB6F1C" w:rsidRPr="00CB6F1C" w14:paraId="10996137" w14:textId="77777777" w:rsidTr="002E7EFB">
        <w:tc>
          <w:tcPr>
            <w:tcW w:w="1418" w:type="dxa"/>
          </w:tcPr>
          <w:p w14:paraId="14035960" w14:textId="77777777" w:rsidR="00CB6F1C" w:rsidRPr="00CB6F1C" w:rsidRDefault="00CB6F1C" w:rsidP="00CB6F1C">
            <w:pPr>
              <w:overflowPunct w:val="0"/>
              <w:autoSpaceDE w:val="0"/>
              <w:autoSpaceDN w:val="0"/>
              <w:adjustRightInd w:val="0"/>
              <w:spacing w:line="240" w:lineRule="auto"/>
              <w:textAlignment w:val="baseline"/>
              <w:rPr>
                <w:i/>
              </w:rPr>
            </w:pPr>
            <w:r>
              <w:rPr>
                <w:b/>
                <w:i/>
              </w:rPr>
              <w:t>Kontakt</w:t>
            </w:r>
          </w:p>
        </w:tc>
        <w:tc>
          <w:tcPr>
            <w:tcW w:w="5670" w:type="dxa"/>
          </w:tcPr>
          <w:p w14:paraId="5F887264" w14:textId="77777777" w:rsidR="00CB6F1C" w:rsidRPr="00CB6F1C" w:rsidRDefault="00CB6F1C" w:rsidP="00CB6F1C">
            <w:pPr>
              <w:overflowPunct w:val="0"/>
              <w:autoSpaceDE w:val="0"/>
              <w:autoSpaceDN w:val="0"/>
              <w:adjustRightInd w:val="0"/>
              <w:spacing w:line="240" w:lineRule="auto"/>
              <w:textAlignment w:val="baseline"/>
              <w:rPr>
                <w:i/>
              </w:rPr>
            </w:pPr>
            <w:r>
              <w:rPr>
                <w:i/>
              </w:rPr>
              <w:t>Silvia Staffa</w:t>
            </w:r>
          </w:p>
        </w:tc>
      </w:tr>
      <w:tr w:rsidR="00CB6F1C" w:rsidRPr="00CB6F1C" w14:paraId="79343DDB" w14:textId="77777777" w:rsidTr="002E7EFB">
        <w:tc>
          <w:tcPr>
            <w:tcW w:w="1418" w:type="dxa"/>
          </w:tcPr>
          <w:p w14:paraId="67332A42" w14:textId="77777777" w:rsidR="00CB6F1C" w:rsidRPr="00CB6F1C" w:rsidRDefault="00CB6F1C" w:rsidP="00CB6F1C">
            <w:pPr>
              <w:overflowPunct w:val="0"/>
              <w:autoSpaceDE w:val="0"/>
              <w:autoSpaceDN w:val="0"/>
              <w:adjustRightInd w:val="0"/>
              <w:spacing w:line="240" w:lineRule="auto"/>
              <w:textAlignment w:val="baseline"/>
              <w:rPr>
                <w:i/>
              </w:rPr>
            </w:pPr>
            <w:r>
              <w:rPr>
                <w:i/>
              </w:rPr>
              <w:t>tel.</w:t>
            </w:r>
          </w:p>
        </w:tc>
        <w:tc>
          <w:tcPr>
            <w:tcW w:w="5670" w:type="dxa"/>
          </w:tcPr>
          <w:p w14:paraId="30E9176B" w14:textId="77777777" w:rsidR="00CB6F1C" w:rsidRPr="00CB6F1C" w:rsidRDefault="00CB6F1C" w:rsidP="00CB6F1C">
            <w:pPr>
              <w:overflowPunct w:val="0"/>
              <w:autoSpaceDE w:val="0"/>
              <w:autoSpaceDN w:val="0"/>
              <w:adjustRightInd w:val="0"/>
              <w:spacing w:line="240" w:lineRule="auto"/>
              <w:textAlignment w:val="baseline"/>
              <w:rPr>
                <w:i/>
              </w:rPr>
            </w:pPr>
            <w:r>
              <w:rPr>
                <w:i/>
              </w:rPr>
              <w:t>+32 25468378</w:t>
            </w:r>
          </w:p>
        </w:tc>
      </w:tr>
      <w:tr w:rsidR="00CB6F1C" w:rsidRPr="00CB6F1C" w14:paraId="47D09906" w14:textId="77777777" w:rsidTr="002E7EFB">
        <w:tc>
          <w:tcPr>
            <w:tcW w:w="1418" w:type="dxa"/>
          </w:tcPr>
          <w:p w14:paraId="64360087" w14:textId="77777777" w:rsidR="00CB6F1C" w:rsidRPr="00CB6F1C" w:rsidRDefault="00CB6F1C" w:rsidP="00CB6F1C">
            <w:pPr>
              <w:overflowPunct w:val="0"/>
              <w:autoSpaceDE w:val="0"/>
              <w:autoSpaceDN w:val="0"/>
              <w:adjustRightInd w:val="0"/>
              <w:spacing w:line="240" w:lineRule="auto"/>
              <w:textAlignment w:val="baseline"/>
              <w:rPr>
                <w:i/>
              </w:rPr>
            </w:pPr>
            <w:r>
              <w:rPr>
                <w:i/>
              </w:rPr>
              <w:t>e-mail</w:t>
            </w:r>
          </w:p>
        </w:tc>
        <w:tc>
          <w:tcPr>
            <w:tcW w:w="5670" w:type="dxa"/>
          </w:tcPr>
          <w:p w14:paraId="06BF328F" w14:textId="6F5F30DC" w:rsidR="00CB6F1C" w:rsidRPr="00CB6F1C" w:rsidRDefault="00651F28" w:rsidP="00CB6F1C">
            <w:pPr>
              <w:overflowPunct w:val="0"/>
              <w:autoSpaceDE w:val="0"/>
              <w:autoSpaceDN w:val="0"/>
              <w:adjustRightInd w:val="0"/>
              <w:spacing w:line="240" w:lineRule="auto"/>
              <w:textAlignment w:val="baseline"/>
              <w:rPr>
                <w:i/>
              </w:rPr>
            </w:pPr>
            <w:hyperlink r:id="rId52" w:history="1">
              <w:r>
                <w:rPr>
                  <w:i/>
                  <w:color w:val="0000FF"/>
                  <w:u w:val="single"/>
                </w:rPr>
                <w:t>Silvia.Staffa@eesc.europa.eu</w:t>
              </w:r>
            </w:hyperlink>
          </w:p>
          <w:p w14:paraId="7003408F" w14:textId="77777777" w:rsidR="00CB6F1C" w:rsidRPr="00CB6F1C" w:rsidRDefault="00CB6F1C" w:rsidP="00CB6F1C">
            <w:pPr>
              <w:overflowPunct w:val="0"/>
              <w:autoSpaceDE w:val="0"/>
              <w:autoSpaceDN w:val="0"/>
              <w:adjustRightInd w:val="0"/>
              <w:spacing w:line="240" w:lineRule="auto"/>
              <w:textAlignment w:val="baseline"/>
              <w:rPr>
                <w:i/>
              </w:rPr>
            </w:pPr>
          </w:p>
        </w:tc>
      </w:tr>
    </w:tbl>
    <w:p w14:paraId="3187E665" w14:textId="3690C612" w:rsidR="00CB6F1C" w:rsidRDefault="00CB6F1C" w:rsidP="001766B2">
      <w:pPr>
        <w:pStyle w:val="ListParagraph"/>
        <w:ind w:left="0"/>
      </w:pPr>
    </w:p>
    <w:p w14:paraId="6B0B7BA6" w14:textId="77777777" w:rsidR="00CB6F1C" w:rsidRDefault="00CB6F1C">
      <w:pPr>
        <w:spacing w:after="160" w:line="259" w:lineRule="auto"/>
        <w:jc w:val="left"/>
      </w:pPr>
      <w:r>
        <w:br w:type="page"/>
      </w:r>
    </w:p>
    <w:p w14:paraId="2AE1B217" w14:textId="53406223" w:rsidR="001F4150" w:rsidRPr="001F4150" w:rsidRDefault="00A067F3" w:rsidP="004C6742">
      <w:pPr>
        <w:widowControl w:val="0"/>
        <w:numPr>
          <w:ilvl w:val="0"/>
          <w:numId w:val="15"/>
        </w:numPr>
        <w:overflowPunct w:val="0"/>
        <w:autoSpaceDE w:val="0"/>
        <w:autoSpaceDN w:val="0"/>
        <w:adjustRightInd w:val="0"/>
        <w:spacing w:after="200" w:line="276" w:lineRule="auto"/>
        <w:ind w:left="567" w:hanging="567"/>
        <w:contextualSpacing/>
        <w:jc w:val="left"/>
        <w:textAlignment w:val="baseline"/>
        <w:rPr>
          <w:b/>
          <w:sz w:val="28"/>
          <w:szCs w:val="28"/>
        </w:rPr>
      </w:pPr>
      <w:hyperlink r:id="rId53" w:history="1">
        <w:r>
          <w:rPr>
            <w:b/>
            <w:i/>
            <w:color w:val="0000FF"/>
            <w:sz w:val="28"/>
            <w:u w:val="single"/>
          </w:rPr>
          <w:t>Jednolity rynek – rozwiązanie problemu nieuzasadnionych terytorialnych ograniczeń dostaw</w:t>
        </w:r>
      </w:hyperlink>
    </w:p>
    <w:tbl>
      <w:tblPr>
        <w:tblStyle w:val="TableGrid17"/>
        <w:tblW w:w="47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6821"/>
      </w:tblGrid>
      <w:tr w:rsidR="001F4150" w:rsidRPr="001F4150" w14:paraId="27380A90" w14:textId="77777777" w:rsidTr="002E7EFB">
        <w:tc>
          <w:tcPr>
            <w:tcW w:w="1148" w:type="pct"/>
          </w:tcPr>
          <w:p w14:paraId="2F79F3A7"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p w14:paraId="7485093C"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Sprawozdawczyni</w:t>
            </w:r>
          </w:p>
          <w:p w14:paraId="2EC02C26"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p>
        </w:tc>
        <w:tc>
          <w:tcPr>
            <w:tcW w:w="3852" w:type="pct"/>
          </w:tcPr>
          <w:p w14:paraId="1D6A7045" w14:textId="77777777" w:rsidR="001F4150" w:rsidRPr="001F4150" w:rsidRDefault="001F4150" w:rsidP="001F4150">
            <w:pPr>
              <w:tabs>
                <w:tab w:val="center" w:pos="284"/>
              </w:tabs>
              <w:overflowPunct w:val="0"/>
              <w:autoSpaceDE w:val="0"/>
              <w:autoSpaceDN w:val="0"/>
              <w:adjustRightInd w:val="0"/>
              <w:ind w:left="266" w:hanging="266"/>
              <w:textAlignment w:val="baseline"/>
            </w:pPr>
          </w:p>
          <w:p w14:paraId="1761BEF7" w14:textId="4E47E597" w:rsidR="001F4150" w:rsidRPr="001F4150" w:rsidRDefault="001F4150" w:rsidP="001F4150">
            <w:pPr>
              <w:tabs>
                <w:tab w:val="center" w:pos="284"/>
              </w:tabs>
              <w:overflowPunct w:val="0"/>
              <w:autoSpaceDE w:val="0"/>
              <w:autoSpaceDN w:val="0"/>
              <w:adjustRightInd w:val="0"/>
              <w:ind w:left="266" w:hanging="266"/>
              <w:textAlignment w:val="baseline"/>
            </w:pPr>
            <w:r>
              <w:t>Antje GERSTEIN (Grupa Pracodawców – DE)</w:t>
            </w:r>
          </w:p>
          <w:p w14:paraId="1BE7D08A" w14:textId="77777777" w:rsidR="001F4150" w:rsidRPr="001F4150" w:rsidRDefault="001F4150" w:rsidP="001F4150">
            <w:pPr>
              <w:tabs>
                <w:tab w:val="center" w:pos="284"/>
              </w:tabs>
              <w:overflowPunct w:val="0"/>
              <w:autoSpaceDE w:val="0"/>
              <w:autoSpaceDN w:val="0"/>
              <w:adjustRightInd w:val="0"/>
              <w:ind w:left="266" w:hanging="266"/>
              <w:textAlignment w:val="baseline"/>
              <w:rPr>
                <w:lang w:val="fr-BE"/>
              </w:rPr>
            </w:pPr>
          </w:p>
        </w:tc>
      </w:tr>
      <w:tr w:rsidR="001F4150" w:rsidRPr="001F4150" w14:paraId="0CDF272C" w14:textId="77777777" w:rsidTr="002E7EFB">
        <w:tc>
          <w:tcPr>
            <w:tcW w:w="1148" w:type="pct"/>
            <w:vMerge w:val="restart"/>
          </w:tcPr>
          <w:p w14:paraId="2BF9F448" w14:textId="77777777" w:rsidR="001F4150" w:rsidRPr="001F4150" w:rsidRDefault="001F4150" w:rsidP="001F4150">
            <w:pPr>
              <w:tabs>
                <w:tab w:val="center" w:pos="284"/>
              </w:tabs>
              <w:overflowPunct w:val="0"/>
              <w:autoSpaceDE w:val="0"/>
              <w:autoSpaceDN w:val="0"/>
              <w:adjustRightInd w:val="0"/>
              <w:ind w:left="266" w:hanging="376"/>
              <w:textAlignment w:val="baseline"/>
              <w:rPr>
                <w:b/>
              </w:rPr>
            </w:pPr>
            <w:r>
              <w:rPr>
                <w:b/>
              </w:rPr>
              <w:t>Dokumenty</w:t>
            </w:r>
          </w:p>
        </w:tc>
        <w:tc>
          <w:tcPr>
            <w:tcW w:w="3852" w:type="pct"/>
          </w:tcPr>
          <w:p w14:paraId="2F1D29F3" w14:textId="714FA805" w:rsidR="001F4150" w:rsidRPr="001F4150" w:rsidRDefault="001F4150" w:rsidP="001F4150">
            <w:pPr>
              <w:tabs>
                <w:tab w:val="center" w:pos="284"/>
              </w:tabs>
              <w:overflowPunct w:val="0"/>
              <w:autoSpaceDE w:val="0"/>
              <w:autoSpaceDN w:val="0"/>
              <w:adjustRightInd w:val="0"/>
              <w:ind w:left="266" w:hanging="266"/>
              <w:textAlignment w:val="baseline"/>
            </w:pPr>
            <w:r>
              <w:t>Opinia rozpoznawcza na wniosek Komisji Europejskiej</w:t>
            </w:r>
          </w:p>
        </w:tc>
      </w:tr>
      <w:tr w:rsidR="001F4150" w:rsidRPr="001F4150" w14:paraId="64A253EA" w14:textId="77777777" w:rsidTr="002E7EFB">
        <w:tc>
          <w:tcPr>
            <w:tcW w:w="1148" w:type="pct"/>
            <w:vMerge/>
          </w:tcPr>
          <w:p w14:paraId="67EE78EE" w14:textId="77777777" w:rsidR="001F4150" w:rsidRPr="001F4150" w:rsidRDefault="001F4150" w:rsidP="001F4150">
            <w:pPr>
              <w:tabs>
                <w:tab w:val="center" w:pos="284"/>
              </w:tabs>
              <w:overflowPunct w:val="0"/>
              <w:autoSpaceDE w:val="0"/>
              <w:autoSpaceDN w:val="0"/>
              <w:adjustRightInd w:val="0"/>
              <w:ind w:left="266" w:hanging="266"/>
              <w:textAlignment w:val="baseline"/>
              <w:rPr>
                <w:b/>
              </w:rPr>
            </w:pPr>
          </w:p>
        </w:tc>
        <w:tc>
          <w:tcPr>
            <w:tcW w:w="3852" w:type="pct"/>
          </w:tcPr>
          <w:p w14:paraId="42A23A45" w14:textId="373FB450" w:rsidR="001F4150" w:rsidRPr="001F4150" w:rsidRDefault="001F4150" w:rsidP="001F4150">
            <w:pPr>
              <w:tabs>
                <w:tab w:val="center" w:pos="284"/>
              </w:tabs>
              <w:overflowPunct w:val="0"/>
              <w:autoSpaceDE w:val="0"/>
              <w:autoSpaceDN w:val="0"/>
              <w:adjustRightInd w:val="0"/>
              <w:ind w:left="266" w:hanging="266"/>
              <w:textAlignment w:val="baseline"/>
            </w:pPr>
            <w:r>
              <w:t>EESC-2026-00673-00-00-AC</w:t>
            </w:r>
          </w:p>
        </w:tc>
      </w:tr>
    </w:tbl>
    <w:p w14:paraId="427A1299"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60284235"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rPr>
      </w:pPr>
      <w:r>
        <w:rPr>
          <w:b/>
        </w:rPr>
        <w:t>Główne punkty</w:t>
      </w:r>
    </w:p>
    <w:p w14:paraId="0380E82A" w14:textId="77777777" w:rsidR="001F4150" w:rsidRPr="001F4150" w:rsidRDefault="001F4150" w:rsidP="001F4150">
      <w:pPr>
        <w:keepNext/>
        <w:keepLines/>
        <w:tabs>
          <w:tab w:val="center" w:pos="284"/>
        </w:tabs>
        <w:overflowPunct w:val="0"/>
        <w:autoSpaceDE w:val="0"/>
        <w:autoSpaceDN w:val="0"/>
        <w:adjustRightInd w:val="0"/>
        <w:ind w:left="266" w:hanging="266"/>
        <w:textAlignment w:val="baseline"/>
        <w:rPr>
          <w:b/>
          <w:lang w:val="en-GB"/>
        </w:rPr>
      </w:pPr>
    </w:p>
    <w:p w14:paraId="03573EDF" w14:textId="77777777" w:rsidR="001F4150" w:rsidRPr="001F4150" w:rsidRDefault="001F4150" w:rsidP="001F4150">
      <w:pPr>
        <w:overflowPunct w:val="0"/>
        <w:autoSpaceDE w:val="0"/>
        <w:autoSpaceDN w:val="0"/>
        <w:adjustRightInd w:val="0"/>
        <w:textAlignment w:val="baseline"/>
        <w:rPr>
          <w:bCs/>
          <w:iCs/>
        </w:rPr>
      </w:pPr>
      <w:r>
        <w:t>EKES:</w:t>
      </w:r>
    </w:p>
    <w:p w14:paraId="4513998C" w14:textId="77777777" w:rsidR="001F4150" w:rsidRPr="001F4150" w:rsidRDefault="001F4150" w:rsidP="001F4150">
      <w:pPr>
        <w:overflowPunct w:val="0"/>
        <w:autoSpaceDE w:val="0"/>
        <w:autoSpaceDN w:val="0"/>
        <w:adjustRightInd w:val="0"/>
        <w:textAlignment w:val="baseline"/>
        <w:rPr>
          <w:bCs/>
          <w:iCs/>
          <w:lang w:val="en-GB"/>
        </w:rPr>
      </w:pPr>
    </w:p>
    <w:p w14:paraId="1BF673F7" w14:textId="0F97A7F8"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Uważa, że terytorialne ograniczenia dostaw szkodzą transgranicznej działalności gospodarczej i</w:t>
      </w:r>
      <w:r w:rsidR="005C5C88">
        <w:t> </w:t>
      </w:r>
      <w:r>
        <w:t>łamią obietnicę jednolitego rynku – zapewnienia konsumentom wyboru i konkurencji cenowej.</w:t>
      </w:r>
    </w:p>
    <w:p w14:paraId="58CB97FB"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Sądzi, że szczególnie ważne jest, aby konsumenci i pracownicy wykorzystali wszystkie potencjalne korzyści płynące z dobrze funkcjonującego jednolitego rynku pod względem cen i wyboru produktów.</w:t>
      </w:r>
    </w:p>
    <w:p w14:paraId="15925C71" w14:textId="2F48D624"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Wzywa państwa członkowskie, by nie przyjmowały przepisów krajowych, które jeszcze bardziej znacjonalizowałyby rynek zaopatrzenia, lecz aby zamiast tego zniosły nieuzasadnione bariery w</w:t>
      </w:r>
      <w:r w:rsidR="005C5C88">
        <w:t> </w:t>
      </w:r>
      <w:r>
        <w:t>swobodnym przepływie towarów bez podważania uzasadnionych wymogów ochrony konsumentów.</w:t>
      </w:r>
    </w:p>
    <w:p w14:paraId="2AF10FE0" w14:textId="77777777" w:rsidR="001F4150" w:rsidRPr="001F4150" w:rsidRDefault="001F4150" w:rsidP="004C6742">
      <w:pPr>
        <w:widowControl w:val="0"/>
        <w:numPr>
          <w:ilvl w:val="0"/>
          <w:numId w:val="39"/>
        </w:numPr>
        <w:overflowPunct w:val="0"/>
        <w:autoSpaceDE w:val="0"/>
        <w:autoSpaceDN w:val="0"/>
        <w:adjustRightInd w:val="0"/>
        <w:ind w:left="284" w:hanging="284"/>
        <w:textAlignment w:val="baseline"/>
        <w:rPr>
          <w:szCs w:val="20"/>
        </w:rPr>
      </w:pPr>
      <w:r>
        <w:t>Dostrzega wartość dodaną zbadania możliwości opracowania wytycznych dla krajowych organów ochrony konkurencji i odpowiednich zainteresowanych stron.</w:t>
      </w:r>
    </w:p>
    <w:p w14:paraId="7CFAE062" w14:textId="35B9DA7A" w:rsidR="001F4150" w:rsidRPr="001F4150" w:rsidRDefault="001F4150" w:rsidP="004C6742">
      <w:pPr>
        <w:numPr>
          <w:ilvl w:val="0"/>
          <w:numId w:val="39"/>
        </w:numPr>
        <w:overflowPunct w:val="0"/>
        <w:autoSpaceDE w:val="0"/>
        <w:autoSpaceDN w:val="0"/>
        <w:adjustRightInd w:val="0"/>
        <w:spacing w:after="200" w:line="276" w:lineRule="auto"/>
        <w:ind w:left="284" w:hanging="284"/>
        <w:contextualSpacing/>
        <w:textAlignment w:val="baseline"/>
        <w:rPr>
          <w:szCs w:val="20"/>
        </w:rPr>
      </w:pPr>
      <w:r>
        <w:t>Zwraca się do Komisji Europejskiej o rozważenie przedstawienia wniosku dotyczącego przepisów opartych na zasadach aktu o rynkach cyfrowych lub dyrektywy w sprawie nieuczciwych praktyk handlowych w łańcuchu dostaw produktów rolno-spożywczych, aby skutecznie zaradzić terytorialnym ograniczeniom dostaw i zapewnić bardziej sprawiedliwe praktyki handlowe w</w:t>
      </w:r>
      <w:r w:rsidR="005C5C88">
        <w:t> </w:t>
      </w:r>
      <w:r>
        <w:t>łańcuchu dostaw.</w:t>
      </w:r>
    </w:p>
    <w:p w14:paraId="08DE9FF7" w14:textId="77777777" w:rsidR="001F4150" w:rsidRPr="001F4150" w:rsidRDefault="001F4150" w:rsidP="001F4150">
      <w:pPr>
        <w:widowControl w:val="0"/>
        <w:overflowPunct w:val="0"/>
        <w:autoSpaceDE w:val="0"/>
        <w:autoSpaceDN w:val="0"/>
        <w:adjustRightInd w:val="0"/>
        <w:ind w:left="567"/>
        <w:textAlignment w:val="baseline"/>
        <w:rPr>
          <w:szCs w:val="20"/>
          <w:lang w:val="en-GB"/>
        </w:rPr>
      </w:pPr>
    </w:p>
    <w:tbl>
      <w:tblPr>
        <w:tblStyle w:val="TableGrid17"/>
        <w:tblW w:w="351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3"/>
        <w:gridCol w:w="4499"/>
      </w:tblGrid>
      <w:tr w:rsidR="001F4150" w:rsidRPr="001F4150" w14:paraId="040FF66B" w14:textId="77777777" w:rsidTr="002E7EFB">
        <w:tc>
          <w:tcPr>
            <w:tcW w:w="1556" w:type="pct"/>
          </w:tcPr>
          <w:p w14:paraId="5FAB806C" w14:textId="77777777" w:rsidR="001F4150" w:rsidRPr="001F4150" w:rsidRDefault="001F4150" w:rsidP="001F4150">
            <w:pPr>
              <w:overflowPunct w:val="0"/>
              <w:autoSpaceDE w:val="0"/>
              <w:autoSpaceDN w:val="0"/>
              <w:adjustRightInd w:val="0"/>
              <w:spacing w:line="240" w:lineRule="auto"/>
              <w:textAlignment w:val="baseline"/>
              <w:rPr>
                <w:i/>
              </w:rPr>
            </w:pPr>
            <w:r>
              <w:rPr>
                <w:b/>
                <w:i/>
              </w:rPr>
              <w:t>Kontakt</w:t>
            </w:r>
          </w:p>
        </w:tc>
        <w:tc>
          <w:tcPr>
            <w:tcW w:w="3444" w:type="pct"/>
          </w:tcPr>
          <w:p w14:paraId="516AAA31" w14:textId="77777777" w:rsidR="001F4150" w:rsidRPr="001F4150" w:rsidRDefault="001F4150" w:rsidP="001F4150">
            <w:pPr>
              <w:overflowPunct w:val="0"/>
              <w:autoSpaceDE w:val="0"/>
              <w:autoSpaceDN w:val="0"/>
              <w:adjustRightInd w:val="0"/>
              <w:spacing w:line="240" w:lineRule="auto"/>
              <w:textAlignment w:val="baseline"/>
              <w:rPr>
                <w:i/>
              </w:rPr>
            </w:pPr>
            <w:r>
              <w:rPr>
                <w:i/>
              </w:rPr>
              <w:t>Annalisa Tessarolo</w:t>
            </w:r>
          </w:p>
        </w:tc>
      </w:tr>
      <w:tr w:rsidR="001F4150" w:rsidRPr="001F4150" w14:paraId="5B08B574" w14:textId="77777777" w:rsidTr="002E7EFB">
        <w:tc>
          <w:tcPr>
            <w:tcW w:w="1556" w:type="pct"/>
          </w:tcPr>
          <w:p w14:paraId="736D0776" w14:textId="77777777" w:rsidR="001F4150" w:rsidRPr="001F4150" w:rsidRDefault="001F4150" w:rsidP="001F4150">
            <w:pPr>
              <w:overflowPunct w:val="0"/>
              <w:autoSpaceDE w:val="0"/>
              <w:autoSpaceDN w:val="0"/>
              <w:adjustRightInd w:val="0"/>
              <w:spacing w:line="240" w:lineRule="auto"/>
              <w:textAlignment w:val="baseline"/>
              <w:rPr>
                <w:i/>
              </w:rPr>
            </w:pPr>
            <w:r>
              <w:rPr>
                <w:i/>
              </w:rPr>
              <w:t>tel.</w:t>
            </w:r>
          </w:p>
        </w:tc>
        <w:tc>
          <w:tcPr>
            <w:tcW w:w="3444" w:type="pct"/>
          </w:tcPr>
          <w:p w14:paraId="38C43A98" w14:textId="77777777" w:rsidR="001F4150" w:rsidRPr="001F4150" w:rsidRDefault="001F4150" w:rsidP="001F4150">
            <w:pPr>
              <w:overflowPunct w:val="0"/>
              <w:autoSpaceDE w:val="0"/>
              <w:autoSpaceDN w:val="0"/>
              <w:adjustRightInd w:val="0"/>
              <w:spacing w:line="240" w:lineRule="auto"/>
              <w:textAlignment w:val="baseline"/>
              <w:rPr>
                <w:i/>
              </w:rPr>
            </w:pPr>
            <w:r>
              <w:rPr>
                <w:i/>
              </w:rPr>
              <w:t>+32 25469732</w:t>
            </w:r>
          </w:p>
        </w:tc>
      </w:tr>
      <w:tr w:rsidR="001F4150" w:rsidRPr="001F4150" w14:paraId="1C237976" w14:textId="77777777" w:rsidTr="002E7EFB">
        <w:tc>
          <w:tcPr>
            <w:tcW w:w="1556" w:type="pct"/>
          </w:tcPr>
          <w:p w14:paraId="782613FB" w14:textId="21F52E77" w:rsidR="001F4150" w:rsidRPr="001F4150" w:rsidRDefault="00785300" w:rsidP="001F4150">
            <w:pPr>
              <w:overflowPunct w:val="0"/>
              <w:autoSpaceDE w:val="0"/>
              <w:autoSpaceDN w:val="0"/>
              <w:adjustRightInd w:val="0"/>
              <w:spacing w:line="240" w:lineRule="auto"/>
              <w:textAlignment w:val="baseline"/>
              <w:rPr>
                <w:i/>
              </w:rPr>
            </w:pPr>
            <w:r>
              <w:rPr>
                <w:i/>
              </w:rPr>
              <w:t>e-mail</w:t>
            </w:r>
          </w:p>
        </w:tc>
        <w:tc>
          <w:tcPr>
            <w:tcW w:w="3444" w:type="pct"/>
          </w:tcPr>
          <w:p w14:paraId="67D97326" w14:textId="23D86703" w:rsidR="001F4150" w:rsidRPr="001F4150" w:rsidRDefault="00651F28" w:rsidP="001F4150">
            <w:pPr>
              <w:overflowPunct w:val="0"/>
              <w:autoSpaceDE w:val="0"/>
              <w:autoSpaceDN w:val="0"/>
              <w:adjustRightInd w:val="0"/>
              <w:spacing w:line="240" w:lineRule="auto"/>
              <w:textAlignment w:val="baseline"/>
              <w:rPr>
                <w:i/>
                <w:iCs/>
              </w:rPr>
            </w:pPr>
            <w:hyperlink r:id="rId54" w:history="1">
              <w:r>
                <w:rPr>
                  <w:i/>
                  <w:color w:val="0000FF"/>
                  <w:u w:val="single"/>
                </w:rPr>
                <w:t>Annalisa.Tessarolo@eesc.europa.eu</w:t>
              </w:r>
            </w:hyperlink>
          </w:p>
        </w:tc>
      </w:tr>
    </w:tbl>
    <w:p w14:paraId="47AF9916" w14:textId="133CA2E1" w:rsidR="004619A5" w:rsidRDefault="004619A5" w:rsidP="001766B2">
      <w:pPr>
        <w:pStyle w:val="ListParagraph"/>
        <w:ind w:left="0"/>
      </w:pPr>
    </w:p>
    <w:p w14:paraId="18413C27" w14:textId="77777777" w:rsidR="004619A5" w:rsidRDefault="004619A5">
      <w:pPr>
        <w:spacing w:after="160" w:line="259" w:lineRule="auto"/>
        <w:jc w:val="left"/>
      </w:pPr>
      <w:r>
        <w:br w:type="page"/>
      </w:r>
    </w:p>
    <w:p w14:paraId="3EFBC0D9" w14:textId="2519927F" w:rsidR="00227AA1" w:rsidRPr="00227AA1" w:rsidRDefault="00651F28" w:rsidP="00227AA1">
      <w:pPr>
        <w:widowControl w:val="0"/>
        <w:numPr>
          <w:ilvl w:val="0"/>
          <w:numId w:val="4"/>
        </w:numPr>
        <w:overflowPunct w:val="0"/>
        <w:autoSpaceDE w:val="0"/>
        <w:autoSpaceDN w:val="0"/>
        <w:adjustRightInd w:val="0"/>
        <w:ind w:hanging="567"/>
        <w:textAlignment w:val="baseline"/>
        <w:rPr>
          <w:sz w:val="20"/>
          <w:szCs w:val="20"/>
        </w:rPr>
      </w:pPr>
      <w:hyperlink r:id="rId55" w:tgtFrame="_blank" w:history="1">
        <w:r>
          <w:rPr>
            <w:b/>
            <w:i/>
            <w:color w:val="0000FF"/>
            <w:sz w:val="28"/>
            <w:u w:val="single"/>
          </w:rPr>
          <w:t>Unijna strategia na rzecz przedsiębiorstw typu start-up i scale-up – ze szczególnym uwzględnieniem europejskiego aktu o innowacjach</w:t>
        </w:r>
      </w:hyperlink>
    </w:p>
    <w:p w14:paraId="5B220B7D" w14:textId="77777777" w:rsidR="00227AA1" w:rsidRPr="00227AA1" w:rsidRDefault="00227AA1" w:rsidP="00227AA1">
      <w:pPr>
        <w:tabs>
          <w:tab w:val="center" w:pos="284"/>
        </w:tabs>
        <w:overflowPunct w:val="0"/>
        <w:autoSpaceDE w:val="0"/>
        <w:autoSpaceDN w:val="0"/>
        <w:adjustRightInd w:val="0"/>
        <w:ind w:left="266" w:hanging="266"/>
        <w:textAlignment w:val="baseline"/>
        <w:rPr>
          <w:b/>
          <w:lang w:val="en-GB"/>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663"/>
      </w:tblGrid>
      <w:tr w:rsidR="00227AA1" w:rsidRPr="00227AA1" w14:paraId="6C2F2EA8" w14:textId="77777777" w:rsidTr="004C6742">
        <w:tc>
          <w:tcPr>
            <w:tcW w:w="1701" w:type="dxa"/>
          </w:tcPr>
          <w:p w14:paraId="441F9F44"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Sprawozdawca</w:t>
            </w:r>
          </w:p>
        </w:tc>
        <w:tc>
          <w:tcPr>
            <w:tcW w:w="6663" w:type="dxa"/>
          </w:tcPr>
          <w:p w14:paraId="0C2DB9EA" w14:textId="7F8CAD64" w:rsidR="00227AA1" w:rsidRPr="00227AA1" w:rsidRDefault="00227AA1" w:rsidP="00227AA1">
            <w:pPr>
              <w:tabs>
                <w:tab w:val="center" w:pos="284"/>
              </w:tabs>
              <w:overflowPunct w:val="0"/>
              <w:autoSpaceDE w:val="0"/>
              <w:autoSpaceDN w:val="0"/>
              <w:adjustRightInd w:val="0"/>
              <w:ind w:left="266" w:hanging="266"/>
              <w:textAlignment w:val="baseline"/>
            </w:pPr>
            <w:r>
              <w:t>Paul RÜBIG (Grupa Pracodawców – AT)</w:t>
            </w:r>
          </w:p>
          <w:p w14:paraId="5142010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r w:rsidR="00227AA1" w:rsidRPr="00227AA1" w14:paraId="35AF9FA7" w14:textId="77777777" w:rsidTr="004C6742">
        <w:tc>
          <w:tcPr>
            <w:tcW w:w="8364" w:type="dxa"/>
            <w:gridSpan w:val="2"/>
          </w:tcPr>
          <w:p w14:paraId="691DC230" w14:textId="77777777" w:rsidR="00227AA1" w:rsidRPr="00227AA1" w:rsidRDefault="00227AA1" w:rsidP="00227AA1">
            <w:pPr>
              <w:tabs>
                <w:tab w:val="center" w:pos="284"/>
              </w:tabs>
              <w:overflowPunct w:val="0"/>
              <w:autoSpaceDE w:val="0"/>
              <w:autoSpaceDN w:val="0"/>
              <w:adjustRightInd w:val="0"/>
              <w:spacing w:line="160" w:lineRule="exact"/>
              <w:ind w:left="266" w:hanging="266"/>
              <w:textAlignment w:val="baseline"/>
            </w:pPr>
          </w:p>
        </w:tc>
      </w:tr>
      <w:tr w:rsidR="00227AA1" w:rsidRPr="00227AA1" w14:paraId="24C7D08D" w14:textId="77777777" w:rsidTr="004C6742">
        <w:tc>
          <w:tcPr>
            <w:tcW w:w="1701" w:type="dxa"/>
            <w:vMerge w:val="restart"/>
          </w:tcPr>
          <w:p w14:paraId="2D8C98F2"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r>
              <w:rPr>
                <w:b/>
              </w:rPr>
              <w:t>Dokumenty</w:t>
            </w:r>
          </w:p>
        </w:tc>
        <w:tc>
          <w:tcPr>
            <w:tcW w:w="6663" w:type="dxa"/>
          </w:tcPr>
          <w:p w14:paraId="05D43623" w14:textId="3773BAC0" w:rsidR="00227AA1" w:rsidRPr="00227AA1" w:rsidRDefault="00227AA1" w:rsidP="00227AA1">
            <w:pPr>
              <w:tabs>
                <w:tab w:val="center" w:pos="284"/>
              </w:tabs>
              <w:overflowPunct w:val="0"/>
              <w:autoSpaceDE w:val="0"/>
              <w:autoSpaceDN w:val="0"/>
              <w:adjustRightInd w:val="0"/>
              <w:ind w:left="266" w:hanging="266"/>
              <w:textAlignment w:val="baseline"/>
            </w:pPr>
            <w:r>
              <w:t>Opinia rozpoznawcza na wniosek cypryjskiej prezydencji Rady UE</w:t>
            </w:r>
          </w:p>
          <w:p w14:paraId="392D955D" w14:textId="77777777" w:rsidR="00227AA1" w:rsidRPr="00227AA1" w:rsidRDefault="00227AA1" w:rsidP="00227AA1">
            <w:pPr>
              <w:tabs>
                <w:tab w:val="center" w:pos="284"/>
              </w:tabs>
              <w:overflowPunct w:val="0"/>
              <w:autoSpaceDE w:val="0"/>
              <w:autoSpaceDN w:val="0"/>
              <w:adjustRightInd w:val="0"/>
              <w:ind w:left="266" w:hanging="266"/>
              <w:textAlignment w:val="baseline"/>
            </w:pPr>
            <w:r>
              <w:t>EESC-2025-04126-00-00-AC</w:t>
            </w:r>
          </w:p>
        </w:tc>
      </w:tr>
      <w:tr w:rsidR="00227AA1" w:rsidRPr="00227AA1" w14:paraId="2384CA2A" w14:textId="77777777" w:rsidTr="004C6742">
        <w:tc>
          <w:tcPr>
            <w:tcW w:w="1701" w:type="dxa"/>
            <w:vMerge/>
          </w:tcPr>
          <w:p w14:paraId="20987ACE" w14:textId="77777777" w:rsidR="00227AA1" w:rsidRPr="00227AA1" w:rsidRDefault="00227AA1" w:rsidP="00227AA1">
            <w:pPr>
              <w:tabs>
                <w:tab w:val="center" w:pos="284"/>
              </w:tabs>
              <w:overflowPunct w:val="0"/>
              <w:autoSpaceDE w:val="0"/>
              <w:autoSpaceDN w:val="0"/>
              <w:adjustRightInd w:val="0"/>
              <w:ind w:left="266" w:hanging="266"/>
              <w:textAlignment w:val="baseline"/>
              <w:rPr>
                <w:b/>
              </w:rPr>
            </w:pPr>
          </w:p>
        </w:tc>
        <w:tc>
          <w:tcPr>
            <w:tcW w:w="6663" w:type="dxa"/>
          </w:tcPr>
          <w:p w14:paraId="14ABF28D" w14:textId="77777777" w:rsidR="00227AA1" w:rsidRPr="00227AA1" w:rsidRDefault="00227AA1" w:rsidP="00227AA1">
            <w:pPr>
              <w:tabs>
                <w:tab w:val="center" w:pos="284"/>
              </w:tabs>
              <w:overflowPunct w:val="0"/>
              <w:autoSpaceDE w:val="0"/>
              <w:autoSpaceDN w:val="0"/>
              <w:adjustRightInd w:val="0"/>
              <w:ind w:left="266" w:hanging="266"/>
              <w:textAlignment w:val="baseline"/>
            </w:pPr>
          </w:p>
        </w:tc>
      </w:tr>
    </w:tbl>
    <w:p w14:paraId="384C76EA"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rPr>
      </w:pPr>
      <w:r>
        <w:rPr>
          <w:b/>
        </w:rPr>
        <w:t>Główne punkty</w:t>
      </w:r>
    </w:p>
    <w:p w14:paraId="687AB7B0" w14:textId="77777777" w:rsidR="00227AA1" w:rsidRPr="00227AA1" w:rsidRDefault="00227AA1" w:rsidP="00227AA1">
      <w:pPr>
        <w:keepNext/>
        <w:keepLines/>
        <w:tabs>
          <w:tab w:val="center" w:pos="284"/>
        </w:tabs>
        <w:overflowPunct w:val="0"/>
        <w:autoSpaceDE w:val="0"/>
        <w:autoSpaceDN w:val="0"/>
        <w:adjustRightInd w:val="0"/>
        <w:ind w:left="266" w:hanging="266"/>
        <w:textAlignment w:val="baseline"/>
        <w:rPr>
          <w:b/>
          <w:lang w:val="en-GB"/>
        </w:rPr>
      </w:pPr>
    </w:p>
    <w:p w14:paraId="46E5BC1F" w14:textId="77777777" w:rsidR="00227AA1" w:rsidRPr="00227AA1" w:rsidRDefault="00227AA1" w:rsidP="00227AA1">
      <w:pPr>
        <w:overflowPunct w:val="0"/>
        <w:autoSpaceDE w:val="0"/>
        <w:autoSpaceDN w:val="0"/>
        <w:adjustRightInd w:val="0"/>
        <w:textAlignment w:val="baseline"/>
        <w:rPr>
          <w:bCs/>
          <w:iCs/>
        </w:rPr>
      </w:pPr>
      <w:r>
        <w:t>Zdaniem EKES-u:</w:t>
      </w:r>
    </w:p>
    <w:p w14:paraId="766EBB4A" w14:textId="77777777" w:rsidR="00227AA1" w:rsidRPr="00227AA1" w:rsidRDefault="00227AA1" w:rsidP="00227AA1">
      <w:pPr>
        <w:overflowPunct w:val="0"/>
        <w:autoSpaceDE w:val="0"/>
        <w:autoSpaceDN w:val="0"/>
        <w:adjustRightInd w:val="0"/>
        <w:textAlignment w:val="baseline"/>
        <w:rPr>
          <w:bCs/>
          <w:iCs/>
          <w:lang w:val="en-GB"/>
        </w:rPr>
      </w:pPr>
    </w:p>
    <w:p w14:paraId="1113F168"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Europa musi znacznie rozwinąć innowacje i badania naukowe i ma wiele do nadrobienia, jeśli chodzi o wprowadzanie produktów tych innowacji i badań naukowych na rynek za pośrednictwem firm odpryskowych, przedsiębiorstw typu start-up i scale-up.</w:t>
      </w:r>
      <w:r>
        <w:rPr>
          <w:rFonts w:ascii="Calibri" w:hAnsi="Calibri"/>
        </w:rPr>
        <w:t xml:space="preserve"> </w:t>
      </w:r>
      <w:r>
        <w:t>W sektorach o znaczeniu strategicznym rośnie zaniepokojenie tym, że uregulowania w Europie stały się zbyt rozdrobnione, są zbyt rozbudowane i nie zmieniają się wystarczająco dynamicznie, aby można było dotrzymać kroku szybkiemu postępowi technologicznemu na świecie.</w:t>
      </w:r>
    </w:p>
    <w:p w14:paraId="4520EF6F"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Wynika to głównie z malejącego zrozumienia procesów gospodarki rynkowej i coraz bardziej rozdrobnionych przepisów i ich wdrażania na jednolitym rynku, co utrudnia rozwój rynku transgranicznego i transfer opracowanych w ramach badań naukowych technologii do przemysłu.</w:t>
      </w:r>
    </w:p>
    <w:p w14:paraId="1B8E4833"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Innym utrudnieniem dla przedsiębiorstw są powolne procesy administracyjne, ograniczona cyfryzacja i niespójne stosowanie przepisów UE na szczeblu krajowym i regionalnym.</w:t>
      </w:r>
    </w:p>
    <w:p w14:paraId="3C747BF5"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Europejski plan na rzecz innowacji może być wsparciem dla transgranicznych przedsiębiorstw typu start-up i scale-up, o ile jego częścią będą przekrojowe uproszczenia dla przedsiębiorstw typu start-up i będzie go można egzekwować jako wiążący we wszystkich państwach członkowskich, również z uwzględnieniem praw pracowniczych i partycypacji pracowników. Komitet podkreśla, że europejski akt o innowacjach powinien być dostosowany do zasad sprawiedliwej transformacji, tak aby innowacje przyczyniały się do wzrostu gospodarczego, konkurencyjności i tworzenia miejsc pracy, przy jednoczesnym uwzględnieniu potrzeby towarzyszenia pracownikom i regionom dotkniętym transformacją technologiczną i przemysłową.</w:t>
      </w:r>
    </w:p>
    <w:p w14:paraId="5BC43F04" w14:textId="77777777" w:rsidR="00227AA1" w:rsidRPr="00227AA1"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pPr>
      <w:r>
        <w:t>Skuteczniejszy i dokładniejszy niż wiążąca definicja przedsiębiorstw typu start-up i scale-up byłby katalog kryteriów oceny treści innowacyjnych i perspektyw wzrostu. Wsparciem dla europejskiego aktu o innowacjach mógłby być również ranking uniwersytetów przyjaznych założycielom takich przedsiębiorstw. Ponadto europejski plan na rzecz innowacji powinien wzmocnić rolę organizacji badawczo-technologicznych oraz Europejskiego Instytutu Innowacji i Technologii (EIT), zwłaszcza w branżach najbardziej zaawansowanych technologii i kapitałochłonnych.</w:t>
      </w:r>
    </w:p>
    <w:p w14:paraId="12B27491" w14:textId="77777777" w:rsidR="00227AA1" w:rsidRPr="004C6742" w:rsidRDefault="00227AA1" w:rsidP="004C6742">
      <w:pPr>
        <w:numPr>
          <w:ilvl w:val="0"/>
          <w:numId w:val="43"/>
        </w:numPr>
        <w:overflowPunct w:val="0"/>
        <w:autoSpaceDE w:val="0"/>
        <w:autoSpaceDN w:val="0"/>
        <w:adjustRightInd w:val="0"/>
        <w:spacing w:after="200" w:line="276" w:lineRule="auto"/>
        <w:ind w:left="284" w:hanging="284"/>
        <w:contextualSpacing/>
        <w:textAlignment w:val="baseline"/>
        <w:rPr>
          <w:rFonts w:ascii="Calibri" w:hAnsi="Calibri"/>
        </w:rPr>
      </w:pPr>
      <w:r>
        <w:t>Innowacjom i wzrostowi sprzyjałyby także ogólnoeuropejskie zachęty podatkowe dla akcjonariatu pracowniczego. Założycielom należy również zaoferować ochronę przed ryzykiem, a także odpowiednie zabezpieczenia dla pracowników i wierzycieli zgodnie z obowiązującymi ramami prawnymi dotyczącymi niewypłacalności.</w:t>
      </w:r>
    </w:p>
    <w:p w14:paraId="5C529301" w14:textId="77777777" w:rsidR="00336295" w:rsidRPr="00227AA1" w:rsidRDefault="00336295" w:rsidP="005C5C88">
      <w:pPr>
        <w:overflowPunct w:val="0"/>
        <w:autoSpaceDE w:val="0"/>
        <w:autoSpaceDN w:val="0"/>
        <w:adjustRightInd w:val="0"/>
        <w:spacing w:after="200" w:line="276" w:lineRule="auto"/>
        <w:ind w:left="567"/>
        <w:contextualSpacing/>
        <w:textAlignment w:val="baseline"/>
        <w:rPr>
          <w:rFonts w:ascii="Calibri" w:hAnsi="Calibri"/>
          <w:lang w:val="en-GB" w:eastAsia="zh-CN"/>
        </w:rPr>
      </w:pPr>
    </w:p>
    <w:tbl>
      <w:tblPr>
        <w:tblStyle w:val="TableGrid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227AA1" w:rsidRPr="00227AA1" w14:paraId="5F5314FB" w14:textId="77777777" w:rsidTr="002E7EFB">
        <w:tc>
          <w:tcPr>
            <w:tcW w:w="1418" w:type="dxa"/>
          </w:tcPr>
          <w:p w14:paraId="632E98AB" w14:textId="77777777" w:rsidR="00227AA1" w:rsidRPr="00227AA1" w:rsidRDefault="00227AA1" w:rsidP="00227AA1">
            <w:pPr>
              <w:overflowPunct w:val="0"/>
              <w:autoSpaceDE w:val="0"/>
              <w:autoSpaceDN w:val="0"/>
              <w:adjustRightInd w:val="0"/>
              <w:spacing w:line="240" w:lineRule="auto"/>
              <w:textAlignment w:val="baseline"/>
              <w:rPr>
                <w:i/>
              </w:rPr>
            </w:pPr>
            <w:r>
              <w:rPr>
                <w:b/>
                <w:i/>
              </w:rPr>
              <w:t>Kontakt</w:t>
            </w:r>
          </w:p>
        </w:tc>
        <w:tc>
          <w:tcPr>
            <w:tcW w:w="5670" w:type="dxa"/>
          </w:tcPr>
          <w:p w14:paraId="0DA3C898" w14:textId="77777777" w:rsidR="00227AA1" w:rsidRPr="00227AA1" w:rsidRDefault="00227AA1" w:rsidP="00227AA1">
            <w:pPr>
              <w:overflowPunct w:val="0"/>
              <w:autoSpaceDE w:val="0"/>
              <w:autoSpaceDN w:val="0"/>
              <w:adjustRightInd w:val="0"/>
              <w:spacing w:line="240" w:lineRule="auto"/>
              <w:textAlignment w:val="baseline"/>
              <w:rPr>
                <w:i/>
              </w:rPr>
            </w:pPr>
            <w:r>
              <w:rPr>
                <w:i/>
              </w:rPr>
              <w:t>Jana Valant</w:t>
            </w:r>
          </w:p>
        </w:tc>
      </w:tr>
      <w:tr w:rsidR="00227AA1" w:rsidRPr="00227AA1" w14:paraId="3B10A3F9" w14:textId="77777777" w:rsidTr="002E7EFB">
        <w:tc>
          <w:tcPr>
            <w:tcW w:w="1418" w:type="dxa"/>
          </w:tcPr>
          <w:p w14:paraId="1158D001" w14:textId="77777777" w:rsidR="00227AA1" w:rsidRPr="00227AA1" w:rsidRDefault="00227AA1" w:rsidP="00227AA1">
            <w:pPr>
              <w:overflowPunct w:val="0"/>
              <w:autoSpaceDE w:val="0"/>
              <w:autoSpaceDN w:val="0"/>
              <w:adjustRightInd w:val="0"/>
              <w:spacing w:line="240" w:lineRule="auto"/>
              <w:textAlignment w:val="baseline"/>
              <w:rPr>
                <w:i/>
              </w:rPr>
            </w:pPr>
            <w:r>
              <w:rPr>
                <w:i/>
              </w:rPr>
              <w:t>tel.</w:t>
            </w:r>
          </w:p>
        </w:tc>
        <w:tc>
          <w:tcPr>
            <w:tcW w:w="5670" w:type="dxa"/>
          </w:tcPr>
          <w:p w14:paraId="173082A5" w14:textId="52E4D874" w:rsidR="00227AA1" w:rsidRPr="00227AA1" w:rsidRDefault="00227AA1" w:rsidP="00227AA1">
            <w:pPr>
              <w:overflowPunct w:val="0"/>
              <w:autoSpaceDE w:val="0"/>
              <w:autoSpaceDN w:val="0"/>
              <w:adjustRightInd w:val="0"/>
              <w:spacing w:line="240" w:lineRule="auto"/>
              <w:textAlignment w:val="baseline"/>
              <w:rPr>
                <w:i/>
              </w:rPr>
            </w:pPr>
            <w:r>
              <w:rPr>
                <w:i/>
              </w:rPr>
              <w:t>+32 25468924</w:t>
            </w:r>
          </w:p>
        </w:tc>
      </w:tr>
      <w:tr w:rsidR="00227AA1" w:rsidRPr="00227AA1" w14:paraId="06425715" w14:textId="77777777" w:rsidTr="002E7EFB">
        <w:tc>
          <w:tcPr>
            <w:tcW w:w="1418" w:type="dxa"/>
          </w:tcPr>
          <w:p w14:paraId="086F4B7F" w14:textId="3050AF2F" w:rsidR="00227AA1" w:rsidRPr="00227AA1" w:rsidRDefault="00336295" w:rsidP="00227AA1">
            <w:pPr>
              <w:overflowPunct w:val="0"/>
              <w:autoSpaceDE w:val="0"/>
              <w:autoSpaceDN w:val="0"/>
              <w:adjustRightInd w:val="0"/>
              <w:spacing w:line="240" w:lineRule="auto"/>
              <w:textAlignment w:val="baseline"/>
              <w:rPr>
                <w:i/>
              </w:rPr>
            </w:pPr>
            <w:r>
              <w:rPr>
                <w:i/>
              </w:rPr>
              <w:t>e-mail</w:t>
            </w:r>
          </w:p>
        </w:tc>
        <w:tc>
          <w:tcPr>
            <w:tcW w:w="5670" w:type="dxa"/>
          </w:tcPr>
          <w:p w14:paraId="30AFF7EB" w14:textId="1CFCF62E" w:rsidR="00227AA1" w:rsidRPr="00227AA1" w:rsidRDefault="00651F28" w:rsidP="00227AA1">
            <w:pPr>
              <w:overflowPunct w:val="0"/>
              <w:autoSpaceDE w:val="0"/>
              <w:autoSpaceDN w:val="0"/>
              <w:adjustRightInd w:val="0"/>
              <w:spacing w:line="240" w:lineRule="auto"/>
              <w:textAlignment w:val="baseline"/>
              <w:rPr>
                <w:i/>
              </w:rPr>
            </w:pPr>
            <w:hyperlink r:id="rId56" w:history="1">
              <w:r>
                <w:rPr>
                  <w:i/>
                  <w:color w:val="0000FF"/>
                  <w:u w:val="single"/>
                </w:rPr>
                <w:t>Jana.Valant@eesc.europa.eu</w:t>
              </w:r>
            </w:hyperlink>
          </w:p>
          <w:p w14:paraId="69C6AF5C" w14:textId="77777777" w:rsidR="00227AA1" w:rsidRPr="00227AA1" w:rsidRDefault="00227AA1" w:rsidP="00227AA1">
            <w:pPr>
              <w:overflowPunct w:val="0"/>
              <w:autoSpaceDE w:val="0"/>
              <w:autoSpaceDN w:val="0"/>
              <w:adjustRightInd w:val="0"/>
              <w:spacing w:line="240" w:lineRule="auto"/>
              <w:textAlignment w:val="baseline"/>
              <w:rPr>
                <w:i/>
              </w:rPr>
            </w:pPr>
          </w:p>
        </w:tc>
      </w:tr>
    </w:tbl>
    <w:p w14:paraId="4982DE1E" w14:textId="77777777" w:rsidR="004D7AC0" w:rsidRDefault="004D7AC0" w:rsidP="001766B2">
      <w:pPr>
        <w:jc w:val="left"/>
      </w:pPr>
      <w:r>
        <w:br w:type="page"/>
      </w:r>
    </w:p>
    <w:p w14:paraId="4982DE1F" w14:textId="1B0F62B5" w:rsidR="004D7AC0" w:rsidRDefault="004D7AC0" w:rsidP="004C6742">
      <w:pPr>
        <w:pStyle w:val="Heading2"/>
      </w:pPr>
      <w:bookmarkStart w:id="18" w:name="_Toc70322234"/>
      <w:bookmarkStart w:id="19" w:name="_Toc75527084"/>
      <w:bookmarkStart w:id="20" w:name="_Toc229140656"/>
      <w:r>
        <w:lastRenderedPageBreak/>
        <w:t>ROLNICTWO, ROZWÓJ WSI I ŚRODOWISKO NATURALNE</w:t>
      </w:r>
      <w:bookmarkEnd w:id="18"/>
      <w:bookmarkEnd w:id="19"/>
      <w:bookmarkEnd w:id="20"/>
    </w:p>
    <w:p w14:paraId="4982DE20" w14:textId="77777777" w:rsidR="004D7AC0" w:rsidRDefault="004D7AC0" w:rsidP="001766B2"/>
    <w:p w14:paraId="38C8A97D" w14:textId="6C670E48" w:rsidR="00341FC2" w:rsidRPr="004C6742" w:rsidRDefault="00341FC2" w:rsidP="004C6742">
      <w:pPr>
        <w:widowControl w:val="0"/>
        <w:numPr>
          <w:ilvl w:val="0"/>
          <w:numId w:val="4"/>
        </w:numPr>
        <w:overflowPunct w:val="0"/>
        <w:autoSpaceDE w:val="0"/>
        <w:autoSpaceDN w:val="0"/>
        <w:adjustRightInd w:val="0"/>
        <w:ind w:hanging="567"/>
        <w:textAlignment w:val="baseline"/>
        <w:rPr>
          <w:b/>
        </w:rPr>
      </w:pPr>
      <w:hyperlink r:id="rId57" w:history="1">
        <w:r>
          <w:t>Kompleksowa strategia dotycząca materiałów ulegających biodegradacji opartych na zasobach przyrody w celu wspierania obiegu zamkniętego i efektywnego gospodarowania zasobami, wzmocnienia sektora rolno-spożywczego i zwiększenia skali biogospodarki UE</w:t>
        </w:r>
      </w:hyperlink>
    </w:p>
    <w:p w14:paraId="4760649F" w14:textId="77777777" w:rsidR="00BD7679" w:rsidRPr="00341FC2" w:rsidRDefault="00BD7679" w:rsidP="004C6742">
      <w:pPr>
        <w:widowControl w:val="0"/>
        <w:overflowPunct w:val="0"/>
        <w:autoSpaceDE w:val="0"/>
        <w:autoSpaceDN w:val="0"/>
        <w:adjustRightInd w:val="0"/>
        <w:ind w:left="284"/>
        <w:textAlignment w:val="baseline"/>
        <w:rPr>
          <w:b/>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11BFC935" w14:textId="77777777" w:rsidTr="002E7EFB">
        <w:tc>
          <w:tcPr>
            <w:tcW w:w="1077" w:type="pct"/>
          </w:tcPr>
          <w:p w14:paraId="051AE187"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Sprawozdawca</w:t>
            </w:r>
          </w:p>
        </w:tc>
        <w:tc>
          <w:tcPr>
            <w:tcW w:w="3923" w:type="pct"/>
          </w:tcPr>
          <w:p w14:paraId="6A31ADA0" w14:textId="6038B615" w:rsidR="00341FC2" w:rsidRDefault="00341FC2" w:rsidP="00341FC2">
            <w:pPr>
              <w:tabs>
                <w:tab w:val="center" w:pos="284"/>
              </w:tabs>
              <w:overflowPunct w:val="0"/>
              <w:autoSpaceDE w:val="0"/>
              <w:autoSpaceDN w:val="0"/>
              <w:adjustRightInd w:val="0"/>
              <w:ind w:left="266" w:right="-3091" w:hanging="266"/>
              <w:textAlignment w:val="baseline"/>
            </w:pPr>
            <w:r>
              <w:t xml:space="preserve">Stojan CZUKANOW (Grupa Organizacji Społeczeństwa Obywatelskiego – BG) </w:t>
            </w:r>
          </w:p>
          <w:p w14:paraId="734AA599" w14:textId="77777777" w:rsidR="00840C59" w:rsidRPr="00341FC2" w:rsidRDefault="00840C59" w:rsidP="00341FC2">
            <w:pPr>
              <w:tabs>
                <w:tab w:val="center" w:pos="284"/>
              </w:tabs>
              <w:overflowPunct w:val="0"/>
              <w:autoSpaceDE w:val="0"/>
              <w:autoSpaceDN w:val="0"/>
              <w:adjustRightInd w:val="0"/>
              <w:ind w:left="266" w:right="-3091" w:hanging="266"/>
              <w:textAlignment w:val="baseline"/>
            </w:pPr>
          </w:p>
        </w:tc>
      </w:tr>
      <w:tr w:rsidR="00341FC2" w:rsidRPr="00341FC2" w14:paraId="5910CD05" w14:textId="77777777" w:rsidTr="002E7EFB">
        <w:tc>
          <w:tcPr>
            <w:tcW w:w="1077" w:type="pct"/>
          </w:tcPr>
          <w:p w14:paraId="0596BC04" w14:textId="77777777" w:rsidR="00341FC2" w:rsidRPr="00341FC2" w:rsidRDefault="00341FC2" w:rsidP="00341FC2">
            <w:pPr>
              <w:tabs>
                <w:tab w:val="center" w:pos="284"/>
              </w:tabs>
              <w:overflowPunct w:val="0"/>
              <w:autoSpaceDE w:val="0"/>
              <w:autoSpaceDN w:val="0"/>
              <w:adjustRightInd w:val="0"/>
              <w:ind w:left="266" w:hanging="266"/>
              <w:textAlignment w:val="baseline"/>
              <w:rPr>
                <w:b/>
              </w:rPr>
            </w:pPr>
            <w:r>
              <w:rPr>
                <w:b/>
              </w:rPr>
              <w:t>Dokumenty</w:t>
            </w:r>
          </w:p>
        </w:tc>
        <w:tc>
          <w:tcPr>
            <w:tcW w:w="3923" w:type="pct"/>
          </w:tcPr>
          <w:p w14:paraId="54454E7C" w14:textId="3611E015" w:rsidR="00516EEE" w:rsidRDefault="00516EEE" w:rsidP="00341FC2">
            <w:pPr>
              <w:tabs>
                <w:tab w:val="center" w:pos="284"/>
              </w:tabs>
              <w:overflowPunct w:val="0"/>
              <w:autoSpaceDE w:val="0"/>
              <w:autoSpaceDN w:val="0"/>
              <w:adjustRightInd w:val="0"/>
              <w:ind w:left="266" w:right="-3091" w:hanging="266"/>
              <w:textAlignment w:val="baseline"/>
            </w:pPr>
            <w:r>
              <w:t>Opinia z inicjatywy własnej</w:t>
            </w:r>
          </w:p>
          <w:p w14:paraId="02B79D0E" w14:textId="0206A71A" w:rsidR="00341FC2" w:rsidRPr="00341FC2" w:rsidRDefault="00341FC2" w:rsidP="00341FC2">
            <w:pPr>
              <w:tabs>
                <w:tab w:val="center" w:pos="284"/>
              </w:tabs>
              <w:overflowPunct w:val="0"/>
              <w:autoSpaceDE w:val="0"/>
              <w:autoSpaceDN w:val="0"/>
              <w:adjustRightInd w:val="0"/>
              <w:ind w:left="266" w:right="-3091" w:hanging="266"/>
              <w:textAlignment w:val="baseline"/>
            </w:pPr>
            <w:r>
              <w:t>EESC-2025-04330-00-00-AC</w:t>
            </w:r>
          </w:p>
        </w:tc>
      </w:tr>
    </w:tbl>
    <w:p w14:paraId="3E17185C" w14:textId="77777777" w:rsidR="00C63006" w:rsidRPr="00341FC2" w:rsidRDefault="00C63006" w:rsidP="00341FC2">
      <w:pPr>
        <w:tabs>
          <w:tab w:val="center" w:pos="284"/>
        </w:tabs>
        <w:overflowPunct w:val="0"/>
        <w:autoSpaceDE w:val="0"/>
        <w:autoSpaceDN w:val="0"/>
        <w:adjustRightInd w:val="0"/>
        <w:ind w:left="266" w:hanging="266"/>
        <w:textAlignment w:val="baseline"/>
        <w:rPr>
          <w:b/>
          <w:lang w:val="en-GB"/>
        </w:rPr>
      </w:pPr>
    </w:p>
    <w:p w14:paraId="3CCC7A67"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rPr>
      </w:pPr>
      <w:r>
        <w:rPr>
          <w:b/>
        </w:rPr>
        <w:t>Główne punkty</w:t>
      </w:r>
    </w:p>
    <w:p w14:paraId="0B80A8BF" w14:textId="77777777" w:rsidR="00341FC2" w:rsidRPr="00341FC2" w:rsidRDefault="00341FC2" w:rsidP="00341FC2">
      <w:pPr>
        <w:keepNext/>
        <w:keepLines/>
        <w:tabs>
          <w:tab w:val="center" w:pos="284"/>
        </w:tabs>
        <w:overflowPunct w:val="0"/>
        <w:autoSpaceDE w:val="0"/>
        <w:autoSpaceDN w:val="0"/>
        <w:adjustRightInd w:val="0"/>
        <w:ind w:left="266" w:hanging="266"/>
        <w:textAlignment w:val="baseline"/>
        <w:rPr>
          <w:b/>
          <w:lang w:val="en-GB"/>
        </w:rPr>
      </w:pPr>
    </w:p>
    <w:p w14:paraId="61D66D5E" w14:textId="77777777" w:rsidR="00341FC2" w:rsidRDefault="00341FC2" w:rsidP="00341FC2">
      <w:pPr>
        <w:overflowPunct w:val="0"/>
        <w:autoSpaceDE w:val="0"/>
        <w:autoSpaceDN w:val="0"/>
        <w:adjustRightInd w:val="0"/>
        <w:textAlignment w:val="baseline"/>
        <w:rPr>
          <w:bCs/>
          <w:iCs/>
        </w:rPr>
      </w:pPr>
      <w:r>
        <w:t>EKES:</w:t>
      </w:r>
    </w:p>
    <w:p w14:paraId="152BE433" w14:textId="77777777" w:rsidR="00C63006" w:rsidRPr="00341FC2" w:rsidRDefault="00C63006" w:rsidP="00341FC2">
      <w:pPr>
        <w:overflowPunct w:val="0"/>
        <w:autoSpaceDE w:val="0"/>
        <w:autoSpaceDN w:val="0"/>
        <w:adjustRightInd w:val="0"/>
        <w:textAlignment w:val="baseline"/>
        <w:rPr>
          <w:bCs/>
          <w:iCs/>
          <w:lang w:val="en-GB"/>
        </w:rPr>
      </w:pPr>
    </w:p>
    <w:p w14:paraId="7A2EA203" w14:textId="1C6C9BAD"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1" w:name="_Toc228805432"/>
      <w:r>
        <w:t>Uważa, że UE ma okazję do przyspieszenia przejścia na biogospodarkę o obiegu zamkniętym, łączącą obieg zamknięty, redukcję materiałów z uwzględnieniem ograniczeń planety, zrównoważone wykorzystanie biomasy i konkurencyjność przemysłową. W oparciu o przyszły akt w sprawie gospodarki o obiegu zamkniętym i zaktualizowaną strategię biogospodarczą UE wzywa do spójnego i ambitnego wdrożenia, które przełoży dynamikę polityczną na praktyczne wyniki w</w:t>
      </w:r>
      <w:r w:rsidR="005C5C88">
        <w:t> </w:t>
      </w:r>
      <w:r>
        <w:t>zakresie rozwoju przemysłowego i regionalnego.</w:t>
      </w:r>
      <w:bookmarkEnd w:id="21"/>
    </w:p>
    <w:p w14:paraId="6A0A3863" w14:textId="5B64B47E"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2" w:name="_Toc228805433"/>
      <w:r>
        <w:t>Podkreśla, że efektywne wykorzystanie zasobów środowiska wymaga stosowania hierarchii postępowania z odpadami zgodnie z dyrektywą ramową w sprawie odpadów, w oparciu o myślenie w kategoriach cyklu życia produktu i najlepszy ogólny wynik dla środowiska. W związku z tym popiera ukierunkowane na wyniki i neutralne pod względem technologicznym podejście, które nadaje priorytet ponownemu użyciu, efektywności wykorzystywania materiałów i zapobieganiu powstawaniu odpadów oraz w ramach którego uznaje się zarówno cykle techniczne, jak i</w:t>
      </w:r>
      <w:r w:rsidR="005C5C88">
        <w:t> </w:t>
      </w:r>
      <w:r>
        <w:t>biologiczne dzięki zróżnicowanym ścieżkom obiegu zamkniętego.</w:t>
      </w:r>
      <w:bookmarkEnd w:id="22"/>
    </w:p>
    <w:p w14:paraId="25220C00"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3" w:name="_Toc228805434"/>
      <w:r>
        <w:t>Zaznacza, że materiały pochodzące z chemicznie niemodyfikowanych polimerów naturalnych, prawnie uznanych za inne niż tworzywa sztuczne na mocy dyrektywy w sprawie produktów jednorazowego użytku z tworzyw sztucznych i zgodnych z rozporządzeniem REACH, mogą pomóc w zapobieganiu zanieczyszczeniom, w tym poprzez ograniczenie wycieku mikrodrobin plastiku. Ich rolę należy ocenić zgodnie z podejściem „Jedno zdrowie”, uznając przy tym wzajemne powiązania między integralnością środowiskową, odpornością ekosystemów oraz zdrowiem ludzi i zwierząt.</w:t>
      </w:r>
      <w:bookmarkEnd w:id="23"/>
    </w:p>
    <w:p w14:paraId="26333444" w14:textId="28ADCF75"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4" w:name="_Toc228805435"/>
      <w:r>
        <w:t>Kładzie nacisk na potencjał takich materiałów we wzmacnianiu gospodarki wiejskiej i</w:t>
      </w:r>
      <w:r w:rsidR="005C5C88">
        <w:t> </w:t>
      </w:r>
      <w:r>
        <w:t>przybrzeżnej poprzez umożliwienie odzysku wtórnej biomasy rolniczej i morskiej, wzmocnienie lokalnych i regionalnych łańcuchów wartości, wspieranie odnowy pokoleń w rolnictwie i</w:t>
      </w:r>
      <w:r w:rsidR="005C5C88">
        <w:t> </w:t>
      </w:r>
      <w:r>
        <w:t>rybołówstwie oraz tworzenie wysokiej jakości miejsc pracy w tych sektorach, co przyczynia się do spójności społecznej. Podkreśla, że należy nadal priorytetowo – i zgodnie z podaną kolejnością – traktować zastosowania związane z żywnością, paszą i ochroną gleby.</w:t>
      </w:r>
      <w:bookmarkEnd w:id="24"/>
    </w:p>
    <w:p w14:paraId="1568ED7F"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5" w:name="_Toc228805436"/>
      <w:r>
        <w:t xml:space="preserve">Wzywa do większej spójności regulacyjnej w całym prawodawstwie unijnym dotyczącym produktów, odpadów i przemysłu, co pomoże zapewnić spójne wprowadzenie w życie prawnie ustanowionego rozróżnienia między tworzywami sztucznymi a niemodyfikowanymi polimerami naturalnymi. W przepisach dotyczących opakowań należy unikać niezamierzonych barier lub faktycznego wykluczenia z rynku oraz odzwierciedlać zarówno techniczny, jak i biologiczny obieg </w:t>
      </w:r>
      <w:r>
        <w:lastRenderedPageBreak/>
        <w:t>zamknięty. Należy też nadać priorytet jasnemu i zharmonizowanemu informowaniu konsumentów oraz zapewnianiu przewidywalności dla podmiotów gospodarczych i małych przedsiębiorstw.</w:t>
      </w:r>
      <w:bookmarkEnd w:id="25"/>
    </w:p>
    <w:p w14:paraId="756BDDFA"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6" w:name="_Toc228805437"/>
      <w:r>
        <w:t>Podkreśla, że wdrożenie rozporządzenia w sprawie opakowań i odpadów opakowaniowych (PPWR) jest priorytetem, i ostrzega, że opakowania wykonane z chemicznie niemodyfikowanych polimerów naturalnych mogą zostać wykluczone z rynku, jeżeli przepisy dotyczące możliwości recyklingu będą dopuszczać jedynie recykling techniczny. W związku z tym wzywa Komisję do dopilnowania, aby przy wdrażaniu tego rozporządzenia uznano, że niemodyfikowane polimery naturalne nie są tworzywami sztucznymi i by pozwolono na opakowania zaprojektowane z myślą o biologicznych ścieżkach wycofywania z użytku, jeżeli przynosi to najlepszy ogólny wynik dla środowiska.</w:t>
      </w:r>
      <w:bookmarkEnd w:id="26"/>
    </w:p>
    <w:p w14:paraId="462FAC8B" w14:textId="77777777" w:rsidR="00341FC2" w:rsidRPr="00341FC2" w:rsidRDefault="00341FC2" w:rsidP="004C6742">
      <w:pPr>
        <w:numPr>
          <w:ilvl w:val="1"/>
          <w:numId w:val="45"/>
        </w:numPr>
        <w:overflowPunct w:val="0"/>
        <w:autoSpaceDE w:val="0"/>
        <w:autoSpaceDN w:val="0"/>
        <w:adjustRightInd w:val="0"/>
        <w:ind w:left="284" w:hanging="284"/>
        <w:textAlignment w:val="baseline"/>
        <w:outlineLvl w:val="1"/>
        <w:rPr>
          <w:szCs w:val="20"/>
        </w:rPr>
      </w:pPr>
      <w:bookmarkStart w:id="27" w:name="_Toc228805438"/>
      <w:r>
        <w:t>Wzywa Komisję do zapewnienia skoordynowanych działań w ramach polityki ochrony środowiska, polityki przemysłowej i polityki rolnej, aby umożliwić zwiększenie skali wykorzystania zrównoważonych materiałów, ułatwić wdrażanie w przemyśle, wzmocnić regionalne łańcuchy wartości i zapewnić globalną konkurencyjność Europy w zakresie zrównoważonych innowacji w dziedzinie materiałów. Należy przy tym wspierać inwestycje prywatne i zwiększenie skali innowacyjnych rozwiązań.</w:t>
      </w:r>
      <w:bookmarkEnd w:id="27"/>
    </w:p>
    <w:p w14:paraId="2DFB198D" w14:textId="77777777" w:rsidR="00341FC2" w:rsidRPr="00341FC2" w:rsidRDefault="00341FC2" w:rsidP="00341FC2">
      <w:pPr>
        <w:overflowPunct w:val="0"/>
        <w:autoSpaceDE w:val="0"/>
        <w:autoSpaceDN w:val="0"/>
        <w:adjustRightInd w:val="0"/>
        <w:textAlignment w:val="baseline"/>
        <w:rPr>
          <w:szCs w:val="20"/>
          <w:lang w:val="en-GB"/>
        </w:rPr>
      </w:pPr>
    </w:p>
    <w:tbl>
      <w:tblPr>
        <w:tblStyle w:val="TableGrid1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341FC2" w:rsidRPr="00341FC2" w14:paraId="7F4411DB" w14:textId="77777777" w:rsidTr="002E7EFB">
        <w:tc>
          <w:tcPr>
            <w:tcW w:w="1077" w:type="pct"/>
          </w:tcPr>
          <w:p w14:paraId="151013E3" w14:textId="77777777" w:rsidR="00341FC2" w:rsidRPr="00341FC2" w:rsidRDefault="00341FC2" w:rsidP="00341FC2">
            <w:pPr>
              <w:overflowPunct w:val="0"/>
              <w:autoSpaceDE w:val="0"/>
              <w:autoSpaceDN w:val="0"/>
              <w:adjustRightInd w:val="0"/>
              <w:textAlignment w:val="baseline"/>
              <w:rPr>
                <w:i/>
              </w:rPr>
            </w:pPr>
            <w:r>
              <w:rPr>
                <w:b/>
                <w:i/>
              </w:rPr>
              <w:t>Kontakt</w:t>
            </w:r>
          </w:p>
        </w:tc>
        <w:tc>
          <w:tcPr>
            <w:tcW w:w="3923" w:type="pct"/>
          </w:tcPr>
          <w:p w14:paraId="24D7A0E4" w14:textId="1AB2E33E" w:rsidR="00341FC2" w:rsidRPr="00341FC2" w:rsidRDefault="00341FC2" w:rsidP="00341FC2">
            <w:pPr>
              <w:overflowPunct w:val="0"/>
              <w:autoSpaceDE w:val="0"/>
              <w:autoSpaceDN w:val="0"/>
              <w:adjustRightInd w:val="0"/>
              <w:textAlignment w:val="baseline"/>
              <w:rPr>
                <w:i/>
              </w:rPr>
            </w:pPr>
            <w:r>
              <w:rPr>
                <w:i/>
              </w:rPr>
              <w:t>Caroline Verhelst</w:t>
            </w:r>
          </w:p>
        </w:tc>
      </w:tr>
      <w:tr w:rsidR="00341FC2" w:rsidRPr="00341FC2" w14:paraId="1048C7FF" w14:textId="77777777" w:rsidTr="002E7EFB">
        <w:tc>
          <w:tcPr>
            <w:tcW w:w="1077" w:type="pct"/>
          </w:tcPr>
          <w:p w14:paraId="716E0640" w14:textId="77777777" w:rsidR="00341FC2" w:rsidRPr="00341FC2" w:rsidRDefault="00341FC2" w:rsidP="00341FC2">
            <w:pPr>
              <w:overflowPunct w:val="0"/>
              <w:autoSpaceDE w:val="0"/>
              <w:autoSpaceDN w:val="0"/>
              <w:adjustRightInd w:val="0"/>
              <w:textAlignment w:val="baseline"/>
              <w:rPr>
                <w:i/>
              </w:rPr>
            </w:pPr>
            <w:r>
              <w:rPr>
                <w:i/>
              </w:rPr>
              <w:t>tel.</w:t>
            </w:r>
          </w:p>
        </w:tc>
        <w:tc>
          <w:tcPr>
            <w:tcW w:w="3923" w:type="pct"/>
          </w:tcPr>
          <w:p w14:paraId="24F2C3A8" w14:textId="77777777" w:rsidR="00341FC2" w:rsidRPr="00341FC2" w:rsidRDefault="00341FC2" w:rsidP="00341FC2">
            <w:pPr>
              <w:overflowPunct w:val="0"/>
              <w:autoSpaceDE w:val="0"/>
              <w:autoSpaceDN w:val="0"/>
              <w:adjustRightInd w:val="0"/>
              <w:textAlignment w:val="baseline"/>
              <w:rPr>
                <w:i/>
              </w:rPr>
            </w:pPr>
            <w:r>
              <w:rPr>
                <w:i/>
              </w:rPr>
              <w:t>+32 25469497</w:t>
            </w:r>
          </w:p>
        </w:tc>
      </w:tr>
      <w:tr w:rsidR="00341FC2" w:rsidRPr="00341FC2" w14:paraId="24B14DC0" w14:textId="77777777" w:rsidTr="002E7EFB">
        <w:tc>
          <w:tcPr>
            <w:tcW w:w="1077" w:type="pct"/>
          </w:tcPr>
          <w:p w14:paraId="532D2B72" w14:textId="77777777" w:rsidR="00341FC2" w:rsidRPr="00341FC2" w:rsidRDefault="00341FC2" w:rsidP="00341FC2">
            <w:pPr>
              <w:overflowPunct w:val="0"/>
              <w:autoSpaceDE w:val="0"/>
              <w:autoSpaceDN w:val="0"/>
              <w:adjustRightInd w:val="0"/>
              <w:textAlignment w:val="baseline"/>
              <w:rPr>
                <w:i/>
              </w:rPr>
            </w:pPr>
            <w:r>
              <w:rPr>
                <w:i/>
              </w:rPr>
              <w:t>e-mail</w:t>
            </w:r>
          </w:p>
        </w:tc>
        <w:tc>
          <w:tcPr>
            <w:tcW w:w="3923" w:type="pct"/>
          </w:tcPr>
          <w:p w14:paraId="06E89BE5" w14:textId="1DAAAA61" w:rsidR="00341FC2" w:rsidRPr="00341FC2" w:rsidRDefault="00651F28" w:rsidP="00341FC2">
            <w:pPr>
              <w:overflowPunct w:val="0"/>
              <w:autoSpaceDE w:val="0"/>
              <w:autoSpaceDN w:val="0"/>
              <w:adjustRightInd w:val="0"/>
              <w:textAlignment w:val="baseline"/>
              <w:rPr>
                <w:i/>
              </w:rPr>
            </w:pPr>
            <w:hyperlink r:id="rId58" w:history="1">
              <w:r>
                <w:rPr>
                  <w:i/>
                  <w:color w:val="0000FF"/>
                  <w:u w:val="single"/>
                </w:rPr>
                <w:t>Caroline.Verhelst@eesc.europa.eu</w:t>
              </w:r>
            </w:hyperlink>
            <w:r>
              <w:rPr>
                <w:i/>
              </w:rPr>
              <w:t xml:space="preserve"> </w:t>
            </w:r>
          </w:p>
        </w:tc>
      </w:tr>
    </w:tbl>
    <w:p w14:paraId="0AB0D1D5" w14:textId="5E180140" w:rsidR="00341FC2" w:rsidRDefault="00341FC2" w:rsidP="001766B2">
      <w:pPr>
        <w:jc w:val="left"/>
      </w:pPr>
    </w:p>
    <w:p w14:paraId="59F4D581" w14:textId="77777777" w:rsidR="00341FC2" w:rsidRDefault="00341FC2">
      <w:pPr>
        <w:spacing w:after="160" w:line="259" w:lineRule="auto"/>
        <w:jc w:val="left"/>
      </w:pPr>
      <w:r>
        <w:br w:type="page"/>
      </w:r>
    </w:p>
    <w:p w14:paraId="62D6DD15" w14:textId="27794AFE" w:rsidR="000C5A16" w:rsidRPr="004C6742" w:rsidRDefault="000C5A16" w:rsidP="00C716C1">
      <w:pPr>
        <w:numPr>
          <w:ilvl w:val="0"/>
          <w:numId w:val="17"/>
        </w:numPr>
        <w:overflowPunct w:val="0"/>
        <w:autoSpaceDE w:val="0"/>
        <w:autoSpaceDN w:val="0"/>
        <w:adjustRightInd w:val="0"/>
        <w:spacing w:after="200" w:line="276" w:lineRule="auto"/>
        <w:ind w:left="567" w:hanging="567"/>
        <w:contextualSpacing/>
        <w:textAlignment w:val="baseline"/>
        <w:rPr>
          <w:rFonts w:ascii="Calibri" w:hAnsi="Calibri"/>
          <w:b/>
          <w:bCs/>
          <w:i/>
          <w:iCs/>
          <w:sz w:val="28"/>
          <w:szCs w:val="28"/>
        </w:rPr>
      </w:pPr>
      <w:hyperlink r:id="rId59" w:history="1">
        <w:r>
          <w:rPr>
            <w:b/>
            <w:i/>
            <w:color w:val="0000FF"/>
            <w:sz w:val="28"/>
            <w:u w:val="single"/>
          </w:rPr>
          <w:t>Unijna strategia dotycząca biogospodarki – W kierunku regeneracyjnej i</w:t>
        </w:r>
        <w:r w:rsidR="005C5C88">
          <w:rPr>
            <w:b/>
            <w:i/>
            <w:color w:val="0000FF"/>
            <w:sz w:val="28"/>
            <w:u w:val="single"/>
          </w:rPr>
          <w:t> </w:t>
        </w:r>
        <w:r>
          <w:rPr>
            <w:b/>
            <w:i/>
            <w:color w:val="0000FF"/>
            <w:sz w:val="28"/>
            <w:u w:val="single"/>
          </w:rPr>
          <w:t>konkurencyjnej biogospodarki opartej na obiegu zamkniętym</w:t>
        </w:r>
      </w:hyperlink>
    </w:p>
    <w:p w14:paraId="67EC52A8" w14:textId="77777777" w:rsidR="000C5A16" w:rsidRPr="005C5C88" w:rsidRDefault="000C5A16" w:rsidP="000C5A16">
      <w:pPr>
        <w:widowControl w:val="0"/>
        <w:overflowPunct w:val="0"/>
        <w:autoSpaceDE w:val="0"/>
        <w:autoSpaceDN w:val="0"/>
        <w:adjustRightInd w:val="0"/>
        <w:ind w:left="567"/>
        <w:textAlignment w:val="baseline"/>
        <w:rPr>
          <w:bCs/>
          <w:lang w:val="en-GB"/>
        </w:rPr>
      </w:pPr>
    </w:p>
    <w:tbl>
      <w:tblPr>
        <w:tblStyle w:val="TableGrid20"/>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0C5A16" w:rsidRPr="000C5A16" w14:paraId="11DB0199" w14:textId="77777777" w:rsidTr="002E7EFB">
        <w:tc>
          <w:tcPr>
            <w:tcW w:w="1701" w:type="dxa"/>
          </w:tcPr>
          <w:p w14:paraId="702BE3AD"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Sprawozdawca</w:t>
            </w:r>
          </w:p>
        </w:tc>
        <w:tc>
          <w:tcPr>
            <w:tcW w:w="7621" w:type="dxa"/>
          </w:tcPr>
          <w:p w14:paraId="5ECA4C39" w14:textId="528DF1F9" w:rsidR="000C5A16" w:rsidRPr="000C5A16" w:rsidRDefault="000C5A16" w:rsidP="000C5A16">
            <w:pPr>
              <w:tabs>
                <w:tab w:val="center" w:pos="284"/>
              </w:tabs>
              <w:overflowPunct w:val="0"/>
              <w:autoSpaceDE w:val="0"/>
              <w:autoSpaceDN w:val="0"/>
              <w:adjustRightInd w:val="0"/>
              <w:ind w:left="266" w:hanging="266"/>
              <w:textAlignment w:val="baseline"/>
              <w:rPr>
                <w:b/>
                <w:bCs/>
                <w:spacing w:val="-4"/>
              </w:rPr>
            </w:pPr>
            <w:r>
              <w:t>Arnaud SCHWARTZ (Grupa Organizacji Społeczeństwa Obywatelskiego – FR)</w:t>
            </w:r>
          </w:p>
        </w:tc>
      </w:tr>
      <w:tr w:rsidR="000C5A16" w:rsidRPr="000C5A16" w14:paraId="7972012C" w14:textId="77777777" w:rsidTr="002E7EFB">
        <w:tc>
          <w:tcPr>
            <w:tcW w:w="1701" w:type="dxa"/>
          </w:tcPr>
          <w:p w14:paraId="19D90AB9" w14:textId="77777777" w:rsidR="000C5A16" w:rsidRPr="000C5A16" w:rsidRDefault="000C5A16" w:rsidP="000C5A16">
            <w:pPr>
              <w:tabs>
                <w:tab w:val="center" w:pos="284"/>
              </w:tabs>
              <w:overflowPunct w:val="0"/>
              <w:autoSpaceDE w:val="0"/>
              <w:autoSpaceDN w:val="0"/>
              <w:adjustRightInd w:val="0"/>
              <w:ind w:left="266" w:hanging="266"/>
              <w:textAlignment w:val="baseline"/>
              <w:rPr>
                <w:b/>
                <w:sz w:val="16"/>
                <w:szCs w:val="16"/>
              </w:rPr>
            </w:pPr>
          </w:p>
        </w:tc>
        <w:tc>
          <w:tcPr>
            <w:tcW w:w="7621" w:type="dxa"/>
          </w:tcPr>
          <w:p w14:paraId="367D2144" w14:textId="77777777" w:rsidR="000C5A16" w:rsidRPr="000C5A16" w:rsidRDefault="000C5A16" w:rsidP="000C5A16">
            <w:pPr>
              <w:tabs>
                <w:tab w:val="center" w:pos="284"/>
              </w:tabs>
              <w:overflowPunct w:val="0"/>
              <w:autoSpaceDE w:val="0"/>
              <w:autoSpaceDN w:val="0"/>
              <w:adjustRightInd w:val="0"/>
              <w:ind w:left="266" w:hanging="266"/>
              <w:textAlignment w:val="baseline"/>
              <w:rPr>
                <w:b/>
                <w:bCs/>
                <w:sz w:val="16"/>
                <w:szCs w:val="16"/>
                <w:lang w:val="en-GB"/>
              </w:rPr>
            </w:pPr>
          </w:p>
        </w:tc>
      </w:tr>
      <w:tr w:rsidR="000C5A16" w:rsidRPr="000C5A16" w14:paraId="21344BB5" w14:textId="77777777" w:rsidTr="002E7EFB">
        <w:tc>
          <w:tcPr>
            <w:tcW w:w="1701" w:type="dxa"/>
          </w:tcPr>
          <w:p w14:paraId="25A3DC2A" w14:textId="77777777" w:rsidR="000C5A16" w:rsidRPr="000C5A16" w:rsidRDefault="000C5A16" w:rsidP="000C5A16">
            <w:pPr>
              <w:tabs>
                <w:tab w:val="center" w:pos="284"/>
              </w:tabs>
              <w:overflowPunct w:val="0"/>
              <w:autoSpaceDE w:val="0"/>
              <w:autoSpaceDN w:val="0"/>
              <w:adjustRightInd w:val="0"/>
              <w:ind w:left="266" w:hanging="266"/>
              <w:textAlignment w:val="baseline"/>
              <w:rPr>
                <w:b/>
              </w:rPr>
            </w:pPr>
            <w:r>
              <w:rPr>
                <w:b/>
              </w:rPr>
              <w:t>Dokumenty</w:t>
            </w:r>
          </w:p>
        </w:tc>
        <w:tc>
          <w:tcPr>
            <w:tcW w:w="7621" w:type="dxa"/>
          </w:tcPr>
          <w:p w14:paraId="1A41EF62" w14:textId="77777777" w:rsidR="000C5A16" w:rsidRPr="000C5A16" w:rsidRDefault="000C5A16" w:rsidP="000C5A16">
            <w:pPr>
              <w:tabs>
                <w:tab w:val="center" w:pos="284"/>
              </w:tabs>
              <w:overflowPunct w:val="0"/>
              <w:autoSpaceDE w:val="0"/>
              <w:autoSpaceDN w:val="0"/>
              <w:adjustRightInd w:val="0"/>
              <w:ind w:left="266" w:hanging="266"/>
              <w:textAlignment w:val="baseline"/>
            </w:pPr>
            <w:r>
              <w:t>COM(2025) 960 final</w:t>
            </w:r>
          </w:p>
          <w:p w14:paraId="6E8937F3" w14:textId="72C7BF98" w:rsidR="000C5A16" w:rsidRPr="000C5A16" w:rsidRDefault="000C5A16" w:rsidP="000C5A16">
            <w:pPr>
              <w:tabs>
                <w:tab w:val="center" w:pos="284"/>
              </w:tabs>
              <w:overflowPunct w:val="0"/>
              <w:autoSpaceDE w:val="0"/>
              <w:autoSpaceDN w:val="0"/>
              <w:adjustRightInd w:val="0"/>
              <w:ind w:left="266" w:hanging="266"/>
              <w:textAlignment w:val="baseline"/>
            </w:pPr>
            <w:r>
              <w:t>EESC-2025-03968-00-00-AC</w:t>
            </w:r>
          </w:p>
        </w:tc>
      </w:tr>
    </w:tbl>
    <w:p w14:paraId="06FD5121" w14:textId="624A6349" w:rsidR="0017309D" w:rsidRPr="0017309D" w:rsidRDefault="0017309D" w:rsidP="0017309D">
      <w:pPr>
        <w:overflowPunct w:val="0"/>
        <w:autoSpaceDE w:val="0"/>
        <w:autoSpaceDN w:val="0"/>
        <w:adjustRightInd w:val="0"/>
        <w:spacing w:line="276" w:lineRule="auto"/>
        <w:textAlignment w:val="baseline"/>
        <w:outlineLvl w:val="1"/>
        <w:rPr>
          <w:szCs w:val="20"/>
          <w:lang w:val="en-GB"/>
        </w:rPr>
      </w:pPr>
    </w:p>
    <w:p w14:paraId="1F87D72F" w14:textId="77777777" w:rsidR="0039093C" w:rsidRPr="0039093C" w:rsidRDefault="0039093C" w:rsidP="0039093C">
      <w:pPr>
        <w:overflowPunct w:val="0"/>
        <w:autoSpaceDE w:val="0"/>
        <w:autoSpaceDN w:val="0"/>
        <w:adjustRightInd w:val="0"/>
        <w:spacing w:line="276" w:lineRule="auto"/>
        <w:textAlignment w:val="baseline"/>
        <w:outlineLvl w:val="1"/>
        <w:rPr>
          <w:b/>
          <w:szCs w:val="20"/>
        </w:rPr>
      </w:pPr>
      <w:r>
        <w:rPr>
          <w:b/>
        </w:rPr>
        <w:t>Główne punkty</w:t>
      </w:r>
    </w:p>
    <w:p w14:paraId="3956F520" w14:textId="77777777" w:rsidR="0039093C" w:rsidRPr="0039093C" w:rsidRDefault="0039093C" w:rsidP="0039093C">
      <w:pPr>
        <w:overflowPunct w:val="0"/>
        <w:autoSpaceDE w:val="0"/>
        <w:autoSpaceDN w:val="0"/>
        <w:adjustRightInd w:val="0"/>
        <w:spacing w:line="276" w:lineRule="auto"/>
        <w:textAlignment w:val="baseline"/>
        <w:outlineLvl w:val="1"/>
        <w:rPr>
          <w:bCs/>
          <w:szCs w:val="20"/>
          <w:lang w:val="en-GB"/>
        </w:rPr>
      </w:pPr>
    </w:p>
    <w:p w14:paraId="5806984D" w14:textId="77777777" w:rsidR="0039093C" w:rsidRDefault="0039093C" w:rsidP="0039093C">
      <w:pPr>
        <w:overflowPunct w:val="0"/>
        <w:autoSpaceDE w:val="0"/>
        <w:autoSpaceDN w:val="0"/>
        <w:adjustRightInd w:val="0"/>
        <w:spacing w:line="276" w:lineRule="auto"/>
        <w:textAlignment w:val="baseline"/>
        <w:outlineLvl w:val="1"/>
        <w:rPr>
          <w:bCs/>
          <w:iCs/>
          <w:szCs w:val="20"/>
        </w:rPr>
      </w:pPr>
      <w:r>
        <w:t>EKES:</w:t>
      </w:r>
    </w:p>
    <w:p w14:paraId="555AEE0E" w14:textId="77777777" w:rsidR="00FD6A81" w:rsidRPr="0039093C" w:rsidRDefault="00FD6A81" w:rsidP="0039093C">
      <w:pPr>
        <w:overflowPunct w:val="0"/>
        <w:autoSpaceDE w:val="0"/>
        <w:autoSpaceDN w:val="0"/>
        <w:adjustRightInd w:val="0"/>
        <w:spacing w:line="276" w:lineRule="auto"/>
        <w:textAlignment w:val="baseline"/>
        <w:outlineLvl w:val="1"/>
        <w:rPr>
          <w:bCs/>
          <w:iCs/>
          <w:szCs w:val="20"/>
          <w:lang w:val="en-GB"/>
        </w:rPr>
      </w:pPr>
    </w:p>
    <w:p w14:paraId="326B8BDD" w14:textId="6FA3D5B0"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Podkreśla, że w coraz bardziej napiętej sytuacji geopolitycznej Europa jest kontynentem ograniczonym pod względem zasobów i w dużym stopniu zależnym od importu, m.in. paliw kopalnych i surowców. Jednocześnie nadmierna eksploatacja zasobów naturalnych jest jedną z</w:t>
      </w:r>
      <w:r w:rsidR="005C5C88">
        <w:t> </w:t>
      </w:r>
      <w:r>
        <w:t>głównych przyczyn ciągłego spadku różnorodności biologicznej</w:t>
      </w:r>
      <w:r w:rsidRPr="00944198">
        <w:rPr>
          <w:sz w:val="24"/>
          <w:szCs w:val="20"/>
          <w:vertAlign w:val="superscript"/>
          <w:lang w:val="en-GB"/>
        </w:rPr>
        <w:footnoteReference w:id="1"/>
      </w:r>
      <w:r>
        <w:t>. Zgodnie z celami zrównoważonego rozwoju należy zapewnić spójność między celami UE w zakresie klimatu i</w:t>
      </w:r>
      <w:r w:rsidR="005C5C88">
        <w:t> </w:t>
      </w:r>
      <w:r>
        <w:t>różnorodności biologicznej a gospodarką o obiegu zamkniętym. Solidna i dobrze zdefiniowana</w:t>
      </w:r>
      <w:r>
        <w:rPr>
          <w:b/>
        </w:rPr>
        <w:t xml:space="preserve"> strategia na rzecz biogospodarki uzupełni postępy poczynione w zakresie gospodarki o obiegu zamkniętym i umożliwi dekarbonizację, dobrostan i długoterminową konkurencyjność z</w:t>
      </w:r>
      <w:r w:rsidR="005C5C88">
        <w:rPr>
          <w:b/>
        </w:rPr>
        <w:t> </w:t>
      </w:r>
      <w:r>
        <w:rPr>
          <w:b/>
        </w:rPr>
        <w:t>uwzględnieniem ograniczeń planety</w:t>
      </w:r>
      <w:r>
        <w:t>.</w:t>
      </w:r>
    </w:p>
    <w:p w14:paraId="62E16178" w14:textId="574CB635" w:rsidR="00944198" w:rsidRPr="00944198" w:rsidRDefault="00944198" w:rsidP="004C6742">
      <w:pPr>
        <w:numPr>
          <w:ilvl w:val="1"/>
          <w:numId w:val="72"/>
        </w:numPr>
        <w:overflowPunct w:val="0"/>
        <w:autoSpaceDE w:val="0"/>
        <w:autoSpaceDN w:val="0"/>
        <w:adjustRightInd w:val="0"/>
        <w:ind w:left="284" w:hanging="284"/>
        <w:textAlignment w:val="baseline"/>
        <w:outlineLvl w:val="1"/>
        <w:rPr>
          <w:szCs w:val="20"/>
        </w:rPr>
      </w:pPr>
      <w:r>
        <w:t xml:space="preserve">Przypomina, że UE będzie światowym liderem tylko wtedy, gdy jej instytucje </w:t>
      </w:r>
      <w:r>
        <w:rPr>
          <w:b/>
        </w:rPr>
        <w:t>ustanowią ścisłe zasady i zabezpieczenia</w:t>
      </w:r>
      <w:r>
        <w:t xml:space="preserve"> dotyczące tego, co może służyć jako wkład w biogospodarkę, niezależnie od tego, czy jest to biomasa pierwotna czy wtórna z rolnictwa, akwakultury, lasów, przyrody czy odpadów komunalnych/przemysłowych. Unijna strategia dotycząca biogospodarki musi koncentrować się na ekologicznej transformacji gospodarki z uwzględnieniem aspektów środowiskowych i społecznych. Zrównoważona biogospodarka o obiegu zamkniętym wzmocni gospodarkę i konkurencyjność UE, zmniejszy zależność od zasobów kopalnych, przyczyni się do osiągnięcia celów klimatycznych i tworzenia nowych miejsc pracy, a także przyniesie korzyści środowiskowe i społeczne. W ramach tej pozycji lidera należy </w:t>
      </w:r>
      <w:r>
        <w:rPr>
          <w:b/>
        </w:rPr>
        <w:t>priorytetowo traktować wysokiej jakości miejsca pracy, zwłaszcza w regionach wiejskich i oddalonych</w:t>
      </w:r>
      <w:r>
        <w:t xml:space="preserve">. Zasady te powinny być wymierne, możliwe do wyegzekwowania i monitorowane w całym łańcuchu dostaw oraz stosować się w równym stopniu do surowców europejskich i importowanych. Co ważne, w kontekście globalnym trzeba </w:t>
      </w:r>
      <w:r>
        <w:rPr>
          <w:b/>
        </w:rPr>
        <w:t>zająć się nieuczciwą konkurencją ze strony tanich</w:t>
      </w:r>
      <w:r>
        <w:t xml:space="preserve"> (często subsydiowanych) </w:t>
      </w:r>
      <w:r>
        <w:rPr>
          <w:b/>
        </w:rPr>
        <w:t>surowców kopalnych</w:t>
      </w:r>
      <w:r>
        <w:t>, w których cenie nie uwzględnia się efektów zewnętrznych wydobycia i</w:t>
      </w:r>
      <w:r w:rsidR="005C5C88">
        <w:t> </w:t>
      </w:r>
      <w:r>
        <w:t>wyczerpywania się zasobów.</w:t>
      </w:r>
    </w:p>
    <w:p w14:paraId="2628EFBA" w14:textId="77777777" w:rsidR="0039093C" w:rsidRPr="0039093C" w:rsidRDefault="0039093C" w:rsidP="00A162C2">
      <w:pPr>
        <w:overflowPunct w:val="0"/>
        <w:autoSpaceDE w:val="0"/>
        <w:autoSpaceDN w:val="0"/>
        <w:adjustRightInd w:val="0"/>
        <w:spacing w:line="276" w:lineRule="auto"/>
        <w:ind w:left="284" w:hanging="284"/>
        <w:textAlignment w:val="baseline"/>
        <w:outlineLvl w:val="1"/>
        <w:rPr>
          <w:szCs w:val="20"/>
          <w:lang w:val="en-GB"/>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5"/>
        <w:gridCol w:w="7567"/>
      </w:tblGrid>
      <w:tr w:rsidR="0039093C" w:rsidRPr="0039093C" w14:paraId="15A4E0A1" w14:textId="77777777" w:rsidTr="00854068">
        <w:trPr>
          <w:trHeight w:val="300"/>
        </w:trPr>
        <w:tc>
          <w:tcPr>
            <w:tcW w:w="1755" w:type="dxa"/>
          </w:tcPr>
          <w:p w14:paraId="0B8186B8"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b/>
                <w:i/>
                <w:sz w:val="20"/>
              </w:rPr>
              <w:t>Kontakt</w:t>
            </w:r>
          </w:p>
        </w:tc>
        <w:tc>
          <w:tcPr>
            <w:tcW w:w="7567" w:type="dxa"/>
          </w:tcPr>
          <w:p w14:paraId="0319F3A6" w14:textId="11113606"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sz w:val="20"/>
              </w:rPr>
              <w:t>Anna Cameron</w:t>
            </w:r>
          </w:p>
        </w:tc>
      </w:tr>
      <w:tr w:rsidR="0039093C" w:rsidRPr="0039093C" w14:paraId="44DCA9C5" w14:textId="77777777" w:rsidTr="00854068">
        <w:trPr>
          <w:trHeight w:val="300"/>
        </w:trPr>
        <w:tc>
          <w:tcPr>
            <w:tcW w:w="1755" w:type="dxa"/>
          </w:tcPr>
          <w:p w14:paraId="714A323E"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tel.</w:t>
            </w:r>
          </w:p>
        </w:tc>
        <w:tc>
          <w:tcPr>
            <w:tcW w:w="7567" w:type="dxa"/>
          </w:tcPr>
          <w:p w14:paraId="46765661" w14:textId="77777777" w:rsidR="0039093C" w:rsidRPr="004C6742" w:rsidRDefault="0039093C" w:rsidP="004853F6">
            <w:pPr>
              <w:overflowPunct w:val="0"/>
              <w:autoSpaceDE w:val="0"/>
              <w:autoSpaceDN w:val="0"/>
              <w:adjustRightInd w:val="0"/>
              <w:spacing w:line="276" w:lineRule="auto"/>
              <w:textAlignment w:val="baseline"/>
              <w:outlineLvl w:val="1"/>
              <w:rPr>
                <w:i/>
                <w:iCs/>
                <w:sz w:val="20"/>
                <w:szCs w:val="20"/>
              </w:rPr>
            </w:pPr>
            <w:r>
              <w:rPr>
                <w:i/>
                <w:sz w:val="20"/>
              </w:rPr>
              <w:t>+32 25468228</w:t>
            </w:r>
          </w:p>
        </w:tc>
      </w:tr>
      <w:tr w:rsidR="0039093C" w:rsidRPr="0039093C" w14:paraId="3E645883" w14:textId="77777777" w:rsidTr="00854068">
        <w:trPr>
          <w:trHeight w:val="300"/>
        </w:trPr>
        <w:tc>
          <w:tcPr>
            <w:tcW w:w="1755" w:type="dxa"/>
          </w:tcPr>
          <w:p w14:paraId="6069BEEF" w14:textId="77777777" w:rsidR="0039093C" w:rsidRPr="004C6742" w:rsidRDefault="0039093C" w:rsidP="004853F6">
            <w:pPr>
              <w:overflowPunct w:val="0"/>
              <w:autoSpaceDE w:val="0"/>
              <w:autoSpaceDN w:val="0"/>
              <w:adjustRightInd w:val="0"/>
              <w:spacing w:line="276" w:lineRule="auto"/>
              <w:textAlignment w:val="baseline"/>
              <w:outlineLvl w:val="1"/>
              <w:rPr>
                <w:i/>
                <w:sz w:val="20"/>
                <w:szCs w:val="20"/>
              </w:rPr>
            </w:pPr>
            <w:r>
              <w:rPr>
                <w:i/>
                <w:sz w:val="20"/>
              </w:rPr>
              <w:t>e-mail</w:t>
            </w:r>
          </w:p>
        </w:tc>
        <w:tc>
          <w:tcPr>
            <w:tcW w:w="7567" w:type="dxa"/>
          </w:tcPr>
          <w:p w14:paraId="53CEC4E5" w14:textId="5F7B54DC" w:rsidR="0039093C" w:rsidRPr="004C6742" w:rsidRDefault="0039093C" w:rsidP="004853F6">
            <w:pPr>
              <w:overflowPunct w:val="0"/>
              <w:autoSpaceDE w:val="0"/>
              <w:autoSpaceDN w:val="0"/>
              <w:adjustRightInd w:val="0"/>
              <w:spacing w:line="276" w:lineRule="auto"/>
              <w:textAlignment w:val="baseline"/>
              <w:outlineLvl w:val="1"/>
              <w:rPr>
                <w:i/>
                <w:iCs/>
                <w:sz w:val="20"/>
                <w:szCs w:val="20"/>
                <w:u w:val="single"/>
              </w:rPr>
            </w:pPr>
            <w:hyperlink r:id="rId60" w:history="1">
              <w:r>
                <w:rPr>
                  <w:rStyle w:val="Hyperlink"/>
                  <w:i/>
                  <w:sz w:val="20"/>
                </w:rPr>
                <w:t>Anna.Cameron@eesc.europa.eu</w:t>
              </w:r>
            </w:hyperlink>
          </w:p>
        </w:tc>
      </w:tr>
    </w:tbl>
    <w:p w14:paraId="19C31E20" w14:textId="45F2D7D1" w:rsidR="007D7A17" w:rsidRDefault="007D7A17" w:rsidP="00360C1A">
      <w:pPr>
        <w:overflowPunct w:val="0"/>
        <w:autoSpaceDE w:val="0"/>
        <w:autoSpaceDN w:val="0"/>
        <w:adjustRightInd w:val="0"/>
        <w:spacing w:line="276" w:lineRule="auto"/>
        <w:textAlignment w:val="baseline"/>
        <w:outlineLvl w:val="1"/>
        <w:rPr>
          <w:szCs w:val="20"/>
          <w:lang w:val="en-GB"/>
        </w:rPr>
      </w:pPr>
    </w:p>
    <w:p w14:paraId="104E4E43" w14:textId="77777777" w:rsidR="007D7A17" w:rsidRDefault="007D7A17">
      <w:pPr>
        <w:spacing w:after="160" w:line="259" w:lineRule="auto"/>
        <w:jc w:val="left"/>
        <w:rPr>
          <w:szCs w:val="20"/>
        </w:rPr>
      </w:pPr>
      <w:r>
        <w:br w:type="page"/>
      </w:r>
    </w:p>
    <w:p w14:paraId="48D068B9" w14:textId="7AF85120" w:rsidR="00403683" w:rsidRPr="004C6742" w:rsidRDefault="00A067F3" w:rsidP="004C6742">
      <w:pPr>
        <w:widowControl w:val="0"/>
        <w:numPr>
          <w:ilvl w:val="0"/>
          <w:numId w:val="4"/>
        </w:numPr>
        <w:overflowPunct w:val="0"/>
        <w:autoSpaceDE w:val="0"/>
        <w:autoSpaceDN w:val="0"/>
        <w:adjustRightInd w:val="0"/>
        <w:ind w:hanging="567"/>
        <w:textAlignment w:val="baseline"/>
        <w:rPr>
          <w:b/>
        </w:rPr>
      </w:pPr>
      <w:hyperlink r:id="rId61" w:history="1">
        <w:r>
          <w:rPr>
            <w:b/>
            <w:i/>
            <w:color w:val="0000FF"/>
            <w:sz w:val="28"/>
            <w:u w:val="single"/>
          </w:rPr>
          <w:t>Pakiet zbiorczy upraszczający przepisy w dziedzinie żywności i pasz</w:t>
        </w:r>
      </w:hyperlink>
    </w:p>
    <w:p w14:paraId="2CC9FD3B" w14:textId="77777777" w:rsidR="00D245DB" w:rsidRPr="00403683" w:rsidRDefault="00D245DB" w:rsidP="004C6742">
      <w:pPr>
        <w:widowControl w:val="0"/>
        <w:overflowPunct w:val="0"/>
        <w:autoSpaceDE w:val="0"/>
        <w:autoSpaceDN w:val="0"/>
        <w:adjustRightInd w:val="0"/>
        <w:textAlignment w:val="baseline"/>
        <w:rPr>
          <w:b/>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7272"/>
      </w:tblGrid>
      <w:tr w:rsidR="00403683" w:rsidRPr="00403683" w14:paraId="7E2BB842" w14:textId="77777777" w:rsidTr="002E7EFB">
        <w:tc>
          <w:tcPr>
            <w:tcW w:w="1077" w:type="pct"/>
          </w:tcPr>
          <w:p w14:paraId="7E4E51AD"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Sprawozdawca</w:t>
            </w:r>
          </w:p>
          <w:p w14:paraId="1DA05D33"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Współsprawozdawca</w:t>
            </w:r>
          </w:p>
        </w:tc>
        <w:tc>
          <w:tcPr>
            <w:tcW w:w="3923" w:type="pct"/>
          </w:tcPr>
          <w:p w14:paraId="2C24310A" w14:textId="58067842" w:rsidR="00403683" w:rsidRPr="00403683" w:rsidRDefault="00403683" w:rsidP="00403683">
            <w:pPr>
              <w:tabs>
                <w:tab w:val="center" w:pos="284"/>
              </w:tabs>
              <w:overflowPunct w:val="0"/>
              <w:autoSpaceDE w:val="0"/>
              <w:autoSpaceDN w:val="0"/>
              <w:adjustRightInd w:val="0"/>
              <w:ind w:left="266" w:right="-3091" w:hanging="266"/>
              <w:textAlignment w:val="baseline"/>
            </w:pPr>
            <w:r>
              <w:t>Felipe MEDINA (Grupa Pracodawców – ES)</w:t>
            </w:r>
          </w:p>
          <w:p w14:paraId="3D560AB1" w14:textId="7A3E50CA" w:rsidR="00403683" w:rsidRDefault="00403683" w:rsidP="00403683">
            <w:pPr>
              <w:tabs>
                <w:tab w:val="center" w:pos="284"/>
              </w:tabs>
              <w:overflowPunct w:val="0"/>
              <w:autoSpaceDE w:val="0"/>
              <w:autoSpaceDN w:val="0"/>
              <w:adjustRightInd w:val="0"/>
              <w:ind w:left="266" w:right="-3091" w:hanging="266"/>
              <w:textAlignment w:val="baseline"/>
            </w:pPr>
            <w:r>
              <w:t>John COMER (Grupa Organizacji Społeczeństwa Obywatelskiego – IE)</w:t>
            </w:r>
          </w:p>
          <w:p w14:paraId="5CFB0DE6" w14:textId="77777777" w:rsidR="00F10208" w:rsidRDefault="00F10208" w:rsidP="00403683">
            <w:pPr>
              <w:tabs>
                <w:tab w:val="center" w:pos="284"/>
              </w:tabs>
              <w:overflowPunct w:val="0"/>
              <w:autoSpaceDE w:val="0"/>
              <w:autoSpaceDN w:val="0"/>
              <w:adjustRightInd w:val="0"/>
              <w:ind w:left="266" w:right="-3091" w:hanging="266"/>
              <w:textAlignment w:val="baseline"/>
            </w:pPr>
          </w:p>
          <w:p w14:paraId="037A195D" w14:textId="77777777" w:rsidR="00F10208" w:rsidRPr="00403683" w:rsidRDefault="00F10208" w:rsidP="00403683">
            <w:pPr>
              <w:tabs>
                <w:tab w:val="center" w:pos="284"/>
              </w:tabs>
              <w:overflowPunct w:val="0"/>
              <w:autoSpaceDE w:val="0"/>
              <w:autoSpaceDN w:val="0"/>
              <w:adjustRightInd w:val="0"/>
              <w:ind w:left="266" w:right="-3091" w:hanging="266"/>
              <w:textAlignment w:val="baseline"/>
            </w:pPr>
          </w:p>
        </w:tc>
      </w:tr>
      <w:tr w:rsidR="00403683" w:rsidRPr="00403683" w14:paraId="783AECB9" w14:textId="77777777" w:rsidTr="002E7EFB">
        <w:tc>
          <w:tcPr>
            <w:tcW w:w="1077" w:type="pct"/>
          </w:tcPr>
          <w:p w14:paraId="6E48B402" w14:textId="77777777" w:rsidR="00403683" w:rsidRPr="00403683" w:rsidRDefault="00403683" w:rsidP="00403683">
            <w:pPr>
              <w:tabs>
                <w:tab w:val="center" w:pos="284"/>
              </w:tabs>
              <w:overflowPunct w:val="0"/>
              <w:autoSpaceDE w:val="0"/>
              <w:autoSpaceDN w:val="0"/>
              <w:adjustRightInd w:val="0"/>
              <w:ind w:left="266" w:hanging="266"/>
              <w:textAlignment w:val="baseline"/>
              <w:rPr>
                <w:b/>
              </w:rPr>
            </w:pPr>
            <w:r>
              <w:rPr>
                <w:b/>
              </w:rPr>
              <w:t>Dokumenty</w:t>
            </w:r>
          </w:p>
        </w:tc>
        <w:tc>
          <w:tcPr>
            <w:tcW w:w="3923" w:type="pct"/>
          </w:tcPr>
          <w:p w14:paraId="3053CB7C" w14:textId="4CC39F23" w:rsidR="00F10208" w:rsidRDefault="007C5358" w:rsidP="00403683">
            <w:pPr>
              <w:tabs>
                <w:tab w:val="center" w:pos="284"/>
              </w:tabs>
              <w:overflowPunct w:val="0"/>
              <w:autoSpaceDE w:val="0"/>
              <w:autoSpaceDN w:val="0"/>
              <w:adjustRightInd w:val="0"/>
              <w:ind w:left="266" w:right="-3091" w:hanging="266"/>
              <w:textAlignment w:val="baseline"/>
            </w:pPr>
            <w:r>
              <w:t>COM(2025) 1030 final</w:t>
            </w:r>
          </w:p>
          <w:p w14:paraId="762EB0A0" w14:textId="5D841CDA" w:rsidR="00403683" w:rsidRPr="00403683" w:rsidRDefault="00403683" w:rsidP="00403683">
            <w:pPr>
              <w:tabs>
                <w:tab w:val="center" w:pos="284"/>
              </w:tabs>
              <w:overflowPunct w:val="0"/>
              <w:autoSpaceDE w:val="0"/>
              <w:autoSpaceDN w:val="0"/>
              <w:adjustRightInd w:val="0"/>
              <w:ind w:left="266" w:right="-3091" w:hanging="266"/>
              <w:textAlignment w:val="baseline"/>
            </w:pPr>
            <w:r>
              <w:t>EESC-2025-04381-00-00-AC</w:t>
            </w:r>
          </w:p>
        </w:tc>
      </w:tr>
    </w:tbl>
    <w:p w14:paraId="07986621" w14:textId="77777777" w:rsidR="00403683" w:rsidRPr="00403683" w:rsidRDefault="00403683" w:rsidP="00403683">
      <w:pPr>
        <w:tabs>
          <w:tab w:val="center" w:pos="284"/>
        </w:tabs>
        <w:overflowPunct w:val="0"/>
        <w:autoSpaceDE w:val="0"/>
        <w:autoSpaceDN w:val="0"/>
        <w:adjustRightInd w:val="0"/>
        <w:ind w:left="266" w:hanging="266"/>
        <w:textAlignment w:val="baseline"/>
        <w:rPr>
          <w:b/>
          <w:lang w:val="en-GB"/>
        </w:rPr>
      </w:pPr>
    </w:p>
    <w:p w14:paraId="7C92A945"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rPr>
      </w:pPr>
      <w:r>
        <w:rPr>
          <w:b/>
        </w:rPr>
        <w:t>Główne punkty</w:t>
      </w:r>
    </w:p>
    <w:p w14:paraId="2174BF7E" w14:textId="77777777" w:rsidR="00403683" w:rsidRPr="00403683" w:rsidRDefault="00403683" w:rsidP="00403683">
      <w:pPr>
        <w:keepNext/>
        <w:keepLines/>
        <w:tabs>
          <w:tab w:val="center" w:pos="284"/>
        </w:tabs>
        <w:overflowPunct w:val="0"/>
        <w:autoSpaceDE w:val="0"/>
        <w:autoSpaceDN w:val="0"/>
        <w:adjustRightInd w:val="0"/>
        <w:ind w:left="266" w:hanging="266"/>
        <w:textAlignment w:val="baseline"/>
        <w:rPr>
          <w:b/>
          <w:lang w:val="en-GB"/>
        </w:rPr>
      </w:pPr>
    </w:p>
    <w:p w14:paraId="16E30F54" w14:textId="77777777" w:rsidR="00403683" w:rsidRDefault="00403683" w:rsidP="00403683">
      <w:pPr>
        <w:overflowPunct w:val="0"/>
        <w:autoSpaceDE w:val="0"/>
        <w:autoSpaceDN w:val="0"/>
        <w:adjustRightInd w:val="0"/>
        <w:textAlignment w:val="baseline"/>
        <w:rPr>
          <w:bCs/>
          <w:iCs/>
        </w:rPr>
      </w:pPr>
      <w:r>
        <w:t>EKES:</w:t>
      </w:r>
    </w:p>
    <w:p w14:paraId="15731CD7" w14:textId="77777777" w:rsidR="00AF547E" w:rsidRPr="00403683" w:rsidRDefault="00AF547E" w:rsidP="00403683">
      <w:pPr>
        <w:overflowPunct w:val="0"/>
        <w:autoSpaceDE w:val="0"/>
        <w:autoSpaceDN w:val="0"/>
        <w:adjustRightInd w:val="0"/>
        <w:textAlignment w:val="baseline"/>
        <w:rPr>
          <w:bCs/>
          <w:iCs/>
          <w:lang w:val="en-GB"/>
        </w:rPr>
      </w:pPr>
    </w:p>
    <w:p w14:paraId="1FCFD917"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8" w:name="_Toc228805442"/>
      <w:r>
        <w:t>Z zadowoleniem przyjmuje ogólne założenia pakietu uproszczeń w zakresie żywności i pasz, który powinien zmniejszyć niepotrzebne obciążenia administracyjne i koszty, ale podkreśla, że żadne uproszczenie nie może odbywać się kosztem wysokich unijnych standardów bezpieczeństwa w zakresie żywności i pasz, ochrony środowiska i zdrowia publicznego.</w:t>
      </w:r>
      <w:bookmarkEnd w:id="28"/>
    </w:p>
    <w:p w14:paraId="03C81D74"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29" w:name="_Toc228805443"/>
      <w:r>
        <w:t>Podkreśla znaczenie jakości regulacyjnej oraz potrzebę wzmocnienia roli społeczeństwa obywatelskiego w monitorowaniu i egzekwowaniu prawodawstwa.</w:t>
      </w:r>
      <w:bookmarkEnd w:id="29"/>
    </w:p>
    <w:p w14:paraId="2F1E934E" w14:textId="7F870D51"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0" w:name="_Toc228805444"/>
      <w:r>
        <w:t>Z zadowoleniem przyjmuje propozycję ułatwienia szerszego stosowania dronów do opryskiwania pestycydami, a jednocześnie podkreśla potrzebę odpowiedniej ochrony i zabezpieczeń zdrowia i</w:t>
      </w:r>
      <w:r w:rsidR="005C5C88">
        <w:t> </w:t>
      </w:r>
      <w:r>
        <w:t>środowiska mieszkańców obszarów wiejskich niebędących rolnikami oraz wszystkich pracowników.</w:t>
      </w:r>
      <w:bookmarkEnd w:id="30"/>
    </w:p>
    <w:p w14:paraId="4305D899"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1" w:name="_Toc228805445"/>
      <w:r>
        <w:t>Uważa, że Europejski Urząd ds. Bezpieczeństwa Żywności powinien mieć prawo do sygnalizowania potrzeby ukierunkowanej ponownej oceny zatwierdzonych bezterminowo substancji czynnych. Należy również zasięgać jego opinii na temat stosowności jakiegokolwiek okresu na zużycie zapasów.</w:t>
      </w:r>
      <w:bookmarkEnd w:id="31"/>
      <w:r>
        <w:t xml:space="preserve"> </w:t>
      </w:r>
    </w:p>
    <w:p w14:paraId="52534770"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2" w:name="_Toc228805446"/>
      <w:r>
        <w:t>Pozytywnie ocenia przyspieszenie i uproszczenie procesów wydawania zezwoleń na produkty do biokontroli.</w:t>
      </w:r>
      <w:bookmarkEnd w:id="32"/>
      <w:r>
        <w:t xml:space="preserve"> </w:t>
      </w:r>
    </w:p>
    <w:p w14:paraId="5FE87611"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3" w:name="_Toc228805447"/>
      <w:r>
        <w:t>Wzywa do harmonizacji okresów na zużycie zapasów na najwyższym poziomie ochrony w całej UE oraz do ułatwienia wzajemnego uznawania.</w:t>
      </w:r>
      <w:bookmarkEnd w:id="33"/>
    </w:p>
    <w:p w14:paraId="740656F8" w14:textId="77777777" w:rsidR="00403683" w:rsidRPr="00403683" w:rsidRDefault="00403683" w:rsidP="004C6742">
      <w:pPr>
        <w:numPr>
          <w:ilvl w:val="1"/>
          <w:numId w:val="60"/>
        </w:numPr>
        <w:shd w:val="clear" w:color="auto" w:fill="FFFFFF" w:themeFill="background1"/>
        <w:overflowPunct w:val="0"/>
        <w:autoSpaceDE w:val="0"/>
        <w:autoSpaceDN w:val="0"/>
        <w:adjustRightInd w:val="0"/>
        <w:textAlignment w:val="baseline"/>
        <w:outlineLvl w:val="1"/>
        <w:rPr>
          <w:szCs w:val="20"/>
        </w:rPr>
      </w:pPr>
      <w:bookmarkStart w:id="34" w:name="_Toc228805448"/>
      <w:r>
        <w:t>Popiera udzielanie zezwoleń na te środki ochrony roślin, które zawierają zatwierdzone przez UE substancje czynne służące do zaprawiania nasion przeznaczonych na wywóz. Niemniej takie zastosowanie musi być zgodne z wymogami regulacyjnymi kraju przeznaczenia.</w:t>
      </w:r>
      <w:bookmarkEnd w:id="34"/>
    </w:p>
    <w:p w14:paraId="32435E68"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5" w:name="_Toc228805449"/>
      <w:r>
        <w:t>Proponuje, aby prywatne analizy sanitarne i certyfikacyjne przeprowadzane przez przedsiębiorstwa były uznawane za oficjalne, co pozwoli uprościć procedury wywozu do krajów spoza UE, co wymagałby od organów wprowadzenia bardziej rygorystycznych kontroli i kar, aby umożliwić takie uznanie.</w:t>
      </w:r>
      <w:bookmarkEnd w:id="35"/>
    </w:p>
    <w:p w14:paraId="5D898E6D"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6" w:name="_Toc228805450"/>
      <w:r>
        <w:t>Uznaje znaczenie równoważności norm, jest jednak zaniepokojony zniesieniem tolerancji importowych w odniesieniu do niektórych substancji niedopuszczonych do obrotu w UE. Uważa, że ocena skutków ma zasadnicze znaczenie dla takich istotnych zmian, zgodnie z zasadą ostrożności i ze względu na potencjalne skutki dla wszystkich podmiotów w dużym stopniu uzależnionych od przywozu.</w:t>
      </w:r>
      <w:bookmarkEnd w:id="36"/>
    </w:p>
    <w:p w14:paraId="0129D2DA"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7" w:name="_Toc228805451"/>
      <w:r>
        <w:lastRenderedPageBreak/>
        <w:t>Uważa, że należy zezwolić na stosowanie w substancjach do biokontroli metali ciężkich, takich jak miedź, pod warunkiem zagwarantowania zdrowia ludzi, zwierząt i gleby oraz różnorodności biologicznej.</w:t>
      </w:r>
      <w:bookmarkEnd w:id="37"/>
    </w:p>
    <w:p w14:paraId="3C8AB436"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8" w:name="_Toc228805452"/>
      <w:r>
        <w:t>Jest zdania, że przed wycofaniem substancji czynnej kwalifikującej się do zastąpienia powinna być dostępna ekonomicznie opłacalna alternatywa o równoważnym poziomie skuteczności.</w:t>
      </w:r>
      <w:bookmarkEnd w:id="38"/>
    </w:p>
    <w:p w14:paraId="30304C3E"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39" w:name="_Toc228805453"/>
      <w:r>
        <w:t>Uważa, że UE musi przestrzegać najwyższych standardów przejrzystości i bezpieczeństwa nowej żywności i żywności zmodyfikowanej genetycznie.</w:t>
      </w:r>
      <w:bookmarkEnd w:id="39"/>
    </w:p>
    <w:p w14:paraId="47E9B68C" w14:textId="77777777" w:rsidR="00403683" w:rsidRPr="00403683" w:rsidRDefault="00403683" w:rsidP="004C6742">
      <w:pPr>
        <w:numPr>
          <w:ilvl w:val="1"/>
          <w:numId w:val="60"/>
        </w:numPr>
        <w:overflowPunct w:val="0"/>
        <w:autoSpaceDE w:val="0"/>
        <w:autoSpaceDN w:val="0"/>
        <w:adjustRightInd w:val="0"/>
        <w:textAlignment w:val="baseline"/>
        <w:outlineLvl w:val="1"/>
        <w:rPr>
          <w:szCs w:val="20"/>
        </w:rPr>
      </w:pPr>
      <w:bookmarkStart w:id="40" w:name="_Toc228805454"/>
      <w:r>
        <w:t>Wzywa do harmonizacji etykietowania materiału siewnego w celu uwzględnienia odpowiednich środków ostrożności i zarządzania ryzykiem.</w:t>
      </w:r>
      <w:bookmarkEnd w:id="40"/>
    </w:p>
    <w:p w14:paraId="6C0CF265" w14:textId="77777777" w:rsidR="00403683" w:rsidRPr="00403683" w:rsidRDefault="00403683" w:rsidP="00403683">
      <w:pPr>
        <w:overflowPunct w:val="0"/>
        <w:autoSpaceDE w:val="0"/>
        <w:autoSpaceDN w:val="0"/>
        <w:adjustRightInd w:val="0"/>
        <w:textAlignment w:val="baseline"/>
        <w:rPr>
          <w:szCs w:val="20"/>
          <w:lang w:val="en-GB"/>
        </w:rPr>
      </w:pPr>
    </w:p>
    <w:tbl>
      <w:tblPr>
        <w:tblStyle w:val="TableGrid2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03683" w:rsidRPr="00403683" w14:paraId="70675006" w14:textId="77777777" w:rsidTr="002E7EFB">
        <w:tc>
          <w:tcPr>
            <w:tcW w:w="1077" w:type="pct"/>
          </w:tcPr>
          <w:p w14:paraId="47BC0F37" w14:textId="77777777" w:rsidR="00403683" w:rsidRPr="00403683" w:rsidRDefault="00403683" w:rsidP="00403683">
            <w:pPr>
              <w:overflowPunct w:val="0"/>
              <w:autoSpaceDE w:val="0"/>
              <w:autoSpaceDN w:val="0"/>
              <w:adjustRightInd w:val="0"/>
              <w:textAlignment w:val="baseline"/>
              <w:rPr>
                <w:i/>
              </w:rPr>
            </w:pPr>
            <w:r>
              <w:rPr>
                <w:b/>
                <w:i/>
              </w:rPr>
              <w:t>Kontakt</w:t>
            </w:r>
          </w:p>
        </w:tc>
        <w:tc>
          <w:tcPr>
            <w:tcW w:w="3923" w:type="pct"/>
          </w:tcPr>
          <w:p w14:paraId="14A09B02" w14:textId="54C774A1" w:rsidR="00403683" w:rsidRPr="00403683" w:rsidRDefault="00403683" w:rsidP="00403683">
            <w:pPr>
              <w:overflowPunct w:val="0"/>
              <w:autoSpaceDE w:val="0"/>
              <w:autoSpaceDN w:val="0"/>
              <w:adjustRightInd w:val="0"/>
              <w:textAlignment w:val="baseline"/>
              <w:rPr>
                <w:i/>
              </w:rPr>
            </w:pPr>
            <w:r>
              <w:rPr>
                <w:i/>
              </w:rPr>
              <w:t>Martine Delanoy</w:t>
            </w:r>
          </w:p>
        </w:tc>
      </w:tr>
      <w:tr w:rsidR="00403683" w:rsidRPr="00403683" w14:paraId="1A38B9B8" w14:textId="77777777" w:rsidTr="002E7EFB">
        <w:tc>
          <w:tcPr>
            <w:tcW w:w="1077" w:type="pct"/>
          </w:tcPr>
          <w:p w14:paraId="4675EE24" w14:textId="77777777" w:rsidR="00403683" w:rsidRPr="00403683" w:rsidRDefault="00403683" w:rsidP="00403683">
            <w:pPr>
              <w:overflowPunct w:val="0"/>
              <w:autoSpaceDE w:val="0"/>
              <w:autoSpaceDN w:val="0"/>
              <w:adjustRightInd w:val="0"/>
              <w:textAlignment w:val="baseline"/>
              <w:rPr>
                <w:i/>
              </w:rPr>
            </w:pPr>
            <w:r>
              <w:rPr>
                <w:i/>
              </w:rPr>
              <w:t>tel.</w:t>
            </w:r>
          </w:p>
        </w:tc>
        <w:tc>
          <w:tcPr>
            <w:tcW w:w="3923" w:type="pct"/>
          </w:tcPr>
          <w:p w14:paraId="353DAD93" w14:textId="77777777" w:rsidR="00403683" w:rsidRPr="00403683" w:rsidRDefault="00403683" w:rsidP="00403683">
            <w:pPr>
              <w:overflowPunct w:val="0"/>
              <w:autoSpaceDE w:val="0"/>
              <w:autoSpaceDN w:val="0"/>
              <w:adjustRightInd w:val="0"/>
              <w:textAlignment w:val="baseline"/>
              <w:rPr>
                <w:i/>
              </w:rPr>
            </w:pPr>
            <w:r>
              <w:rPr>
                <w:i/>
              </w:rPr>
              <w:t>+32 25469802</w:t>
            </w:r>
          </w:p>
        </w:tc>
      </w:tr>
      <w:tr w:rsidR="00403683" w:rsidRPr="00403683" w14:paraId="7CCD1D63" w14:textId="77777777" w:rsidTr="002E7EFB">
        <w:tc>
          <w:tcPr>
            <w:tcW w:w="1077" w:type="pct"/>
          </w:tcPr>
          <w:p w14:paraId="0D398F1B" w14:textId="77777777" w:rsidR="00403683" w:rsidRPr="00403683" w:rsidRDefault="00403683" w:rsidP="00403683">
            <w:pPr>
              <w:overflowPunct w:val="0"/>
              <w:autoSpaceDE w:val="0"/>
              <w:autoSpaceDN w:val="0"/>
              <w:adjustRightInd w:val="0"/>
              <w:textAlignment w:val="baseline"/>
              <w:rPr>
                <w:i/>
              </w:rPr>
            </w:pPr>
            <w:r>
              <w:rPr>
                <w:i/>
              </w:rPr>
              <w:t>e-mail</w:t>
            </w:r>
          </w:p>
        </w:tc>
        <w:tc>
          <w:tcPr>
            <w:tcW w:w="3923" w:type="pct"/>
          </w:tcPr>
          <w:p w14:paraId="40D17F4B" w14:textId="64F729D9" w:rsidR="00403683" w:rsidRDefault="00651F28" w:rsidP="00403683">
            <w:pPr>
              <w:overflowPunct w:val="0"/>
              <w:autoSpaceDE w:val="0"/>
              <w:autoSpaceDN w:val="0"/>
              <w:adjustRightInd w:val="0"/>
              <w:textAlignment w:val="baseline"/>
              <w:rPr>
                <w:i/>
              </w:rPr>
            </w:pPr>
            <w:hyperlink r:id="rId62" w:history="1">
              <w:r>
                <w:rPr>
                  <w:i/>
                  <w:color w:val="0000FF"/>
                  <w:u w:val="single"/>
                </w:rPr>
                <w:t>Martine.Delanoy@eesc.europa.eu</w:t>
              </w:r>
            </w:hyperlink>
            <w:r>
              <w:rPr>
                <w:i/>
              </w:rPr>
              <w:t xml:space="preserve"> </w:t>
            </w:r>
          </w:p>
          <w:p w14:paraId="7433A851" w14:textId="77777777" w:rsidR="00CA6EC9" w:rsidRPr="00403683" w:rsidRDefault="00CA6EC9" w:rsidP="00403683">
            <w:pPr>
              <w:overflowPunct w:val="0"/>
              <w:autoSpaceDE w:val="0"/>
              <w:autoSpaceDN w:val="0"/>
              <w:adjustRightInd w:val="0"/>
              <w:textAlignment w:val="baseline"/>
              <w:rPr>
                <w:i/>
              </w:rPr>
            </w:pPr>
          </w:p>
        </w:tc>
      </w:tr>
    </w:tbl>
    <w:p w14:paraId="2EE3ACD5" w14:textId="77777777" w:rsidR="007B6F06" w:rsidRDefault="007B6F06" w:rsidP="004C6742">
      <w:pPr>
        <w:widowControl w:val="0"/>
        <w:overflowPunct w:val="0"/>
        <w:autoSpaceDE w:val="0"/>
        <w:autoSpaceDN w:val="0"/>
        <w:adjustRightInd w:val="0"/>
        <w:ind w:left="284"/>
        <w:jc w:val="left"/>
        <w:textAlignment w:val="baseline"/>
        <w:rPr>
          <w:b/>
          <w:bCs/>
          <w:i/>
          <w:iCs/>
          <w:sz w:val="28"/>
          <w:szCs w:val="28"/>
          <w:lang w:val="en-GB"/>
        </w:rPr>
      </w:pPr>
    </w:p>
    <w:p w14:paraId="2F50326F" w14:textId="38A78C64" w:rsidR="00A230F1" w:rsidRPr="007B6F06" w:rsidRDefault="007B6F06" w:rsidP="004C6742">
      <w:pPr>
        <w:pStyle w:val="ListParagraph"/>
        <w:numPr>
          <w:ilvl w:val="0"/>
          <w:numId w:val="14"/>
        </w:numPr>
        <w:spacing w:after="160" w:line="259" w:lineRule="auto"/>
        <w:ind w:left="567" w:hanging="567"/>
        <w:jc w:val="left"/>
        <w:rPr>
          <w:b/>
          <w:bCs/>
          <w:szCs w:val="20"/>
        </w:rPr>
      </w:pPr>
      <w:r>
        <w:br w:type="page"/>
      </w:r>
      <w:hyperlink r:id="rId63" w:history="1">
        <w:r>
          <w:rPr>
            <w:b/>
            <w:i/>
            <w:color w:val="0000FF"/>
            <w:sz w:val="28"/>
            <w:u w:val="single"/>
          </w:rPr>
          <w:t>Równoważność inspekcji polowych stosowanych w państwach trzecich w</w:t>
        </w:r>
        <w:r w:rsidR="005C5C88">
          <w:rPr>
            <w:b/>
            <w:i/>
            <w:color w:val="0000FF"/>
            <w:sz w:val="28"/>
            <w:u w:val="single"/>
          </w:rPr>
          <w:t> </w:t>
        </w:r>
        <w:r>
          <w:rPr>
            <w:b/>
            <w:i/>
            <w:color w:val="0000FF"/>
            <w:sz w:val="28"/>
            <w:u w:val="single"/>
          </w:rPr>
          <w:t>uprawach nasiennych roślin uprawnych oraz równoważność materiału siewnego wyprodukowanego w państwach trzecich</w:t>
        </w:r>
      </w:hyperlink>
      <w:r>
        <w:rPr>
          <w:b/>
          <w:i/>
          <w:sz w:val="28"/>
        </w:rPr>
        <w:t xml:space="preserve"> </w:t>
      </w:r>
    </w:p>
    <w:p w14:paraId="32AB9036" w14:textId="77777777" w:rsidR="00A230F1" w:rsidRPr="00A230F1" w:rsidRDefault="00A230F1" w:rsidP="00A230F1">
      <w:pPr>
        <w:widowControl w:val="0"/>
        <w:overflowPunct w:val="0"/>
        <w:autoSpaceDE w:val="0"/>
        <w:autoSpaceDN w:val="0"/>
        <w:adjustRightInd w:val="0"/>
        <w:ind w:left="266"/>
        <w:textAlignment w:val="baseline"/>
        <w:rPr>
          <w:b/>
          <w:bCs/>
          <w:i/>
          <w:iCs/>
          <w:sz w:val="28"/>
          <w:szCs w:val="28"/>
          <w:lang w:val="en-GB"/>
        </w:rPr>
      </w:pPr>
    </w:p>
    <w:tbl>
      <w:tblPr>
        <w:tblStyle w:val="TableGrid2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A230F1" w:rsidRPr="00A230F1" w14:paraId="427B5DF2" w14:textId="77777777" w:rsidTr="002E7EFB">
        <w:tc>
          <w:tcPr>
            <w:tcW w:w="1077" w:type="pct"/>
            <w:vMerge w:val="restart"/>
          </w:tcPr>
          <w:p w14:paraId="6D05D3E2"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r>
              <w:rPr>
                <w:b/>
              </w:rPr>
              <w:t>Dokumenty</w:t>
            </w:r>
          </w:p>
        </w:tc>
        <w:tc>
          <w:tcPr>
            <w:tcW w:w="3923" w:type="pct"/>
          </w:tcPr>
          <w:p w14:paraId="54297B64" w14:textId="7C4F1EAB" w:rsidR="005D0FED" w:rsidRDefault="005D0FED" w:rsidP="00A230F1">
            <w:pPr>
              <w:tabs>
                <w:tab w:val="center" w:pos="284"/>
              </w:tabs>
              <w:overflowPunct w:val="0"/>
              <w:autoSpaceDE w:val="0"/>
              <w:autoSpaceDN w:val="0"/>
              <w:adjustRightInd w:val="0"/>
              <w:ind w:left="266" w:right="-3091" w:hanging="266"/>
              <w:textAlignment w:val="baseline"/>
            </w:pPr>
            <w:r>
              <w:t>Opinia kategorii C</w:t>
            </w:r>
          </w:p>
          <w:p w14:paraId="139E7F03" w14:textId="312ADB3D" w:rsidR="00A230F1" w:rsidRPr="00A230F1" w:rsidRDefault="00A230F1" w:rsidP="00A230F1">
            <w:pPr>
              <w:tabs>
                <w:tab w:val="center" w:pos="284"/>
              </w:tabs>
              <w:overflowPunct w:val="0"/>
              <w:autoSpaceDE w:val="0"/>
              <w:autoSpaceDN w:val="0"/>
              <w:adjustRightInd w:val="0"/>
              <w:ind w:left="266" w:right="-3091" w:hanging="266"/>
              <w:textAlignment w:val="baseline"/>
            </w:pPr>
            <w:r>
              <w:t>COM(2026) 128 final</w:t>
            </w:r>
          </w:p>
        </w:tc>
      </w:tr>
      <w:tr w:rsidR="00A230F1" w:rsidRPr="00A230F1" w14:paraId="63A72A95" w14:textId="77777777" w:rsidTr="002E7EFB">
        <w:tc>
          <w:tcPr>
            <w:tcW w:w="1077" w:type="pct"/>
            <w:vMerge/>
          </w:tcPr>
          <w:p w14:paraId="11CFEE2D" w14:textId="77777777" w:rsidR="00A230F1" w:rsidRPr="00A230F1" w:rsidRDefault="00A230F1" w:rsidP="00A230F1">
            <w:pPr>
              <w:tabs>
                <w:tab w:val="center" w:pos="284"/>
              </w:tabs>
              <w:overflowPunct w:val="0"/>
              <w:autoSpaceDE w:val="0"/>
              <w:autoSpaceDN w:val="0"/>
              <w:adjustRightInd w:val="0"/>
              <w:ind w:left="266" w:hanging="266"/>
              <w:textAlignment w:val="baseline"/>
              <w:rPr>
                <w:b/>
              </w:rPr>
            </w:pPr>
          </w:p>
        </w:tc>
        <w:tc>
          <w:tcPr>
            <w:tcW w:w="3923" w:type="pct"/>
          </w:tcPr>
          <w:p w14:paraId="70F0DEFB" w14:textId="77777777" w:rsidR="00A230F1" w:rsidRPr="00A230F1" w:rsidRDefault="00A230F1" w:rsidP="00A230F1">
            <w:pPr>
              <w:tabs>
                <w:tab w:val="center" w:pos="284"/>
              </w:tabs>
              <w:overflowPunct w:val="0"/>
              <w:autoSpaceDE w:val="0"/>
              <w:autoSpaceDN w:val="0"/>
              <w:adjustRightInd w:val="0"/>
              <w:ind w:left="266" w:right="-3091" w:hanging="266"/>
              <w:textAlignment w:val="baseline"/>
            </w:pPr>
            <w:r>
              <w:t>EESC-2026-01152-00-00-AC</w:t>
            </w:r>
          </w:p>
        </w:tc>
      </w:tr>
    </w:tbl>
    <w:p w14:paraId="1F198972" w14:textId="77777777" w:rsidR="00A230F1" w:rsidRPr="00A230F1" w:rsidRDefault="00A230F1" w:rsidP="00A230F1">
      <w:pPr>
        <w:tabs>
          <w:tab w:val="center" w:pos="284"/>
        </w:tabs>
        <w:overflowPunct w:val="0"/>
        <w:autoSpaceDE w:val="0"/>
        <w:autoSpaceDN w:val="0"/>
        <w:adjustRightInd w:val="0"/>
        <w:ind w:left="266" w:hanging="266"/>
        <w:textAlignment w:val="baseline"/>
        <w:rPr>
          <w:b/>
          <w:lang w:val="en-GB"/>
        </w:rPr>
      </w:pPr>
    </w:p>
    <w:p w14:paraId="64BE0F4D" w14:textId="4C5D3568" w:rsidR="002B30F4" w:rsidRPr="002B30F4" w:rsidRDefault="00A230F1" w:rsidP="004C6742">
      <w:pPr>
        <w:pStyle w:val="Footer"/>
        <w:rPr>
          <w:bCs/>
          <w:iCs/>
        </w:rPr>
      </w:pPr>
      <w:r>
        <w:t>EKES już wypowiedział się na temat treści wspomnianego wniosku w opinii EESC-2018-00043-00-00-AC-TRA przyjętej w dniu 14 lutego 2018 r.</w:t>
      </w:r>
      <w:r w:rsidR="002B30F4" w:rsidRPr="002B30F4">
        <w:rPr>
          <w:sz w:val="24"/>
          <w:vertAlign w:val="superscript"/>
          <w:lang w:val="en-GB"/>
        </w:rPr>
        <w:footnoteReference w:id="2"/>
      </w:r>
      <w:r>
        <w:t xml:space="preserve"> oraz w opinii EESC-2020-02029-00-00-AC-TRA-EN przyjętej w dniu 18 września 2020 r.</w:t>
      </w:r>
      <w:r w:rsidR="002B30F4" w:rsidRPr="002B30F4">
        <w:rPr>
          <w:sz w:val="24"/>
          <w:vertAlign w:val="superscript"/>
          <w:lang w:val="en-GB"/>
        </w:rPr>
        <w:footnoteReference w:id="3"/>
      </w:r>
      <w:r>
        <w:t>, dlatego postanowił nie sporządzać nowej opinii w tej sprawie, lecz odwołać się do stanowiska, które zajął w ww. dokumentach.</w:t>
      </w:r>
    </w:p>
    <w:p w14:paraId="25658E9B" w14:textId="02F0CF44" w:rsidR="00A230F1" w:rsidRPr="00A230F1" w:rsidRDefault="00A230F1" w:rsidP="00A230F1">
      <w:pPr>
        <w:widowControl w:val="0"/>
        <w:overflowPunct w:val="0"/>
        <w:autoSpaceDE w:val="0"/>
        <w:autoSpaceDN w:val="0"/>
        <w:adjustRightInd w:val="0"/>
        <w:ind w:left="709"/>
        <w:textAlignment w:val="baseline"/>
        <w:rPr>
          <w:szCs w:val="20"/>
          <w:lang w:val="en-GB"/>
        </w:rPr>
      </w:pPr>
    </w:p>
    <w:tbl>
      <w:tblPr>
        <w:tblStyle w:val="TableGrid2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A230F1" w:rsidRPr="00A230F1" w14:paraId="16CCD5A5" w14:textId="77777777" w:rsidTr="002E7EFB">
        <w:tc>
          <w:tcPr>
            <w:tcW w:w="1078" w:type="pct"/>
          </w:tcPr>
          <w:p w14:paraId="441CA2A8" w14:textId="77777777" w:rsidR="00A230F1" w:rsidRPr="00A230F1" w:rsidRDefault="00A230F1" w:rsidP="00A230F1">
            <w:pPr>
              <w:overflowPunct w:val="0"/>
              <w:autoSpaceDE w:val="0"/>
              <w:autoSpaceDN w:val="0"/>
              <w:adjustRightInd w:val="0"/>
              <w:textAlignment w:val="baseline"/>
              <w:rPr>
                <w:i/>
              </w:rPr>
            </w:pPr>
            <w:r>
              <w:rPr>
                <w:b/>
                <w:i/>
              </w:rPr>
              <w:t>Kontakt</w:t>
            </w:r>
          </w:p>
        </w:tc>
        <w:tc>
          <w:tcPr>
            <w:tcW w:w="3922" w:type="pct"/>
          </w:tcPr>
          <w:p w14:paraId="1998D269" w14:textId="77777777" w:rsidR="00A230F1" w:rsidRPr="00A230F1" w:rsidRDefault="00A230F1" w:rsidP="00A230F1">
            <w:pPr>
              <w:overflowPunct w:val="0"/>
              <w:autoSpaceDE w:val="0"/>
              <w:autoSpaceDN w:val="0"/>
              <w:adjustRightInd w:val="0"/>
              <w:textAlignment w:val="baseline"/>
              <w:rPr>
                <w:i/>
              </w:rPr>
            </w:pPr>
            <w:r>
              <w:rPr>
                <w:i/>
              </w:rPr>
              <w:t>Arturo Iniguez Yuste</w:t>
            </w:r>
          </w:p>
        </w:tc>
      </w:tr>
      <w:tr w:rsidR="00A230F1" w:rsidRPr="00A230F1" w14:paraId="7CBB3F89" w14:textId="77777777" w:rsidTr="002E7EFB">
        <w:tc>
          <w:tcPr>
            <w:tcW w:w="1078" w:type="pct"/>
          </w:tcPr>
          <w:p w14:paraId="4B2CEA11" w14:textId="77777777" w:rsidR="00A230F1" w:rsidRPr="00A230F1" w:rsidRDefault="00A230F1" w:rsidP="00A230F1">
            <w:pPr>
              <w:overflowPunct w:val="0"/>
              <w:autoSpaceDE w:val="0"/>
              <w:autoSpaceDN w:val="0"/>
              <w:adjustRightInd w:val="0"/>
              <w:textAlignment w:val="baseline"/>
              <w:rPr>
                <w:i/>
              </w:rPr>
            </w:pPr>
            <w:r>
              <w:rPr>
                <w:i/>
              </w:rPr>
              <w:t>tel.</w:t>
            </w:r>
          </w:p>
        </w:tc>
        <w:tc>
          <w:tcPr>
            <w:tcW w:w="3922" w:type="pct"/>
          </w:tcPr>
          <w:p w14:paraId="151C60D3" w14:textId="77777777" w:rsidR="00A230F1" w:rsidRPr="00A230F1" w:rsidRDefault="00A230F1" w:rsidP="00A230F1">
            <w:pPr>
              <w:overflowPunct w:val="0"/>
              <w:autoSpaceDE w:val="0"/>
              <w:autoSpaceDN w:val="0"/>
              <w:adjustRightInd w:val="0"/>
              <w:textAlignment w:val="baseline"/>
              <w:rPr>
                <w:i/>
              </w:rPr>
            </w:pPr>
            <w:r>
              <w:rPr>
                <w:i/>
              </w:rPr>
              <w:t>+32 25468768</w:t>
            </w:r>
          </w:p>
        </w:tc>
      </w:tr>
      <w:tr w:rsidR="00A230F1" w:rsidRPr="00A230F1" w14:paraId="3090F269" w14:textId="77777777" w:rsidTr="002E7EFB">
        <w:tc>
          <w:tcPr>
            <w:tcW w:w="1078" w:type="pct"/>
          </w:tcPr>
          <w:p w14:paraId="36817683" w14:textId="77777777" w:rsidR="00A230F1" w:rsidRPr="00A230F1" w:rsidRDefault="00A230F1" w:rsidP="00A230F1">
            <w:pPr>
              <w:overflowPunct w:val="0"/>
              <w:autoSpaceDE w:val="0"/>
              <w:autoSpaceDN w:val="0"/>
              <w:adjustRightInd w:val="0"/>
              <w:textAlignment w:val="baseline"/>
              <w:rPr>
                <w:i/>
              </w:rPr>
            </w:pPr>
            <w:r>
              <w:rPr>
                <w:i/>
              </w:rPr>
              <w:t>e-mail</w:t>
            </w:r>
          </w:p>
        </w:tc>
        <w:tc>
          <w:tcPr>
            <w:tcW w:w="3922" w:type="pct"/>
          </w:tcPr>
          <w:p w14:paraId="1FAC504A" w14:textId="7B7EE6F4" w:rsidR="00A230F1" w:rsidRPr="00A230F1" w:rsidRDefault="00651F28" w:rsidP="00A230F1">
            <w:pPr>
              <w:overflowPunct w:val="0"/>
              <w:autoSpaceDE w:val="0"/>
              <w:autoSpaceDN w:val="0"/>
              <w:adjustRightInd w:val="0"/>
              <w:textAlignment w:val="baseline"/>
              <w:rPr>
                <w:i/>
                <w:iCs/>
              </w:rPr>
            </w:pPr>
            <w:hyperlink r:id="rId64" w:history="1">
              <w:r>
                <w:rPr>
                  <w:i/>
                  <w:color w:val="0000FF"/>
                  <w:u w:val="single"/>
                </w:rPr>
                <w:t>Arturo.Iniguez@eesc.europa.eu</w:t>
              </w:r>
            </w:hyperlink>
            <w:r>
              <w:rPr>
                <w:i/>
              </w:rPr>
              <w:t xml:space="preserve"> </w:t>
            </w:r>
          </w:p>
        </w:tc>
      </w:tr>
    </w:tbl>
    <w:p w14:paraId="60213BA5" w14:textId="23657EAA" w:rsidR="00A230F1" w:rsidRDefault="00A230F1" w:rsidP="001766B2">
      <w:pPr>
        <w:jc w:val="left"/>
      </w:pPr>
    </w:p>
    <w:p w14:paraId="4B9B21DA" w14:textId="77777777" w:rsidR="00553BE0" w:rsidRDefault="00553BE0" w:rsidP="001766B2">
      <w:pPr>
        <w:jc w:val="left"/>
      </w:pPr>
    </w:p>
    <w:p w14:paraId="272CD546" w14:textId="77777777" w:rsidR="00553BE0" w:rsidRDefault="00553BE0" w:rsidP="001766B2">
      <w:pPr>
        <w:jc w:val="left"/>
      </w:pPr>
    </w:p>
    <w:p w14:paraId="1CFD6392" w14:textId="77777777" w:rsidR="00553BE0" w:rsidRDefault="00553BE0" w:rsidP="001766B2">
      <w:pPr>
        <w:jc w:val="left"/>
      </w:pPr>
    </w:p>
    <w:p w14:paraId="2804502A" w14:textId="77777777" w:rsidR="00553BE0" w:rsidRDefault="00553BE0" w:rsidP="001766B2">
      <w:pPr>
        <w:jc w:val="left"/>
      </w:pPr>
    </w:p>
    <w:p w14:paraId="7224D954" w14:textId="77777777" w:rsidR="00553BE0" w:rsidRDefault="00553BE0" w:rsidP="001766B2">
      <w:pPr>
        <w:jc w:val="left"/>
      </w:pPr>
    </w:p>
    <w:p w14:paraId="41D04A55" w14:textId="77777777" w:rsidR="00553BE0" w:rsidRDefault="00553BE0" w:rsidP="001766B2">
      <w:pPr>
        <w:jc w:val="left"/>
      </w:pPr>
    </w:p>
    <w:p w14:paraId="07B8FDA7" w14:textId="77777777" w:rsidR="00A230F1" w:rsidRDefault="00A230F1">
      <w:pPr>
        <w:spacing w:after="160" w:line="259" w:lineRule="auto"/>
        <w:jc w:val="left"/>
      </w:pPr>
      <w:r>
        <w:br w:type="page"/>
      </w:r>
    </w:p>
    <w:p w14:paraId="77C06DA1" w14:textId="1483FE4F" w:rsidR="00EC4D43" w:rsidRPr="00EC4D43" w:rsidRDefault="00A067F3" w:rsidP="004C6742">
      <w:pPr>
        <w:widowControl w:val="0"/>
        <w:numPr>
          <w:ilvl w:val="0"/>
          <w:numId w:val="4"/>
        </w:numPr>
        <w:overflowPunct w:val="0"/>
        <w:autoSpaceDE w:val="0"/>
        <w:autoSpaceDN w:val="0"/>
        <w:adjustRightInd w:val="0"/>
        <w:ind w:hanging="567"/>
        <w:textAlignment w:val="baseline"/>
        <w:rPr>
          <w:b/>
        </w:rPr>
      </w:pPr>
      <w:hyperlink r:id="rId65" w:history="1">
        <w:r>
          <w:rPr>
            <w:b/>
            <w:i/>
            <w:color w:val="0000FF"/>
            <w:sz w:val="28"/>
            <w:u w:val="single"/>
          </w:rPr>
          <w:t>Unieważnianie uprawnień znajdujących się w rezerwie stabilności rynkowej</w:t>
        </w:r>
      </w:hyperlink>
    </w:p>
    <w:p w14:paraId="757D5F4E" w14:textId="77777777" w:rsidR="00F1581A" w:rsidRPr="00EC4D43" w:rsidRDefault="00F1581A" w:rsidP="00EC4D43">
      <w:pPr>
        <w:widowControl w:val="0"/>
        <w:overflowPunct w:val="0"/>
        <w:autoSpaceDE w:val="0"/>
        <w:autoSpaceDN w:val="0"/>
        <w:adjustRightInd w:val="0"/>
        <w:ind w:left="266"/>
        <w:textAlignment w:val="baseline"/>
        <w:rPr>
          <w:b/>
          <w:lang w:val="en-GB"/>
        </w:rPr>
      </w:pP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C4D43" w:rsidRPr="00EC4D43" w14:paraId="22D897E0" w14:textId="77777777" w:rsidTr="002E7EFB">
        <w:tc>
          <w:tcPr>
            <w:tcW w:w="1077" w:type="pct"/>
            <w:vMerge w:val="restart"/>
          </w:tcPr>
          <w:p w14:paraId="6262FEF2"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r>
              <w:rPr>
                <w:b/>
              </w:rPr>
              <w:t>Dokumenty</w:t>
            </w:r>
          </w:p>
        </w:tc>
        <w:tc>
          <w:tcPr>
            <w:tcW w:w="3923" w:type="pct"/>
          </w:tcPr>
          <w:p w14:paraId="60CAA90A" w14:textId="2B344929" w:rsidR="00447A14" w:rsidRDefault="00F1581A" w:rsidP="00EC4D43">
            <w:pPr>
              <w:tabs>
                <w:tab w:val="center" w:pos="284"/>
              </w:tabs>
              <w:overflowPunct w:val="0"/>
              <w:autoSpaceDE w:val="0"/>
              <w:autoSpaceDN w:val="0"/>
              <w:adjustRightInd w:val="0"/>
              <w:ind w:left="266" w:right="-3091" w:hanging="266"/>
              <w:textAlignment w:val="baseline"/>
            </w:pPr>
            <w:r>
              <w:t>Opinia kategorii C</w:t>
            </w:r>
          </w:p>
          <w:p w14:paraId="0ADB870C" w14:textId="3DA0E6FF" w:rsidR="00EC4D43" w:rsidRPr="00EC4D43" w:rsidRDefault="00EC4D43" w:rsidP="00EC4D43">
            <w:pPr>
              <w:tabs>
                <w:tab w:val="center" w:pos="284"/>
              </w:tabs>
              <w:overflowPunct w:val="0"/>
              <w:autoSpaceDE w:val="0"/>
              <w:autoSpaceDN w:val="0"/>
              <w:adjustRightInd w:val="0"/>
              <w:ind w:left="266" w:right="-3091" w:hanging="266"/>
              <w:textAlignment w:val="baseline"/>
            </w:pPr>
            <w:r>
              <w:t>COM(2026) 153 final</w:t>
            </w:r>
          </w:p>
        </w:tc>
      </w:tr>
      <w:tr w:rsidR="00EC4D43" w:rsidRPr="00EC4D43" w14:paraId="651FA50F" w14:textId="77777777" w:rsidTr="002E7EFB">
        <w:tc>
          <w:tcPr>
            <w:tcW w:w="1077" w:type="pct"/>
            <w:vMerge/>
          </w:tcPr>
          <w:p w14:paraId="6A472EE9" w14:textId="77777777" w:rsidR="00EC4D43" w:rsidRPr="00EC4D43" w:rsidRDefault="00EC4D43" w:rsidP="00EC4D43">
            <w:pPr>
              <w:tabs>
                <w:tab w:val="center" w:pos="284"/>
              </w:tabs>
              <w:overflowPunct w:val="0"/>
              <w:autoSpaceDE w:val="0"/>
              <w:autoSpaceDN w:val="0"/>
              <w:adjustRightInd w:val="0"/>
              <w:ind w:left="266" w:hanging="266"/>
              <w:textAlignment w:val="baseline"/>
              <w:rPr>
                <w:b/>
              </w:rPr>
            </w:pPr>
          </w:p>
        </w:tc>
        <w:tc>
          <w:tcPr>
            <w:tcW w:w="3923" w:type="pct"/>
          </w:tcPr>
          <w:p w14:paraId="47DF85DF" w14:textId="77777777" w:rsidR="00EC4D43" w:rsidRPr="00EC4D43" w:rsidRDefault="00EC4D43" w:rsidP="00EC4D43">
            <w:pPr>
              <w:tabs>
                <w:tab w:val="center" w:pos="284"/>
              </w:tabs>
              <w:overflowPunct w:val="0"/>
              <w:autoSpaceDE w:val="0"/>
              <w:autoSpaceDN w:val="0"/>
              <w:adjustRightInd w:val="0"/>
              <w:ind w:left="266" w:right="-3091" w:hanging="266"/>
              <w:textAlignment w:val="baseline"/>
            </w:pPr>
            <w:r>
              <w:t>EESC-2026-01164-00-00-AC</w:t>
            </w:r>
          </w:p>
        </w:tc>
      </w:tr>
    </w:tbl>
    <w:p w14:paraId="0FC42288" w14:textId="77777777" w:rsidR="00517E07" w:rsidRPr="00EC4D43" w:rsidRDefault="00517E07" w:rsidP="00EC4D43">
      <w:pPr>
        <w:tabs>
          <w:tab w:val="center" w:pos="284"/>
        </w:tabs>
        <w:overflowPunct w:val="0"/>
        <w:autoSpaceDE w:val="0"/>
        <w:autoSpaceDN w:val="0"/>
        <w:adjustRightInd w:val="0"/>
        <w:ind w:left="266" w:hanging="266"/>
        <w:textAlignment w:val="baseline"/>
        <w:rPr>
          <w:b/>
          <w:lang w:val="en-GB"/>
        </w:rPr>
      </w:pPr>
    </w:p>
    <w:p w14:paraId="3ABFEF49" w14:textId="341CD87D" w:rsidR="008548EA" w:rsidRPr="008548EA" w:rsidRDefault="00EC4D43" w:rsidP="004C6742">
      <w:pPr>
        <w:widowControl w:val="0"/>
        <w:overflowPunct w:val="0"/>
        <w:autoSpaceDE w:val="0"/>
        <w:autoSpaceDN w:val="0"/>
        <w:adjustRightInd w:val="0"/>
        <w:textAlignment w:val="baseline"/>
        <w:rPr>
          <w:bCs/>
          <w:iCs/>
        </w:rPr>
      </w:pPr>
      <w:r>
        <w:t>EKES uznał, że treść wniosku jest zadowalająca i że ponadto była już przedmiotem jego opinii EESC-2021-03918-00-00-AC-TRA przyjętej 8 grudnia 2021 r.</w:t>
      </w:r>
      <w:r w:rsidR="008548EA" w:rsidRPr="008548EA">
        <w:rPr>
          <w:sz w:val="24"/>
          <w:szCs w:val="20"/>
          <w:vertAlign w:val="superscript"/>
          <w:lang w:val="en-GB"/>
        </w:rPr>
        <w:footnoteReference w:id="4"/>
      </w:r>
      <w:r>
        <w:t>, oraz postanowił wydać pozytywną opinię w</w:t>
      </w:r>
      <w:r w:rsidR="005C5C88">
        <w:t> </w:t>
      </w:r>
      <w:r>
        <w:t>sprawie wniosku i odwołać się do stanowiska, które zajął w ww. dokumencie.</w:t>
      </w:r>
    </w:p>
    <w:p w14:paraId="7DCC2B7B" w14:textId="77777777" w:rsidR="00EC4D43" w:rsidRPr="00EC4D43" w:rsidRDefault="00EC4D43" w:rsidP="00EC4D43">
      <w:pPr>
        <w:widowControl w:val="0"/>
        <w:overflowPunct w:val="0"/>
        <w:autoSpaceDE w:val="0"/>
        <w:autoSpaceDN w:val="0"/>
        <w:adjustRightInd w:val="0"/>
        <w:ind w:left="709"/>
        <w:textAlignment w:val="baseline"/>
        <w:rPr>
          <w:szCs w:val="20"/>
          <w:lang w:val="en-GB"/>
        </w:rPr>
      </w:pPr>
    </w:p>
    <w:tbl>
      <w:tblPr>
        <w:tblStyle w:val="TableGrid23"/>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EC4D43" w:rsidRPr="00EC4D43" w14:paraId="2D162523" w14:textId="77777777" w:rsidTr="002E7EFB">
        <w:tc>
          <w:tcPr>
            <w:tcW w:w="1078" w:type="pct"/>
          </w:tcPr>
          <w:p w14:paraId="1CAD14A2" w14:textId="77777777" w:rsidR="00EC4D43" w:rsidRPr="00EC4D43" w:rsidRDefault="00EC4D43" w:rsidP="00EC4D43">
            <w:pPr>
              <w:overflowPunct w:val="0"/>
              <w:autoSpaceDE w:val="0"/>
              <w:autoSpaceDN w:val="0"/>
              <w:adjustRightInd w:val="0"/>
              <w:textAlignment w:val="baseline"/>
              <w:rPr>
                <w:i/>
              </w:rPr>
            </w:pPr>
            <w:r>
              <w:rPr>
                <w:b/>
                <w:i/>
              </w:rPr>
              <w:t>Kontakt</w:t>
            </w:r>
          </w:p>
        </w:tc>
        <w:tc>
          <w:tcPr>
            <w:tcW w:w="3922" w:type="pct"/>
          </w:tcPr>
          <w:p w14:paraId="36FD4393" w14:textId="46A780E6" w:rsidR="00EC4D43" w:rsidRPr="00EC4D43" w:rsidRDefault="00EC4D43" w:rsidP="00EC4D43">
            <w:pPr>
              <w:overflowPunct w:val="0"/>
              <w:autoSpaceDE w:val="0"/>
              <w:autoSpaceDN w:val="0"/>
              <w:adjustRightInd w:val="0"/>
              <w:textAlignment w:val="baseline"/>
              <w:rPr>
                <w:i/>
              </w:rPr>
            </w:pPr>
            <w:r>
              <w:rPr>
                <w:i/>
              </w:rPr>
              <w:t>Gaizka Malo Elcoro-Iribe</w:t>
            </w:r>
          </w:p>
        </w:tc>
      </w:tr>
      <w:tr w:rsidR="00EC4D43" w:rsidRPr="00EC4D43" w14:paraId="0DA2E11C" w14:textId="77777777" w:rsidTr="002E7EFB">
        <w:tc>
          <w:tcPr>
            <w:tcW w:w="1078" w:type="pct"/>
          </w:tcPr>
          <w:p w14:paraId="459B752C" w14:textId="77777777" w:rsidR="00EC4D43" w:rsidRPr="00EC4D43" w:rsidRDefault="00EC4D43" w:rsidP="00EC4D43">
            <w:pPr>
              <w:overflowPunct w:val="0"/>
              <w:autoSpaceDE w:val="0"/>
              <w:autoSpaceDN w:val="0"/>
              <w:adjustRightInd w:val="0"/>
              <w:textAlignment w:val="baseline"/>
              <w:rPr>
                <w:i/>
              </w:rPr>
            </w:pPr>
            <w:r>
              <w:rPr>
                <w:i/>
              </w:rPr>
              <w:t>tel.</w:t>
            </w:r>
          </w:p>
        </w:tc>
        <w:tc>
          <w:tcPr>
            <w:tcW w:w="3922" w:type="pct"/>
          </w:tcPr>
          <w:p w14:paraId="77EB016E" w14:textId="77777777" w:rsidR="00EC4D43" w:rsidRPr="00EC4D43" w:rsidRDefault="00EC4D43" w:rsidP="00EC4D43">
            <w:pPr>
              <w:overflowPunct w:val="0"/>
              <w:autoSpaceDE w:val="0"/>
              <w:autoSpaceDN w:val="0"/>
              <w:adjustRightInd w:val="0"/>
              <w:textAlignment w:val="baseline"/>
              <w:rPr>
                <w:i/>
              </w:rPr>
            </w:pPr>
            <w:r>
              <w:rPr>
                <w:i/>
              </w:rPr>
              <w:t>+32 25468526</w:t>
            </w:r>
          </w:p>
        </w:tc>
      </w:tr>
      <w:tr w:rsidR="00EC4D43" w:rsidRPr="00EC4D43" w14:paraId="1581E8CF" w14:textId="77777777" w:rsidTr="002E7EFB">
        <w:tc>
          <w:tcPr>
            <w:tcW w:w="1078" w:type="pct"/>
          </w:tcPr>
          <w:p w14:paraId="3CA2A44C" w14:textId="77777777" w:rsidR="00EC4D43" w:rsidRPr="00EC4D43" w:rsidRDefault="00EC4D43" w:rsidP="00EC4D43">
            <w:pPr>
              <w:overflowPunct w:val="0"/>
              <w:autoSpaceDE w:val="0"/>
              <w:autoSpaceDN w:val="0"/>
              <w:adjustRightInd w:val="0"/>
              <w:textAlignment w:val="baseline"/>
              <w:rPr>
                <w:i/>
              </w:rPr>
            </w:pPr>
            <w:r>
              <w:rPr>
                <w:i/>
              </w:rPr>
              <w:t>e-mail</w:t>
            </w:r>
          </w:p>
        </w:tc>
        <w:tc>
          <w:tcPr>
            <w:tcW w:w="3922" w:type="pct"/>
          </w:tcPr>
          <w:p w14:paraId="4685C922" w14:textId="2A56E0DB" w:rsidR="00EC4D43" w:rsidRPr="00EC4D43" w:rsidRDefault="00651F28" w:rsidP="00EC4D43">
            <w:pPr>
              <w:overflowPunct w:val="0"/>
              <w:autoSpaceDE w:val="0"/>
              <w:autoSpaceDN w:val="0"/>
              <w:adjustRightInd w:val="0"/>
              <w:textAlignment w:val="baseline"/>
              <w:rPr>
                <w:i/>
                <w:iCs/>
              </w:rPr>
            </w:pPr>
            <w:hyperlink r:id="rId66" w:history="1">
              <w:r>
                <w:rPr>
                  <w:i/>
                  <w:color w:val="0000FF"/>
                  <w:u w:val="single"/>
                </w:rPr>
                <w:t>Gaizka.Maloelcoro-iribe@eesc.europa.eu</w:t>
              </w:r>
            </w:hyperlink>
            <w:r>
              <w:rPr>
                <w:i/>
              </w:rPr>
              <w:t xml:space="preserve"> </w:t>
            </w:r>
          </w:p>
        </w:tc>
      </w:tr>
    </w:tbl>
    <w:p w14:paraId="06526E7E" w14:textId="3807A81A" w:rsidR="00EC4D43" w:rsidRDefault="00EC4D43" w:rsidP="001766B2">
      <w:pPr>
        <w:jc w:val="left"/>
      </w:pPr>
    </w:p>
    <w:p w14:paraId="18C8BD3F" w14:textId="77777777" w:rsidR="00EC4D43" w:rsidRDefault="00EC4D43">
      <w:pPr>
        <w:spacing w:after="160" w:line="259" w:lineRule="auto"/>
        <w:jc w:val="left"/>
      </w:pPr>
      <w:r>
        <w:br w:type="page"/>
      </w:r>
    </w:p>
    <w:p w14:paraId="14026A78" w14:textId="34519E14" w:rsidR="007F5784" w:rsidRDefault="007F5784" w:rsidP="004C6742">
      <w:pPr>
        <w:pStyle w:val="Heading2"/>
      </w:pPr>
      <w:bookmarkStart w:id="41" w:name="_Toc229140657"/>
      <w:r>
        <w:lastRenderedPageBreak/>
        <w:t>STOSUNKI ZEWNĘTRZNE</w:t>
      </w:r>
      <w:bookmarkEnd w:id="41"/>
    </w:p>
    <w:p w14:paraId="3BBB3E68" w14:textId="77777777" w:rsidR="007F5784" w:rsidRDefault="007F5784" w:rsidP="001766B2"/>
    <w:p w14:paraId="1A338A4C" w14:textId="3E7DF559" w:rsidR="00D16830" w:rsidRPr="005C5C88" w:rsidRDefault="00D16830" w:rsidP="00D16830">
      <w:pPr>
        <w:widowControl w:val="0"/>
        <w:numPr>
          <w:ilvl w:val="0"/>
          <w:numId w:val="4"/>
        </w:numPr>
        <w:overflowPunct w:val="0"/>
        <w:autoSpaceDE w:val="0"/>
        <w:autoSpaceDN w:val="0"/>
        <w:adjustRightInd w:val="0"/>
        <w:ind w:hanging="567"/>
        <w:textAlignment w:val="baseline"/>
        <w:rPr>
          <w:b/>
          <w:bCs/>
          <w:i/>
          <w:iCs/>
          <w:sz w:val="28"/>
          <w:szCs w:val="28"/>
        </w:rPr>
      </w:pPr>
      <w:hyperlink r:id="rId67" w:history="1">
        <w:r w:rsidRPr="005C5C88">
          <w:rPr>
            <w:b/>
            <w:i/>
            <w:color w:val="0000FF"/>
            <w:sz w:val="28"/>
            <w:szCs w:val="28"/>
            <w:u w:val="single"/>
          </w:rPr>
          <w:t>Rola społeczeństwa obywatelskiego we wspieraniu reform w ramach planów wzrostu gospodarczego dla Bałkanów Zachodnich i Mołdawii oraz ukraińskiej ścieżki reform</w:t>
        </w:r>
      </w:hyperlink>
    </w:p>
    <w:p w14:paraId="464D5003" w14:textId="77777777" w:rsidR="00D16830" w:rsidRPr="00D16830" w:rsidRDefault="00D16830" w:rsidP="00D16830">
      <w:pPr>
        <w:tabs>
          <w:tab w:val="center" w:pos="284"/>
        </w:tabs>
        <w:overflowPunct w:val="0"/>
        <w:autoSpaceDE w:val="0"/>
        <w:autoSpaceDN w:val="0"/>
        <w:adjustRightInd w:val="0"/>
        <w:ind w:left="266" w:hanging="266"/>
        <w:textAlignment w:val="baseline"/>
        <w:rPr>
          <w:b/>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17"/>
        <w:gridCol w:w="6804"/>
      </w:tblGrid>
      <w:tr w:rsidR="00D16830" w:rsidRPr="00D16830" w14:paraId="10A26714" w14:textId="77777777" w:rsidTr="004C6742">
        <w:tc>
          <w:tcPr>
            <w:tcW w:w="1701" w:type="dxa"/>
          </w:tcPr>
          <w:p w14:paraId="1F036B18"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Sprawozdawca</w:t>
            </w:r>
          </w:p>
        </w:tc>
        <w:tc>
          <w:tcPr>
            <w:tcW w:w="6804" w:type="dxa"/>
          </w:tcPr>
          <w:p w14:paraId="61302FB0" w14:textId="2C902EF4" w:rsidR="00D16830" w:rsidRPr="00D16830" w:rsidRDefault="00D16830" w:rsidP="00D16830">
            <w:pPr>
              <w:tabs>
                <w:tab w:val="center" w:pos="284"/>
              </w:tabs>
              <w:overflowPunct w:val="0"/>
              <w:autoSpaceDE w:val="0"/>
              <w:autoSpaceDN w:val="0"/>
              <w:adjustRightInd w:val="0"/>
              <w:ind w:left="266" w:hanging="266"/>
              <w:textAlignment w:val="baseline"/>
            </w:pPr>
            <w:r>
              <w:t>Oleg ROIBU (Grupa Pracodawców – RO)</w:t>
            </w:r>
          </w:p>
        </w:tc>
      </w:tr>
      <w:tr w:rsidR="00D16830" w:rsidRPr="00D16830" w14:paraId="16FB2AA9" w14:textId="77777777" w:rsidTr="004C6742">
        <w:tc>
          <w:tcPr>
            <w:tcW w:w="1701" w:type="dxa"/>
          </w:tcPr>
          <w:p w14:paraId="41593292"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Współsprawozdawca</w:t>
            </w:r>
          </w:p>
        </w:tc>
        <w:tc>
          <w:tcPr>
            <w:tcW w:w="6804" w:type="dxa"/>
          </w:tcPr>
          <w:p w14:paraId="15F5EFBF" w14:textId="32660462" w:rsidR="00D16830" w:rsidRPr="00D16830" w:rsidRDefault="00D16830" w:rsidP="00D16830">
            <w:pPr>
              <w:tabs>
                <w:tab w:val="center" w:pos="284"/>
              </w:tabs>
              <w:overflowPunct w:val="0"/>
              <w:autoSpaceDE w:val="0"/>
              <w:autoSpaceDN w:val="0"/>
              <w:adjustRightInd w:val="0"/>
              <w:ind w:left="266" w:hanging="266"/>
              <w:textAlignment w:val="baseline"/>
            </w:pPr>
            <w:r>
              <w:t>Andrej ZORKO (Grupa Pracowników – SI)</w:t>
            </w:r>
          </w:p>
        </w:tc>
      </w:tr>
      <w:tr w:rsidR="00D16830" w:rsidRPr="00D16830" w14:paraId="6E76E965" w14:textId="77777777" w:rsidTr="004C6742">
        <w:tc>
          <w:tcPr>
            <w:tcW w:w="8505" w:type="dxa"/>
            <w:gridSpan w:val="2"/>
          </w:tcPr>
          <w:p w14:paraId="3CA058AE" w14:textId="77777777" w:rsidR="00D16830" w:rsidRPr="00D16830" w:rsidRDefault="00D16830" w:rsidP="00D16830">
            <w:pPr>
              <w:tabs>
                <w:tab w:val="center" w:pos="284"/>
              </w:tabs>
              <w:overflowPunct w:val="0"/>
              <w:autoSpaceDE w:val="0"/>
              <w:autoSpaceDN w:val="0"/>
              <w:adjustRightInd w:val="0"/>
              <w:spacing w:line="160" w:lineRule="exact"/>
              <w:ind w:left="266" w:hanging="266"/>
              <w:textAlignment w:val="baseline"/>
            </w:pPr>
          </w:p>
        </w:tc>
      </w:tr>
      <w:tr w:rsidR="00D16830" w:rsidRPr="00D16830" w14:paraId="0673089E" w14:textId="77777777" w:rsidTr="004C6742">
        <w:tc>
          <w:tcPr>
            <w:tcW w:w="1701" w:type="dxa"/>
            <w:vMerge w:val="restart"/>
          </w:tcPr>
          <w:p w14:paraId="62E4ADE4"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r>
              <w:rPr>
                <w:b/>
              </w:rPr>
              <w:t>Dokumenty</w:t>
            </w:r>
          </w:p>
        </w:tc>
        <w:tc>
          <w:tcPr>
            <w:tcW w:w="6804" w:type="dxa"/>
          </w:tcPr>
          <w:p w14:paraId="7F3E1AFA" w14:textId="712E7546" w:rsidR="006717BA" w:rsidRDefault="006717BA" w:rsidP="00D16830">
            <w:pPr>
              <w:tabs>
                <w:tab w:val="center" w:pos="284"/>
              </w:tabs>
              <w:overflowPunct w:val="0"/>
              <w:autoSpaceDE w:val="0"/>
              <w:autoSpaceDN w:val="0"/>
              <w:adjustRightInd w:val="0"/>
              <w:ind w:left="266" w:hanging="266"/>
              <w:textAlignment w:val="baseline"/>
            </w:pPr>
            <w:r>
              <w:t>Opinia rozpoznawcza na wniosek cypryjskiej prezydencji Rady UE</w:t>
            </w:r>
          </w:p>
          <w:p w14:paraId="79EFFABC" w14:textId="224D0178" w:rsidR="00D16830" w:rsidRPr="00D16830" w:rsidRDefault="00D16830" w:rsidP="00D16830">
            <w:pPr>
              <w:tabs>
                <w:tab w:val="center" w:pos="284"/>
              </w:tabs>
              <w:overflowPunct w:val="0"/>
              <w:autoSpaceDE w:val="0"/>
              <w:autoSpaceDN w:val="0"/>
              <w:adjustRightInd w:val="0"/>
              <w:ind w:left="266" w:hanging="266"/>
              <w:textAlignment w:val="baseline"/>
            </w:pPr>
            <w:r>
              <w:t>EESC-2026-00143-00-00-AC</w:t>
            </w:r>
          </w:p>
        </w:tc>
      </w:tr>
      <w:tr w:rsidR="00D16830" w:rsidRPr="00D16830" w14:paraId="2A8B5342" w14:textId="77777777" w:rsidTr="004C6742">
        <w:tc>
          <w:tcPr>
            <w:tcW w:w="1701" w:type="dxa"/>
            <w:vMerge/>
          </w:tcPr>
          <w:p w14:paraId="061E54DE" w14:textId="77777777" w:rsidR="00D16830" w:rsidRPr="00D16830" w:rsidRDefault="00D16830" w:rsidP="00D16830">
            <w:pPr>
              <w:tabs>
                <w:tab w:val="center" w:pos="284"/>
              </w:tabs>
              <w:overflowPunct w:val="0"/>
              <w:autoSpaceDE w:val="0"/>
              <w:autoSpaceDN w:val="0"/>
              <w:adjustRightInd w:val="0"/>
              <w:ind w:left="266" w:hanging="266"/>
              <w:textAlignment w:val="baseline"/>
              <w:rPr>
                <w:b/>
              </w:rPr>
            </w:pPr>
          </w:p>
        </w:tc>
        <w:tc>
          <w:tcPr>
            <w:tcW w:w="6804" w:type="dxa"/>
          </w:tcPr>
          <w:p w14:paraId="329BF5D6" w14:textId="77777777" w:rsidR="00D16830" w:rsidRDefault="00D16830" w:rsidP="00D16830">
            <w:pPr>
              <w:tabs>
                <w:tab w:val="center" w:pos="284"/>
              </w:tabs>
              <w:overflowPunct w:val="0"/>
              <w:autoSpaceDE w:val="0"/>
              <w:autoSpaceDN w:val="0"/>
              <w:adjustRightInd w:val="0"/>
              <w:ind w:left="266" w:hanging="266"/>
              <w:textAlignment w:val="baseline"/>
            </w:pPr>
          </w:p>
          <w:p w14:paraId="54AA765B" w14:textId="77777777" w:rsidR="007C36BF" w:rsidRPr="00D16830" w:rsidRDefault="007C36BF" w:rsidP="00D16830">
            <w:pPr>
              <w:tabs>
                <w:tab w:val="center" w:pos="284"/>
              </w:tabs>
              <w:overflowPunct w:val="0"/>
              <w:autoSpaceDE w:val="0"/>
              <w:autoSpaceDN w:val="0"/>
              <w:adjustRightInd w:val="0"/>
              <w:ind w:left="266" w:hanging="266"/>
              <w:textAlignment w:val="baseline"/>
            </w:pPr>
          </w:p>
        </w:tc>
      </w:tr>
    </w:tbl>
    <w:p w14:paraId="3E05C86B"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rPr>
      </w:pPr>
      <w:r>
        <w:rPr>
          <w:b/>
        </w:rPr>
        <w:t xml:space="preserve">Główne punkty </w:t>
      </w:r>
    </w:p>
    <w:p w14:paraId="7EE6889C" w14:textId="77777777" w:rsidR="00D16830" w:rsidRPr="00D16830" w:rsidRDefault="00D16830" w:rsidP="00D16830">
      <w:pPr>
        <w:keepNext/>
        <w:keepLines/>
        <w:tabs>
          <w:tab w:val="center" w:pos="284"/>
        </w:tabs>
        <w:overflowPunct w:val="0"/>
        <w:autoSpaceDE w:val="0"/>
        <w:autoSpaceDN w:val="0"/>
        <w:adjustRightInd w:val="0"/>
        <w:ind w:left="266" w:hanging="266"/>
        <w:textAlignment w:val="baseline"/>
        <w:rPr>
          <w:b/>
          <w:lang w:val="en-GB"/>
        </w:rPr>
      </w:pPr>
    </w:p>
    <w:p w14:paraId="6D13BD68" w14:textId="77777777" w:rsidR="00D16830" w:rsidRDefault="00D16830" w:rsidP="00D16830">
      <w:pPr>
        <w:overflowPunct w:val="0"/>
        <w:autoSpaceDE w:val="0"/>
        <w:autoSpaceDN w:val="0"/>
        <w:adjustRightInd w:val="0"/>
        <w:textAlignment w:val="baseline"/>
        <w:rPr>
          <w:bCs/>
          <w:iCs/>
        </w:rPr>
      </w:pPr>
      <w:r>
        <w:t>EKES:</w:t>
      </w:r>
    </w:p>
    <w:p w14:paraId="34AABBC4" w14:textId="77777777" w:rsidR="00037101" w:rsidRPr="00D16830" w:rsidRDefault="00037101" w:rsidP="00D16830">
      <w:pPr>
        <w:overflowPunct w:val="0"/>
        <w:autoSpaceDE w:val="0"/>
        <w:autoSpaceDN w:val="0"/>
        <w:adjustRightInd w:val="0"/>
        <w:textAlignment w:val="baseline"/>
        <w:rPr>
          <w:bCs/>
          <w:iCs/>
          <w:lang w:val="en-GB"/>
        </w:rPr>
      </w:pPr>
    </w:p>
    <w:p w14:paraId="29563EFC"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Podkreśla, że wszystkie trzy Instrumenty dla Bałkanów Zachodnich, Ukrainy i Mołdawii </w:t>
      </w:r>
      <w:r>
        <w:rPr>
          <w:b/>
        </w:rPr>
        <w:t>muszą aktywnie traktować zaangażowanie społeczeństwa obywatelskiego</w:t>
      </w:r>
      <w:r>
        <w:t xml:space="preserve"> jako warunek strukturalny decydujący o </w:t>
      </w:r>
      <w:r>
        <w:rPr>
          <w:b/>
        </w:rPr>
        <w:t>trwałości procesu rozszerzenia</w:t>
      </w:r>
      <w:r>
        <w:t>.</w:t>
      </w:r>
    </w:p>
    <w:p w14:paraId="6CBB1B4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Zaznacza, że odpowiedzialność społeczeństwa obywatelskiego za reformy wspierane trzema Instrumentami powinna przejawiać się poprzez </w:t>
      </w:r>
      <w:r>
        <w:rPr>
          <w:b/>
        </w:rPr>
        <w:t>stałą, aktywną, uporządkowaną i formalnie zinstytucjonalizowaną rolę partnerów społecznych i organizacji społeczeństwa obywatelskiego</w:t>
      </w:r>
      <w:r>
        <w:t xml:space="preserve"> obok roli władz krajowych.</w:t>
      </w:r>
    </w:p>
    <w:p w14:paraId="6112EC9A"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Zwraca uwagę, że </w:t>
      </w:r>
      <w:r>
        <w:rPr>
          <w:b/>
        </w:rPr>
        <w:t>finansowanie powinno aktywnie przyczyniać się do przygotowania krajów do członkostwa UE</w:t>
      </w:r>
      <w:r>
        <w:t xml:space="preserve"> zgodnie z europejskim modelem społeczno-gospodarczym, a nie ograniczać się do wspierania integracji z jednolitym rynkiem.</w:t>
      </w:r>
    </w:p>
    <w:p w14:paraId="2E0BC090"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szCs w:val="20"/>
        </w:rPr>
      </w:pPr>
      <w:r>
        <w:t xml:space="preserve">Podkreśla, że </w:t>
      </w:r>
      <w:r>
        <w:rPr>
          <w:b/>
        </w:rPr>
        <w:t>terminy nie powinny podważać procedur demokratycznych, debaty publicznej, obowiązkowych konsultacji czy też dialogu</w:t>
      </w:r>
      <w:r>
        <w:t xml:space="preserve"> z partnerami społecznymi i organizacjami społeczeństwa obywatelskiego ani być wykorzystywane jako uzasadnienie nadzwyczajnych skrótów legislacyjnych, które wykluczają partnerów społecznych i organizacje społeczeństwa obywatelskiego.</w:t>
      </w:r>
    </w:p>
    <w:p w14:paraId="13E72E61"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Zwraca uwagę, że rządy powinny ustanowić </w:t>
      </w:r>
      <w:r>
        <w:rPr>
          <w:b/>
        </w:rPr>
        <w:t>ustrukturyzowane ramy dialogu społecznego</w:t>
      </w:r>
      <w:r>
        <w:t xml:space="preserve"> zapewniające zaangażowanie przedstawicieli krajowych, z odpowiednią liczbą członków, organizacji pracodawców, pracowników i organizacji społeczeństwa obywatelskiego, przy jednoczesnym </w:t>
      </w:r>
      <w:r>
        <w:rPr>
          <w:b/>
        </w:rPr>
        <w:t>poszanowaniu szczególnej roli i autonomii partnerów społecznych</w:t>
      </w:r>
      <w:r>
        <w:t>.</w:t>
      </w:r>
    </w:p>
    <w:p w14:paraId="26EAFF74"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Zaleca jasne, publiczne wytyczne Komisji dotyczące oceny pełnego i częściowego </w:t>
      </w:r>
      <w:r>
        <w:rPr>
          <w:b/>
        </w:rPr>
        <w:t>osiągnięcia wskaźników wdrażania programów reform</w:t>
      </w:r>
      <w:r>
        <w:t>, włączając w to standardy weryfikacji oraz zmianę spełnionych wcześniej warunków.</w:t>
      </w:r>
    </w:p>
    <w:p w14:paraId="2056D22B"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Zaleca zapewnienie dostosowanego do potrzeb i przewidywalnego </w:t>
      </w:r>
      <w:r>
        <w:rPr>
          <w:b/>
        </w:rPr>
        <w:t>wsparcia finansowego dla organizacji społeczeństwa obywatelskiego i partnerów społecznych</w:t>
      </w:r>
      <w:r>
        <w:t xml:space="preserve"> za pośrednictwem </w:t>
      </w:r>
      <w:r>
        <w:rPr>
          <w:b/>
        </w:rPr>
        <w:t>wieloletnich i przejrzystych mechanizmów finansowania</w:t>
      </w:r>
      <w:r>
        <w:t>.</w:t>
      </w:r>
    </w:p>
    <w:p w14:paraId="3DC98AF8" w14:textId="77777777" w:rsidR="00D16830" w:rsidRPr="00D16830" w:rsidRDefault="00D16830" w:rsidP="004C6742">
      <w:pPr>
        <w:widowControl w:val="0"/>
        <w:numPr>
          <w:ilvl w:val="0"/>
          <w:numId w:val="63"/>
        </w:numPr>
        <w:overflowPunct w:val="0"/>
        <w:autoSpaceDE w:val="0"/>
        <w:autoSpaceDN w:val="0"/>
        <w:adjustRightInd w:val="0"/>
        <w:ind w:left="284" w:hanging="284"/>
        <w:textAlignment w:val="baseline"/>
        <w:rPr>
          <w:bCs/>
          <w:iCs/>
        </w:rPr>
      </w:pPr>
      <w:r>
        <w:t xml:space="preserve">Zwraca się do Komisji, by </w:t>
      </w:r>
      <w:r>
        <w:rPr>
          <w:b/>
        </w:rPr>
        <w:t>korzystała ze śródokresowych ocen</w:t>
      </w:r>
      <w:r>
        <w:t xml:space="preserve"> obecnych ram zarządzania Instrumentami i ich wdrażania oraz dążyła do </w:t>
      </w:r>
      <w:r>
        <w:rPr>
          <w:b/>
        </w:rPr>
        <w:t>dalszej poprawy wdrażania obecnych i przyszłych odpowiednich unijnych instrumentów rozszerzenia opartych na wynikach</w:t>
      </w:r>
      <w:r>
        <w:t>.</w:t>
      </w:r>
    </w:p>
    <w:p w14:paraId="77E533A4" w14:textId="77777777" w:rsidR="00D16830" w:rsidRPr="00D16830" w:rsidRDefault="00D16830" w:rsidP="00037101">
      <w:pPr>
        <w:widowControl w:val="0"/>
        <w:overflowPunct w:val="0"/>
        <w:autoSpaceDE w:val="0"/>
        <w:autoSpaceDN w:val="0"/>
        <w:adjustRightInd w:val="0"/>
        <w:ind w:left="284" w:hanging="284"/>
        <w:textAlignment w:val="baseline"/>
        <w:rPr>
          <w:szCs w:val="20"/>
          <w:lang w:val="en-GB"/>
        </w:rPr>
      </w:pPr>
    </w:p>
    <w:tbl>
      <w:tblPr>
        <w:tblStyle w:val="TableGrid2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D16830" w:rsidRPr="00D16830" w14:paraId="06D6E640" w14:textId="77777777" w:rsidTr="002E7EFB">
        <w:tc>
          <w:tcPr>
            <w:tcW w:w="1418" w:type="dxa"/>
          </w:tcPr>
          <w:p w14:paraId="2EFB1BD5" w14:textId="77777777" w:rsidR="00D16830" w:rsidRPr="00D16830" w:rsidRDefault="00D16830" w:rsidP="00D16830">
            <w:pPr>
              <w:overflowPunct w:val="0"/>
              <w:autoSpaceDE w:val="0"/>
              <w:autoSpaceDN w:val="0"/>
              <w:adjustRightInd w:val="0"/>
              <w:spacing w:line="240" w:lineRule="auto"/>
              <w:textAlignment w:val="baseline"/>
              <w:rPr>
                <w:i/>
              </w:rPr>
            </w:pPr>
            <w:r>
              <w:rPr>
                <w:b/>
                <w:i/>
              </w:rPr>
              <w:lastRenderedPageBreak/>
              <w:t>Kontakt</w:t>
            </w:r>
          </w:p>
        </w:tc>
        <w:tc>
          <w:tcPr>
            <w:tcW w:w="5670" w:type="dxa"/>
          </w:tcPr>
          <w:p w14:paraId="72677A97" w14:textId="77777777" w:rsidR="00D16830" w:rsidRPr="00D16830" w:rsidRDefault="00D16830" w:rsidP="00D16830">
            <w:pPr>
              <w:overflowPunct w:val="0"/>
              <w:autoSpaceDE w:val="0"/>
              <w:autoSpaceDN w:val="0"/>
              <w:adjustRightInd w:val="0"/>
              <w:spacing w:line="240" w:lineRule="auto"/>
              <w:textAlignment w:val="baseline"/>
              <w:rPr>
                <w:i/>
              </w:rPr>
            </w:pPr>
            <w:r>
              <w:rPr>
                <w:i/>
              </w:rPr>
              <w:t>David Hoić</w:t>
            </w:r>
          </w:p>
        </w:tc>
      </w:tr>
      <w:tr w:rsidR="00D16830" w:rsidRPr="00D16830" w14:paraId="3BA7205F" w14:textId="77777777" w:rsidTr="002E7EFB">
        <w:tc>
          <w:tcPr>
            <w:tcW w:w="1418" w:type="dxa"/>
          </w:tcPr>
          <w:p w14:paraId="7D4BCE3B" w14:textId="77777777" w:rsidR="00D16830" w:rsidRPr="00D16830" w:rsidRDefault="00D16830" w:rsidP="00D16830">
            <w:pPr>
              <w:overflowPunct w:val="0"/>
              <w:autoSpaceDE w:val="0"/>
              <w:autoSpaceDN w:val="0"/>
              <w:adjustRightInd w:val="0"/>
              <w:spacing w:line="240" w:lineRule="auto"/>
              <w:textAlignment w:val="baseline"/>
              <w:rPr>
                <w:i/>
              </w:rPr>
            </w:pPr>
            <w:r>
              <w:rPr>
                <w:i/>
              </w:rPr>
              <w:t>tel.</w:t>
            </w:r>
          </w:p>
        </w:tc>
        <w:tc>
          <w:tcPr>
            <w:tcW w:w="5670" w:type="dxa"/>
          </w:tcPr>
          <w:p w14:paraId="6033BB59" w14:textId="77777777" w:rsidR="00D16830" w:rsidRPr="00D16830" w:rsidRDefault="00D16830" w:rsidP="00D16830">
            <w:pPr>
              <w:overflowPunct w:val="0"/>
              <w:autoSpaceDE w:val="0"/>
              <w:autoSpaceDN w:val="0"/>
              <w:adjustRightInd w:val="0"/>
              <w:spacing w:line="240" w:lineRule="auto"/>
              <w:textAlignment w:val="baseline"/>
              <w:rPr>
                <w:i/>
              </w:rPr>
            </w:pPr>
            <w:r>
              <w:rPr>
                <w:i/>
              </w:rPr>
              <w:t>+32 25469069</w:t>
            </w:r>
          </w:p>
        </w:tc>
      </w:tr>
      <w:tr w:rsidR="00D16830" w:rsidRPr="00D16830" w14:paraId="06D43AB5" w14:textId="77777777" w:rsidTr="002E7EFB">
        <w:tc>
          <w:tcPr>
            <w:tcW w:w="1418" w:type="dxa"/>
          </w:tcPr>
          <w:p w14:paraId="1591AA97" w14:textId="77777777" w:rsidR="00D16830" w:rsidRPr="00D16830" w:rsidRDefault="00D16830" w:rsidP="00D16830">
            <w:pPr>
              <w:overflowPunct w:val="0"/>
              <w:autoSpaceDE w:val="0"/>
              <w:autoSpaceDN w:val="0"/>
              <w:adjustRightInd w:val="0"/>
              <w:spacing w:line="240" w:lineRule="auto"/>
              <w:textAlignment w:val="baseline"/>
              <w:rPr>
                <w:i/>
              </w:rPr>
            </w:pPr>
            <w:r>
              <w:rPr>
                <w:i/>
              </w:rPr>
              <w:t>e-mail</w:t>
            </w:r>
          </w:p>
        </w:tc>
        <w:tc>
          <w:tcPr>
            <w:tcW w:w="5670" w:type="dxa"/>
          </w:tcPr>
          <w:p w14:paraId="104A20AD" w14:textId="2DABB71E" w:rsidR="00D16830" w:rsidRPr="00D16830" w:rsidRDefault="00651F28" w:rsidP="00D16830">
            <w:pPr>
              <w:overflowPunct w:val="0"/>
              <w:autoSpaceDE w:val="0"/>
              <w:autoSpaceDN w:val="0"/>
              <w:adjustRightInd w:val="0"/>
              <w:spacing w:line="240" w:lineRule="auto"/>
              <w:textAlignment w:val="baseline"/>
              <w:rPr>
                <w:i/>
              </w:rPr>
            </w:pPr>
            <w:hyperlink r:id="rId68" w:history="1">
              <w:r>
                <w:rPr>
                  <w:i/>
                  <w:color w:val="0000FF"/>
                  <w:u w:val="single"/>
                </w:rPr>
                <w:t>David.Hoic@eesc.europa.eu</w:t>
              </w:r>
            </w:hyperlink>
            <w:r>
              <w:rPr>
                <w:i/>
              </w:rPr>
              <w:t xml:space="preserve"> </w:t>
            </w:r>
          </w:p>
        </w:tc>
      </w:tr>
    </w:tbl>
    <w:p w14:paraId="126BFE8C" w14:textId="2B629BAC" w:rsidR="00A3691D" w:rsidRDefault="00A3691D" w:rsidP="0066696D">
      <w:pPr>
        <w:pStyle w:val="ListParagraph"/>
        <w:ind w:left="567" w:hanging="567"/>
        <w:jc w:val="left"/>
      </w:pPr>
    </w:p>
    <w:p w14:paraId="09BE7192" w14:textId="77777777" w:rsidR="00A067F3" w:rsidRDefault="00A067F3">
      <w:pPr>
        <w:spacing w:after="160" w:line="259" w:lineRule="auto"/>
        <w:jc w:val="left"/>
      </w:pPr>
      <w:r>
        <w:br w:type="page"/>
      </w:r>
    </w:p>
    <w:p w14:paraId="41D04A86" w14:textId="2E2BFA11" w:rsidR="00297F0C" w:rsidRPr="00297F0C" w:rsidRDefault="00297F0C" w:rsidP="00297F0C">
      <w:pPr>
        <w:widowControl w:val="0"/>
        <w:numPr>
          <w:ilvl w:val="0"/>
          <w:numId w:val="4"/>
        </w:numPr>
        <w:overflowPunct w:val="0"/>
        <w:autoSpaceDE w:val="0"/>
        <w:autoSpaceDN w:val="0"/>
        <w:adjustRightInd w:val="0"/>
        <w:ind w:hanging="567"/>
        <w:jc w:val="left"/>
        <w:textAlignment w:val="baseline"/>
        <w:rPr>
          <w:sz w:val="20"/>
          <w:szCs w:val="20"/>
        </w:rPr>
      </w:pPr>
      <w:hyperlink r:id="rId69" w:history="1">
        <w:r>
          <w:rPr>
            <w:b/>
            <w:i/>
            <w:color w:val="0000FF"/>
            <w:sz w:val="28"/>
            <w:u w:val="single"/>
          </w:rPr>
          <w:t>Rola sektora prywatnego i społeczeństwa obywatelskiego w zacieśnianiu współpracy gospodarczej w ramach Paktu na rzecz regionu śródziemnomorskiego</w:t>
        </w:r>
      </w:hyperlink>
    </w:p>
    <w:p w14:paraId="04ADF7F0" w14:textId="77777777" w:rsidR="00297F0C" w:rsidRPr="00297F0C" w:rsidRDefault="00297F0C" w:rsidP="00297F0C">
      <w:pPr>
        <w:tabs>
          <w:tab w:val="center" w:pos="284"/>
        </w:tabs>
        <w:overflowPunct w:val="0"/>
        <w:autoSpaceDE w:val="0"/>
        <w:autoSpaceDN w:val="0"/>
        <w:adjustRightInd w:val="0"/>
        <w:ind w:left="266" w:hanging="266"/>
        <w:textAlignment w:val="baseline"/>
        <w:rPr>
          <w:b/>
          <w:lang w:val="en-GB"/>
        </w:rPr>
      </w:pP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7017"/>
      </w:tblGrid>
      <w:tr w:rsidR="00297F0C" w:rsidRPr="00297F0C" w14:paraId="125788EB" w14:textId="77777777" w:rsidTr="002E7EFB">
        <w:trPr>
          <w:trHeight w:val="70"/>
        </w:trPr>
        <w:tc>
          <w:tcPr>
            <w:tcW w:w="1077" w:type="pct"/>
          </w:tcPr>
          <w:p w14:paraId="210D65F7"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Sprawozdawca</w:t>
            </w:r>
          </w:p>
        </w:tc>
        <w:tc>
          <w:tcPr>
            <w:tcW w:w="3923" w:type="pct"/>
          </w:tcPr>
          <w:p w14:paraId="1A0D7BEA" w14:textId="77777777" w:rsidR="00297F0C" w:rsidRPr="00297F0C" w:rsidRDefault="00297F0C" w:rsidP="00297F0C">
            <w:pPr>
              <w:tabs>
                <w:tab w:val="center" w:pos="284"/>
              </w:tabs>
              <w:overflowPunct w:val="0"/>
              <w:autoSpaceDE w:val="0"/>
              <w:autoSpaceDN w:val="0"/>
              <w:adjustRightInd w:val="0"/>
              <w:ind w:left="266" w:right="-3091" w:hanging="266"/>
              <w:textAlignment w:val="baseline"/>
            </w:pPr>
            <w:r>
              <w:t>Thomas WAGNSONNER (Grupa Pracowników – AT)</w:t>
            </w:r>
          </w:p>
        </w:tc>
      </w:tr>
      <w:tr w:rsidR="00297F0C" w:rsidRPr="00297F0C" w14:paraId="3290F704" w14:textId="77777777" w:rsidTr="002E7EFB">
        <w:tc>
          <w:tcPr>
            <w:tcW w:w="1077" w:type="pct"/>
          </w:tcPr>
          <w:p w14:paraId="432C48BB"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Współsprawozdawczyni</w:t>
            </w:r>
          </w:p>
        </w:tc>
        <w:tc>
          <w:tcPr>
            <w:tcW w:w="3923" w:type="pct"/>
          </w:tcPr>
          <w:p w14:paraId="78BBD0C8" w14:textId="77777777" w:rsidR="00297F0C" w:rsidRDefault="00297F0C" w:rsidP="00297F0C">
            <w:pPr>
              <w:tabs>
                <w:tab w:val="center" w:pos="284"/>
              </w:tabs>
              <w:overflowPunct w:val="0"/>
              <w:autoSpaceDE w:val="0"/>
              <w:autoSpaceDN w:val="0"/>
              <w:adjustRightInd w:val="0"/>
              <w:ind w:left="266" w:right="-3091" w:hanging="266"/>
              <w:textAlignment w:val="baseline"/>
            </w:pPr>
            <w:r>
              <w:t>Lidija PAVIĆ-ROGOŠIĆ (Grupa Organizacji Społeczeństwa Obywatelskiego – HR)</w:t>
            </w:r>
          </w:p>
          <w:p w14:paraId="14EF11F7" w14:textId="77777777" w:rsidR="00F76EE7" w:rsidRPr="00297F0C" w:rsidRDefault="00F76EE7" w:rsidP="00297F0C">
            <w:pPr>
              <w:tabs>
                <w:tab w:val="center" w:pos="284"/>
              </w:tabs>
              <w:overflowPunct w:val="0"/>
              <w:autoSpaceDE w:val="0"/>
              <w:autoSpaceDN w:val="0"/>
              <w:adjustRightInd w:val="0"/>
              <w:ind w:left="266" w:right="-3091" w:hanging="266"/>
              <w:textAlignment w:val="baseline"/>
            </w:pPr>
          </w:p>
        </w:tc>
      </w:tr>
      <w:tr w:rsidR="00297F0C" w:rsidRPr="00297F0C" w14:paraId="54CCBB87" w14:textId="77777777" w:rsidTr="002E7EFB">
        <w:tc>
          <w:tcPr>
            <w:tcW w:w="1077" w:type="pct"/>
          </w:tcPr>
          <w:p w14:paraId="7E611676" w14:textId="77777777" w:rsidR="00297F0C" w:rsidRPr="00297F0C" w:rsidRDefault="00297F0C" w:rsidP="00297F0C">
            <w:pPr>
              <w:tabs>
                <w:tab w:val="center" w:pos="284"/>
              </w:tabs>
              <w:overflowPunct w:val="0"/>
              <w:autoSpaceDE w:val="0"/>
              <w:autoSpaceDN w:val="0"/>
              <w:adjustRightInd w:val="0"/>
              <w:ind w:left="266" w:hanging="266"/>
              <w:textAlignment w:val="baseline"/>
              <w:rPr>
                <w:b/>
              </w:rPr>
            </w:pPr>
            <w:r>
              <w:rPr>
                <w:b/>
              </w:rPr>
              <w:t>Dokumenty</w:t>
            </w:r>
          </w:p>
        </w:tc>
        <w:tc>
          <w:tcPr>
            <w:tcW w:w="3923" w:type="pct"/>
          </w:tcPr>
          <w:p w14:paraId="4F6E33CF" w14:textId="1323A011" w:rsidR="005D6457" w:rsidRDefault="005D6457" w:rsidP="00297F0C">
            <w:pPr>
              <w:tabs>
                <w:tab w:val="center" w:pos="284"/>
              </w:tabs>
              <w:overflowPunct w:val="0"/>
              <w:autoSpaceDE w:val="0"/>
              <w:autoSpaceDN w:val="0"/>
              <w:adjustRightInd w:val="0"/>
              <w:ind w:left="266" w:right="-3091" w:hanging="266"/>
              <w:textAlignment w:val="baseline"/>
            </w:pPr>
            <w:r>
              <w:t>Opinia rozpoznawcza na wniosek cypryjskiej prezydencji Rady UE</w:t>
            </w:r>
          </w:p>
          <w:p w14:paraId="6DA7AE0B" w14:textId="1B6A132C" w:rsidR="00297F0C" w:rsidRPr="00297F0C" w:rsidRDefault="00297F0C" w:rsidP="00297F0C">
            <w:pPr>
              <w:tabs>
                <w:tab w:val="center" w:pos="284"/>
              </w:tabs>
              <w:overflowPunct w:val="0"/>
              <w:autoSpaceDE w:val="0"/>
              <w:autoSpaceDN w:val="0"/>
              <w:adjustRightInd w:val="0"/>
              <w:ind w:left="266" w:right="-3091" w:hanging="266"/>
              <w:textAlignment w:val="baseline"/>
            </w:pPr>
            <w:r>
              <w:t>EESC-2025-04127-00-00-AC</w:t>
            </w:r>
          </w:p>
        </w:tc>
      </w:tr>
    </w:tbl>
    <w:p w14:paraId="4D431AA9" w14:textId="77777777" w:rsidR="00297F0C" w:rsidRPr="00297F0C" w:rsidRDefault="00297F0C" w:rsidP="00297F0C">
      <w:pPr>
        <w:tabs>
          <w:tab w:val="center" w:pos="284"/>
        </w:tabs>
        <w:overflowPunct w:val="0"/>
        <w:autoSpaceDE w:val="0"/>
        <w:autoSpaceDN w:val="0"/>
        <w:adjustRightInd w:val="0"/>
        <w:textAlignment w:val="baseline"/>
        <w:rPr>
          <w:b/>
          <w:lang w:val="en-GB"/>
        </w:rPr>
      </w:pPr>
    </w:p>
    <w:p w14:paraId="22629F76"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rPr>
      </w:pPr>
      <w:r>
        <w:rPr>
          <w:b/>
        </w:rPr>
        <w:t>Główne punkty</w:t>
      </w:r>
    </w:p>
    <w:p w14:paraId="3C8C3215" w14:textId="77777777" w:rsidR="00297F0C" w:rsidRPr="00297F0C" w:rsidRDefault="00297F0C" w:rsidP="00297F0C">
      <w:pPr>
        <w:keepNext/>
        <w:keepLines/>
        <w:tabs>
          <w:tab w:val="center" w:pos="284"/>
        </w:tabs>
        <w:overflowPunct w:val="0"/>
        <w:autoSpaceDE w:val="0"/>
        <w:autoSpaceDN w:val="0"/>
        <w:adjustRightInd w:val="0"/>
        <w:ind w:left="266" w:hanging="266"/>
        <w:textAlignment w:val="baseline"/>
        <w:rPr>
          <w:b/>
          <w:lang w:val="en-GB"/>
        </w:rPr>
      </w:pPr>
    </w:p>
    <w:p w14:paraId="696A1CA7" w14:textId="77777777" w:rsidR="00297F0C" w:rsidRDefault="00297F0C" w:rsidP="00297F0C">
      <w:pPr>
        <w:overflowPunct w:val="0"/>
        <w:autoSpaceDE w:val="0"/>
        <w:autoSpaceDN w:val="0"/>
        <w:adjustRightInd w:val="0"/>
        <w:spacing w:after="120"/>
        <w:textAlignment w:val="baseline"/>
        <w:rPr>
          <w:bCs/>
          <w:iCs/>
        </w:rPr>
      </w:pPr>
      <w:r>
        <w:t>EKES:</w:t>
      </w:r>
    </w:p>
    <w:p w14:paraId="26DA2862" w14:textId="0307AAB8"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Uważa, że Pakt na rzecz regionu śródziemnomorskiego może odnieść sukces jedynie dzięki prawdziwemu i równemu partnerstwu między UE, jej państwami członkowskimi i partnerami z</w:t>
      </w:r>
      <w:r w:rsidR="005C5C88">
        <w:t> </w:t>
      </w:r>
      <w:r>
        <w:t>południowej części regionu Morza Śródziemnego, które pozwoli zapewnić widoczne korzyści dla zwykłych ludzi i społeczności.</w:t>
      </w:r>
    </w:p>
    <w:p w14:paraId="1A4BF8CB" w14:textId="54543010"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Stwierdza, że zorganizowane społeczeństwo obywatelskie musi być zaangażowane w sposób stały i</w:t>
      </w:r>
      <w:r w:rsidR="005C5C88">
        <w:t> </w:t>
      </w:r>
      <w:r>
        <w:t>uporządkowany, nie tylko w drodze sporadycznych konsultacji. W tę współpracę należy włączyć związki zawodowe, ugrupowania pracodawców i organizacje społeczeństwa obywatelskiego.</w:t>
      </w:r>
    </w:p>
    <w:p w14:paraId="6F943845" w14:textId="634DEBE9"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Sądzi, że aby wzmocnić sektor prywatny, zwłaszcza MMŚP, region potrzebuje reform, które pozwolą ulepszyć dostęp do finansowania, uprościć procedury oraz będą wspierać cyfryzację i</w:t>
      </w:r>
      <w:r w:rsidR="005C5C88">
        <w:t> </w:t>
      </w:r>
      <w:r>
        <w:t>łączność, tak aby przedsiębiorstwa mogły włączać się do regionalnych łańcuchów wartości.</w:t>
      </w:r>
    </w:p>
    <w:p w14:paraId="243F9592"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Jest zdania, że istniejące umowy handlowe UE z wieloma krajami południowego regionu Morza Śródziemnego są przestarzałe i należy je zmodernizować, a społeczeństwo obywatelskie powinno pomagać w monitorowaniu zobowiązań w zakresie prawa pracy, ochrony środowiska i praw człowieka.</w:t>
      </w:r>
    </w:p>
    <w:p w14:paraId="3659C819"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Uważa, że handel i inwestycje powinny być powiązane ze zrównoważonym rozwojem i godną pracą, w tym sprawiedliwymi płacami, bezpiecznymi warunkami pracy, możliwymi do wyegzekwowania normami oraz inwestycjami w zrównoważone projekty regionalne.</w:t>
      </w:r>
    </w:p>
    <w:p w14:paraId="2D5E3A8E"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Podkreśla, że przejście z gospodarki nieformalnej do formalnej musi opierać się na zaleceniu MOP nr 204, co oznacza, że proces ten powinien być stopniowy, inkluzywny i realistyczny pod względem ekonomicznym, a nie represyjny.</w:t>
      </w:r>
    </w:p>
    <w:p w14:paraId="12F91A67" w14:textId="77777777"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pPr>
      <w:r>
        <w:t>Uważa, że plan działania związany z Paktem powinien gwarantować ochronę socjalną, prawa pracownicze i zgodność z podstawowymi konwencjami MOP. Jednocześnie należy dopilnować, aby strategia Global Gateway i inne duże projekty od samego początku angażowały partnerów społecznych i społeczeństwo obywatelskie.</w:t>
      </w:r>
    </w:p>
    <w:p w14:paraId="79769976" w14:textId="6B544322" w:rsidR="00297F0C" w:rsidRPr="00297F0C" w:rsidRDefault="00297F0C" w:rsidP="004C6742">
      <w:pPr>
        <w:numPr>
          <w:ilvl w:val="0"/>
          <w:numId w:val="64"/>
        </w:numPr>
        <w:overflowPunct w:val="0"/>
        <w:autoSpaceDE w:val="0"/>
        <w:autoSpaceDN w:val="0"/>
        <w:adjustRightInd w:val="0"/>
        <w:spacing w:line="276" w:lineRule="auto"/>
        <w:ind w:left="284" w:hanging="284"/>
        <w:textAlignment w:val="baseline"/>
        <w:rPr>
          <w:b/>
          <w:bCs/>
        </w:rPr>
      </w:pPr>
      <w:r>
        <w:t>Wnosi, aby zwrócić szczególną uwagę na podmioty gospodarki społecznej, kobiety i młodzież poprzez finansowanie, budowanie zdolności, wsparcie prawne, programy przedsiębiorczości i</w:t>
      </w:r>
      <w:r w:rsidR="005C5C88">
        <w:t> </w:t>
      </w:r>
      <w:r>
        <w:t>udział w zarządzaniu, przy czym mobilność pracowników musi opierać się na prawach człowieka i nie prowadzić do drenażu mózgów.</w:t>
      </w:r>
    </w:p>
    <w:p w14:paraId="55EA3EF9" w14:textId="1404B907" w:rsidR="00297F0C" w:rsidRDefault="00297F0C">
      <w:pPr>
        <w:numPr>
          <w:ilvl w:val="0"/>
          <w:numId w:val="64"/>
        </w:numPr>
        <w:overflowPunct w:val="0"/>
        <w:autoSpaceDE w:val="0"/>
        <w:autoSpaceDN w:val="0"/>
        <w:adjustRightInd w:val="0"/>
        <w:spacing w:before="100" w:beforeAutospacing="1" w:line="276" w:lineRule="auto"/>
        <w:ind w:left="284" w:hanging="284"/>
        <w:textAlignment w:val="baseline"/>
      </w:pPr>
      <w:r>
        <w:t>Stoi na stanowisku, że należy wzmocnić koordynację między instytucjami finansowymi finansowanymi przez UE i tymi międzynarodowymi, aby zwiększyć oddziaływanie. W</w:t>
      </w:r>
      <w:r w:rsidR="005C5C88">
        <w:t> </w:t>
      </w:r>
      <w:r>
        <w:t>finansowaniu infrastruktury, MMŚP, przedsiębiorstw typu start-up i projektów gospodarki społecznej – z przejrzystym zaangażowaniem społeczeństwa obywatelskiego – mogłoby pomóc utworzenie regionalnego banku rozwoju lub podobnego mechanizmu finansowego.</w:t>
      </w:r>
    </w:p>
    <w:tbl>
      <w:tblPr>
        <w:tblStyle w:val="TableGrid2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297F0C" w:rsidRPr="00297F0C" w14:paraId="12ED4367" w14:textId="77777777" w:rsidTr="002E7EFB">
        <w:tc>
          <w:tcPr>
            <w:tcW w:w="1077" w:type="pct"/>
          </w:tcPr>
          <w:p w14:paraId="17C20851" w14:textId="4041C4F3" w:rsidR="00297F0C" w:rsidRPr="00297F0C" w:rsidRDefault="00297F0C">
            <w:pPr>
              <w:overflowPunct w:val="0"/>
              <w:autoSpaceDE w:val="0"/>
              <w:autoSpaceDN w:val="0"/>
              <w:adjustRightInd w:val="0"/>
              <w:textAlignment w:val="baseline"/>
              <w:rPr>
                <w:i/>
              </w:rPr>
            </w:pPr>
            <w:r>
              <w:lastRenderedPageBreak/>
              <w:br w:type="page"/>
            </w:r>
            <w:r>
              <w:rPr>
                <w:b/>
                <w:i/>
              </w:rPr>
              <w:t>Kontakt</w:t>
            </w:r>
          </w:p>
        </w:tc>
        <w:tc>
          <w:tcPr>
            <w:tcW w:w="3923" w:type="pct"/>
          </w:tcPr>
          <w:p w14:paraId="01CC3A82" w14:textId="77777777" w:rsidR="00297F0C" w:rsidRPr="00297F0C" w:rsidRDefault="00297F0C" w:rsidP="00297F0C">
            <w:pPr>
              <w:overflowPunct w:val="0"/>
              <w:autoSpaceDE w:val="0"/>
              <w:autoSpaceDN w:val="0"/>
              <w:adjustRightInd w:val="0"/>
              <w:textAlignment w:val="baseline"/>
              <w:rPr>
                <w:i/>
              </w:rPr>
            </w:pPr>
            <w:r>
              <w:rPr>
                <w:i/>
              </w:rPr>
              <w:t>Andreas Berger</w:t>
            </w:r>
          </w:p>
        </w:tc>
      </w:tr>
      <w:tr w:rsidR="00297F0C" w:rsidRPr="00297F0C" w14:paraId="4DE5DEB6" w14:textId="77777777" w:rsidTr="002E7EFB">
        <w:tc>
          <w:tcPr>
            <w:tcW w:w="1077" w:type="pct"/>
          </w:tcPr>
          <w:p w14:paraId="333F8669" w14:textId="77777777" w:rsidR="00297F0C" w:rsidRPr="00297F0C" w:rsidRDefault="00297F0C" w:rsidP="00297F0C">
            <w:pPr>
              <w:overflowPunct w:val="0"/>
              <w:autoSpaceDE w:val="0"/>
              <w:autoSpaceDN w:val="0"/>
              <w:adjustRightInd w:val="0"/>
              <w:textAlignment w:val="baseline"/>
              <w:rPr>
                <w:i/>
              </w:rPr>
            </w:pPr>
            <w:r>
              <w:rPr>
                <w:i/>
              </w:rPr>
              <w:t>tel.</w:t>
            </w:r>
          </w:p>
        </w:tc>
        <w:tc>
          <w:tcPr>
            <w:tcW w:w="3923" w:type="pct"/>
          </w:tcPr>
          <w:p w14:paraId="27143945" w14:textId="77777777" w:rsidR="00297F0C" w:rsidRPr="00297F0C" w:rsidRDefault="00297F0C" w:rsidP="00297F0C">
            <w:pPr>
              <w:overflowPunct w:val="0"/>
              <w:autoSpaceDE w:val="0"/>
              <w:autoSpaceDN w:val="0"/>
              <w:adjustRightInd w:val="0"/>
              <w:textAlignment w:val="baseline"/>
              <w:rPr>
                <w:i/>
              </w:rPr>
            </w:pPr>
            <w:r>
              <w:rPr>
                <w:i/>
              </w:rPr>
              <w:t>+32 5469062</w:t>
            </w:r>
          </w:p>
        </w:tc>
      </w:tr>
      <w:tr w:rsidR="00297F0C" w:rsidRPr="00297F0C" w14:paraId="18E1E5AB" w14:textId="77777777" w:rsidTr="002E7EFB">
        <w:tc>
          <w:tcPr>
            <w:tcW w:w="1077" w:type="pct"/>
          </w:tcPr>
          <w:p w14:paraId="069DD35F" w14:textId="77777777" w:rsidR="00297F0C" w:rsidRPr="00297F0C" w:rsidRDefault="00297F0C" w:rsidP="00297F0C">
            <w:pPr>
              <w:overflowPunct w:val="0"/>
              <w:autoSpaceDE w:val="0"/>
              <w:autoSpaceDN w:val="0"/>
              <w:adjustRightInd w:val="0"/>
              <w:textAlignment w:val="baseline"/>
              <w:rPr>
                <w:i/>
              </w:rPr>
            </w:pPr>
            <w:r>
              <w:rPr>
                <w:i/>
              </w:rPr>
              <w:t>e-mail</w:t>
            </w:r>
          </w:p>
        </w:tc>
        <w:tc>
          <w:tcPr>
            <w:tcW w:w="3923" w:type="pct"/>
          </w:tcPr>
          <w:p w14:paraId="6FC2A286" w14:textId="7734AF70" w:rsidR="00297F0C" w:rsidRPr="00297F0C" w:rsidRDefault="00651F28" w:rsidP="00297F0C">
            <w:pPr>
              <w:overflowPunct w:val="0"/>
              <w:autoSpaceDE w:val="0"/>
              <w:autoSpaceDN w:val="0"/>
              <w:adjustRightInd w:val="0"/>
              <w:textAlignment w:val="baseline"/>
              <w:rPr>
                <w:i/>
              </w:rPr>
            </w:pPr>
            <w:hyperlink r:id="rId70" w:history="1">
              <w:r>
                <w:rPr>
                  <w:i/>
                  <w:color w:val="0000FF"/>
                  <w:u w:val="single"/>
                </w:rPr>
                <w:t>Andreas.Berger@eesc.europa.eu</w:t>
              </w:r>
            </w:hyperlink>
            <w:r>
              <w:rPr>
                <w:i/>
              </w:rPr>
              <w:t xml:space="preserve"> </w:t>
            </w:r>
          </w:p>
        </w:tc>
      </w:tr>
    </w:tbl>
    <w:p w14:paraId="12CF0795" w14:textId="1C00578F" w:rsidR="00A067F3" w:rsidRDefault="00A067F3" w:rsidP="0066696D">
      <w:pPr>
        <w:pStyle w:val="ListParagraph"/>
        <w:ind w:left="567" w:hanging="567"/>
        <w:jc w:val="left"/>
      </w:pPr>
    </w:p>
    <w:p w14:paraId="542BD5E6" w14:textId="77777777" w:rsidR="00A067F3" w:rsidRDefault="00A067F3">
      <w:pPr>
        <w:spacing w:after="160" w:line="259" w:lineRule="auto"/>
        <w:jc w:val="left"/>
      </w:pPr>
      <w:r>
        <w:br w:type="page"/>
      </w:r>
    </w:p>
    <w:p w14:paraId="528C73AA" w14:textId="46DE726B" w:rsidR="006D2C8A" w:rsidRPr="006D2C8A" w:rsidRDefault="006D2C8A" w:rsidP="004C6742">
      <w:pPr>
        <w:pStyle w:val="Heading2"/>
      </w:pPr>
      <w:bookmarkStart w:id="42" w:name="_Toc229140651"/>
      <w:bookmarkStart w:id="43" w:name="_Toc229140658"/>
      <w:bookmarkStart w:id="44" w:name="_Toc229140659"/>
      <w:bookmarkEnd w:id="42"/>
      <w:bookmarkEnd w:id="43"/>
      <w:r>
        <w:lastRenderedPageBreak/>
        <w:t>KOMISJA KONSULTACYJNA DS. PRZEMIAN W PRZEMYŚLE</w:t>
      </w:r>
      <w:bookmarkEnd w:id="44"/>
    </w:p>
    <w:p w14:paraId="713E272F" w14:textId="77777777" w:rsidR="006D2C8A" w:rsidRDefault="006D2C8A" w:rsidP="001766B2"/>
    <w:p w14:paraId="1B9F790A" w14:textId="6BF6D18A" w:rsidR="00814A54" w:rsidRPr="005C5C88" w:rsidRDefault="00814A54" w:rsidP="00814A54">
      <w:pPr>
        <w:widowControl w:val="0"/>
        <w:numPr>
          <w:ilvl w:val="0"/>
          <w:numId w:val="19"/>
        </w:numPr>
        <w:spacing w:after="200" w:line="276" w:lineRule="auto"/>
        <w:ind w:left="567" w:hanging="567"/>
        <w:contextualSpacing/>
        <w:jc w:val="left"/>
        <w:rPr>
          <w:sz w:val="28"/>
          <w:szCs w:val="28"/>
        </w:rPr>
      </w:pPr>
      <w:hyperlink r:id="rId71" w:history="1">
        <w:r>
          <w:rPr>
            <w:b/>
            <w:i/>
            <w:color w:val="0000FF"/>
            <w:sz w:val="28"/>
            <w:u w:val="single"/>
          </w:rPr>
          <w:t>Program na rzecz sprawnych i szybkich innowacji w dziedzinie obronności – AGILE</w:t>
        </w:r>
      </w:hyperlink>
      <w:r>
        <w:t xml:space="preserve"> </w:t>
      </w:r>
    </w:p>
    <w:p w14:paraId="37351734" w14:textId="77777777" w:rsidR="005C5C88" w:rsidRPr="005C5C88" w:rsidRDefault="005C5C88" w:rsidP="005C5C88">
      <w:pPr>
        <w:widowControl w:val="0"/>
        <w:spacing w:after="200" w:line="276" w:lineRule="auto"/>
        <w:contextualSpacing/>
        <w:jc w:val="left"/>
      </w:pP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2"/>
        <w:gridCol w:w="5670"/>
      </w:tblGrid>
      <w:tr w:rsidR="00814A54" w:rsidRPr="00814A54" w14:paraId="37988BA0" w14:textId="77777777" w:rsidTr="002E7EFB">
        <w:tc>
          <w:tcPr>
            <w:tcW w:w="1701" w:type="dxa"/>
          </w:tcPr>
          <w:p w14:paraId="41B7C4EB" w14:textId="77777777" w:rsidR="00814A54" w:rsidRPr="00814A54" w:rsidRDefault="00814A54" w:rsidP="00814A54">
            <w:pPr>
              <w:tabs>
                <w:tab w:val="center" w:pos="284"/>
              </w:tabs>
              <w:ind w:left="266" w:hanging="266"/>
              <w:rPr>
                <w:b/>
              </w:rPr>
            </w:pPr>
            <w:r>
              <w:rPr>
                <w:b/>
              </w:rPr>
              <w:t>Sprawozdawczyni</w:t>
            </w:r>
          </w:p>
        </w:tc>
        <w:tc>
          <w:tcPr>
            <w:tcW w:w="5670" w:type="dxa"/>
          </w:tcPr>
          <w:p w14:paraId="1D11312F" w14:textId="073C09C2" w:rsidR="00814A54" w:rsidRPr="00814A54" w:rsidRDefault="00814A54" w:rsidP="00814A54">
            <w:pPr>
              <w:tabs>
                <w:tab w:val="center" w:pos="284"/>
              </w:tabs>
              <w:ind w:left="266" w:hanging="266"/>
            </w:pPr>
            <w:r>
              <w:t>Monika SITÁROVÁ (Grupa Pracowników – SK)</w:t>
            </w:r>
          </w:p>
        </w:tc>
      </w:tr>
      <w:tr w:rsidR="00814A54" w:rsidRPr="00814A54" w14:paraId="3DB16DB5" w14:textId="77777777" w:rsidTr="002E7EFB">
        <w:tc>
          <w:tcPr>
            <w:tcW w:w="1701" w:type="dxa"/>
          </w:tcPr>
          <w:p w14:paraId="723151C3" w14:textId="77777777" w:rsidR="00814A54" w:rsidRPr="00814A54" w:rsidRDefault="00814A54" w:rsidP="00814A54">
            <w:pPr>
              <w:tabs>
                <w:tab w:val="center" w:pos="284"/>
              </w:tabs>
              <w:ind w:left="266" w:hanging="266"/>
              <w:rPr>
                <w:b/>
              </w:rPr>
            </w:pPr>
            <w:r>
              <w:rPr>
                <w:b/>
              </w:rPr>
              <w:t>Współsprawozdawczyni</w:t>
            </w:r>
          </w:p>
        </w:tc>
        <w:tc>
          <w:tcPr>
            <w:tcW w:w="5670" w:type="dxa"/>
          </w:tcPr>
          <w:p w14:paraId="691AA178" w14:textId="77BDBBFF" w:rsidR="00814A54" w:rsidRPr="00814A54" w:rsidRDefault="00814A54" w:rsidP="00814A54">
            <w:pPr>
              <w:tabs>
                <w:tab w:val="center" w:pos="284"/>
              </w:tabs>
              <w:ind w:left="266" w:hanging="266"/>
            </w:pPr>
            <w:r>
              <w:t>Srita HEIDE (Kat. 3 – DE)</w:t>
            </w:r>
          </w:p>
        </w:tc>
      </w:tr>
      <w:tr w:rsidR="00814A54" w:rsidRPr="00814A54" w14:paraId="27D9C93B" w14:textId="77777777" w:rsidTr="002E7EFB">
        <w:tc>
          <w:tcPr>
            <w:tcW w:w="7371" w:type="dxa"/>
            <w:gridSpan w:val="2"/>
          </w:tcPr>
          <w:p w14:paraId="5ACA8EEC" w14:textId="77777777" w:rsidR="00814A54" w:rsidRPr="00814A54" w:rsidRDefault="00814A54" w:rsidP="00814A54">
            <w:pPr>
              <w:tabs>
                <w:tab w:val="center" w:pos="284"/>
              </w:tabs>
              <w:spacing w:line="160" w:lineRule="exact"/>
              <w:ind w:left="266" w:hanging="266"/>
            </w:pPr>
          </w:p>
        </w:tc>
      </w:tr>
      <w:tr w:rsidR="00814A54" w:rsidRPr="00814A54" w14:paraId="5AE7EBB6" w14:textId="77777777" w:rsidTr="002E7EFB">
        <w:tc>
          <w:tcPr>
            <w:tcW w:w="1701" w:type="dxa"/>
            <w:vMerge w:val="restart"/>
          </w:tcPr>
          <w:p w14:paraId="69099993" w14:textId="77777777" w:rsidR="00814A54" w:rsidRPr="00814A54" w:rsidRDefault="00814A54" w:rsidP="00814A54">
            <w:pPr>
              <w:tabs>
                <w:tab w:val="center" w:pos="284"/>
              </w:tabs>
              <w:ind w:left="266" w:hanging="266"/>
              <w:rPr>
                <w:b/>
              </w:rPr>
            </w:pPr>
            <w:r>
              <w:rPr>
                <w:b/>
              </w:rPr>
              <w:t>Dokumenty</w:t>
            </w:r>
          </w:p>
        </w:tc>
        <w:tc>
          <w:tcPr>
            <w:tcW w:w="5670" w:type="dxa"/>
          </w:tcPr>
          <w:p w14:paraId="699F0B48" w14:textId="3F25C095" w:rsidR="00BA2BB0" w:rsidRDefault="00BA2BB0" w:rsidP="00814A54">
            <w:pPr>
              <w:tabs>
                <w:tab w:val="center" w:pos="284"/>
              </w:tabs>
              <w:ind w:left="266" w:hanging="266"/>
            </w:pPr>
            <w:r>
              <w:t>COM(2026) 135 final</w:t>
            </w:r>
          </w:p>
          <w:p w14:paraId="30557EA2" w14:textId="294C27C9" w:rsidR="00814A54" w:rsidRPr="00814A54" w:rsidRDefault="00814A54" w:rsidP="00814A54">
            <w:pPr>
              <w:tabs>
                <w:tab w:val="center" w:pos="284"/>
              </w:tabs>
              <w:ind w:left="266" w:hanging="266"/>
            </w:pPr>
            <w:r>
              <w:t>EESC-2026-01126-00-00-AC</w:t>
            </w:r>
          </w:p>
        </w:tc>
      </w:tr>
      <w:tr w:rsidR="00814A54" w:rsidRPr="00814A54" w14:paraId="15CB02A5" w14:textId="77777777" w:rsidTr="002E7EFB">
        <w:tc>
          <w:tcPr>
            <w:tcW w:w="1701" w:type="dxa"/>
            <w:vMerge/>
          </w:tcPr>
          <w:p w14:paraId="0E4A7D50" w14:textId="77777777" w:rsidR="00814A54" w:rsidRPr="00814A54" w:rsidRDefault="00814A54" w:rsidP="00814A54">
            <w:pPr>
              <w:tabs>
                <w:tab w:val="center" w:pos="284"/>
              </w:tabs>
              <w:ind w:left="266" w:hanging="266"/>
              <w:rPr>
                <w:b/>
              </w:rPr>
            </w:pPr>
          </w:p>
        </w:tc>
        <w:tc>
          <w:tcPr>
            <w:tcW w:w="5670" w:type="dxa"/>
          </w:tcPr>
          <w:p w14:paraId="5AB61185" w14:textId="77777777" w:rsidR="00814A54" w:rsidRPr="00814A54" w:rsidRDefault="00814A54" w:rsidP="00814A54">
            <w:pPr>
              <w:tabs>
                <w:tab w:val="center" w:pos="284"/>
              </w:tabs>
              <w:ind w:left="266" w:hanging="266"/>
            </w:pPr>
          </w:p>
        </w:tc>
      </w:tr>
    </w:tbl>
    <w:p w14:paraId="283139ED" w14:textId="77777777" w:rsidR="00814A54" w:rsidRPr="00814A54" w:rsidRDefault="00814A54" w:rsidP="00814A54">
      <w:pPr>
        <w:keepNext/>
        <w:keepLines/>
        <w:tabs>
          <w:tab w:val="center" w:pos="284"/>
        </w:tabs>
        <w:ind w:left="266" w:hanging="266"/>
        <w:rPr>
          <w:b/>
        </w:rPr>
      </w:pPr>
      <w:r>
        <w:rPr>
          <w:b/>
        </w:rPr>
        <w:t>Główne punkty</w:t>
      </w:r>
    </w:p>
    <w:p w14:paraId="0388059A" w14:textId="77777777" w:rsidR="00814A54" w:rsidRPr="00814A54" w:rsidRDefault="00814A54" w:rsidP="00814A54">
      <w:pPr>
        <w:keepNext/>
        <w:keepLines/>
        <w:tabs>
          <w:tab w:val="center" w:pos="284"/>
        </w:tabs>
        <w:ind w:left="266" w:hanging="266"/>
        <w:rPr>
          <w:b/>
        </w:rPr>
      </w:pPr>
    </w:p>
    <w:p w14:paraId="144BA9E2" w14:textId="77777777" w:rsidR="00814A54" w:rsidRPr="00814A54" w:rsidRDefault="00814A54" w:rsidP="00814A54">
      <w:pPr>
        <w:keepNext/>
        <w:keepLines/>
        <w:tabs>
          <w:tab w:val="center" w:pos="284"/>
        </w:tabs>
        <w:ind w:left="266" w:hanging="266"/>
        <w:rPr>
          <w:bCs/>
        </w:rPr>
      </w:pPr>
      <w:r>
        <w:t>EKES:</w:t>
      </w:r>
    </w:p>
    <w:p w14:paraId="35C0FAC6" w14:textId="77777777" w:rsidR="00814A54" w:rsidRPr="00814A54" w:rsidRDefault="00814A54" w:rsidP="00814A54">
      <w:pPr>
        <w:keepNext/>
        <w:keepLines/>
        <w:tabs>
          <w:tab w:val="center" w:pos="284"/>
        </w:tabs>
        <w:ind w:left="266" w:hanging="266"/>
        <w:rPr>
          <w:bCs/>
        </w:rPr>
      </w:pPr>
    </w:p>
    <w:p w14:paraId="47615632" w14:textId="77777777" w:rsidR="00814A54" w:rsidRPr="00814A54" w:rsidRDefault="00814A54" w:rsidP="004C6742">
      <w:pPr>
        <w:numPr>
          <w:ilvl w:val="1"/>
          <w:numId w:val="65"/>
        </w:numPr>
        <w:outlineLvl w:val="1"/>
        <w:rPr>
          <w:b/>
          <w:bCs/>
          <w:color w:val="111111"/>
        </w:rPr>
      </w:pPr>
      <w:bookmarkStart w:id="45" w:name="_Toc228805457"/>
      <w:r>
        <w:t>Popiera wysiłki na rzecz zwiększenia szybkości, zdolności reagowania i innowacyjności europejskiej bazy technologiczno-przemysłowej sektora obronnego (EDTIB) z uwagi na zmieniające się środowisko bezpieczeństwa. Dlatego przyjmuje z zadowoleniem zaproponowane przez Komisję ramy obronności AGILE.</w:t>
      </w:r>
      <w:bookmarkEnd w:id="45"/>
    </w:p>
    <w:p w14:paraId="7C3494F3" w14:textId="77777777" w:rsidR="00814A54" w:rsidRPr="00814A54" w:rsidRDefault="00814A54" w:rsidP="004C6742">
      <w:pPr>
        <w:numPr>
          <w:ilvl w:val="1"/>
          <w:numId w:val="65"/>
        </w:numPr>
        <w:outlineLvl w:val="1"/>
      </w:pPr>
      <w:bookmarkStart w:id="46" w:name="_Toc228805458"/>
      <w:r>
        <w:t>Odnosi się pozytywnie do AGILE jako platformy dla MŚP, przedsiębiorstw typu start-up, przedsiębiorstw z sektora technologii cywilnych i przedsiębiorców, która ma służyć dostarczaniu wysokiej jakości szybkich rozwiązań w zakresie gotowości obronnej UE. Podkreśla istotną rolę nowych podmiotów sektora obronnego w transformacji przemysłu obronnego UE.</w:t>
      </w:r>
      <w:bookmarkEnd w:id="46"/>
      <w:r>
        <w:t xml:space="preserve"> </w:t>
      </w:r>
    </w:p>
    <w:p w14:paraId="084337D9" w14:textId="0350BC8E" w:rsidR="00814A54" w:rsidRPr="00814A54" w:rsidRDefault="00814A54" w:rsidP="004C6742">
      <w:pPr>
        <w:numPr>
          <w:ilvl w:val="1"/>
          <w:numId w:val="65"/>
        </w:numPr>
        <w:outlineLvl w:val="1"/>
      </w:pPr>
      <w:bookmarkStart w:id="47" w:name="_Toc228805459"/>
      <w:r>
        <w:t>Zaznacza, że przyspieszenie nie może odbywać się kosztem przejrzystości, rozliczalności i</w:t>
      </w:r>
      <w:r w:rsidR="005C5C88">
        <w:t> </w:t>
      </w:r>
      <w:r>
        <w:t>kontroli demokratycznej, które są nadal nieodzowne dla legitymacji i skuteczności działań UE.</w:t>
      </w:r>
      <w:bookmarkEnd w:id="47"/>
    </w:p>
    <w:p w14:paraId="15C24631" w14:textId="77777777" w:rsidR="00814A54" w:rsidRPr="00814A54" w:rsidRDefault="00814A54" w:rsidP="004C6742">
      <w:pPr>
        <w:numPr>
          <w:ilvl w:val="1"/>
          <w:numId w:val="65"/>
        </w:numPr>
        <w:outlineLvl w:val="1"/>
      </w:pPr>
      <w:bookmarkStart w:id="48" w:name="_Toc228805460"/>
      <w:r>
        <w:t>Apeluje, aby fundusze AGILE stanowiły uzupełnienie istniejących programów UE w dziedzinie obronności. Zaleca, by na podstawie wyników oceny programu pilotażowego zwiększono znacznie środki budżetowe przeznaczone na ten instrument w kolejnym okresie WRF.</w:t>
      </w:r>
      <w:bookmarkEnd w:id="48"/>
      <w:r>
        <w:t xml:space="preserve"> </w:t>
      </w:r>
    </w:p>
    <w:p w14:paraId="590B8EC8" w14:textId="77777777" w:rsidR="00814A54" w:rsidRPr="00814A54" w:rsidRDefault="00814A54" w:rsidP="004C6742">
      <w:pPr>
        <w:numPr>
          <w:ilvl w:val="1"/>
          <w:numId w:val="65"/>
        </w:numPr>
        <w:outlineLvl w:val="1"/>
      </w:pPr>
      <w:bookmarkStart w:id="49" w:name="_Toc228805461"/>
      <w:r>
        <w:t>Zaleca wprowadzenie przepisów zapewniających proaktywny udział innowacyjnych MŚP, przedsiębiorstw typu start-up i pojedynczych przedsiębiorstw ze wszystkich państw członkowskich i sektorów w procesach działań informacyjnych, wyboru i oceny AGILE, by zwiększyć równowagę geograficzną i inkluzywność w całej Unii.</w:t>
      </w:r>
      <w:bookmarkEnd w:id="49"/>
    </w:p>
    <w:p w14:paraId="2B71655A" w14:textId="77777777" w:rsidR="00814A54" w:rsidRPr="00814A54" w:rsidRDefault="00814A54" w:rsidP="004C6742">
      <w:pPr>
        <w:numPr>
          <w:ilvl w:val="1"/>
          <w:numId w:val="65"/>
        </w:numPr>
        <w:outlineLvl w:val="1"/>
      </w:pPr>
      <w:bookmarkStart w:id="50" w:name="_Toc228805462"/>
      <w:r>
        <w:t>Zaleca wprowadzenie solidnych i możliwych do wyegzekwowania środków w celu zapewnienia faktycznej zgodności z art. 9 ust. 5 dotyczącym kwalifikowalności. Aby chronić autonomię strategiczną i interesy Unii w zakresie bezpieczeństwa, we wspomnianym artykule należy klarownie wyjaśnić i zaostrzyć kryteria wykluczenia.</w:t>
      </w:r>
      <w:bookmarkEnd w:id="50"/>
    </w:p>
    <w:p w14:paraId="3849E73E" w14:textId="2E518CCC" w:rsidR="00814A54" w:rsidRPr="00814A54" w:rsidRDefault="00814A54" w:rsidP="004C6742">
      <w:pPr>
        <w:numPr>
          <w:ilvl w:val="1"/>
          <w:numId w:val="65"/>
        </w:numPr>
        <w:outlineLvl w:val="1"/>
      </w:pPr>
      <w:bookmarkStart w:id="51" w:name="_Toc228805463"/>
      <w:r>
        <w:t>Zaleca, aby projekty AGILE opierały się w dużej mierze na jasno określonych wymogach w</w:t>
      </w:r>
      <w:r w:rsidR="005C5C88">
        <w:t> </w:t>
      </w:r>
      <w:r>
        <w:t>zakresie zdolności obronnych i były ściśle dostosowane do potrzeb użytkowników końcowych. Zaznacza, że w ramach tych projektów należy zapewnić dostęp do środowisk testowania w</w:t>
      </w:r>
      <w:r w:rsidR="005C5C88">
        <w:t> </w:t>
      </w:r>
      <w:r>
        <w:t>warunkach rzeczywistych, w tym do ćwiczeń wojskowych i poligonów doświadczalnych, by weryfikować rozwiązania w warunkach operacyjnych i przyspieszyć ich wdrażanie.</w:t>
      </w:r>
      <w:bookmarkEnd w:id="51"/>
    </w:p>
    <w:p w14:paraId="0638FC2F" w14:textId="5030FC4A" w:rsidR="00814A54" w:rsidRPr="00814A54" w:rsidRDefault="00814A54" w:rsidP="004C6742">
      <w:pPr>
        <w:numPr>
          <w:ilvl w:val="1"/>
          <w:numId w:val="65"/>
        </w:numPr>
        <w:outlineLvl w:val="1"/>
      </w:pPr>
      <w:bookmarkStart w:id="52" w:name="_Toc228805464"/>
      <w:r>
        <w:t>Zaleca wyraźne włączenie przestrzegania unijnego prawa pracy, prawa socjalnego i przepisów o</w:t>
      </w:r>
      <w:r w:rsidR="005C5C88">
        <w:t> </w:t>
      </w:r>
      <w:r>
        <w:t>ochronie środowiska do wdrażania AGILE. Zwraca uwagę, że warunkiem uczestnictwa w</w:t>
      </w:r>
      <w:r w:rsidR="005C5C88">
        <w:t> </w:t>
      </w:r>
      <w:r>
        <w:t>programie AGILE powinno być zaangażowanie w doskonalenie umiejętności, wysokiej jakości zatrudnienie i pełne poszanowanie praw pracowniczych, zgodnie z europejskim modelem społecznym.</w:t>
      </w:r>
      <w:bookmarkEnd w:id="52"/>
      <w:r>
        <w:t xml:space="preserve"> </w:t>
      </w:r>
    </w:p>
    <w:tbl>
      <w:tblPr>
        <w:tblStyle w:val="TableGrid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14A54" w:rsidRPr="00814A54" w14:paraId="5B60E629" w14:textId="77777777" w:rsidTr="002E7EFB">
        <w:tc>
          <w:tcPr>
            <w:tcW w:w="1418" w:type="dxa"/>
          </w:tcPr>
          <w:p w14:paraId="59F261E2" w14:textId="77777777" w:rsidR="00814A54" w:rsidRPr="00814A54" w:rsidRDefault="00814A54" w:rsidP="00814A54">
            <w:pPr>
              <w:spacing w:line="240" w:lineRule="auto"/>
              <w:rPr>
                <w:i/>
              </w:rPr>
            </w:pPr>
            <w:r>
              <w:rPr>
                <w:b/>
                <w:i/>
              </w:rPr>
              <w:lastRenderedPageBreak/>
              <w:t>Kontakt</w:t>
            </w:r>
          </w:p>
        </w:tc>
        <w:tc>
          <w:tcPr>
            <w:tcW w:w="5670" w:type="dxa"/>
          </w:tcPr>
          <w:p w14:paraId="42A1FC82" w14:textId="7A465A63" w:rsidR="00814A54" w:rsidRPr="004C6742" w:rsidRDefault="00814A54" w:rsidP="00814A54">
            <w:pPr>
              <w:spacing w:line="240" w:lineRule="auto"/>
              <w:rPr>
                <w:bCs/>
                <w:i/>
              </w:rPr>
            </w:pPr>
            <w:r>
              <w:rPr>
                <w:i/>
              </w:rPr>
              <w:t>Ioannis Diamantopoulos</w:t>
            </w:r>
          </w:p>
        </w:tc>
      </w:tr>
      <w:tr w:rsidR="00814A54" w:rsidRPr="00814A54" w14:paraId="7C2F36B8" w14:textId="77777777" w:rsidTr="002E7EFB">
        <w:tc>
          <w:tcPr>
            <w:tcW w:w="1418" w:type="dxa"/>
          </w:tcPr>
          <w:p w14:paraId="2F6A920E" w14:textId="77777777" w:rsidR="00814A54" w:rsidRPr="00814A54" w:rsidRDefault="00814A54" w:rsidP="00814A54">
            <w:pPr>
              <w:spacing w:line="240" w:lineRule="auto"/>
              <w:rPr>
                <w:i/>
              </w:rPr>
            </w:pPr>
            <w:r>
              <w:rPr>
                <w:i/>
              </w:rPr>
              <w:t>tel.</w:t>
            </w:r>
          </w:p>
        </w:tc>
        <w:tc>
          <w:tcPr>
            <w:tcW w:w="5670" w:type="dxa"/>
          </w:tcPr>
          <w:p w14:paraId="2671F0CA" w14:textId="77777777" w:rsidR="00814A54" w:rsidRPr="00814A54" w:rsidRDefault="00814A54" w:rsidP="00814A54">
            <w:pPr>
              <w:spacing w:line="240" w:lineRule="auto"/>
              <w:rPr>
                <w:i/>
              </w:rPr>
            </w:pPr>
            <w:r>
              <w:rPr>
                <w:i/>
              </w:rPr>
              <w:t>+32 25469170</w:t>
            </w:r>
          </w:p>
        </w:tc>
      </w:tr>
      <w:tr w:rsidR="00814A54" w:rsidRPr="00814A54" w14:paraId="7A81BD47" w14:textId="77777777" w:rsidTr="002E7EFB">
        <w:trPr>
          <w:trHeight w:val="244"/>
        </w:trPr>
        <w:tc>
          <w:tcPr>
            <w:tcW w:w="1418" w:type="dxa"/>
          </w:tcPr>
          <w:p w14:paraId="3A5319AB" w14:textId="77777777" w:rsidR="00814A54" w:rsidRPr="00814A54" w:rsidRDefault="00814A54" w:rsidP="00814A54">
            <w:pPr>
              <w:spacing w:line="240" w:lineRule="auto"/>
              <w:rPr>
                <w:i/>
              </w:rPr>
            </w:pPr>
            <w:r>
              <w:rPr>
                <w:i/>
              </w:rPr>
              <w:t>e-mail</w:t>
            </w:r>
          </w:p>
        </w:tc>
        <w:tc>
          <w:tcPr>
            <w:tcW w:w="5670" w:type="dxa"/>
          </w:tcPr>
          <w:p w14:paraId="210C9375" w14:textId="61412F92" w:rsidR="00814A54" w:rsidRPr="00814A54" w:rsidRDefault="00651F28" w:rsidP="00814A54">
            <w:pPr>
              <w:spacing w:line="240" w:lineRule="auto"/>
              <w:rPr>
                <w:i/>
              </w:rPr>
            </w:pPr>
            <w:hyperlink r:id="rId72" w:history="1">
              <w:r>
                <w:rPr>
                  <w:i/>
                  <w:color w:val="0000FF"/>
                  <w:u w:val="single"/>
                </w:rPr>
                <w:t>Ioannis.Diamantopoulos@eesc.europa.eu</w:t>
              </w:r>
            </w:hyperlink>
          </w:p>
        </w:tc>
      </w:tr>
    </w:tbl>
    <w:p w14:paraId="0FA13A3E" w14:textId="77777777" w:rsidR="006D2C8A" w:rsidRDefault="006D2C8A" w:rsidP="001766B2">
      <w:pPr>
        <w:jc w:val="left"/>
      </w:pPr>
    </w:p>
    <w:p w14:paraId="2E28EF19" w14:textId="65CAFCC1" w:rsidR="000D394D" w:rsidRPr="001766B2" w:rsidRDefault="001766B2" w:rsidP="001766B2">
      <w:pPr>
        <w:overflowPunct w:val="0"/>
        <w:autoSpaceDE w:val="0"/>
        <w:autoSpaceDN w:val="0"/>
        <w:adjustRightInd w:val="0"/>
        <w:jc w:val="center"/>
        <w:textAlignment w:val="baseline"/>
      </w:pPr>
      <w:r>
        <w:t>_____________</w:t>
      </w:r>
    </w:p>
    <w:sectPr w:rsidR="000D394D" w:rsidRPr="001766B2" w:rsidSect="00D40A83">
      <w:footerReference w:type="even" r:id="rId73"/>
      <w:footerReference w:type="defaul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8D84D" w14:textId="77777777" w:rsidR="007B1CE7" w:rsidRDefault="007B1CE7" w:rsidP="00B518C9">
      <w:pPr>
        <w:spacing w:line="240" w:lineRule="auto"/>
      </w:pPr>
      <w:r>
        <w:separator/>
      </w:r>
    </w:p>
  </w:endnote>
  <w:endnote w:type="continuationSeparator" w:id="0">
    <w:p w14:paraId="65AB5872" w14:textId="77777777" w:rsidR="007B1CE7" w:rsidRDefault="007B1CE7"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0E6B" w14:textId="77777777" w:rsidR="008A7292" w:rsidRDefault="008A7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DE51" w14:textId="017FB3A5" w:rsidR="00B518C9"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rsidR="0004480F">
      <w:t>1</w:t>
    </w:r>
    <w:r>
      <w:fldChar w:fldCharType="end"/>
    </w:r>
    <w:r>
      <w:t>/</w:t>
    </w:r>
    <w:fldSimple w:instr=" NUMPAGES ">
      <w:r w:rsidR="0004480F">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3A857" w14:textId="77777777" w:rsidR="008A7292" w:rsidRDefault="008A72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2857" w14:textId="77777777" w:rsidR="00A067F3" w:rsidRDefault="00A067F3" w:rsidP="00A067F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16DF" w14:textId="26CF0E5F" w:rsidR="00A067F3" w:rsidRPr="00A067F3" w:rsidRDefault="00A067F3" w:rsidP="00A067F3">
    <w:pPr>
      <w:pStyle w:val="Footer"/>
    </w:pPr>
    <w:r>
      <w:t xml:space="preserve">EESC-2026-00936-00-00-TCD-TRA (EN) </w:t>
    </w:r>
    <w:r>
      <w:fldChar w:fldCharType="begin"/>
    </w:r>
    <w:r>
      <w:instrText xml:space="preserve"> PAGE  \* Arabic  \* MERGEFORMAT </w:instrText>
    </w:r>
    <w:r>
      <w:fldChar w:fldCharType="separate"/>
    </w:r>
    <w:r>
      <w:t>1</w:t>
    </w:r>
    <w:r>
      <w:fldChar w:fldCharType="end"/>
    </w:r>
    <w:r>
      <w:t>/</w:t>
    </w:r>
    <w:fldSimple w:instr=" NUMPAGES ">
      <w:r>
        <w:t>33</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457FD" w14:textId="77777777" w:rsidR="00A067F3" w:rsidRDefault="00A067F3" w:rsidP="00A06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5023" w14:textId="77777777" w:rsidR="007B1CE7" w:rsidRDefault="007B1CE7" w:rsidP="00B518C9">
      <w:pPr>
        <w:spacing w:line="240" w:lineRule="auto"/>
      </w:pPr>
      <w:r>
        <w:separator/>
      </w:r>
    </w:p>
  </w:footnote>
  <w:footnote w:type="continuationSeparator" w:id="0">
    <w:p w14:paraId="06E854C7" w14:textId="77777777" w:rsidR="007B1CE7" w:rsidRDefault="007B1CE7" w:rsidP="00B518C9">
      <w:pPr>
        <w:spacing w:line="240" w:lineRule="auto"/>
      </w:pPr>
      <w:r>
        <w:continuationSeparator/>
      </w:r>
    </w:p>
  </w:footnote>
  <w:footnote w:id="1">
    <w:p w14:paraId="7B651DAB" w14:textId="308A45E3" w:rsidR="00944198" w:rsidRPr="00BD72B3" w:rsidRDefault="00944198" w:rsidP="00944198">
      <w:pPr>
        <w:pStyle w:val="FootnoteText"/>
      </w:pPr>
      <w:r>
        <w:rPr>
          <w:rStyle w:val="FootnoteReference"/>
        </w:rPr>
        <w:footnoteRef/>
      </w:r>
      <w:r>
        <w:tab/>
        <w:t xml:space="preserve">Dz.U. C, C/2024/6880, 28.11.2024, ELI: </w:t>
      </w:r>
      <w:hyperlink r:id="rId1" w:history="1">
        <w:r>
          <w:rPr>
            <w:rStyle w:val="Hyperlink"/>
          </w:rPr>
          <w:t>http://data.europa.eu/eli/C/2024/6880/oj</w:t>
        </w:r>
      </w:hyperlink>
      <w:r>
        <w:t>.</w:t>
      </w:r>
    </w:p>
  </w:footnote>
  <w:footnote w:id="2">
    <w:p w14:paraId="6A5DF5FB" w14:textId="5F2E1A85" w:rsidR="002B30F4" w:rsidRDefault="002B30F4" w:rsidP="002B30F4">
      <w:pPr>
        <w:pStyle w:val="FootnoteText"/>
      </w:pPr>
      <w:r>
        <w:rPr>
          <w:rStyle w:val="FootnoteReference"/>
        </w:rPr>
        <w:footnoteRef/>
      </w:r>
      <w:r>
        <w:tab/>
        <w:t xml:space="preserve">Opinia EKES-u </w:t>
      </w:r>
      <w:hyperlink r:id="rId2" w:history="1">
        <w:r>
          <w:rPr>
            <w:rStyle w:val="Hyperlink"/>
          </w:rPr>
          <w:t>„Równoważności inspekcji – materiał siewny z Brazylii i Mołdawii (zmiana)”</w:t>
        </w:r>
      </w:hyperlink>
      <w:r>
        <w:t xml:space="preserve">, </w:t>
      </w:r>
      <w:hyperlink r:id="rId3" w:history="1">
        <w:r>
          <w:rPr>
            <w:rStyle w:val="Hyperlink"/>
          </w:rPr>
          <w:t>Dz.U. C227 z 28.6.2018, s. 76</w:t>
        </w:r>
      </w:hyperlink>
      <w:r>
        <w:t>.</w:t>
      </w:r>
    </w:p>
  </w:footnote>
  <w:footnote w:id="3">
    <w:p w14:paraId="31B28570" w14:textId="0F9F421C" w:rsidR="002B30F4" w:rsidRDefault="002B30F4" w:rsidP="002B30F4">
      <w:pPr>
        <w:pStyle w:val="FootnoteText"/>
      </w:pPr>
      <w:r>
        <w:rPr>
          <w:rStyle w:val="FootnoteReference"/>
        </w:rPr>
        <w:footnoteRef/>
      </w:r>
      <w:r>
        <w:tab/>
        <w:t xml:space="preserve">Opinia EKES-u </w:t>
      </w:r>
      <w:hyperlink r:id="rId4" w:history="1">
        <w:r>
          <w:rPr>
            <w:rStyle w:val="Hyperlink"/>
          </w:rPr>
          <w:t>„Równoważność inspekcji – nasienne zbożowe rośliny uprawne na Ukrainie”</w:t>
        </w:r>
      </w:hyperlink>
      <w:r>
        <w:t xml:space="preserve">, </w:t>
      </w:r>
      <w:hyperlink r:id="rId5" w:history="1">
        <w:r>
          <w:rPr>
            <w:rStyle w:val="Hyperlink"/>
          </w:rPr>
          <w:t>Dz.U. C 429 z 11.12.2020, s. 276</w:t>
        </w:r>
      </w:hyperlink>
      <w:r>
        <w:t>.</w:t>
      </w:r>
    </w:p>
  </w:footnote>
  <w:footnote w:id="4">
    <w:p w14:paraId="704BA872" w14:textId="47112A8B" w:rsidR="008548EA" w:rsidRDefault="008548EA" w:rsidP="008548EA">
      <w:pPr>
        <w:pStyle w:val="FootnoteText"/>
      </w:pPr>
      <w:r>
        <w:rPr>
          <w:rStyle w:val="FootnoteReference"/>
        </w:rPr>
        <w:footnoteRef/>
      </w:r>
      <w:r>
        <w:tab/>
        <w:t xml:space="preserve">Opinia EKES-u </w:t>
      </w:r>
      <w:hyperlink r:id="rId6">
        <w:r>
          <w:rPr>
            <w:rStyle w:val="Hyperlink"/>
          </w:rPr>
          <w:t>„Przegląd unijnego systemu handlu uprawnieniami do emisji (ETS), w tym transportu morskiego i rezerwy stabilności rynkowej”</w:t>
        </w:r>
      </w:hyperlink>
      <w:r>
        <w:t xml:space="preserve">, </w:t>
      </w:r>
      <w:hyperlink r:id="rId7">
        <w:r>
          <w:rPr>
            <w:rStyle w:val="Hyperlink"/>
          </w:rPr>
          <w:t>Dz.U. C 152 z 6.4.2022, s. 175</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9A0F3" w14:textId="77777777" w:rsidR="008A7292" w:rsidRDefault="008A7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D0716" w14:textId="77777777" w:rsidR="008A7292" w:rsidRDefault="008A7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64373" w14:textId="77777777" w:rsidR="008A7292" w:rsidRDefault="008A7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52C9E3E"/>
    <w:lvl w:ilvl="0">
      <w:start w:val="1"/>
      <w:numFmt w:val="decimal"/>
      <w:pStyle w:val="Heading1"/>
      <w:lvlText w:val="%1."/>
      <w:legacy w:legacy="1" w:legacySpace="0" w:legacyIndent="0"/>
      <w:lvlJc w:val="left"/>
      <w:rPr>
        <w:b w:val="0"/>
        <w:bCs/>
      </w:rPr>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BAB073A6"/>
    <w:lvl w:ilvl="0">
      <w:numFmt w:val="decimal"/>
      <w:lvlText w:val="*"/>
      <w:lvlJc w:val="left"/>
    </w:lvl>
  </w:abstractNum>
  <w:abstractNum w:abstractNumId="2" w15:restartNumberingAfterBreak="0">
    <w:nsid w:val="02E401AE"/>
    <w:multiLevelType w:val="singleLevel"/>
    <w:tmpl w:val="BAB073A6"/>
    <w:lvl w:ilvl="0">
      <w:numFmt w:val="decimal"/>
      <w:lvlText w:val="*"/>
      <w:lvlJc w:val="left"/>
    </w:lvl>
  </w:abstractNum>
  <w:abstractNum w:abstractNumId="3" w15:restartNumberingAfterBreak="0">
    <w:nsid w:val="06B5704A"/>
    <w:multiLevelType w:val="hybridMultilevel"/>
    <w:tmpl w:val="E1367E7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85D01F2"/>
    <w:multiLevelType w:val="hybridMultilevel"/>
    <w:tmpl w:val="9FC85D9C"/>
    <w:lvl w:ilvl="0" w:tplc="FFFFFFFF">
      <w:start w:val="1"/>
      <w:numFmt w:val="bullet"/>
      <w:lvlText w:val=""/>
      <w:lvlJc w:val="left"/>
      <w:pPr>
        <w:ind w:left="644"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5" w15:restartNumberingAfterBreak="0">
    <w:nsid w:val="099D084D"/>
    <w:multiLevelType w:val="hybridMultilevel"/>
    <w:tmpl w:val="520C034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B392AF6"/>
    <w:multiLevelType w:val="hybridMultilevel"/>
    <w:tmpl w:val="99BC296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0CC636AC"/>
    <w:multiLevelType w:val="hybridMultilevel"/>
    <w:tmpl w:val="230CF7A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129786E"/>
    <w:multiLevelType w:val="hybridMultilevel"/>
    <w:tmpl w:val="C24C81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8F5275E"/>
    <w:multiLevelType w:val="hybridMultilevel"/>
    <w:tmpl w:val="01A454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AE67E4"/>
    <w:multiLevelType w:val="hybridMultilevel"/>
    <w:tmpl w:val="C2E6A5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1823DB9"/>
    <w:multiLevelType w:val="hybridMultilevel"/>
    <w:tmpl w:val="16D43C00"/>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20A1150"/>
    <w:multiLevelType w:val="hybridMultilevel"/>
    <w:tmpl w:val="EE26D73E"/>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4C144FA"/>
    <w:multiLevelType w:val="hybridMultilevel"/>
    <w:tmpl w:val="A9C6870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5100E8D"/>
    <w:multiLevelType w:val="multilevel"/>
    <w:tmpl w:val="2FF07FE2"/>
    <w:lvl w:ilvl="0">
      <w:start w:val="1"/>
      <w:numFmt w:val="bullet"/>
      <w:lvlText w:val=""/>
      <w:lvlJc w:val="left"/>
      <w:pPr>
        <w:tabs>
          <w:tab w:val="num" w:pos="720"/>
        </w:tabs>
        <w:ind w:left="720" w:hanging="360"/>
      </w:pPr>
      <w:rPr>
        <w:rFonts w:ascii="Symbol" w:hAnsi="Symbol" w:hint="default"/>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654606"/>
    <w:multiLevelType w:val="hybridMultilevel"/>
    <w:tmpl w:val="100E4A8A"/>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00243"/>
    <w:multiLevelType w:val="multilevel"/>
    <w:tmpl w:val="E1CE38D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27E37B32"/>
    <w:multiLevelType w:val="singleLevel"/>
    <w:tmpl w:val="BAB073A6"/>
    <w:lvl w:ilvl="0">
      <w:numFmt w:val="decimal"/>
      <w:lvlText w:val="*"/>
      <w:lvlJc w:val="left"/>
    </w:lvl>
  </w:abstractNum>
  <w:abstractNum w:abstractNumId="18" w15:restartNumberingAfterBreak="0">
    <w:nsid w:val="28270E71"/>
    <w:multiLevelType w:val="hybridMultilevel"/>
    <w:tmpl w:val="91F27F50"/>
    <w:lvl w:ilvl="0" w:tplc="8E864B0C">
      <w:start w:val="1"/>
      <w:numFmt w:val="bullet"/>
      <w:lvlText w:val=""/>
      <w:lvlJc w:val="left"/>
      <w:pPr>
        <w:ind w:left="644" w:hanging="360"/>
      </w:pPr>
      <w:rPr>
        <w:rFonts w:ascii="Symbol" w:hAnsi="Symbol" w:hint="default"/>
        <w:color w:val="auto"/>
      </w:rPr>
    </w:lvl>
    <w:lvl w:ilvl="1" w:tplc="080C0003">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282F56D1"/>
    <w:multiLevelType w:val="singleLevel"/>
    <w:tmpl w:val="BAB073A6"/>
    <w:lvl w:ilvl="0">
      <w:numFmt w:val="decimal"/>
      <w:lvlText w:val="*"/>
      <w:lvlJc w:val="left"/>
    </w:lvl>
  </w:abstractNum>
  <w:abstractNum w:abstractNumId="20" w15:restartNumberingAfterBreak="0">
    <w:nsid w:val="295B33E9"/>
    <w:multiLevelType w:val="hybridMultilevel"/>
    <w:tmpl w:val="7F8ED52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15:restartNumberingAfterBreak="0">
    <w:nsid w:val="2C6902C0"/>
    <w:multiLevelType w:val="hybridMultilevel"/>
    <w:tmpl w:val="B19E7F0A"/>
    <w:lvl w:ilvl="0" w:tplc="8E864B0C">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2E9244B4"/>
    <w:multiLevelType w:val="hybridMultilevel"/>
    <w:tmpl w:val="E7FC3DB2"/>
    <w:lvl w:ilvl="0" w:tplc="8E864B0C">
      <w:start w:val="1"/>
      <w:numFmt w:val="bullet"/>
      <w:lvlText w:val=""/>
      <w:lvlJc w:val="left"/>
      <w:pPr>
        <w:ind w:left="1800" w:hanging="360"/>
      </w:pPr>
      <w:rPr>
        <w:rFonts w:ascii="Symbol" w:hAnsi="Symbol" w:hint="default"/>
        <w:color w:val="auto"/>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23" w15:restartNumberingAfterBreak="0">
    <w:nsid w:val="2E95E4AD"/>
    <w:multiLevelType w:val="hybridMultilevel"/>
    <w:tmpl w:val="4EF0B18C"/>
    <w:lvl w:ilvl="0" w:tplc="EB9C4E38">
      <w:start w:val="1"/>
      <w:numFmt w:val="bullet"/>
      <w:lvlText w:val=""/>
      <w:lvlJc w:val="left"/>
      <w:pPr>
        <w:ind w:left="720" w:hanging="360"/>
      </w:pPr>
      <w:rPr>
        <w:rFonts w:ascii="Symbol" w:hAnsi="Symbol" w:hint="default"/>
      </w:rPr>
    </w:lvl>
    <w:lvl w:ilvl="1" w:tplc="3F60D982">
      <w:start w:val="1"/>
      <w:numFmt w:val="bullet"/>
      <w:lvlText w:val="o"/>
      <w:lvlJc w:val="left"/>
      <w:pPr>
        <w:ind w:left="1440" w:hanging="360"/>
      </w:pPr>
      <w:rPr>
        <w:rFonts w:ascii="Courier New" w:hAnsi="Courier New" w:hint="default"/>
      </w:rPr>
    </w:lvl>
    <w:lvl w:ilvl="2" w:tplc="E8602744">
      <w:start w:val="1"/>
      <w:numFmt w:val="bullet"/>
      <w:lvlText w:val=""/>
      <w:lvlJc w:val="left"/>
      <w:pPr>
        <w:ind w:left="2160" w:hanging="360"/>
      </w:pPr>
      <w:rPr>
        <w:rFonts w:ascii="Wingdings" w:hAnsi="Wingdings" w:hint="default"/>
      </w:rPr>
    </w:lvl>
    <w:lvl w:ilvl="3" w:tplc="E1A2C312">
      <w:start w:val="1"/>
      <w:numFmt w:val="bullet"/>
      <w:lvlText w:val=""/>
      <w:lvlJc w:val="left"/>
      <w:pPr>
        <w:ind w:left="2880" w:hanging="360"/>
      </w:pPr>
      <w:rPr>
        <w:rFonts w:ascii="Symbol" w:hAnsi="Symbol" w:hint="default"/>
      </w:rPr>
    </w:lvl>
    <w:lvl w:ilvl="4" w:tplc="372C0AB0">
      <w:start w:val="1"/>
      <w:numFmt w:val="bullet"/>
      <w:lvlText w:val="o"/>
      <w:lvlJc w:val="left"/>
      <w:pPr>
        <w:ind w:left="3600" w:hanging="360"/>
      </w:pPr>
      <w:rPr>
        <w:rFonts w:ascii="Courier New" w:hAnsi="Courier New" w:hint="default"/>
      </w:rPr>
    </w:lvl>
    <w:lvl w:ilvl="5" w:tplc="576634FC">
      <w:start w:val="1"/>
      <w:numFmt w:val="bullet"/>
      <w:lvlText w:val=""/>
      <w:lvlJc w:val="left"/>
      <w:pPr>
        <w:ind w:left="4320" w:hanging="360"/>
      </w:pPr>
      <w:rPr>
        <w:rFonts w:ascii="Wingdings" w:hAnsi="Wingdings" w:hint="default"/>
      </w:rPr>
    </w:lvl>
    <w:lvl w:ilvl="6" w:tplc="0CC2E68E">
      <w:start w:val="1"/>
      <w:numFmt w:val="bullet"/>
      <w:lvlText w:val=""/>
      <w:lvlJc w:val="left"/>
      <w:pPr>
        <w:ind w:left="5040" w:hanging="360"/>
      </w:pPr>
      <w:rPr>
        <w:rFonts w:ascii="Symbol" w:hAnsi="Symbol" w:hint="default"/>
      </w:rPr>
    </w:lvl>
    <w:lvl w:ilvl="7" w:tplc="9BAA6F84">
      <w:start w:val="1"/>
      <w:numFmt w:val="bullet"/>
      <w:lvlText w:val="o"/>
      <w:lvlJc w:val="left"/>
      <w:pPr>
        <w:ind w:left="5760" w:hanging="360"/>
      </w:pPr>
      <w:rPr>
        <w:rFonts w:ascii="Courier New" w:hAnsi="Courier New" w:hint="default"/>
      </w:rPr>
    </w:lvl>
    <w:lvl w:ilvl="8" w:tplc="9ACAAED0">
      <w:start w:val="1"/>
      <w:numFmt w:val="bullet"/>
      <w:lvlText w:val=""/>
      <w:lvlJc w:val="left"/>
      <w:pPr>
        <w:ind w:left="6480" w:hanging="360"/>
      </w:pPr>
      <w:rPr>
        <w:rFonts w:ascii="Wingdings" w:hAnsi="Wingdings" w:hint="default"/>
      </w:rPr>
    </w:lvl>
  </w:abstractNum>
  <w:abstractNum w:abstractNumId="24" w15:restartNumberingAfterBreak="0">
    <w:nsid w:val="304041FE"/>
    <w:multiLevelType w:val="singleLevel"/>
    <w:tmpl w:val="BAB073A6"/>
    <w:lvl w:ilvl="0">
      <w:numFmt w:val="decimal"/>
      <w:lvlText w:val="*"/>
      <w:lvlJc w:val="left"/>
    </w:lvl>
  </w:abstractNum>
  <w:abstractNum w:abstractNumId="25" w15:restartNumberingAfterBreak="0">
    <w:nsid w:val="304B6C22"/>
    <w:multiLevelType w:val="hybridMultilevel"/>
    <w:tmpl w:val="CAF6B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2AB0B36"/>
    <w:multiLevelType w:val="hybridMultilevel"/>
    <w:tmpl w:val="9AA6686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3447C62"/>
    <w:multiLevelType w:val="multilevel"/>
    <w:tmpl w:val="85A0D720"/>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8" w15:restartNumberingAfterBreak="0">
    <w:nsid w:val="37C53481"/>
    <w:multiLevelType w:val="hybridMultilevel"/>
    <w:tmpl w:val="D368BB18"/>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38EA22B1"/>
    <w:multiLevelType w:val="hybridMultilevel"/>
    <w:tmpl w:val="1C88FD8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39133BFF"/>
    <w:multiLevelType w:val="hybridMultilevel"/>
    <w:tmpl w:val="E3B40A20"/>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96C1E74"/>
    <w:multiLevelType w:val="hybridMultilevel"/>
    <w:tmpl w:val="FBF2FA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2" w15:restartNumberingAfterBreak="0">
    <w:nsid w:val="3BC95AAA"/>
    <w:multiLevelType w:val="hybridMultilevel"/>
    <w:tmpl w:val="EBEA3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CFE2B09"/>
    <w:multiLevelType w:val="hybridMultilevel"/>
    <w:tmpl w:val="7206F4D2"/>
    <w:lvl w:ilvl="0" w:tplc="8E864B0C">
      <w:start w:val="1"/>
      <w:numFmt w:val="bullet"/>
      <w:lvlText w:val=""/>
      <w:lvlJc w:val="left"/>
      <w:pPr>
        <w:ind w:left="1004" w:hanging="360"/>
      </w:pPr>
      <w:rPr>
        <w:rFonts w:ascii="Symbol" w:hAnsi="Symbol" w:hint="default"/>
        <w:color w:val="auto"/>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4" w15:restartNumberingAfterBreak="0">
    <w:nsid w:val="3D220D80"/>
    <w:multiLevelType w:val="singleLevel"/>
    <w:tmpl w:val="BAB073A6"/>
    <w:lvl w:ilvl="0">
      <w:numFmt w:val="decimal"/>
      <w:lvlText w:val="*"/>
      <w:lvlJc w:val="left"/>
    </w:lvl>
  </w:abstractNum>
  <w:abstractNum w:abstractNumId="35" w15:restartNumberingAfterBreak="0">
    <w:nsid w:val="3FCA5E74"/>
    <w:multiLevelType w:val="multilevel"/>
    <w:tmpl w:val="ED68449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6" w15:restartNumberingAfterBreak="0">
    <w:nsid w:val="41395909"/>
    <w:multiLevelType w:val="hybridMultilevel"/>
    <w:tmpl w:val="E89E7E28"/>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7" w15:restartNumberingAfterBreak="0">
    <w:nsid w:val="41ED687D"/>
    <w:multiLevelType w:val="hybridMultilevel"/>
    <w:tmpl w:val="C65A009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8" w15:restartNumberingAfterBreak="0">
    <w:nsid w:val="4360788A"/>
    <w:multiLevelType w:val="hybridMultilevel"/>
    <w:tmpl w:val="C896CC1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B985DF5"/>
    <w:multiLevelType w:val="hybridMultilevel"/>
    <w:tmpl w:val="A118C42E"/>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BA00765"/>
    <w:multiLevelType w:val="hybridMultilevel"/>
    <w:tmpl w:val="A52039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1" w15:restartNumberingAfterBreak="0">
    <w:nsid w:val="4BE26162"/>
    <w:multiLevelType w:val="hybridMultilevel"/>
    <w:tmpl w:val="870420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4D4A5278"/>
    <w:multiLevelType w:val="hybridMultilevel"/>
    <w:tmpl w:val="30E8A80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20C6359"/>
    <w:multiLevelType w:val="hybridMultilevel"/>
    <w:tmpl w:val="4C36186A"/>
    <w:lvl w:ilvl="0" w:tplc="20000001">
      <w:start w:val="1"/>
      <w:numFmt w:val="bullet"/>
      <w:lvlText w:val=""/>
      <w:lvlJc w:val="left"/>
      <w:pPr>
        <w:ind w:left="644" w:hanging="360"/>
      </w:pPr>
      <w:rPr>
        <w:rFonts w:ascii="Symbol" w:hAnsi="Symbol" w:hint="default"/>
        <w:color w:val="auto"/>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4" w15:restartNumberingAfterBreak="0">
    <w:nsid w:val="525A0A52"/>
    <w:multiLevelType w:val="hybridMultilevel"/>
    <w:tmpl w:val="540CE5B2"/>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527808F6"/>
    <w:multiLevelType w:val="hybridMultilevel"/>
    <w:tmpl w:val="DE42093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6" w15:restartNumberingAfterBreak="0">
    <w:nsid w:val="5336169D"/>
    <w:multiLevelType w:val="hybridMultilevel"/>
    <w:tmpl w:val="5616F142"/>
    <w:lvl w:ilvl="0" w:tplc="5DA023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59159B7"/>
    <w:multiLevelType w:val="multilevel"/>
    <w:tmpl w:val="1BD2AEC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8F742BF"/>
    <w:multiLevelType w:val="hybridMultilevel"/>
    <w:tmpl w:val="D15C3F4C"/>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59A6780E"/>
    <w:multiLevelType w:val="hybridMultilevel"/>
    <w:tmpl w:val="146CB53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5A9F417D"/>
    <w:multiLevelType w:val="hybridMultilevel"/>
    <w:tmpl w:val="52807AB2"/>
    <w:lvl w:ilvl="0" w:tplc="8E864B0C">
      <w:start w:val="1"/>
      <w:numFmt w:val="bullet"/>
      <w:lvlText w:val=""/>
      <w:lvlJc w:val="left"/>
      <w:pPr>
        <w:ind w:left="1080" w:hanging="360"/>
      </w:pPr>
      <w:rPr>
        <w:rFonts w:ascii="Symbol" w:hAnsi="Symbol" w:hint="default"/>
        <w:color w:val="auto"/>
      </w:rPr>
    </w:lvl>
    <w:lvl w:ilvl="1" w:tplc="080C0003">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1" w15:restartNumberingAfterBreak="0">
    <w:nsid w:val="5BED5387"/>
    <w:multiLevelType w:val="hybridMultilevel"/>
    <w:tmpl w:val="5AEA60A8"/>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2" w15:restartNumberingAfterBreak="0">
    <w:nsid w:val="5CA209FF"/>
    <w:multiLevelType w:val="hybridMultilevel"/>
    <w:tmpl w:val="69DED2C4"/>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5E7B53A0"/>
    <w:multiLevelType w:val="hybridMultilevel"/>
    <w:tmpl w:val="D9F410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629F4733"/>
    <w:multiLevelType w:val="hybridMultilevel"/>
    <w:tmpl w:val="947CDD20"/>
    <w:lvl w:ilvl="0" w:tplc="943C3EDC">
      <w:start w:val="1"/>
      <w:numFmt w:val="bullet"/>
      <w:lvlText w:val=""/>
      <w:lvlJc w:val="left"/>
      <w:pPr>
        <w:ind w:left="720" w:hanging="360"/>
      </w:pPr>
      <w:rPr>
        <w:rFonts w:ascii="Symbol" w:hAnsi="Symbol" w:hint="default"/>
        <w:sz w:val="28"/>
        <w:szCs w:val="28"/>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63E22154"/>
    <w:multiLevelType w:val="hybridMultilevel"/>
    <w:tmpl w:val="1116E10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6" w15:restartNumberingAfterBreak="0">
    <w:nsid w:val="646260B4"/>
    <w:multiLevelType w:val="hybridMultilevel"/>
    <w:tmpl w:val="68EA3F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7" w15:restartNumberingAfterBreak="0">
    <w:nsid w:val="64D642E2"/>
    <w:multiLevelType w:val="hybridMultilevel"/>
    <w:tmpl w:val="2E70086E"/>
    <w:lvl w:ilvl="0" w:tplc="8E864B0C">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6537323D"/>
    <w:multiLevelType w:val="hybridMultilevel"/>
    <w:tmpl w:val="3DDA696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9" w15:restartNumberingAfterBreak="0">
    <w:nsid w:val="681949FE"/>
    <w:multiLevelType w:val="hybridMultilevel"/>
    <w:tmpl w:val="C9764F86"/>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93F519E"/>
    <w:multiLevelType w:val="hybridMultilevel"/>
    <w:tmpl w:val="BD72474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1"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62" w15:restartNumberingAfterBreak="0">
    <w:nsid w:val="6B3767B2"/>
    <w:multiLevelType w:val="hybridMultilevel"/>
    <w:tmpl w:val="88EA115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3" w15:restartNumberingAfterBreak="0">
    <w:nsid w:val="6D0361A2"/>
    <w:multiLevelType w:val="hybridMultilevel"/>
    <w:tmpl w:val="91840EE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4" w15:restartNumberingAfterBreak="0">
    <w:nsid w:val="6E092C62"/>
    <w:multiLevelType w:val="multilevel"/>
    <w:tmpl w:val="B8EA660C"/>
    <w:lvl w:ilvl="0">
      <w:start w:val="1"/>
      <w:numFmt w:val="decimal"/>
      <w:lvlText w:val="%1."/>
      <w:legacy w:legacy="1" w:legacySpace="0" w:legacyIndent="0"/>
      <w:lvlJc w:val="left"/>
      <w:rPr>
        <w:b w:val="0"/>
        <w:bCs/>
      </w:rPr>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65" w15:restartNumberingAfterBreak="0">
    <w:nsid w:val="6F904926"/>
    <w:multiLevelType w:val="hybridMultilevel"/>
    <w:tmpl w:val="EB3299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6" w15:restartNumberingAfterBreak="0">
    <w:nsid w:val="71663646"/>
    <w:multiLevelType w:val="hybridMultilevel"/>
    <w:tmpl w:val="66CABB74"/>
    <w:lvl w:ilvl="0" w:tplc="FFFFFFFF">
      <w:start w:val="1"/>
      <w:numFmt w:val="bullet"/>
      <w:lvlText w:val=""/>
      <w:lvlJc w:val="left"/>
      <w:pPr>
        <w:ind w:left="720" w:hanging="360"/>
      </w:pPr>
      <w:rPr>
        <w:rFonts w:ascii="Symbol" w:hAnsi="Symbol" w:hint="default"/>
        <w:color w:val="auto"/>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74F4187C"/>
    <w:multiLevelType w:val="hybridMultilevel"/>
    <w:tmpl w:val="1346CECE"/>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756ED"/>
    <w:multiLevelType w:val="hybridMultilevel"/>
    <w:tmpl w:val="F198E9E8"/>
    <w:lvl w:ilvl="0" w:tplc="2A40409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0" w15:restartNumberingAfterBreak="0">
    <w:nsid w:val="7874575E"/>
    <w:multiLevelType w:val="hybridMultilevel"/>
    <w:tmpl w:val="04A46B0E"/>
    <w:lvl w:ilvl="0" w:tplc="8E864B0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4538B0"/>
    <w:multiLevelType w:val="hybridMultilevel"/>
    <w:tmpl w:val="95486FC6"/>
    <w:lvl w:ilvl="0" w:tplc="8E864B0C">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F0B0CA1"/>
    <w:multiLevelType w:val="hybridMultilevel"/>
    <w:tmpl w:val="35BCE30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52272673">
    <w:abstractNumId w:val="0"/>
  </w:num>
  <w:num w:numId="2" w16cid:durableId="1029381553">
    <w:abstractNumId w:val="61"/>
  </w:num>
  <w:num w:numId="3" w16cid:durableId="762725961">
    <w:abstractNumId w:val="68"/>
  </w:num>
  <w:num w:numId="4" w16cid:durableId="58460812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5" w16cid:durableId="1639607127">
    <w:abstractNumId w:val="62"/>
  </w:num>
  <w:num w:numId="6" w16cid:durableId="956910622">
    <w:abstractNumId w:val="69"/>
  </w:num>
  <w:num w:numId="7" w16cid:durableId="1514421448">
    <w:abstractNumId w:val="25"/>
  </w:num>
  <w:num w:numId="8" w16cid:durableId="1074664533">
    <w:abstractNumId w:val="1"/>
    <w:lvlOverride w:ilvl="0">
      <w:lvl w:ilvl="0">
        <w:start w:val="1"/>
        <w:numFmt w:val="bullet"/>
        <w:lvlText w:val=""/>
        <w:lvlJc w:val="left"/>
        <w:pPr>
          <w:ind w:left="720" w:hanging="360"/>
        </w:pPr>
        <w:rPr>
          <w:rFonts w:ascii="Symbol" w:hAnsi="Symbol" w:hint="default"/>
          <w:color w:val="auto"/>
          <w:sz w:val="28"/>
          <w:szCs w:val="28"/>
        </w:rPr>
      </w:lvl>
    </w:lvlOverride>
  </w:num>
  <w:num w:numId="9" w16cid:durableId="430666318">
    <w:abstractNumId w:val="56"/>
  </w:num>
  <w:num w:numId="10" w16cid:durableId="1799907425">
    <w:abstractNumId w:val="46"/>
  </w:num>
  <w:num w:numId="11" w16cid:durableId="429853940">
    <w:abstractNumId w:val="58"/>
  </w:num>
  <w:num w:numId="12" w16cid:durableId="35004882">
    <w:abstractNumId w:val="47"/>
  </w:num>
  <w:num w:numId="13" w16cid:durableId="1045064165">
    <w:abstractNumId w:val="60"/>
  </w:num>
  <w:num w:numId="14" w16cid:durableId="1780374524">
    <w:abstractNumId w:val="54"/>
  </w:num>
  <w:num w:numId="15" w16cid:durableId="2078353976">
    <w:abstractNumId w:val="10"/>
  </w:num>
  <w:num w:numId="16" w16cid:durableId="922451193">
    <w:abstractNumId w:val="53"/>
  </w:num>
  <w:num w:numId="17" w16cid:durableId="1776825460">
    <w:abstractNumId w:val="32"/>
  </w:num>
  <w:num w:numId="18" w16cid:durableId="998390851">
    <w:abstractNumId w:val="23"/>
  </w:num>
  <w:num w:numId="19" w16cid:durableId="161316450">
    <w:abstractNumId w:val="8"/>
  </w:num>
  <w:num w:numId="20" w16cid:durableId="1836721546">
    <w:abstractNumId w:val="71"/>
  </w:num>
  <w:num w:numId="21" w16cid:durableId="87195177">
    <w:abstractNumId w:val="51"/>
  </w:num>
  <w:num w:numId="22" w16cid:durableId="1990670932">
    <w:abstractNumId w:val="3"/>
  </w:num>
  <w:num w:numId="23" w16cid:durableId="739448900">
    <w:abstractNumId w:val="39"/>
  </w:num>
  <w:num w:numId="24" w16cid:durableId="77100364">
    <w:abstractNumId w:val="40"/>
  </w:num>
  <w:num w:numId="25" w16cid:durableId="412826114">
    <w:abstractNumId w:val="55"/>
  </w:num>
  <w:num w:numId="26" w16cid:durableId="484250689">
    <w:abstractNumId w:val="14"/>
  </w:num>
  <w:num w:numId="27" w16cid:durableId="17629894">
    <w:abstractNumId w:val="11"/>
  </w:num>
  <w:num w:numId="28" w16cid:durableId="1348361763">
    <w:abstractNumId w:val="37"/>
  </w:num>
  <w:num w:numId="29" w16cid:durableId="1141850403">
    <w:abstractNumId w:val="38"/>
  </w:num>
  <w:num w:numId="30" w16cid:durableId="743333099">
    <w:abstractNumId w:val="31"/>
  </w:num>
  <w:num w:numId="31" w16cid:durableId="25177546">
    <w:abstractNumId w:val="45"/>
  </w:num>
  <w:num w:numId="32" w16cid:durableId="751925657">
    <w:abstractNumId w:val="7"/>
  </w:num>
  <w:num w:numId="33" w16cid:durableId="124466730">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4" w16cid:durableId="1616523258">
    <w:abstractNumId w:val="19"/>
  </w:num>
  <w:num w:numId="35" w16cid:durableId="629364158">
    <w:abstractNumId w:val="65"/>
  </w:num>
  <w:num w:numId="36" w16cid:durableId="1102798899">
    <w:abstractNumId w:val="43"/>
  </w:num>
  <w:num w:numId="37" w16cid:durableId="1156452487">
    <w:abstractNumId w:val="33"/>
  </w:num>
  <w:num w:numId="38" w16cid:durableId="1206799254">
    <w:abstractNumId w:val="36"/>
  </w:num>
  <w:num w:numId="39" w16cid:durableId="229968753">
    <w:abstractNumId w:val="63"/>
  </w:num>
  <w:num w:numId="40" w16cid:durableId="1993484924">
    <w:abstractNumId w:val="6"/>
  </w:num>
  <w:num w:numId="41" w16cid:durableId="1022634187">
    <w:abstractNumId w:val="48"/>
  </w:num>
  <w:num w:numId="42" w16cid:durableId="60949149">
    <w:abstractNumId w:val="67"/>
  </w:num>
  <w:num w:numId="43" w16cid:durableId="1044137177">
    <w:abstractNumId w:val="13"/>
  </w:num>
  <w:num w:numId="44" w16cid:durableId="25376103">
    <w:abstractNumId w:val="18"/>
  </w:num>
  <w:num w:numId="45" w16cid:durableId="1793357582">
    <w:abstractNumId w:val="4"/>
  </w:num>
  <w:num w:numId="46" w16cid:durableId="832070608">
    <w:abstractNumId w:val="64"/>
  </w:num>
  <w:num w:numId="47" w16cid:durableId="115607366">
    <w:abstractNumId w:val="41"/>
  </w:num>
  <w:num w:numId="48" w16cid:durableId="1964338506">
    <w:abstractNumId w:val="12"/>
  </w:num>
  <w:num w:numId="49" w16cid:durableId="14625294">
    <w:abstractNumId w:val="57"/>
  </w:num>
  <w:num w:numId="50" w16cid:durableId="2131976527">
    <w:abstractNumId w:val="26"/>
  </w:num>
  <w:num w:numId="51" w16cid:durableId="576093704">
    <w:abstractNumId w:val="66"/>
  </w:num>
  <w:num w:numId="52" w16cid:durableId="1613318056">
    <w:abstractNumId w:val="50"/>
  </w:num>
  <w:num w:numId="53" w16cid:durableId="1570462396">
    <w:abstractNumId w:val="22"/>
  </w:num>
  <w:num w:numId="54" w16cid:durableId="1317605509">
    <w:abstractNumId w:val="5"/>
  </w:num>
  <w:num w:numId="55" w16cid:durableId="1437019446">
    <w:abstractNumId w:val="52"/>
  </w:num>
  <w:num w:numId="56" w16cid:durableId="353458996">
    <w:abstractNumId w:val="9"/>
  </w:num>
  <w:num w:numId="57" w16cid:durableId="1982732785">
    <w:abstractNumId w:val="30"/>
  </w:num>
  <w:num w:numId="58" w16cid:durableId="1512913205">
    <w:abstractNumId w:val="44"/>
  </w:num>
  <w:num w:numId="59" w16cid:durableId="495926423">
    <w:abstractNumId w:val="28"/>
  </w:num>
  <w:num w:numId="60" w16cid:durableId="980420839">
    <w:abstractNumId w:val="27"/>
  </w:num>
  <w:num w:numId="61" w16cid:durableId="733162615">
    <w:abstractNumId w:val="20"/>
  </w:num>
  <w:num w:numId="62" w16cid:durableId="671764579">
    <w:abstractNumId w:val="49"/>
  </w:num>
  <w:num w:numId="63" w16cid:durableId="1114062294">
    <w:abstractNumId w:val="29"/>
  </w:num>
  <w:num w:numId="64" w16cid:durableId="2129473768">
    <w:abstractNumId w:val="21"/>
  </w:num>
  <w:num w:numId="65" w16cid:durableId="1584340581">
    <w:abstractNumId w:val="35"/>
  </w:num>
  <w:num w:numId="66" w16cid:durableId="151650723">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7" w16cid:durableId="1620181474">
    <w:abstractNumId w:val="24"/>
  </w:num>
  <w:num w:numId="68" w16cid:durableId="2100717297">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69" w16cid:durableId="88158099">
    <w:abstractNumId w:val="17"/>
  </w:num>
  <w:num w:numId="70" w16cid:durableId="1980333880">
    <w:abstractNumId w:val="34"/>
  </w:num>
  <w:num w:numId="71" w16cid:durableId="1781681385">
    <w:abstractNumId w:val="2"/>
  </w:num>
  <w:num w:numId="72" w16cid:durableId="839656396">
    <w:abstractNumId w:val="16"/>
  </w:num>
  <w:num w:numId="73" w16cid:durableId="2139564198">
    <w:abstractNumId w:val="59"/>
  </w:num>
  <w:num w:numId="74" w16cid:durableId="1004435487">
    <w:abstractNumId w:val="72"/>
  </w:num>
  <w:num w:numId="75" w16cid:durableId="1789884590">
    <w:abstractNumId w:val="42"/>
  </w:num>
  <w:num w:numId="76" w16cid:durableId="1693796469">
    <w:abstractNumId w:val="15"/>
  </w:num>
  <w:num w:numId="77" w16cid:durableId="2081440407">
    <w:abstractNumId w:val="70"/>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010F"/>
    <w:rsid w:val="000056E4"/>
    <w:rsid w:val="00010A4D"/>
    <w:rsid w:val="000136C9"/>
    <w:rsid w:val="00014921"/>
    <w:rsid w:val="00023DB5"/>
    <w:rsid w:val="00032C87"/>
    <w:rsid w:val="00037101"/>
    <w:rsid w:val="00043BEF"/>
    <w:rsid w:val="0004480F"/>
    <w:rsid w:val="000501F7"/>
    <w:rsid w:val="00050D04"/>
    <w:rsid w:val="000517F6"/>
    <w:rsid w:val="0006268B"/>
    <w:rsid w:val="00063DFF"/>
    <w:rsid w:val="00070ED2"/>
    <w:rsid w:val="00092ACC"/>
    <w:rsid w:val="00096B93"/>
    <w:rsid w:val="000A2AF0"/>
    <w:rsid w:val="000A2B8D"/>
    <w:rsid w:val="000C5A16"/>
    <w:rsid w:val="000D3369"/>
    <w:rsid w:val="000D394D"/>
    <w:rsid w:val="000F4673"/>
    <w:rsid w:val="001110F2"/>
    <w:rsid w:val="00121D18"/>
    <w:rsid w:val="00125D6F"/>
    <w:rsid w:val="00126E5E"/>
    <w:rsid w:val="0014411E"/>
    <w:rsid w:val="0014429D"/>
    <w:rsid w:val="00144D96"/>
    <w:rsid w:val="00150F26"/>
    <w:rsid w:val="001549EB"/>
    <w:rsid w:val="0017309D"/>
    <w:rsid w:val="00173C89"/>
    <w:rsid w:val="001766B2"/>
    <w:rsid w:val="00176B69"/>
    <w:rsid w:val="00181B6C"/>
    <w:rsid w:val="0019037A"/>
    <w:rsid w:val="00190FCF"/>
    <w:rsid w:val="00196518"/>
    <w:rsid w:val="001A42F8"/>
    <w:rsid w:val="001B4559"/>
    <w:rsid w:val="001B58AE"/>
    <w:rsid w:val="001C343E"/>
    <w:rsid w:val="001C540B"/>
    <w:rsid w:val="001D28C3"/>
    <w:rsid w:val="001D292C"/>
    <w:rsid w:val="001E391D"/>
    <w:rsid w:val="001E4147"/>
    <w:rsid w:val="001F05C6"/>
    <w:rsid w:val="001F4150"/>
    <w:rsid w:val="0020397F"/>
    <w:rsid w:val="002079FC"/>
    <w:rsid w:val="00212AD9"/>
    <w:rsid w:val="00214B2A"/>
    <w:rsid w:val="00224B1B"/>
    <w:rsid w:val="00227AA1"/>
    <w:rsid w:val="00235BA4"/>
    <w:rsid w:val="00235CEA"/>
    <w:rsid w:val="0024677E"/>
    <w:rsid w:val="00251ADD"/>
    <w:rsid w:val="002723A4"/>
    <w:rsid w:val="00272AC6"/>
    <w:rsid w:val="002753D7"/>
    <w:rsid w:val="00297F0C"/>
    <w:rsid w:val="002A0F5D"/>
    <w:rsid w:val="002A5636"/>
    <w:rsid w:val="002B1F1C"/>
    <w:rsid w:val="002B30F4"/>
    <w:rsid w:val="002B7981"/>
    <w:rsid w:val="002C1664"/>
    <w:rsid w:val="002C3C5F"/>
    <w:rsid w:val="002C3F34"/>
    <w:rsid w:val="002E1159"/>
    <w:rsid w:val="002E1E9E"/>
    <w:rsid w:val="002F2C4A"/>
    <w:rsid w:val="002F4BCC"/>
    <w:rsid w:val="003066BE"/>
    <w:rsid w:val="003227CC"/>
    <w:rsid w:val="00334F4E"/>
    <w:rsid w:val="00336295"/>
    <w:rsid w:val="003362B9"/>
    <w:rsid w:val="00341FC2"/>
    <w:rsid w:val="00342D5E"/>
    <w:rsid w:val="00354B98"/>
    <w:rsid w:val="0035724D"/>
    <w:rsid w:val="003578BB"/>
    <w:rsid w:val="00360C1A"/>
    <w:rsid w:val="003734B1"/>
    <w:rsid w:val="0039093C"/>
    <w:rsid w:val="00392AE5"/>
    <w:rsid w:val="003974F0"/>
    <w:rsid w:val="003A066A"/>
    <w:rsid w:val="003A1590"/>
    <w:rsid w:val="003B25E1"/>
    <w:rsid w:val="003B7B77"/>
    <w:rsid w:val="003C0021"/>
    <w:rsid w:val="003C1C0C"/>
    <w:rsid w:val="003C3284"/>
    <w:rsid w:val="003C7540"/>
    <w:rsid w:val="003D0BE5"/>
    <w:rsid w:val="003E20A3"/>
    <w:rsid w:val="003E263E"/>
    <w:rsid w:val="003F20DF"/>
    <w:rsid w:val="003F326D"/>
    <w:rsid w:val="003F79EF"/>
    <w:rsid w:val="00403683"/>
    <w:rsid w:val="00406469"/>
    <w:rsid w:val="00410FEB"/>
    <w:rsid w:val="00416A6E"/>
    <w:rsid w:val="00426604"/>
    <w:rsid w:val="00427781"/>
    <w:rsid w:val="0043191A"/>
    <w:rsid w:val="00435FF5"/>
    <w:rsid w:val="00440237"/>
    <w:rsid w:val="00445258"/>
    <w:rsid w:val="00445B9D"/>
    <w:rsid w:val="00446791"/>
    <w:rsid w:val="00447A14"/>
    <w:rsid w:val="004619A5"/>
    <w:rsid w:val="004815E0"/>
    <w:rsid w:val="004853F6"/>
    <w:rsid w:val="0048603B"/>
    <w:rsid w:val="004979CB"/>
    <w:rsid w:val="004A35A1"/>
    <w:rsid w:val="004A4B18"/>
    <w:rsid w:val="004A5CD7"/>
    <w:rsid w:val="004B0221"/>
    <w:rsid w:val="004B35B6"/>
    <w:rsid w:val="004B48B1"/>
    <w:rsid w:val="004B4BD3"/>
    <w:rsid w:val="004B4EC0"/>
    <w:rsid w:val="004C6742"/>
    <w:rsid w:val="004D2D6F"/>
    <w:rsid w:val="004D7AC0"/>
    <w:rsid w:val="004E385F"/>
    <w:rsid w:val="004E5363"/>
    <w:rsid w:val="004F74E4"/>
    <w:rsid w:val="00506669"/>
    <w:rsid w:val="00512479"/>
    <w:rsid w:val="00516EEE"/>
    <w:rsid w:val="00517E07"/>
    <w:rsid w:val="00532089"/>
    <w:rsid w:val="00535A65"/>
    <w:rsid w:val="00537B03"/>
    <w:rsid w:val="005478EC"/>
    <w:rsid w:val="00553BE0"/>
    <w:rsid w:val="0055505B"/>
    <w:rsid w:val="00556299"/>
    <w:rsid w:val="00563D40"/>
    <w:rsid w:val="00567A6B"/>
    <w:rsid w:val="00577A9F"/>
    <w:rsid w:val="00586B4B"/>
    <w:rsid w:val="00595D85"/>
    <w:rsid w:val="005A0BDA"/>
    <w:rsid w:val="005C032C"/>
    <w:rsid w:val="005C3A8D"/>
    <w:rsid w:val="005C5C88"/>
    <w:rsid w:val="005C7B1D"/>
    <w:rsid w:val="005D0FED"/>
    <w:rsid w:val="005D1BBF"/>
    <w:rsid w:val="005D43B9"/>
    <w:rsid w:val="005D6457"/>
    <w:rsid w:val="005E01B5"/>
    <w:rsid w:val="005E73C3"/>
    <w:rsid w:val="005E7651"/>
    <w:rsid w:val="00610016"/>
    <w:rsid w:val="00613302"/>
    <w:rsid w:val="006206DB"/>
    <w:rsid w:val="00621FEB"/>
    <w:rsid w:val="00625CA3"/>
    <w:rsid w:val="0063486D"/>
    <w:rsid w:val="00641262"/>
    <w:rsid w:val="0064411A"/>
    <w:rsid w:val="00650BED"/>
    <w:rsid w:val="00651838"/>
    <w:rsid w:val="00651F28"/>
    <w:rsid w:val="00665940"/>
    <w:rsid w:val="0066696D"/>
    <w:rsid w:val="006717BA"/>
    <w:rsid w:val="006765AF"/>
    <w:rsid w:val="0069052D"/>
    <w:rsid w:val="00690DC9"/>
    <w:rsid w:val="0069265D"/>
    <w:rsid w:val="006B3C3C"/>
    <w:rsid w:val="006B60D1"/>
    <w:rsid w:val="006C48A5"/>
    <w:rsid w:val="006D114B"/>
    <w:rsid w:val="006D2C8A"/>
    <w:rsid w:val="006D2D64"/>
    <w:rsid w:val="006D7E6E"/>
    <w:rsid w:val="006E4A8A"/>
    <w:rsid w:val="006E7F1F"/>
    <w:rsid w:val="00702280"/>
    <w:rsid w:val="00705EB1"/>
    <w:rsid w:val="00707697"/>
    <w:rsid w:val="007159C5"/>
    <w:rsid w:val="007173CF"/>
    <w:rsid w:val="007205A4"/>
    <w:rsid w:val="007323B9"/>
    <w:rsid w:val="00732E14"/>
    <w:rsid w:val="00740CB7"/>
    <w:rsid w:val="00741902"/>
    <w:rsid w:val="00747F87"/>
    <w:rsid w:val="00754027"/>
    <w:rsid w:val="00754882"/>
    <w:rsid w:val="00755E1E"/>
    <w:rsid w:val="007576D0"/>
    <w:rsid w:val="00757F74"/>
    <w:rsid w:val="00764CCB"/>
    <w:rsid w:val="00766B1A"/>
    <w:rsid w:val="0078198B"/>
    <w:rsid w:val="00785300"/>
    <w:rsid w:val="007A148E"/>
    <w:rsid w:val="007A3096"/>
    <w:rsid w:val="007A570F"/>
    <w:rsid w:val="007A78AB"/>
    <w:rsid w:val="007B1CE7"/>
    <w:rsid w:val="007B5DF5"/>
    <w:rsid w:val="007B6F06"/>
    <w:rsid w:val="007C36BF"/>
    <w:rsid w:val="007C5358"/>
    <w:rsid w:val="007C6EFD"/>
    <w:rsid w:val="007D7A17"/>
    <w:rsid w:val="007F1953"/>
    <w:rsid w:val="007F240C"/>
    <w:rsid w:val="007F48FC"/>
    <w:rsid w:val="007F5784"/>
    <w:rsid w:val="00800532"/>
    <w:rsid w:val="00804389"/>
    <w:rsid w:val="00814A54"/>
    <w:rsid w:val="008314CE"/>
    <w:rsid w:val="008317E3"/>
    <w:rsid w:val="0083397F"/>
    <w:rsid w:val="00833B7B"/>
    <w:rsid w:val="00840C59"/>
    <w:rsid w:val="00843847"/>
    <w:rsid w:val="00844645"/>
    <w:rsid w:val="00845F24"/>
    <w:rsid w:val="008548EA"/>
    <w:rsid w:val="0085744A"/>
    <w:rsid w:val="00860162"/>
    <w:rsid w:val="00862DC4"/>
    <w:rsid w:val="00867002"/>
    <w:rsid w:val="008676ED"/>
    <w:rsid w:val="0087045E"/>
    <w:rsid w:val="008713EF"/>
    <w:rsid w:val="0088219D"/>
    <w:rsid w:val="00882D0D"/>
    <w:rsid w:val="008A47F4"/>
    <w:rsid w:val="008A7292"/>
    <w:rsid w:val="008B155C"/>
    <w:rsid w:val="008B2CEB"/>
    <w:rsid w:val="008B4117"/>
    <w:rsid w:val="008B545D"/>
    <w:rsid w:val="008C5433"/>
    <w:rsid w:val="008D2468"/>
    <w:rsid w:val="008D4F95"/>
    <w:rsid w:val="008E331E"/>
    <w:rsid w:val="008F062E"/>
    <w:rsid w:val="008F6AA0"/>
    <w:rsid w:val="00902FFF"/>
    <w:rsid w:val="00914FCF"/>
    <w:rsid w:val="00921E89"/>
    <w:rsid w:val="00927ACD"/>
    <w:rsid w:val="009360D7"/>
    <w:rsid w:val="00943240"/>
    <w:rsid w:val="00944198"/>
    <w:rsid w:val="009517E6"/>
    <w:rsid w:val="00952910"/>
    <w:rsid w:val="00956698"/>
    <w:rsid w:val="00962E55"/>
    <w:rsid w:val="00963401"/>
    <w:rsid w:val="009666C7"/>
    <w:rsid w:val="009700FB"/>
    <w:rsid w:val="0097101D"/>
    <w:rsid w:val="00983331"/>
    <w:rsid w:val="009954BD"/>
    <w:rsid w:val="00995C71"/>
    <w:rsid w:val="009A5F2B"/>
    <w:rsid w:val="009B6B7D"/>
    <w:rsid w:val="009D79C9"/>
    <w:rsid w:val="009E357D"/>
    <w:rsid w:val="009E6BDF"/>
    <w:rsid w:val="009F11CB"/>
    <w:rsid w:val="00A04D84"/>
    <w:rsid w:val="00A067F3"/>
    <w:rsid w:val="00A0776A"/>
    <w:rsid w:val="00A10033"/>
    <w:rsid w:val="00A10200"/>
    <w:rsid w:val="00A16254"/>
    <w:rsid w:val="00A162C2"/>
    <w:rsid w:val="00A16494"/>
    <w:rsid w:val="00A17E08"/>
    <w:rsid w:val="00A20E9D"/>
    <w:rsid w:val="00A230F1"/>
    <w:rsid w:val="00A23D6D"/>
    <w:rsid w:val="00A272B2"/>
    <w:rsid w:val="00A3691D"/>
    <w:rsid w:val="00A40127"/>
    <w:rsid w:val="00A456BF"/>
    <w:rsid w:val="00A45BD8"/>
    <w:rsid w:val="00A50553"/>
    <w:rsid w:val="00A53DD0"/>
    <w:rsid w:val="00A65FE3"/>
    <w:rsid w:val="00A83352"/>
    <w:rsid w:val="00A839C1"/>
    <w:rsid w:val="00A90C28"/>
    <w:rsid w:val="00A95447"/>
    <w:rsid w:val="00AA7C16"/>
    <w:rsid w:val="00AB224C"/>
    <w:rsid w:val="00AB3379"/>
    <w:rsid w:val="00AB43C4"/>
    <w:rsid w:val="00AC16AD"/>
    <w:rsid w:val="00AC5EC3"/>
    <w:rsid w:val="00AC66E4"/>
    <w:rsid w:val="00AE547F"/>
    <w:rsid w:val="00AF5414"/>
    <w:rsid w:val="00AF547E"/>
    <w:rsid w:val="00AF59A8"/>
    <w:rsid w:val="00B047A4"/>
    <w:rsid w:val="00B14E53"/>
    <w:rsid w:val="00B16376"/>
    <w:rsid w:val="00B203DA"/>
    <w:rsid w:val="00B251D5"/>
    <w:rsid w:val="00B310E6"/>
    <w:rsid w:val="00B31966"/>
    <w:rsid w:val="00B31AE4"/>
    <w:rsid w:val="00B366CF"/>
    <w:rsid w:val="00B37567"/>
    <w:rsid w:val="00B40A78"/>
    <w:rsid w:val="00B41741"/>
    <w:rsid w:val="00B47AAE"/>
    <w:rsid w:val="00B518C9"/>
    <w:rsid w:val="00B56575"/>
    <w:rsid w:val="00B61B74"/>
    <w:rsid w:val="00B635A1"/>
    <w:rsid w:val="00BA0251"/>
    <w:rsid w:val="00BA2BB0"/>
    <w:rsid w:val="00BA2D1E"/>
    <w:rsid w:val="00BB4A1A"/>
    <w:rsid w:val="00BC1478"/>
    <w:rsid w:val="00BD09B2"/>
    <w:rsid w:val="00BD5C39"/>
    <w:rsid w:val="00BD7679"/>
    <w:rsid w:val="00BE2F67"/>
    <w:rsid w:val="00BE54B3"/>
    <w:rsid w:val="00C008B4"/>
    <w:rsid w:val="00C17ABD"/>
    <w:rsid w:val="00C25029"/>
    <w:rsid w:val="00C26C67"/>
    <w:rsid w:val="00C3123A"/>
    <w:rsid w:val="00C31776"/>
    <w:rsid w:val="00C32E41"/>
    <w:rsid w:val="00C37CA1"/>
    <w:rsid w:val="00C53E67"/>
    <w:rsid w:val="00C57C84"/>
    <w:rsid w:val="00C6134C"/>
    <w:rsid w:val="00C63006"/>
    <w:rsid w:val="00C716C1"/>
    <w:rsid w:val="00C76C7D"/>
    <w:rsid w:val="00C81F1B"/>
    <w:rsid w:val="00C821A5"/>
    <w:rsid w:val="00C82A9F"/>
    <w:rsid w:val="00C95C7D"/>
    <w:rsid w:val="00C96FA3"/>
    <w:rsid w:val="00CA4A98"/>
    <w:rsid w:val="00CA6EC9"/>
    <w:rsid w:val="00CB6F1C"/>
    <w:rsid w:val="00CD4904"/>
    <w:rsid w:val="00CD7ECC"/>
    <w:rsid w:val="00CE3211"/>
    <w:rsid w:val="00CE4B1B"/>
    <w:rsid w:val="00CF2E5B"/>
    <w:rsid w:val="00CF7F94"/>
    <w:rsid w:val="00D02268"/>
    <w:rsid w:val="00D05F9C"/>
    <w:rsid w:val="00D16830"/>
    <w:rsid w:val="00D245DB"/>
    <w:rsid w:val="00D251DB"/>
    <w:rsid w:val="00D37D44"/>
    <w:rsid w:val="00D41E0D"/>
    <w:rsid w:val="00D43613"/>
    <w:rsid w:val="00D446D2"/>
    <w:rsid w:val="00D53FBF"/>
    <w:rsid w:val="00D56293"/>
    <w:rsid w:val="00D7076A"/>
    <w:rsid w:val="00D73E8F"/>
    <w:rsid w:val="00D81F5E"/>
    <w:rsid w:val="00D86EFC"/>
    <w:rsid w:val="00D87925"/>
    <w:rsid w:val="00D92269"/>
    <w:rsid w:val="00D923C9"/>
    <w:rsid w:val="00D947AB"/>
    <w:rsid w:val="00D95586"/>
    <w:rsid w:val="00DA30AB"/>
    <w:rsid w:val="00DA4337"/>
    <w:rsid w:val="00DC7A5F"/>
    <w:rsid w:val="00DE0E4F"/>
    <w:rsid w:val="00DE13A8"/>
    <w:rsid w:val="00DE176A"/>
    <w:rsid w:val="00DE1BF7"/>
    <w:rsid w:val="00DE481E"/>
    <w:rsid w:val="00DE4D23"/>
    <w:rsid w:val="00DE5DBA"/>
    <w:rsid w:val="00DE758A"/>
    <w:rsid w:val="00DF174A"/>
    <w:rsid w:val="00DF6F2B"/>
    <w:rsid w:val="00E00A6B"/>
    <w:rsid w:val="00E129EB"/>
    <w:rsid w:val="00E14A19"/>
    <w:rsid w:val="00E14E08"/>
    <w:rsid w:val="00E171F6"/>
    <w:rsid w:val="00E27990"/>
    <w:rsid w:val="00E43713"/>
    <w:rsid w:val="00E629FA"/>
    <w:rsid w:val="00E77899"/>
    <w:rsid w:val="00E8783B"/>
    <w:rsid w:val="00E92C8E"/>
    <w:rsid w:val="00EB0AFC"/>
    <w:rsid w:val="00EC4D43"/>
    <w:rsid w:val="00ED1C2B"/>
    <w:rsid w:val="00ED374C"/>
    <w:rsid w:val="00EE6B95"/>
    <w:rsid w:val="00EE6C3C"/>
    <w:rsid w:val="00EF7725"/>
    <w:rsid w:val="00F10208"/>
    <w:rsid w:val="00F1424E"/>
    <w:rsid w:val="00F146AD"/>
    <w:rsid w:val="00F1581A"/>
    <w:rsid w:val="00F170AA"/>
    <w:rsid w:val="00F2612C"/>
    <w:rsid w:val="00F32F97"/>
    <w:rsid w:val="00F3633D"/>
    <w:rsid w:val="00F3654D"/>
    <w:rsid w:val="00F37962"/>
    <w:rsid w:val="00F5080F"/>
    <w:rsid w:val="00F55F11"/>
    <w:rsid w:val="00F76EE7"/>
    <w:rsid w:val="00F80BEB"/>
    <w:rsid w:val="00F83C17"/>
    <w:rsid w:val="00F96D7F"/>
    <w:rsid w:val="00FA1401"/>
    <w:rsid w:val="00FA15B5"/>
    <w:rsid w:val="00FA1F00"/>
    <w:rsid w:val="00FB1E95"/>
    <w:rsid w:val="00FC01B9"/>
    <w:rsid w:val="00FC1C8F"/>
    <w:rsid w:val="00FC456F"/>
    <w:rsid w:val="00FC7343"/>
    <w:rsid w:val="00FD5585"/>
    <w:rsid w:val="00FD6A81"/>
    <w:rsid w:val="00FF5F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Heading1"/>
    <w:next w:val="Normal"/>
    <w:link w:val="Heading2Char"/>
    <w:qFormat/>
    <w:rsid w:val="00A067F3"/>
    <w:pPr>
      <w:outlineLvl w:val="1"/>
    </w:pPr>
    <w:rPr>
      <w:b/>
    </w:r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A067F3"/>
    <w:rPr>
      <w:rFonts w:ascii="Times New Roman" w:eastAsia="Times New Roman" w:hAnsi="Times New Roman" w:cs="Times New Roman"/>
      <w:b/>
      <w:kern w:val="28"/>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129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360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32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54B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D43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A42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53E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392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E33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882D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4266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A833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6659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4452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DE758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CB6F1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1F415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227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341F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rsid w:val="000C5A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40368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230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EC4D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D168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297F0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814A5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3F34"/>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8F062E"/>
    <w:pPr>
      <w:spacing w:after="100"/>
      <w:ind w:left="220"/>
    </w:pPr>
  </w:style>
  <w:style w:type="table" w:customStyle="1" w:styleId="TableGrid27">
    <w:name w:val="Table Grid27"/>
    <w:basedOn w:val="TableNormal"/>
    <w:next w:val="TableGrid"/>
    <w:rsid w:val="007A30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09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Bartek.Bednarowicz@eesc.europa.eu" TargetMode="External"/><Relationship Id="rId21" Type="http://schemas.openxmlformats.org/officeDocument/2006/relationships/hyperlink" Target="https://www.eesc.europa.eu/pl/our-work/opinions-information-reports/opinions/eu-policy-agenda-liveable-cities" TargetMode="External"/><Relationship Id="rId42" Type="http://schemas.openxmlformats.org/officeDocument/2006/relationships/hyperlink" Target="mailto:Radoslava.Stefankova@eesc.europa.eu" TargetMode="External"/><Relationship Id="rId47" Type="http://schemas.openxmlformats.org/officeDocument/2006/relationships/hyperlink" Target="https://www.eesc.europa.eu/pl/our-work/opinions-information-reports/opinions/new-rules-drug-precursors" TargetMode="External"/><Relationship Id="rId63" Type="http://schemas.openxmlformats.org/officeDocument/2006/relationships/hyperlink" Target="https://www.eesc.europa.eu/pl/our-work/opinions-information-reports/opinions/equivalence-field-inspections-carried-out-third-countries-seed-producing-crops-and-equivalence-seed-produced-third" TargetMode="External"/><Relationship Id="rId68" Type="http://schemas.openxmlformats.org/officeDocument/2006/relationships/hyperlink" Target="mailto:David.Hoic@eesc.europa.eu" TargetMode="External"/><Relationship Id="rId16" Type="http://schemas.openxmlformats.org/officeDocument/2006/relationships/header" Target="header2.xml"/><Relationship Id="rId11" Type="http://schemas.openxmlformats.org/officeDocument/2006/relationships/endnotes" Target="endnotes.xml"/><Relationship Id="rId24" Type="http://schemas.openxmlformats.org/officeDocument/2006/relationships/hyperlink" Target="mailto:Sergio.LorencioMatallana@eesc.europa.eu" TargetMode="External"/><Relationship Id="rId32" Type="http://schemas.openxmlformats.org/officeDocument/2006/relationships/hyperlink" Target="mailto:Gemma.Amran@eesc.europa.eu" TargetMode="External"/><Relationship Id="rId37" Type="http://schemas.openxmlformats.org/officeDocument/2006/relationships/hyperlink" Target="https://www.eesc.europa.eu/pl/our-work/opinions-information-reports/opinions/revision-co2-standards-cars-and-vans" TargetMode="External"/><Relationship Id="rId40" Type="http://schemas.openxmlformats.org/officeDocument/2006/relationships/hyperlink" Target="mailto:Annalisa.Tessarolo@eesc.europa.eu" TargetMode="External"/><Relationship Id="rId45" Type="http://schemas.openxmlformats.org/officeDocument/2006/relationships/hyperlink" Target="https://www.eesc.europa.eu/pl/our-work/opinions-information-reports/opinions/developing-european-centre-clinical-excellence-pharmaceuticals" TargetMode="External"/><Relationship Id="rId53" Type="http://schemas.openxmlformats.org/officeDocument/2006/relationships/hyperlink" Target="https://www.eesc.europa.eu/pl/our-work/opinions-information-reports/opinions/single-market-tackling-unjustified-territorial-supply-constraints" TargetMode="External"/><Relationship Id="rId58" Type="http://schemas.openxmlformats.org/officeDocument/2006/relationships/hyperlink" Target="mailto:Caroline.Verhelst@eesc.europa.eu" TargetMode="External"/><Relationship Id="rId66" Type="http://schemas.openxmlformats.org/officeDocument/2006/relationships/hyperlink" Target="mailto:Gaizka.Maloelcoro-iribe@eesc.europa.eu" TargetMode="External"/><Relationship Id="rId74" Type="http://schemas.openxmlformats.org/officeDocument/2006/relationships/footer" Target="footer5.xml"/><Relationship Id="rId5" Type="http://schemas.openxmlformats.org/officeDocument/2006/relationships/customXml" Target="../customXml/item5.xml"/><Relationship Id="rId61" Type="http://schemas.openxmlformats.org/officeDocument/2006/relationships/hyperlink" Target="https://www.eesc.europa.eu/pl/our-work/opinions-information-reports/opinions/food-and-feed-safety-simplification-omnibus" TargetMode="Externa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Georgios.Meleas@eesc.europa.eu" TargetMode="External"/><Relationship Id="rId27" Type="http://schemas.openxmlformats.org/officeDocument/2006/relationships/hyperlink" Target="https://www.eesc.europa.eu/pl/our-work/opinions-information-reports/opinions/union-equality-lgbtiq-equality-strategy-2026-2030" TargetMode="External"/><Relationship Id="rId30" Type="http://schemas.openxmlformats.org/officeDocument/2006/relationships/hyperlink" Target="mailto:Bartek.Bednarowicz@eesc.europa.eu" TargetMode="External"/><Relationship Id="rId35" Type="http://schemas.openxmlformats.org/officeDocument/2006/relationships/hyperlink" Target="https://www.eesc.europa.eu/pl/our-work/opinions-information-reports/opinions/over-tourism-short-term-rentals-and-crowding-out-local-populations-finding-right-balance" TargetMode="External"/><Relationship Id="rId43" Type="http://schemas.openxmlformats.org/officeDocument/2006/relationships/hyperlink" Target="https://www.eesc.europa.eu/pl/our-work/opinions-information-reports/opinions/cybersecurity-act-1" TargetMode="External"/><Relationship Id="rId48" Type="http://schemas.openxmlformats.org/officeDocument/2006/relationships/hyperlink" Target="mailto:Radoslava.Stefankova@eesc.europa.eu" TargetMode="External"/><Relationship Id="rId56" Type="http://schemas.openxmlformats.org/officeDocument/2006/relationships/hyperlink" Target="mailto:Jana.Valant@eesc.europa.eu" TargetMode="External"/><Relationship Id="rId64" Type="http://schemas.openxmlformats.org/officeDocument/2006/relationships/hyperlink" Target="mailto:Arturo.Iniguez@eesc.europa.eu" TargetMode="External"/><Relationship Id="rId69" Type="http://schemas.openxmlformats.org/officeDocument/2006/relationships/hyperlink" Target="https://www.eesc.europa.eu/pl/our-work/opinions-information-reports/opinions/role-private-sector-and-civil-society-strengthening-economic-cooperation-within-pact-mediterranean"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pl/our-work/opinions-information-reports/opinions/strategic-standardisation-stronger-single-market" TargetMode="External"/><Relationship Id="rId72" Type="http://schemas.openxmlformats.org/officeDocument/2006/relationships/hyperlink" Target="mailto:Ioannis.Diamantopoulos@eesc.europa.eu"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pl/our-work/opinions-information-reports/opinions/ban-conversion-practices-european-union" TargetMode="External"/><Relationship Id="rId33" Type="http://schemas.openxmlformats.org/officeDocument/2006/relationships/hyperlink" Target="https://www.eesc.europa.eu/pl/our-work/opinions-information-reports/opinions/culture-compass-europe" TargetMode="External"/><Relationship Id="rId38" Type="http://schemas.openxmlformats.org/officeDocument/2006/relationships/hyperlink" Target="mailto:Silvia.Staffa@eesc.europa.eu" TargetMode="External"/><Relationship Id="rId46" Type="http://schemas.openxmlformats.org/officeDocument/2006/relationships/hyperlink" Target="mailto:Radoslava.stefankova@eesc.europa.eu" TargetMode="External"/><Relationship Id="rId59" Type="http://schemas.openxmlformats.org/officeDocument/2006/relationships/hyperlink" Target="https://www.eesc.europa.eu/pl/our-work/opinions-information-reports/opinions/eu-bioeconomy-strategy-towards-circular-regenerative-and-competitive-bioeconomy" TargetMode="External"/><Relationship Id="rId67" Type="http://schemas.openxmlformats.org/officeDocument/2006/relationships/hyperlink" Target="https://www.eesc.europa.eu/pl/our-work/opinions-information-reports/opinions/civil-societys-role-supporting-reform-under-growth-plans-western-balkans-and-moldova-well-ukraines-reform-path" TargetMode="External"/><Relationship Id="rId20" Type="http://schemas.openxmlformats.org/officeDocument/2006/relationships/footer" Target="footer3.xml"/><Relationship Id="rId41" Type="http://schemas.openxmlformats.org/officeDocument/2006/relationships/hyperlink" Target="https://www.eesc.europa.eu/pl/our-work/opinions-information-reports/opinions/2030-consumer-agenda" TargetMode="External"/><Relationship Id="rId54" Type="http://schemas.openxmlformats.org/officeDocument/2006/relationships/hyperlink" Target="mailto:Annalisa.Tessarolo@eesc.europa.eu" TargetMode="External"/><Relationship Id="rId62" Type="http://schemas.openxmlformats.org/officeDocument/2006/relationships/hyperlink" Target="mailto:Martine.Delanoy@eesc.europa.eu" TargetMode="External"/><Relationship Id="rId70" Type="http://schemas.openxmlformats.org/officeDocument/2006/relationships/hyperlink" Target="mailto:Andreas.Berger@eesc.europa.eu" TargetMode="External"/><Relationship Id="rId75"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pl/our-work/opinions-information-reports/opinions/supplementary-pensions-package-pepp-and-iorp" TargetMode="External"/><Relationship Id="rId28" Type="http://schemas.openxmlformats.org/officeDocument/2006/relationships/hyperlink" Target="rewritten://8da35b6f-64c2-4d79-b754-e2ec3a611b38" TargetMode="External"/><Relationship Id="rId36" Type="http://schemas.openxmlformats.org/officeDocument/2006/relationships/hyperlink" Target="mailto:Silvia.Staffa@eesc.europa.eu" TargetMode="External"/><Relationship Id="rId49" Type="http://schemas.openxmlformats.org/officeDocument/2006/relationships/hyperlink" Target="https://www.eesc.europa.eu/pl/our-work/opinions-information-reports/opinions/proposal-regulation-targeted-revision-eu-rules-medical-devices-and-vitro-diagnostics" TargetMode="External"/><Relationship Id="rId57" Type="http://schemas.openxmlformats.org/officeDocument/2006/relationships/hyperlink" Target="https://www.eesc.europa.eu/pl/our-work/opinions-information-reports/opinions/comprehensive-strategy-nature-based-biodegradable-materials-foster-circularity-and-resource-efficiency-strengthen-agri" TargetMode="External"/><Relationship Id="rId10" Type="http://schemas.openxmlformats.org/officeDocument/2006/relationships/footnotes" Target="footnotes.xml"/><Relationship Id="rId31" Type="http://schemas.openxmlformats.org/officeDocument/2006/relationships/hyperlink" Target="https://www.eesc.europa.eu/pl/our-work/opinions-information-reports/opinions/eu-drugs-strategy"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hyperlink" Target="mailto:Anna.Cameron@eesc.europa.eu" TargetMode="External"/><Relationship Id="rId65" Type="http://schemas.openxmlformats.org/officeDocument/2006/relationships/hyperlink" Target="https://www.eesc.europa.eu/pl/our-work/opinions-information-reports/opinions/invalidation-allowances-market-stability-reserve" TargetMode="External"/><Relationship Id="rId73"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eesc.europa.eu/pl/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pl/our-work/opinions-information-reports/information-reports/evaluation-regulation-eu-20191020-market-surveillance-and-compliance-products" TargetMode="External"/><Relationship Id="rId34" Type="http://schemas.openxmlformats.org/officeDocument/2006/relationships/hyperlink" Target="mailto:JeanMarie.Rogue@eesc.europa.eu"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pl/our-work/opinions-information-reports/opinions/eu-startups-and-scale-strategy-focus-european-innovation-act"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eesc.europa.eu/pl/our-work/opinions-information-reports/opinions/programme-agile-and-rapid-defence-innovation-agile" TargetMode="External"/><Relationship Id="rId2" Type="http://schemas.openxmlformats.org/officeDocument/2006/relationships/customXml" Target="../customXml/item2.xml"/><Relationship Id="rId29" Type="http://schemas.openxmlformats.org/officeDocument/2006/relationships/hyperlink" Target="https://www.eesc.europa.eu/pl/our-work/opinions-information-reports/opinions/eu-competitiveness-and-youth-entrepreneurship"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PL/TXT/?uri=uriserv:OJ.C_.2018.227.01.0076.01.POL&amp;toc=OJ:C:2018:227:TOC" TargetMode="External"/><Relationship Id="rId7" Type="http://schemas.openxmlformats.org/officeDocument/2006/relationships/hyperlink" Target="https://eur-lex.europa.eu/legal-content/PL/TXT/?uri=uriserv%3AOJ.C_.2022.152.01.0175.01.POL&amp;toc=OJ%3AC%3A2022%3A152%3ATOC" TargetMode="External"/><Relationship Id="rId2" Type="http://schemas.openxmlformats.org/officeDocument/2006/relationships/hyperlink" Target="https://www.eesc.europa.eu/pl/our-work/opinions-information-reports/opinions/equivalence-inspections-seed-produced-brazil-and-moldova-modification" TargetMode="External"/><Relationship Id="rId1" Type="http://schemas.openxmlformats.org/officeDocument/2006/relationships/hyperlink" Target="http://data.europa.eu/eli/C/2024/6880/oj" TargetMode="External"/><Relationship Id="rId6" Type="http://schemas.openxmlformats.org/officeDocument/2006/relationships/hyperlink" Target="https://www.eesc.europa.eu/pl/our-work/opinions-information-reports/opinions/revision-eu-emissions-trading-system-ets-including-maritime-transport-and-market-stability-reserve" TargetMode="External"/><Relationship Id="rId5" Type="http://schemas.openxmlformats.org/officeDocument/2006/relationships/hyperlink" Target="https://eur-lex.europa.eu/legal-content/PL/TXT/?uri=uriserv%3AOJ.C_.2020.429.01.0276.01.POL&amp;toc=OJ%3AC%3A2020%3A429%3ATOC" TargetMode="External"/><Relationship Id="rId4" Type="http://schemas.openxmlformats.org/officeDocument/2006/relationships/hyperlink" Target="https://www.eesc.europa.eu/pl/our-work/opinions-information-reports/opinions/seed-equivalence-ukra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VP3JK3XSEPRV-2087481956-9094</_dlc_DocId>
    <_dlc_DocIdUrl xmlns="7d640e6d-779c-472f-a269-6b546787f1c9">
      <Url>http://dm/eesc/2026/_layouts/15/DocIdRedir.aspx?ID=VP3JK3XSEPRV-2087481956-9094</Url>
      <Description>VP3JK3XSEPRV-2087481956-9094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2026-05-21T12:00:00+00:00</ProductionDate>
    <DocumentNumber xmlns="a95533f8-59af-4217-bc7a-c1167744adb0">936</DocumentNumber>
    <FicheYear xmlns="7d640e6d-779c-472f-a269-6b546787f1c9" xsi:nil="true"/>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7d640e6d-779c-472f-a269-6b546787f1c9">
      <Value>60</Value>
      <Value>59</Value>
      <Value>55</Value>
      <Value>51</Value>
      <Value>46</Value>
      <Value>45</Value>
      <Value>44</Value>
      <Value>43</Value>
      <Value>37</Value>
      <Value>36</Value>
      <Value>34</Value>
      <Value>32</Value>
      <Value>31</Value>
      <Value>30</Value>
      <Value>29</Value>
      <Value>28</Value>
      <Value>27</Value>
      <Value>25</Value>
      <Value>23</Value>
      <Value>19</Value>
      <Value>18</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PL</TermName>
          <TermId xmlns="http://schemas.microsoft.com/office/infopath/2007/PartnerControls">1e03da61-4678-4e07-b136-b5024ca9197b</TermId>
        </TermInfo>
      </Terms>
    </DocumentLanguage_0>
    <MeetingDate xmlns="7d640e6d-779c-472f-a269-6b546787f1c9">2026-06-17T12:00:00+00:00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303002</FicheNumber>
    <OriginalSender xmlns="7d640e6d-779c-472f-a269-6b546787f1c9">
      <UserInfo>
        <DisplayName>Klimaszewska Agnieszka</DisplayName>
        <AccountId>1383</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2.xml><?xml version="1.0" encoding="utf-8"?>
<ds:datastoreItem xmlns:ds="http://schemas.openxmlformats.org/officeDocument/2006/customXml" ds:itemID="{0264D61F-32D3-419D-BFE8-374A549F1133}"/>
</file>

<file path=customXml/itemProps3.xml><?xml version="1.0" encoding="utf-8"?>
<ds:datastoreItem xmlns:ds="http://schemas.openxmlformats.org/officeDocument/2006/customXml" ds:itemID="{F0CC17BB-7ED8-47CF-857B-E1E1F9E37692}">
  <ds:schemaRefs>
    <ds:schemaRef ds:uri="http://schemas.openxmlformats.org/officeDocument/2006/bibliography"/>
  </ds:schemaRefs>
</ds:datastoreItem>
</file>

<file path=customXml/itemProps4.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5.xml><?xml version="1.0" encoding="utf-8"?>
<ds:datastoreItem xmlns:ds="http://schemas.openxmlformats.org/officeDocument/2006/customXml" ds:itemID="{4550B7D9-B944-4719-A93C-2F495E041519}">
  <ds:schemaRefs>
    <ds:schemaRef ds:uri="http://schemas.microsoft.com/sharepoint/events"/>
  </ds:schemaRefs>
</ds:datastoreItem>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37</Pages>
  <Words>9493</Words>
  <Characters>59809</Characters>
  <Application>Microsoft Office Word</Application>
  <DocSecurity>0</DocSecurity>
  <Lines>1573</Lines>
  <Paragraphs>888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68414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Streszczenie przyjętych opinii - 605. sesja plenarna, kwiecień 2026 r.</dc:title>
  <dc:subject>ADMIN</dc:subject>
  <dc:creator/>
  <cp:keywords>COR-EESC-2022-02583-00-00-ADMIN-TRA-EN</cp:keywords>
  <dc:description>Rapporteur:  - Original language: EN - Date of document: 20/05/2022 - Date of meeting:  - External documents:  - Administrator:  SUCIU Serban</dc:description>
  <cp:lastModifiedBy/>
  <cp:revision>15</cp:revision>
  <dcterms:created xsi:type="dcterms:W3CDTF">2026-05-08T11:50:00Z</dcterms:created>
  <dcterms:modified xsi:type="dcterms:W3CDTF">2026-05-21T15:02:00Z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08/05/2026, 02/05/2022, 02/05/2022, 28/06/2021</vt:lpwstr>
  </property>
  <property fmtid="{D5CDD505-2E9C-101B-9397-08002B2CF9AE}" pid="4" name="Pref_Time">
    <vt:lpwstr>13:50:41, 12:28:29, 12:25:37, 08:41:48</vt:lpwstr>
  </property>
  <property fmtid="{D5CDD505-2E9C-101B-9397-08002B2CF9AE}" pid="5" name="Pref_User">
    <vt:lpwstr>pacup, enied, enied, enied</vt:lpwstr>
  </property>
  <property fmtid="{D5CDD505-2E9C-101B-9397-08002B2CF9AE}" pid="6" name="Pref_FileName">
    <vt:lpwstr>EESC-2026-00936-00-00-TCD-ORI.docx, Summary of opinions.docx, COR-EESC-2022-02370-00-00-ADMIN-ORI.docx, Synthese des avis Template.docx</vt:lpwstr>
  </property>
  <property fmtid="{D5CDD505-2E9C-101B-9397-08002B2CF9AE}" pid="7" name="ContentTypeId">
    <vt:lpwstr>0x010100EA97B91038054C99906057A708A1480A0042CFDF3EA65A64469BBC042F89C9AB74</vt:lpwstr>
  </property>
  <property fmtid="{D5CDD505-2E9C-101B-9397-08002B2CF9AE}" pid="8" name="_dlc_DocIdItemGuid">
    <vt:lpwstr>b600a98d-9315-45e7-aa57-d376e864449a</vt:lpwstr>
  </property>
  <property fmtid="{D5CDD505-2E9C-101B-9397-08002B2CF9AE}" pid="9" name="AvailableTranslations">
    <vt:lpwstr>25;#FI|87606a43-d45f-42d6-b8c9-e1a3457db5b7;#4;#EN|f2175f21-25d7-44a3-96da-d6a61b075e1b;#51;#LV|46f7e311-5d9f-4663-b433-18aeccb7ace7;#13;#IT|0774613c-01ed-4e5d-a25d-11d2388de825;#37;#HU|6b229040-c589-4408-b4c1-4285663d20a8;#31;#SL|98a412ae-eb01-49e9-ae3d-585a81724cfc;#23;#FR|d2afafd3-4c81-4f60-8f52-ee33f2f54ff3;#30;#SK|46d9fce0-ef79-4f71-b89b-cd6aa82426b8;#28;#PT|50ccc04a-eadd-42ae-a0cb-acaf45f812ba;#34;#HR|2f555653-ed1a-4fe6-8362-9082d95989e5;#27;#ET|ff6c3f4c-b02c-4c3c-ab07-2c37995a7a0a;#44;#LT|a7ff5ce7-6123-4f68-865a-a57c31810414;#46;#DA|5d49c027-8956-412b-aa16-e85a0f96ad0e;#29;#CS|72f9705b-0217-4fd3-bea2-cbc7ed80e26e;#60;#EL|6d4f4d51-af9b-4650-94b4-4276bee85c91;#55;#RO|feb747a2-64cd-4299-af12-4833ddc30497;#11;#DE|f6b31e5a-26fa-4935-b661-318e46daf27e;#12;#ES|e7a6b05b-ae16-40c8-add9-68b64b03aeba;#43;#BG|1a1b3951-7821-4e6a-85f5-5673fc08bd2c;#32;#PL|1e03da61-4678-4e07-b136-b5024ca9197b;#36;#NL|55c6556c-b4f4-441d-9acf-c498d4f838bd;#45;#SV|c2ed69e7-a339-43d7-8f22-d93680a92aa0</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936</vt:i4>
  </property>
  <property fmtid="{D5CDD505-2E9C-101B-9397-08002B2CF9AE}" pid="14" name="DocumentVersion">
    <vt:i4>0</vt:i4>
  </property>
  <property fmtid="{D5CDD505-2E9C-101B-9397-08002B2CF9AE}" pid="15" name="DocumentStatus">
    <vt:lpwstr>9;#TRA|150d2a88-1431-44e6-a8ca-0bb753ab8672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19;#Unrestricted|826e22d7-d029-4ec0-a450-0c28ff673572</vt:lpwstr>
  </property>
  <property fmtid="{D5CDD505-2E9C-101B-9397-08002B2CF9AE}" pid="19" name="OriginalLanguage">
    <vt:lpwstr>4;#EN|f2175f21-25d7-44a3-96da-d6a61b075e1b</vt:lpwstr>
  </property>
  <property fmtid="{D5CDD505-2E9C-101B-9397-08002B2CF9AE}" pid="20" name="MeetingName">
    <vt:lpwstr>59;#SPL-CES|32d8cb1f-c9ec-4365-95c7-8385a18618ac</vt:lpwstr>
  </property>
  <property fmtid="{D5CDD505-2E9C-101B-9397-08002B2CF9AE}" pid="21" name="TaxCatchAll">
    <vt:lpwstr>31;#SL|98a412ae-eb01-49e9-ae3d-585a81724cfc;#28;#PT|50ccc04a-eadd-42ae-a0cb-acaf45f812ba;#12;#ES|e7a6b05b-ae16-40c8-add9-68b64b03aeba;#25;#FI|87606a43-d45f-42d6-b8c9-e1a3457db5b7;#44;#LT|a7ff5ce7-6123-4f68-865a-a57c31810414;#59;#SPL-CES|32d8cb1f-c9ec-4365-95c7-8385a18618ac;#19;#Unrestricted|826e22d7-d029-4ec0-a450-0c28ff673572;#18;#TCD|cd9d6eb6-3f4f-424a-b2d1-57c9d450eaaf;#51;#LV|46f7e311-5d9f-4663-b433-18aeccb7ace7;#13;#IT|0774613c-01ed-4e5d-a25d-11d2388de825;#46;#DA|5d49c027-8956-412b-aa16-e85a0f96ad0e;#11;#DE|f6b31e5a-26fa-4935-b661-318e46daf27e;#9;#TRA|150d2a88-1431-44e6-a8ca-0bb753ab8672;#45;#SV|c2ed69e7-a339-43d7-8f22-d93680a92aa0;#7;#Final|ea5e6674-7b27-4bac-b091-73adbb394efe;#4;#EN|f2175f21-25d7-44a3-96da-d6a61b075e1b;#1;#EESC|422833ec-8d7e-4e65-8e4e-8bed07ffb729;#37;#HU|6b229040-c589-4408-b4c1-4285663d20a8</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7;#Final|ea5e6674-7b27-4bac-b091-73adbb394efe</vt:lpwstr>
  </property>
  <property fmtid="{D5CDD505-2E9C-101B-9397-08002B2CF9AE}" pid="25" name="DocumentYear">
    <vt:i4>2026</vt:i4>
  </property>
  <property fmtid="{D5CDD505-2E9C-101B-9397-08002B2CF9AE}" pid="26" name="FicheNumber">
    <vt:i4>303002</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18;#TCD|cd9d6eb6-3f4f-424a-b2d1-57c9d450eaaf</vt:lpwstr>
  </property>
  <property fmtid="{D5CDD505-2E9C-101B-9397-08002B2CF9AE}" pid="31" name="RequestingService">
    <vt:lpwstr>Greffe</vt:lpwstr>
  </property>
  <property fmtid="{D5CDD505-2E9C-101B-9397-08002B2CF9AE}" pid="32" name="DocumentLanguage">
    <vt:lpwstr>32;#PL|1e03da61-4678-4e07-b136-b5024ca9197b</vt:lpwstr>
  </property>
  <property fmtid="{D5CDD505-2E9C-101B-9397-08002B2CF9AE}" pid="33" name="AvailableTranslations_0">
    <vt:lpwstr>FI|87606a43-d45f-42d6-b8c9-e1a3457db5b7;EN|f2175f21-25d7-44a3-96da-d6a61b075e1b;LV|46f7e311-5d9f-4663-b433-18aeccb7ace7;IT|0774613c-01ed-4e5d-a25d-11d2388de825;HU|6b229040-c589-4408-b4c1-4285663d20a8;SL|98a412ae-eb01-49e9-ae3d-585a81724cfc;PT|50ccc04a-eadd-42ae-a0cb-acaf45f812ba;LT|a7ff5ce7-6123-4f68-865a-a57c31810414;DA|5d49c027-8956-412b-aa16-e85a0f96ad0e;DE|f6b31e5a-26fa-4935-b661-318e46daf27e;ES|e7a6b05b-ae16-40c8-add9-68b64b03aeba;SV|c2ed69e7-a339-43d7-8f22-d93680a92aa0</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Number">
    <vt:i4>606</vt:i4>
  </property>
  <property fmtid="{D5CDD505-2E9C-101B-9397-08002B2CF9AE}" pid="40" name="MeetingDate">
    <vt:filetime>2026-06-17T12:00:00Z</vt:filetime>
  </property>
</Properties>
</file>