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DD4D" w14:textId="16012EC9" w:rsidR="004D7AC0" w:rsidRDefault="00F807A4" w:rsidP="001766B2">
      <w:pPr>
        <w:jc w:val="center"/>
      </w:pPr>
      <w:r>
        <w:rPr>
          <w:noProof/>
        </w:rPr>
        <w:drawing>
          <wp:inline distT="0" distB="0" distL="0" distR="0" wp14:anchorId="39430631" wp14:editId="4BE5AB82">
            <wp:extent cx="1792605" cy="1239520"/>
            <wp:effectExtent l="0" t="0" r="0" b="0"/>
            <wp:docPr id="304410864" name="Picture 2" title="EESCLogo_NL"/>
            <wp:cNvGraphicFramePr/>
            <a:graphic xmlns:a="http://schemas.openxmlformats.org/drawingml/2006/main">
              <a:graphicData uri="http://schemas.openxmlformats.org/drawingml/2006/picture">
                <pic:pic xmlns:pic="http://schemas.openxmlformats.org/drawingml/2006/picture">
                  <pic:nvPicPr>
                    <pic:cNvPr id="304410864" name="Picture 2" title="EESCLogo_N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7216" behindDoc="1" locked="0" layoutInCell="0" allowOverlap="1" wp14:anchorId="4982DE48" wp14:editId="466C82E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NL</w:t>
                      </w:r>
                    </w:p>
                  </w:txbxContent>
                </v:textbox>
                <w10:wrap anchorx="page" anchory="page"/>
              </v:shape>
            </w:pict>
          </mc:Fallback>
        </mc:AlternateContent>
      </w:r>
    </w:p>
    <w:p w14:paraId="4982DD4E" w14:textId="77777777" w:rsidR="004D7AC0" w:rsidRDefault="004D7AC0" w:rsidP="001766B2"/>
    <w:p w14:paraId="4982DD4F" w14:textId="1B0C2982" w:rsidR="004D7AC0" w:rsidRDefault="004D7AC0" w:rsidP="001766B2">
      <w:pPr>
        <w:jc w:val="right"/>
      </w:pPr>
      <w:r>
        <w:t>Brussel, 22 mei 2026</w:t>
      </w:r>
    </w:p>
    <w:p w14:paraId="4982DD50" w14:textId="77777777" w:rsidR="004D7AC0" w:rsidRDefault="004D7AC0" w:rsidP="001766B2"/>
    <w:p w14:paraId="4982DD51" w14:textId="77777777" w:rsidR="004D7AC0" w:rsidRDefault="004D7AC0" w:rsidP="001766B2"/>
    <w:p w14:paraId="4982DD52" w14:textId="77777777" w:rsidR="004D7AC0" w:rsidRDefault="004D7AC0" w:rsidP="001766B2"/>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3CA13160" w:rsidR="003066BE" w:rsidRDefault="003E263E" w:rsidP="001766B2">
            <w:pPr>
              <w:snapToGrid w:val="0"/>
              <w:jc w:val="center"/>
              <w:rPr>
                <w:b/>
                <w:sz w:val="32"/>
                <w:szCs w:val="32"/>
              </w:rPr>
            </w:pPr>
            <w:r>
              <w:rPr>
                <w:b/>
                <w:sz w:val="32"/>
              </w:rPr>
              <w:t>605</w:t>
            </w:r>
            <w:r>
              <w:rPr>
                <w:b/>
                <w:sz w:val="32"/>
                <w:vertAlign w:val="superscript"/>
              </w:rPr>
              <w:t>e</w:t>
            </w:r>
            <w:r>
              <w:rPr>
                <w:b/>
                <w:sz w:val="32"/>
              </w:rPr>
              <w:t xml:space="preserve"> ZITTING</w:t>
            </w:r>
          </w:p>
          <w:p w14:paraId="4982DD54" w14:textId="77777777" w:rsidR="003066BE" w:rsidRDefault="003066BE" w:rsidP="001766B2">
            <w:pPr>
              <w:snapToGrid w:val="0"/>
              <w:jc w:val="center"/>
              <w:rPr>
                <w:b/>
                <w:sz w:val="32"/>
                <w:szCs w:val="32"/>
              </w:rPr>
            </w:pPr>
          </w:p>
          <w:p w14:paraId="4982DD55" w14:textId="0EEFFEDA" w:rsidR="003066BE" w:rsidRDefault="003E263E" w:rsidP="001766B2">
            <w:pPr>
              <w:snapToGrid w:val="0"/>
              <w:jc w:val="center"/>
              <w:rPr>
                <w:b/>
                <w:sz w:val="32"/>
                <w:szCs w:val="32"/>
              </w:rPr>
            </w:pPr>
            <w:r>
              <w:rPr>
                <w:b/>
                <w:sz w:val="32"/>
              </w:rPr>
              <w:t>29 en 30 april 2026</w:t>
            </w:r>
          </w:p>
          <w:p w14:paraId="4982DD56" w14:textId="77777777" w:rsidR="003066BE" w:rsidRDefault="003066BE" w:rsidP="001766B2">
            <w:pPr>
              <w:snapToGrid w:val="0"/>
              <w:jc w:val="center"/>
              <w:rPr>
                <w:b/>
                <w:sz w:val="32"/>
                <w:szCs w:val="32"/>
              </w:rPr>
            </w:pPr>
          </w:p>
          <w:p w14:paraId="4982DD57" w14:textId="5A35E792" w:rsidR="004D7AC0" w:rsidRPr="0081153B" w:rsidRDefault="00754027" w:rsidP="001766B2">
            <w:pPr>
              <w:snapToGrid w:val="0"/>
              <w:jc w:val="center"/>
              <w:rPr>
                <w:rFonts w:eastAsia="MS Mincho"/>
                <w:b/>
                <w:sz w:val="32"/>
                <w:szCs w:val="32"/>
              </w:rPr>
            </w:pPr>
            <w:r>
              <w:rPr>
                <w:b/>
                <w:sz w:val="32"/>
              </w:rPr>
              <w:t>SAMENVATTING VAN DE GOEDGEKEURDE ADVIEZEN, RESOLUTIES, INFORMATIEVE RAPPORTEN EN EVALUATIEVERSLAGEN</w:t>
            </w:r>
          </w:p>
          <w:p w14:paraId="4982DD58" w14:textId="77777777" w:rsidR="004D7AC0" w:rsidRDefault="004D7AC0" w:rsidP="001766B2">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1FC3BF64" w:rsidR="004D7AC0" w:rsidRPr="0081153B" w:rsidRDefault="004D7AC0" w:rsidP="001766B2">
            <w:pPr>
              <w:snapToGrid w:val="0"/>
              <w:jc w:val="center"/>
            </w:pPr>
            <w:r>
              <w:t>Dit document is in alle officiële talen van de EU te vinden op de website van het EESC:</w:t>
            </w:r>
            <w:r>
              <w:br/>
            </w:r>
            <w:r>
              <w:br/>
            </w:r>
            <w:hyperlink r:id="rId13" w:history="1">
              <w:r>
                <w:rPr>
                  <w:rStyle w:val="Hyperlink"/>
                </w:rPr>
                <w:t>https://www.eesc.europa.eu/nl/our-work/opinions-information-reports/plenary-session-summaries</w:t>
              </w:r>
            </w:hyperlink>
          </w:p>
          <w:p w14:paraId="4982DD5B" w14:textId="77777777" w:rsidR="004D7AC0" w:rsidRPr="0081153B" w:rsidRDefault="004D7AC0" w:rsidP="001766B2">
            <w:pPr>
              <w:snapToGrid w:val="0"/>
              <w:jc w:val="center"/>
            </w:pPr>
          </w:p>
          <w:p w14:paraId="4982DD5C" w14:textId="77777777" w:rsidR="004D7AC0" w:rsidRPr="0081153B" w:rsidRDefault="004D7AC0" w:rsidP="001766B2">
            <w:pPr>
              <w:snapToGrid w:val="0"/>
              <w:jc w:val="center"/>
              <w:rPr>
                <w:rFonts w:eastAsia="SimSun"/>
              </w:rPr>
            </w:pPr>
          </w:p>
          <w:p w14:paraId="4982DD5D" w14:textId="0A4F07D1" w:rsidR="004D7AC0" w:rsidRPr="00044561" w:rsidRDefault="004D7AC0" w:rsidP="001766B2">
            <w:pPr>
              <w:snapToGrid w:val="0"/>
              <w:jc w:val="center"/>
            </w:pPr>
            <w:r>
              <w:t>De genoemde adviezen kunnen online worden geraadpleegd via de zoekmachine van het EESC:</w:t>
            </w:r>
            <w:r>
              <w:br/>
            </w:r>
            <w:hyperlink r:id="rId14" w:history="1">
              <w:r>
                <w:rPr>
                  <w:rStyle w:val="Hyperlink"/>
                </w:rPr>
                <w:t>https://dmsearch.eesc.europa.eu/search/opinion</w:t>
              </w:r>
            </w:hyperlink>
          </w:p>
          <w:p w14:paraId="4982DD5E" w14:textId="77777777" w:rsidR="004D7AC0" w:rsidRPr="00044561" w:rsidRDefault="004D7AC0" w:rsidP="001766B2">
            <w:pPr>
              <w:snapToGrid w:val="0"/>
              <w:jc w:val="center"/>
            </w:pPr>
          </w:p>
        </w:tc>
      </w:tr>
    </w:tbl>
    <w:p w14:paraId="4982DD60" w14:textId="77777777" w:rsidR="004D7AC0" w:rsidRDefault="004D7AC0" w:rsidP="001766B2"/>
    <w:p w14:paraId="4982DD61" w14:textId="77777777" w:rsidR="004D7AC0" w:rsidRDefault="004D7AC0" w:rsidP="001766B2"/>
    <w:p w14:paraId="4982DD62" w14:textId="77777777" w:rsidR="004D7AC0" w:rsidRDefault="004D7AC0" w:rsidP="001766B2">
      <w:pPr>
        <w:sectPr w:rsidR="004D7AC0" w:rsidSect="00A067F3">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0D160970" w:rsidR="004D7AC0" w:rsidRDefault="004D7AC0" w:rsidP="001766B2">
      <w:pPr>
        <w:rPr>
          <w:b/>
        </w:rPr>
      </w:pPr>
      <w:r>
        <w:rPr>
          <w:b/>
        </w:rPr>
        <w:lastRenderedPageBreak/>
        <w:t>Inhoudsopgave</w:t>
      </w:r>
    </w:p>
    <w:p w14:paraId="2174B63A" w14:textId="77777777" w:rsidR="00A067F3" w:rsidRPr="00A81AFE" w:rsidRDefault="00A067F3" w:rsidP="001766B2">
      <w:pPr>
        <w:rPr>
          <w:b/>
        </w:rPr>
      </w:pPr>
    </w:p>
    <w:p w14:paraId="33DFBB08" w14:textId="584A2453" w:rsidR="00AE60E9" w:rsidRDefault="00A067F3">
      <w:pPr>
        <w:pStyle w:val="TOC1"/>
        <w:tabs>
          <w:tab w:val="left" w:pos="480"/>
          <w:tab w:val="right" w:leader="dot" w:pos="9063"/>
        </w:tabs>
        <w:rPr>
          <w:rFonts w:asciiTheme="minorHAnsi" w:eastAsiaTheme="minorEastAsia" w:hAnsiTheme="minorHAnsi" w:cstheme="minorBidi"/>
          <w:noProof/>
          <w:kern w:val="2"/>
          <w:sz w:val="24"/>
          <w:szCs w:val="24"/>
          <w:lang w:val="fr-FR" w:eastAsia="fr-FR"/>
          <w14:ligatures w14:val="standardContextual"/>
        </w:rPr>
      </w:pPr>
      <w:r>
        <w:fldChar w:fldCharType="begin"/>
      </w:r>
      <w:r>
        <w:instrText xml:space="preserve"> TOC \h \z \u \t "Heading 2,1" </w:instrText>
      </w:r>
      <w:r>
        <w:fldChar w:fldCharType="separate"/>
      </w:r>
      <w:hyperlink w:anchor="_Toc230351240" w:history="1">
        <w:r w:rsidR="00AE60E9" w:rsidRPr="00CE3EBF">
          <w:rPr>
            <w:rStyle w:val="Hyperlink"/>
            <w:bCs/>
            <w:noProof/>
          </w:rPr>
          <w:t>1.</w:t>
        </w:r>
        <w:r w:rsidR="00AE60E9">
          <w:rPr>
            <w:rFonts w:asciiTheme="minorHAnsi" w:eastAsiaTheme="minorEastAsia" w:hAnsiTheme="minorHAnsi" w:cstheme="minorBidi"/>
            <w:noProof/>
            <w:kern w:val="2"/>
            <w:sz w:val="24"/>
            <w:szCs w:val="24"/>
            <w:lang w:val="fr-FR" w:eastAsia="fr-FR"/>
            <w14:ligatures w14:val="standardContextual"/>
          </w:rPr>
          <w:tab/>
        </w:r>
        <w:r w:rsidR="00AE60E9" w:rsidRPr="00CE3EBF">
          <w:rPr>
            <w:rStyle w:val="Hyperlink"/>
            <w:noProof/>
          </w:rPr>
          <w:t>ECONOMISCHE EN MONETAIRE UNIE, ECONOMISCHE EN SOCIALE SAMENHANG</w:t>
        </w:r>
        <w:r w:rsidR="00AE60E9">
          <w:rPr>
            <w:noProof/>
            <w:webHidden/>
          </w:rPr>
          <w:tab/>
        </w:r>
        <w:r w:rsidR="00AE60E9">
          <w:rPr>
            <w:noProof/>
            <w:webHidden/>
          </w:rPr>
          <w:fldChar w:fldCharType="begin"/>
        </w:r>
        <w:r w:rsidR="00AE60E9">
          <w:rPr>
            <w:noProof/>
            <w:webHidden/>
          </w:rPr>
          <w:instrText xml:space="preserve"> PAGEREF _Toc230351240 \h </w:instrText>
        </w:r>
        <w:r w:rsidR="00AE60E9">
          <w:rPr>
            <w:noProof/>
            <w:webHidden/>
          </w:rPr>
        </w:r>
        <w:r w:rsidR="00AE60E9">
          <w:rPr>
            <w:noProof/>
            <w:webHidden/>
          </w:rPr>
          <w:fldChar w:fldCharType="separate"/>
        </w:r>
        <w:r w:rsidR="00AE60E9">
          <w:rPr>
            <w:noProof/>
            <w:webHidden/>
          </w:rPr>
          <w:t>3</w:t>
        </w:r>
        <w:r w:rsidR="00AE60E9">
          <w:rPr>
            <w:noProof/>
            <w:webHidden/>
          </w:rPr>
          <w:fldChar w:fldCharType="end"/>
        </w:r>
      </w:hyperlink>
    </w:p>
    <w:p w14:paraId="2917044A" w14:textId="21896DD9" w:rsidR="00AE60E9" w:rsidRDefault="00AE60E9">
      <w:pPr>
        <w:pStyle w:val="TOC1"/>
        <w:tabs>
          <w:tab w:val="left" w:pos="480"/>
          <w:tab w:val="right" w:leader="dot" w:pos="9063"/>
        </w:tabs>
        <w:rPr>
          <w:rFonts w:asciiTheme="minorHAnsi" w:eastAsiaTheme="minorEastAsia" w:hAnsiTheme="minorHAnsi" w:cstheme="minorBidi"/>
          <w:noProof/>
          <w:kern w:val="2"/>
          <w:sz w:val="24"/>
          <w:szCs w:val="24"/>
          <w:lang w:val="fr-FR" w:eastAsia="fr-FR"/>
          <w14:ligatures w14:val="standardContextual"/>
        </w:rPr>
      </w:pPr>
      <w:hyperlink w:anchor="_Toc230351241" w:history="1">
        <w:r w:rsidRPr="00CE3EBF">
          <w:rPr>
            <w:rStyle w:val="Hyperlink"/>
            <w:bCs/>
            <w:noProof/>
          </w:rPr>
          <w:t>2.</w:t>
        </w:r>
        <w:r>
          <w:rPr>
            <w:rFonts w:asciiTheme="minorHAnsi" w:eastAsiaTheme="minorEastAsia" w:hAnsiTheme="minorHAnsi" w:cstheme="minorBidi"/>
            <w:noProof/>
            <w:kern w:val="2"/>
            <w:sz w:val="24"/>
            <w:szCs w:val="24"/>
            <w:lang w:val="fr-FR" w:eastAsia="fr-FR"/>
            <w14:ligatures w14:val="standardContextual"/>
          </w:rPr>
          <w:tab/>
        </w:r>
        <w:r w:rsidRPr="00CE3EBF">
          <w:rPr>
            <w:rStyle w:val="Hyperlink"/>
            <w:noProof/>
          </w:rPr>
          <w:t>WERKGELEGENHEID, SOCIALE ZAKEN EN BURGERSCHAP</w:t>
        </w:r>
        <w:r>
          <w:rPr>
            <w:noProof/>
            <w:webHidden/>
          </w:rPr>
          <w:tab/>
        </w:r>
        <w:r>
          <w:rPr>
            <w:noProof/>
            <w:webHidden/>
          </w:rPr>
          <w:fldChar w:fldCharType="begin"/>
        </w:r>
        <w:r>
          <w:rPr>
            <w:noProof/>
            <w:webHidden/>
          </w:rPr>
          <w:instrText xml:space="preserve"> PAGEREF _Toc230351241 \h </w:instrText>
        </w:r>
        <w:r>
          <w:rPr>
            <w:noProof/>
            <w:webHidden/>
          </w:rPr>
        </w:r>
        <w:r>
          <w:rPr>
            <w:noProof/>
            <w:webHidden/>
          </w:rPr>
          <w:fldChar w:fldCharType="separate"/>
        </w:r>
        <w:r>
          <w:rPr>
            <w:noProof/>
            <w:webHidden/>
          </w:rPr>
          <w:t>7</w:t>
        </w:r>
        <w:r>
          <w:rPr>
            <w:noProof/>
            <w:webHidden/>
          </w:rPr>
          <w:fldChar w:fldCharType="end"/>
        </w:r>
      </w:hyperlink>
    </w:p>
    <w:p w14:paraId="730C5150" w14:textId="52E9FF2F" w:rsidR="00AE60E9" w:rsidRDefault="00AE60E9">
      <w:pPr>
        <w:pStyle w:val="TOC1"/>
        <w:tabs>
          <w:tab w:val="left" w:pos="480"/>
          <w:tab w:val="right" w:leader="dot" w:pos="9063"/>
        </w:tabs>
        <w:rPr>
          <w:rFonts w:asciiTheme="minorHAnsi" w:eastAsiaTheme="minorEastAsia" w:hAnsiTheme="minorHAnsi" w:cstheme="minorBidi"/>
          <w:noProof/>
          <w:kern w:val="2"/>
          <w:sz w:val="24"/>
          <w:szCs w:val="24"/>
          <w:lang w:val="fr-FR" w:eastAsia="fr-FR"/>
          <w14:ligatures w14:val="standardContextual"/>
        </w:rPr>
      </w:pPr>
      <w:hyperlink w:anchor="_Toc230351242" w:history="1">
        <w:r w:rsidRPr="00CE3EBF">
          <w:rPr>
            <w:rStyle w:val="Hyperlink"/>
            <w:bCs/>
            <w:noProof/>
          </w:rPr>
          <w:t>3.</w:t>
        </w:r>
        <w:r>
          <w:rPr>
            <w:rFonts w:asciiTheme="minorHAnsi" w:eastAsiaTheme="minorEastAsia" w:hAnsiTheme="minorHAnsi" w:cstheme="minorBidi"/>
            <w:noProof/>
            <w:kern w:val="2"/>
            <w:sz w:val="24"/>
            <w:szCs w:val="24"/>
            <w:lang w:val="fr-FR" w:eastAsia="fr-FR"/>
            <w14:ligatures w14:val="standardContextual"/>
          </w:rPr>
          <w:tab/>
        </w:r>
        <w:r w:rsidRPr="00CE3EBF">
          <w:rPr>
            <w:rStyle w:val="Hyperlink"/>
            <w:noProof/>
          </w:rPr>
          <w:t>INTERNE MARKT, PRODUCTIE EN CONSUMPTIE</w:t>
        </w:r>
        <w:r>
          <w:rPr>
            <w:noProof/>
            <w:webHidden/>
          </w:rPr>
          <w:tab/>
        </w:r>
        <w:r>
          <w:rPr>
            <w:noProof/>
            <w:webHidden/>
          </w:rPr>
          <w:fldChar w:fldCharType="begin"/>
        </w:r>
        <w:r>
          <w:rPr>
            <w:noProof/>
            <w:webHidden/>
          </w:rPr>
          <w:instrText xml:space="preserve"> PAGEREF _Toc230351242 \h </w:instrText>
        </w:r>
        <w:r>
          <w:rPr>
            <w:noProof/>
            <w:webHidden/>
          </w:rPr>
        </w:r>
        <w:r>
          <w:rPr>
            <w:noProof/>
            <w:webHidden/>
          </w:rPr>
          <w:fldChar w:fldCharType="separate"/>
        </w:r>
        <w:r>
          <w:rPr>
            <w:noProof/>
            <w:webHidden/>
          </w:rPr>
          <w:t>13</w:t>
        </w:r>
        <w:r>
          <w:rPr>
            <w:noProof/>
            <w:webHidden/>
          </w:rPr>
          <w:fldChar w:fldCharType="end"/>
        </w:r>
      </w:hyperlink>
    </w:p>
    <w:p w14:paraId="3A986060" w14:textId="011E4F1B" w:rsidR="00AE60E9" w:rsidRDefault="00AE60E9">
      <w:pPr>
        <w:pStyle w:val="TOC1"/>
        <w:tabs>
          <w:tab w:val="left" w:pos="480"/>
          <w:tab w:val="right" w:leader="dot" w:pos="9063"/>
        </w:tabs>
        <w:rPr>
          <w:rFonts w:asciiTheme="minorHAnsi" w:eastAsiaTheme="minorEastAsia" w:hAnsiTheme="minorHAnsi" w:cstheme="minorBidi"/>
          <w:noProof/>
          <w:kern w:val="2"/>
          <w:sz w:val="24"/>
          <w:szCs w:val="24"/>
          <w:lang w:val="fr-FR" w:eastAsia="fr-FR"/>
          <w14:ligatures w14:val="standardContextual"/>
        </w:rPr>
      </w:pPr>
      <w:hyperlink w:anchor="_Toc230351243" w:history="1">
        <w:r w:rsidRPr="00CE3EBF">
          <w:rPr>
            <w:rStyle w:val="Hyperlink"/>
            <w:bCs/>
            <w:noProof/>
          </w:rPr>
          <w:t>4.</w:t>
        </w:r>
        <w:r>
          <w:rPr>
            <w:rFonts w:asciiTheme="minorHAnsi" w:eastAsiaTheme="minorEastAsia" w:hAnsiTheme="minorHAnsi" w:cstheme="minorBidi"/>
            <w:noProof/>
            <w:kern w:val="2"/>
            <w:sz w:val="24"/>
            <w:szCs w:val="24"/>
            <w:lang w:val="fr-FR" w:eastAsia="fr-FR"/>
            <w14:ligatures w14:val="standardContextual"/>
          </w:rPr>
          <w:tab/>
        </w:r>
        <w:r w:rsidRPr="00CE3EBF">
          <w:rPr>
            <w:rStyle w:val="Hyperlink"/>
            <w:noProof/>
          </w:rPr>
          <w:t>LANDBOUW, PLATTELANDSONTWIKKELING EN MILIEU</w:t>
        </w:r>
        <w:r>
          <w:rPr>
            <w:noProof/>
            <w:webHidden/>
          </w:rPr>
          <w:tab/>
        </w:r>
        <w:r>
          <w:rPr>
            <w:noProof/>
            <w:webHidden/>
          </w:rPr>
          <w:fldChar w:fldCharType="begin"/>
        </w:r>
        <w:r>
          <w:rPr>
            <w:noProof/>
            <w:webHidden/>
          </w:rPr>
          <w:instrText xml:space="preserve"> PAGEREF _Toc230351243 \h </w:instrText>
        </w:r>
        <w:r>
          <w:rPr>
            <w:noProof/>
            <w:webHidden/>
          </w:rPr>
        </w:r>
        <w:r>
          <w:rPr>
            <w:noProof/>
            <w:webHidden/>
          </w:rPr>
          <w:fldChar w:fldCharType="separate"/>
        </w:r>
        <w:r>
          <w:rPr>
            <w:noProof/>
            <w:webHidden/>
          </w:rPr>
          <w:t>25</w:t>
        </w:r>
        <w:r>
          <w:rPr>
            <w:noProof/>
            <w:webHidden/>
          </w:rPr>
          <w:fldChar w:fldCharType="end"/>
        </w:r>
      </w:hyperlink>
    </w:p>
    <w:p w14:paraId="02B61586" w14:textId="1FA320D0" w:rsidR="00AE60E9" w:rsidRDefault="00AE60E9">
      <w:pPr>
        <w:pStyle w:val="TOC1"/>
        <w:tabs>
          <w:tab w:val="left" w:pos="480"/>
          <w:tab w:val="right" w:leader="dot" w:pos="9063"/>
        </w:tabs>
        <w:rPr>
          <w:rFonts w:asciiTheme="minorHAnsi" w:eastAsiaTheme="minorEastAsia" w:hAnsiTheme="minorHAnsi" w:cstheme="minorBidi"/>
          <w:noProof/>
          <w:kern w:val="2"/>
          <w:sz w:val="24"/>
          <w:szCs w:val="24"/>
          <w:lang w:val="fr-FR" w:eastAsia="fr-FR"/>
          <w14:ligatures w14:val="standardContextual"/>
        </w:rPr>
      </w:pPr>
      <w:hyperlink w:anchor="_Toc230351244" w:history="1">
        <w:r w:rsidRPr="00CE3EBF">
          <w:rPr>
            <w:rStyle w:val="Hyperlink"/>
            <w:bCs/>
            <w:noProof/>
          </w:rPr>
          <w:t>5.</w:t>
        </w:r>
        <w:r>
          <w:rPr>
            <w:rFonts w:asciiTheme="minorHAnsi" w:eastAsiaTheme="minorEastAsia" w:hAnsiTheme="minorHAnsi" w:cstheme="minorBidi"/>
            <w:noProof/>
            <w:kern w:val="2"/>
            <w:sz w:val="24"/>
            <w:szCs w:val="24"/>
            <w:lang w:val="fr-FR" w:eastAsia="fr-FR"/>
            <w14:ligatures w14:val="standardContextual"/>
          </w:rPr>
          <w:tab/>
        </w:r>
        <w:r w:rsidRPr="00CE3EBF">
          <w:rPr>
            <w:rStyle w:val="Hyperlink"/>
            <w:noProof/>
          </w:rPr>
          <w:t>EXTERNE BETREKKINGEN</w:t>
        </w:r>
        <w:r>
          <w:rPr>
            <w:noProof/>
            <w:webHidden/>
          </w:rPr>
          <w:tab/>
        </w:r>
        <w:r>
          <w:rPr>
            <w:noProof/>
            <w:webHidden/>
          </w:rPr>
          <w:fldChar w:fldCharType="begin"/>
        </w:r>
        <w:r>
          <w:rPr>
            <w:noProof/>
            <w:webHidden/>
          </w:rPr>
          <w:instrText xml:space="preserve"> PAGEREF _Toc230351244 \h </w:instrText>
        </w:r>
        <w:r>
          <w:rPr>
            <w:noProof/>
            <w:webHidden/>
          </w:rPr>
        </w:r>
        <w:r>
          <w:rPr>
            <w:noProof/>
            <w:webHidden/>
          </w:rPr>
          <w:fldChar w:fldCharType="separate"/>
        </w:r>
        <w:r>
          <w:rPr>
            <w:noProof/>
            <w:webHidden/>
          </w:rPr>
          <w:t>32</w:t>
        </w:r>
        <w:r>
          <w:rPr>
            <w:noProof/>
            <w:webHidden/>
          </w:rPr>
          <w:fldChar w:fldCharType="end"/>
        </w:r>
      </w:hyperlink>
    </w:p>
    <w:p w14:paraId="1E647692" w14:textId="27993604" w:rsidR="00AE60E9" w:rsidRDefault="00AE60E9">
      <w:pPr>
        <w:pStyle w:val="TOC1"/>
        <w:tabs>
          <w:tab w:val="left" w:pos="480"/>
          <w:tab w:val="right" w:leader="dot" w:pos="9063"/>
        </w:tabs>
        <w:rPr>
          <w:rFonts w:asciiTheme="minorHAnsi" w:eastAsiaTheme="minorEastAsia" w:hAnsiTheme="minorHAnsi" w:cstheme="minorBidi"/>
          <w:noProof/>
          <w:kern w:val="2"/>
          <w:sz w:val="24"/>
          <w:szCs w:val="24"/>
          <w:lang w:val="fr-FR" w:eastAsia="fr-FR"/>
          <w14:ligatures w14:val="standardContextual"/>
        </w:rPr>
      </w:pPr>
      <w:hyperlink w:anchor="_Toc230351245" w:history="1">
        <w:r w:rsidRPr="00CE3EBF">
          <w:rPr>
            <w:rStyle w:val="Hyperlink"/>
            <w:bCs/>
            <w:noProof/>
          </w:rPr>
          <w:t>6.</w:t>
        </w:r>
        <w:r>
          <w:rPr>
            <w:rFonts w:asciiTheme="minorHAnsi" w:eastAsiaTheme="minorEastAsia" w:hAnsiTheme="minorHAnsi" w:cstheme="minorBidi"/>
            <w:noProof/>
            <w:kern w:val="2"/>
            <w:sz w:val="24"/>
            <w:szCs w:val="24"/>
            <w:lang w:val="fr-FR" w:eastAsia="fr-FR"/>
            <w14:ligatures w14:val="standardContextual"/>
          </w:rPr>
          <w:tab/>
        </w:r>
        <w:r w:rsidRPr="00CE3EBF">
          <w:rPr>
            <w:rStyle w:val="Hyperlink"/>
            <w:noProof/>
          </w:rPr>
          <w:t>ADVIESCOMMISSIE INDUSTRIËLE RECONVERSIE</w:t>
        </w:r>
        <w:r>
          <w:rPr>
            <w:noProof/>
            <w:webHidden/>
          </w:rPr>
          <w:tab/>
        </w:r>
        <w:r>
          <w:rPr>
            <w:noProof/>
            <w:webHidden/>
          </w:rPr>
          <w:fldChar w:fldCharType="begin"/>
        </w:r>
        <w:r>
          <w:rPr>
            <w:noProof/>
            <w:webHidden/>
          </w:rPr>
          <w:instrText xml:space="preserve"> PAGEREF _Toc230351245 \h </w:instrText>
        </w:r>
        <w:r>
          <w:rPr>
            <w:noProof/>
            <w:webHidden/>
          </w:rPr>
        </w:r>
        <w:r>
          <w:rPr>
            <w:noProof/>
            <w:webHidden/>
          </w:rPr>
          <w:fldChar w:fldCharType="separate"/>
        </w:r>
        <w:r>
          <w:rPr>
            <w:noProof/>
            <w:webHidden/>
          </w:rPr>
          <w:t>36</w:t>
        </w:r>
        <w:r>
          <w:rPr>
            <w:noProof/>
            <w:webHidden/>
          </w:rPr>
          <w:fldChar w:fldCharType="end"/>
        </w:r>
      </w:hyperlink>
    </w:p>
    <w:p w14:paraId="4982DD6B" w14:textId="0F257E0F" w:rsidR="004D7AC0" w:rsidRDefault="00A067F3" w:rsidP="001766B2">
      <w:r>
        <w:fldChar w:fldCharType="end"/>
      </w:r>
    </w:p>
    <w:p w14:paraId="4982DD6C" w14:textId="77777777" w:rsidR="004D7AC0" w:rsidRDefault="004D7AC0" w:rsidP="001766B2">
      <w:pPr>
        <w:jc w:val="left"/>
      </w:pPr>
      <w:r>
        <w:br w:type="page"/>
      </w:r>
    </w:p>
    <w:p w14:paraId="4982DD6D" w14:textId="48287E99" w:rsidR="004D7AC0" w:rsidRPr="00A067F3" w:rsidRDefault="004D7AC0" w:rsidP="004C6742">
      <w:pPr>
        <w:pStyle w:val="Heading2"/>
      </w:pPr>
      <w:bookmarkStart w:id="0" w:name="_Toc230351240"/>
      <w:r>
        <w:lastRenderedPageBreak/>
        <w:t>ECONOMISCHE EN MONETAIRE UNIE, ECONOMISCHE EN SOCIALE SAMENHANG</w:t>
      </w:r>
      <w:bookmarkEnd w:id="0"/>
    </w:p>
    <w:p w14:paraId="4982DD6E" w14:textId="77777777" w:rsidR="004D7AC0" w:rsidRDefault="004D7AC0" w:rsidP="001766B2"/>
    <w:p w14:paraId="258C871E" w14:textId="48C321B5" w:rsidR="00F37962" w:rsidRPr="004C6742" w:rsidRDefault="00E23721" w:rsidP="00F37962">
      <w:pPr>
        <w:widowControl w:val="0"/>
        <w:numPr>
          <w:ilvl w:val="0"/>
          <w:numId w:val="4"/>
        </w:numPr>
        <w:overflowPunct w:val="0"/>
        <w:autoSpaceDE w:val="0"/>
        <w:autoSpaceDN w:val="0"/>
        <w:adjustRightInd w:val="0"/>
        <w:spacing w:after="120"/>
        <w:ind w:hanging="567"/>
        <w:textAlignment w:val="baseline"/>
        <w:rPr>
          <w:b/>
          <w:i/>
          <w:iCs/>
          <w:sz w:val="28"/>
          <w:szCs w:val="28"/>
        </w:rPr>
      </w:pPr>
      <w:hyperlink r:id="rId21" w:history="1">
        <w:r>
          <w:rPr>
            <w:b/>
            <w:i/>
            <w:color w:val="0000FF"/>
            <w:sz w:val="28"/>
            <w:u w:val="single"/>
          </w:rPr>
          <w:t>EU-beleidsagenda voor leefbare steden</w:t>
        </w:r>
      </w:hyperlink>
    </w:p>
    <w:p w14:paraId="050FF4D0" w14:textId="77777777" w:rsidR="00435FF5" w:rsidRPr="00C56EF3" w:rsidRDefault="00435FF5" w:rsidP="00C56EF3">
      <w:pPr>
        <w:widowControl w:val="0"/>
        <w:overflowPunct w:val="0"/>
        <w:autoSpaceDE w:val="0"/>
        <w:autoSpaceDN w:val="0"/>
        <w:adjustRightInd w:val="0"/>
        <w:ind w:left="285" w:hanging="285"/>
        <w:textAlignment w:val="baseline"/>
        <w:rPr>
          <w:bCs/>
          <w:sz w:val="24"/>
          <w:szCs w:val="24"/>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173"/>
      </w:tblGrid>
      <w:tr w:rsidR="00F37962" w:rsidRPr="00E129EB" w14:paraId="60D343A5" w14:textId="77777777" w:rsidTr="002E7EFB">
        <w:tc>
          <w:tcPr>
            <w:tcW w:w="1701" w:type="dxa"/>
          </w:tcPr>
          <w:p w14:paraId="1B284A7D"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Pr>
                <w:b/>
              </w:rPr>
              <w:t>Rapporteur</w:t>
            </w:r>
          </w:p>
          <w:p w14:paraId="73BE66E9" w14:textId="77777777" w:rsidR="00F37962" w:rsidRPr="00E129EB" w:rsidRDefault="00F37962" w:rsidP="002E7EFB">
            <w:pPr>
              <w:tabs>
                <w:tab w:val="center" w:pos="284"/>
              </w:tabs>
              <w:overflowPunct w:val="0"/>
              <w:autoSpaceDE w:val="0"/>
              <w:autoSpaceDN w:val="0"/>
              <w:adjustRightInd w:val="0"/>
              <w:ind w:left="266" w:hanging="266"/>
              <w:textAlignment w:val="baseline"/>
              <w:rPr>
                <w:b/>
                <w:bCs/>
              </w:rPr>
            </w:pPr>
            <w:r>
              <w:rPr>
                <w:b/>
              </w:rPr>
              <w:t>Corapporteur</w:t>
            </w:r>
          </w:p>
        </w:tc>
        <w:tc>
          <w:tcPr>
            <w:tcW w:w="7621" w:type="dxa"/>
          </w:tcPr>
          <w:p w14:paraId="6A7F001D" w14:textId="5F7AE198" w:rsidR="00F37962" w:rsidRPr="00E129EB" w:rsidRDefault="00F37962" w:rsidP="002E7EFB">
            <w:pPr>
              <w:tabs>
                <w:tab w:val="center" w:pos="284"/>
              </w:tabs>
              <w:overflowPunct w:val="0"/>
              <w:autoSpaceDE w:val="0"/>
              <w:autoSpaceDN w:val="0"/>
              <w:adjustRightInd w:val="0"/>
              <w:ind w:left="266" w:hanging="266"/>
              <w:textAlignment w:val="baseline"/>
            </w:pPr>
            <w:r>
              <w:t>Florian MARIN (groep Werknemers – RO)</w:t>
            </w:r>
          </w:p>
          <w:p w14:paraId="5228A3F8" w14:textId="082D71FE" w:rsidR="00F37962" w:rsidRDefault="00F37962" w:rsidP="002E7EFB">
            <w:pPr>
              <w:tabs>
                <w:tab w:val="center" w:pos="284"/>
              </w:tabs>
              <w:overflowPunct w:val="0"/>
              <w:autoSpaceDE w:val="0"/>
              <w:autoSpaceDN w:val="0"/>
              <w:adjustRightInd w:val="0"/>
              <w:ind w:left="266" w:hanging="266"/>
              <w:textAlignment w:val="baseline"/>
            </w:pPr>
            <w:r>
              <w:t>Roman HAKEN (groep Maatschappelijke Organisaties – CZ)</w:t>
            </w:r>
          </w:p>
          <w:p w14:paraId="253441F6" w14:textId="77777777" w:rsidR="00D923C9" w:rsidRPr="00E129EB" w:rsidRDefault="00D923C9" w:rsidP="002E7EFB">
            <w:pPr>
              <w:tabs>
                <w:tab w:val="center" w:pos="284"/>
              </w:tabs>
              <w:overflowPunct w:val="0"/>
              <w:autoSpaceDE w:val="0"/>
              <w:autoSpaceDN w:val="0"/>
              <w:adjustRightInd w:val="0"/>
              <w:ind w:left="266" w:hanging="266"/>
              <w:textAlignment w:val="baseline"/>
              <w:rPr>
                <w:bCs/>
              </w:rPr>
            </w:pPr>
          </w:p>
        </w:tc>
      </w:tr>
      <w:tr w:rsidR="00F37962" w:rsidRPr="00E129EB" w14:paraId="5EE50BD3" w14:textId="77777777" w:rsidTr="002E7EFB">
        <w:tc>
          <w:tcPr>
            <w:tcW w:w="1701" w:type="dxa"/>
          </w:tcPr>
          <w:p w14:paraId="23D70382"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Pr>
                <w:b/>
              </w:rPr>
              <w:t>Referentiedocumenten</w:t>
            </w:r>
          </w:p>
        </w:tc>
        <w:tc>
          <w:tcPr>
            <w:tcW w:w="7621" w:type="dxa"/>
          </w:tcPr>
          <w:p w14:paraId="5B4DE008" w14:textId="77777777" w:rsidR="00D923C9" w:rsidRDefault="00F37962" w:rsidP="002E7EFB">
            <w:pPr>
              <w:tabs>
                <w:tab w:val="center" w:pos="284"/>
              </w:tabs>
              <w:overflowPunct w:val="0"/>
              <w:autoSpaceDE w:val="0"/>
              <w:autoSpaceDN w:val="0"/>
              <w:adjustRightInd w:val="0"/>
              <w:ind w:left="266" w:hanging="266"/>
              <w:textAlignment w:val="baseline"/>
            </w:pPr>
            <w:r>
              <w:t>COM(2025) 552 final</w:t>
            </w:r>
          </w:p>
          <w:p w14:paraId="0AAE61A7" w14:textId="18341FD5" w:rsidR="00F37962" w:rsidRPr="00E129EB" w:rsidRDefault="00F37962" w:rsidP="002E7EFB">
            <w:pPr>
              <w:tabs>
                <w:tab w:val="center" w:pos="284"/>
              </w:tabs>
              <w:overflowPunct w:val="0"/>
              <w:autoSpaceDE w:val="0"/>
              <w:autoSpaceDN w:val="0"/>
              <w:adjustRightInd w:val="0"/>
              <w:ind w:left="266" w:hanging="266"/>
              <w:textAlignment w:val="baseline"/>
            </w:pPr>
            <w:r>
              <w:t>EESC-2025-04288-00-00-AC</w:t>
            </w:r>
          </w:p>
        </w:tc>
      </w:tr>
    </w:tbl>
    <w:p w14:paraId="1403746C"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rPr>
      </w:pPr>
      <w:r>
        <w:rPr>
          <w:b/>
        </w:rPr>
        <w:t>Hoofdpunten</w:t>
      </w:r>
    </w:p>
    <w:p w14:paraId="639613BF" w14:textId="77777777" w:rsidR="00F37962" w:rsidRPr="00C56EF3" w:rsidRDefault="00F37962" w:rsidP="00F37962">
      <w:pPr>
        <w:keepNext/>
        <w:keepLines/>
        <w:tabs>
          <w:tab w:val="center" w:pos="284"/>
        </w:tabs>
        <w:overflowPunct w:val="0"/>
        <w:autoSpaceDE w:val="0"/>
        <w:autoSpaceDN w:val="0"/>
        <w:adjustRightInd w:val="0"/>
        <w:spacing w:before="120"/>
        <w:ind w:left="266" w:hanging="266"/>
        <w:textAlignment w:val="baseline"/>
        <w:rPr>
          <w:bCs/>
          <w:lang w:val="en-GB"/>
        </w:rPr>
      </w:pPr>
    </w:p>
    <w:p w14:paraId="0F806F4A" w14:textId="77777777" w:rsidR="00F37962" w:rsidRDefault="00F37962" w:rsidP="00F37962">
      <w:pPr>
        <w:overflowPunct w:val="0"/>
        <w:autoSpaceDE w:val="0"/>
        <w:autoSpaceDN w:val="0"/>
        <w:adjustRightInd w:val="0"/>
        <w:textAlignment w:val="baseline"/>
        <w:rPr>
          <w:bCs/>
          <w:iCs/>
        </w:rPr>
      </w:pPr>
      <w:r>
        <w:t>Het EESC:</w:t>
      </w:r>
    </w:p>
    <w:p w14:paraId="49864E90" w14:textId="77777777" w:rsidR="00ED1C2B" w:rsidRPr="00E129EB" w:rsidRDefault="00ED1C2B" w:rsidP="00F37962">
      <w:pPr>
        <w:overflowPunct w:val="0"/>
        <w:autoSpaceDE w:val="0"/>
        <w:autoSpaceDN w:val="0"/>
        <w:adjustRightInd w:val="0"/>
        <w:textAlignment w:val="baseline"/>
        <w:rPr>
          <w:bCs/>
          <w:iCs/>
          <w:lang w:val="en-GB"/>
        </w:rPr>
      </w:pPr>
    </w:p>
    <w:p w14:paraId="4D3A28BF"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beschouwt steden als de ruggengraat van de economische, sociale en territoriale ontwikkeling van de Europese Unie. Zij zijn essentiële ruimten voor sociale, ecologische en economische transformatie, waar innovatie erop gericht moet zijn de kwaliteit van leven te verbeteren;</w:t>
      </w:r>
    </w:p>
    <w:p w14:paraId="4B3A1070"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 xml:space="preserve">is ingenomen met de complexe aanpak van de Commissie en met haar voornemen om de EU agenda voor steden en haar overkoepelende visie met betrekking tot welvarende, leefbare en inclusieve steden te versterken, maar is wel van mening dat de voorgestelde agenda nog niet aansluit bij de ambities die zij uitspreekt; </w:t>
      </w:r>
    </w:p>
    <w:p w14:paraId="0D95657E"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 xml:space="preserve">beveelt aan dat het samen met het Comité van de Regio’s formeel bij de voorgestelde EU agenda voor steden betrokken wordt, zodat recht wordt gedaan aan de erkende formele rol van het EESC in de overeenkomst van Ljubljana en het Pact van Amsterdam, alsook aan zijn actieve betrokkenheid bij alle aspecten van de stedenagenda; </w:t>
      </w:r>
    </w:p>
    <w:p w14:paraId="37634D38"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stelt voor dat de EU-agenda voor steden stevig verankerd wordt in bestuur op verschillende niveaus, het partnerschapsbeginsel en een plaatsgebonden aanpak. Deze agenda moet zorgen voor een evenwichtige territoriale ontwikkeling, de sociale en maatschappelijke dialoog versterken;</w:t>
      </w:r>
    </w:p>
    <w:p w14:paraId="77962AE4"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verzoekt de Commissie derhalve om:</w:t>
      </w:r>
    </w:p>
    <w:p w14:paraId="56F86CF4" w14:textId="22B5EA19" w:rsidR="00F37962" w:rsidRPr="00E129EB" w:rsidRDefault="00F37962" w:rsidP="00F37962">
      <w:pPr>
        <w:numPr>
          <w:ilvl w:val="0"/>
          <w:numId w:val="6"/>
        </w:numPr>
        <w:overflowPunct w:val="0"/>
        <w:autoSpaceDE w:val="0"/>
        <w:autoSpaceDN w:val="0"/>
        <w:adjustRightInd w:val="0"/>
        <w:contextualSpacing/>
        <w:textAlignment w:val="baseline"/>
        <w:rPr>
          <w:szCs w:val="20"/>
        </w:rPr>
      </w:pPr>
      <w:r>
        <w:t>zowel het EESC als steden formeel te erkennen als gelijkwaardige partners in de stedelijke beleidsvorming van de EU, en niet louter als uitvoerders, door permanente en gestructureerde regelingen voor bestuur op verschillende niveaus in te voeren;</w:t>
      </w:r>
    </w:p>
    <w:p w14:paraId="1378BDDC" w14:textId="37E29201" w:rsidR="00F37962" w:rsidRPr="00E129EB" w:rsidRDefault="00F37962" w:rsidP="00F37962">
      <w:pPr>
        <w:numPr>
          <w:ilvl w:val="0"/>
          <w:numId w:val="6"/>
        </w:numPr>
        <w:overflowPunct w:val="0"/>
        <w:autoSpaceDE w:val="0"/>
        <w:autoSpaceDN w:val="0"/>
        <w:adjustRightInd w:val="0"/>
        <w:contextualSpacing/>
        <w:textAlignment w:val="baseline"/>
        <w:rPr>
          <w:szCs w:val="20"/>
        </w:rPr>
      </w:pPr>
      <w:r>
        <w:t>het partnerschapsbeginsel te versterken door te zorgen voor een systematische en betekenisvolle betrokkenheid van het maatschappelijk middenveld en de sociale partners gedurende de hele beleidscyclus van de EU-agenda voor steden;</w:t>
      </w:r>
    </w:p>
    <w:p w14:paraId="1A186602" w14:textId="0A0810CD" w:rsidR="00F37962" w:rsidRPr="00E129EB" w:rsidRDefault="00F37962" w:rsidP="00F37962">
      <w:pPr>
        <w:numPr>
          <w:ilvl w:val="0"/>
          <w:numId w:val="6"/>
        </w:numPr>
        <w:overflowPunct w:val="0"/>
        <w:autoSpaceDE w:val="0"/>
        <w:autoSpaceDN w:val="0"/>
        <w:adjustRightInd w:val="0"/>
        <w:contextualSpacing/>
        <w:textAlignment w:val="baseline"/>
        <w:rPr>
          <w:szCs w:val="20"/>
        </w:rPr>
      </w:pPr>
      <w:r>
        <w:t>de EU-agenda voor steden te voorzien van een concreet en operationeel actiekader, met duidelijk omschreven verantwoordelijkheden, tijdschema’s en meetbare indicatoren, en door systematische territoriale effectbeoordelingen in te voeren om de gevolgen van EU-wetgeving voor steden te evalueren;</w:t>
      </w:r>
    </w:p>
    <w:p w14:paraId="350E2056" w14:textId="7279332E" w:rsidR="00F37962" w:rsidRPr="00E129EB" w:rsidRDefault="00F37962" w:rsidP="00F37962">
      <w:pPr>
        <w:numPr>
          <w:ilvl w:val="0"/>
          <w:numId w:val="6"/>
        </w:numPr>
        <w:overflowPunct w:val="0"/>
        <w:autoSpaceDE w:val="0"/>
        <w:autoSpaceDN w:val="0"/>
        <w:adjustRightInd w:val="0"/>
        <w:contextualSpacing/>
        <w:textAlignment w:val="baseline"/>
        <w:rPr>
          <w:szCs w:val="20"/>
        </w:rPr>
      </w:pPr>
      <w:r>
        <w:t>te zorgen voor adequate, voorspelbare en toegankelijke financiering voor stedelijke ontwikkeling, met inbegrip van directe toegang voor steden tot EU-financiering;</w:t>
      </w:r>
    </w:p>
    <w:p w14:paraId="79FB5343" w14:textId="2EAD5A15" w:rsidR="00F37962" w:rsidRPr="00E129EB" w:rsidRDefault="00F37962" w:rsidP="00F37962">
      <w:pPr>
        <w:numPr>
          <w:ilvl w:val="0"/>
          <w:numId w:val="6"/>
        </w:numPr>
        <w:overflowPunct w:val="0"/>
        <w:autoSpaceDE w:val="0"/>
        <w:autoSpaceDN w:val="0"/>
        <w:adjustRightInd w:val="0"/>
        <w:contextualSpacing/>
        <w:textAlignment w:val="baseline"/>
        <w:rPr>
          <w:szCs w:val="20"/>
        </w:rPr>
      </w:pPr>
      <w:r>
        <w:t>een geïntegreerde, projectgeoriënteerde en plaatsgebonden aanpak van territoriale cohesie te bevorderen, waarbij de complementariteit tussen steden en plattelandsgebieden expliciet wordt versterkt;</w:t>
      </w:r>
    </w:p>
    <w:p w14:paraId="39B6313E" w14:textId="4B65A089" w:rsidR="00F37962" w:rsidRPr="00E129EB" w:rsidRDefault="00F37962" w:rsidP="00F37962">
      <w:pPr>
        <w:numPr>
          <w:ilvl w:val="0"/>
          <w:numId w:val="6"/>
        </w:numPr>
        <w:overflowPunct w:val="0"/>
        <w:autoSpaceDE w:val="0"/>
        <w:autoSpaceDN w:val="0"/>
        <w:adjustRightInd w:val="0"/>
        <w:contextualSpacing/>
        <w:textAlignment w:val="baseline"/>
        <w:rPr>
          <w:szCs w:val="20"/>
        </w:rPr>
      </w:pPr>
      <w:r>
        <w:lastRenderedPageBreak/>
        <w:t>binnen het platform voor EU-steden een stedelijke dialoog op EU-niveau te ontwikkelen om de belangrijke rol van de sociale dialoog en de dialoog met het maatschappelijk middenveld bij werkgelegenheidsgerelateerde kwesties te belichten;</w:t>
      </w:r>
    </w:p>
    <w:p w14:paraId="1D8BF3C3" w14:textId="14CC777F" w:rsidR="00F37962" w:rsidRPr="00E129EB" w:rsidRDefault="00F37962" w:rsidP="00F37962">
      <w:pPr>
        <w:numPr>
          <w:ilvl w:val="0"/>
          <w:numId w:val="6"/>
        </w:numPr>
        <w:overflowPunct w:val="0"/>
        <w:autoSpaceDE w:val="0"/>
        <w:autoSpaceDN w:val="0"/>
        <w:adjustRightInd w:val="0"/>
        <w:contextualSpacing/>
        <w:textAlignment w:val="baseline"/>
        <w:rPr>
          <w:szCs w:val="20"/>
        </w:rPr>
      </w:pPr>
      <w:r>
        <w:t>het fonds voor technische bijstand voor steden te verhogen en een specifiek Europees initiatief of fonds in te voeren dat rechtstreeks gericht is op stedelijke projecten;</w:t>
      </w:r>
    </w:p>
    <w:p w14:paraId="1D134A52" w14:textId="77777777" w:rsidR="00F37962" w:rsidRPr="00E129EB" w:rsidRDefault="00F37962" w:rsidP="00F37962">
      <w:pPr>
        <w:numPr>
          <w:ilvl w:val="0"/>
          <w:numId w:val="6"/>
        </w:numPr>
        <w:overflowPunct w:val="0"/>
        <w:autoSpaceDE w:val="0"/>
        <w:autoSpaceDN w:val="0"/>
        <w:adjustRightInd w:val="0"/>
        <w:contextualSpacing/>
        <w:textAlignment w:val="baseline"/>
        <w:rPr>
          <w:szCs w:val="20"/>
        </w:rPr>
      </w:pPr>
      <w:r>
        <w:t xml:space="preserve">duidelijke raadplegingsnormen voor te stellen om een betekenisvolle, tijdige en representatieve betrokkenheid van de sociale partners en het maatschappelijk middenveld op alle niveaus te waarborgen; </w:t>
      </w:r>
    </w:p>
    <w:p w14:paraId="0816F466" w14:textId="77777777" w:rsidR="00F37962" w:rsidRPr="00E129EB" w:rsidRDefault="00F37962" w:rsidP="00F37962">
      <w:pPr>
        <w:numPr>
          <w:ilvl w:val="0"/>
          <w:numId w:val="6"/>
        </w:numPr>
        <w:overflowPunct w:val="0"/>
        <w:autoSpaceDE w:val="0"/>
        <w:autoSpaceDN w:val="0"/>
        <w:adjustRightInd w:val="0"/>
        <w:contextualSpacing/>
        <w:textAlignment w:val="baseline"/>
        <w:rPr>
          <w:szCs w:val="20"/>
        </w:rPr>
      </w:pPr>
      <w:r>
        <w:t>een uniform kader op EU-niveau voor het verzamelen en rapporteren van stedelijke gegevens in te stellen om ervoor te zorgen dat de indicatoren vergelijkbaar zijn en de monitoring in alle lidstaten doeltreffend verloopt;</w:t>
      </w:r>
    </w:p>
    <w:p w14:paraId="73AAA0E7" w14:textId="031100CF" w:rsidR="00F37962" w:rsidRPr="00E129EB" w:rsidRDefault="00F37962" w:rsidP="00F37962">
      <w:pPr>
        <w:numPr>
          <w:ilvl w:val="0"/>
          <w:numId w:val="6"/>
        </w:numPr>
        <w:overflowPunct w:val="0"/>
        <w:autoSpaceDE w:val="0"/>
        <w:autoSpaceDN w:val="0"/>
        <w:adjustRightInd w:val="0"/>
        <w:contextualSpacing/>
        <w:textAlignment w:val="baseline"/>
        <w:rPr>
          <w:szCs w:val="20"/>
        </w:rPr>
      </w:pPr>
      <w:r>
        <w:t>de huisvestingsproblematiek te erkennen als een structureel sociaal en economisch probleem en niet als een gevolg van de markt, en aan te dringen op een EU-kader dat de toegang tot betaalbare, adequate en zekere huisvesting waarborgt;</w:t>
      </w:r>
    </w:p>
    <w:p w14:paraId="73EBB26E" w14:textId="77777777" w:rsidR="00F37962" w:rsidRPr="00E129EB" w:rsidRDefault="00F37962" w:rsidP="004C6742">
      <w:pPr>
        <w:numPr>
          <w:ilvl w:val="0"/>
          <w:numId w:val="21"/>
        </w:numPr>
        <w:overflowPunct w:val="0"/>
        <w:autoSpaceDE w:val="0"/>
        <w:autoSpaceDN w:val="0"/>
        <w:adjustRightInd w:val="0"/>
        <w:contextualSpacing/>
        <w:textAlignment w:val="baseline"/>
        <w:rPr>
          <w:szCs w:val="20"/>
        </w:rPr>
      </w:pPr>
      <w:r>
        <w:t>is van mening dat het belangrijkste mechanisme dat wordt gebruikt om de financiering in het kader van het Europees cohesiebeleid op een geïntegreerde en plaatsgebonden wijze uit te voeren, vanuit de gemeenschap geleide lokale ontwikkeling (CLLD) is. In steden/stedelijke gebieden moet CLLD-U de huidige proefstatus achter zich laten en erkend worden als een van de meest effectieve instrumenten om lokale gemeenschappen te activeren, werkgelegenheid te creëren, de sociale economie te versterken en belanghebbenden te betrekken;</w:t>
      </w:r>
    </w:p>
    <w:p w14:paraId="3429112F" w14:textId="77777777" w:rsidR="00F37962" w:rsidRPr="00E129EB" w:rsidRDefault="00F37962" w:rsidP="004C6742">
      <w:pPr>
        <w:numPr>
          <w:ilvl w:val="0"/>
          <w:numId w:val="21"/>
        </w:numPr>
        <w:overflowPunct w:val="0"/>
        <w:autoSpaceDE w:val="0"/>
        <w:autoSpaceDN w:val="0"/>
        <w:adjustRightInd w:val="0"/>
        <w:contextualSpacing/>
        <w:textAlignment w:val="baseline"/>
        <w:rPr>
          <w:szCs w:val="20"/>
        </w:rPr>
      </w:pPr>
      <w:r>
        <w:t xml:space="preserve">is van mening dat er een specifieke maatregel moet worden ingevoerd om CLLD-U in de toekomst te consolideren, zodat deze formeel wordt opgenomen in de besluitvormingsprocessen op EU-niveau en in gerichte technische raadplegingen met deskundigen. </w:t>
      </w:r>
    </w:p>
    <w:p w14:paraId="26850F38" w14:textId="77777777" w:rsidR="00F37962" w:rsidRPr="00E129EB" w:rsidRDefault="00F37962" w:rsidP="00F37962">
      <w:pPr>
        <w:overflowPunct w:val="0"/>
        <w:autoSpaceDE w:val="0"/>
        <w:autoSpaceDN w:val="0"/>
        <w:adjustRightInd w:val="0"/>
        <w:ind w:left="360"/>
        <w:contextualSpacing/>
        <w:textAlignment w:val="baseline"/>
        <w:rPr>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7805"/>
      </w:tblGrid>
      <w:tr w:rsidR="00F37962" w:rsidRPr="00E129EB" w14:paraId="51E81DDF" w14:textId="77777777" w:rsidTr="002E7EFB">
        <w:tc>
          <w:tcPr>
            <w:tcW w:w="1418" w:type="dxa"/>
          </w:tcPr>
          <w:p w14:paraId="59A59456" w14:textId="77777777" w:rsidR="00F37962" w:rsidRPr="00E129EB" w:rsidRDefault="00F37962" w:rsidP="002E7EFB">
            <w:pPr>
              <w:overflowPunct w:val="0"/>
              <w:autoSpaceDE w:val="0"/>
              <w:autoSpaceDN w:val="0"/>
              <w:adjustRightInd w:val="0"/>
              <w:textAlignment w:val="baseline"/>
              <w:rPr>
                <w:i/>
              </w:rPr>
            </w:pPr>
            <w:r>
              <w:rPr>
                <w:b/>
                <w:i/>
              </w:rPr>
              <w:t>Contactpersoon</w:t>
            </w:r>
          </w:p>
        </w:tc>
        <w:tc>
          <w:tcPr>
            <w:tcW w:w="7904" w:type="dxa"/>
          </w:tcPr>
          <w:p w14:paraId="40387B89" w14:textId="50D56D72" w:rsidR="00F37962" w:rsidRPr="00E129EB" w:rsidRDefault="00F37962" w:rsidP="002E7EFB">
            <w:pPr>
              <w:overflowPunct w:val="0"/>
              <w:autoSpaceDE w:val="0"/>
              <w:autoSpaceDN w:val="0"/>
              <w:adjustRightInd w:val="0"/>
              <w:textAlignment w:val="baseline"/>
              <w:rPr>
                <w:i/>
              </w:rPr>
            </w:pPr>
            <w:r>
              <w:rPr>
                <w:i/>
              </w:rPr>
              <w:t>Georgios Meleas</w:t>
            </w:r>
          </w:p>
        </w:tc>
      </w:tr>
      <w:tr w:rsidR="00F37962" w:rsidRPr="00E129EB" w14:paraId="0506E28A" w14:textId="77777777" w:rsidTr="002E7EFB">
        <w:tc>
          <w:tcPr>
            <w:tcW w:w="1418" w:type="dxa"/>
          </w:tcPr>
          <w:p w14:paraId="50CECB74" w14:textId="77777777" w:rsidR="00F37962" w:rsidRPr="00E129EB" w:rsidRDefault="00F37962" w:rsidP="002E7EFB">
            <w:pPr>
              <w:overflowPunct w:val="0"/>
              <w:autoSpaceDE w:val="0"/>
              <w:autoSpaceDN w:val="0"/>
              <w:adjustRightInd w:val="0"/>
              <w:textAlignment w:val="baseline"/>
              <w:rPr>
                <w:i/>
              </w:rPr>
            </w:pPr>
            <w:r>
              <w:rPr>
                <w:i/>
              </w:rPr>
              <w:t>Tel.</w:t>
            </w:r>
          </w:p>
        </w:tc>
        <w:tc>
          <w:tcPr>
            <w:tcW w:w="7904" w:type="dxa"/>
          </w:tcPr>
          <w:p w14:paraId="285FFA02" w14:textId="69C35846" w:rsidR="00F37962" w:rsidRPr="00E129EB" w:rsidRDefault="00F37962" w:rsidP="002E7EFB">
            <w:pPr>
              <w:overflowPunct w:val="0"/>
              <w:autoSpaceDE w:val="0"/>
              <w:autoSpaceDN w:val="0"/>
              <w:adjustRightInd w:val="0"/>
              <w:textAlignment w:val="baseline"/>
              <w:rPr>
                <w:i/>
              </w:rPr>
            </w:pPr>
            <w:r>
              <w:rPr>
                <w:i/>
              </w:rPr>
              <w:t>+32 25469795</w:t>
            </w:r>
          </w:p>
        </w:tc>
      </w:tr>
      <w:tr w:rsidR="00F37962" w:rsidRPr="00E129EB" w14:paraId="436042E5" w14:textId="77777777" w:rsidTr="002E7EFB">
        <w:tc>
          <w:tcPr>
            <w:tcW w:w="1418" w:type="dxa"/>
          </w:tcPr>
          <w:p w14:paraId="742D8A5E" w14:textId="77777777" w:rsidR="00F37962" w:rsidRPr="00E129EB" w:rsidRDefault="00F37962" w:rsidP="002E7EFB">
            <w:pPr>
              <w:overflowPunct w:val="0"/>
              <w:autoSpaceDE w:val="0"/>
              <w:autoSpaceDN w:val="0"/>
              <w:adjustRightInd w:val="0"/>
              <w:textAlignment w:val="baseline"/>
              <w:rPr>
                <w:i/>
              </w:rPr>
            </w:pPr>
            <w:r>
              <w:rPr>
                <w:i/>
              </w:rPr>
              <w:t>E-mail</w:t>
            </w:r>
          </w:p>
        </w:tc>
        <w:tc>
          <w:tcPr>
            <w:tcW w:w="7904" w:type="dxa"/>
          </w:tcPr>
          <w:p w14:paraId="122227DF" w14:textId="38420A9B" w:rsidR="00F37962" w:rsidRPr="00E129EB" w:rsidRDefault="00E23721" w:rsidP="002E7EFB">
            <w:pPr>
              <w:overflowPunct w:val="0"/>
              <w:autoSpaceDE w:val="0"/>
              <w:autoSpaceDN w:val="0"/>
              <w:adjustRightInd w:val="0"/>
              <w:textAlignment w:val="baseline"/>
              <w:rPr>
                <w:i/>
                <w:iCs/>
              </w:rPr>
            </w:pPr>
            <w:hyperlink r:id="rId22" w:history="1">
              <w:r>
                <w:rPr>
                  <w:i/>
                  <w:color w:val="0000FF"/>
                  <w:u w:val="single"/>
                </w:rPr>
                <w:t>Georgios.Meleas@eesc.europa.eu</w:t>
              </w:r>
            </w:hyperlink>
          </w:p>
        </w:tc>
      </w:tr>
    </w:tbl>
    <w:p w14:paraId="5EF31D76" w14:textId="20B5A01D" w:rsidR="005D1BBF" w:rsidRDefault="005D1BBF" w:rsidP="00F37962"/>
    <w:p w14:paraId="72CC36F3" w14:textId="77777777" w:rsidR="005D1BBF" w:rsidRDefault="005D1BBF">
      <w:pPr>
        <w:spacing w:after="160" w:line="259" w:lineRule="auto"/>
        <w:jc w:val="left"/>
      </w:pPr>
      <w:r>
        <w:br w:type="page"/>
      </w:r>
    </w:p>
    <w:p w14:paraId="461B4F15" w14:textId="34229B4C" w:rsidR="00F37962" w:rsidRDefault="00A067F3" w:rsidP="004C6742">
      <w:pPr>
        <w:pStyle w:val="ListParagraph"/>
        <w:numPr>
          <w:ilvl w:val="0"/>
          <w:numId w:val="76"/>
        </w:numPr>
      </w:pPr>
      <w:hyperlink r:id="rId23" w:history="1">
        <w:r>
          <w:rPr>
            <w:b/>
            <w:i/>
            <w:color w:val="0000FF"/>
            <w:sz w:val="28"/>
            <w:u w:val="single"/>
          </w:rPr>
          <w:t>Pakket aanvullende pensioenen: PEPP en IBPV</w:t>
        </w:r>
      </w:hyperlink>
    </w:p>
    <w:p w14:paraId="3E579047" w14:textId="77777777" w:rsidR="00F37962" w:rsidRPr="00C56EF3" w:rsidRDefault="00F37962" w:rsidP="00F37962">
      <w:pPr>
        <w:tabs>
          <w:tab w:val="center" w:pos="284"/>
        </w:tabs>
        <w:overflowPunct w:val="0"/>
        <w:autoSpaceDE w:val="0"/>
        <w:autoSpaceDN w:val="0"/>
        <w:adjustRightInd w:val="0"/>
        <w:ind w:left="266" w:hanging="266"/>
        <w:textAlignment w:val="baseline"/>
        <w:rPr>
          <w:bCs/>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140"/>
      </w:tblGrid>
      <w:tr w:rsidR="00F37962" w:rsidRPr="009360D7" w14:paraId="0DA0566E" w14:textId="77777777" w:rsidTr="002E7EFB">
        <w:tc>
          <w:tcPr>
            <w:tcW w:w="1077" w:type="pct"/>
          </w:tcPr>
          <w:p w14:paraId="4046C9F6"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rPr>
            </w:pPr>
            <w:r>
              <w:rPr>
                <w:b/>
              </w:rPr>
              <w:t>Rapporteur</w:t>
            </w:r>
          </w:p>
        </w:tc>
        <w:tc>
          <w:tcPr>
            <w:tcW w:w="3923" w:type="pct"/>
          </w:tcPr>
          <w:p w14:paraId="76BEB7DB" w14:textId="53F5F0D5"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BARRERA CHAMORRO Maria del Carmen (groep Werknemers – ES)</w:t>
            </w:r>
          </w:p>
        </w:tc>
      </w:tr>
      <w:tr w:rsidR="00F37962" w:rsidRPr="009360D7" w14:paraId="68747D90" w14:textId="77777777" w:rsidTr="002E7EFB">
        <w:tc>
          <w:tcPr>
            <w:tcW w:w="1077" w:type="pct"/>
          </w:tcPr>
          <w:p w14:paraId="5B2075D4"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lang w:val="es-ES"/>
              </w:rPr>
            </w:pPr>
          </w:p>
        </w:tc>
        <w:tc>
          <w:tcPr>
            <w:tcW w:w="3923" w:type="pct"/>
          </w:tcPr>
          <w:p w14:paraId="075524E1" w14:textId="77777777" w:rsidR="00F37962" w:rsidRPr="009360D7" w:rsidRDefault="00F37962" w:rsidP="004C6742">
            <w:pPr>
              <w:tabs>
                <w:tab w:val="center" w:pos="284"/>
              </w:tabs>
              <w:overflowPunct w:val="0"/>
              <w:autoSpaceDE w:val="0"/>
              <w:autoSpaceDN w:val="0"/>
              <w:adjustRightInd w:val="0"/>
              <w:spacing w:line="240" w:lineRule="auto"/>
              <w:ind w:left="266" w:right="-3091" w:hanging="266"/>
              <w:textAlignment w:val="baseline"/>
              <w:rPr>
                <w:lang w:val="es-ES"/>
              </w:rPr>
            </w:pPr>
          </w:p>
        </w:tc>
      </w:tr>
      <w:tr w:rsidR="00F37962" w:rsidRPr="009360D7" w14:paraId="5E5AA138" w14:textId="77777777" w:rsidTr="002E7EFB">
        <w:tc>
          <w:tcPr>
            <w:tcW w:w="1077" w:type="pct"/>
          </w:tcPr>
          <w:p w14:paraId="5801F57F"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rPr>
            </w:pPr>
            <w:r>
              <w:rPr>
                <w:b/>
              </w:rPr>
              <w:t>Referentiedocumenten</w:t>
            </w:r>
          </w:p>
        </w:tc>
        <w:tc>
          <w:tcPr>
            <w:tcW w:w="3923" w:type="pct"/>
          </w:tcPr>
          <w:p w14:paraId="5E33F076" w14:textId="77777777"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 xml:space="preserve">COM(2025) 839 final </w:t>
            </w:r>
          </w:p>
          <w:p w14:paraId="099CCB38" w14:textId="1D24FF1C"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 xml:space="preserve">COM(2025) 840 final </w:t>
            </w:r>
          </w:p>
          <w:p w14:paraId="5F2CC97B" w14:textId="2F5BA5F2"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COM(2025) 842 final</w:t>
            </w:r>
          </w:p>
          <w:p w14:paraId="543A5EFB" w14:textId="77777777"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EESC-2025-04204-00-00-AC</w:t>
            </w:r>
          </w:p>
        </w:tc>
      </w:tr>
    </w:tbl>
    <w:p w14:paraId="55E7B99C" w14:textId="2C46A19E" w:rsidR="00F37962" w:rsidRPr="00C56EF3" w:rsidRDefault="00F37962" w:rsidP="00F37962">
      <w:pPr>
        <w:tabs>
          <w:tab w:val="center" w:pos="284"/>
        </w:tabs>
        <w:overflowPunct w:val="0"/>
        <w:autoSpaceDE w:val="0"/>
        <w:autoSpaceDN w:val="0"/>
        <w:adjustRightInd w:val="0"/>
        <w:ind w:left="266" w:hanging="266"/>
        <w:textAlignment w:val="baseline"/>
        <w:rPr>
          <w:bCs/>
          <w:lang w:val="pt-PT"/>
        </w:rPr>
      </w:pPr>
    </w:p>
    <w:p w14:paraId="35C86E76"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rPr>
      </w:pPr>
      <w:r>
        <w:rPr>
          <w:b/>
        </w:rPr>
        <w:t>Hoofdpunten</w:t>
      </w:r>
    </w:p>
    <w:p w14:paraId="65428812" w14:textId="77777777" w:rsidR="00F37962" w:rsidRPr="00C56EF3" w:rsidRDefault="00F37962" w:rsidP="00F37962">
      <w:pPr>
        <w:keepNext/>
        <w:keepLines/>
        <w:tabs>
          <w:tab w:val="center" w:pos="284"/>
        </w:tabs>
        <w:overflowPunct w:val="0"/>
        <w:autoSpaceDE w:val="0"/>
        <w:autoSpaceDN w:val="0"/>
        <w:adjustRightInd w:val="0"/>
        <w:ind w:left="266" w:hanging="266"/>
        <w:textAlignment w:val="baseline"/>
        <w:rPr>
          <w:bCs/>
          <w:lang w:val="en-GB"/>
        </w:rPr>
      </w:pPr>
    </w:p>
    <w:p w14:paraId="446B0743" w14:textId="77777777" w:rsidR="00F37962" w:rsidRDefault="00F37962" w:rsidP="00F37962">
      <w:pPr>
        <w:overflowPunct w:val="0"/>
        <w:autoSpaceDE w:val="0"/>
        <w:autoSpaceDN w:val="0"/>
        <w:adjustRightInd w:val="0"/>
        <w:textAlignment w:val="baseline"/>
        <w:rPr>
          <w:bCs/>
          <w:iCs/>
        </w:rPr>
      </w:pPr>
      <w:r>
        <w:t>Het EESC:</w:t>
      </w:r>
    </w:p>
    <w:p w14:paraId="3B37DD9F"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bCs/>
        </w:rPr>
        <w:t>erkent</w:t>
      </w:r>
      <w:r>
        <w:t xml:space="preserve"> de voordelen van een </w:t>
      </w:r>
      <w:r>
        <w:rPr>
          <w:b/>
          <w:bCs/>
        </w:rPr>
        <w:t>meerpijlerpensioenstelsel</w:t>
      </w:r>
      <w:r>
        <w:t xml:space="preserve"> en is van mening dat aanvullende pensioenen niet mogen worden aangegrepen als rechtvaardiging om te tornen aan de wettelijke pensioenen; alle burgers in de hele EU moeten zicht hebben op een toereikend pensioeninkomen dat hen in staat stelt een waardig en zeker leven te leiden. Er is een </w:t>
      </w:r>
      <w:r>
        <w:rPr>
          <w:b/>
          <w:bCs/>
        </w:rPr>
        <w:t>holistische aanpak</w:t>
      </w:r>
      <w:r>
        <w:t xml:space="preserve"> nodig op het passende niveau, nationaal of Europees, waarbij zowel de arbeidsmarkt als het stelsel van aanvullende pensioenen wordt verbeterd;</w:t>
      </w:r>
    </w:p>
    <w:p w14:paraId="693DE00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bCs/>
        </w:rPr>
        <w:t>beveelt</w:t>
      </w:r>
      <w:r>
        <w:t xml:space="preserve"> passende maatregelen </w:t>
      </w:r>
      <w:r>
        <w:rPr>
          <w:b/>
          <w:bCs/>
        </w:rPr>
        <w:t>aan</w:t>
      </w:r>
      <w:r>
        <w:t xml:space="preserve"> om </w:t>
      </w:r>
      <w:r>
        <w:rPr>
          <w:b/>
          <w:bCs/>
        </w:rPr>
        <w:t>de participatieve governance te versterken</w:t>
      </w:r>
      <w:r>
        <w:t xml:space="preserve"> en de betrokkenheid van de sociale partners te bevorderen, in overeenstemming met de diversiteit van de nationale stelsels van arbeidsverhoudingen;</w:t>
      </w:r>
    </w:p>
    <w:p w14:paraId="05C90A8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bCs/>
        </w:rPr>
        <w:t>beveelt</w:t>
      </w:r>
      <w:r>
        <w:t xml:space="preserve"> specifieke wijzigingen van de </w:t>
      </w:r>
      <w:r>
        <w:rPr>
          <w:b/>
          <w:bCs/>
        </w:rPr>
        <w:t>IBPV-richtlijn aan</w:t>
      </w:r>
      <w:r>
        <w:t xml:space="preserve"> om versnippering tegen te gaan, de vergelijkbaarheid en transparantie te vergroten en het vertrouwen van de deelnemers te waarborgen;</w:t>
      </w:r>
    </w:p>
    <w:p w14:paraId="0CA65CB4"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bCs/>
        </w:rPr>
        <w:t>beveelt</w:t>
      </w:r>
      <w:r>
        <w:t xml:space="preserve"> specifieke wijzigingen van de </w:t>
      </w:r>
      <w:r>
        <w:rPr>
          <w:b/>
          <w:bCs/>
        </w:rPr>
        <w:t>PEPP-verordening aan</w:t>
      </w:r>
      <w:r>
        <w:t>, onder meer met betrekking tot informatie en advies, de rol van Eiopa en grensoverschrijdende overdrachten;</w:t>
      </w:r>
    </w:p>
    <w:p w14:paraId="653F0F93"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bCs/>
        </w:rPr>
        <w:t>beveelt</w:t>
      </w:r>
      <w:r>
        <w:t xml:space="preserve"> maatregelen </w:t>
      </w:r>
      <w:r>
        <w:rPr>
          <w:b/>
          <w:bCs/>
        </w:rPr>
        <w:t>aan</w:t>
      </w:r>
      <w:r>
        <w:t xml:space="preserve"> voor een beter </w:t>
      </w:r>
      <w:r>
        <w:rPr>
          <w:b/>
          <w:bCs/>
        </w:rPr>
        <w:t>genderevenwicht</w:t>
      </w:r>
      <w:r>
        <w:t xml:space="preserve"> en om het </w:t>
      </w:r>
      <w:r>
        <w:rPr>
          <w:b/>
          <w:bCs/>
        </w:rPr>
        <w:t>vertrouwen van het publiek</w:t>
      </w:r>
      <w:r>
        <w:t xml:space="preserve"> in pensioenproducten </w:t>
      </w:r>
      <w:r>
        <w:rPr>
          <w:b/>
          <w:bCs/>
        </w:rPr>
        <w:t>te versterken</w:t>
      </w:r>
      <w:r>
        <w:t xml:space="preserve"> en ervoor te zorgen dat </w:t>
      </w:r>
      <w:r>
        <w:rPr>
          <w:b/>
          <w:bCs/>
        </w:rPr>
        <w:t>PEPP’s individueel blijven</w:t>
      </w:r>
      <w:r>
        <w:t xml:space="preserve"> en het collectief afsluiten ervan niet wordt toegestaan;</w:t>
      </w:r>
    </w:p>
    <w:p w14:paraId="3F455E5B"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bCs/>
        </w:rPr>
        <w:t>dringt er</w:t>
      </w:r>
      <w:r>
        <w:t xml:space="preserve"> bij de medewetgevers </w:t>
      </w:r>
      <w:r>
        <w:rPr>
          <w:b/>
          <w:bCs/>
        </w:rPr>
        <w:t>op aan een herformulering van het ‘prudent person’-beginsel</w:t>
      </w:r>
      <w:r>
        <w:t xml:space="preserve"> in de IBPV-richtlijn te overwegen om een </w:t>
      </w:r>
      <w:r>
        <w:rPr>
          <w:b/>
          <w:bCs/>
        </w:rPr>
        <w:t>passend evenwicht te waarborgen</w:t>
      </w:r>
      <w:r>
        <w:t xml:space="preserve"> tussen beleggingsrisico en de waarborging van de ingelegde premies;</w:t>
      </w:r>
    </w:p>
    <w:p w14:paraId="6341AEB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bCs/>
        </w:rPr>
        <w:t>beveelt aan</w:t>
      </w:r>
      <w:r>
        <w:t xml:space="preserve"> dat de </w:t>
      </w:r>
      <w:r>
        <w:rPr>
          <w:b/>
          <w:bCs/>
        </w:rPr>
        <w:t>automatische aansluiting</w:t>
      </w:r>
      <w:r>
        <w:t xml:space="preserve"> in voorkomend geval het resultaat is van een versterking van de </w:t>
      </w:r>
      <w:r>
        <w:rPr>
          <w:b/>
          <w:bCs/>
        </w:rPr>
        <w:t>sociale dialoog</w:t>
      </w:r>
      <w:r>
        <w:t xml:space="preserve"> en collectieve onderhandelingen, waarbij de vrijheid van de sociale partners om relevante regelingen op te stellen en erover te onderhandelen en te besluiten intact wordt gelaten;</w:t>
      </w:r>
    </w:p>
    <w:p w14:paraId="69D94ECA"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bCs/>
        </w:rPr>
        <w:t>beveelt aan</w:t>
      </w:r>
      <w:r>
        <w:t xml:space="preserve"> een </w:t>
      </w:r>
      <w:r>
        <w:rPr>
          <w:b/>
          <w:bCs/>
        </w:rPr>
        <w:t>comité voor toezicht</w:t>
      </w:r>
      <w:r>
        <w:t xml:space="preserve"> op te richten, om effectief en waakzaam </w:t>
      </w:r>
      <w:r>
        <w:rPr>
          <w:b/>
          <w:bCs/>
        </w:rPr>
        <w:t>toezicht te houden op de vorderingen op het gebied van aanvullende pensioenen</w:t>
      </w:r>
      <w:r>
        <w:t xml:space="preserve">. Overheidsinstanties, sociale partners en maatschappelijke organisaties moeten hierbij worden betrokken. De werkzaamheden van dit comité moeten als </w:t>
      </w:r>
      <w:r>
        <w:rPr>
          <w:b/>
          <w:bCs/>
        </w:rPr>
        <w:t>input</w:t>
      </w:r>
      <w:r>
        <w:t xml:space="preserve"> dienen voor de werkzaamheden van de Raad en die in het kader van het Europees Semester en bij toekomstige wijzigingen in de regelgeving moet er rekening mee worden gehouden;</w:t>
      </w:r>
    </w:p>
    <w:p w14:paraId="50B09C2F"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bCs/>
        </w:rPr>
        <w:t>beveelt maatregelen aan</w:t>
      </w:r>
      <w:r>
        <w:t xml:space="preserve"> om de mogelijke gevolgen voor de </w:t>
      </w:r>
      <w:r>
        <w:rPr>
          <w:b/>
          <w:bCs/>
        </w:rPr>
        <w:t>houdbaarheid</w:t>
      </w:r>
      <w:r>
        <w:t xml:space="preserve"> van pensioenen en voor </w:t>
      </w:r>
      <w:r>
        <w:rPr>
          <w:b/>
          <w:bCs/>
        </w:rPr>
        <w:t>armoede</w:t>
      </w:r>
      <w:r>
        <w:t xml:space="preserve"> en </w:t>
      </w:r>
      <w:r>
        <w:rPr>
          <w:b/>
          <w:bCs/>
        </w:rPr>
        <w:t>ongelijkheid</w:t>
      </w:r>
      <w:r>
        <w:t xml:space="preserve"> te </w:t>
      </w:r>
      <w:r>
        <w:rPr>
          <w:b/>
          <w:bCs/>
        </w:rPr>
        <w:t>verzachten</w:t>
      </w:r>
      <w:r>
        <w:t>;</w:t>
      </w:r>
    </w:p>
    <w:p w14:paraId="22649A22"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bCs/>
        </w:rPr>
        <w:t>beveelt aan</w:t>
      </w:r>
      <w:r>
        <w:t xml:space="preserve"> dat de coördinatie van de </w:t>
      </w:r>
      <w:r>
        <w:rPr>
          <w:b/>
          <w:bCs/>
        </w:rPr>
        <w:t>digitalisering van de Europese socialezekerheidsstelsels</w:t>
      </w:r>
      <w:r>
        <w:t xml:space="preserve"> zijn beslag krijgt;</w:t>
      </w:r>
    </w:p>
    <w:p w14:paraId="0879C2C7"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bCs/>
          <w:iCs/>
          <w:szCs w:val="20"/>
        </w:rPr>
      </w:pPr>
      <w:r>
        <w:rPr>
          <w:b/>
          <w:bCs/>
        </w:rPr>
        <w:lastRenderedPageBreak/>
        <w:t>onderstreept</w:t>
      </w:r>
      <w:r>
        <w:t xml:space="preserve"> de noodzaak van </w:t>
      </w:r>
      <w:r>
        <w:rPr>
          <w:b/>
          <w:bCs/>
        </w:rPr>
        <w:t>financiële educatie</w:t>
      </w:r>
      <w:r>
        <w:t xml:space="preserve">, ondersteund door gebruiksvriendelijke </w:t>
      </w:r>
      <w:r>
        <w:rPr>
          <w:b/>
          <w:bCs/>
        </w:rPr>
        <w:t xml:space="preserve">instrumenten </w:t>
      </w:r>
      <w:r>
        <w:t xml:space="preserve">die </w:t>
      </w:r>
      <w:r>
        <w:rPr>
          <w:b/>
          <w:bCs/>
        </w:rPr>
        <w:t xml:space="preserve">inzicht </w:t>
      </w:r>
      <w:r>
        <w:t xml:space="preserve">geven in de pensioenopbouw en door toegang tot </w:t>
      </w:r>
      <w:r>
        <w:rPr>
          <w:b/>
          <w:bCs/>
        </w:rPr>
        <w:t>begeleiding en advies</w:t>
      </w:r>
      <w:r>
        <w:t xml:space="preserve"> bij beslissingen.</w:t>
      </w:r>
    </w:p>
    <w:p w14:paraId="029BFBEF" w14:textId="77777777" w:rsidR="00613302" w:rsidRPr="00C56EF3" w:rsidRDefault="00613302" w:rsidP="00C56EF3">
      <w:pPr>
        <w:jc w:val="left"/>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F37962" w:rsidRPr="009360D7" w14:paraId="2F150675" w14:textId="77777777" w:rsidTr="002E7EFB">
        <w:tc>
          <w:tcPr>
            <w:tcW w:w="1077" w:type="pct"/>
          </w:tcPr>
          <w:p w14:paraId="0E22D454" w14:textId="77777777" w:rsidR="00F37962" w:rsidRPr="009360D7" w:rsidRDefault="00F37962" w:rsidP="002E7EFB">
            <w:pPr>
              <w:overflowPunct w:val="0"/>
              <w:autoSpaceDE w:val="0"/>
              <w:autoSpaceDN w:val="0"/>
              <w:adjustRightInd w:val="0"/>
              <w:textAlignment w:val="baseline"/>
              <w:rPr>
                <w:i/>
              </w:rPr>
            </w:pPr>
            <w:r>
              <w:rPr>
                <w:b/>
                <w:i/>
              </w:rPr>
              <w:t>Contactpersoon</w:t>
            </w:r>
          </w:p>
        </w:tc>
        <w:tc>
          <w:tcPr>
            <w:tcW w:w="3923" w:type="pct"/>
          </w:tcPr>
          <w:p w14:paraId="69384752" w14:textId="77777777" w:rsidR="00F37962" w:rsidRPr="009360D7" w:rsidRDefault="00F37962" w:rsidP="002E7EFB">
            <w:pPr>
              <w:overflowPunct w:val="0"/>
              <w:autoSpaceDE w:val="0"/>
              <w:autoSpaceDN w:val="0"/>
              <w:adjustRightInd w:val="0"/>
              <w:textAlignment w:val="baseline"/>
              <w:rPr>
                <w:i/>
              </w:rPr>
            </w:pPr>
            <w:r>
              <w:rPr>
                <w:i/>
              </w:rPr>
              <w:t>Sergio Lorencio Matallana</w:t>
            </w:r>
          </w:p>
        </w:tc>
      </w:tr>
      <w:tr w:rsidR="00F37962" w:rsidRPr="009360D7" w14:paraId="6F824D39" w14:textId="77777777" w:rsidTr="002E7EFB">
        <w:tc>
          <w:tcPr>
            <w:tcW w:w="1077" w:type="pct"/>
          </w:tcPr>
          <w:p w14:paraId="54A57F09" w14:textId="77777777" w:rsidR="00F37962" w:rsidRPr="009360D7" w:rsidRDefault="00F37962" w:rsidP="002E7EFB">
            <w:pPr>
              <w:overflowPunct w:val="0"/>
              <w:autoSpaceDE w:val="0"/>
              <w:autoSpaceDN w:val="0"/>
              <w:adjustRightInd w:val="0"/>
              <w:textAlignment w:val="baseline"/>
              <w:rPr>
                <w:i/>
              </w:rPr>
            </w:pPr>
            <w:r>
              <w:rPr>
                <w:i/>
              </w:rPr>
              <w:t>Tel.</w:t>
            </w:r>
          </w:p>
        </w:tc>
        <w:tc>
          <w:tcPr>
            <w:tcW w:w="3923" w:type="pct"/>
          </w:tcPr>
          <w:p w14:paraId="6C074F83" w14:textId="77777777" w:rsidR="00F37962" w:rsidRPr="009360D7" w:rsidRDefault="00F37962" w:rsidP="002E7EFB">
            <w:pPr>
              <w:overflowPunct w:val="0"/>
              <w:autoSpaceDE w:val="0"/>
              <w:autoSpaceDN w:val="0"/>
              <w:adjustRightInd w:val="0"/>
              <w:textAlignment w:val="baseline"/>
              <w:rPr>
                <w:i/>
              </w:rPr>
            </w:pPr>
            <w:r>
              <w:rPr>
                <w:i/>
              </w:rPr>
              <w:t>+32 25469240</w:t>
            </w:r>
          </w:p>
        </w:tc>
      </w:tr>
      <w:tr w:rsidR="00F37962" w:rsidRPr="009360D7" w14:paraId="4CBC8AD0" w14:textId="77777777" w:rsidTr="002E7EFB">
        <w:tc>
          <w:tcPr>
            <w:tcW w:w="1077" w:type="pct"/>
          </w:tcPr>
          <w:p w14:paraId="74D96EA0" w14:textId="77777777" w:rsidR="00F37962" w:rsidRPr="009360D7" w:rsidRDefault="00F37962" w:rsidP="002E7EFB">
            <w:pPr>
              <w:overflowPunct w:val="0"/>
              <w:autoSpaceDE w:val="0"/>
              <w:autoSpaceDN w:val="0"/>
              <w:adjustRightInd w:val="0"/>
              <w:textAlignment w:val="baseline"/>
              <w:rPr>
                <w:i/>
              </w:rPr>
            </w:pPr>
            <w:r>
              <w:rPr>
                <w:i/>
              </w:rPr>
              <w:t>E-mail</w:t>
            </w:r>
          </w:p>
        </w:tc>
        <w:tc>
          <w:tcPr>
            <w:tcW w:w="3923" w:type="pct"/>
          </w:tcPr>
          <w:p w14:paraId="5475F81E" w14:textId="2ADFFD1C" w:rsidR="00F37962" w:rsidRPr="009360D7" w:rsidRDefault="00E23721" w:rsidP="002E7EFB">
            <w:pPr>
              <w:overflowPunct w:val="0"/>
              <w:autoSpaceDE w:val="0"/>
              <w:autoSpaceDN w:val="0"/>
              <w:adjustRightInd w:val="0"/>
              <w:textAlignment w:val="baseline"/>
              <w:rPr>
                <w:i/>
              </w:rPr>
            </w:pPr>
            <w:hyperlink r:id="rId24" w:history="1">
              <w:r>
                <w:rPr>
                  <w:i/>
                  <w:color w:val="0000FF"/>
                  <w:u w:val="single"/>
                </w:rPr>
                <w:t>Sergio.LorencioMatallana@eesc.europa.eu</w:t>
              </w:r>
            </w:hyperlink>
          </w:p>
        </w:tc>
      </w:tr>
    </w:tbl>
    <w:p w14:paraId="78262753" w14:textId="248BD617" w:rsidR="00A067F3" w:rsidRDefault="00A067F3" w:rsidP="001766B2">
      <w:pPr>
        <w:jc w:val="left"/>
      </w:pPr>
    </w:p>
    <w:p w14:paraId="23A0EDCC" w14:textId="77777777" w:rsidR="00A067F3" w:rsidRDefault="00A067F3">
      <w:pPr>
        <w:spacing w:after="160" w:line="259" w:lineRule="auto"/>
        <w:jc w:val="left"/>
      </w:pPr>
      <w:r>
        <w:br w:type="page"/>
      </w:r>
    </w:p>
    <w:p w14:paraId="4982DD99" w14:textId="592F9C95" w:rsidR="004D7AC0" w:rsidRDefault="004D7AC0" w:rsidP="004C6742">
      <w:pPr>
        <w:pStyle w:val="Heading2"/>
      </w:pPr>
      <w:bookmarkStart w:id="1" w:name="_Toc75527081"/>
      <w:bookmarkStart w:id="2" w:name="_Toc230351241"/>
      <w:r>
        <w:lastRenderedPageBreak/>
        <w:t>WERKGELEGENHEID, SOCIALE ZAKEN EN BURGERSCHAP</w:t>
      </w:r>
      <w:bookmarkEnd w:id="1"/>
      <w:bookmarkEnd w:id="2"/>
    </w:p>
    <w:p w14:paraId="4982DD9A" w14:textId="77777777" w:rsidR="004D7AC0" w:rsidRDefault="004D7AC0" w:rsidP="001766B2"/>
    <w:p w14:paraId="0FBA9E33" w14:textId="3EBF3307" w:rsidR="00943240" w:rsidRPr="00943240" w:rsidRDefault="00943240" w:rsidP="00943240">
      <w:pPr>
        <w:widowControl w:val="0"/>
        <w:numPr>
          <w:ilvl w:val="0"/>
          <w:numId w:val="8"/>
        </w:numPr>
        <w:overflowPunct w:val="0"/>
        <w:autoSpaceDE w:val="0"/>
        <w:autoSpaceDN w:val="0"/>
        <w:adjustRightInd w:val="0"/>
        <w:ind w:left="567" w:hanging="567"/>
        <w:textAlignment w:val="baseline"/>
        <w:rPr>
          <w:b/>
        </w:rPr>
      </w:pPr>
      <w:hyperlink r:id="rId25" w:history="1">
        <w:r>
          <w:rPr>
            <w:b/>
            <w:i/>
            <w:color w:val="0000FF"/>
            <w:sz w:val="28"/>
            <w:u w:val="single"/>
          </w:rPr>
          <w:t>Verbod op conversiepraktijken in de Europese Unie</w:t>
        </w:r>
      </w:hyperlink>
    </w:p>
    <w:p w14:paraId="0553C86C" w14:textId="77777777" w:rsidR="00943240" w:rsidRDefault="00943240" w:rsidP="00943240">
      <w:pPr>
        <w:tabs>
          <w:tab w:val="center" w:pos="284"/>
        </w:tabs>
        <w:overflowPunct w:val="0"/>
        <w:autoSpaceDE w:val="0"/>
        <w:autoSpaceDN w:val="0"/>
        <w:adjustRightInd w:val="0"/>
        <w:ind w:left="567" w:hanging="567"/>
        <w:textAlignment w:val="baseline"/>
        <w:rPr>
          <w:sz w:val="16"/>
          <w:szCs w:val="16"/>
          <w:lang w:val="en-IE"/>
        </w:rPr>
      </w:pPr>
    </w:p>
    <w:p w14:paraId="0DD8BE16" w14:textId="77777777" w:rsidR="00537B03" w:rsidRPr="00943240" w:rsidRDefault="00537B03" w:rsidP="00943240">
      <w:pPr>
        <w:tabs>
          <w:tab w:val="center" w:pos="284"/>
        </w:tabs>
        <w:overflowPunct w:val="0"/>
        <w:autoSpaceDE w:val="0"/>
        <w:autoSpaceDN w:val="0"/>
        <w:adjustRightInd w:val="0"/>
        <w:ind w:left="567" w:hanging="567"/>
        <w:textAlignment w:val="baseline"/>
        <w:rPr>
          <w:sz w:val="16"/>
          <w:szCs w:val="16"/>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6237"/>
      </w:tblGrid>
      <w:tr w:rsidR="00943240" w:rsidRPr="00943240" w14:paraId="4E8345CE" w14:textId="77777777" w:rsidTr="002E7EFB">
        <w:tc>
          <w:tcPr>
            <w:tcW w:w="1701" w:type="dxa"/>
          </w:tcPr>
          <w:p w14:paraId="7A3C8C0E"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Rapporteur</w:t>
            </w:r>
          </w:p>
        </w:tc>
        <w:tc>
          <w:tcPr>
            <w:tcW w:w="6237" w:type="dxa"/>
          </w:tcPr>
          <w:p w14:paraId="7FD5F775" w14:textId="77777777" w:rsidR="00943240" w:rsidRPr="00943240" w:rsidRDefault="00943240" w:rsidP="00943240">
            <w:pPr>
              <w:overflowPunct w:val="0"/>
              <w:autoSpaceDE w:val="0"/>
              <w:autoSpaceDN w:val="0"/>
              <w:adjustRightInd w:val="0"/>
              <w:ind w:left="567" w:hanging="567"/>
              <w:textAlignment w:val="baseline"/>
            </w:pPr>
            <w:r>
              <w:t>Pascal DEBAY (groep Werknemers – FR)</w:t>
            </w:r>
          </w:p>
        </w:tc>
      </w:tr>
      <w:tr w:rsidR="00943240" w:rsidRPr="00943240" w14:paraId="007125B5" w14:textId="77777777" w:rsidTr="002E7EFB">
        <w:tc>
          <w:tcPr>
            <w:tcW w:w="1701" w:type="dxa"/>
          </w:tcPr>
          <w:p w14:paraId="1D19C4E2"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Corapporteur</w:t>
            </w:r>
          </w:p>
        </w:tc>
        <w:tc>
          <w:tcPr>
            <w:tcW w:w="6237" w:type="dxa"/>
          </w:tcPr>
          <w:p w14:paraId="00A2CBCD" w14:textId="77777777" w:rsidR="00943240" w:rsidRPr="00943240" w:rsidRDefault="00943240" w:rsidP="00943240">
            <w:pPr>
              <w:overflowPunct w:val="0"/>
              <w:autoSpaceDE w:val="0"/>
              <w:autoSpaceDN w:val="0"/>
              <w:adjustRightInd w:val="0"/>
              <w:ind w:left="567" w:hanging="567"/>
              <w:textAlignment w:val="baseline"/>
            </w:pPr>
            <w:r>
              <w:t>Ionuţ SIBIAN (groep Maatschappelijke Organisaties – RO)</w:t>
            </w:r>
          </w:p>
        </w:tc>
      </w:tr>
      <w:tr w:rsidR="00943240" w:rsidRPr="00943240" w14:paraId="2715214D" w14:textId="77777777" w:rsidTr="002E7EFB">
        <w:tc>
          <w:tcPr>
            <w:tcW w:w="1701" w:type="dxa"/>
          </w:tcPr>
          <w:p w14:paraId="0FC04702" w14:textId="77777777" w:rsidR="00943240" w:rsidRPr="00943240" w:rsidRDefault="00943240" w:rsidP="00943240">
            <w:pPr>
              <w:tabs>
                <w:tab w:val="center" w:pos="284"/>
              </w:tabs>
              <w:overflowPunct w:val="0"/>
              <w:autoSpaceDE w:val="0"/>
              <w:autoSpaceDN w:val="0"/>
              <w:adjustRightInd w:val="0"/>
              <w:ind w:left="567" w:hanging="567"/>
              <w:textAlignment w:val="baseline"/>
              <w:rPr>
                <w:b/>
                <w:lang w:val="en-IE"/>
              </w:rPr>
            </w:pPr>
          </w:p>
        </w:tc>
        <w:tc>
          <w:tcPr>
            <w:tcW w:w="6237" w:type="dxa"/>
          </w:tcPr>
          <w:p w14:paraId="5E70C3D1" w14:textId="77777777" w:rsidR="00943240" w:rsidRPr="00943240" w:rsidRDefault="00943240" w:rsidP="00943240">
            <w:pPr>
              <w:overflowPunct w:val="0"/>
              <w:autoSpaceDE w:val="0"/>
              <w:autoSpaceDN w:val="0"/>
              <w:adjustRightInd w:val="0"/>
              <w:ind w:left="567" w:hanging="567"/>
              <w:textAlignment w:val="baseline"/>
              <w:rPr>
                <w:lang w:val="en-IE"/>
              </w:rPr>
            </w:pPr>
          </w:p>
        </w:tc>
      </w:tr>
      <w:tr w:rsidR="00943240" w:rsidRPr="00943240" w14:paraId="65C847A0" w14:textId="77777777" w:rsidTr="002E7EFB">
        <w:tc>
          <w:tcPr>
            <w:tcW w:w="1701" w:type="dxa"/>
            <w:vMerge w:val="restart"/>
          </w:tcPr>
          <w:p w14:paraId="70AB4636"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Referentiedocumenten</w:t>
            </w:r>
          </w:p>
        </w:tc>
        <w:tc>
          <w:tcPr>
            <w:tcW w:w="6237" w:type="dxa"/>
          </w:tcPr>
          <w:p w14:paraId="75B16B24" w14:textId="77777777" w:rsidR="00943240" w:rsidRPr="00943240" w:rsidRDefault="00943240" w:rsidP="00943240">
            <w:pPr>
              <w:tabs>
                <w:tab w:val="center" w:pos="284"/>
              </w:tabs>
              <w:overflowPunct w:val="0"/>
              <w:autoSpaceDE w:val="0"/>
              <w:autoSpaceDN w:val="0"/>
              <w:adjustRightInd w:val="0"/>
              <w:ind w:left="567" w:hanging="567"/>
              <w:textAlignment w:val="baseline"/>
            </w:pPr>
            <w:r>
              <w:t>Initiatiefadvies</w:t>
            </w:r>
          </w:p>
          <w:p w14:paraId="32684914" w14:textId="77777777" w:rsidR="00943240" w:rsidRPr="00943240" w:rsidRDefault="00943240" w:rsidP="00943240">
            <w:pPr>
              <w:tabs>
                <w:tab w:val="center" w:pos="284"/>
              </w:tabs>
              <w:overflowPunct w:val="0"/>
              <w:autoSpaceDE w:val="0"/>
              <w:autoSpaceDN w:val="0"/>
              <w:adjustRightInd w:val="0"/>
              <w:ind w:left="567" w:hanging="567"/>
              <w:textAlignment w:val="baseline"/>
            </w:pPr>
            <w:r>
              <w:t>EESC-2025-04295-00-00-AC</w:t>
            </w:r>
          </w:p>
        </w:tc>
      </w:tr>
      <w:tr w:rsidR="00943240" w:rsidRPr="00943240" w14:paraId="536F2D4C" w14:textId="77777777" w:rsidTr="002E7EFB">
        <w:tc>
          <w:tcPr>
            <w:tcW w:w="1701" w:type="dxa"/>
            <w:vMerge/>
          </w:tcPr>
          <w:p w14:paraId="4F70AA47" w14:textId="77777777" w:rsidR="00943240" w:rsidRPr="00943240" w:rsidRDefault="00943240" w:rsidP="00943240">
            <w:pPr>
              <w:tabs>
                <w:tab w:val="center" w:pos="284"/>
              </w:tabs>
              <w:overflowPunct w:val="0"/>
              <w:autoSpaceDE w:val="0"/>
              <w:autoSpaceDN w:val="0"/>
              <w:adjustRightInd w:val="0"/>
              <w:ind w:left="266" w:hanging="266"/>
              <w:textAlignment w:val="baseline"/>
              <w:rPr>
                <w:b/>
                <w:lang w:val="en-IE"/>
              </w:rPr>
            </w:pPr>
          </w:p>
        </w:tc>
        <w:tc>
          <w:tcPr>
            <w:tcW w:w="6237" w:type="dxa"/>
          </w:tcPr>
          <w:p w14:paraId="304147E0" w14:textId="77777777" w:rsidR="00943240" w:rsidRPr="00943240" w:rsidRDefault="00943240" w:rsidP="00943240">
            <w:pPr>
              <w:tabs>
                <w:tab w:val="center" w:pos="284"/>
              </w:tabs>
              <w:overflowPunct w:val="0"/>
              <w:autoSpaceDE w:val="0"/>
              <w:autoSpaceDN w:val="0"/>
              <w:adjustRightInd w:val="0"/>
              <w:ind w:left="266" w:hanging="266"/>
              <w:textAlignment w:val="baseline"/>
              <w:rPr>
                <w:sz w:val="16"/>
                <w:szCs w:val="16"/>
                <w:lang w:val="en-IE"/>
              </w:rPr>
            </w:pPr>
          </w:p>
        </w:tc>
      </w:tr>
    </w:tbl>
    <w:p w14:paraId="6B299D0A" w14:textId="77777777" w:rsidR="00943240" w:rsidRPr="00943240" w:rsidRDefault="00943240" w:rsidP="00943240">
      <w:pPr>
        <w:keepNext/>
        <w:keepLines/>
        <w:tabs>
          <w:tab w:val="center" w:pos="284"/>
        </w:tabs>
        <w:overflowPunct w:val="0"/>
        <w:autoSpaceDE w:val="0"/>
        <w:autoSpaceDN w:val="0"/>
        <w:adjustRightInd w:val="0"/>
        <w:ind w:left="266" w:hanging="266"/>
        <w:textAlignment w:val="baseline"/>
        <w:rPr>
          <w:b/>
        </w:rPr>
      </w:pPr>
      <w:r>
        <w:rPr>
          <w:b/>
        </w:rPr>
        <w:t>Hoofdpunten</w:t>
      </w:r>
    </w:p>
    <w:p w14:paraId="367A8012" w14:textId="77777777" w:rsidR="00943240" w:rsidRPr="00943240" w:rsidRDefault="00943240" w:rsidP="00943240">
      <w:pPr>
        <w:spacing w:before="100" w:beforeAutospacing="1" w:after="100" w:afterAutospacing="1" w:line="240" w:lineRule="auto"/>
        <w:jc w:val="left"/>
        <w:rPr>
          <w:b/>
          <w:bCs/>
        </w:rPr>
      </w:pPr>
      <w:r>
        <w:t>Het EESC:</w:t>
      </w:r>
    </w:p>
    <w:p w14:paraId="148FFAB3"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3" w:name="_Toc228805417"/>
      <w:r>
        <w:t>veroordeelt met klem alle vormen van conversiepraktijken die erop gericht zijn de seksuele gerichtheid, genderidentiteit of genderexpressie van een persoon te veranderen, te onderdrukken of uit te wissen, en beschouwt deze als een schending van het absolute verbod op foltering en een onmenselijke of vernederende behandeling of bestraffing;</w:t>
      </w:r>
      <w:bookmarkEnd w:id="3"/>
    </w:p>
    <w:p w14:paraId="7291556E"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4" w:name="_Toc228805418"/>
      <w:r>
        <w:t>herinnert eraan dat discriminatie, geweld en foltering van lhbtiq+-personen binnen de EU onverenigbaar zijn met de fundamentele rechten en waarden in de EU;</w:t>
      </w:r>
      <w:bookmarkEnd w:id="4"/>
    </w:p>
    <w:p w14:paraId="4C8743D6"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5" w:name="_Toc228805419"/>
      <w:r>
        <w:t>roept de Europese Commissie op een wettelijk bindend EU-breed verbod op conversiepraktijken voor te stellen, dat zowel het uitvoeren als het promoten van dergelijke activiteiten omvat, door conversiepraktijken op te nemen als “EU-misdrijven” en ze te erkennen als haatmisdrijven om een uniform beschermingsniveau in de hele EU te waarborgen;</w:t>
      </w:r>
      <w:bookmarkEnd w:id="5"/>
    </w:p>
    <w:p w14:paraId="7C4251B7"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6" w:name="_Toc228805420"/>
      <w:r>
        <w:t>dringt erop aan dat het verbod alomvattend is en nauwkeurig wordt geformuleerd, van toepassing is op zowel kinderen als volwassenen, betrekking heeft op alle publieke en private actoren (professionele en niet-professionele) en ervoor zorgt dat slachtoffers nooit strafrechtelijk of civielrechtelijk aansprakelijk kunnen worden gesteld;</w:t>
      </w:r>
      <w:bookmarkEnd w:id="6"/>
    </w:p>
    <w:p w14:paraId="1745C5AE"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7" w:name="_Toc228805421"/>
      <w:r>
        <w:t>staat erop dat het verbod doeltreffende, evenredige en afschrikkende sancties omvat die recht doen aan de ernstige schade die conversiepraktijken veroorzaken;</w:t>
      </w:r>
      <w:bookmarkEnd w:id="7"/>
    </w:p>
    <w:p w14:paraId="6ABD62C6"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8" w:name="_Toc228805422"/>
      <w:r>
        <w:t>vraagt dat het verbod op conversiepraktijken ook betrekking heeft op geslachtskenmerken, om intersekse personen te beschermen tegen medisch onnodige ingrepen zonder hun toestemming, die een binaire genderidentiteit opleggen;</w:t>
      </w:r>
      <w:bookmarkEnd w:id="8"/>
    </w:p>
    <w:p w14:paraId="7E833977"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9" w:name="_Toc228805423"/>
      <w:r>
        <w:t>beveelt krachtige uitvoeringsmaatregelen aan als onderdeel van de strategie voor gelijkheid van lhbtiq+-personen 2026-2030. Deze moeten onder meer bestaan uit jaarlijkse monitoring in overleg met het maatschappelijk middenveld, specifieke financiering voor beroepsopleidingen en organisaties die zich inzetten voor gelijkheid, en door de EU ondersteunde initiatieven op het gebied van onderwijs en bewustmaking, die essentieel zijn om dergelijke praktijken in kaart te brengen en uit te bannen.</w:t>
      </w:r>
      <w:bookmarkEnd w:id="9"/>
    </w:p>
    <w:p w14:paraId="0B408DE2" w14:textId="77777777" w:rsidR="00943240" w:rsidRPr="00943240" w:rsidRDefault="00943240" w:rsidP="00943240">
      <w:pPr>
        <w:overflowPunct w:val="0"/>
        <w:autoSpaceDE w:val="0"/>
        <w:autoSpaceDN w:val="0"/>
        <w:adjustRightInd w:val="0"/>
        <w:textAlignment w:val="baseline"/>
        <w:rPr>
          <w:szCs w:val="20"/>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4493"/>
      </w:tblGrid>
      <w:tr w:rsidR="00943240" w:rsidRPr="00943240" w14:paraId="4E107AFC" w14:textId="77777777" w:rsidTr="002E7EFB">
        <w:tc>
          <w:tcPr>
            <w:tcW w:w="1210" w:type="dxa"/>
          </w:tcPr>
          <w:p w14:paraId="468FD01F" w14:textId="77777777" w:rsidR="00943240" w:rsidRPr="00943240" w:rsidRDefault="00943240" w:rsidP="00943240">
            <w:pPr>
              <w:overflowPunct w:val="0"/>
              <w:autoSpaceDE w:val="0"/>
              <w:autoSpaceDN w:val="0"/>
              <w:adjustRightInd w:val="0"/>
              <w:spacing w:line="240" w:lineRule="auto"/>
              <w:textAlignment w:val="baseline"/>
              <w:rPr>
                <w:i/>
              </w:rPr>
            </w:pPr>
            <w:r>
              <w:rPr>
                <w:b/>
                <w:i/>
              </w:rPr>
              <w:t>Contactpersoon</w:t>
            </w:r>
          </w:p>
        </w:tc>
        <w:tc>
          <w:tcPr>
            <w:tcW w:w="4493" w:type="dxa"/>
          </w:tcPr>
          <w:p w14:paraId="163017DF" w14:textId="63CCAD3A" w:rsidR="00943240" w:rsidRPr="00943240" w:rsidRDefault="00943240" w:rsidP="00943240">
            <w:pPr>
              <w:overflowPunct w:val="0"/>
              <w:autoSpaceDE w:val="0"/>
              <w:autoSpaceDN w:val="0"/>
              <w:adjustRightInd w:val="0"/>
              <w:spacing w:line="240" w:lineRule="auto"/>
              <w:ind w:hanging="12"/>
              <w:textAlignment w:val="baseline"/>
              <w:rPr>
                <w:i/>
              </w:rPr>
            </w:pPr>
            <w:r>
              <w:rPr>
                <w:i/>
              </w:rPr>
              <w:t>Bartek Bednarowicz</w:t>
            </w:r>
          </w:p>
        </w:tc>
      </w:tr>
      <w:tr w:rsidR="00943240" w:rsidRPr="00943240" w14:paraId="7B668718" w14:textId="77777777" w:rsidTr="002E7EFB">
        <w:tc>
          <w:tcPr>
            <w:tcW w:w="1210" w:type="dxa"/>
          </w:tcPr>
          <w:p w14:paraId="694AFF7E" w14:textId="77777777" w:rsidR="00943240" w:rsidRPr="00943240" w:rsidRDefault="00943240" w:rsidP="00943240">
            <w:pPr>
              <w:overflowPunct w:val="0"/>
              <w:autoSpaceDE w:val="0"/>
              <w:autoSpaceDN w:val="0"/>
              <w:adjustRightInd w:val="0"/>
              <w:spacing w:line="240" w:lineRule="auto"/>
              <w:textAlignment w:val="baseline"/>
              <w:rPr>
                <w:i/>
              </w:rPr>
            </w:pPr>
            <w:r>
              <w:rPr>
                <w:i/>
              </w:rPr>
              <w:t>Tel.</w:t>
            </w:r>
          </w:p>
        </w:tc>
        <w:tc>
          <w:tcPr>
            <w:tcW w:w="4493" w:type="dxa"/>
          </w:tcPr>
          <w:p w14:paraId="7D387ED4" w14:textId="77777777" w:rsidR="00943240" w:rsidRPr="00943240" w:rsidRDefault="00943240" w:rsidP="00943240">
            <w:pPr>
              <w:overflowPunct w:val="0"/>
              <w:autoSpaceDE w:val="0"/>
              <w:autoSpaceDN w:val="0"/>
              <w:adjustRightInd w:val="0"/>
              <w:spacing w:line="240" w:lineRule="auto"/>
              <w:textAlignment w:val="baseline"/>
              <w:rPr>
                <w:i/>
              </w:rPr>
            </w:pPr>
            <w:r>
              <w:rPr>
                <w:i/>
              </w:rPr>
              <w:t>+32 25469229</w:t>
            </w:r>
          </w:p>
        </w:tc>
      </w:tr>
      <w:tr w:rsidR="00943240" w:rsidRPr="00943240" w14:paraId="65C7A403" w14:textId="77777777" w:rsidTr="002E7EFB">
        <w:tc>
          <w:tcPr>
            <w:tcW w:w="1210" w:type="dxa"/>
          </w:tcPr>
          <w:p w14:paraId="27599C21" w14:textId="77777777" w:rsidR="00943240" w:rsidRPr="00943240" w:rsidRDefault="00943240" w:rsidP="00943240">
            <w:pPr>
              <w:overflowPunct w:val="0"/>
              <w:autoSpaceDE w:val="0"/>
              <w:autoSpaceDN w:val="0"/>
              <w:adjustRightInd w:val="0"/>
              <w:spacing w:line="240" w:lineRule="auto"/>
              <w:textAlignment w:val="baseline"/>
              <w:rPr>
                <w:i/>
              </w:rPr>
            </w:pPr>
            <w:r>
              <w:rPr>
                <w:i/>
              </w:rPr>
              <w:t>E-mail</w:t>
            </w:r>
          </w:p>
        </w:tc>
        <w:tc>
          <w:tcPr>
            <w:tcW w:w="4493" w:type="dxa"/>
          </w:tcPr>
          <w:p w14:paraId="05B7586B" w14:textId="37E39442" w:rsidR="00943240" w:rsidRPr="004E3086" w:rsidRDefault="00E23721" w:rsidP="00943240">
            <w:pPr>
              <w:overflowPunct w:val="0"/>
              <w:autoSpaceDE w:val="0"/>
              <w:autoSpaceDN w:val="0"/>
              <w:adjustRightInd w:val="0"/>
              <w:spacing w:line="240" w:lineRule="auto"/>
              <w:textAlignment w:val="baseline"/>
              <w:rPr>
                <w:i/>
                <w:iCs/>
              </w:rPr>
            </w:pPr>
            <w:hyperlink r:id="rId26" w:history="1">
              <w:r>
                <w:rPr>
                  <w:i/>
                  <w:color w:val="0000FF"/>
                  <w:u w:val="single"/>
                </w:rPr>
                <w:t>Bartek.Bednarowicz@eesc.europa.eu</w:t>
              </w:r>
            </w:hyperlink>
          </w:p>
        </w:tc>
      </w:tr>
    </w:tbl>
    <w:p w14:paraId="78E447C3" w14:textId="176CF351" w:rsidR="004F74E4" w:rsidRDefault="004F74E4" w:rsidP="001766B2"/>
    <w:p w14:paraId="49BF2B8A" w14:textId="77777777" w:rsidR="004F74E4" w:rsidRDefault="004F74E4">
      <w:pPr>
        <w:spacing w:after="160" w:line="259" w:lineRule="auto"/>
        <w:jc w:val="left"/>
      </w:pPr>
      <w:r>
        <w:br w:type="page"/>
      </w:r>
    </w:p>
    <w:p w14:paraId="37568C0D" w14:textId="00A0839B" w:rsidR="00354B98" w:rsidRPr="00354B98" w:rsidRDefault="00E23721" w:rsidP="00354B98">
      <w:pPr>
        <w:widowControl w:val="0"/>
        <w:numPr>
          <w:ilvl w:val="0"/>
          <w:numId w:val="10"/>
        </w:numPr>
        <w:overflowPunct w:val="0"/>
        <w:autoSpaceDE w:val="0"/>
        <w:autoSpaceDN w:val="0"/>
        <w:adjustRightInd w:val="0"/>
        <w:spacing w:after="200" w:line="276" w:lineRule="auto"/>
        <w:ind w:left="567" w:hanging="567"/>
        <w:contextualSpacing/>
        <w:jc w:val="left"/>
        <w:textAlignment w:val="baseline"/>
        <w:rPr>
          <w:b/>
          <w:i/>
          <w:sz w:val="28"/>
          <w:szCs w:val="28"/>
        </w:rPr>
      </w:pPr>
      <w:hyperlink r:id="rId27" w:history="1">
        <w:r>
          <w:rPr>
            <w:b/>
            <w:i/>
            <w:color w:val="0000FF"/>
            <w:sz w:val="28"/>
            <w:u w:val="single"/>
          </w:rPr>
          <w:t>Unie van gelijkheid: strategie voor gelijkheid van lhbtiq+’ers 2026-2030</w:t>
        </w:r>
      </w:hyperlink>
    </w:p>
    <w:p w14:paraId="0E47B1B5" w14:textId="2D9E1616" w:rsidR="00354B98" w:rsidRPr="00C56EF3" w:rsidRDefault="00354B98" w:rsidP="004C6742">
      <w:pPr>
        <w:widowControl w:val="0"/>
        <w:overflowPunct w:val="0"/>
        <w:autoSpaceDE w:val="0"/>
        <w:autoSpaceDN w:val="0"/>
        <w:adjustRightInd w:val="0"/>
        <w:jc w:val="left"/>
        <w:textAlignment w:val="baseline"/>
        <w:rPr>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6804"/>
      </w:tblGrid>
      <w:tr w:rsidR="00354B98" w:rsidRPr="00354B98" w14:paraId="5A523F39" w14:textId="77777777" w:rsidTr="002E7EFB">
        <w:tc>
          <w:tcPr>
            <w:tcW w:w="1701" w:type="dxa"/>
          </w:tcPr>
          <w:p w14:paraId="6F791E34"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r>
              <w:rPr>
                <w:b/>
              </w:rPr>
              <w:t>Rapporteur</w:t>
            </w:r>
          </w:p>
        </w:tc>
        <w:tc>
          <w:tcPr>
            <w:tcW w:w="6804" w:type="dxa"/>
          </w:tcPr>
          <w:p w14:paraId="1488AC9A" w14:textId="16EE367D" w:rsidR="00354B98" w:rsidRPr="00354B98" w:rsidRDefault="00354B98" w:rsidP="00354B98">
            <w:pPr>
              <w:tabs>
                <w:tab w:val="center" w:pos="284"/>
              </w:tabs>
              <w:overflowPunct w:val="0"/>
              <w:autoSpaceDE w:val="0"/>
              <w:autoSpaceDN w:val="0"/>
              <w:adjustRightInd w:val="0"/>
              <w:ind w:left="266" w:hanging="266"/>
              <w:textAlignment w:val="baseline"/>
            </w:pPr>
            <w:r>
              <w:t>Juliane Marie NEIIENDAM (groep Maatschappelijke Organisaties – DK)</w:t>
            </w:r>
          </w:p>
        </w:tc>
      </w:tr>
      <w:tr w:rsidR="00354B98" w:rsidRPr="00354B98" w14:paraId="47C7615B" w14:textId="77777777" w:rsidTr="002E7EFB">
        <w:tc>
          <w:tcPr>
            <w:tcW w:w="1701" w:type="dxa"/>
          </w:tcPr>
          <w:p w14:paraId="20505F27"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p>
        </w:tc>
        <w:tc>
          <w:tcPr>
            <w:tcW w:w="6804" w:type="dxa"/>
          </w:tcPr>
          <w:p w14:paraId="465F0ECB" w14:textId="77777777" w:rsidR="00354B98" w:rsidRPr="00354B98" w:rsidRDefault="00354B98" w:rsidP="00354B98">
            <w:pPr>
              <w:tabs>
                <w:tab w:val="center" w:pos="284"/>
              </w:tabs>
              <w:overflowPunct w:val="0"/>
              <w:autoSpaceDE w:val="0"/>
              <w:autoSpaceDN w:val="0"/>
              <w:adjustRightInd w:val="0"/>
              <w:textAlignment w:val="baseline"/>
            </w:pPr>
          </w:p>
        </w:tc>
      </w:tr>
      <w:tr w:rsidR="00354B98" w:rsidRPr="00354B98" w14:paraId="4E110D3A" w14:textId="77777777" w:rsidTr="002E7EFB">
        <w:tc>
          <w:tcPr>
            <w:tcW w:w="8505" w:type="dxa"/>
            <w:gridSpan w:val="2"/>
          </w:tcPr>
          <w:p w14:paraId="46EEB135" w14:textId="77777777" w:rsidR="00354B98" w:rsidRPr="00354B98" w:rsidRDefault="00354B98" w:rsidP="00354B98">
            <w:pPr>
              <w:tabs>
                <w:tab w:val="center" w:pos="284"/>
              </w:tabs>
              <w:overflowPunct w:val="0"/>
              <w:autoSpaceDE w:val="0"/>
              <w:autoSpaceDN w:val="0"/>
              <w:adjustRightInd w:val="0"/>
              <w:spacing w:line="160" w:lineRule="exact"/>
              <w:ind w:left="266" w:hanging="266"/>
              <w:textAlignment w:val="baseline"/>
            </w:pPr>
          </w:p>
        </w:tc>
      </w:tr>
      <w:tr w:rsidR="00354B98" w:rsidRPr="00354B98" w14:paraId="54E406AB" w14:textId="77777777" w:rsidTr="002E7EFB">
        <w:tc>
          <w:tcPr>
            <w:tcW w:w="1701" w:type="dxa"/>
            <w:vMerge w:val="restart"/>
          </w:tcPr>
          <w:p w14:paraId="7F355524"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r>
              <w:rPr>
                <w:b/>
              </w:rPr>
              <w:t xml:space="preserve">Referentiedocumenten </w:t>
            </w:r>
          </w:p>
        </w:tc>
        <w:tc>
          <w:tcPr>
            <w:tcW w:w="6804" w:type="dxa"/>
          </w:tcPr>
          <w:p w14:paraId="3C103592" w14:textId="4ABCDC27" w:rsidR="00354B98" w:rsidRPr="00354B98" w:rsidRDefault="00354B98" w:rsidP="00354B98">
            <w:pPr>
              <w:tabs>
                <w:tab w:val="center" w:pos="284"/>
              </w:tabs>
              <w:overflowPunct w:val="0"/>
              <w:autoSpaceDE w:val="0"/>
              <w:autoSpaceDN w:val="0"/>
              <w:adjustRightInd w:val="0"/>
              <w:ind w:left="266" w:hanging="266"/>
              <w:textAlignment w:val="baseline"/>
            </w:pPr>
            <w:r>
              <w:t>COM(2025) 725 final</w:t>
            </w:r>
          </w:p>
        </w:tc>
      </w:tr>
      <w:tr w:rsidR="00354B98" w:rsidRPr="00354B98" w14:paraId="1CC90C32" w14:textId="77777777" w:rsidTr="002E7EFB">
        <w:tc>
          <w:tcPr>
            <w:tcW w:w="1701" w:type="dxa"/>
            <w:vMerge/>
          </w:tcPr>
          <w:p w14:paraId="4AE0A5C9" w14:textId="77777777" w:rsidR="00354B98" w:rsidRPr="00354B98" w:rsidRDefault="00354B98" w:rsidP="00354B98">
            <w:pPr>
              <w:tabs>
                <w:tab w:val="center" w:pos="284"/>
              </w:tabs>
              <w:overflowPunct w:val="0"/>
              <w:autoSpaceDE w:val="0"/>
              <w:autoSpaceDN w:val="0"/>
              <w:adjustRightInd w:val="0"/>
              <w:ind w:left="266" w:hanging="266"/>
              <w:textAlignment w:val="baseline"/>
              <w:rPr>
                <w:b/>
                <w:lang w:val="en-GB"/>
              </w:rPr>
            </w:pPr>
          </w:p>
        </w:tc>
        <w:tc>
          <w:tcPr>
            <w:tcW w:w="6804" w:type="dxa"/>
          </w:tcPr>
          <w:p w14:paraId="2744FDCB" w14:textId="4A569384" w:rsidR="00354B98" w:rsidRPr="00354B98" w:rsidRDefault="00354B98" w:rsidP="00354B98">
            <w:pPr>
              <w:tabs>
                <w:tab w:val="center" w:pos="284"/>
              </w:tabs>
              <w:overflowPunct w:val="0"/>
              <w:autoSpaceDE w:val="0"/>
              <w:autoSpaceDN w:val="0"/>
              <w:adjustRightInd w:val="0"/>
              <w:ind w:left="266" w:hanging="266"/>
              <w:textAlignment w:val="baseline"/>
            </w:pPr>
            <w:r>
              <w:t>EESC-2025-03887-00-00-AC</w:t>
            </w:r>
          </w:p>
        </w:tc>
      </w:tr>
    </w:tbl>
    <w:p w14:paraId="67E59D86" w14:textId="77777777" w:rsidR="00354B98" w:rsidRPr="00354B98" w:rsidRDefault="00354B98" w:rsidP="00354B98">
      <w:pPr>
        <w:tabs>
          <w:tab w:val="center" w:pos="284"/>
        </w:tabs>
        <w:overflowPunct w:val="0"/>
        <w:autoSpaceDE w:val="0"/>
        <w:autoSpaceDN w:val="0"/>
        <w:adjustRightInd w:val="0"/>
        <w:ind w:left="266" w:hanging="266"/>
        <w:textAlignment w:val="baseline"/>
        <w:rPr>
          <w:lang w:val="en-GB"/>
        </w:rPr>
      </w:pPr>
    </w:p>
    <w:p w14:paraId="6ED902D5"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rPr>
      </w:pPr>
      <w:r>
        <w:rPr>
          <w:b/>
        </w:rPr>
        <w:t>Hoofdpunten</w:t>
      </w:r>
    </w:p>
    <w:p w14:paraId="164E8777" w14:textId="77777777" w:rsidR="00354B98" w:rsidRPr="00C56EF3" w:rsidRDefault="00354B98" w:rsidP="00354B98">
      <w:pPr>
        <w:keepNext/>
        <w:keepLines/>
        <w:tabs>
          <w:tab w:val="center" w:pos="284"/>
        </w:tabs>
        <w:overflowPunct w:val="0"/>
        <w:autoSpaceDE w:val="0"/>
        <w:autoSpaceDN w:val="0"/>
        <w:adjustRightInd w:val="0"/>
        <w:ind w:left="266" w:hanging="266"/>
        <w:textAlignment w:val="baseline"/>
        <w:rPr>
          <w:bCs/>
          <w:lang w:val="en-GB"/>
        </w:rPr>
      </w:pPr>
    </w:p>
    <w:p w14:paraId="5DAF8ADD" w14:textId="77777777" w:rsidR="00354B98" w:rsidRDefault="00354B98" w:rsidP="00354B98">
      <w:pPr>
        <w:overflowPunct w:val="0"/>
        <w:autoSpaceDE w:val="0"/>
        <w:autoSpaceDN w:val="0"/>
        <w:adjustRightInd w:val="0"/>
        <w:textAlignment w:val="baseline"/>
        <w:rPr>
          <w:bCs/>
          <w:iCs/>
        </w:rPr>
      </w:pPr>
      <w:r>
        <w:t>Het EESC:</w:t>
      </w:r>
    </w:p>
    <w:p w14:paraId="62497E7D" w14:textId="77777777" w:rsidR="00755E1E" w:rsidRPr="00354B98" w:rsidRDefault="00755E1E" w:rsidP="00354B98">
      <w:pPr>
        <w:overflowPunct w:val="0"/>
        <w:autoSpaceDE w:val="0"/>
        <w:autoSpaceDN w:val="0"/>
        <w:adjustRightInd w:val="0"/>
        <w:textAlignment w:val="baseline"/>
        <w:rPr>
          <w:bCs/>
          <w:iCs/>
          <w:lang w:val="en-GB"/>
        </w:rPr>
      </w:pPr>
    </w:p>
    <w:p w14:paraId="326F27B0"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is ingenomen met de nieuwe strategie voor gelijkheid van lhbtiq+’ers 2026-2030 maar wijst erop dat aanhoudende discriminatie, geweld, intimidatie en uitsluiting, die met name van transpersonen, non-binaire personen en interseksuelen treffen, krachtigere en robuustere beleidsmaatregelen vereisen; </w:t>
      </w:r>
    </w:p>
    <w:p w14:paraId="6D5257E3"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pleit voor een sterkere handhaving en verantwoording door middel van bindende benchmarks, systematische inbreukprocedures, conditionaliteit met betrekking tot de rechtsstaat en de uitvoering van nationale lhbtiq+-strategieën; </w:t>
      </w:r>
    </w:p>
    <w:p w14:paraId="0B028E36"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dringt aan op doortastende maatregelen om de grondrechten en de ruimte voor het maatschappelijk middenveld te beschermen door de weerstand tegen lhbtiq+’ers en desinformatie en haatzaaiende uitlatingen over lhbtiq+’ers tegen te gaan en door aanhoudende steun te bieden voor het maatschappelijk middenveld; </w:t>
      </w:r>
    </w:p>
    <w:p w14:paraId="7C167313"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dringt aan op volledige gelijkheid in het dagelijks leven door een inclusieve toegang tot gezondheidszorg, onderwijs en werkgelegenheid te waarborgen en door de inclusie op de werkplek te versterken;</w:t>
      </w:r>
    </w:p>
    <w:p w14:paraId="0449885B"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roept de Europese Commissie op een wettelijk bindend EU-breed verbod op conversiepraktijken voor te stellen, dat zowel het uitvoeren als het promoten van dergelijke activiteiten omvat, door conversiepraktijken op te nemen als “EU-misdrijven” en ze te erkennen als haatmisdrijven om een uniform beschermingsniveau in de hele EU te waarborgen;</w:t>
      </w:r>
    </w:p>
    <w:p w14:paraId="1400C6A1"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vraagt dat structurele ongelijkheden worden aangepakt door de gelijkheid van lhbtiq+’ers te integreren in het EU-beleid inzake sociale inclusie, huisvesting en armoedebestrijding, met gerichte steun voor personen die te maken hebben met intersectionele discriminatie;</w:t>
      </w:r>
    </w:p>
    <w:p w14:paraId="7CD0D179"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rFonts w:asciiTheme="minorHAnsi" w:hAnsiTheme="minorHAnsi"/>
          <w:szCs w:val="20"/>
        </w:rPr>
      </w:pPr>
      <w:r>
        <w:t>dringt aan op toekomstbestendige en op rechten gebaseerde kaders door juridische lacunes te dichten, gendererkenning op basis van zelfbeschikking mogelijk te maken, de toegang tot de rechter te versterken, adequate financiering voor maatschappelijke organisaties te waarborgen, de beschikbaarheid van intersectionele gegevens te verbeteren en gelijkheid op het gebied van digitale technologieën en AI te waarborgen.</w:t>
      </w:r>
    </w:p>
    <w:p w14:paraId="7200F7A1" w14:textId="77777777" w:rsidR="00354B98" w:rsidRPr="00354B98" w:rsidRDefault="00354B98" w:rsidP="00755E1E">
      <w:pPr>
        <w:widowControl w:val="0"/>
        <w:overflowPunct w:val="0"/>
        <w:autoSpaceDE w:val="0"/>
        <w:autoSpaceDN w:val="0"/>
        <w:adjustRightInd w:val="0"/>
        <w:ind w:left="284" w:hanging="284"/>
        <w:textAlignment w:val="baseline"/>
        <w:rPr>
          <w:szCs w:val="20"/>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5670"/>
      </w:tblGrid>
      <w:tr w:rsidR="00354B98" w:rsidRPr="00354B98" w14:paraId="3184797F" w14:textId="77777777" w:rsidTr="002E7EFB">
        <w:tc>
          <w:tcPr>
            <w:tcW w:w="1418" w:type="dxa"/>
          </w:tcPr>
          <w:p w14:paraId="2A28D240" w14:textId="77777777" w:rsidR="00354B98" w:rsidRPr="00354B98" w:rsidRDefault="00354B98" w:rsidP="00354B98">
            <w:pPr>
              <w:overflowPunct w:val="0"/>
              <w:autoSpaceDE w:val="0"/>
              <w:autoSpaceDN w:val="0"/>
              <w:adjustRightInd w:val="0"/>
              <w:spacing w:line="240" w:lineRule="auto"/>
              <w:textAlignment w:val="baseline"/>
              <w:rPr>
                <w:i/>
              </w:rPr>
            </w:pPr>
            <w:r>
              <w:rPr>
                <w:b/>
                <w:i/>
              </w:rPr>
              <w:t>Contactpersoon</w:t>
            </w:r>
          </w:p>
        </w:tc>
        <w:tc>
          <w:tcPr>
            <w:tcW w:w="5670" w:type="dxa"/>
          </w:tcPr>
          <w:p w14:paraId="7B16B757" w14:textId="08FB7356" w:rsidR="00354B98" w:rsidRPr="00354B98" w:rsidRDefault="00354B98" w:rsidP="00354B98">
            <w:pPr>
              <w:overflowPunct w:val="0"/>
              <w:autoSpaceDE w:val="0"/>
              <w:autoSpaceDN w:val="0"/>
              <w:adjustRightInd w:val="0"/>
              <w:spacing w:line="240" w:lineRule="auto"/>
              <w:textAlignment w:val="baseline"/>
              <w:rPr>
                <w:i/>
              </w:rPr>
            </w:pPr>
            <w:r>
              <w:rPr>
                <w:i/>
              </w:rPr>
              <w:t>Bartek Bednarowicz</w:t>
            </w:r>
          </w:p>
        </w:tc>
      </w:tr>
      <w:tr w:rsidR="00354B98" w:rsidRPr="00354B98" w14:paraId="0E1F3D07" w14:textId="77777777" w:rsidTr="002E7EFB">
        <w:tc>
          <w:tcPr>
            <w:tcW w:w="1418" w:type="dxa"/>
          </w:tcPr>
          <w:p w14:paraId="4235BE66" w14:textId="77777777" w:rsidR="00354B98" w:rsidRPr="00354B98" w:rsidRDefault="00354B98" w:rsidP="00354B98">
            <w:pPr>
              <w:overflowPunct w:val="0"/>
              <w:autoSpaceDE w:val="0"/>
              <w:autoSpaceDN w:val="0"/>
              <w:adjustRightInd w:val="0"/>
              <w:spacing w:line="240" w:lineRule="auto"/>
              <w:textAlignment w:val="baseline"/>
              <w:rPr>
                <w:i/>
              </w:rPr>
            </w:pPr>
            <w:r>
              <w:rPr>
                <w:i/>
              </w:rPr>
              <w:t>Tel.</w:t>
            </w:r>
          </w:p>
        </w:tc>
        <w:tc>
          <w:tcPr>
            <w:tcW w:w="5670" w:type="dxa"/>
          </w:tcPr>
          <w:p w14:paraId="22D630EA" w14:textId="77777777" w:rsidR="00354B98" w:rsidRPr="00354B98" w:rsidRDefault="00354B98" w:rsidP="00354B98">
            <w:pPr>
              <w:overflowPunct w:val="0"/>
              <w:autoSpaceDE w:val="0"/>
              <w:autoSpaceDN w:val="0"/>
              <w:adjustRightInd w:val="0"/>
              <w:spacing w:line="240" w:lineRule="auto"/>
              <w:textAlignment w:val="baseline"/>
              <w:rPr>
                <w:i/>
              </w:rPr>
            </w:pPr>
            <w:r>
              <w:rPr>
                <w:i/>
              </w:rPr>
              <w:t>+32 25469229</w:t>
            </w:r>
          </w:p>
        </w:tc>
      </w:tr>
      <w:tr w:rsidR="00354B98" w:rsidRPr="00354B98" w14:paraId="07F9D924" w14:textId="77777777" w:rsidTr="002E7EFB">
        <w:tc>
          <w:tcPr>
            <w:tcW w:w="1418" w:type="dxa"/>
          </w:tcPr>
          <w:p w14:paraId="5F74FBF9" w14:textId="76661680" w:rsidR="00354B98" w:rsidRPr="00354B98" w:rsidRDefault="00755E1E" w:rsidP="00354B98">
            <w:pPr>
              <w:overflowPunct w:val="0"/>
              <w:autoSpaceDE w:val="0"/>
              <w:autoSpaceDN w:val="0"/>
              <w:adjustRightInd w:val="0"/>
              <w:spacing w:line="240" w:lineRule="auto"/>
              <w:textAlignment w:val="baseline"/>
              <w:rPr>
                <w:i/>
              </w:rPr>
            </w:pPr>
            <w:r>
              <w:rPr>
                <w:i/>
              </w:rPr>
              <w:t>E-mail</w:t>
            </w:r>
          </w:p>
        </w:tc>
        <w:tc>
          <w:tcPr>
            <w:tcW w:w="5670" w:type="dxa"/>
          </w:tcPr>
          <w:p w14:paraId="25F375C5" w14:textId="09BC1255" w:rsidR="00354B98" w:rsidRPr="00354B98" w:rsidRDefault="00E23721" w:rsidP="00354B98">
            <w:pPr>
              <w:overflowPunct w:val="0"/>
              <w:autoSpaceDE w:val="0"/>
              <w:autoSpaceDN w:val="0"/>
              <w:adjustRightInd w:val="0"/>
              <w:spacing w:line="240" w:lineRule="auto"/>
              <w:textAlignment w:val="baseline"/>
              <w:rPr>
                <w:i/>
                <w:iCs/>
              </w:rPr>
            </w:pPr>
            <w:hyperlink r:id="rId28" w:history="1">
              <w:r>
                <w:rPr>
                  <w:i/>
                  <w:color w:val="0000FF"/>
                  <w:u w:val="single"/>
                </w:rPr>
                <w:t xml:space="preserve">Bartek.Bednarowicz@eesc.europa.eu </w:t>
              </w:r>
            </w:hyperlink>
          </w:p>
        </w:tc>
      </w:tr>
    </w:tbl>
    <w:p w14:paraId="170BF400" w14:textId="77777777" w:rsidR="00354B98" w:rsidRPr="00354B98" w:rsidRDefault="00354B98" w:rsidP="00354B98">
      <w:pPr>
        <w:overflowPunct w:val="0"/>
        <w:autoSpaceDE w:val="0"/>
        <w:autoSpaceDN w:val="0"/>
        <w:adjustRightInd w:val="0"/>
        <w:jc w:val="center"/>
        <w:textAlignment w:val="baseline"/>
        <w:rPr>
          <w:szCs w:val="20"/>
          <w:lang w:val="en-GB"/>
        </w:rPr>
      </w:pPr>
    </w:p>
    <w:p w14:paraId="14FBB575" w14:textId="54D599FA" w:rsidR="00C82A9F" w:rsidRDefault="00C82A9F">
      <w:pPr>
        <w:spacing w:after="160" w:line="259" w:lineRule="auto"/>
        <w:jc w:val="left"/>
      </w:pPr>
      <w:r>
        <w:br w:type="page"/>
      </w:r>
    </w:p>
    <w:p w14:paraId="7477FCDA" w14:textId="261E9478" w:rsidR="005D43B9" w:rsidRPr="005D43B9" w:rsidRDefault="00E23721" w:rsidP="005D43B9">
      <w:pPr>
        <w:widowControl w:val="0"/>
        <w:numPr>
          <w:ilvl w:val="0"/>
          <w:numId w:val="8"/>
        </w:numPr>
        <w:overflowPunct w:val="0"/>
        <w:autoSpaceDE w:val="0"/>
        <w:autoSpaceDN w:val="0"/>
        <w:adjustRightInd w:val="0"/>
        <w:ind w:left="567" w:hanging="567"/>
        <w:textAlignment w:val="baseline"/>
        <w:rPr>
          <w:sz w:val="16"/>
          <w:szCs w:val="16"/>
        </w:rPr>
      </w:pPr>
      <w:hyperlink r:id="rId29" w:history="1">
        <w:r>
          <w:rPr>
            <w:b/>
            <w:i/>
            <w:color w:val="0000FF"/>
            <w:sz w:val="28"/>
            <w:u w:val="single"/>
          </w:rPr>
          <w:t>Concurrentievermogen van de EU en ondernemerschap onder jongeren</w:t>
        </w:r>
      </w:hyperlink>
    </w:p>
    <w:p w14:paraId="3A2C24D1" w14:textId="77777777" w:rsidR="005D43B9" w:rsidRPr="005D43B9" w:rsidRDefault="005D43B9" w:rsidP="004C6742">
      <w:pPr>
        <w:widowControl w:val="0"/>
        <w:overflowPunct w:val="0"/>
        <w:autoSpaceDE w:val="0"/>
        <w:autoSpaceDN w:val="0"/>
        <w:adjustRightInd w:val="0"/>
        <w:jc w:val="left"/>
        <w:textAlignment w:val="baseline"/>
        <w:rPr>
          <w:bCs/>
          <w:iCs/>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6663"/>
      </w:tblGrid>
      <w:tr w:rsidR="005D43B9" w:rsidRPr="005D43B9" w14:paraId="2FF33FAA" w14:textId="77777777" w:rsidTr="004C6742">
        <w:tc>
          <w:tcPr>
            <w:tcW w:w="1701" w:type="dxa"/>
          </w:tcPr>
          <w:p w14:paraId="4A8D35E0"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Pr>
                <w:b/>
              </w:rPr>
              <w:t>Rapporteur</w:t>
            </w:r>
          </w:p>
          <w:p w14:paraId="2658A4F3"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p>
        </w:tc>
        <w:tc>
          <w:tcPr>
            <w:tcW w:w="6663" w:type="dxa"/>
          </w:tcPr>
          <w:p w14:paraId="31BCB833" w14:textId="7B3A0553" w:rsidR="005D43B9" w:rsidRPr="005D43B9" w:rsidRDefault="005D43B9" w:rsidP="005D43B9">
            <w:pPr>
              <w:overflowPunct w:val="0"/>
              <w:autoSpaceDE w:val="0"/>
              <w:autoSpaceDN w:val="0"/>
              <w:adjustRightInd w:val="0"/>
              <w:spacing w:line="240" w:lineRule="auto"/>
              <w:ind w:left="567" w:hanging="567"/>
              <w:textAlignment w:val="baseline"/>
            </w:pPr>
            <w:r>
              <w:t>Giuseppe GUERINI (groep Maatschappelijke Organisaties – IT)</w:t>
            </w:r>
          </w:p>
        </w:tc>
      </w:tr>
      <w:tr w:rsidR="005D43B9" w:rsidRPr="005D43B9" w14:paraId="118E6E00" w14:textId="77777777" w:rsidTr="004C6742">
        <w:tc>
          <w:tcPr>
            <w:tcW w:w="1701" w:type="dxa"/>
            <w:vMerge w:val="restart"/>
          </w:tcPr>
          <w:p w14:paraId="21DE2D02"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Pr>
                <w:b/>
              </w:rPr>
              <w:t>Referentiedocumenten</w:t>
            </w:r>
          </w:p>
        </w:tc>
        <w:tc>
          <w:tcPr>
            <w:tcW w:w="6663" w:type="dxa"/>
          </w:tcPr>
          <w:p w14:paraId="2EF0047D" w14:textId="66FB81B3" w:rsidR="004A4B18" w:rsidRDefault="005E01B5" w:rsidP="00C56EF3">
            <w:pPr>
              <w:tabs>
                <w:tab w:val="center" w:pos="284"/>
              </w:tabs>
              <w:overflowPunct w:val="0"/>
              <w:autoSpaceDE w:val="0"/>
              <w:autoSpaceDN w:val="0"/>
              <w:adjustRightInd w:val="0"/>
              <w:spacing w:line="240" w:lineRule="auto"/>
              <w:textAlignment w:val="baseline"/>
            </w:pPr>
            <w:r>
              <w:t>Verkennend advies op verzoek van het Cypriotische voorzitterschap van de Raad van de EU</w:t>
            </w:r>
          </w:p>
          <w:p w14:paraId="63716DCE" w14:textId="39FCB672" w:rsidR="005D43B9" w:rsidRPr="005D43B9" w:rsidRDefault="005D43B9" w:rsidP="005D43B9">
            <w:pPr>
              <w:tabs>
                <w:tab w:val="center" w:pos="284"/>
              </w:tabs>
              <w:overflowPunct w:val="0"/>
              <w:autoSpaceDE w:val="0"/>
              <w:autoSpaceDN w:val="0"/>
              <w:adjustRightInd w:val="0"/>
              <w:spacing w:line="240" w:lineRule="auto"/>
              <w:ind w:left="567" w:hanging="567"/>
              <w:textAlignment w:val="baseline"/>
            </w:pPr>
            <w:r>
              <w:t>EESC-2025-04305-00-00-AC</w:t>
            </w:r>
          </w:p>
        </w:tc>
      </w:tr>
      <w:tr w:rsidR="005D43B9" w:rsidRPr="005D43B9" w14:paraId="2A0968A0" w14:textId="77777777" w:rsidTr="004C6742">
        <w:tc>
          <w:tcPr>
            <w:tcW w:w="1701" w:type="dxa"/>
            <w:vMerge/>
          </w:tcPr>
          <w:p w14:paraId="201EBAA3"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b/>
                <w:lang w:val="pt-PT"/>
              </w:rPr>
            </w:pPr>
          </w:p>
        </w:tc>
        <w:tc>
          <w:tcPr>
            <w:tcW w:w="6663" w:type="dxa"/>
          </w:tcPr>
          <w:p w14:paraId="55EAC160"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sz w:val="16"/>
                <w:szCs w:val="16"/>
                <w:lang w:val="pt-PT"/>
              </w:rPr>
            </w:pPr>
          </w:p>
        </w:tc>
      </w:tr>
    </w:tbl>
    <w:p w14:paraId="45FF996B" w14:textId="77777777" w:rsidR="005D43B9" w:rsidRPr="005D43B9" w:rsidRDefault="005D43B9" w:rsidP="005D43B9">
      <w:pPr>
        <w:keepNext/>
        <w:keepLines/>
        <w:tabs>
          <w:tab w:val="center" w:pos="284"/>
        </w:tabs>
        <w:overflowPunct w:val="0"/>
        <w:autoSpaceDE w:val="0"/>
        <w:autoSpaceDN w:val="0"/>
        <w:adjustRightInd w:val="0"/>
        <w:spacing w:line="240" w:lineRule="auto"/>
        <w:ind w:left="266" w:hanging="266"/>
        <w:textAlignment w:val="baseline"/>
        <w:rPr>
          <w:b/>
        </w:rPr>
      </w:pPr>
      <w:r>
        <w:rPr>
          <w:b/>
        </w:rPr>
        <w:t>Hoofdpunten</w:t>
      </w:r>
    </w:p>
    <w:p w14:paraId="79AD68CC" w14:textId="77777777" w:rsidR="005D43B9" w:rsidRPr="005D43B9" w:rsidRDefault="005D43B9" w:rsidP="005D43B9">
      <w:pPr>
        <w:spacing w:before="100" w:beforeAutospacing="1" w:after="100" w:afterAutospacing="1" w:line="240" w:lineRule="auto"/>
        <w:rPr>
          <w:sz w:val="24"/>
          <w:szCs w:val="24"/>
        </w:rPr>
      </w:pPr>
      <w:r>
        <w:rPr>
          <w:sz w:val="24"/>
        </w:rPr>
        <w:t>Het EESC:</w:t>
      </w:r>
    </w:p>
    <w:p w14:paraId="0C9A4C87"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0" w:name="_Toc228805424"/>
      <w:r>
        <w:t>dringt aan op een alomvattende en gecoördineerde strategie van de EU en de lidstaten die voorziet in een geïntegreerd steunpakket voor jonge ondernemers, waarin toegankelijke financiering, opleiding op maat, mentorschap, coaching, incubatie en sterke lokale ecosystemen worden gecombineerd om de oprichting en duurzaamheid van bedrijven te maximaliseren;</w:t>
      </w:r>
      <w:bookmarkEnd w:id="10"/>
    </w:p>
    <w:p w14:paraId="1676989C"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1" w:name="_Toc228805425"/>
      <w:r>
        <w:t>dringt aan op een stapsgewijze verandering in de toegang tot financiering door sterker in te zetten op financieringsinstrumenten op maat voor jongeren die verder gaan dan traditionele bankleningen, met inbegrip van microfinanciering, alternatief kapitaal en gerichte steun voor ondernemingen in de sociale economie en andere impactgerichte modellen;</w:t>
      </w:r>
      <w:bookmarkEnd w:id="11"/>
    </w:p>
    <w:p w14:paraId="5EC949AC"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2" w:name="_Toc228805426"/>
      <w:r>
        <w:t>dringt aan op een ingrijpende vereenvoudiging van de administratieve en regelgevingskaders op EU-, nationaal en lokaal niveau om de administratieve rompslomp te verminderen, de nalevingskosten te verlagen en een stabiel, bedrijfsvriendelijk klimaat voor jonge ondernemers te creëren;</w:t>
      </w:r>
      <w:bookmarkEnd w:id="12"/>
    </w:p>
    <w:p w14:paraId="6B1C43BE"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3" w:name="_Toc228805427"/>
      <w:r>
        <w:t>beveelt aan onderwijs in ondernemerschap, financiële geletterdheid en ondernemingszin op te nemen in alle onderwijs- en opleidingsstelsels, met name in beroeps- en duale trajecten, en tegelijkertijd sterker in te zetten op digitale en geavanceerde vaardigheden, waaronder AI, om jongeren voor te bereiden op toekomstige markten;</w:t>
      </w:r>
      <w:bookmarkEnd w:id="13"/>
    </w:p>
    <w:p w14:paraId="365FBE52"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4" w:name="_Toc228805428"/>
      <w:r>
        <w:t>dringt aan op sterkere ondersteunende ecosystemen door middel van mentorschap, sponsoring, netwerkvorming en internationaliseringsmogelijkheden, met inbegrip van mobiliteitsregelingen en toegang tot grensoverschrijdende markten, om innovatie, schaalbaarheid en concurrentievermogen te bevorderen;</w:t>
      </w:r>
      <w:bookmarkEnd w:id="14"/>
    </w:p>
    <w:p w14:paraId="121511A7"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5" w:name="_Toc228805429"/>
      <w:r>
        <w:t>dringt aan op een inclusief en duurzaam ondernemerschapsbeleid dat lacunes voor ondervertegenwoordigde groepen wegwerkt, een “tweede kans”-cultuur bevordert, adequate sociale bescherming waarborgt en ondernemerschap onder jongeren positioneert als een vrijwillig, maar strategisch traject voor veerkrachtige arbeidsmarkten en het concurrentievermogen van de EU op lange termijn.</w:t>
      </w:r>
      <w:bookmarkEnd w:id="15"/>
    </w:p>
    <w:p w14:paraId="4D53008B" w14:textId="77777777" w:rsidR="005D43B9" w:rsidRPr="005D43B9" w:rsidRDefault="005D43B9" w:rsidP="005D43B9">
      <w:pPr>
        <w:overflowPunct w:val="0"/>
        <w:autoSpaceDE w:val="0"/>
        <w:autoSpaceDN w:val="0"/>
        <w:adjustRightInd w:val="0"/>
        <w:textAlignment w:val="baseline"/>
        <w:rPr>
          <w:szCs w:val="20"/>
          <w:lang w:val="en-GB"/>
        </w:rPr>
      </w:pPr>
    </w:p>
    <w:tbl>
      <w:tblPr>
        <w:tblStyle w:val="TableGrid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71"/>
      </w:tblGrid>
      <w:tr w:rsidR="005D43B9" w:rsidRPr="005D43B9" w14:paraId="3AEDDC10" w14:textId="77777777" w:rsidTr="002E7EFB">
        <w:tc>
          <w:tcPr>
            <w:tcW w:w="2263" w:type="dxa"/>
          </w:tcPr>
          <w:p w14:paraId="0448BC47" w14:textId="77777777" w:rsidR="005D43B9" w:rsidRPr="005D43B9" w:rsidRDefault="005D43B9" w:rsidP="005D43B9">
            <w:pPr>
              <w:overflowPunct w:val="0"/>
              <w:autoSpaceDE w:val="0"/>
              <w:autoSpaceDN w:val="0"/>
              <w:adjustRightInd w:val="0"/>
              <w:textAlignment w:val="baseline"/>
              <w:rPr>
                <w:i/>
                <w:iCs/>
              </w:rPr>
            </w:pPr>
            <w:r>
              <w:rPr>
                <w:i/>
              </w:rPr>
              <w:t>Contactpersoon</w:t>
            </w:r>
          </w:p>
        </w:tc>
        <w:tc>
          <w:tcPr>
            <w:tcW w:w="7371" w:type="dxa"/>
          </w:tcPr>
          <w:p w14:paraId="756B92DB" w14:textId="77777777" w:rsidR="005D43B9" w:rsidRPr="005D43B9" w:rsidRDefault="005D43B9" w:rsidP="005D43B9">
            <w:pPr>
              <w:overflowPunct w:val="0"/>
              <w:autoSpaceDE w:val="0"/>
              <w:autoSpaceDN w:val="0"/>
              <w:adjustRightInd w:val="0"/>
              <w:textAlignment w:val="baseline"/>
              <w:rPr>
                <w:i/>
                <w:iCs/>
              </w:rPr>
            </w:pPr>
            <w:r>
              <w:rPr>
                <w:i/>
              </w:rPr>
              <w:t>Bartek Bednarowicz</w:t>
            </w:r>
          </w:p>
        </w:tc>
      </w:tr>
      <w:tr w:rsidR="005D43B9" w:rsidRPr="005D43B9" w14:paraId="11B3891D" w14:textId="77777777" w:rsidTr="002E7EFB">
        <w:tc>
          <w:tcPr>
            <w:tcW w:w="2263" w:type="dxa"/>
          </w:tcPr>
          <w:p w14:paraId="52201912" w14:textId="77777777" w:rsidR="005D43B9" w:rsidRPr="005D43B9" w:rsidRDefault="005D43B9" w:rsidP="005D43B9">
            <w:pPr>
              <w:overflowPunct w:val="0"/>
              <w:autoSpaceDE w:val="0"/>
              <w:autoSpaceDN w:val="0"/>
              <w:adjustRightInd w:val="0"/>
              <w:textAlignment w:val="baseline"/>
              <w:rPr>
                <w:i/>
                <w:iCs/>
              </w:rPr>
            </w:pPr>
            <w:r>
              <w:rPr>
                <w:i/>
              </w:rPr>
              <w:t>Tel.</w:t>
            </w:r>
          </w:p>
        </w:tc>
        <w:tc>
          <w:tcPr>
            <w:tcW w:w="7371" w:type="dxa"/>
          </w:tcPr>
          <w:p w14:paraId="346E976A" w14:textId="77777777" w:rsidR="005D43B9" w:rsidRPr="005D43B9" w:rsidRDefault="005D43B9" w:rsidP="005D43B9">
            <w:pPr>
              <w:overflowPunct w:val="0"/>
              <w:autoSpaceDE w:val="0"/>
              <w:autoSpaceDN w:val="0"/>
              <w:adjustRightInd w:val="0"/>
              <w:textAlignment w:val="baseline"/>
              <w:rPr>
                <w:i/>
                <w:iCs/>
              </w:rPr>
            </w:pPr>
            <w:r>
              <w:rPr>
                <w:i/>
              </w:rPr>
              <w:t>+32 25469229</w:t>
            </w:r>
          </w:p>
        </w:tc>
      </w:tr>
      <w:tr w:rsidR="005D43B9" w:rsidRPr="005D43B9" w14:paraId="74A431CF" w14:textId="77777777" w:rsidTr="002E7EFB">
        <w:tc>
          <w:tcPr>
            <w:tcW w:w="2263" w:type="dxa"/>
          </w:tcPr>
          <w:p w14:paraId="2F9FDB94" w14:textId="77777777" w:rsidR="005D43B9" w:rsidRPr="005D43B9" w:rsidRDefault="005D43B9" w:rsidP="005D43B9">
            <w:pPr>
              <w:overflowPunct w:val="0"/>
              <w:autoSpaceDE w:val="0"/>
              <w:autoSpaceDN w:val="0"/>
              <w:adjustRightInd w:val="0"/>
              <w:textAlignment w:val="baseline"/>
              <w:rPr>
                <w:i/>
                <w:iCs/>
              </w:rPr>
            </w:pPr>
            <w:r>
              <w:rPr>
                <w:i/>
              </w:rPr>
              <w:t>E-mail</w:t>
            </w:r>
          </w:p>
        </w:tc>
        <w:tc>
          <w:tcPr>
            <w:tcW w:w="7371" w:type="dxa"/>
          </w:tcPr>
          <w:p w14:paraId="22B77F87" w14:textId="73F4B2EC" w:rsidR="005D43B9" w:rsidRPr="005D43B9" w:rsidRDefault="00E23721" w:rsidP="005D43B9">
            <w:pPr>
              <w:overflowPunct w:val="0"/>
              <w:autoSpaceDE w:val="0"/>
              <w:autoSpaceDN w:val="0"/>
              <w:adjustRightInd w:val="0"/>
              <w:textAlignment w:val="baseline"/>
              <w:rPr>
                <w:i/>
                <w:iCs/>
              </w:rPr>
            </w:pPr>
            <w:hyperlink r:id="rId30" w:history="1">
              <w:r>
                <w:rPr>
                  <w:i/>
                  <w:color w:val="0000FF"/>
                  <w:u w:val="single"/>
                </w:rPr>
                <w:t>Bartek.Bednarowicz@eesc.europa.eu</w:t>
              </w:r>
            </w:hyperlink>
          </w:p>
        </w:tc>
      </w:tr>
    </w:tbl>
    <w:p w14:paraId="2180EF54" w14:textId="6B9FAAB4" w:rsidR="005D43B9" w:rsidRDefault="005D43B9" w:rsidP="001766B2"/>
    <w:p w14:paraId="6764B06D" w14:textId="77777777" w:rsidR="005D43B9" w:rsidRDefault="005D43B9">
      <w:pPr>
        <w:spacing w:after="160" w:line="259" w:lineRule="auto"/>
        <w:jc w:val="left"/>
      </w:pPr>
      <w:r>
        <w:br w:type="page"/>
      </w:r>
    </w:p>
    <w:p w14:paraId="05853DC0" w14:textId="2A429220" w:rsidR="001A42F8" w:rsidRPr="00C56EF3" w:rsidRDefault="00E23721" w:rsidP="001A42F8">
      <w:pPr>
        <w:widowControl w:val="0"/>
        <w:numPr>
          <w:ilvl w:val="0"/>
          <w:numId w:val="8"/>
        </w:numPr>
        <w:overflowPunct w:val="0"/>
        <w:autoSpaceDE w:val="0"/>
        <w:autoSpaceDN w:val="0"/>
        <w:adjustRightInd w:val="0"/>
        <w:ind w:left="567" w:hanging="567"/>
        <w:textAlignment w:val="baseline"/>
        <w:rPr>
          <w:sz w:val="16"/>
          <w:szCs w:val="16"/>
        </w:rPr>
      </w:pPr>
      <w:hyperlink r:id="rId31" w:history="1">
        <w:r>
          <w:rPr>
            <w:b/>
            <w:i/>
            <w:color w:val="0000FF"/>
            <w:sz w:val="28"/>
            <w:u w:val="single"/>
          </w:rPr>
          <w:t>EU-drugsstrategie</w:t>
        </w:r>
      </w:hyperlink>
    </w:p>
    <w:p w14:paraId="5FBC5636" w14:textId="77777777" w:rsidR="00C56EF3" w:rsidRPr="00C56EF3" w:rsidRDefault="00C56EF3" w:rsidP="00C56EF3">
      <w:pPr>
        <w:widowControl w:val="0"/>
        <w:overflowPunct w:val="0"/>
        <w:autoSpaceDE w:val="0"/>
        <w:autoSpaceDN w:val="0"/>
        <w:adjustRightInd w:val="0"/>
        <w:textAlignment w:val="baseline"/>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6237"/>
      </w:tblGrid>
      <w:tr w:rsidR="001A42F8" w:rsidRPr="001A42F8" w14:paraId="662136A7" w14:textId="77777777" w:rsidTr="004C6742">
        <w:tc>
          <w:tcPr>
            <w:tcW w:w="1701" w:type="dxa"/>
          </w:tcPr>
          <w:p w14:paraId="58B9919E"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Pr>
                <w:b/>
              </w:rPr>
              <w:t>Rapporteur</w:t>
            </w:r>
          </w:p>
          <w:p w14:paraId="62145102"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p>
        </w:tc>
        <w:tc>
          <w:tcPr>
            <w:tcW w:w="6237" w:type="dxa"/>
          </w:tcPr>
          <w:p w14:paraId="56646FC8" w14:textId="63FDEAFD" w:rsidR="001A42F8" w:rsidRPr="001A42F8" w:rsidRDefault="001A42F8" w:rsidP="001A42F8">
            <w:pPr>
              <w:overflowPunct w:val="0"/>
              <w:autoSpaceDE w:val="0"/>
              <w:autoSpaceDN w:val="0"/>
              <w:adjustRightInd w:val="0"/>
              <w:ind w:left="567" w:hanging="567"/>
              <w:textAlignment w:val="baseline"/>
            </w:pPr>
            <w:r>
              <w:t>Diego DUTTO (groep Maatschappelijke Organisaties – IT)</w:t>
            </w:r>
          </w:p>
        </w:tc>
      </w:tr>
      <w:tr w:rsidR="001A42F8" w:rsidRPr="001A42F8" w14:paraId="090EED85" w14:textId="77777777" w:rsidTr="004C6742">
        <w:tc>
          <w:tcPr>
            <w:tcW w:w="1701" w:type="dxa"/>
            <w:vMerge w:val="restart"/>
          </w:tcPr>
          <w:p w14:paraId="233A8D32"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Pr>
                <w:b/>
              </w:rPr>
              <w:t>Referentiedocumenten</w:t>
            </w:r>
          </w:p>
        </w:tc>
        <w:tc>
          <w:tcPr>
            <w:tcW w:w="6237" w:type="dxa"/>
          </w:tcPr>
          <w:p w14:paraId="5D489118" w14:textId="0B2B133B" w:rsidR="00E8783B" w:rsidRDefault="002C3C5F" w:rsidP="001A42F8">
            <w:pPr>
              <w:tabs>
                <w:tab w:val="center" w:pos="284"/>
              </w:tabs>
              <w:overflowPunct w:val="0"/>
              <w:autoSpaceDE w:val="0"/>
              <w:autoSpaceDN w:val="0"/>
              <w:adjustRightInd w:val="0"/>
              <w:ind w:left="567" w:hanging="567"/>
              <w:textAlignment w:val="baseline"/>
            </w:pPr>
            <w:r>
              <w:t>COM(2025) 743 final</w:t>
            </w:r>
          </w:p>
          <w:p w14:paraId="04484E34" w14:textId="756ABE61" w:rsidR="002C3C5F" w:rsidRDefault="002C3C5F" w:rsidP="001A42F8">
            <w:pPr>
              <w:tabs>
                <w:tab w:val="center" w:pos="284"/>
              </w:tabs>
              <w:overflowPunct w:val="0"/>
              <w:autoSpaceDE w:val="0"/>
              <w:autoSpaceDN w:val="0"/>
              <w:adjustRightInd w:val="0"/>
              <w:ind w:left="567" w:hanging="567"/>
              <w:textAlignment w:val="baseline"/>
            </w:pPr>
            <w:r>
              <w:t>COM(2025 744 final</w:t>
            </w:r>
          </w:p>
          <w:p w14:paraId="1847798E" w14:textId="37891D3B" w:rsidR="001A42F8" w:rsidRPr="001A42F8" w:rsidRDefault="001A42F8" w:rsidP="001A42F8">
            <w:pPr>
              <w:tabs>
                <w:tab w:val="center" w:pos="284"/>
              </w:tabs>
              <w:overflowPunct w:val="0"/>
              <w:autoSpaceDE w:val="0"/>
              <w:autoSpaceDN w:val="0"/>
              <w:adjustRightInd w:val="0"/>
              <w:ind w:left="567" w:hanging="567"/>
              <w:textAlignment w:val="baseline"/>
            </w:pPr>
            <w:r>
              <w:t>EESC-2026-00238-00-00-AC</w:t>
            </w:r>
          </w:p>
        </w:tc>
      </w:tr>
      <w:tr w:rsidR="001A42F8" w:rsidRPr="001A42F8" w14:paraId="5C11C504" w14:textId="77777777" w:rsidTr="004C6742">
        <w:tc>
          <w:tcPr>
            <w:tcW w:w="1701" w:type="dxa"/>
            <w:vMerge/>
          </w:tcPr>
          <w:p w14:paraId="1CBAABE2" w14:textId="77777777" w:rsidR="001A42F8" w:rsidRPr="001A42F8" w:rsidRDefault="001A42F8" w:rsidP="001A42F8">
            <w:pPr>
              <w:tabs>
                <w:tab w:val="center" w:pos="284"/>
              </w:tabs>
              <w:overflowPunct w:val="0"/>
              <w:autoSpaceDE w:val="0"/>
              <w:autoSpaceDN w:val="0"/>
              <w:adjustRightInd w:val="0"/>
              <w:ind w:left="266" w:hanging="266"/>
              <w:textAlignment w:val="baseline"/>
              <w:rPr>
                <w:b/>
                <w:lang w:val="pt-PT"/>
              </w:rPr>
            </w:pPr>
          </w:p>
        </w:tc>
        <w:tc>
          <w:tcPr>
            <w:tcW w:w="6237" w:type="dxa"/>
          </w:tcPr>
          <w:p w14:paraId="4060C927" w14:textId="77777777" w:rsidR="001A42F8" w:rsidRPr="001A42F8" w:rsidRDefault="001A42F8" w:rsidP="001A42F8">
            <w:pPr>
              <w:tabs>
                <w:tab w:val="center" w:pos="284"/>
              </w:tabs>
              <w:overflowPunct w:val="0"/>
              <w:autoSpaceDE w:val="0"/>
              <w:autoSpaceDN w:val="0"/>
              <w:adjustRightInd w:val="0"/>
              <w:ind w:left="266" w:hanging="266"/>
              <w:textAlignment w:val="baseline"/>
              <w:rPr>
                <w:sz w:val="16"/>
                <w:szCs w:val="16"/>
                <w:lang w:val="pt-PT"/>
              </w:rPr>
            </w:pPr>
          </w:p>
        </w:tc>
      </w:tr>
    </w:tbl>
    <w:p w14:paraId="30C02137" w14:textId="77777777" w:rsidR="001A42F8" w:rsidRPr="001A42F8" w:rsidRDefault="001A42F8" w:rsidP="001A42F8">
      <w:pPr>
        <w:keepNext/>
        <w:keepLines/>
        <w:tabs>
          <w:tab w:val="center" w:pos="284"/>
        </w:tabs>
        <w:overflowPunct w:val="0"/>
        <w:autoSpaceDE w:val="0"/>
        <w:autoSpaceDN w:val="0"/>
        <w:adjustRightInd w:val="0"/>
        <w:ind w:left="266" w:hanging="266"/>
        <w:textAlignment w:val="baseline"/>
        <w:rPr>
          <w:b/>
        </w:rPr>
      </w:pPr>
      <w:r>
        <w:rPr>
          <w:b/>
        </w:rPr>
        <w:t>Hoofdpunten</w:t>
      </w:r>
    </w:p>
    <w:p w14:paraId="55C710FF" w14:textId="77777777" w:rsidR="001A42F8" w:rsidRPr="00C56EF3" w:rsidRDefault="001A42F8" w:rsidP="00C56EF3">
      <w:pPr>
        <w:widowControl w:val="0"/>
        <w:overflowPunct w:val="0"/>
        <w:autoSpaceDE w:val="0"/>
        <w:autoSpaceDN w:val="0"/>
        <w:adjustRightInd w:val="0"/>
        <w:textAlignment w:val="baseline"/>
      </w:pPr>
    </w:p>
    <w:p w14:paraId="50E3F48E" w14:textId="77777777" w:rsidR="001A42F8" w:rsidRPr="004C6742" w:rsidRDefault="001A42F8" w:rsidP="00C56EF3">
      <w:pPr>
        <w:spacing w:line="240" w:lineRule="auto"/>
      </w:pPr>
      <w:r>
        <w:rPr>
          <w:b/>
        </w:rPr>
        <w:t>Het EESC:</w:t>
      </w:r>
    </w:p>
    <w:p w14:paraId="5429D755" w14:textId="77777777" w:rsidR="001A42F8" w:rsidRPr="001A42F8" w:rsidRDefault="001A42F8" w:rsidP="002C3C5F">
      <w:pPr>
        <w:ind w:left="1134" w:hanging="1134"/>
        <w:rPr>
          <w:lang w:val="en-GB" w:eastAsia="fr-BE"/>
        </w:rPr>
      </w:pPr>
    </w:p>
    <w:p w14:paraId="6436B95C"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beklemtoont dat de doeltreffendheid van de strategie van de EU zal afhangen van haar vermogen om op trends te anticiperen; beklemtoont dat de doeltreffendheid van de strategie van de EU zal afhangen van haar vermogen om op trends te anticiperen; beveelt de Commissie aan zich niet te beperken tot reactieve indicatoren (inbeslagnames van drugs en doden) en te voorzien in structurele, verplichte steun voor gestandaardiseerde monitoringsystemen;</w:t>
      </w:r>
    </w:p>
    <w:p w14:paraId="2271E454"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stelt met bezorgdheid vast dat de strategie te zeer gericht is op traditionele illegale stoffen. Onder jongeren komt steeds vaker off-labelgebruik van legale drugs voor. Zaak is dan ook dat EU-richtsnoeren worden ingevoerd voor het toezicht op het voorschrijven van drugs en dat specifieke campagnes worden opgezet om mensen bekend te maken met het verslavingsrisico van legale psychoactieve drugs;</w:t>
      </w:r>
    </w:p>
    <w:p w14:paraId="06511F32"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beveelt aan om nauwlettend toe te zien op de prevalentie van opioïde pijnstillers. Zaak is te voorkomen dat maatschappelijke groepen die ogenschijnlijk geen risico lopen, verslaafd raken aan deze stoffen die zij langs legale weg verkrijgen;</w:t>
      </w:r>
    </w:p>
    <w:p w14:paraId="712668E0"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wijst erop dat er EU-protocollen voor vroegtijdige interventie moeten worden ontwikkeld om de sociale en gezondheidsdiensten te ondersteunen bij het in een vroeg stadium opsporen van nieuwe druggebruikers;</w:t>
      </w:r>
    </w:p>
    <w:p w14:paraId="69923D8D"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beveelt aan specifieke kernprestatie-indicatoren (KPI’s) vast te stellen om de doeltreffendheid van het preventiebeleid te beoordelen, waarbij het succes niet alleen wordt gemeten aan de hand van de inbeslagnames van drugs, maar waarbij ook wordt gekeken naar de afname van nieuwe verslavingen en de doeltreffendheid van herintegratietrajecten;</w:t>
      </w:r>
    </w:p>
    <w:p w14:paraId="2A5044E2"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herhaalt dat de strijd tegen drugshandel niet los kan worden gezien van een robuust volksgezondheidsbeleid;</w:t>
      </w:r>
    </w:p>
    <w:p w14:paraId="646F52D6"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wijst erop dat het actieplan bijna uitsluitend is gericht op de beveiliging van fysieke (havens, logistieke centra) en digitale infrastructuur, terwijl de gemeenschapsdimensie wordt veronachtzaamd;</w:t>
      </w:r>
    </w:p>
    <w:p w14:paraId="1DC9D98D"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wijst erop dat het actieplan de lidstaten onvoldoende richtsnoeren biedt in verband met de beleidsmaatregelen die zij zouden moeten nemen om de verspreiding van drugsgebruik tegen te gaan.</w:t>
      </w:r>
    </w:p>
    <w:p w14:paraId="7CC45175" w14:textId="77777777" w:rsidR="001A42F8" w:rsidRPr="001A42F8" w:rsidRDefault="001A42F8" w:rsidP="001A42F8">
      <w:pPr>
        <w:overflowPunct w:val="0"/>
        <w:autoSpaceDE w:val="0"/>
        <w:autoSpaceDN w:val="0"/>
        <w:adjustRightInd w:val="0"/>
        <w:textAlignment w:val="baseline"/>
        <w:rPr>
          <w:szCs w:val="20"/>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4493"/>
      </w:tblGrid>
      <w:tr w:rsidR="001A42F8" w:rsidRPr="001A42F8" w14:paraId="6F6F0875" w14:textId="77777777" w:rsidTr="002E7EFB">
        <w:tc>
          <w:tcPr>
            <w:tcW w:w="1210" w:type="dxa"/>
          </w:tcPr>
          <w:p w14:paraId="1275EF0A" w14:textId="77777777" w:rsidR="001A42F8" w:rsidRPr="001A42F8" w:rsidRDefault="001A42F8" w:rsidP="001A42F8">
            <w:pPr>
              <w:overflowPunct w:val="0"/>
              <w:autoSpaceDE w:val="0"/>
              <w:autoSpaceDN w:val="0"/>
              <w:adjustRightInd w:val="0"/>
              <w:spacing w:line="240" w:lineRule="auto"/>
              <w:textAlignment w:val="baseline"/>
              <w:rPr>
                <w:i/>
              </w:rPr>
            </w:pPr>
            <w:r>
              <w:rPr>
                <w:b/>
                <w:i/>
              </w:rPr>
              <w:t>Contactpersoon</w:t>
            </w:r>
          </w:p>
        </w:tc>
        <w:tc>
          <w:tcPr>
            <w:tcW w:w="4493" w:type="dxa"/>
          </w:tcPr>
          <w:p w14:paraId="51601E16" w14:textId="77777777" w:rsidR="001A42F8" w:rsidRPr="001A42F8" w:rsidRDefault="001A42F8" w:rsidP="001A42F8">
            <w:pPr>
              <w:overflowPunct w:val="0"/>
              <w:autoSpaceDE w:val="0"/>
              <w:autoSpaceDN w:val="0"/>
              <w:adjustRightInd w:val="0"/>
              <w:spacing w:line="240" w:lineRule="auto"/>
              <w:ind w:hanging="12"/>
              <w:textAlignment w:val="baseline"/>
              <w:rPr>
                <w:i/>
              </w:rPr>
            </w:pPr>
            <w:r>
              <w:rPr>
                <w:i/>
              </w:rPr>
              <w:t>Gemma Amran</w:t>
            </w:r>
          </w:p>
        </w:tc>
      </w:tr>
      <w:tr w:rsidR="001A42F8" w:rsidRPr="001A42F8" w14:paraId="6CBEA581" w14:textId="77777777" w:rsidTr="002E7EFB">
        <w:tc>
          <w:tcPr>
            <w:tcW w:w="1210" w:type="dxa"/>
          </w:tcPr>
          <w:p w14:paraId="11A461E0" w14:textId="77777777" w:rsidR="001A42F8" w:rsidRPr="001A42F8" w:rsidRDefault="001A42F8" w:rsidP="001A42F8">
            <w:pPr>
              <w:overflowPunct w:val="0"/>
              <w:autoSpaceDE w:val="0"/>
              <w:autoSpaceDN w:val="0"/>
              <w:adjustRightInd w:val="0"/>
              <w:spacing w:line="240" w:lineRule="auto"/>
              <w:textAlignment w:val="baseline"/>
              <w:rPr>
                <w:i/>
              </w:rPr>
            </w:pPr>
            <w:r>
              <w:rPr>
                <w:i/>
              </w:rPr>
              <w:t>Tel.</w:t>
            </w:r>
          </w:p>
        </w:tc>
        <w:tc>
          <w:tcPr>
            <w:tcW w:w="4493" w:type="dxa"/>
          </w:tcPr>
          <w:p w14:paraId="6A4B7B1B" w14:textId="77777777" w:rsidR="001A42F8" w:rsidRPr="001A42F8" w:rsidRDefault="001A42F8" w:rsidP="001A42F8">
            <w:pPr>
              <w:overflowPunct w:val="0"/>
              <w:autoSpaceDE w:val="0"/>
              <w:autoSpaceDN w:val="0"/>
              <w:adjustRightInd w:val="0"/>
              <w:spacing w:line="240" w:lineRule="auto"/>
              <w:textAlignment w:val="baseline"/>
              <w:rPr>
                <w:i/>
              </w:rPr>
            </w:pPr>
            <w:r>
              <w:rPr>
                <w:i/>
              </w:rPr>
              <w:t>+32 25469</w:t>
            </w:r>
            <w:r>
              <w:t>415</w:t>
            </w:r>
          </w:p>
        </w:tc>
      </w:tr>
      <w:tr w:rsidR="001A42F8" w:rsidRPr="001A42F8" w14:paraId="0CEF3057" w14:textId="77777777" w:rsidTr="002E7EFB">
        <w:tc>
          <w:tcPr>
            <w:tcW w:w="1210" w:type="dxa"/>
          </w:tcPr>
          <w:p w14:paraId="68E038E0" w14:textId="77777777" w:rsidR="001A42F8" w:rsidRPr="001A42F8" w:rsidRDefault="001A42F8" w:rsidP="001A42F8">
            <w:pPr>
              <w:overflowPunct w:val="0"/>
              <w:autoSpaceDE w:val="0"/>
              <w:autoSpaceDN w:val="0"/>
              <w:adjustRightInd w:val="0"/>
              <w:spacing w:line="240" w:lineRule="auto"/>
              <w:textAlignment w:val="baseline"/>
              <w:rPr>
                <w:i/>
              </w:rPr>
            </w:pPr>
            <w:r>
              <w:rPr>
                <w:i/>
              </w:rPr>
              <w:t>E-mail</w:t>
            </w:r>
          </w:p>
        </w:tc>
        <w:tc>
          <w:tcPr>
            <w:tcW w:w="4493" w:type="dxa"/>
          </w:tcPr>
          <w:p w14:paraId="7CF2E2AE" w14:textId="4F28B004" w:rsidR="001A42F8" w:rsidRPr="001A42F8" w:rsidRDefault="00E23721" w:rsidP="001A42F8">
            <w:pPr>
              <w:overflowPunct w:val="0"/>
              <w:autoSpaceDE w:val="0"/>
              <w:autoSpaceDN w:val="0"/>
              <w:adjustRightInd w:val="0"/>
              <w:spacing w:line="240" w:lineRule="auto"/>
              <w:textAlignment w:val="baseline"/>
              <w:rPr>
                <w:i/>
                <w:iCs/>
              </w:rPr>
            </w:pPr>
            <w:hyperlink r:id="rId32" w:history="1">
              <w:r>
                <w:rPr>
                  <w:i/>
                  <w:color w:val="0000FF"/>
                  <w:u w:val="single"/>
                </w:rPr>
                <w:t>Gemma.Amran@eesc.europa.eu</w:t>
              </w:r>
            </w:hyperlink>
          </w:p>
        </w:tc>
      </w:tr>
    </w:tbl>
    <w:p w14:paraId="4CE2AFBF" w14:textId="77777777" w:rsidR="001A42F8" w:rsidRDefault="001A42F8">
      <w:pPr>
        <w:spacing w:after="160" w:line="259" w:lineRule="auto"/>
        <w:jc w:val="left"/>
      </w:pPr>
      <w:r>
        <w:br w:type="page"/>
      </w:r>
    </w:p>
    <w:p w14:paraId="6E89C215" w14:textId="70FD0E40" w:rsidR="00C53E67" w:rsidRPr="00C53E67" w:rsidRDefault="00A067F3" w:rsidP="004C6742">
      <w:pPr>
        <w:widowControl w:val="0"/>
        <w:numPr>
          <w:ilvl w:val="0"/>
          <w:numId w:val="4"/>
        </w:numPr>
        <w:overflowPunct w:val="0"/>
        <w:autoSpaceDE w:val="0"/>
        <w:autoSpaceDN w:val="0"/>
        <w:adjustRightInd w:val="0"/>
        <w:ind w:hanging="567"/>
        <w:textAlignment w:val="baseline"/>
        <w:rPr>
          <w:b/>
        </w:rPr>
      </w:pPr>
      <w:hyperlink r:id="rId33" w:history="1">
        <w:r>
          <w:rPr>
            <w:b/>
            <w:i/>
            <w:color w:val="0000FF"/>
            <w:sz w:val="28"/>
            <w:u w:val="single"/>
          </w:rPr>
          <w:t>Een cultuurkompas voor Europa</w:t>
        </w:r>
      </w:hyperlink>
    </w:p>
    <w:p w14:paraId="35E79844" w14:textId="77777777" w:rsidR="00C53E67" w:rsidRDefault="00C53E67" w:rsidP="00C53E67">
      <w:pPr>
        <w:widowControl w:val="0"/>
        <w:overflowPunct w:val="0"/>
        <w:autoSpaceDE w:val="0"/>
        <w:autoSpaceDN w:val="0"/>
        <w:adjustRightInd w:val="0"/>
        <w:ind w:left="266"/>
        <w:textAlignment w:val="baseline"/>
        <w:rPr>
          <w:b/>
          <w:sz w:val="18"/>
          <w:szCs w:val="18"/>
          <w:lang w:val="en-GB"/>
        </w:rPr>
      </w:pPr>
    </w:p>
    <w:p w14:paraId="4A204B30" w14:textId="77777777" w:rsidR="001D292C" w:rsidRPr="00C53E67" w:rsidRDefault="001D292C" w:rsidP="00C53E67">
      <w:pPr>
        <w:widowControl w:val="0"/>
        <w:overflowPunct w:val="0"/>
        <w:autoSpaceDE w:val="0"/>
        <w:autoSpaceDN w:val="0"/>
        <w:adjustRightInd w:val="0"/>
        <w:ind w:left="266"/>
        <w:textAlignment w:val="baseline"/>
        <w:rPr>
          <w:b/>
          <w:sz w:val="18"/>
          <w:szCs w:val="18"/>
          <w:lang w:val="en-GB"/>
        </w:rPr>
      </w:pPr>
    </w:p>
    <w:tbl>
      <w:tblPr>
        <w:tblStyle w:val="TableGrid7"/>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6"/>
        <w:gridCol w:w="5657"/>
      </w:tblGrid>
      <w:tr w:rsidR="00C53E67" w:rsidRPr="00C53E67" w14:paraId="2091F211" w14:textId="77777777" w:rsidTr="002E7EFB">
        <w:tc>
          <w:tcPr>
            <w:tcW w:w="1321" w:type="pct"/>
          </w:tcPr>
          <w:p w14:paraId="10C92D44" w14:textId="77777777" w:rsidR="00C53E67" w:rsidRPr="00C53E67" w:rsidRDefault="00C53E67" w:rsidP="00C53E67">
            <w:pPr>
              <w:overflowPunct w:val="0"/>
              <w:autoSpaceDE w:val="0"/>
              <w:autoSpaceDN w:val="0"/>
              <w:adjustRightInd w:val="0"/>
              <w:ind w:left="-113"/>
              <w:textAlignment w:val="baseline"/>
              <w:rPr>
                <w:b/>
              </w:rPr>
            </w:pPr>
            <w:r>
              <w:rPr>
                <w:b/>
              </w:rPr>
              <w:t xml:space="preserve">Rapporteur </w:t>
            </w:r>
          </w:p>
        </w:tc>
        <w:tc>
          <w:tcPr>
            <w:tcW w:w="3679" w:type="pct"/>
          </w:tcPr>
          <w:p w14:paraId="10DA44E6" w14:textId="77777777" w:rsidR="00C53E67" w:rsidRPr="00C53E67" w:rsidRDefault="00C53E67" w:rsidP="00C53E67">
            <w:pPr>
              <w:overflowPunct w:val="0"/>
              <w:autoSpaceDE w:val="0"/>
              <w:autoSpaceDN w:val="0"/>
              <w:adjustRightInd w:val="0"/>
              <w:ind w:left="-113"/>
              <w:textAlignment w:val="baseline"/>
            </w:pPr>
            <w:r>
              <w:t>Luca JAHIER (groep Maatschappelijke Organisaties – IT)</w:t>
            </w:r>
          </w:p>
        </w:tc>
      </w:tr>
      <w:tr w:rsidR="00C53E67" w:rsidRPr="00C53E67" w14:paraId="12DAA263" w14:textId="77777777" w:rsidTr="002E7EFB">
        <w:tc>
          <w:tcPr>
            <w:tcW w:w="5000" w:type="pct"/>
            <w:gridSpan w:val="2"/>
          </w:tcPr>
          <w:p w14:paraId="1A0026BB" w14:textId="77777777" w:rsidR="00C53E67" w:rsidRPr="00C53E67" w:rsidRDefault="00C53E67" w:rsidP="00C53E67">
            <w:pPr>
              <w:overflowPunct w:val="0"/>
              <w:autoSpaceDE w:val="0"/>
              <w:autoSpaceDN w:val="0"/>
              <w:adjustRightInd w:val="0"/>
              <w:spacing w:line="160" w:lineRule="exact"/>
              <w:ind w:left="-113"/>
              <w:textAlignment w:val="baseline"/>
              <w:rPr>
                <w:sz w:val="14"/>
                <w:szCs w:val="14"/>
              </w:rPr>
            </w:pPr>
          </w:p>
        </w:tc>
      </w:tr>
      <w:tr w:rsidR="00C53E67" w:rsidRPr="00C53E67" w14:paraId="1917B1A6" w14:textId="77777777" w:rsidTr="002E7EFB">
        <w:tc>
          <w:tcPr>
            <w:tcW w:w="1321" w:type="pct"/>
          </w:tcPr>
          <w:p w14:paraId="68946A42" w14:textId="77777777" w:rsidR="00C53E67" w:rsidRPr="00C53E67" w:rsidRDefault="00C53E67" w:rsidP="00C53E67">
            <w:pPr>
              <w:overflowPunct w:val="0"/>
              <w:autoSpaceDE w:val="0"/>
              <w:autoSpaceDN w:val="0"/>
              <w:adjustRightInd w:val="0"/>
              <w:ind w:left="-113"/>
              <w:textAlignment w:val="baseline"/>
              <w:rPr>
                <w:b/>
              </w:rPr>
            </w:pPr>
            <w:r>
              <w:rPr>
                <w:b/>
              </w:rPr>
              <w:t>Referentiedocumenten</w:t>
            </w:r>
          </w:p>
        </w:tc>
        <w:tc>
          <w:tcPr>
            <w:tcW w:w="3679" w:type="pct"/>
          </w:tcPr>
          <w:p w14:paraId="3649F935" w14:textId="5EC0AA86" w:rsidR="00DE1BF7" w:rsidRDefault="00DE1BF7" w:rsidP="00C53E67">
            <w:pPr>
              <w:overflowPunct w:val="0"/>
              <w:autoSpaceDE w:val="0"/>
              <w:autoSpaceDN w:val="0"/>
              <w:adjustRightInd w:val="0"/>
              <w:ind w:left="-113"/>
              <w:textAlignment w:val="baseline"/>
            </w:pPr>
            <w:r>
              <w:t>COM(2025) 785 final</w:t>
            </w:r>
          </w:p>
          <w:p w14:paraId="72ADC23E" w14:textId="431F11BB" w:rsidR="00DE1BF7" w:rsidRDefault="00DE1BF7" w:rsidP="00C53E67">
            <w:pPr>
              <w:overflowPunct w:val="0"/>
              <w:autoSpaceDE w:val="0"/>
              <w:autoSpaceDN w:val="0"/>
              <w:adjustRightInd w:val="0"/>
              <w:ind w:left="-113"/>
              <w:textAlignment w:val="baseline"/>
            </w:pPr>
            <w:r>
              <w:t>COM(2025) 786 final</w:t>
            </w:r>
          </w:p>
          <w:p w14:paraId="20BD4BF5" w14:textId="0E4CE06A" w:rsidR="00C53E67" w:rsidRPr="00C53E67" w:rsidRDefault="00C53E67" w:rsidP="00C53E67">
            <w:pPr>
              <w:overflowPunct w:val="0"/>
              <w:autoSpaceDE w:val="0"/>
              <w:autoSpaceDN w:val="0"/>
              <w:adjustRightInd w:val="0"/>
              <w:ind w:left="-113"/>
              <w:textAlignment w:val="baseline"/>
            </w:pPr>
            <w:r>
              <w:t>EESC-2025-04241-00-00-AC</w:t>
            </w:r>
          </w:p>
        </w:tc>
      </w:tr>
    </w:tbl>
    <w:p w14:paraId="3D06F742" w14:textId="77777777" w:rsidR="00C53E67" w:rsidRPr="00C53E67" w:rsidRDefault="00C53E67" w:rsidP="00C56EF3">
      <w:pPr>
        <w:keepNext/>
        <w:keepLines/>
        <w:tabs>
          <w:tab w:val="center" w:pos="284"/>
        </w:tabs>
        <w:overflowPunct w:val="0"/>
        <w:autoSpaceDE w:val="0"/>
        <w:autoSpaceDN w:val="0"/>
        <w:adjustRightInd w:val="0"/>
        <w:ind w:left="266" w:hanging="266"/>
        <w:textAlignment w:val="baseline"/>
        <w:rPr>
          <w:b/>
          <w:sz w:val="18"/>
          <w:szCs w:val="18"/>
          <w:lang w:val="en-GB"/>
        </w:rPr>
      </w:pPr>
    </w:p>
    <w:p w14:paraId="4F488388" w14:textId="77777777" w:rsidR="00C53E67" w:rsidRPr="00C53E67" w:rsidRDefault="00C53E67" w:rsidP="00C56EF3">
      <w:pPr>
        <w:keepNext/>
        <w:keepLines/>
        <w:tabs>
          <w:tab w:val="center" w:pos="284"/>
        </w:tabs>
        <w:overflowPunct w:val="0"/>
        <w:autoSpaceDE w:val="0"/>
        <w:autoSpaceDN w:val="0"/>
        <w:adjustRightInd w:val="0"/>
        <w:ind w:left="266" w:hanging="266"/>
        <w:textAlignment w:val="baseline"/>
        <w:rPr>
          <w:b/>
        </w:rPr>
      </w:pPr>
      <w:r>
        <w:rPr>
          <w:b/>
        </w:rPr>
        <w:t>Hoofdpunten</w:t>
      </w:r>
    </w:p>
    <w:p w14:paraId="2BEAC91B" w14:textId="77777777" w:rsidR="00C53E67" w:rsidRPr="00C56EF3" w:rsidRDefault="00C53E67" w:rsidP="00C56EF3">
      <w:pPr>
        <w:keepNext/>
        <w:keepLines/>
        <w:tabs>
          <w:tab w:val="center" w:pos="284"/>
        </w:tabs>
        <w:overflowPunct w:val="0"/>
        <w:autoSpaceDE w:val="0"/>
        <w:autoSpaceDN w:val="0"/>
        <w:adjustRightInd w:val="0"/>
        <w:ind w:left="266" w:hanging="266"/>
        <w:textAlignment w:val="baseline"/>
        <w:rPr>
          <w:b/>
          <w:lang w:val="en-GB"/>
        </w:rPr>
      </w:pPr>
    </w:p>
    <w:p w14:paraId="6931DC56" w14:textId="77777777" w:rsidR="00C53E67" w:rsidRDefault="00C53E67" w:rsidP="00C56EF3">
      <w:pPr>
        <w:overflowPunct w:val="0"/>
        <w:autoSpaceDE w:val="0"/>
        <w:autoSpaceDN w:val="0"/>
        <w:adjustRightInd w:val="0"/>
        <w:contextualSpacing/>
        <w:textAlignment w:val="baseline"/>
        <w:rPr>
          <w:bCs/>
          <w:iCs/>
        </w:rPr>
      </w:pPr>
      <w:r>
        <w:t>Het EESC:</w:t>
      </w:r>
    </w:p>
    <w:p w14:paraId="38DEACAE" w14:textId="77777777" w:rsidR="00C53E67" w:rsidRPr="00C53E67" w:rsidRDefault="00C53E67" w:rsidP="00C56EF3">
      <w:pPr>
        <w:numPr>
          <w:ilvl w:val="0"/>
          <w:numId w:val="27"/>
        </w:numPr>
        <w:overflowPunct w:val="0"/>
        <w:autoSpaceDE w:val="0"/>
        <w:autoSpaceDN w:val="0"/>
        <w:adjustRightInd w:val="0"/>
        <w:textAlignment w:val="baseline"/>
      </w:pPr>
      <w:r>
        <w:rPr>
          <w:b/>
          <w:bCs/>
        </w:rPr>
        <w:t>staat volledig achter het cultuurkompas voor Europa</w:t>
      </w:r>
      <w:r>
        <w:t>, als een actuele transversale strategie om cultuur en Europese culturele waarden te bevorderen en een bloeiende culturele sector te waarborgen;</w:t>
      </w:r>
    </w:p>
    <w:p w14:paraId="51935618" w14:textId="77777777" w:rsidR="00C53E67" w:rsidRPr="00C53E67" w:rsidRDefault="00C53E67" w:rsidP="00C56EF3">
      <w:pPr>
        <w:numPr>
          <w:ilvl w:val="0"/>
          <w:numId w:val="27"/>
        </w:numPr>
        <w:overflowPunct w:val="0"/>
        <w:autoSpaceDE w:val="0"/>
        <w:autoSpaceDN w:val="0"/>
        <w:adjustRightInd w:val="0"/>
        <w:spacing w:before="100" w:beforeAutospacing="1" w:after="100" w:afterAutospacing="1"/>
        <w:textAlignment w:val="baseline"/>
      </w:pPr>
      <w:r>
        <w:t xml:space="preserve">benadrukt </w:t>
      </w:r>
      <w:r>
        <w:rPr>
          <w:b/>
          <w:bCs/>
        </w:rPr>
        <w:t>de rol van cultuur bij het versterken van de democratie</w:t>
      </w:r>
      <w:r>
        <w:t>, het tegengaan van populistische en autoritaire narratieven en het bevorderen van sociale cohesie, paraatheid en duurzame ontwikkeling;</w:t>
      </w:r>
    </w:p>
    <w:p w14:paraId="1C5AAA1E" w14:textId="77777777" w:rsidR="00C53E67" w:rsidRPr="00C53E67" w:rsidRDefault="00C53E67" w:rsidP="00C56EF3">
      <w:pPr>
        <w:numPr>
          <w:ilvl w:val="0"/>
          <w:numId w:val="27"/>
        </w:numPr>
        <w:overflowPunct w:val="0"/>
        <w:autoSpaceDE w:val="0"/>
        <w:autoSpaceDN w:val="0"/>
        <w:adjustRightInd w:val="0"/>
        <w:spacing w:before="100" w:beforeAutospacing="1" w:after="100" w:afterAutospacing="1"/>
        <w:textAlignment w:val="baseline"/>
      </w:pPr>
      <w:r>
        <w:t xml:space="preserve">beveelt aan om </w:t>
      </w:r>
      <w:r>
        <w:rPr>
          <w:b/>
          <w:bCs/>
        </w:rPr>
        <w:t>synergieën te ontwikkelen</w:t>
      </w:r>
      <w:r>
        <w:t xml:space="preserve"> tussen het cultuurkompas en initiatieven zoals het Europees schild voor de democratie, met name op digitaal gebied;</w:t>
      </w:r>
    </w:p>
    <w:p w14:paraId="5D3CFABE" w14:textId="77777777" w:rsidR="00C53E67" w:rsidRPr="00C53E67" w:rsidRDefault="00C53E67" w:rsidP="00C56EF3">
      <w:pPr>
        <w:numPr>
          <w:ilvl w:val="0"/>
          <w:numId w:val="27"/>
        </w:numPr>
        <w:overflowPunct w:val="0"/>
        <w:autoSpaceDE w:val="0"/>
        <w:autoSpaceDN w:val="0"/>
        <w:adjustRightInd w:val="0"/>
        <w:spacing w:before="100" w:beforeAutospacing="1" w:after="100" w:afterAutospacing="1"/>
        <w:textAlignment w:val="baseline"/>
      </w:pPr>
      <w:r>
        <w:t xml:space="preserve">benadrukt het grote belang van </w:t>
      </w:r>
      <w:r>
        <w:rPr>
          <w:b/>
          <w:bCs/>
        </w:rPr>
        <w:t>een specifieke AI-strategie voor de culturele en creatieve sectoren</w:t>
      </w:r>
      <w:r>
        <w:t xml:space="preserve"> en roept op tot bescherming van creatief eigendom, de ontwikkeling van licentiemarkten en richtsnoeren in het kader van de AI-verordening;</w:t>
      </w:r>
    </w:p>
    <w:p w14:paraId="076C2D8F" w14:textId="77777777" w:rsidR="00C53E67" w:rsidRPr="00C53E67" w:rsidRDefault="00C53E67" w:rsidP="00C56EF3">
      <w:pPr>
        <w:numPr>
          <w:ilvl w:val="0"/>
          <w:numId w:val="27"/>
        </w:numPr>
        <w:overflowPunct w:val="0"/>
        <w:autoSpaceDE w:val="0"/>
        <w:autoSpaceDN w:val="0"/>
        <w:adjustRightInd w:val="0"/>
        <w:spacing w:before="100" w:beforeAutospacing="1" w:after="100" w:afterAutospacing="1"/>
        <w:textAlignment w:val="baseline"/>
      </w:pPr>
      <w:r>
        <w:t xml:space="preserve">dringt aan op </w:t>
      </w:r>
      <w:r>
        <w:rPr>
          <w:b/>
          <w:bCs/>
        </w:rPr>
        <w:t>krachtige en transversale financiële steun in het volgende MFK (2028-2034)</w:t>
      </w:r>
      <w:r>
        <w:t>, onder meer door 2 % van de EU-begroting aan cultuur toe te wijzen en ervoor te zorgen dat cultuur in de belangrijkste EU-programma’s wordt geïntegreerd;</w:t>
      </w:r>
    </w:p>
    <w:p w14:paraId="5C1C74F4" w14:textId="77777777" w:rsidR="00C53E67" w:rsidRPr="00C53E67" w:rsidRDefault="00C53E67" w:rsidP="00C56EF3">
      <w:pPr>
        <w:numPr>
          <w:ilvl w:val="0"/>
          <w:numId w:val="27"/>
        </w:numPr>
        <w:overflowPunct w:val="0"/>
        <w:autoSpaceDE w:val="0"/>
        <w:autoSpaceDN w:val="0"/>
        <w:adjustRightInd w:val="0"/>
        <w:spacing w:before="100" w:beforeAutospacing="1" w:after="100" w:afterAutospacing="1"/>
        <w:textAlignment w:val="baseline"/>
      </w:pPr>
      <w:r>
        <w:t xml:space="preserve">dringt aan op een solide en </w:t>
      </w:r>
      <w:r>
        <w:rPr>
          <w:b/>
          <w:bCs/>
        </w:rPr>
        <w:t>doelgerichte uitvoering van het cultuurkompas door middel van een duidelijk omschreven actieplan</w:t>
      </w:r>
      <w:r>
        <w:t>, voldoende administratieve capaciteit en continuïteit van het beleid op lange termijn;</w:t>
      </w:r>
    </w:p>
    <w:p w14:paraId="4ABFA2B6" w14:textId="77777777" w:rsidR="00C53E67" w:rsidRPr="00C53E67" w:rsidRDefault="00C53E67" w:rsidP="00C56EF3">
      <w:pPr>
        <w:numPr>
          <w:ilvl w:val="0"/>
          <w:numId w:val="27"/>
        </w:numPr>
        <w:overflowPunct w:val="0"/>
        <w:autoSpaceDE w:val="0"/>
        <w:autoSpaceDN w:val="0"/>
        <w:adjustRightInd w:val="0"/>
        <w:spacing w:before="100" w:beforeAutospacing="1" w:after="100" w:afterAutospacing="1"/>
        <w:textAlignment w:val="baseline"/>
      </w:pPr>
      <w:r>
        <w:t xml:space="preserve">beveelt aan om </w:t>
      </w:r>
      <w:r>
        <w:rPr>
          <w:b/>
          <w:bCs/>
        </w:rPr>
        <w:t>culturele en niet-culturele belanghebbenden</w:t>
      </w:r>
      <w:r>
        <w:t>, met inbegrip van lokale overheden, kmo’s en de culturele en creatieve sector, in een vroeg stadium systematisch te betrekken om de eigen inbreng en de impact te vergroten;</w:t>
      </w:r>
    </w:p>
    <w:p w14:paraId="34D1F370" w14:textId="77777777" w:rsidR="00C53E67" w:rsidRPr="00C53E67" w:rsidRDefault="00C53E67" w:rsidP="00C56EF3">
      <w:pPr>
        <w:numPr>
          <w:ilvl w:val="0"/>
          <w:numId w:val="27"/>
        </w:numPr>
        <w:overflowPunct w:val="0"/>
        <w:autoSpaceDE w:val="0"/>
        <w:autoSpaceDN w:val="0"/>
        <w:adjustRightInd w:val="0"/>
        <w:spacing w:before="100" w:beforeAutospacing="1" w:after="100" w:afterAutospacing="1"/>
        <w:textAlignment w:val="baseline"/>
      </w:pPr>
      <w:r>
        <w:t xml:space="preserve">dringt aan op een </w:t>
      </w:r>
      <w:r>
        <w:rPr>
          <w:b/>
          <w:bCs/>
        </w:rPr>
        <w:t>sterkere integratie van actoren van de sociale economie</w:t>
      </w:r>
      <w:r>
        <w:t xml:space="preserve"> en gemeenschapsgebaseerde culturele initiatieven in het overheidsbeleid, met inbegrip van aangepaste fiscale en financiële instrumenten;</w:t>
      </w:r>
    </w:p>
    <w:p w14:paraId="7574E8ED" w14:textId="77777777" w:rsidR="00C53E67" w:rsidRPr="00C53E67" w:rsidRDefault="00C53E67" w:rsidP="00C56EF3">
      <w:pPr>
        <w:numPr>
          <w:ilvl w:val="0"/>
          <w:numId w:val="27"/>
        </w:numPr>
        <w:overflowPunct w:val="0"/>
        <w:autoSpaceDE w:val="0"/>
        <w:autoSpaceDN w:val="0"/>
        <w:adjustRightInd w:val="0"/>
        <w:spacing w:before="100" w:beforeAutospacing="1" w:after="100" w:afterAutospacing="1"/>
        <w:textAlignment w:val="baseline"/>
      </w:pPr>
      <w:r>
        <w:rPr>
          <w:b/>
          <w:bCs/>
        </w:rPr>
        <w:t>is ingenomen met de voorgestelde gestructureerde EU-dialoog met belanghebbenden</w:t>
      </w:r>
      <w:r>
        <w:t xml:space="preserve"> en biedt aan om als belangrijke partner op te treden bij het faciliteren van uitwisselingen met institutionele en sectorale actoren;</w:t>
      </w:r>
    </w:p>
    <w:p w14:paraId="2118B2C0" w14:textId="77777777" w:rsidR="00C53E67" w:rsidRPr="00C53E67" w:rsidRDefault="00C53E67" w:rsidP="00C56EF3">
      <w:pPr>
        <w:numPr>
          <w:ilvl w:val="0"/>
          <w:numId w:val="27"/>
        </w:numPr>
        <w:overflowPunct w:val="0"/>
        <w:autoSpaceDE w:val="0"/>
        <w:autoSpaceDN w:val="0"/>
        <w:adjustRightInd w:val="0"/>
        <w:spacing w:before="100" w:beforeAutospacing="1" w:after="100" w:afterAutospacing="1"/>
        <w:textAlignment w:val="baseline"/>
      </w:pPr>
      <w:r>
        <w:t xml:space="preserve">benadrukt dat de culturele en creatieve sectoren </w:t>
      </w:r>
      <w:r>
        <w:rPr>
          <w:b/>
          <w:bCs/>
        </w:rPr>
        <w:t>een strategisch economisch ecosysteem</w:t>
      </w:r>
      <w:r>
        <w:t xml:space="preserve"> vormen en dringt aan op een betere integratie van belangrijke sectoren zoals gaming, film, muziek en mode in het kompas;</w:t>
      </w:r>
    </w:p>
    <w:p w14:paraId="4B8E43E5" w14:textId="77777777" w:rsidR="00C53E67" w:rsidRPr="00C53E67" w:rsidRDefault="00C53E67" w:rsidP="00C56EF3">
      <w:pPr>
        <w:numPr>
          <w:ilvl w:val="0"/>
          <w:numId w:val="27"/>
        </w:numPr>
        <w:overflowPunct w:val="0"/>
        <w:autoSpaceDE w:val="0"/>
        <w:autoSpaceDN w:val="0"/>
        <w:adjustRightInd w:val="0"/>
        <w:spacing w:before="100" w:beforeAutospacing="1" w:after="100" w:afterAutospacing="1"/>
        <w:textAlignment w:val="baseline"/>
      </w:pPr>
      <w:r>
        <w:t xml:space="preserve">is voorstander van </w:t>
      </w:r>
      <w:r>
        <w:rPr>
          <w:b/>
          <w:bCs/>
        </w:rPr>
        <w:t>cultuuronderwijs en de ontwikkeling van vaardigheden</w:t>
      </w:r>
      <w:r>
        <w:t xml:space="preserve"> en wijst op het belang van inclusieve toegang, specifieke financiering en sterkere banden met EU-programma’s zoals Erasmus+ en het cohesiebeleid;</w:t>
      </w:r>
    </w:p>
    <w:p w14:paraId="2BCF815C" w14:textId="77777777" w:rsidR="00C53E67" w:rsidRPr="00C53E67" w:rsidRDefault="00C53E67" w:rsidP="00C56EF3">
      <w:pPr>
        <w:numPr>
          <w:ilvl w:val="0"/>
          <w:numId w:val="27"/>
        </w:numPr>
        <w:overflowPunct w:val="0"/>
        <w:autoSpaceDE w:val="0"/>
        <w:autoSpaceDN w:val="0"/>
        <w:adjustRightInd w:val="0"/>
        <w:spacing w:before="100" w:beforeAutospacing="1" w:after="100" w:afterAutospacing="1"/>
        <w:textAlignment w:val="baseline"/>
      </w:pPr>
      <w:r>
        <w:rPr>
          <w:b/>
          <w:bCs/>
        </w:rPr>
        <w:lastRenderedPageBreak/>
        <w:t>steunt de ontwikkeling van een EU-handvest voor kunstenaars</w:t>
      </w:r>
      <w:r>
        <w:t xml:space="preserve"> om eerlijke arbeidsomstandigheden, sterkere sociale bescherming en afstemming van EU-financiering op hoogwaardige arbeidsnormen te waarborgen;</w:t>
      </w:r>
    </w:p>
    <w:p w14:paraId="52A25FBE" w14:textId="77777777" w:rsidR="00C53E67" w:rsidRPr="00C53E67" w:rsidRDefault="00C53E67" w:rsidP="00C56EF3">
      <w:pPr>
        <w:numPr>
          <w:ilvl w:val="0"/>
          <w:numId w:val="27"/>
        </w:numPr>
        <w:overflowPunct w:val="0"/>
        <w:autoSpaceDE w:val="0"/>
        <w:autoSpaceDN w:val="0"/>
        <w:adjustRightInd w:val="0"/>
        <w:spacing w:before="100" w:beforeAutospacing="1" w:after="100" w:afterAutospacing="1"/>
        <w:textAlignment w:val="baseline"/>
        <w:rPr>
          <w:sz w:val="24"/>
          <w:szCs w:val="24"/>
        </w:rPr>
      </w:pPr>
      <w:r>
        <w:t xml:space="preserve">benadrukt </w:t>
      </w:r>
      <w:r>
        <w:rPr>
          <w:b/>
          <w:bCs/>
        </w:rPr>
        <w:t>het belang van aanhoudende overheidsinvesteringen</w:t>
      </w:r>
      <w:r>
        <w:t xml:space="preserve"> in de culturele en creatieve sectoren en van het ondersteunen van een betere toegang tot financiering voor kmo’s door middel van een grotere inzet van EIB- en EIF-instrumenten, naast de ontwikkeling van aanvullende particuliere steunkaders;</w:t>
      </w:r>
    </w:p>
    <w:p w14:paraId="3A3FD424" w14:textId="77777777" w:rsidR="00C53E67" w:rsidRPr="00C53E67" w:rsidRDefault="00C53E67" w:rsidP="00C56EF3">
      <w:pPr>
        <w:numPr>
          <w:ilvl w:val="0"/>
          <w:numId w:val="27"/>
        </w:numPr>
        <w:overflowPunct w:val="0"/>
        <w:autoSpaceDE w:val="0"/>
        <w:autoSpaceDN w:val="0"/>
        <w:adjustRightInd w:val="0"/>
        <w:spacing w:before="100" w:beforeAutospacing="1" w:after="100" w:afterAutospacing="1"/>
        <w:textAlignment w:val="baseline"/>
      </w:pPr>
      <w:r>
        <w:t xml:space="preserve">steunt </w:t>
      </w:r>
      <w:r>
        <w:rPr>
          <w:b/>
          <w:bCs/>
        </w:rPr>
        <w:t>de institutionele goedkeuring van de gezamenlijke verklaring</w:t>
      </w:r>
      <w:r>
        <w:t xml:space="preserve"> door de EU-instellingen (met inbegrip van het EESC en het Europees Comité van de Regio’s) en belanghebbenden om een breed draagvlak en een brede legitimiteit te waarborgen;</w:t>
      </w:r>
    </w:p>
    <w:p w14:paraId="3DBA33EF" w14:textId="77777777" w:rsidR="00C53E67" w:rsidRPr="004C6742" w:rsidRDefault="00C53E67" w:rsidP="00C56EF3">
      <w:pPr>
        <w:numPr>
          <w:ilvl w:val="0"/>
          <w:numId w:val="27"/>
        </w:numPr>
        <w:overflowPunct w:val="0"/>
        <w:autoSpaceDE w:val="0"/>
        <w:autoSpaceDN w:val="0"/>
        <w:adjustRightInd w:val="0"/>
        <w:textAlignment w:val="baseline"/>
        <w:rPr>
          <w:sz w:val="24"/>
          <w:szCs w:val="24"/>
        </w:rPr>
      </w:pPr>
      <w:r>
        <w:t xml:space="preserve">benadrukt het </w:t>
      </w:r>
      <w:r>
        <w:rPr>
          <w:b/>
          <w:bCs/>
        </w:rPr>
        <w:t>belang van de internationale dimensie van cultuur</w:t>
      </w:r>
      <w:r>
        <w:t>, dringt erop aan deze volledig te herstellen in de gezamenlijke verklaring, en pleit voor een alomvattend actieplan op basis van de EU-strategie voor internationale culturele betrekkingen.</w:t>
      </w:r>
    </w:p>
    <w:p w14:paraId="481BD40E" w14:textId="77777777" w:rsidR="008F6AA0" w:rsidRPr="00C53E67" w:rsidRDefault="008F6AA0" w:rsidP="00C56EF3">
      <w:pPr>
        <w:overflowPunct w:val="0"/>
        <w:autoSpaceDE w:val="0"/>
        <w:autoSpaceDN w:val="0"/>
        <w:adjustRightInd w:val="0"/>
        <w:textAlignment w:val="baseline"/>
        <w:rPr>
          <w:sz w:val="24"/>
          <w:szCs w:val="24"/>
          <w:lang w:val="en-GB"/>
        </w:rPr>
      </w:pPr>
    </w:p>
    <w:tbl>
      <w:tblPr>
        <w:tblStyle w:val="TableGrid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C53E67" w:rsidRPr="00C53E67" w14:paraId="272A79A3" w14:textId="77777777" w:rsidTr="002E7EFB">
        <w:tc>
          <w:tcPr>
            <w:tcW w:w="1556" w:type="pct"/>
          </w:tcPr>
          <w:p w14:paraId="2B671CE9" w14:textId="77777777" w:rsidR="00C53E67" w:rsidRPr="00C53E67" w:rsidRDefault="00C53E67" w:rsidP="00C53E67">
            <w:pPr>
              <w:overflowPunct w:val="0"/>
              <w:autoSpaceDE w:val="0"/>
              <w:autoSpaceDN w:val="0"/>
              <w:adjustRightInd w:val="0"/>
              <w:spacing w:line="240" w:lineRule="auto"/>
              <w:textAlignment w:val="baseline"/>
              <w:rPr>
                <w:i/>
              </w:rPr>
            </w:pPr>
            <w:r>
              <w:rPr>
                <w:b/>
                <w:i/>
              </w:rPr>
              <w:t>Contactpersoon</w:t>
            </w:r>
          </w:p>
        </w:tc>
        <w:tc>
          <w:tcPr>
            <w:tcW w:w="3444" w:type="pct"/>
          </w:tcPr>
          <w:p w14:paraId="2DCCDC41" w14:textId="3A36641B" w:rsidR="00C53E67" w:rsidRPr="00C53E67" w:rsidRDefault="00C53E67" w:rsidP="00C53E67">
            <w:pPr>
              <w:overflowPunct w:val="0"/>
              <w:autoSpaceDE w:val="0"/>
              <w:autoSpaceDN w:val="0"/>
              <w:adjustRightInd w:val="0"/>
              <w:spacing w:line="240" w:lineRule="auto"/>
              <w:textAlignment w:val="baseline"/>
              <w:rPr>
                <w:i/>
              </w:rPr>
            </w:pPr>
            <w:r>
              <w:rPr>
                <w:i/>
              </w:rPr>
              <w:t>Jean-Marie Rogue</w:t>
            </w:r>
          </w:p>
        </w:tc>
      </w:tr>
      <w:tr w:rsidR="00C53E67" w:rsidRPr="00C53E67" w14:paraId="6943624D" w14:textId="77777777" w:rsidTr="002E7EFB">
        <w:tc>
          <w:tcPr>
            <w:tcW w:w="1556" w:type="pct"/>
          </w:tcPr>
          <w:p w14:paraId="23893BC2" w14:textId="77777777" w:rsidR="00C53E67" w:rsidRPr="00C53E67" w:rsidRDefault="00C53E67" w:rsidP="00C53E67">
            <w:pPr>
              <w:overflowPunct w:val="0"/>
              <w:autoSpaceDE w:val="0"/>
              <w:autoSpaceDN w:val="0"/>
              <w:adjustRightInd w:val="0"/>
              <w:spacing w:line="240" w:lineRule="auto"/>
              <w:textAlignment w:val="baseline"/>
              <w:rPr>
                <w:i/>
              </w:rPr>
            </w:pPr>
            <w:r>
              <w:rPr>
                <w:i/>
              </w:rPr>
              <w:t>Tel.</w:t>
            </w:r>
          </w:p>
        </w:tc>
        <w:tc>
          <w:tcPr>
            <w:tcW w:w="3444" w:type="pct"/>
          </w:tcPr>
          <w:p w14:paraId="62C63746" w14:textId="77777777" w:rsidR="00C53E67" w:rsidRPr="00C53E67" w:rsidRDefault="00C53E67" w:rsidP="00C53E67">
            <w:pPr>
              <w:overflowPunct w:val="0"/>
              <w:autoSpaceDE w:val="0"/>
              <w:autoSpaceDN w:val="0"/>
              <w:adjustRightInd w:val="0"/>
              <w:spacing w:line="240" w:lineRule="auto"/>
              <w:textAlignment w:val="baseline"/>
              <w:rPr>
                <w:i/>
              </w:rPr>
            </w:pPr>
            <w:r>
              <w:rPr>
                <w:i/>
              </w:rPr>
              <w:t>+32 25468909</w:t>
            </w:r>
          </w:p>
        </w:tc>
      </w:tr>
      <w:tr w:rsidR="00C53E67" w:rsidRPr="00C53E67" w14:paraId="496DCA57" w14:textId="77777777" w:rsidTr="002E7EFB">
        <w:tc>
          <w:tcPr>
            <w:tcW w:w="1556" w:type="pct"/>
          </w:tcPr>
          <w:p w14:paraId="591F1710" w14:textId="77777777" w:rsidR="00C53E67" w:rsidRPr="00C53E67" w:rsidRDefault="00C53E67" w:rsidP="00C53E67">
            <w:pPr>
              <w:overflowPunct w:val="0"/>
              <w:autoSpaceDE w:val="0"/>
              <w:autoSpaceDN w:val="0"/>
              <w:adjustRightInd w:val="0"/>
              <w:spacing w:line="240" w:lineRule="auto"/>
              <w:textAlignment w:val="baseline"/>
              <w:rPr>
                <w:i/>
              </w:rPr>
            </w:pPr>
            <w:r>
              <w:rPr>
                <w:i/>
              </w:rPr>
              <w:t>E-mail</w:t>
            </w:r>
          </w:p>
        </w:tc>
        <w:tc>
          <w:tcPr>
            <w:tcW w:w="3444" w:type="pct"/>
          </w:tcPr>
          <w:p w14:paraId="18C49AA7" w14:textId="44E9192C" w:rsidR="00C53E67" w:rsidRPr="00C53E67" w:rsidRDefault="00E23721" w:rsidP="00C53E67">
            <w:pPr>
              <w:overflowPunct w:val="0"/>
              <w:autoSpaceDE w:val="0"/>
              <w:autoSpaceDN w:val="0"/>
              <w:adjustRightInd w:val="0"/>
              <w:spacing w:line="240" w:lineRule="auto"/>
              <w:textAlignment w:val="baseline"/>
              <w:rPr>
                <w:i/>
              </w:rPr>
            </w:pPr>
            <w:hyperlink r:id="rId34" w:history="1">
              <w:r>
                <w:rPr>
                  <w:i/>
                  <w:color w:val="0000FF"/>
                  <w:u w:val="single"/>
                </w:rPr>
                <w:t>JeanMarie.Rogue@eesc.europa.eu</w:t>
              </w:r>
            </w:hyperlink>
          </w:p>
        </w:tc>
      </w:tr>
    </w:tbl>
    <w:p w14:paraId="3887EC4A" w14:textId="660A26B1" w:rsidR="00A067F3" w:rsidRDefault="00A067F3" w:rsidP="001766B2">
      <w:pPr>
        <w:jc w:val="left"/>
      </w:pPr>
    </w:p>
    <w:p w14:paraId="2E7B45AB" w14:textId="77777777" w:rsidR="00A067F3" w:rsidRDefault="00A067F3">
      <w:pPr>
        <w:spacing w:after="160" w:line="259" w:lineRule="auto"/>
        <w:jc w:val="left"/>
      </w:pPr>
      <w:r>
        <w:br w:type="page"/>
      </w:r>
    </w:p>
    <w:p w14:paraId="4982DDF3" w14:textId="77616464" w:rsidR="004D7AC0" w:rsidRDefault="004D7AC0" w:rsidP="004C6742">
      <w:pPr>
        <w:pStyle w:val="Heading2"/>
      </w:pPr>
      <w:bookmarkStart w:id="16" w:name="_Toc75527083"/>
      <w:bookmarkStart w:id="17" w:name="_Toc230351242"/>
      <w:r>
        <w:lastRenderedPageBreak/>
        <w:t>INTERNE MARKT, PRODUCTIE EN CONSUMPTIE</w:t>
      </w:r>
      <w:bookmarkEnd w:id="16"/>
      <w:bookmarkEnd w:id="17"/>
    </w:p>
    <w:p w14:paraId="4982DDF4" w14:textId="77777777" w:rsidR="004D7AC0" w:rsidRDefault="004D7AC0" w:rsidP="001766B2"/>
    <w:p w14:paraId="566598A4" w14:textId="2C87C952" w:rsidR="00392AE5" w:rsidRPr="00392AE5" w:rsidRDefault="00392AE5" w:rsidP="00392AE5">
      <w:pPr>
        <w:widowControl w:val="0"/>
        <w:numPr>
          <w:ilvl w:val="0"/>
          <w:numId w:val="4"/>
        </w:numPr>
        <w:tabs>
          <w:tab w:val="left" w:pos="2127"/>
        </w:tabs>
        <w:overflowPunct w:val="0"/>
        <w:autoSpaceDE w:val="0"/>
        <w:autoSpaceDN w:val="0"/>
        <w:adjustRightInd w:val="0"/>
        <w:ind w:hanging="567"/>
        <w:textAlignment w:val="baseline"/>
        <w:rPr>
          <w:sz w:val="20"/>
          <w:szCs w:val="20"/>
        </w:rPr>
      </w:pPr>
      <w:hyperlink r:id="rId35" w:history="1">
        <w:r>
          <w:rPr>
            <w:b/>
            <w:i/>
            <w:color w:val="0000FF"/>
            <w:sz w:val="28"/>
            <w:u w:val="single"/>
          </w:rPr>
          <w:t>Overtoerisme, kortetermijnverhuur en verdringing van de lokale bevolking — Zoeken naar het juiste evenwicht</w:t>
        </w:r>
      </w:hyperlink>
    </w:p>
    <w:p w14:paraId="129DAC63"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140"/>
      </w:tblGrid>
      <w:tr w:rsidR="00392AE5" w:rsidRPr="00392AE5" w14:paraId="6A67318C" w14:textId="77777777" w:rsidTr="002E7EFB">
        <w:tc>
          <w:tcPr>
            <w:tcW w:w="1077" w:type="pct"/>
          </w:tcPr>
          <w:p w14:paraId="45EB1F84"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Pr>
                <w:b/>
              </w:rPr>
              <w:t>Rapporteur</w:t>
            </w:r>
          </w:p>
        </w:tc>
        <w:tc>
          <w:tcPr>
            <w:tcW w:w="3923" w:type="pct"/>
          </w:tcPr>
          <w:p w14:paraId="4123F63B" w14:textId="58C6E72D" w:rsidR="00392AE5" w:rsidRDefault="00392AE5" w:rsidP="00392AE5">
            <w:pPr>
              <w:tabs>
                <w:tab w:val="center" w:pos="284"/>
              </w:tabs>
              <w:overflowPunct w:val="0"/>
              <w:autoSpaceDE w:val="0"/>
              <w:autoSpaceDN w:val="0"/>
              <w:adjustRightInd w:val="0"/>
              <w:ind w:left="266" w:right="-3091" w:hanging="266"/>
              <w:textAlignment w:val="baseline"/>
            </w:pPr>
            <w:r>
              <w:t>Marinel Dănuț MUREŞAN (groep Werkgevers – RO)</w:t>
            </w:r>
          </w:p>
          <w:p w14:paraId="6824E4B7" w14:textId="3A5073A7" w:rsidR="003F20DF" w:rsidRPr="00392AE5" w:rsidRDefault="003F20DF" w:rsidP="00392AE5">
            <w:pPr>
              <w:tabs>
                <w:tab w:val="center" w:pos="284"/>
              </w:tabs>
              <w:overflowPunct w:val="0"/>
              <w:autoSpaceDE w:val="0"/>
              <w:autoSpaceDN w:val="0"/>
              <w:adjustRightInd w:val="0"/>
              <w:ind w:left="266" w:right="-3091" w:hanging="266"/>
              <w:textAlignment w:val="baseline"/>
              <w:rPr>
                <w:bCs/>
              </w:rPr>
            </w:pPr>
          </w:p>
        </w:tc>
      </w:tr>
      <w:tr w:rsidR="00392AE5" w:rsidRPr="00392AE5" w14:paraId="241C9609" w14:textId="77777777" w:rsidTr="002E7EFB">
        <w:tc>
          <w:tcPr>
            <w:tcW w:w="1077" w:type="pct"/>
          </w:tcPr>
          <w:p w14:paraId="13E4A55F"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Pr>
                <w:b/>
              </w:rPr>
              <w:t>Referentiedocumenten</w:t>
            </w:r>
          </w:p>
        </w:tc>
        <w:tc>
          <w:tcPr>
            <w:tcW w:w="3923" w:type="pct"/>
          </w:tcPr>
          <w:p w14:paraId="45A8FB5D" w14:textId="281DE309" w:rsidR="00392AE5" w:rsidRPr="00392AE5" w:rsidRDefault="00392AE5" w:rsidP="00392AE5">
            <w:pPr>
              <w:tabs>
                <w:tab w:val="center" w:pos="284"/>
              </w:tabs>
              <w:overflowPunct w:val="0"/>
              <w:autoSpaceDE w:val="0"/>
              <w:autoSpaceDN w:val="0"/>
              <w:adjustRightInd w:val="0"/>
              <w:ind w:left="266" w:right="-3091" w:hanging="266"/>
              <w:textAlignment w:val="baseline"/>
            </w:pPr>
            <w:r>
              <w:t>Verkennend advies op verzoek van het Cypriotische voorzitterschap van de Raad van de EU</w:t>
            </w:r>
          </w:p>
          <w:p w14:paraId="7EBFEE0E" w14:textId="619F9385" w:rsidR="00392AE5" w:rsidRPr="00392AE5" w:rsidRDefault="00392AE5" w:rsidP="00392AE5">
            <w:pPr>
              <w:tabs>
                <w:tab w:val="center" w:pos="284"/>
              </w:tabs>
              <w:overflowPunct w:val="0"/>
              <w:autoSpaceDE w:val="0"/>
              <w:autoSpaceDN w:val="0"/>
              <w:adjustRightInd w:val="0"/>
              <w:ind w:left="266" w:right="-3091" w:hanging="266"/>
              <w:textAlignment w:val="baseline"/>
            </w:pPr>
            <w:r>
              <w:t>EESC-2025-03939-00-00-AC</w:t>
            </w:r>
          </w:p>
        </w:tc>
      </w:tr>
    </w:tbl>
    <w:p w14:paraId="77B48FFD" w14:textId="77777777" w:rsidR="00392AE5" w:rsidRPr="00C56EF3" w:rsidRDefault="00392AE5" w:rsidP="00C56EF3">
      <w:pPr>
        <w:tabs>
          <w:tab w:val="center" w:pos="284"/>
        </w:tabs>
        <w:overflowPunct w:val="0"/>
        <w:autoSpaceDE w:val="0"/>
        <w:autoSpaceDN w:val="0"/>
        <w:adjustRightInd w:val="0"/>
        <w:ind w:left="266" w:hanging="266"/>
        <w:textAlignment w:val="baseline"/>
        <w:rPr>
          <w:bCs/>
          <w:lang w:val="en-GB"/>
        </w:rPr>
      </w:pPr>
    </w:p>
    <w:p w14:paraId="6504CA01" w14:textId="77777777" w:rsidR="00392AE5" w:rsidRPr="00392AE5" w:rsidRDefault="00392AE5" w:rsidP="00C56EF3">
      <w:pPr>
        <w:keepNext/>
        <w:keepLines/>
        <w:tabs>
          <w:tab w:val="center" w:pos="284"/>
        </w:tabs>
        <w:overflowPunct w:val="0"/>
        <w:autoSpaceDE w:val="0"/>
        <w:autoSpaceDN w:val="0"/>
        <w:adjustRightInd w:val="0"/>
        <w:ind w:left="266" w:hanging="266"/>
        <w:textAlignment w:val="baseline"/>
        <w:rPr>
          <w:b/>
        </w:rPr>
      </w:pPr>
      <w:r>
        <w:rPr>
          <w:b/>
        </w:rPr>
        <w:t>Hoofdpunten</w:t>
      </w:r>
    </w:p>
    <w:p w14:paraId="03C67430" w14:textId="77777777" w:rsidR="00392AE5" w:rsidRPr="00C56EF3" w:rsidRDefault="00392AE5" w:rsidP="00C56EF3">
      <w:pPr>
        <w:keepNext/>
        <w:keepLines/>
        <w:tabs>
          <w:tab w:val="center" w:pos="284"/>
        </w:tabs>
        <w:overflowPunct w:val="0"/>
        <w:autoSpaceDE w:val="0"/>
        <w:autoSpaceDN w:val="0"/>
        <w:adjustRightInd w:val="0"/>
        <w:ind w:left="266" w:hanging="266"/>
        <w:textAlignment w:val="baseline"/>
        <w:rPr>
          <w:bCs/>
          <w:lang w:val="en-GB"/>
        </w:rPr>
      </w:pPr>
    </w:p>
    <w:p w14:paraId="6F641786" w14:textId="77777777" w:rsidR="00392AE5" w:rsidRPr="00392AE5" w:rsidRDefault="00392AE5" w:rsidP="00C56EF3">
      <w:pPr>
        <w:overflowPunct w:val="0"/>
        <w:autoSpaceDE w:val="0"/>
        <w:autoSpaceDN w:val="0"/>
        <w:adjustRightInd w:val="0"/>
        <w:textAlignment w:val="baseline"/>
        <w:rPr>
          <w:bCs/>
          <w:iCs/>
        </w:rPr>
      </w:pPr>
      <w:r>
        <w:t>Het EESC:</w:t>
      </w:r>
    </w:p>
    <w:p w14:paraId="6DE75175" w14:textId="77777777" w:rsidR="00392AE5" w:rsidRPr="00392AE5" w:rsidRDefault="00392AE5" w:rsidP="00C56EF3">
      <w:pPr>
        <w:overflowPunct w:val="0"/>
        <w:autoSpaceDE w:val="0"/>
        <w:autoSpaceDN w:val="0"/>
        <w:adjustRightInd w:val="0"/>
        <w:textAlignment w:val="baseline"/>
        <w:rPr>
          <w:bCs/>
          <w:iCs/>
          <w:lang w:val="en-GB"/>
        </w:rPr>
      </w:pPr>
    </w:p>
    <w:p w14:paraId="5E2CF75A" w14:textId="77777777" w:rsidR="00392AE5" w:rsidRPr="00392AE5" w:rsidRDefault="00392AE5" w:rsidP="00C56EF3">
      <w:pPr>
        <w:numPr>
          <w:ilvl w:val="0"/>
          <w:numId w:val="28"/>
        </w:numPr>
        <w:overflowPunct w:val="0"/>
        <w:autoSpaceDE w:val="0"/>
        <w:autoSpaceDN w:val="0"/>
        <w:adjustRightInd w:val="0"/>
        <w:ind w:left="284" w:hanging="284"/>
        <w:textAlignment w:val="baseline"/>
        <w:rPr>
          <w:szCs w:val="20"/>
        </w:rPr>
      </w:pPr>
      <w:r>
        <w:t xml:space="preserve">benadrukt dat toerisme een strategisch ecosysteem voor de EU is en aanzienlijk bijdraagt tot groei, werkgelegenheid en sociale ontwikkeling, en dringt aan op een verschuiving naar een duurzamer, evenwichtiger en concurrerender toeristisch model dat de levenskwaliteit van lokale gemeenschappen waarborgt; </w:t>
      </w:r>
    </w:p>
    <w:p w14:paraId="7E1A2FA7" w14:textId="77777777" w:rsidR="00392AE5" w:rsidRPr="00392AE5" w:rsidRDefault="00392AE5" w:rsidP="00C56EF3">
      <w:pPr>
        <w:numPr>
          <w:ilvl w:val="0"/>
          <w:numId w:val="28"/>
        </w:numPr>
        <w:overflowPunct w:val="0"/>
        <w:autoSpaceDE w:val="0"/>
        <w:autoSpaceDN w:val="0"/>
        <w:adjustRightInd w:val="0"/>
        <w:ind w:left="284" w:hanging="284"/>
        <w:textAlignment w:val="baseline"/>
        <w:rPr>
          <w:szCs w:val="20"/>
        </w:rPr>
      </w:pPr>
      <w:r>
        <w:t xml:space="preserve">waarschuwt voor de toenemende druk van overtoerisme en kortetermijnverhuur op bepaalde toeristische bestemmingen, en </w:t>
      </w:r>
      <w:r>
        <w:rPr>
          <w:b/>
          <w:bCs/>
        </w:rPr>
        <w:t>dringt aan op gecoördineerd EU-optreden</w:t>
      </w:r>
      <w:r>
        <w:t xml:space="preserve"> om de lidstaten te helpen empirisch onderbouwde, evenredige en plaatsgebonden oplossingen te ontwikkelen; </w:t>
      </w:r>
    </w:p>
    <w:p w14:paraId="4DA31274" w14:textId="77777777" w:rsidR="00392AE5" w:rsidRPr="00392AE5" w:rsidRDefault="00392AE5" w:rsidP="00C56EF3">
      <w:pPr>
        <w:numPr>
          <w:ilvl w:val="0"/>
          <w:numId w:val="28"/>
        </w:numPr>
        <w:overflowPunct w:val="0"/>
        <w:autoSpaceDE w:val="0"/>
        <w:autoSpaceDN w:val="0"/>
        <w:adjustRightInd w:val="0"/>
        <w:ind w:left="284" w:hanging="284"/>
        <w:textAlignment w:val="baseline"/>
        <w:rPr>
          <w:szCs w:val="20"/>
        </w:rPr>
      </w:pPr>
      <w:r>
        <w:t xml:space="preserve">stelt voor om toeristenstromen beter te beheren met door de EU ondersteunde instrumenten en strategieën, waaronder digitale monitoringsystemen en diversificatie van bestemmingen en seizoenen, en om de koppeling tussen toerisme en lokale economieën, cultuur en traditionele ambachten te versterken; </w:t>
      </w:r>
    </w:p>
    <w:p w14:paraId="0407BE7E" w14:textId="77777777" w:rsidR="00392AE5" w:rsidRPr="00392AE5" w:rsidRDefault="00392AE5" w:rsidP="00C56EF3">
      <w:pPr>
        <w:numPr>
          <w:ilvl w:val="0"/>
          <w:numId w:val="28"/>
        </w:numPr>
        <w:overflowPunct w:val="0"/>
        <w:autoSpaceDE w:val="0"/>
        <w:autoSpaceDN w:val="0"/>
        <w:adjustRightInd w:val="0"/>
        <w:ind w:left="284" w:hanging="284"/>
        <w:textAlignment w:val="baseline"/>
        <w:rPr>
          <w:szCs w:val="20"/>
        </w:rPr>
      </w:pPr>
      <w:r>
        <w:t xml:space="preserve">pleit voor innovatieve governance- en financieringsmodellen, waarin publieke en particuliere investeringen worden gecombineerd, ter ondersteuning van duurzaam toerisme, betaalbare huisvesting en lokale bedrijfsecosystemen, met een sterke rol voor kleine en middelgrote ondernemingen en lokale gemeenschappen; </w:t>
      </w:r>
    </w:p>
    <w:p w14:paraId="38238CCA" w14:textId="77777777" w:rsidR="00392AE5" w:rsidRPr="00392AE5" w:rsidRDefault="00392AE5" w:rsidP="00C56EF3">
      <w:pPr>
        <w:widowControl w:val="0"/>
        <w:numPr>
          <w:ilvl w:val="0"/>
          <w:numId w:val="28"/>
        </w:numPr>
        <w:overflowPunct w:val="0"/>
        <w:autoSpaceDE w:val="0"/>
        <w:autoSpaceDN w:val="0"/>
        <w:adjustRightInd w:val="0"/>
        <w:ind w:left="284" w:hanging="284"/>
        <w:textAlignment w:val="baseline"/>
        <w:rPr>
          <w:bCs/>
          <w:iCs/>
        </w:rPr>
      </w:pPr>
      <w:r>
        <w:t xml:space="preserve">dringt aan op de versterking van vaardigheden en opleiding en op meer betrokkenheid van jongeren, en pleit voor de oprichting van een </w:t>
      </w:r>
      <w:r>
        <w:rPr>
          <w:b/>
          <w:bCs/>
        </w:rPr>
        <w:t>Europees centrum voor ambachten en traditionele beroepen</w:t>
      </w:r>
      <w:r>
        <w:t xml:space="preserve"> ter ondersteuning van lokale economieën en culturele duurzaamheid in de hele EU.</w:t>
      </w:r>
    </w:p>
    <w:p w14:paraId="46DCF0E2" w14:textId="77777777" w:rsidR="00392AE5" w:rsidRPr="00C56EF3" w:rsidRDefault="00392AE5" w:rsidP="00C56EF3">
      <w:pPr>
        <w:pStyle w:val="ListParagraph"/>
        <w:ind w:left="0"/>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92AE5" w:rsidRPr="00392AE5" w14:paraId="519A6FBB" w14:textId="77777777" w:rsidTr="002E7EFB">
        <w:tc>
          <w:tcPr>
            <w:tcW w:w="1077" w:type="pct"/>
          </w:tcPr>
          <w:p w14:paraId="2511DD3A" w14:textId="77777777" w:rsidR="00392AE5" w:rsidRPr="00392AE5" w:rsidRDefault="00392AE5" w:rsidP="00392AE5">
            <w:pPr>
              <w:overflowPunct w:val="0"/>
              <w:autoSpaceDE w:val="0"/>
              <w:autoSpaceDN w:val="0"/>
              <w:adjustRightInd w:val="0"/>
              <w:textAlignment w:val="baseline"/>
              <w:rPr>
                <w:i/>
              </w:rPr>
            </w:pPr>
            <w:r>
              <w:rPr>
                <w:b/>
                <w:i/>
              </w:rPr>
              <w:t>Contactpersoon</w:t>
            </w:r>
          </w:p>
        </w:tc>
        <w:tc>
          <w:tcPr>
            <w:tcW w:w="3923" w:type="pct"/>
          </w:tcPr>
          <w:p w14:paraId="3960CCB8" w14:textId="77777777" w:rsidR="00392AE5" w:rsidRPr="00392AE5" w:rsidRDefault="00392AE5" w:rsidP="00392AE5">
            <w:pPr>
              <w:overflowPunct w:val="0"/>
              <w:autoSpaceDE w:val="0"/>
              <w:autoSpaceDN w:val="0"/>
              <w:adjustRightInd w:val="0"/>
              <w:textAlignment w:val="baseline"/>
              <w:rPr>
                <w:i/>
              </w:rPr>
            </w:pPr>
            <w:r>
              <w:rPr>
                <w:i/>
              </w:rPr>
              <w:t>Silvia Staffa</w:t>
            </w:r>
          </w:p>
        </w:tc>
      </w:tr>
      <w:tr w:rsidR="00392AE5" w:rsidRPr="00392AE5" w14:paraId="3AF34B7F" w14:textId="77777777" w:rsidTr="002E7EFB">
        <w:tc>
          <w:tcPr>
            <w:tcW w:w="1077" w:type="pct"/>
          </w:tcPr>
          <w:p w14:paraId="2CBD3E50" w14:textId="77777777" w:rsidR="00392AE5" w:rsidRPr="00392AE5" w:rsidRDefault="00392AE5" w:rsidP="00392AE5">
            <w:pPr>
              <w:overflowPunct w:val="0"/>
              <w:autoSpaceDE w:val="0"/>
              <w:autoSpaceDN w:val="0"/>
              <w:adjustRightInd w:val="0"/>
              <w:textAlignment w:val="baseline"/>
              <w:rPr>
                <w:i/>
              </w:rPr>
            </w:pPr>
            <w:r>
              <w:rPr>
                <w:i/>
              </w:rPr>
              <w:t>Tel.</w:t>
            </w:r>
          </w:p>
        </w:tc>
        <w:tc>
          <w:tcPr>
            <w:tcW w:w="3923" w:type="pct"/>
          </w:tcPr>
          <w:p w14:paraId="730C53AF" w14:textId="77777777" w:rsidR="00392AE5" w:rsidRPr="00392AE5" w:rsidRDefault="00392AE5" w:rsidP="00392AE5">
            <w:pPr>
              <w:overflowPunct w:val="0"/>
              <w:autoSpaceDE w:val="0"/>
              <w:autoSpaceDN w:val="0"/>
              <w:adjustRightInd w:val="0"/>
              <w:textAlignment w:val="baseline"/>
              <w:rPr>
                <w:i/>
              </w:rPr>
            </w:pPr>
            <w:r>
              <w:rPr>
                <w:i/>
              </w:rPr>
              <w:t>+32 25468378</w:t>
            </w:r>
          </w:p>
        </w:tc>
      </w:tr>
      <w:tr w:rsidR="00392AE5" w:rsidRPr="00392AE5" w14:paraId="7E2C07CA" w14:textId="77777777" w:rsidTr="002E7EFB">
        <w:tc>
          <w:tcPr>
            <w:tcW w:w="1077" w:type="pct"/>
          </w:tcPr>
          <w:p w14:paraId="22A428C5" w14:textId="77777777" w:rsidR="00392AE5" w:rsidRPr="00392AE5" w:rsidRDefault="00392AE5" w:rsidP="00392AE5">
            <w:pPr>
              <w:overflowPunct w:val="0"/>
              <w:autoSpaceDE w:val="0"/>
              <w:autoSpaceDN w:val="0"/>
              <w:adjustRightInd w:val="0"/>
              <w:textAlignment w:val="baseline"/>
              <w:rPr>
                <w:i/>
              </w:rPr>
            </w:pPr>
            <w:r>
              <w:rPr>
                <w:i/>
              </w:rPr>
              <w:t>E-mail</w:t>
            </w:r>
          </w:p>
        </w:tc>
        <w:tc>
          <w:tcPr>
            <w:tcW w:w="3923" w:type="pct"/>
          </w:tcPr>
          <w:p w14:paraId="0EBCDB0C" w14:textId="566A147C" w:rsidR="00392AE5" w:rsidRPr="00392AE5" w:rsidRDefault="00E23721" w:rsidP="00392AE5">
            <w:pPr>
              <w:overflowPunct w:val="0"/>
              <w:autoSpaceDE w:val="0"/>
              <w:autoSpaceDN w:val="0"/>
              <w:adjustRightInd w:val="0"/>
              <w:spacing w:line="240" w:lineRule="auto"/>
              <w:textAlignment w:val="baseline"/>
              <w:rPr>
                <w:i/>
              </w:rPr>
            </w:pPr>
            <w:hyperlink r:id="rId36" w:history="1">
              <w:r>
                <w:rPr>
                  <w:i/>
                  <w:color w:val="0000FF"/>
                  <w:u w:val="single"/>
                </w:rPr>
                <w:t>Silvia.Staffa@eesc.europa.eu</w:t>
              </w:r>
            </w:hyperlink>
          </w:p>
        </w:tc>
      </w:tr>
    </w:tbl>
    <w:p w14:paraId="4982DE1D" w14:textId="4077BBDD" w:rsidR="00A456BF" w:rsidRDefault="00A456BF" w:rsidP="001766B2">
      <w:pPr>
        <w:pStyle w:val="ListParagraph"/>
        <w:ind w:left="0"/>
      </w:pPr>
    </w:p>
    <w:p w14:paraId="4C6ED66A" w14:textId="77777777" w:rsidR="00A456BF" w:rsidRDefault="00A456BF">
      <w:pPr>
        <w:spacing w:after="160" w:line="259" w:lineRule="auto"/>
        <w:jc w:val="left"/>
      </w:pPr>
      <w:r>
        <w:br w:type="page"/>
      </w:r>
    </w:p>
    <w:p w14:paraId="6B9F0C27" w14:textId="387F632B" w:rsidR="008E331E" w:rsidRPr="008E331E" w:rsidRDefault="00E23721" w:rsidP="008E331E">
      <w:pPr>
        <w:widowControl w:val="0"/>
        <w:numPr>
          <w:ilvl w:val="0"/>
          <w:numId w:val="4"/>
        </w:numPr>
        <w:overflowPunct w:val="0"/>
        <w:autoSpaceDE w:val="0"/>
        <w:autoSpaceDN w:val="0"/>
        <w:adjustRightInd w:val="0"/>
        <w:ind w:hanging="567"/>
        <w:textAlignment w:val="baseline"/>
        <w:rPr>
          <w:sz w:val="20"/>
          <w:szCs w:val="20"/>
        </w:rPr>
      </w:pPr>
      <w:hyperlink r:id="rId37" w:tgtFrame="_blank" w:history="1">
        <w:r>
          <w:rPr>
            <w:b/>
            <w:i/>
            <w:color w:val="0000FF"/>
            <w:sz w:val="28"/>
            <w:u w:val="single"/>
          </w:rPr>
          <w:t>Herziening van de CO</w:t>
        </w:r>
        <w:r>
          <w:rPr>
            <w:b/>
            <w:i/>
            <w:color w:val="0000FF"/>
            <w:sz w:val="28"/>
            <w:u w:val="single"/>
            <w:vertAlign w:val="subscript"/>
          </w:rPr>
          <w:t>2</w:t>
        </w:r>
        <w:r>
          <w:rPr>
            <w:b/>
            <w:i/>
            <w:color w:val="0000FF"/>
            <w:sz w:val="28"/>
            <w:u w:val="single"/>
          </w:rPr>
          <w:t>-normen voor auto’s en bestelwagens</w:t>
        </w:r>
      </w:hyperlink>
    </w:p>
    <w:p w14:paraId="4FA234D2"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5387"/>
      </w:tblGrid>
      <w:tr w:rsidR="008E331E" w:rsidRPr="008E331E" w14:paraId="3544A5AD" w14:textId="77777777" w:rsidTr="002E7EFB">
        <w:tc>
          <w:tcPr>
            <w:tcW w:w="1701" w:type="dxa"/>
          </w:tcPr>
          <w:p w14:paraId="1CD1317C"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r>
              <w:rPr>
                <w:b/>
              </w:rPr>
              <w:t>Rapporteur</w:t>
            </w:r>
          </w:p>
        </w:tc>
        <w:tc>
          <w:tcPr>
            <w:tcW w:w="5387" w:type="dxa"/>
          </w:tcPr>
          <w:p w14:paraId="206429AE" w14:textId="78B329B9" w:rsidR="008E331E" w:rsidRPr="008E331E" w:rsidRDefault="008E331E" w:rsidP="008E331E">
            <w:pPr>
              <w:tabs>
                <w:tab w:val="center" w:pos="284"/>
              </w:tabs>
              <w:overflowPunct w:val="0"/>
              <w:autoSpaceDE w:val="0"/>
              <w:autoSpaceDN w:val="0"/>
              <w:adjustRightInd w:val="0"/>
              <w:ind w:left="266" w:hanging="266"/>
              <w:textAlignment w:val="baseline"/>
            </w:pPr>
            <w:r>
              <w:t>Matteo BORSANI (groep Werkgevers – IT)</w:t>
            </w:r>
          </w:p>
          <w:p w14:paraId="3D9FC490" w14:textId="77777777" w:rsidR="008E331E" w:rsidRPr="008E331E" w:rsidRDefault="008E331E" w:rsidP="008E331E">
            <w:pPr>
              <w:tabs>
                <w:tab w:val="center" w:pos="284"/>
              </w:tabs>
              <w:overflowPunct w:val="0"/>
              <w:autoSpaceDE w:val="0"/>
              <w:autoSpaceDN w:val="0"/>
              <w:adjustRightInd w:val="0"/>
              <w:ind w:left="266" w:hanging="266"/>
              <w:textAlignment w:val="baseline"/>
            </w:pPr>
          </w:p>
        </w:tc>
      </w:tr>
      <w:tr w:rsidR="008E331E" w:rsidRPr="008E331E" w14:paraId="5175195B" w14:textId="77777777" w:rsidTr="002E7EFB">
        <w:tc>
          <w:tcPr>
            <w:tcW w:w="7088" w:type="dxa"/>
            <w:gridSpan w:val="2"/>
          </w:tcPr>
          <w:p w14:paraId="25949DC3" w14:textId="77777777" w:rsidR="008E331E" w:rsidRPr="008E331E" w:rsidRDefault="008E331E" w:rsidP="008E331E">
            <w:pPr>
              <w:tabs>
                <w:tab w:val="center" w:pos="284"/>
              </w:tabs>
              <w:overflowPunct w:val="0"/>
              <w:autoSpaceDE w:val="0"/>
              <w:autoSpaceDN w:val="0"/>
              <w:adjustRightInd w:val="0"/>
              <w:spacing w:line="160" w:lineRule="exact"/>
              <w:ind w:left="266" w:hanging="266"/>
              <w:textAlignment w:val="baseline"/>
            </w:pPr>
          </w:p>
        </w:tc>
      </w:tr>
      <w:tr w:rsidR="008E331E" w:rsidRPr="008E331E" w14:paraId="0E58D564" w14:textId="77777777" w:rsidTr="002E7EFB">
        <w:tc>
          <w:tcPr>
            <w:tcW w:w="1701" w:type="dxa"/>
            <w:vMerge w:val="restart"/>
          </w:tcPr>
          <w:p w14:paraId="145A97E5"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r>
              <w:rPr>
                <w:b/>
              </w:rPr>
              <w:t>Referentiedocumenten</w:t>
            </w:r>
          </w:p>
        </w:tc>
        <w:tc>
          <w:tcPr>
            <w:tcW w:w="5387" w:type="dxa"/>
          </w:tcPr>
          <w:p w14:paraId="7281EBE1" w14:textId="0C5497BF" w:rsidR="008E331E" w:rsidRPr="008E331E" w:rsidRDefault="008E331E" w:rsidP="008E331E">
            <w:pPr>
              <w:tabs>
                <w:tab w:val="center" w:pos="284"/>
              </w:tabs>
              <w:overflowPunct w:val="0"/>
              <w:autoSpaceDE w:val="0"/>
              <w:autoSpaceDN w:val="0"/>
              <w:adjustRightInd w:val="0"/>
              <w:ind w:left="266" w:hanging="266"/>
              <w:textAlignment w:val="baseline"/>
            </w:pPr>
            <w:r>
              <w:t xml:space="preserve">COM(2025) 995 final </w:t>
            </w:r>
          </w:p>
          <w:p w14:paraId="7D42FFB6" w14:textId="77777777" w:rsidR="008E331E" w:rsidRPr="008E331E" w:rsidRDefault="008E331E" w:rsidP="008E331E">
            <w:pPr>
              <w:tabs>
                <w:tab w:val="center" w:pos="284"/>
              </w:tabs>
              <w:overflowPunct w:val="0"/>
              <w:autoSpaceDE w:val="0"/>
              <w:autoSpaceDN w:val="0"/>
              <w:adjustRightInd w:val="0"/>
              <w:ind w:left="266" w:hanging="266"/>
              <w:textAlignment w:val="baseline"/>
            </w:pPr>
            <w:r>
              <w:t>EESC-2025-04308-00-00-AC</w:t>
            </w:r>
          </w:p>
        </w:tc>
      </w:tr>
      <w:tr w:rsidR="008E331E" w:rsidRPr="008E331E" w14:paraId="3BC2EE29" w14:textId="77777777" w:rsidTr="002E7EFB">
        <w:tc>
          <w:tcPr>
            <w:tcW w:w="1701" w:type="dxa"/>
            <w:vMerge/>
          </w:tcPr>
          <w:p w14:paraId="00FF22F1"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pt-PT"/>
              </w:rPr>
            </w:pPr>
          </w:p>
        </w:tc>
        <w:tc>
          <w:tcPr>
            <w:tcW w:w="5387" w:type="dxa"/>
          </w:tcPr>
          <w:p w14:paraId="56EC2136" w14:textId="77777777" w:rsidR="008E331E" w:rsidRPr="008E331E" w:rsidRDefault="008E331E" w:rsidP="008E331E">
            <w:pPr>
              <w:tabs>
                <w:tab w:val="center" w:pos="284"/>
              </w:tabs>
              <w:overflowPunct w:val="0"/>
              <w:autoSpaceDE w:val="0"/>
              <w:autoSpaceDN w:val="0"/>
              <w:adjustRightInd w:val="0"/>
              <w:ind w:left="266" w:hanging="266"/>
              <w:textAlignment w:val="baseline"/>
              <w:rPr>
                <w:lang w:val="pt-PT"/>
              </w:rPr>
            </w:pPr>
          </w:p>
        </w:tc>
      </w:tr>
    </w:tbl>
    <w:p w14:paraId="40375C28" w14:textId="77777777" w:rsidR="008E331E" w:rsidRPr="008E331E" w:rsidRDefault="008E331E" w:rsidP="008E331E">
      <w:pPr>
        <w:tabs>
          <w:tab w:val="center" w:pos="284"/>
        </w:tabs>
        <w:overflowPunct w:val="0"/>
        <w:autoSpaceDE w:val="0"/>
        <w:autoSpaceDN w:val="0"/>
        <w:adjustRightInd w:val="0"/>
        <w:ind w:left="266" w:hanging="266"/>
        <w:textAlignment w:val="baseline"/>
        <w:rPr>
          <w:lang w:val="pt-PT"/>
        </w:rPr>
      </w:pPr>
    </w:p>
    <w:p w14:paraId="26D74C64"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rPr>
      </w:pPr>
      <w:r>
        <w:rPr>
          <w:b/>
        </w:rPr>
        <w:t>Hoofdpunten</w:t>
      </w:r>
    </w:p>
    <w:p w14:paraId="2C9A5459" w14:textId="77777777" w:rsidR="008E331E" w:rsidRPr="008E331E" w:rsidRDefault="008E331E" w:rsidP="00C56EF3">
      <w:pPr>
        <w:keepNext/>
        <w:keepLines/>
        <w:tabs>
          <w:tab w:val="center" w:pos="284"/>
        </w:tabs>
        <w:overflowPunct w:val="0"/>
        <w:autoSpaceDE w:val="0"/>
        <w:autoSpaceDN w:val="0"/>
        <w:adjustRightInd w:val="0"/>
        <w:ind w:left="266" w:hanging="266"/>
        <w:textAlignment w:val="baseline"/>
        <w:rPr>
          <w:b/>
          <w:lang w:val="en-GB"/>
        </w:rPr>
      </w:pPr>
    </w:p>
    <w:p w14:paraId="37A2A0C4" w14:textId="77777777" w:rsidR="008E331E" w:rsidRPr="008E331E" w:rsidRDefault="008E331E" w:rsidP="00C56EF3">
      <w:pPr>
        <w:overflowPunct w:val="0"/>
        <w:autoSpaceDE w:val="0"/>
        <w:autoSpaceDN w:val="0"/>
        <w:adjustRightInd w:val="0"/>
        <w:textAlignment w:val="baseline"/>
        <w:rPr>
          <w:bCs/>
          <w:iCs/>
        </w:rPr>
      </w:pPr>
      <w:r>
        <w:t>Het EESC:</w:t>
      </w:r>
    </w:p>
    <w:p w14:paraId="74FE4F26" w14:textId="77777777" w:rsidR="008E331E" w:rsidRPr="008E331E" w:rsidRDefault="008E331E" w:rsidP="00C56EF3">
      <w:pPr>
        <w:overflowPunct w:val="0"/>
        <w:autoSpaceDE w:val="0"/>
        <w:autoSpaceDN w:val="0"/>
        <w:adjustRightInd w:val="0"/>
        <w:textAlignment w:val="baseline"/>
        <w:rPr>
          <w:bCs/>
          <w:iCs/>
          <w:lang w:val="en-GB"/>
        </w:rPr>
      </w:pPr>
    </w:p>
    <w:p w14:paraId="5B2F5DBD" w14:textId="77777777" w:rsidR="008E331E" w:rsidRPr="008E331E" w:rsidRDefault="008E331E" w:rsidP="00C56EF3">
      <w:pPr>
        <w:numPr>
          <w:ilvl w:val="0"/>
          <w:numId w:val="29"/>
        </w:numPr>
        <w:overflowPunct w:val="0"/>
        <w:autoSpaceDE w:val="0"/>
        <w:autoSpaceDN w:val="0"/>
        <w:adjustRightInd w:val="0"/>
        <w:spacing w:after="200"/>
        <w:ind w:left="284" w:hanging="284"/>
        <w:contextualSpacing/>
        <w:textAlignment w:val="baseline"/>
      </w:pPr>
      <w:r>
        <w:rPr>
          <w:b/>
          <w:bCs/>
        </w:rPr>
        <w:t xml:space="preserve">roept op tot een evenwichtig en samenhangend EU-kader </w:t>
      </w:r>
      <w:r>
        <w:t>voor de transitie van de autosector, waarin een duidelijk signaal ter bevordering van emissievrije en emissiearme mobiliteit wordt gecombineerd met technologische neutraliteit, een sterke waardeketen “Made in the EU” en de bescherming van hoogwaardige werkgelegenheid, industriële capaciteit en innovatie;</w:t>
      </w:r>
    </w:p>
    <w:p w14:paraId="432BFC18" w14:textId="77777777" w:rsidR="008E331E" w:rsidRPr="008E331E" w:rsidRDefault="008E331E" w:rsidP="00C56EF3">
      <w:pPr>
        <w:numPr>
          <w:ilvl w:val="0"/>
          <w:numId w:val="29"/>
        </w:numPr>
        <w:overflowPunct w:val="0"/>
        <w:autoSpaceDE w:val="0"/>
        <w:autoSpaceDN w:val="0"/>
        <w:adjustRightInd w:val="0"/>
        <w:spacing w:after="200"/>
        <w:ind w:left="284" w:hanging="284"/>
        <w:contextualSpacing/>
        <w:textAlignment w:val="baseline"/>
      </w:pPr>
      <w:r>
        <w:rPr>
          <w:b/>
          <w:bCs/>
        </w:rPr>
        <w:t>pleit voor een pragmatische herziening van de CO</w:t>
      </w:r>
      <w:r>
        <w:rPr>
          <w:b/>
          <w:bCs/>
          <w:vertAlign w:val="subscript"/>
        </w:rPr>
        <w:t>2</w:t>
      </w:r>
      <w:r>
        <w:rPr>
          <w:b/>
          <w:bCs/>
        </w:rPr>
        <w:t xml:space="preserve">-normen </w:t>
      </w:r>
      <w:r>
        <w:t>voor auto’s en bestelwagens, in overeenstemming met de marktrealiteit en de klimaatdoelstellingen, om het concurrentievermogen te herstellen met behoud van het decarbonisatietraject voor de lange termijn;</w:t>
      </w:r>
    </w:p>
    <w:p w14:paraId="0972F5CB" w14:textId="77777777" w:rsidR="008E331E" w:rsidRPr="008E331E" w:rsidRDefault="008E331E" w:rsidP="00C56EF3">
      <w:pPr>
        <w:numPr>
          <w:ilvl w:val="0"/>
          <w:numId w:val="29"/>
        </w:numPr>
        <w:overflowPunct w:val="0"/>
        <w:autoSpaceDE w:val="0"/>
        <w:autoSpaceDN w:val="0"/>
        <w:adjustRightInd w:val="0"/>
        <w:spacing w:after="200"/>
        <w:ind w:left="284" w:hanging="284"/>
        <w:contextualSpacing/>
        <w:textAlignment w:val="baseline"/>
      </w:pPr>
      <w:r>
        <w:rPr>
          <w:b/>
          <w:bCs/>
        </w:rPr>
        <w:t>dringt aan op een grotere rol voor overgangstechnologieën</w:t>
      </w:r>
      <w:r>
        <w:t>, zoals hybride voertuigen, duurzame hernieuwbare brandstoffen en emissiearme materialen. Ook zou minder uitsluitend moeten worden gekeken naar uitlaatemissies, met het oog op een realistischere en sociaal evenwichtige transitie;</w:t>
      </w:r>
    </w:p>
    <w:p w14:paraId="1A4C34C1" w14:textId="77777777" w:rsidR="008E331E" w:rsidRPr="008E331E" w:rsidRDefault="008E331E" w:rsidP="00C56EF3">
      <w:pPr>
        <w:numPr>
          <w:ilvl w:val="0"/>
          <w:numId w:val="29"/>
        </w:numPr>
        <w:overflowPunct w:val="0"/>
        <w:autoSpaceDE w:val="0"/>
        <w:autoSpaceDN w:val="0"/>
        <w:adjustRightInd w:val="0"/>
        <w:spacing w:after="200"/>
        <w:ind w:left="284" w:hanging="284"/>
        <w:contextualSpacing/>
        <w:textAlignment w:val="baseline"/>
      </w:pPr>
      <w:r>
        <w:rPr>
          <w:b/>
          <w:bCs/>
        </w:rPr>
        <w:t>is ingenomen met de grotere flexibiliteit voor de doelstellingen voor 2030</w:t>
      </w:r>
      <w:r>
        <w:t>, waaronder de meerjarige naleving, en wil gerichte steun voor laadinfrastructuur, de elektrificatie van bedrijfswagenparken en lichte bedrijfsvoertuigen, waarvan de marktacceptatie gering blijft;</w:t>
      </w:r>
    </w:p>
    <w:p w14:paraId="789098F1" w14:textId="77777777" w:rsidR="008E331E" w:rsidRPr="008E331E" w:rsidRDefault="008E331E" w:rsidP="00C56EF3">
      <w:pPr>
        <w:numPr>
          <w:ilvl w:val="0"/>
          <w:numId w:val="29"/>
        </w:numPr>
        <w:overflowPunct w:val="0"/>
        <w:autoSpaceDE w:val="0"/>
        <w:autoSpaceDN w:val="0"/>
        <w:adjustRightInd w:val="0"/>
        <w:spacing w:after="200"/>
        <w:ind w:left="284" w:hanging="284"/>
        <w:contextualSpacing/>
        <w:textAlignment w:val="baseline"/>
      </w:pPr>
      <w:r>
        <w:rPr>
          <w:b/>
          <w:bCs/>
        </w:rPr>
        <w:t>zou graag zien dat het industriële leiderschap van de EU wordt versterkt</w:t>
      </w:r>
      <w:r>
        <w:t xml:space="preserve"> met stimulansen zoals voor producten “Made in the EU”, steun voor emissiearm staal en verlenging van de superkredieten voor elektrische voertuigen. Daarnaast zou moeten worden ingezet op een alomvattendere methode voor de berekening van emissies en op een betaalbare, inclusieve transitie met veel werkgelegenheid.</w:t>
      </w:r>
    </w:p>
    <w:p w14:paraId="5E4844AB" w14:textId="77777777" w:rsidR="008E331E" w:rsidRPr="008E331E" w:rsidRDefault="008E331E" w:rsidP="00C56EF3">
      <w:pPr>
        <w:widowControl w:val="0"/>
        <w:overflowPunct w:val="0"/>
        <w:autoSpaceDE w:val="0"/>
        <w:autoSpaceDN w:val="0"/>
        <w:adjustRightInd w:val="0"/>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5670"/>
      </w:tblGrid>
      <w:tr w:rsidR="008E331E" w:rsidRPr="008E331E" w14:paraId="1B085562" w14:textId="77777777" w:rsidTr="004E3086">
        <w:tc>
          <w:tcPr>
            <w:tcW w:w="1517" w:type="dxa"/>
          </w:tcPr>
          <w:p w14:paraId="68F7AC07" w14:textId="77777777" w:rsidR="008E331E" w:rsidRPr="008E331E" w:rsidRDefault="008E331E" w:rsidP="008E331E">
            <w:pPr>
              <w:overflowPunct w:val="0"/>
              <w:autoSpaceDE w:val="0"/>
              <w:autoSpaceDN w:val="0"/>
              <w:adjustRightInd w:val="0"/>
              <w:spacing w:line="240" w:lineRule="auto"/>
              <w:textAlignment w:val="baseline"/>
              <w:rPr>
                <w:i/>
              </w:rPr>
            </w:pPr>
            <w:r>
              <w:rPr>
                <w:b/>
                <w:i/>
              </w:rPr>
              <w:t>Contactpersoon</w:t>
            </w:r>
          </w:p>
        </w:tc>
        <w:tc>
          <w:tcPr>
            <w:tcW w:w="5670" w:type="dxa"/>
          </w:tcPr>
          <w:p w14:paraId="008F7857" w14:textId="5A00880C" w:rsidR="008E331E" w:rsidRPr="008E331E" w:rsidRDefault="008E331E" w:rsidP="008E331E">
            <w:pPr>
              <w:overflowPunct w:val="0"/>
              <w:autoSpaceDE w:val="0"/>
              <w:autoSpaceDN w:val="0"/>
              <w:adjustRightInd w:val="0"/>
              <w:spacing w:line="240" w:lineRule="auto"/>
              <w:textAlignment w:val="baseline"/>
              <w:rPr>
                <w:i/>
              </w:rPr>
            </w:pPr>
            <w:r>
              <w:rPr>
                <w:i/>
              </w:rPr>
              <w:t>Silvia Staffa</w:t>
            </w:r>
          </w:p>
        </w:tc>
      </w:tr>
      <w:tr w:rsidR="008E331E" w:rsidRPr="008E331E" w14:paraId="0B08C9F9" w14:textId="77777777" w:rsidTr="004E3086">
        <w:tc>
          <w:tcPr>
            <w:tcW w:w="1517" w:type="dxa"/>
          </w:tcPr>
          <w:p w14:paraId="29C057C9" w14:textId="77777777" w:rsidR="008E331E" w:rsidRPr="008E331E" w:rsidRDefault="008E331E" w:rsidP="008E331E">
            <w:pPr>
              <w:overflowPunct w:val="0"/>
              <w:autoSpaceDE w:val="0"/>
              <w:autoSpaceDN w:val="0"/>
              <w:adjustRightInd w:val="0"/>
              <w:spacing w:line="240" w:lineRule="auto"/>
              <w:textAlignment w:val="baseline"/>
              <w:rPr>
                <w:i/>
              </w:rPr>
            </w:pPr>
            <w:r>
              <w:rPr>
                <w:i/>
              </w:rPr>
              <w:t>Tel.</w:t>
            </w:r>
          </w:p>
        </w:tc>
        <w:tc>
          <w:tcPr>
            <w:tcW w:w="5670" w:type="dxa"/>
          </w:tcPr>
          <w:p w14:paraId="52F48E6D" w14:textId="77777777" w:rsidR="008E331E" w:rsidRPr="008E331E" w:rsidRDefault="008E331E" w:rsidP="008E331E">
            <w:pPr>
              <w:overflowPunct w:val="0"/>
              <w:autoSpaceDE w:val="0"/>
              <w:autoSpaceDN w:val="0"/>
              <w:adjustRightInd w:val="0"/>
              <w:spacing w:line="240" w:lineRule="auto"/>
              <w:textAlignment w:val="baseline"/>
              <w:rPr>
                <w:i/>
              </w:rPr>
            </w:pPr>
            <w:r>
              <w:rPr>
                <w:i/>
              </w:rPr>
              <w:t>+ 32 25468378</w:t>
            </w:r>
          </w:p>
        </w:tc>
      </w:tr>
      <w:tr w:rsidR="008E331E" w:rsidRPr="008E331E" w14:paraId="5F4D2CBA" w14:textId="77777777" w:rsidTr="004E3086">
        <w:tc>
          <w:tcPr>
            <w:tcW w:w="1517" w:type="dxa"/>
          </w:tcPr>
          <w:p w14:paraId="6B39137F" w14:textId="244E1F7A" w:rsidR="008E331E" w:rsidRPr="008E331E" w:rsidRDefault="00C32E41" w:rsidP="008E331E">
            <w:pPr>
              <w:overflowPunct w:val="0"/>
              <w:autoSpaceDE w:val="0"/>
              <w:autoSpaceDN w:val="0"/>
              <w:adjustRightInd w:val="0"/>
              <w:spacing w:line="240" w:lineRule="auto"/>
              <w:textAlignment w:val="baseline"/>
              <w:rPr>
                <w:i/>
              </w:rPr>
            </w:pPr>
            <w:r>
              <w:rPr>
                <w:i/>
              </w:rPr>
              <w:t>E-mail</w:t>
            </w:r>
          </w:p>
        </w:tc>
        <w:tc>
          <w:tcPr>
            <w:tcW w:w="5670" w:type="dxa"/>
          </w:tcPr>
          <w:p w14:paraId="334E5630" w14:textId="30BB8C9B" w:rsidR="008E331E" w:rsidRPr="008E331E" w:rsidRDefault="00E23721" w:rsidP="008E331E">
            <w:pPr>
              <w:overflowPunct w:val="0"/>
              <w:autoSpaceDE w:val="0"/>
              <w:autoSpaceDN w:val="0"/>
              <w:adjustRightInd w:val="0"/>
              <w:spacing w:line="240" w:lineRule="auto"/>
              <w:textAlignment w:val="baseline"/>
              <w:rPr>
                <w:i/>
              </w:rPr>
            </w:pPr>
            <w:hyperlink r:id="rId38" w:history="1">
              <w:r>
                <w:rPr>
                  <w:i/>
                  <w:color w:val="0000FF"/>
                  <w:u w:val="single"/>
                </w:rPr>
                <w:t>Silvia.Staffa@eesc.europa.eu</w:t>
              </w:r>
            </w:hyperlink>
          </w:p>
        </w:tc>
      </w:tr>
    </w:tbl>
    <w:p w14:paraId="05023353" w14:textId="7CA572C4" w:rsidR="008E331E" w:rsidRDefault="008E331E" w:rsidP="001766B2">
      <w:pPr>
        <w:pStyle w:val="ListParagraph"/>
        <w:ind w:left="0"/>
      </w:pPr>
    </w:p>
    <w:p w14:paraId="7230B300" w14:textId="77777777" w:rsidR="008E331E" w:rsidRDefault="008E331E">
      <w:pPr>
        <w:spacing w:after="160" w:line="259" w:lineRule="auto"/>
        <w:jc w:val="left"/>
      </w:pPr>
      <w:r>
        <w:br w:type="page"/>
      </w:r>
    </w:p>
    <w:p w14:paraId="70CF40EF" w14:textId="6E44D032" w:rsidR="00882D0D" w:rsidRPr="004C6742" w:rsidRDefault="00882D0D" w:rsidP="004815E0">
      <w:pPr>
        <w:widowControl w:val="0"/>
        <w:numPr>
          <w:ilvl w:val="0"/>
          <w:numId w:val="15"/>
        </w:numPr>
        <w:overflowPunct w:val="0"/>
        <w:autoSpaceDE w:val="0"/>
        <w:autoSpaceDN w:val="0"/>
        <w:adjustRightInd w:val="0"/>
        <w:spacing w:after="200" w:line="276" w:lineRule="auto"/>
        <w:ind w:left="426" w:hanging="568"/>
        <w:contextualSpacing/>
        <w:jc w:val="left"/>
        <w:textAlignment w:val="baseline"/>
        <w:rPr>
          <w:b/>
          <w:i/>
          <w:sz w:val="32"/>
          <w:szCs w:val="32"/>
        </w:rPr>
      </w:pPr>
      <w:hyperlink r:id="rId39" w:tgtFrame="_blank" w:history="1">
        <w:r>
          <w:rPr>
            <w:b/>
            <w:i/>
            <w:color w:val="0000FF"/>
            <w:sz w:val="32"/>
            <w:u w:val="single"/>
          </w:rPr>
          <w:t>Evaluatie van Verordening (EU) 2019/1020 betreffende markttoezicht en conformiteit van producten</w:t>
        </w:r>
      </w:hyperlink>
    </w:p>
    <w:p w14:paraId="3DC7A7FA" w14:textId="77777777" w:rsidR="002A0F5D" w:rsidRPr="00C56EF3" w:rsidRDefault="002A0F5D" w:rsidP="004C6742">
      <w:pPr>
        <w:widowControl w:val="0"/>
        <w:overflowPunct w:val="0"/>
        <w:autoSpaceDE w:val="0"/>
        <w:autoSpaceDN w:val="0"/>
        <w:adjustRightInd w:val="0"/>
        <w:spacing w:after="200" w:line="276" w:lineRule="auto"/>
        <w:ind w:left="360"/>
        <w:contextualSpacing/>
        <w:jc w:val="left"/>
        <w:textAlignment w:val="baseline"/>
        <w:rPr>
          <w:bCs/>
          <w:iCs/>
          <w:lang w:val="en-GB" w:eastAsia="zh-CN"/>
        </w:rPr>
      </w:pPr>
    </w:p>
    <w:tbl>
      <w:tblPr>
        <w:tblStyle w:val="TableGrid10"/>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6815"/>
      </w:tblGrid>
      <w:tr w:rsidR="00882D0D" w:rsidRPr="00882D0D" w14:paraId="5D4233BC" w14:textId="77777777" w:rsidTr="002E7EFB">
        <w:tc>
          <w:tcPr>
            <w:tcW w:w="1148" w:type="pct"/>
          </w:tcPr>
          <w:p w14:paraId="59FB1452"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Rapporteur</w:t>
            </w:r>
          </w:p>
          <w:p w14:paraId="1047859A"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Corapporteur</w:t>
            </w:r>
          </w:p>
        </w:tc>
        <w:tc>
          <w:tcPr>
            <w:tcW w:w="3852" w:type="pct"/>
          </w:tcPr>
          <w:p w14:paraId="22DD296F" w14:textId="5FEE8890" w:rsidR="00882D0D" w:rsidRPr="00882D0D" w:rsidRDefault="00882D0D" w:rsidP="00882D0D">
            <w:pPr>
              <w:tabs>
                <w:tab w:val="center" w:pos="284"/>
              </w:tabs>
              <w:overflowPunct w:val="0"/>
              <w:autoSpaceDE w:val="0"/>
              <w:autoSpaceDN w:val="0"/>
              <w:adjustRightInd w:val="0"/>
              <w:ind w:left="266" w:hanging="266"/>
              <w:textAlignment w:val="baseline"/>
            </w:pPr>
            <w:r>
              <w:t>Antje GERSTEIN (groep Werkgevers – DE)</w:t>
            </w:r>
          </w:p>
          <w:p w14:paraId="198B3B8D" w14:textId="1C9D367D" w:rsidR="00882D0D" w:rsidRPr="00882D0D" w:rsidRDefault="00882D0D" w:rsidP="00882D0D">
            <w:pPr>
              <w:tabs>
                <w:tab w:val="center" w:pos="284"/>
              </w:tabs>
              <w:overflowPunct w:val="0"/>
              <w:autoSpaceDE w:val="0"/>
              <w:autoSpaceDN w:val="0"/>
              <w:adjustRightInd w:val="0"/>
              <w:ind w:left="266" w:hanging="266"/>
              <w:textAlignment w:val="baseline"/>
            </w:pPr>
            <w:r>
              <w:t>Anastasis YIAPANIS (groep Maatschappelijke Organisaties – CY)</w:t>
            </w:r>
          </w:p>
          <w:p w14:paraId="0D785ADB" w14:textId="77777777" w:rsidR="00882D0D" w:rsidRPr="00882D0D" w:rsidRDefault="00882D0D" w:rsidP="00882D0D">
            <w:pPr>
              <w:tabs>
                <w:tab w:val="center" w:pos="284"/>
              </w:tabs>
              <w:overflowPunct w:val="0"/>
              <w:autoSpaceDE w:val="0"/>
              <w:autoSpaceDN w:val="0"/>
              <w:adjustRightInd w:val="0"/>
              <w:ind w:left="266" w:hanging="266"/>
              <w:textAlignment w:val="baseline"/>
              <w:rPr>
                <w:lang w:val="fr-BE"/>
              </w:rPr>
            </w:pPr>
          </w:p>
        </w:tc>
      </w:tr>
      <w:tr w:rsidR="00882D0D" w:rsidRPr="00882D0D" w14:paraId="1AC48DDB" w14:textId="77777777" w:rsidTr="002E7EFB">
        <w:tc>
          <w:tcPr>
            <w:tcW w:w="1148" w:type="pct"/>
            <w:vMerge w:val="restart"/>
          </w:tcPr>
          <w:p w14:paraId="4FC7ABA2"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Referentiedocumenten</w:t>
            </w:r>
          </w:p>
        </w:tc>
        <w:tc>
          <w:tcPr>
            <w:tcW w:w="3852" w:type="pct"/>
          </w:tcPr>
          <w:p w14:paraId="15CC71FE" w14:textId="0F11AA03" w:rsidR="00E43713" w:rsidRDefault="00E43713" w:rsidP="00882D0D">
            <w:pPr>
              <w:tabs>
                <w:tab w:val="center" w:pos="284"/>
              </w:tabs>
              <w:overflowPunct w:val="0"/>
              <w:autoSpaceDE w:val="0"/>
              <w:autoSpaceDN w:val="0"/>
              <w:adjustRightInd w:val="0"/>
              <w:ind w:left="266" w:hanging="266"/>
              <w:textAlignment w:val="baseline"/>
            </w:pPr>
            <w:r>
              <w:t>Evaluatieverslag</w:t>
            </w:r>
          </w:p>
          <w:p w14:paraId="3A1034C0" w14:textId="47DA1E62" w:rsidR="00882D0D" w:rsidRPr="00882D0D" w:rsidRDefault="00882D0D" w:rsidP="00882D0D">
            <w:pPr>
              <w:tabs>
                <w:tab w:val="center" w:pos="284"/>
              </w:tabs>
              <w:overflowPunct w:val="0"/>
              <w:autoSpaceDE w:val="0"/>
              <w:autoSpaceDN w:val="0"/>
              <w:adjustRightInd w:val="0"/>
              <w:ind w:left="266" w:hanging="266"/>
              <w:textAlignment w:val="baseline"/>
            </w:pPr>
            <w:r>
              <w:t>COM(2025) 63 final</w:t>
            </w:r>
          </w:p>
        </w:tc>
      </w:tr>
      <w:tr w:rsidR="00882D0D" w:rsidRPr="00882D0D" w14:paraId="301DB155" w14:textId="77777777" w:rsidTr="002E7EFB">
        <w:tc>
          <w:tcPr>
            <w:tcW w:w="1148" w:type="pct"/>
            <w:vMerge/>
          </w:tcPr>
          <w:p w14:paraId="0182D7D0" w14:textId="77777777" w:rsidR="00882D0D" w:rsidRPr="00882D0D" w:rsidRDefault="00882D0D" w:rsidP="00882D0D">
            <w:pPr>
              <w:tabs>
                <w:tab w:val="center" w:pos="284"/>
              </w:tabs>
              <w:overflowPunct w:val="0"/>
              <w:autoSpaceDE w:val="0"/>
              <w:autoSpaceDN w:val="0"/>
              <w:adjustRightInd w:val="0"/>
              <w:ind w:left="266" w:hanging="266"/>
              <w:textAlignment w:val="baseline"/>
              <w:rPr>
                <w:b/>
              </w:rPr>
            </w:pPr>
          </w:p>
        </w:tc>
        <w:tc>
          <w:tcPr>
            <w:tcW w:w="3852" w:type="pct"/>
          </w:tcPr>
          <w:p w14:paraId="139E0475" w14:textId="23675999" w:rsidR="00882D0D" w:rsidRPr="00882D0D" w:rsidRDefault="00882D0D" w:rsidP="00882D0D">
            <w:pPr>
              <w:tabs>
                <w:tab w:val="center" w:pos="284"/>
              </w:tabs>
              <w:overflowPunct w:val="0"/>
              <w:autoSpaceDE w:val="0"/>
              <w:autoSpaceDN w:val="0"/>
              <w:adjustRightInd w:val="0"/>
              <w:ind w:left="266" w:hanging="266"/>
              <w:textAlignment w:val="baseline"/>
            </w:pPr>
            <w:r>
              <w:t>EESC-2025-003345-00-00-RE</w:t>
            </w:r>
          </w:p>
        </w:tc>
      </w:tr>
    </w:tbl>
    <w:p w14:paraId="0E7298D1" w14:textId="77777777" w:rsidR="00AE60E9" w:rsidRPr="00AE60E9" w:rsidRDefault="00AE60E9" w:rsidP="00882D0D">
      <w:pPr>
        <w:keepNext/>
        <w:keepLines/>
        <w:tabs>
          <w:tab w:val="center" w:pos="284"/>
        </w:tabs>
        <w:overflowPunct w:val="0"/>
        <w:autoSpaceDE w:val="0"/>
        <w:autoSpaceDN w:val="0"/>
        <w:adjustRightInd w:val="0"/>
        <w:ind w:left="266" w:hanging="266"/>
        <w:textAlignment w:val="baseline"/>
        <w:rPr>
          <w:bCs/>
        </w:rPr>
      </w:pPr>
    </w:p>
    <w:p w14:paraId="7E28CB07" w14:textId="10F47D2B" w:rsidR="00882D0D" w:rsidRPr="00882D0D" w:rsidRDefault="00882D0D" w:rsidP="00882D0D">
      <w:pPr>
        <w:keepNext/>
        <w:keepLines/>
        <w:tabs>
          <w:tab w:val="center" w:pos="284"/>
        </w:tabs>
        <w:overflowPunct w:val="0"/>
        <w:autoSpaceDE w:val="0"/>
        <w:autoSpaceDN w:val="0"/>
        <w:adjustRightInd w:val="0"/>
        <w:ind w:left="266" w:hanging="266"/>
        <w:textAlignment w:val="baseline"/>
        <w:rPr>
          <w:b/>
        </w:rPr>
      </w:pPr>
      <w:r>
        <w:rPr>
          <w:b/>
        </w:rPr>
        <w:t>Hoofdpunten</w:t>
      </w:r>
    </w:p>
    <w:p w14:paraId="7E01B620" w14:textId="77777777" w:rsidR="00882D0D" w:rsidRPr="004E3086" w:rsidRDefault="00882D0D" w:rsidP="00882D0D">
      <w:pPr>
        <w:keepNext/>
        <w:keepLines/>
        <w:tabs>
          <w:tab w:val="center" w:pos="284"/>
        </w:tabs>
        <w:overflowPunct w:val="0"/>
        <w:autoSpaceDE w:val="0"/>
        <w:autoSpaceDN w:val="0"/>
        <w:adjustRightInd w:val="0"/>
        <w:ind w:left="266" w:hanging="266"/>
        <w:textAlignment w:val="baseline"/>
        <w:rPr>
          <w:bCs/>
          <w:lang w:val="en-GB"/>
        </w:rPr>
      </w:pPr>
    </w:p>
    <w:p w14:paraId="22B4E57C" w14:textId="77777777" w:rsidR="00882D0D" w:rsidRPr="00882D0D" w:rsidRDefault="00882D0D" w:rsidP="00AE60E9">
      <w:pPr>
        <w:overflowPunct w:val="0"/>
        <w:autoSpaceDE w:val="0"/>
        <w:autoSpaceDN w:val="0"/>
        <w:adjustRightInd w:val="0"/>
        <w:textAlignment w:val="baseline"/>
        <w:rPr>
          <w:bCs/>
          <w:iCs/>
        </w:rPr>
      </w:pPr>
      <w:r>
        <w:t>Het EESC beveelt aan om:</w:t>
      </w:r>
    </w:p>
    <w:p w14:paraId="10D48344" w14:textId="77777777" w:rsidR="00882D0D" w:rsidRPr="00882D0D" w:rsidRDefault="00882D0D" w:rsidP="00AE60E9">
      <w:pPr>
        <w:overflowPunct w:val="0"/>
        <w:autoSpaceDE w:val="0"/>
        <w:autoSpaceDN w:val="0"/>
        <w:adjustRightInd w:val="0"/>
        <w:textAlignment w:val="baseline"/>
        <w:rPr>
          <w:bCs/>
          <w:iCs/>
          <w:lang w:val="en-GB"/>
        </w:rPr>
      </w:pPr>
    </w:p>
    <w:p w14:paraId="43BC8A8A" w14:textId="77777777" w:rsidR="00882D0D" w:rsidRPr="00882D0D" w:rsidRDefault="00882D0D" w:rsidP="00AE60E9">
      <w:pPr>
        <w:widowControl w:val="0"/>
        <w:numPr>
          <w:ilvl w:val="0"/>
          <w:numId w:val="30"/>
        </w:numPr>
        <w:overflowPunct w:val="0"/>
        <w:autoSpaceDE w:val="0"/>
        <w:autoSpaceDN w:val="0"/>
        <w:adjustRightInd w:val="0"/>
        <w:ind w:left="284" w:hanging="284"/>
        <w:textAlignment w:val="baseline"/>
        <w:rPr>
          <w:szCs w:val="20"/>
        </w:rPr>
      </w:pPr>
      <w:r>
        <w:t>de goedkeuring van geconsolideerde Europese productvoorschriften te bevorderen;</w:t>
      </w:r>
    </w:p>
    <w:p w14:paraId="331BAADF" w14:textId="77777777" w:rsidR="00882D0D" w:rsidRPr="00882D0D" w:rsidRDefault="00882D0D" w:rsidP="00AE60E9">
      <w:pPr>
        <w:widowControl w:val="0"/>
        <w:numPr>
          <w:ilvl w:val="0"/>
          <w:numId w:val="30"/>
        </w:numPr>
        <w:overflowPunct w:val="0"/>
        <w:autoSpaceDE w:val="0"/>
        <w:autoSpaceDN w:val="0"/>
        <w:adjustRightInd w:val="0"/>
        <w:ind w:left="284" w:hanging="284"/>
        <w:textAlignment w:val="baseline"/>
        <w:rPr>
          <w:szCs w:val="20"/>
        </w:rPr>
      </w:pPr>
      <w:r>
        <w:t>te zorgen voor samenhang tussen de verordening markttoezicht, de verordening algemene productveiligheid, sectorspecifieke wetgeving en het douanewetboek van de Unie;</w:t>
      </w:r>
    </w:p>
    <w:p w14:paraId="47770594" w14:textId="77777777" w:rsidR="00882D0D" w:rsidRPr="00882D0D" w:rsidRDefault="00882D0D" w:rsidP="00AE60E9">
      <w:pPr>
        <w:widowControl w:val="0"/>
        <w:numPr>
          <w:ilvl w:val="0"/>
          <w:numId w:val="30"/>
        </w:numPr>
        <w:overflowPunct w:val="0"/>
        <w:autoSpaceDE w:val="0"/>
        <w:autoSpaceDN w:val="0"/>
        <w:adjustRightInd w:val="0"/>
        <w:ind w:left="284" w:hanging="284"/>
        <w:textAlignment w:val="baseline"/>
        <w:rPr>
          <w:szCs w:val="20"/>
        </w:rPr>
      </w:pPr>
      <w:r>
        <w:t>de gestructureerde samenwerking tussen douane- en markttoezichtautoriteiten te versterken;</w:t>
      </w:r>
    </w:p>
    <w:p w14:paraId="3C1DCD11" w14:textId="77777777" w:rsidR="00882D0D" w:rsidRPr="00882D0D" w:rsidRDefault="00882D0D" w:rsidP="00AE60E9">
      <w:pPr>
        <w:widowControl w:val="0"/>
        <w:numPr>
          <w:ilvl w:val="0"/>
          <w:numId w:val="30"/>
        </w:numPr>
        <w:overflowPunct w:val="0"/>
        <w:autoSpaceDE w:val="0"/>
        <w:autoSpaceDN w:val="0"/>
        <w:adjustRightInd w:val="0"/>
        <w:ind w:left="284" w:hanging="284"/>
        <w:textAlignment w:val="baseline"/>
        <w:rPr>
          <w:szCs w:val="20"/>
        </w:rPr>
      </w:pPr>
      <w:r>
        <w:t>bij toekomstige herzieningen van de verordening markttoezicht rekening te houden met de specifieke kenmerken van AI en andere digitale technologieën;</w:t>
      </w:r>
    </w:p>
    <w:p w14:paraId="5E50D7E5" w14:textId="77777777" w:rsidR="00882D0D" w:rsidRPr="00882D0D" w:rsidRDefault="00882D0D" w:rsidP="00AE60E9">
      <w:pPr>
        <w:widowControl w:val="0"/>
        <w:numPr>
          <w:ilvl w:val="0"/>
          <w:numId w:val="30"/>
        </w:numPr>
        <w:overflowPunct w:val="0"/>
        <w:autoSpaceDE w:val="0"/>
        <w:autoSpaceDN w:val="0"/>
        <w:adjustRightInd w:val="0"/>
        <w:ind w:left="284" w:hanging="284"/>
        <w:textAlignment w:val="baseline"/>
        <w:rPr>
          <w:szCs w:val="20"/>
        </w:rPr>
      </w:pPr>
      <w:r>
        <w:t>te zorgen voor adequate, voorspelbare en op prestaties gebaseerde personele en financiële middelen voor markttoezichtautoriteiten en douaneautoriteiten, in combinatie met meetbare uitvoeringsindicatoren;</w:t>
      </w:r>
    </w:p>
    <w:p w14:paraId="5E775A69" w14:textId="77777777" w:rsidR="00882D0D" w:rsidRPr="00882D0D" w:rsidRDefault="00882D0D" w:rsidP="00AE60E9">
      <w:pPr>
        <w:widowControl w:val="0"/>
        <w:numPr>
          <w:ilvl w:val="0"/>
          <w:numId w:val="30"/>
        </w:numPr>
        <w:overflowPunct w:val="0"/>
        <w:autoSpaceDE w:val="0"/>
        <w:autoSpaceDN w:val="0"/>
        <w:adjustRightInd w:val="0"/>
        <w:ind w:left="284" w:hanging="284"/>
        <w:textAlignment w:val="baseline"/>
        <w:rPr>
          <w:szCs w:val="20"/>
        </w:rPr>
      </w:pPr>
      <w:r>
        <w:t>de nationale autoriteiten te voorzien van doeltreffende, evenredige en afschrikkende handhavingsinstrumenten;</w:t>
      </w:r>
    </w:p>
    <w:p w14:paraId="23D44F67" w14:textId="77777777" w:rsidR="00882D0D" w:rsidRPr="00882D0D" w:rsidRDefault="00882D0D" w:rsidP="00AE60E9">
      <w:pPr>
        <w:widowControl w:val="0"/>
        <w:numPr>
          <w:ilvl w:val="0"/>
          <w:numId w:val="30"/>
        </w:numPr>
        <w:overflowPunct w:val="0"/>
        <w:autoSpaceDE w:val="0"/>
        <w:autoSpaceDN w:val="0"/>
        <w:adjustRightInd w:val="0"/>
        <w:ind w:left="284" w:hanging="284"/>
        <w:textAlignment w:val="baseline"/>
        <w:rPr>
          <w:szCs w:val="20"/>
        </w:rPr>
      </w:pPr>
      <w:r>
        <w:t xml:space="preserve">een versterkte Europese handhavingscapaciteit op te zetten die groot genoeg is om systemische grensoverschrijdende risico’s en grootschalige digitale handelsstromen aan te pakken; </w:t>
      </w:r>
    </w:p>
    <w:p w14:paraId="22F6F36B" w14:textId="77777777" w:rsidR="00882D0D" w:rsidRPr="00882D0D" w:rsidRDefault="00882D0D" w:rsidP="00AE60E9">
      <w:pPr>
        <w:widowControl w:val="0"/>
        <w:numPr>
          <w:ilvl w:val="0"/>
          <w:numId w:val="30"/>
        </w:numPr>
        <w:overflowPunct w:val="0"/>
        <w:autoSpaceDE w:val="0"/>
        <w:autoSpaceDN w:val="0"/>
        <w:adjustRightInd w:val="0"/>
        <w:ind w:left="284" w:hanging="284"/>
        <w:textAlignment w:val="baseline"/>
        <w:rPr>
          <w:szCs w:val="20"/>
        </w:rPr>
      </w:pPr>
      <w:r>
        <w:t>een duidelijk op risicoanalyse gebaseerd handhavingskader in te voeren;</w:t>
      </w:r>
    </w:p>
    <w:p w14:paraId="76E510E8" w14:textId="77777777" w:rsidR="00882D0D" w:rsidRPr="00882D0D" w:rsidRDefault="00882D0D" w:rsidP="00AE60E9">
      <w:pPr>
        <w:widowControl w:val="0"/>
        <w:numPr>
          <w:ilvl w:val="0"/>
          <w:numId w:val="30"/>
        </w:numPr>
        <w:overflowPunct w:val="0"/>
        <w:autoSpaceDE w:val="0"/>
        <w:autoSpaceDN w:val="0"/>
        <w:adjustRightInd w:val="0"/>
        <w:ind w:left="284" w:hanging="284"/>
        <w:textAlignment w:val="baseline"/>
        <w:rPr>
          <w:szCs w:val="20"/>
        </w:rPr>
      </w:pPr>
      <w:r>
        <w:t>het handhavingskader van de verordening markttoezicht af te stemmen op de logica die is gevolgd in het kader van de digitaledienstenverordening door evenredige extra verantwoordelijkheden in te voeren voor actoren waarvan de omvang systemische nalevingsrisico’s met zich meebrengt;</w:t>
      </w:r>
    </w:p>
    <w:p w14:paraId="4CC68798" w14:textId="77777777" w:rsidR="00882D0D" w:rsidRPr="00882D0D" w:rsidRDefault="00882D0D" w:rsidP="00AE60E9">
      <w:pPr>
        <w:widowControl w:val="0"/>
        <w:numPr>
          <w:ilvl w:val="0"/>
          <w:numId w:val="30"/>
        </w:numPr>
        <w:overflowPunct w:val="0"/>
        <w:autoSpaceDE w:val="0"/>
        <w:autoSpaceDN w:val="0"/>
        <w:adjustRightInd w:val="0"/>
        <w:ind w:left="284" w:hanging="284"/>
        <w:textAlignment w:val="baseline"/>
        <w:rPr>
          <w:szCs w:val="20"/>
        </w:rPr>
      </w:pPr>
      <w:r>
        <w:t>een gestructureerd partnerschapskader voor naleving te ontwikkelen dat autoriteiten in staat stelt proactief samen te werken met economische actoren;</w:t>
      </w:r>
    </w:p>
    <w:p w14:paraId="774CC109" w14:textId="77777777" w:rsidR="00882D0D" w:rsidRPr="00882D0D" w:rsidRDefault="00882D0D" w:rsidP="00AE60E9">
      <w:pPr>
        <w:widowControl w:val="0"/>
        <w:numPr>
          <w:ilvl w:val="0"/>
          <w:numId w:val="30"/>
        </w:numPr>
        <w:overflowPunct w:val="0"/>
        <w:autoSpaceDE w:val="0"/>
        <w:autoSpaceDN w:val="0"/>
        <w:adjustRightInd w:val="0"/>
        <w:ind w:left="284" w:hanging="284"/>
        <w:textAlignment w:val="baseline"/>
        <w:rPr>
          <w:szCs w:val="20"/>
        </w:rPr>
      </w:pPr>
      <w:r>
        <w:t>de verordening markttoezicht evenrediger en toegankelijker te maken voor micro-, kleine en middelgrote ondernemingen;</w:t>
      </w:r>
    </w:p>
    <w:p w14:paraId="569668E9" w14:textId="77777777" w:rsidR="00882D0D" w:rsidRPr="00882D0D" w:rsidRDefault="00882D0D" w:rsidP="00AE60E9">
      <w:pPr>
        <w:widowControl w:val="0"/>
        <w:numPr>
          <w:ilvl w:val="0"/>
          <w:numId w:val="30"/>
        </w:numPr>
        <w:overflowPunct w:val="0"/>
        <w:autoSpaceDE w:val="0"/>
        <w:autoSpaceDN w:val="0"/>
        <w:adjustRightInd w:val="0"/>
        <w:ind w:left="284" w:hanging="284"/>
        <w:textAlignment w:val="baseline"/>
        <w:rPr>
          <w:szCs w:val="20"/>
        </w:rPr>
      </w:pPr>
      <w:r>
        <w:t>een Europese waarnemingspost voor niet-conforme producten op te richten;</w:t>
      </w:r>
    </w:p>
    <w:p w14:paraId="6343892F" w14:textId="77777777" w:rsidR="00882D0D" w:rsidRPr="00882D0D" w:rsidRDefault="00882D0D" w:rsidP="00AE60E9">
      <w:pPr>
        <w:widowControl w:val="0"/>
        <w:numPr>
          <w:ilvl w:val="0"/>
          <w:numId w:val="30"/>
        </w:numPr>
        <w:overflowPunct w:val="0"/>
        <w:autoSpaceDE w:val="0"/>
        <w:autoSpaceDN w:val="0"/>
        <w:adjustRightInd w:val="0"/>
        <w:ind w:left="284" w:hanging="284"/>
        <w:textAlignment w:val="baseline"/>
        <w:rPr>
          <w:szCs w:val="20"/>
        </w:rPr>
      </w:pPr>
      <w:r>
        <w:t>de verantwoordelijkheidsketen te verduidelijken en geschikt te maken om in de praktijk te functioneren, door minimumkwaliteitscriteria voor gemachtigde vertegenwoordigers in te voeren;</w:t>
      </w:r>
    </w:p>
    <w:p w14:paraId="30F2C869" w14:textId="77777777" w:rsidR="00882D0D" w:rsidRPr="00882D0D" w:rsidRDefault="00882D0D" w:rsidP="00AE60E9">
      <w:pPr>
        <w:widowControl w:val="0"/>
        <w:numPr>
          <w:ilvl w:val="0"/>
          <w:numId w:val="30"/>
        </w:numPr>
        <w:overflowPunct w:val="0"/>
        <w:autoSpaceDE w:val="0"/>
        <w:autoSpaceDN w:val="0"/>
        <w:adjustRightInd w:val="0"/>
        <w:ind w:left="284" w:hanging="284"/>
        <w:textAlignment w:val="baseline"/>
        <w:rPr>
          <w:szCs w:val="20"/>
        </w:rPr>
      </w:pPr>
      <w:r>
        <w:t>de interoperabiliteit tussen het informatie- en communicatiesysteem voor markttoezicht, Safety Gate, douanedatabanken en andere relevante systemen te verbeteren;</w:t>
      </w:r>
    </w:p>
    <w:p w14:paraId="6CFF330B" w14:textId="77777777" w:rsidR="00882D0D" w:rsidRPr="00882D0D" w:rsidRDefault="00882D0D" w:rsidP="00AE60E9">
      <w:pPr>
        <w:widowControl w:val="0"/>
        <w:numPr>
          <w:ilvl w:val="0"/>
          <w:numId w:val="30"/>
        </w:numPr>
        <w:overflowPunct w:val="0"/>
        <w:autoSpaceDE w:val="0"/>
        <w:autoSpaceDN w:val="0"/>
        <w:adjustRightInd w:val="0"/>
        <w:ind w:left="284" w:hanging="284"/>
        <w:textAlignment w:val="baseline"/>
        <w:rPr>
          <w:szCs w:val="20"/>
        </w:rPr>
      </w:pPr>
      <w:r>
        <w:t>te zorgen voor regelmatige en toegankelijke publicatie en verspreiding van handhavingsresultaten;</w:t>
      </w:r>
    </w:p>
    <w:p w14:paraId="1556111A" w14:textId="77777777" w:rsidR="00882D0D" w:rsidRPr="00882D0D" w:rsidRDefault="00882D0D" w:rsidP="00AE60E9">
      <w:pPr>
        <w:widowControl w:val="0"/>
        <w:numPr>
          <w:ilvl w:val="0"/>
          <w:numId w:val="30"/>
        </w:numPr>
        <w:overflowPunct w:val="0"/>
        <w:autoSpaceDE w:val="0"/>
        <w:autoSpaceDN w:val="0"/>
        <w:adjustRightInd w:val="0"/>
        <w:ind w:left="284" w:hanging="284"/>
        <w:textAlignment w:val="baseline"/>
        <w:rPr>
          <w:szCs w:val="20"/>
        </w:rPr>
      </w:pPr>
      <w:r>
        <w:t>de gestructureerde betrokkenheid van het maatschappelijk middenveld en de sociale partners te versterken door middel van formele raadplegingsmechanismen, permanente dialoogplatforms, vroegtijdige betrokkenheid bij wetgevingsontwikkelingen en betere toegang tot informatie en digitale interfaces voor interactie met autoriteiten;</w:t>
      </w:r>
    </w:p>
    <w:p w14:paraId="21DADFB3" w14:textId="77777777" w:rsidR="00882D0D" w:rsidRPr="00882D0D" w:rsidRDefault="00882D0D" w:rsidP="00AE60E9">
      <w:pPr>
        <w:widowControl w:val="0"/>
        <w:numPr>
          <w:ilvl w:val="0"/>
          <w:numId w:val="30"/>
        </w:numPr>
        <w:overflowPunct w:val="0"/>
        <w:autoSpaceDE w:val="0"/>
        <w:autoSpaceDN w:val="0"/>
        <w:adjustRightInd w:val="0"/>
        <w:ind w:left="284" w:hanging="284"/>
        <w:textAlignment w:val="baseline"/>
        <w:rPr>
          <w:szCs w:val="20"/>
        </w:rPr>
      </w:pPr>
      <w:r>
        <w:lastRenderedPageBreak/>
        <w:t>te zorgen voor ondersteuning bij capaciteitsopbouw en gerichte opleiding voor zowel overheidsinstanties als actoren uit het maatschappelijk middenveld;</w:t>
      </w:r>
    </w:p>
    <w:p w14:paraId="64C493E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eenvoudige en doeltreffende instrumenten in te voeren voor het melden van frauduleuze reclame.</w:t>
      </w:r>
    </w:p>
    <w:p w14:paraId="646B798F" w14:textId="77777777" w:rsidR="00882D0D" w:rsidRPr="00C56EF3" w:rsidRDefault="00882D0D" w:rsidP="00C56EF3">
      <w:pPr>
        <w:spacing w:after="160" w:line="259" w:lineRule="auto"/>
        <w:jc w:val="left"/>
        <w:rPr>
          <w:szCs w:val="20"/>
          <w:lang w:val="nl-BE"/>
        </w:rPr>
      </w:pPr>
    </w:p>
    <w:tbl>
      <w:tblPr>
        <w:tblStyle w:val="TableGrid1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882D0D" w:rsidRPr="00882D0D" w14:paraId="027E516E" w14:textId="77777777" w:rsidTr="002E7EFB">
        <w:tc>
          <w:tcPr>
            <w:tcW w:w="1556" w:type="pct"/>
          </w:tcPr>
          <w:p w14:paraId="05333F4F" w14:textId="77777777" w:rsidR="00882D0D" w:rsidRPr="00882D0D" w:rsidRDefault="00882D0D" w:rsidP="00882D0D">
            <w:pPr>
              <w:overflowPunct w:val="0"/>
              <w:autoSpaceDE w:val="0"/>
              <w:autoSpaceDN w:val="0"/>
              <w:adjustRightInd w:val="0"/>
              <w:spacing w:line="240" w:lineRule="auto"/>
              <w:textAlignment w:val="baseline"/>
              <w:rPr>
                <w:i/>
              </w:rPr>
            </w:pPr>
            <w:r>
              <w:rPr>
                <w:b/>
                <w:i/>
              </w:rPr>
              <w:t>Contactpersoon</w:t>
            </w:r>
          </w:p>
        </w:tc>
        <w:tc>
          <w:tcPr>
            <w:tcW w:w="3444" w:type="pct"/>
          </w:tcPr>
          <w:p w14:paraId="1A10684F" w14:textId="77777777" w:rsidR="00882D0D" w:rsidRPr="00882D0D" w:rsidRDefault="00882D0D" w:rsidP="00882D0D">
            <w:pPr>
              <w:overflowPunct w:val="0"/>
              <w:autoSpaceDE w:val="0"/>
              <w:autoSpaceDN w:val="0"/>
              <w:adjustRightInd w:val="0"/>
              <w:spacing w:line="240" w:lineRule="auto"/>
              <w:textAlignment w:val="baseline"/>
              <w:rPr>
                <w:i/>
              </w:rPr>
            </w:pPr>
            <w:r>
              <w:rPr>
                <w:i/>
              </w:rPr>
              <w:t>Annalisa Tessarolo</w:t>
            </w:r>
          </w:p>
        </w:tc>
      </w:tr>
      <w:tr w:rsidR="00882D0D" w:rsidRPr="00882D0D" w14:paraId="48F3F374" w14:textId="77777777" w:rsidTr="002E7EFB">
        <w:tc>
          <w:tcPr>
            <w:tcW w:w="1556" w:type="pct"/>
          </w:tcPr>
          <w:p w14:paraId="43069B50" w14:textId="77777777" w:rsidR="00882D0D" w:rsidRPr="00882D0D" w:rsidRDefault="00882D0D" w:rsidP="00882D0D">
            <w:pPr>
              <w:overflowPunct w:val="0"/>
              <w:autoSpaceDE w:val="0"/>
              <w:autoSpaceDN w:val="0"/>
              <w:adjustRightInd w:val="0"/>
              <w:spacing w:line="240" w:lineRule="auto"/>
              <w:textAlignment w:val="baseline"/>
              <w:rPr>
                <w:i/>
              </w:rPr>
            </w:pPr>
            <w:r>
              <w:rPr>
                <w:i/>
              </w:rPr>
              <w:t>Tel.</w:t>
            </w:r>
          </w:p>
        </w:tc>
        <w:tc>
          <w:tcPr>
            <w:tcW w:w="3444" w:type="pct"/>
          </w:tcPr>
          <w:p w14:paraId="6F81284D" w14:textId="77777777" w:rsidR="00882D0D" w:rsidRPr="00882D0D" w:rsidRDefault="00882D0D" w:rsidP="00882D0D">
            <w:pPr>
              <w:overflowPunct w:val="0"/>
              <w:autoSpaceDE w:val="0"/>
              <w:autoSpaceDN w:val="0"/>
              <w:adjustRightInd w:val="0"/>
              <w:spacing w:line="240" w:lineRule="auto"/>
              <w:textAlignment w:val="baseline"/>
              <w:rPr>
                <w:i/>
              </w:rPr>
            </w:pPr>
            <w:r>
              <w:rPr>
                <w:i/>
              </w:rPr>
              <w:t>+32 25469732</w:t>
            </w:r>
          </w:p>
        </w:tc>
      </w:tr>
      <w:tr w:rsidR="00882D0D" w:rsidRPr="00882D0D" w14:paraId="2E49B53D" w14:textId="77777777" w:rsidTr="002E7EFB">
        <w:tc>
          <w:tcPr>
            <w:tcW w:w="1556" w:type="pct"/>
          </w:tcPr>
          <w:p w14:paraId="51CF8F1E" w14:textId="7C3F724C" w:rsidR="00882D0D" w:rsidRPr="00882D0D" w:rsidRDefault="00B37567" w:rsidP="00882D0D">
            <w:pPr>
              <w:overflowPunct w:val="0"/>
              <w:autoSpaceDE w:val="0"/>
              <w:autoSpaceDN w:val="0"/>
              <w:adjustRightInd w:val="0"/>
              <w:spacing w:line="240" w:lineRule="auto"/>
              <w:textAlignment w:val="baseline"/>
              <w:rPr>
                <w:i/>
              </w:rPr>
            </w:pPr>
            <w:r>
              <w:rPr>
                <w:i/>
              </w:rPr>
              <w:t>E-mail</w:t>
            </w:r>
          </w:p>
        </w:tc>
        <w:tc>
          <w:tcPr>
            <w:tcW w:w="3444" w:type="pct"/>
          </w:tcPr>
          <w:p w14:paraId="22B253E8" w14:textId="0E8A35E1" w:rsidR="00882D0D" w:rsidRPr="00882D0D" w:rsidRDefault="00E23721" w:rsidP="00882D0D">
            <w:pPr>
              <w:overflowPunct w:val="0"/>
              <w:autoSpaceDE w:val="0"/>
              <w:autoSpaceDN w:val="0"/>
              <w:adjustRightInd w:val="0"/>
              <w:spacing w:line="240" w:lineRule="auto"/>
              <w:textAlignment w:val="baseline"/>
              <w:rPr>
                <w:i/>
                <w:iCs/>
              </w:rPr>
            </w:pPr>
            <w:hyperlink r:id="rId40" w:history="1">
              <w:r>
                <w:rPr>
                  <w:i/>
                  <w:color w:val="0000FF"/>
                  <w:u w:val="single"/>
                </w:rPr>
                <w:t>Annalisa.Tessarolo@eesc.europa.eu</w:t>
              </w:r>
            </w:hyperlink>
          </w:p>
        </w:tc>
      </w:tr>
    </w:tbl>
    <w:p w14:paraId="5CBAA359" w14:textId="1C551085" w:rsidR="00A067F3" w:rsidRDefault="00A067F3">
      <w:pPr>
        <w:spacing w:after="160" w:line="259" w:lineRule="auto"/>
        <w:jc w:val="left"/>
        <w:rPr>
          <w:szCs w:val="20"/>
          <w:lang w:val="nl-BE"/>
        </w:rPr>
      </w:pPr>
    </w:p>
    <w:p w14:paraId="0667917E" w14:textId="77777777" w:rsidR="00A067F3" w:rsidRDefault="00A067F3">
      <w:pPr>
        <w:spacing w:after="160" w:line="259" w:lineRule="auto"/>
        <w:jc w:val="left"/>
        <w:rPr>
          <w:szCs w:val="20"/>
        </w:rPr>
      </w:pPr>
      <w:r>
        <w:br w:type="page"/>
      </w:r>
    </w:p>
    <w:p w14:paraId="58C55E8F" w14:textId="6066C9E6" w:rsidR="00426604" w:rsidRPr="00426604" w:rsidRDefault="00E23721" w:rsidP="00426604">
      <w:pPr>
        <w:widowControl w:val="0"/>
        <w:numPr>
          <w:ilvl w:val="0"/>
          <w:numId w:val="4"/>
        </w:numPr>
        <w:overflowPunct w:val="0"/>
        <w:autoSpaceDE w:val="0"/>
        <w:autoSpaceDN w:val="0"/>
        <w:adjustRightInd w:val="0"/>
        <w:ind w:hanging="567"/>
        <w:textAlignment w:val="baseline"/>
        <w:rPr>
          <w:sz w:val="20"/>
          <w:szCs w:val="20"/>
        </w:rPr>
      </w:pPr>
      <w:hyperlink r:id="rId41" w:history="1">
        <w:r>
          <w:rPr>
            <w:b/>
            <w:i/>
            <w:color w:val="0000FF"/>
            <w:sz w:val="28"/>
            <w:u w:val="single"/>
          </w:rPr>
          <w:t>Consumentenagenda 2030</w:t>
        </w:r>
      </w:hyperlink>
    </w:p>
    <w:p w14:paraId="26C97129" w14:textId="77777777" w:rsidR="00426604" w:rsidRPr="00AE60E9" w:rsidRDefault="00426604" w:rsidP="00426604">
      <w:pPr>
        <w:tabs>
          <w:tab w:val="center" w:pos="284"/>
        </w:tabs>
        <w:overflowPunct w:val="0"/>
        <w:autoSpaceDE w:val="0"/>
        <w:autoSpaceDN w:val="0"/>
        <w:adjustRightInd w:val="0"/>
        <w:ind w:left="266" w:hanging="266"/>
        <w:textAlignment w:val="baseline"/>
        <w:rPr>
          <w:bCs/>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5812"/>
      </w:tblGrid>
      <w:tr w:rsidR="00426604" w:rsidRPr="00426604" w14:paraId="7FCA49AB" w14:textId="77777777" w:rsidTr="002E7EFB">
        <w:tc>
          <w:tcPr>
            <w:tcW w:w="1701" w:type="dxa"/>
          </w:tcPr>
          <w:p w14:paraId="19070A3D"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r>
              <w:rPr>
                <w:b/>
              </w:rPr>
              <w:t>Rapporteur</w:t>
            </w:r>
          </w:p>
        </w:tc>
        <w:tc>
          <w:tcPr>
            <w:tcW w:w="5812" w:type="dxa"/>
          </w:tcPr>
          <w:p w14:paraId="3E207F8E" w14:textId="63147845" w:rsidR="00426604" w:rsidRPr="00426604" w:rsidRDefault="00426604" w:rsidP="00426604">
            <w:pPr>
              <w:tabs>
                <w:tab w:val="center" w:pos="284"/>
              </w:tabs>
              <w:overflowPunct w:val="0"/>
              <w:autoSpaceDE w:val="0"/>
              <w:autoSpaceDN w:val="0"/>
              <w:adjustRightInd w:val="0"/>
              <w:ind w:left="266" w:hanging="266"/>
              <w:textAlignment w:val="baseline"/>
            </w:pPr>
            <w:r>
              <w:t>Thierry LIBAERT (groep Maatschappelijke Organisaties – FR)</w:t>
            </w:r>
          </w:p>
        </w:tc>
      </w:tr>
      <w:tr w:rsidR="00426604" w:rsidRPr="00426604" w14:paraId="55BCB3CD" w14:textId="77777777" w:rsidTr="002E7EFB">
        <w:tc>
          <w:tcPr>
            <w:tcW w:w="7513" w:type="dxa"/>
            <w:gridSpan w:val="2"/>
          </w:tcPr>
          <w:p w14:paraId="0E791238" w14:textId="77777777" w:rsidR="00426604" w:rsidRPr="00426604" w:rsidRDefault="00426604" w:rsidP="00426604">
            <w:pPr>
              <w:tabs>
                <w:tab w:val="center" w:pos="284"/>
              </w:tabs>
              <w:overflowPunct w:val="0"/>
              <w:autoSpaceDE w:val="0"/>
              <w:autoSpaceDN w:val="0"/>
              <w:adjustRightInd w:val="0"/>
              <w:spacing w:line="160" w:lineRule="exact"/>
              <w:ind w:left="266" w:hanging="266"/>
              <w:textAlignment w:val="baseline"/>
            </w:pPr>
          </w:p>
        </w:tc>
      </w:tr>
      <w:tr w:rsidR="00426604" w:rsidRPr="00426604" w14:paraId="0E79D1B5" w14:textId="77777777" w:rsidTr="002E7EFB">
        <w:tc>
          <w:tcPr>
            <w:tcW w:w="1701" w:type="dxa"/>
            <w:vMerge w:val="restart"/>
          </w:tcPr>
          <w:p w14:paraId="434AA7EC"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r>
              <w:rPr>
                <w:b/>
              </w:rPr>
              <w:t>Referentiedocumenten</w:t>
            </w:r>
          </w:p>
        </w:tc>
        <w:tc>
          <w:tcPr>
            <w:tcW w:w="5812" w:type="dxa"/>
          </w:tcPr>
          <w:p w14:paraId="2218EA85" w14:textId="77777777" w:rsidR="00426604" w:rsidRPr="00426604" w:rsidRDefault="00426604" w:rsidP="00426604">
            <w:pPr>
              <w:tabs>
                <w:tab w:val="center" w:pos="284"/>
              </w:tabs>
              <w:overflowPunct w:val="0"/>
              <w:autoSpaceDE w:val="0"/>
              <w:autoSpaceDN w:val="0"/>
              <w:adjustRightInd w:val="0"/>
              <w:ind w:left="266" w:hanging="266"/>
              <w:textAlignment w:val="baseline"/>
            </w:pPr>
            <w:r>
              <w:t>COM(2025) 848 final</w:t>
            </w:r>
          </w:p>
          <w:p w14:paraId="30E9A55E" w14:textId="77777777" w:rsidR="00426604" w:rsidRPr="00426604" w:rsidRDefault="00426604" w:rsidP="00426604">
            <w:pPr>
              <w:tabs>
                <w:tab w:val="center" w:pos="284"/>
              </w:tabs>
              <w:overflowPunct w:val="0"/>
              <w:autoSpaceDE w:val="0"/>
              <w:autoSpaceDN w:val="0"/>
              <w:adjustRightInd w:val="0"/>
              <w:ind w:left="266" w:hanging="266"/>
              <w:textAlignment w:val="baseline"/>
            </w:pPr>
            <w:r>
              <w:t>EESC-2025-03969-00-00-AC</w:t>
            </w:r>
          </w:p>
        </w:tc>
      </w:tr>
      <w:tr w:rsidR="00426604" w:rsidRPr="00426604" w14:paraId="020B5F42" w14:textId="77777777" w:rsidTr="002E7EFB">
        <w:tc>
          <w:tcPr>
            <w:tcW w:w="1701" w:type="dxa"/>
            <w:vMerge/>
          </w:tcPr>
          <w:p w14:paraId="726EB5F6" w14:textId="77777777" w:rsidR="00426604" w:rsidRPr="00426604" w:rsidRDefault="00426604" w:rsidP="00426604">
            <w:pPr>
              <w:tabs>
                <w:tab w:val="center" w:pos="284"/>
              </w:tabs>
              <w:overflowPunct w:val="0"/>
              <w:autoSpaceDE w:val="0"/>
              <w:autoSpaceDN w:val="0"/>
              <w:adjustRightInd w:val="0"/>
              <w:ind w:left="266" w:hanging="266"/>
              <w:textAlignment w:val="baseline"/>
              <w:rPr>
                <w:b/>
                <w:lang w:val="pt-PT"/>
              </w:rPr>
            </w:pPr>
          </w:p>
        </w:tc>
        <w:tc>
          <w:tcPr>
            <w:tcW w:w="5812" w:type="dxa"/>
          </w:tcPr>
          <w:p w14:paraId="1C479AD3"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
        </w:tc>
      </w:tr>
    </w:tbl>
    <w:p w14:paraId="095208D9"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
    <w:p w14:paraId="2B2A243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rPr>
      </w:pPr>
      <w:r>
        <w:rPr>
          <w:b/>
        </w:rPr>
        <w:t>Hoofdpunten</w:t>
      </w:r>
    </w:p>
    <w:p w14:paraId="0ABBD8A5" w14:textId="77777777" w:rsidR="00426604" w:rsidRPr="00AE60E9" w:rsidRDefault="00426604" w:rsidP="00426604">
      <w:pPr>
        <w:keepNext/>
        <w:keepLines/>
        <w:tabs>
          <w:tab w:val="center" w:pos="284"/>
        </w:tabs>
        <w:overflowPunct w:val="0"/>
        <w:autoSpaceDE w:val="0"/>
        <w:autoSpaceDN w:val="0"/>
        <w:adjustRightInd w:val="0"/>
        <w:ind w:left="266" w:hanging="266"/>
        <w:textAlignment w:val="baseline"/>
        <w:rPr>
          <w:bCs/>
          <w:lang w:val="en-GB"/>
        </w:rPr>
      </w:pPr>
    </w:p>
    <w:p w14:paraId="6372DC89" w14:textId="77777777" w:rsidR="00426604" w:rsidRPr="00426604" w:rsidRDefault="00426604" w:rsidP="00426604">
      <w:pPr>
        <w:overflowPunct w:val="0"/>
        <w:autoSpaceDE w:val="0"/>
        <w:autoSpaceDN w:val="0"/>
        <w:adjustRightInd w:val="0"/>
        <w:textAlignment w:val="baseline"/>
        <w:rPr>
          <w:bCs/>
          <w:iCs/>
        </w:rPr>
      </w:pPr>
      <w:r>
        <w:t>Het EESC:</w:t>
      </w:r>
    </w:p>
    <w:p w14:paraId="48836ADE" w14:textId="77777777" w:rsidR="00426604" w:rsidRPr="00426604" w:rsidRDefault="00426604" w:rsidP="00426604">
      <w:pPr>
        <w:overflowPunct w:val="0"/>
        <w:autoSpaceDE w:val="0"/>
        <w:autoSpaceDN w:val="0"/>
        <w:adjustRightInd w:val="0"/>
        <w:textAlignment w:val="baseline"/>
        <w:rPr>
          <w:bCs/>
          <w:iCs/>
          <w:lang w:val="en-GB"/>
        </w:rPr>
      </w:pPr>
    </w:p>
    <w:p w14:paraId="74A7A8CD"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is ingenomen met de zowel qua vorm als qua inhoud uitstekende oriënterende tekst voor de consumentenbescherming voor de komende jaren;</w:t>
      </w:r>
    </w:p>
    <w:p w14:paraId="5F03BEBA"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zou graag zien dat de Commissie een bredere benadering van consumenten voorstelt, die meer omvat dan rechten;</w:t>
      </w:r>
    </w:p>
    <w:p w14:paraId="2DB8C1F5"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zou graag beschikken over een gestructureerd, gedetailleerd en met cijfers gestaafd overzicht van de vorige agenda om een uitgebreidere evaluatie te kunnen maken;</w:t>
      </w:r>
    </w:p>
    <w:p w14:paraId="23F5AC6C"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pPr>
      <w:r>
        <w:t>is voorstander van vereenvoudigingsmaatregelen, maar benadrukt dat zij in geen geval afbreuk mogen doen aan de consumentenbescherming;</w:t>
      </w:r>
    </w:p>
    <w:p w14:paraId="22E46B9A"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meent dat bij de bescherming van de consument absoluut rekening moet worden gehouden met de uiteenlopende situaties, met name wat de commerciële woestijnen betreft, en met de kwetsbaarheid van bepaalde types consumenten;</w:t>
      </w:r>
    </w:p>
    <w:p w14:paraId="3000A78C"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zou graag zien dat er sneller en intensiever wordt toegezien op het gevaarlijke karakter van producten die worden ingevoerd, met name via online platforms voor elektronische handel buiten de Europese Unie;</w:t>
      </w:r>
    </w:p>
    <w:p w14:paraId="24286CF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pleit voor meer aandacht voor microjustitie om geschillen over kleine bedragen te beslechten;</w:t>
      </w:r>
    </w:p>
    <w:p w14:paraId="3DE9280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steunt digitaliseringsmaatregelen, maar benadrukt dat de consument voor elke klacht in laatste instantie altijd over een menselijke gesprekspartner zou moeten kunnen beschikken om zijn vragen te beantwoorden;</w:t>
      </w:r>
    </w:p>
    <w:p w14:paraId="34B18EC1"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verzoekt de Commissie meer belangstelling te tonen voor de circulariteit en duurzaamheid van producten;</w:t>
      </w:r>
    </w:p>
    <w:p w14:paraId="1ABE3F6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beveelt aan om een krachtig beleid voor consumentenbescherming in te voeren tegen commerciële boodschappen van influencers, met name wanneer deze gericht zijn op kinderen;</w:t>
      </w:r>
    </w:p>
    <w:p w14:paraId="0F934297"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moedigt de lidstaten aan consumentenorganisaties te ondersteunen.</w:t>
      </w:r>
    </w:p>
    <w:p w14:paraId="1F6E4B1D" w14:textId="77777777" w:rsidR="00426604" w:rsidRPr="00426604" w:rsidRDefault="00426604" w:rsidP="00426604">
      <w:pPr>
        <w:widowControl w:val="0"/>
        <w:overflowPunct w:val="0"/>
        <w:autoSpaceDE w:val="0"/>
        <w:autoSpaceDN w:val="0"/>
        <w:adjustRightInd w:val="0"/>
        <w:ind w:left="709"/>
        <w:textAlignment w:val="baseline"/>
        <w:rPr>
          <w:szCs w:val="20"/>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5670"/>
      </w:tblGrid>
      <w:tr w:rsidR="00426604" w:rsidRPr="00426604" w14:paraId="1EC4B28B" w14:textId="77777777" w:rsidTr="002E7EFB">
        <w:tc>
          <w:tcPr>
            <w:tcW w:w="1418" w:type="dxa"/>
          </w:tcPr>
          <w:p w14:paraId="65444A1C" w14:textId="77777777" w:rsidR="00426604" w:rsidRPr="00426604" w:rsidRDefault="00426604" w:rsidP="00426604">
            <w:pPr>
              <w:overflowPunct w:val="0"/>
              <w:autoSpaceDE w:val="0"/>
              <w:autoSpaceDN w:val="0"/>
              <w:adjustRightInd w:val="0"/>
              <w:spacing w:line="240" w:lineRule="auto"/>
              <w:textAlignment w:val="baseline"/>
              <w:rPr>
                <w:i/>
              </w:rPr>
            </w:pPr>
            <w:r>
              <w:rPr>
                <w:b/>
                <w:i/>
              </w:rPr>
              <w:t>Contactpersoon</w:t>
            </w:r>
          </w:p>
        </w:tc>
        <w:tc>
          <w:tcPr>
            <w:tcW w:w="5670" w:type="dxa"/>
          </w:tcPr>
          <w:p w14:paraId="07DC0551" w14:textId="77777777" w:rsidR="00426604" w:rsidRPr="00426604" w:rsidRDefault="00426604" w:rsidP="00426604">
            <w:pPr>
              <w:overflowPunct w:val="0"/>
              <w:autoSpaceDE w:val="0"/>
              <w:autoSpaceDN w:val="0"/>
              <w:adjustRightInd w:val="0"/>
              <w:spacing w:line="240" w:lineRule="auto"/>
              <w:textAlignment w:val="baseline"/>
              <w:rPr>
                <w:i/>
              </w:rPr>
            </w:pPr>
            <w:r>
              <w:rPr>
                <w:i/>
              </w:rPr>
              <w:t>Radoslava Stefankova</w:t>
            </w:r>
          </w:p>
        </w:tc>
      </w:tr>
      <w:tr w:rsidR="00426604" w:rsidRPr="00426604" w14:paraId="1EEA77FB" w14:textId="77777777" w:rsidTr="002E7EFB">
        <w:tc>
          <w:tcPr>
            <w:tcW w:w="1418" w:type="dxa"/>
          </w:tcPr>
          <w:p w14:paraId="7B024839" w14:textId="77777777" w:rsidR="00426604" w:rsidRPr="00426604" w:rsidRDefault="00426604" w:rsidP="00426604">
            <w:pPr>
              <w:overflowPunct w:val="0"/>
              <w:autoSpaceDE w:val="0"/>
              <w:autoSpaceDN w:val="0"/>
              <w:adjustRightInd w:val="0"/>
              <w:spacing w:line="240" w:lineRule="auto"/>
              <w:textAlignment w:val="baseline"/>
              <w:rPr>
                <w:i/>
              </w:rPr>
            </w:pPr>
            <w:r>
              <w:rPr>
                <w:i/>
              </w:rPr>
              <w:t>Tel.</w:t>
            </w:r>
          </w:p>
        </w:tc>
        <w:tc>
          <w:tcPr>
            <w:tcW w:w="5670" w:type="dxa"/>
          </w:tcPr>
          <w:p w14:paraId="2199A8B9" w14:textId="77777777" w:rsidR="00426604" w:rsidRPr="00426604" w:rsidRDefault="00426604" w:rsidP="00426604">
            <w:pPr>
              <w:overflowPunct w:val="0"/>
              <w:autoSpaceDE w:val="0"/>
              <w:autoSpaceDN w:val="0"/>
              <w:adjustRightInd w:val="0"/>
              <w:spacing w:line="240" w:lineRule="auto"/>
              <w:textAlignment w:val="baseline"/>
              <w:rPr>
                <w:i/>
              </w:rPr>
            </w:pPr>
            <w:r>
              <w:rPr>
                <w:i/>
              </w:rPr>
              <w:t>+32 25468188</w:t>
            </w:r>
          </w:p>
        </w:tc>
      </w:tr>
      <w:tr w:rsidR="00426604" w:rsidRPr="00426604" w14:paraId="2BB4FECE" w14:textId="77777777" w:rsidTr="002E7EFB">
        <w:tc>
          <w:tcPr>
            <w:tcW w:w="1418" w:type="dxa"/>
          </w:tcPr>
          <w:p w14:paraId="2409A98F" w14:textId="77777777" w:rsidR="00426604" w:rsidRPr="00426604" w:rsidRDefault="00426604" w:rsidP="00426604">
            <w:pPr>
              <w:overflowPunct w:val="0"/>
              <w:autoSpaceDE w:val="0"/>
              <w:autoSpaceDN w:val="0"/>
              <w:adjustRightInd w:val="0"/>
              <w:spacing w:line="240" w:lineRule="auto"/>
              <w:textAlignment w:val="baseline"/>
              <w:rPr>
                <w:i/>
              </w:rPr>
            </w:pPr>
            <w:r>
              <w:rPr>
                <w:i/>
              </w:rPr>
              <w:t>E-mail</w:t>
            </w:r>
          </w:p>
        </w:tc>
        <w:tc>
          <w:tcPr>
            <w:tcW w:w="5670" w:type="dxa"/>
          </w:tcPr>
          <w:p w14:paraId="0D4503F1" w14:textId="260DEDFA" w:rsidR="00426604" w:rsidRPr="00426604" w:rsidRDefault="00E23721" w:rsidP="00426604">
            <w:pPr>
              <w:overflowPunct w:val="0"/>
              <w:autoSpaceDE w:val="0"/>
              <w:autoSpaceDN w:val="0"/>
              <w:adjustRightInd w:val="0"/>
              <w:spacing w:line="240" w:lineRule="auto"/>
              <w:textAlignment w:val="baseline"/>
              <w:rPr>
                <w:i/>
              </w:rPr>
            </w:pPr>
            <w:hyperlink r:id="rId42" w:history="1">
              <w:r>
                <w:rPr>
                  <w:i/>
                  <w:color w:val="0000FF"/>
                  <w:u w:val="single"/>
                </w:rPr>
                <w:t>Radoslava.Stefankova@eesc.europa.eu</w:t>
              </w:r>
            </w:hyperlink>
          </w:p>
        </w:tc>
      </w:tr>
    </w:tbl>
    <w:p w14:paraId="45F867FE" w14:textId="6F56A0E6" w:rsidR="00426604" w:rsidRDefault="00426604" w:rsidP="001766B2">
      <w:pPr>
        <w:pStyle w:val="ListParagraph"/>
        <w:ind w:left="0"/>
      </w:pPr>
    </w:p>
    <w:p w14:paraId="696781BA" w14:textId="77777777" w:rsidR="00426604" w:rsidRDefault="00426604">
      <w:pPr>
        <w:spacing w:after="160" w:line="259" w:lineRule="auto"/>
        <w:jc w:val="left"/>
      </w:pPr>
      <w:r>
        <w:br w:type="page"/>
      </w:r>
    </w:p>
    <w:p w14:paraId="1F8A3A37" w14:textId="0444FE82" w:rsidR="00A83352" w:rsidRPr="00A83352" w:rsidRDefault="00E23721" w:rsidP="00A83352">
      <w:pPr>
        <w:widowControl w:val="0"/>
        <w:numPr>
          <w:ilvl w:val="0"/>
          <w:numId w:val="4"/>
        </w:numPr>
        <w:overflowPunct w:val="0"/>
        <w:autoSpaceDE w:val="0"/>
        <w:autoSpaceDN w:val="0"/>
        <w:adjustRightInd w:val="0"/>
        <w:ind w:hanging="567"/>
        <w:textAlignment w:val="baseline"/>
        <w:rPr>
          <w:sz w:val="20"/>
          <w:szCs w:val="20"/>
        </w:rPr>
      </w:pPr>
      <w:hyperlink r:id="rId43" w:history="1">
        <w:r>
          <w:rPr>
            <w:b/>
            <w:i/>
            <w:color w:val="0000FF"/>
            <w:sz w:val="28"/>
            <w:u w:val="single"/>
          </w:rPr>
          <w:t>Cyberbeveiligingsverordening</w:t>
        </w:r>
      </w:hyperlink>
    </w:p>
    <w:p w14:paraId="14E814B1" w14:textId="77777777" w:rsidR="00A83352" w:rsidRPr="00AE60E9" w:rsidRDefault="00A83352" w:rsidP="00A83352">
      <w:pPr>
        <w:tabs>
          <w:tab w:val="center" w:pos="284"/>
        </w:tabs>
        <w:overflowPunct w:val="0"/>
        <w:autoSpaceDE w:val="0"/>
        <w:autoSpaceDN w:val="0"/>
        <w:adjustRightInd w:val="0"/>
        <w:ind w:left="266" w:hanging="266"/>
        <w:textAlignment w:val="baseline"/>
        <w:rPr>
          <w:bCs/>
          <w:lang w:val="en-GB"/>
        </w:rPr>
      </w:pPr>
    </w:p>
    <w:tbl>
      <w:tblPr>
        <w:tblStyle w:val="TableGrid27"/>
        <w:tblpPr w:leftFromText="141" w:rightFromText="141" w:vertAnchor="text" w:tblpX="1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6946"/>
      </w:tblGrid>
      <w:tr w:rsidR="007A3096" w:rsidRPr="007A3096" w14:paraId="73A340D2" w14:textId="77777777" w:rsidTr="00B56575">
        <w:tc>
          <w:tcPr>
            <w:tcW w:w="1701" w:type="dxa"/>
          </w:tcPr>
          <w:p w14:paraId="189AB4BF" w14:textId="77777777" w:rsidR="007A3096" w:rsidRPr="007A3096" w:rsidRDefault="007A3096" w:rsidP="00B56575">
            <w:pPr>
              <w:tabs>
                <w:tab w:val="center" w:pos="284"/>
              </w:tabs>
              <w:overflowPunct w:val="0"/>
              <w:autoSpaceDE w:val="0"/>
              <w:autoSpaceDN w:val="0"/>
              <w:adjustRightInd w:val="0"/>
              <w:ind w:left="266" w:hanging="266"/>
              <w:textAlignment w:val="baseline"/>
              <w:rPr>
                <w:b/>
              </w:rPr>
            </w:pPr>
            <w:r>
              <w:rPr>
                <w:b/>
              </w:rPr>
              <w:t>Rapporteur</w:t>
            </w:r>
          </w:p>
        </w:tc>
        <w:tc>
          <w:tcPr>
            <w:tcW w:w="6946" w:type="dxa"/>
          </w:tcPr>
          <w:p w14:paraId="0214D104" w14:textId="5371BD6F" w:rsidR="007A3096" w:rsidRPr="007A3096" w:rsidRDefault="007A3096" w:rsidP="00B56575">
            <w:pPr>
              <w:tabs>
                <w:tab w:val="center" w:pos="284"/>
              </w:tabs>
              <w:overflowPunct w:val="0"/>
              <w:autoSpaceDE w:val="0"/>
              <w:autoSpaceDN w:val="0"/>
              <w:adjustRightInd w:val="0"/>
              <w:ind w:left="266" w:hanging="266"/>
              <w:textAlignment w:val="baseline"/>
            </w:pPr>
            <w:r>
              <w:t>Miroslav HAJNOŠ (groep Werknemers – SK)</w:t>
            </w:r>
          </w:p>
        </w:tc>
      </w:tr>
      <w:tr w:rsidR="007A3096" w:rsidRPr="007A3096" w14:paraId="22A1E3C3" w14:textId="77777777" w:rsidTr="00B56575">
        <w:tc>
          <w:tcPr>
            <w:tcW w:w="8645" w:type="dxa"/>
            <w:gridSpan w:val="2"/>
          </w:tcPr>
          <w:p w14:paraId="58FAA53C" w14:textId="77777777" w:rsidR="007A3096" w:rsidRPr="007A3096" w:rsidRDefault="007A3096" w:rsidP="00B56575">
            <w:pPr>
              <w:tabs>
                <w:tab w:val="center" w:pos="284"/>
              </w:tabs>
              <w:overflowPunct w:val="0"/>
              <w:autoSpaceDE w:val="0"/>
              <w:autoSpaceDN w:val="0"/>
              <w:adjustRightInd w:val="0"/>
              <w:spacing w:line="160" w:lineRule="exact"/>
              <w:ind w:left="266" w:hanging="266"/>
              <w:textAlignment w:val="baseline"/>
            </w:pPr>
          </w:p>
        </w:tc>
      </w:tr>
      <w:tr w:rsidR="007A3096" w:rsidRPr="007A3096" w14:paraId="5EDF0409" w14:textId="77777777" w:rsidTr="00B56575">
        <w:tc>
          <w:tcPr>
            <w:tcW w:w="1701" w:type="dxa"/>
            <w:vMerge w:val="restart"/>
          </w:tcPr>
          <w:p w14:paraId="37AB7812" w14:textId="77777777" w:rsidR="007A3096" w:rsidRPr="007A3096" w:rsidRDefault="007A3096" w:rsidP="00B56575">
            <w:pPr>
              <w:tabs>
                <w:tab w:val="center" w:pos="284"/>
              </w:tabs>
              <w:overflowPunct w:val="0"/>
              <w:autoSpaceDE w:val="0"/>
              <w:autoSpaceDN w:val="0"/>
              <w:adjustRightInd w:val="0"/>
              <w:ind w:left="266" w:hanging="266"/>
              <w:textAlignment w:val="baseline"/>
              <w:rPr>
                <w:b/>
              </w:rPr>
            </w:pPr>
            <w:r>
              <w:rPr>
                <w:b/>
              </w:rPr>
              <w:t>Referentiedocumenten</w:t>
            </w:r>
          </w:p>
        </w:tc>
        <w:tc>
          <w:tcPr>
            <w:tcW w:w="6946" w:type="dxa"/>
          </w:tcPr>
          <w:p w14:paraId="482A2846" w14:textId="4D7D3A98" w:rsidR="007A3096" w:rsidRPr="007A3096" w:rsidRDefault="007A3096" w:rsidP="00B56575">
            <w:pPr>
              <w:tabs>
                <w:tab w:val="center" w:pos="284"/>
              </w:tabs>
              <w:overflowPunct w:val="0"/>
              <w:autoSpaceDE w:val="0"/>
              <w:autoSpaceDN w:val="0"/>
              <w:adjustRightInd w:val="0"/>
              <w:ind w:left="266" w:hanging="266"/>
              <w:textAlignment w:val="baseline"/>
            </w:pPr>
            <w:r>
              <w:t xml:space="preserve">COM(2026) 11 final </w:t>
            </w:r>
          </w:p>
          <w:p w14:paraId="1457E830" w14:textId="583DA8F1" w:rsidR="007A3096" w:rsidRPr="007A3096" w:rsidRDefault="007A3096" w:rsidP="00B56575">
            <w:pPr>
              <w:tabs>
                <w:tab w:val="center" w:pos="284"/>
              </w:tabs>
              <w:overflowPunct w:val="0"/>
              <w:autoSpaceDE w:val="0"/>
              <w:autoSpaceDN w:val="0"/>
              <w:adjustRightInd w:val="0"/>
              <w:ind w:left="266" w:right="1458" w:hanging="266"/>
              <w:textAlignment w:val="baseline"/>
            </w:pPr>
            <w:r>
              <w:t xml:space="preserve">COM(2026) 13 final </w:t>
            </w:r>
          </w:p>
          <w:p w14:paraId="426BA912" w14:textId="77777777" w:rsidR="007A3096" w:rsidRDefault="007A3096" w:rsidP="00B56575">
            <w:pPr>
              <w:tabs>
                <w:tab w:val="center" w:pos="284"/>
              </w:tabs>
              <w:overflowPunct w:val="0"/>
              <w:autoSpaceDE w:val="0"/>
              <w:autoSpaceDN w:val="0"/>
              <w:adjustRightInd w:val="0"/>
              <w:ind w:left="266" w:hanging="266"/>
              <w:textAlignment w:val="baseline"/>
            </w:pPr>
            <w:r>
              <w:t>EESC-2026-00075-00-00-AC</w:t>
            </w:r>
          </w:p>
          <w:p w14:paraId="387C4E93" w14:textId="77777777" w:rsidR="004D2D6F" w:rsidRDefault="004D2D6F" w:rsidP="00843847">
            <w:pPr>
              <w:tabs>
                <w:tab w:val="center" w:pos="-1198"/>
              </w:tabs>
              <w:overflowPunct w:val="0"/>
              <w:autoSpaceDE w:val="0"/>
              <w:autoSpaceDN w:val="0"/>
              <w:adjustRightInd w:val="0"/>
              <w:ind w:left="-1668" w:hanging="1464"/>
              <w:jc w:val="left"/>
              <w:textAlignment w:val="baseline"/>
            </w:pPr>
            <w:r>
              <w:t>Het EESC:</w:t>
            </w:r>
          </w:p>
          <w:p w14:paraId="0B733C5A" w14:textId="48DD0FA0" w:rsidR="004D2D6F" w:rsidRPr="007A3096" w:rsidRDefault="004D2D6F" w:rsidP="00B56575">
            <w:pPr>
              <w:tabs>
                <w:tab w:val="center" w:pos="284"/>
              </w:tabs>
              <w:overflowPunct w:val="0"/>
              <w:autoSpaceDE w:val="0"/>
              <w:autoSpaceDN w:val="0"/>
              <w:adjustRightInd w:val="0"/>
              <w:ind w:left="266" w:hanging="266"/>
              <w:textAlignment w:val="baseline"/>
              <w:rPr>
                <w:lang w:val="pt-PT"/>
              </w:rPr>
            </w:pPr>
          </w:p>
        </w:tc>
      </w:tr>
      <w:tr w:rsidR="007A3096" w:rsidRPr="007A3096" w14:paraId="281B6DC0" w14:textId="77777777" w:rsidTr="00B56575">
        <w:tc>
          <w:tcPr>
            <w:tcW w:w="1701" w:type="dxa"/>
            <w:vMerge/>
          </w:tcPr>
          <w:p w14:paraId="2CAAC814" w14:textId="77777777" w:rsidR="007A3096" w:rsidRPr="007A3096" w:rsidRDefault="007A3096" w:rsidP="00B56575">
            <w:pPr>
              <w:tabs>
                <w:tab w:val="center" w:pos="284"/>
              </w:tabs>
              <w:overflowPunct w:val="0"/>
              <w:autoSpaceDE w:val="0"/>
              <w:autoSpaceDN w:val="0"/>
              <w:adjustRightInd w:val="0"/>
              <w:ind w:left="266" w:hanging="266"/>
              <w:textAlignment w:val="baseline"/>
              <w:rPr>
                <w:b/>
                <w:lang w:val="pt-PT"/>
              </w:rPr>
            </w:pPr>
          </w:p>
        </w:tc>
        <w:tc>
          <w:tcPr>
            <w:tcW w:w="6946" w:type="dxa"/>
          </w:tcPr>
          <w:p w14:paraId="2ECA75F1" w14:textId="77777777" w:rsidR="00B56575" w:rsidRPr="007A3096" w:rsidRDefault="00B56575" w:rsidP="00B56575">
            <w:pPr>
              <w:tabs>
                <w:tab w:val="center" w:pos="284"/>
              </w:tabs>
              <w:overflowPunct w:val="0"/>
              <w:autoSpaceDE w:val="0"/>
              <w:autoSpaceDN w:val="0"/>
              <w:adjustRightInd w:val="0"/>
              <w:ind w:left="266" w:hanging="2218"/>
              <w:textAlignment w:val="baseline"/>
              <w:rPr>
                <w:lang w:val="pt-PT"/>
              </w:rPr>
            </w:pPr>
          </w:p>
        </w:tc>
      </w:tr>
    </w:tbl>
    <w:p w14:paraId="5A2D7504" w14:textId="026BC9A3" w:rsidR="008676ED" w:rsidRPr="00C95C7D" w:rsidRDefault="008676ED" w:rsidP="00C95C7D">
      <w:pPr>
        <w:widowControl w:val="0"/>
        <w:overflowPunct w:val="0"/>
        <w:autoSpaceDE w:val="0"/>
        <w:autoSpaceDN w:val="0"/>
        <w:adjustRightInd w:val="0"/>
        <w:textAlignment w:val="baseline"/>
        <w:rPr>
          <w:b/>
          <w:iCs/>
        </w:rPr>
      </w:pPr>
      <w:r>
        <w:rPr>
          <w:b/>
        </w:rPr>
        <w:t>Hoofdpunten</w:t>
      </w:r>
    </w:p>
    <w:p w14:paraId="4EE32F42" w14:textId="77777777" w:rsidR="00C95C7D" w:rsidRDefault="00C95C7D" w:rsidP="00C95C7D">
      <w:pPr>
        <w:widowControl w:val="0"/>
        <w:overflowPunct w:val="0"/>
        <w:autoSpaceDE w:val="0"/>
        <w:autoSpaceDN w:val="0"/>
        <w:adjustRightInd w:val="0"/>
        <w:textAlignment w:val="baseline"/>
        <w:rPr>
          <w:bCs/>
          <w:iCs/>
          <w:lang w:val="en-GB"/>
        </w:rPr>
      </w:pPr>
    </w:p>
    <w:p w14:paraId="34C0B99D" w14:textId="66F2EA90" w:rsidR="008676ED" w:rsidRDefault="008676ED" w:rsidP="008676ED">
      <w:pPr>
        <w:widowControl w:val="0"/>
        <w:overflowPunct w:val="0"/>
        <w:autoSpaceDE w:val="0"/>
        <w:autoSpaceDN w:val="0"/>
        <w:adjustRightInd w:val="0"/>
        <w:textAlignment w:val="baseline"/>
        <w:rPr>
          <w:bCs/>
          <w:iCs/>
        </w:rPr>
      </w:pPr>
      <w:r>
        <w:t xml:space="preserve">Het EESC: </w:t>
      </w:r>
    </w:p>
    <w:p w14:paraId="484C3E18" w14:textId="77777777" w:rsidR="008676ED" w:rsidRDefault="008676ED" w:rsidP="00C95C7D">
      <w:pPr>
        <w:widowControl w:val="0"/>
        <w:overflowPunct w:val="0"/>
        <w:autoSpaceDE w:val="0"/>
        <w:autoSpaceDN w:val="0"/>
        <w:adjustRightInd w:val="0"/>
        <w:ind w:left="284"/>
        <w:textAlignment w:val="baseline"/>
        <w:rPr>
          <w:bCs/>
          <w:iCs/>
          <w:lang w:val="en-GB"/>
        </w:rPr>
      </w:pPr>
    </w:p>
    <w:p w14:paraId="5EC47414" w14:textId="04B90046" w:rsidR="007A3096" w:rsidRPr="007A3096" w:rsidRDefault="008A47F4" w:rsidP="00AE60E9">
      <w:pPr>
        <w:widowControl w:val="0"/>
        <w:numPr>
          <w:ilvl w:val="0"/>
          <w:numId w:val="37"/>
        </w:numPr>
        <w:overflowPunct w:val="0"/>
        <w:autoSpaceDE w:val="0"/>
        <w:autoSpaceDN w:val="0"/>
        <w:adjustRightInd w:val="0"/>
        <w:ind w:left="284" w:hanging="284"/>
        <w:textAlignment w:val="baseline"/>
        <w:rPr>
          <w:bCs/>
          <w:iCs/>
        </w:rPr>
      </w:pPr>
      <w:r>
        <w:t xml:space="preserve">is ingenomen met de herziening van de cyberbeveiligingsverordening en met de wijzigingen in de NIS 2-richtlijn en benadrukt dat cyberbeveiliging moet worden beschouwd als een </w:t>
      </w:r>
      <w:r>
        <w:rPr>
          <w:b/>
          <w:bCs/>
        </w:rPr>
        <w:t>kwestie van economische veiligheid en geopolitieke veerkracht</w:t>
      </w:r>
      <w:r>
        <w:t>. Tegelijkertijd dienen de regels vereenvoudigd en de administratieve lasten voor het bedrijfsleven verminderd te worden;</w:t>
      </w:r>
    </w:p>
    <w:p w14:paraId="31A5FE88" w14:textId="77777777" w:rsidR="007A3096" w:rsidRPr="007A3096" w:rsidRDefault="007A3096" w:rsidP="00AE60E9">
      <w:pPr>
        <w:widowControl w:val="0"/>
        <w:numPr>
          <w:ilvl w:val="0"/>
          <w:numId w:val="37"/>
        </w:numPr>
        <w:overflowPunct w:val="0"/>
        <w:autoSpaceDE w:val="0"/>
        <w:autoSpaceDN w:val="0"/>
        <w:adjustRightInd w:val="0"/>
        <w:ind w:left="284" w:hanging="284"/>
        <w:textAlignment w:val="baseline"/>
        <w:rPr>
          <w:bCs/>
          <w:iCs/>
        </w:rPr>
      </w:pPr>
      <w:r>
        <w:t xml:space="preserve">pleit voor een </w:t>
      </w:r>
      <w:r>
        <w:rPr>
          <w:b/>
          <w:bCs/>
        </w:rPr>
        <w:t>sterker en beter toegerust Enisa</w:t>
      </w:r>
      <w:r>
        <w:t xml:space="preserve"> met een duidelijk, geconsolideerd mandaat en voldoende financiering en personeel om zijn grotere verantwoordelijkheden doeltreffend te kunnen vervullen, onder meer op het gebied van de ontwikkeling van vaardigheden en certificering;</w:t>
      </w:r>
    </w:p>
    <w:p w14:paraId="48226406" w14:textId="77777777" w:rsidR="007A3096" w:rsidRPr="007A3096" w:rsidRDefault="007A3096" w:rsidP="00AE60E9">
      <w:pPr>
        <w:widowControl w:val="0"/>
        <w:numPr>
          <w:ilvl w:val="0"/>
          <w:numId w:val="37"/>
        </w:numPr>
        <w:overflowPunct w:val="0"/>
        <w:autoSpaceDE w:val="0"/>
        <w:autoSpaceDN w:val="0"/>
        <w:adjustRightInd w:val="0"/>
        <w:ind w:left="284" w:hanging="284"/>
        <w:textAlignment w:val="baseline"/>
        <w:rPr>
          <w:bCs/>
          <w:iCs/>
        </w:rPr>
      </w:pPr>
      <w:r>
        <w:t xml:space="preserve">wijst op de cruciale rol van </w:t>
      </w:r>
      <w:r>
        <w:rPr>
          <w:b/>
          <w:bCs/>
        </w:rPr>
        <w:t>vaardigheden en opleiding van personeel</w:t>
      </w:r>
      <w:r>
        <w:t xml:space="preserve"> met betrekking tot veerkracht op het gebied van cyberbeveiliging, ter ondersteuning van Europese vaardighedenkaders en certificeringsregelingen, waarbij er wel voor moet worden gezorgd dat al deze zaken praktisch, onderling afgestemd en toegankelijk blijven in alle lidstaten;</w:t>
      </w:r>
    </w:p>
    <w:p w14:paraId="6A6411FE" w14:textId="77777777" w:rsidR="007A3096" w:rsidRPr="007A3096" w:rsidRDefault="007A3096" w:rsidP="00AE60E9">
      <w:pPr>
        <w:widowControl w:val="0"/>
        <w:numPr>
          <w:ilvl w:val="0"/>
          <w:numId w:val="37"/>
        </w:numPr>
        <w:overflowPunct w:val="0"/>
        <w:autoSpaceDE w:val="0"/>
        <w:autoSpaceDN w:val="0"/>
        <w:adjustRightInd w:val="0"/>
        <w:ind w:left="284" w:hanging="284"/>
        <w:textAlignment w:val="baseline"/>
        <w:rPr>
          <w:bCs/>
          <w:iCs/>
        </w:rPr>
      </w:pPr>
      <w:r>
        <w:t xml:space="preserve">benadrukt het toenemende belang van cyberbeveiliging voor de </w:t>
      </w:r>
      <w:r>
        <w:rPr>
          <w:b/>
          <w:bCs/>
        </w:rPr>
        <w:t>democratische weerbaarheid</w:t>
      </w:r>
      <w:r>
        <w:t xml:space="preserve"> en dringt aan op </w:t>
      </w:r>
      <w:r>
        <w:rPr>
          <w:b/>
          <w:bCs/>
        </w:rPr>
        <w:t>betere EU-coördinatie</w:t>
      </w:r>
      <w:r>
        <w:t xml:space="preserve"> om verkiezingen en kritieke infrastructuur te beschermen tegen cyberaanvallen, desinformatie en buitenlandse inmenging;</w:t>
      </w:r>
    </w:p>
    <w:p w14:paraId="1C1338FC" w14:textId="77777777" w:rsidR="007A3096" w:rsidRPr="007A3096" w:rsidRDefault="007A3096" w:rsidP="00AE60E9">
      <w:pPr>
        <w:widowControl w:val="0"/>
        <w:numPr>
          <w:ilvl w:val="0"/>
          <w:numId w:val="37"/>
        </w:numPr>
        <w:overflowPunct w:val="0"/>
        <w:autoSpaceDE w:val="0"/>
        <w:autoSpaceDN w:val="0"/>
        <w:adjustRightInd w:val="0"/>
        <w:ind w:left="284" w:hanging="284"/>
        <w:textAlignment w:val="baseline"/>
        <w:rPr>
          <w:bCs/>
          <w:iCs/>
        </w:rPr>
      </w:pPr>
      <w:r>
        <w:t xml:space="preserve">is voorstander van een </w:t>
      </w:r>
      <w:r>
        <w:rPr>
          <w:b/>
          <w:bCs/>
        </w:rPr>
        <w:t>gestroomlijnd en doeltreffend certificeringskader</w:t>
      </w:r>
      <w:r>
        <w:t xml:space="preserve"> op basis van het beginsel “eenmaal gecertificeerd, overal gecertificeerd”, om te zorgen voor juridische duidelijkheid, transparantie en evenredigheid, met name ten behoeve van kleine en middelgrote ondernemingen en grensoverschrijdende exploitanten;</w:t>
      </w:r>
    </w:p>
    <w:p w14:paraId="287DCAC1" w14:textId="77777777" w:rsidR="007A3096" w:rsidRPr="007A3096" w:rsidRDefault="007A3096" w:rsidP="00AE60E9">
      <w:pPr>
        <w:widowControl w:val="0"/>
        <w:numPr>
          <w:ilvl w:val="0"/>
          <w:numId w:val="37"/>
        </w:numPr>
        <w:overflowPunct w:val="0"/>
        <w:autoSpaceDE w:val="0"/>
        <w:autoSpaceDN w:val="0"/>
        <w:adjustRightInd w:val="0"/>
        <w:ind w:left="284" w:hanging="284"/>
        <w:textAlignment w:val="baseline"/>
        <w:rPr>
          <w:bCs/>
          <w:iCs/>
        </w:rPr>
      </w:pPr>
      <w:r>
        <w:t xml:space="preserve">dringt aan op een </w:t>
      </w:r>
      <w:r>
        <w:rPr>
          <w:b/>
          <w:bCs/>
        </w:rPr>
        <w:t>evenwichtige benadering van de beveiliging van ICT-toeleveringsketens</w:t>
      </w:r>
      <w:r>
        <w:t>, met transparante, risicogebaseerde maatregelen en een volledige beoordeling van de economische, operationele en sociale gevolgen, waarbij buitensporige nalevingslasten moeten worden vermeden en voor een grote betrokkenheid van de sociale partners en belanghebbenden moet worden gezorgd.</w:t>
      </w:r>
    </w:p>
    <w:p w14:paraId="0CA060C5" w14:textId="77777777" w:rsidR="00251ADD" w:rsidRPr="00A83352" w:rsidRDefault="00251ADD" w:rsidP="00212AD9">
      <w:pPr>
        <w:widowControl w:val="0"/>
        <w:overflowPunct w:val="0"/>
        <w:autoSpaceDE w:val="0"/>
        <w:autoSpaceDN w:val="0"/>
        <w:adjustRightInd w:val="0"/>
        <w:ind w:left="709" w:hanging="567"/>
        <w:textAlignment w:val="baseline"/>
        <w:rPr>
          <w:szCs w:val="20"/>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5670"/>
      </w:tblGrid>
      <w:tr w:rsidR="00A83352" w:rsidRPr="00A83352" w14:paraId="6378B503" w14:textId="77777777" w:rsidTr="002E7EFB">
        <w:tc>
          <w:tcPr>
            <w:tcW w:w="1418" w:type="dxa"/>
          </w:tcPr>
          <w:p w14:paraId="76B1935C" w14:textId="77777777" w:rsidR="00A83352" w:rsidRPr="00A83352" w:rsidRDefault="00A83352" w:rsidP="00A83352">
            <w:pPr>
              <w:overflowPunct w:val="0"/>
              <w:autoSpaceDE w:val="0"/>
              <w:autoSpaceDN w:val="0"/>
              <w:adjustRightInd w:val="0"/>
              <w:spacing w:line="240" w:lineRule="auto"/>
              <w:textAlignment w:val="baseline"/>
              <w:rPr>
                <w:i/>
              </w:rPr>
            </w:pPr>
            <w:r>
              <w:rPr>
                <w:b/>
                <w:i/>
              </w:rPr>
              <w:t>Contactpersoon</w:t>
            </w:r>
          </w:p>
        </w:tc>
        <w:tc>
          <w:tcPr>
            <w:tcW w:w="5670" w:type="dxa"/>
          </w:tcPr>
          <w:p w14:paraId="156F2204" w14:textId="77777777" w:rsidR="00A83352" w:rsidRPr="00A83352" w:rsidRDefault="00A83352" w:rsidP="00A83352">
            <w:pPr>
              <w:overflowPunct w:val="0"/>
              <w:autoSpaceDE w:val="0"/>
              <w:autoSpaceDN w:val="0"/>
              <w:adjustRightInd w:val="0"/>
              <w:spacing w:line="240" w:lineRule="auto"/>
              <w:textAlignment w:val="baseline"/>
              <w:rPr>
                <w:i/>
              </w:rPr>
            </w:pPr>
            <w:r>
              <w:rPr>
                <w:i/>
              </w:rPr>
              <w:t>Silvia Staffa</w:t>
            </w:r>
          </w:p>
        </w:tc>
      </w:tr>
      <w:tr w:rsidR="00A83352" w:rsidRPr="00A83352" w14:paraId="3427545F" w14:textId="77777777" w:rsidTr="002E7EFB">
        <w:tc>
          <w:tcPr>
            <w:tcW w:w="1418" w:type="dxa"/>
          </w:tcPr>
          <w:p w14:paraId="28C531D2" w14:textId="77777777" w:rsidR="00A83352" w:rsidRPr="00A83352" w:rsidRDefault="00A83352" w:rsidP="00A83352">
            <w:pPr>
              <w:overflowPunct w:val="0"/>
              <w:autoSpaceDE w:val="0"/>
              <w:autoSpaceDN w:val="0"/>
              <w:adjustRightInd w:val="0"/>
              <w:spacing w:line="240" w:lineRule="auto"/>
              <w:textAlignment w:val="baseline"/>
              <w:rPr>
                <w:i/>
              </w:rPr>
            </w:pPr>
            <w:r>
              <w:rPr>
                <w:i/>
              </w:rPr>
              <w:t>Tel.</w:t>
            </w:r>
          </w:p>
        </w:tc>
        <w:tc>
          <w:tcPr>
            <w:tcW w:w="5670" w:type="dxa"/>
          </w:tcPr>
          <w:p w14:paraId="30151730" w14:textId="77777777" w:rsidR="00A83352" w:rsidRPr="00A83352" w:rsidRDefault="00A83352" w:rsidP="00A83352">
            <w:pPr>
              <w:overflowPunct w:val="0"/>
              <w:autoSpaceDE w:val="0"/>
              <w:autoSpaceDN w:val="0"/>
              <w:adjustRightInd w:val="0"/>
              <w:spacing w:line="240" w:lineRule="auto"/>
              <w:textAlignment w:val="baseline"/>
              <w:rPr>
                <w:i/>
              </w:rPr>
            </w:pPr>
            <w:r>
              <w:rPr>
                <w:i/>
              </w:rPr>
              <w:t>+32 25468378</w:t>
            </w:r>
          </w:p>
        </w:tc>
      </w:tr>
      <w:tr w:rsidR="00A83352" w:rsidRPr="00A83352" w14:paraId="72DC4E78" w14:textId="77777777" w:rsidTr="002E7EFB">
        <w:tc>
          <w:tcPr>
            <w:tcW w:w="1418" w:type="dxa"/>
          </w:tcPr>
          <w:p w14:paraId="63DC825F" w14:textId="77777777" w:rsidR="00A83352" w:rsidRPr="00A83352" w:rsidRDefault="00A83352" w:rsidP="00A83352">
            <w:pPr>
              <w:overflowPunct w:val="0"/>
              <w:autoSpaceDE w:val="0"/>
              <w:autoSpaceDN w:val="0"/>
              <w:adjustRightInd w:val="0"/>
              <w:spacing w:line="240" w:lineRule="auto"/>
              <w:textAlignment w:val="baseline"/>
              <w:rPr>
                <w:i/>
              </w:rPr>
            </w:pPr>
            <w:r>
              <w:rPr>
                <w:i/>
              </w:rPr>
              <w:t>E-mail</w:t>
            </w:r>
          </w:p>
        </w:tc>
        <w:tc>
          <w:tcPr>
            <w:tcW w:w="5670" w:type="dxa"/>
          </w:tcPr>
          <w:p w14:paraId="2F1FD287" w14:textId="7F6F5739" w:rsidR="00A83352" w:rsidRPr="00A83352" w:rsidRDefault="00E23721" w:rsidP="00A83352">
            <w:pPr>
              <w:overflowPunct w:val="0"/>
              <w:autoSpaceDE w:val="0"/>
              <w:autoSpaceDN w:val="0"/>
              <w:adjustRightInd w:val="0"/>
              <w:spacing w:line="240" w:lineRule="auto"/>
              <w:textAlignment w:val="baseline"/>
              <w:rPr>
                <w:i/>
              </w:rPr>
            </w:pPr>
            <w:hyperlink r:id="rId44" w:history="1">
              <w:r>
                <w:rPr>
                  <w:i/>
                  <w:color w:val="0000FF"/>
                  <w:u w:val="single"/>
                </w:rPr>
                <w:t>Silvia.Staffa@eesc.europa.eu</w:t>
              </w:r>
            </w:hyperlink>
          </w:p>
        </w:tc>
      </w:tr>
    </w:tbl>
    <w:p w14:paraId="1735359E" w14:textId="7BC358BF" w:rsidR="00A83352" w:rsidRDefault="00A83352" w:rsidP="001766B2">
      <w:pPr>
        <w:pStyle w:val="ListParagraph"/>
        <w:ind w:left="0"/>
      </w:pPr>
    </w:p>
    <w:p w14:paraId="10308D54" w14:textId="77777777" w:rsidR="00A83352" w:rsidRDefault="00A83352">
      <w:pPr>
        <w:spacing w:after="160" w:line="259" w:lineRule="auto"/>
        <w:jc w:val="left"/>
      </w:pPr>
      <w:r>
        <w:br w:type="page"/>
      </w:r>
    </w:p>
    <w:p w14:paraId="67EB829A" w14:textId="75248B9C" w:rsidR="00665940" w:rsidRPr="00665940" w:rsidRDefault="00E23721" w:rsidP="00665940">
      <w:pPr>
        <w:widowControl w:val="0"/>
        <w:numPr>
          <w:ilvl w:val="0"/>
          <w:numId w:val="4"/>
        </w:numPr>
        <w:overflowPunct w:val="0"/>
        <w:autoSpaceDE w:val="0"/>
        <w:autoSpaceDN w:val="0"/>
        <w:adjustRightInd w:val="0"/>
        <w:ind w:hanging="567"/>
        <w:textAlignment w:val="baseline"/>
        <w:rPr>
          <w:sz w:val="20"/>
          <w:szCs w:val="20"/>
        </w:rPr>
      </w:pPr>
      <w:hyperlink r:id="rId45" w:history="1">
        <w:r>
          <w:rPr>
            <w:b/>
            <w:i/>
            <w:color w:val="0000FF"/>
            <w:sz w:val="28"/>
            <w:u w:val="single"/>
          </w:rPr>
          <w:t>Ontwikkeling van een Europees Kenniscentrum voor farmaceutische producten</w:t>
        </w:r>
      </w:hyperlink>
    </w:p>
    <w:p w14:paraId="50FE4DFF" w14:textId="77777777" w:rsidR="00665940" w:rsidRPr="004E3086" w:rsidRDefault="00665940" w:rsidP="00665940">
      <w:pPr>
        <w:tabs>
          <w:tab w:val="center" w:pos="284"/>
        </w:tabs>
        <w:overflowPunct w:val="0"/>
        <w:autoSpaceDE w:val="0"/>
        <w:autoSpaceDN w:val="0"/>
        <w:adjustRightInd w:val="0"/>
        <w:ind w:left="266" w:hanging="266"/>
        <w:textAlignment w:val="baseline"/>
        <w:rPr>
          <w:bCs/>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031"/>
      </w:tblGrid>
      <w:tr w:rsidR="00665940" w:rsidRPr="00665940" w14:paraId="42EBD1F0" w14:textId="77777777" w:rsidTr="004E3086">
        <w:tc>
          <w:tcPr>
            <w:tcW w:w="2149" w:type="dxa"/>
          </w:tcPr>
          <w:p w14:paraId="470319BC"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Pr>
                <w:b/>
              </w:rPr>
              <w:t>Rapporteur</w:t>
            </w:r>
          </w:p>
        </w:tc>
        <w:tc>
          <w:tcPr>
            <w:tcW w:w="7031" w:type="dxa"/>
          </w:tcPr>
          <w:p w14:paraId="5CFF22ED" w14:textId="4F642785" w:rsidR="00665940" w:rsidRPr="00665940" w:rsidRDefault="00665940" w:rsidP="00665940">
            <w:pPr>
              <w:tabs>
                <w:tab w:val="center" w:pos="284"/>
              </w:tabs>
              <w:overflowPunct w:val="0"/>
              <w:autoSpaceDE w:val="0"/>
              <w:autoSpaceDN w:val="0"/>
              <w:adjustRightInd w:val="0"/>
              <w:ind w:left="266" w:hanging="266"/>
              <w:textAlignment w:val="baseline"/>
            </w:pPr>
            <w:r>
              <w:t>Veselin MITOV (groep Werknemers – BG)</w:t>
            </w:r>
          </w:p>
        </w:tc>
      </w:tr>
      <w:tr w:rsidR="00665940" w:rsidRPr="00665940" w14:paraId="4D35B05F" w14:textId="77777777" w:rsidTr="004E3086">
        <w:tc>
          <w:tcPr>
            <w:tcW w:w="9180" w:type="dxa"/>
            <w:gridSpan w:val="2"/>
          </w:tcPr>
          <w:p w14:paraId="6BE1B6FB" w14:textId="77777777" w:rsidR="00665940" w:rsidRPr="00665940" w:rsidRDefault="00665940" w:rsidP="00665940">
            <w:pPr>
              <w:tabs>
                <w:tab w:val="center" w:pos="284"/>
              </w:tabs>
              <w:overflowPunct w:val="0"/>
              <w:autoSpaceDE w:val="0"/>
              <w:autoSpaceDN w:val="0"/>
              <w:adjustRightInd w:val="0"/>
              <w:spacing w:line="160" w:lineRule="exact"/>
              <w:ind w:left="266" w:hanging="266"/>
              <w:textAlignment w:val="baseline"/>
            </w:pPr>
          </w:p>
        </w:tc>
      </w:tr>
      <w:tr w:rsidR="00665940" w:rsidRPr="00665940" w14:paraId="5F1B7447" w14:textId="77777777" w:rsidTr="004E3086">
        <w:trPr>
          <w:trHeight w:val="404"/>
        </w:trPr>
        <w:tc>
          <w:tcPr>
            <w:tcW w:w="2149" w:type="dxa"/>
          </w:tcPr>
          <w:p w14:paraId="1FBC09A6"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Pr>
                <w:b/>
              </w:rPr>
              <w:t>Referentiedocumenten</w:t>
            </w:r>
          </w:p>
        </w:tc>
        <w:tc>
          <w:tcPr>
            <w:tcW w:w="7031" w:type="dxa"/>
          </w:tcPr>
          <w:p w14:paraId="0BCAF6AE" w14:textId="03E7889E" w:rsidR="00665940" w:rsidRPr="00665940" w:rsidRDefault="00665940" w:rsidP="004E3086">
            <w:pPr>
              <w:tabs>
                <w:tab w:val="center" w:pos="284"/>
              </w:tabs>
              <w:overflowPunct w:val="0"/>
              <w:autoSpaceDE w:val="0"/>
              <w:autoSpaceDN w:val="0"/>
              <w:adjustRightInd w:val="0"/>
              <w:textAlignment w:val="baseline"/>
            </w:pPr>
            <w:r>
              <w:t>Verkennend advies op verzoek van het Cypriotische voorzitterschap van de Raad van de EU</w:t>
            </w:r>
          </w:p>
          <w:p w14:paraId="04662EBB" w14:textId="504CF421" w:rsidR="00665940" w:rsidRPr="00665940" w:rsidRDefault="00665940" w:rsidP="00665940">
            <w:pPr>
              <w:tabs>
                <w:tab w:val="center" w:pos="284"/>
              </w:tabs>
              <w:overflowPunct w:val="0"/>
              <w:autoSpaceDE w:val="0"/>
              <w:autoSpaceDN w:val="0"/>
              <w:adjustRightInd w:val="0"/>
              <w:ind w:left="266" w:hanging="266"/>
              <w:textAlignment w:val="baseline"/>
            </w:pPr>
            <w:r>
              <w:t>EESC-2025-03937-00-00-AC</w:t>
            </w:r>
          </w:p>
        </w:tc>
      </w:tr>
    </w:tbl>
    <w:p w14:paraId="3B48B869" w14:textId="77777777" w:rsidR="00665940" w:rsidRPr="00665940" w:rsidRDefault="00665940" w:rsidP="00665940">
      <w:pPr>
        <w:tabs>
          <w:tab w:val="center" w:pos="284"/>
        </w:tabs>
        <w:overflowPunct w:val="0"/>
        <w:autoSpaceDE w:val="0"/>
        <w:autoSpaceDN w:val="0"/>
        <w:adjustRightInd w:val="0"/>
        <w:ind w:left="266" w:hanging="266"/>
        <w:textAlignment w:val="baseline"/>
      </w:pPr>
    </w:p>
    <w:p w14:paraId="6FD76E3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rPr>
      </w:pPr>
      <w:r>
        <w:rPr>
          <w:b/>
        </w:rPr>
        <w:t>Hoofdpunten</w:t>
      </w:r>
    </w:p>
    <w:p w14:paraId="36ABCDD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lang w:val="en-GB"/>
        </w:rPr>
      </w:pPr>
    </w:p>
    <w:p w14:paraId="7804317A" w14:textId="77777777" w:rsidR="00665940" w:rsidRPr="00665940" w:rsidRDefault="00665940" w:rsidP="00665940">
      <w:pPr>
        <w:overflowPunct w:val="0"/>
        <w:autoSpaceDE w:val="0"/>
        <w:autoSpaceDN w:val="0"/>
        <w:adjustRightInd w:val="0"/>
        <w:textAlignment w:val="baseline"/>
        <w:rPr>
          <w:bCs/>
          <w:iCs/>
        </w:rPr>
      </w:pPr>
      <w:r>
        <w:t>Het EESC:</w:t>
      </w:r>
    </w:p>
    <w:p w14:paraId="53EB1200" w14:textId="77777777" w:rsidR="00665940" w:rsidRPr="00665940" w:rsidRDefault="00665940" w:rsidP="00665940">
      <w:pPr>
        <w:overflowPunct w:val="0"/>
        <w:autoSpaceDE w:val="0"/>
        <w:autoSpaceDN w:val="0"/>
        <w:adjustRightInd w:val="0"/>
        <w:textAlignment w:val="baseline"/>
        <w:rPr>
          <w:bCs/>
          <w:iCs/>
          <w:lang w:val="en-GB"/>
        </w:rPr>
      </w:pPr>
    </w:p>
    <w:p w14:paraId="7C1E6D6D"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beveelt aan een Europees centrum voor klinische excellentie (ECCE, European centre of clinical excellence) op te richten, als een niet-bindende EU-referentie-instantie die wetenschappelijk bewijs omzet in hoogwaardige klinische richtsnoeren, met volledige inachtneming van het subsidiariteitsbeginsel en het evenredigheidsbeginsel, om in de hele EU een eerlijke toegang tot een hoogwaardige gezondheidszorg te bevorderen;</w:t>
      </w:r>
    </w:p>
    <w:p w14:paraId="3658F039"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is van mening dat het ECCE moet worden ingebed in een bredere EU-strategie voor veerkracht op gezondheidsgebied teneinde de wetenschappelijke samenwerking, de implementatie van innovaties en de strategische autonomie van de EU te stimuleren;</w:t>
      </w:r>
    </w:p>
    <w:p w14:paraId="0D049DD7"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is van mening dat het ECCE de bestaande EU- en nationale structuren moet aanvullen en niet vervangen, als gemeenschappelijke wetenschappelijk referentie-instantie moet dienen en binnen een sterk governancekader moet opereren;</w:t>
      </w:r>
    </w:p>
    <w:p w14:paraId="05280080"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wijst erop dat het ECCE een duidelijk omschreven mandaat moet hebben en zich moet richten op wetenschappelijke excellentie, transparantie en praktische relevantie, met de nadruk op systematische analyse en synthese van klinische gegevens, met inbegrip van gezamenlijke klinische evaluaties en empirisch bewijsmateriaal. Het moet niet-bindende, empirisch onderbouwde aanbevelingen voor farmacotherapie en klinische protocollen ontwikkelen om de nationale besluitvorming te ondersteunen;</w:t>
      </w:r>
    </w:p>
    <w:p w14:paraId="6AA7D53C"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pPr>
      <w:r>
        <w:t>beveelt aan om het ECCE op te richten als een nieuwe decentrale EU-instantie, om de wetenschappelijke consistentie, institutionele continuïteit en onafhankelijkheid te waarborgen, op basis van een evenwichtig meerlagig model waarin de lidstaten, de Europese Commissie en het maatschappelijk middenveld vertegenwoordigd zijn;</w:t>
      </w:r>
    </w:p>
    <w:p w14:paraId="43AC5B7A"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rFonts w:asciiTheme="minorHAnsi" w:hAnsiTheme="minorHAnsi"/>
          <w:szCs w:val="20"/>
        </w:rPr>
      </w:pPr>
      <w:r>
        <w:t>is van mening dat de geloofwaardigheid, onafhankelijkheid en doeltreffendheid van het ECCE op lange termijn afhankelijk zijn van een stabiele, adequate en voorspelbare financiering uit de EU-begroting. Iedere aanvullende financiering moet strikt worden gereguleerd en volledig transparant zijn, om ongepaste beïnvloeding van wetenschappelijke resultaten te voorkomen.</w:t>
      </w:r>
    </w:p>
    <w:p w14:paraId="457BFD9C" w14:textId="77777777" w:rsidR="001D292C" w:rsidRPr="00665940" w:rsidRDefault="001D292C" w:rsidP="00665940">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5670"/>
      </w:tblGrid>
      <w:tr w:rsidR="00665940" w:rsidRPr="00665940" w14:paraId="62BF535A" w14:textId="77777777" w:rsidTr="002E7EFB">
        <w:tc>
          <w:tcPr>
            <w:tcW w:w="1418" w:type="dxa"/>
          </w:tcPr>
          <w:p w14:paraId="5C60B303" w14:textId="77777777" w:rsidR="00665940" w:rsidRPr="00665940" w:rsidRDefault="00665940" w:rsidP="00665940">
            <w:pPr>
              <w:overflowPunct w:val="0"/>
              <w:autoSpaceDE w:val="0"/>
              <w:autoSpaceDN w:val="0"/>
              <w:adjustRightInd w:val="0"/>
              <w:spacing w:line="240" w:lineRule="auto"/>
              <w:textAlignment w:val="baseline"/>
              <w:rPr>
                <w:i/>
              </w:rPr>
            </w:pPr>
            <w:r>
              <w:rPr>
                <w:b/>
                <w:i/>
              </w:rPr>
              <w:t>Contactpersoon</w:t>
            </w:r>
          </w:p>
        </w:tc>
        <w:tc>
          <w:tcPr>
            <w:tcW w:w="5670" w:type="dxa"/>
          </w:tcPr>
          <w:p w14:paraId="04C05D13" w14:textId="77777777" w:rsidR="00665940" w:rsidRPr="00665940" w:rsidRDefault="00665940" w:rsidP="00665940">
            <w:pPr>
              <w:overflowPunct w:val="0"/>
              <w:autoSpaceDE w:val="0"/>
              <w:autoSpaceDN w:val="0"/>
              <w:adjustRightInd w:val="0"/>
              <w:spacing w:line="240" w:lineRule="auto"/>
              <w:textAlignment w:val="baseline"/>
              <w:rPr>
                <w:i/>
              </w:rPr>
            </w:pPr>
            <w:r>
              <w:rPr>
                <w:i/>
              </w:rPr>
              <w:t>Radoslava Stefankova</w:t>
            </w:r>
          </w:p>
        </w:tc>
      </w:tr>
      <w:tr w:rsidR="00665940" w:rsidRPr="00665940" w14:paraId="50843905" w14:textId="77777777" w:rsidTr="002E7EFB">
        <w:tc>
          <w:tcPr>
            <w:tcW w:w="1418" w:type="dxa"/>
          </w:tcPr>
          <w:p w14:paraId="60ED9F66" w14:textId="77777777" w:rsidR="00665940" w:rsidRPr="00665940" w:rsidRDefault="00665940" w:rsidP="00665940">
            <w:pPr>
              <w:overflowPunct w:val="0"/>
              <w:autoSpaceDE w:val="0"/>
              <w:autoSpaceDN w:val="0"/>
              <w:adjustRightInd w:val="0"/>
              <w:spacing w:line="240" w:lineRule="auto"/>
              <w:textAlignment w:val="baseline"/>
              <w:rPr>
                <w:i/>
              </w:rPr>
            </w:pPr>
            <w:r>
              <w:rPr>
                <w:i/>
              </w:rPr>
              <w:t>Tel.</w:t>
            </w:r>
          </w:p>
        </w:tc>
        <w:tc>
          <w:tcPr>
            <w:tcW w:w="5670" w:type="dxa"/>
          </w:tcPr>
          <w:p w14:paraId="170907FD" w14:textId="77777777" w:rsidR="00665940" w:rsidRPr="00665940" w:rsidRDefault="00665940" w:rsidP="00665940">
            <w:pPr>
              <w:overflowPunct w:val="0"/>
              <w:autoSpaceDE w:val="0"/>
              <w:autoSpaceDN w:val="0"/>
              <w:adjustRightInd w:val="0"/>
              <w:spacing w:line="240" w:lineRule="auto"/>
              <w:textAlignment w:val="baseline"/>
              <w:rPr>
                <w:i/>
              </w:rPr>
            </w:pPr>
            <w:r>
              <w:rPr>
                <w:i/>
              </w:rPr>
              <w:t>+32 25468188</w:t>
            </w:r>
          </w:p>
        </w:tc>
      </w:tr>
      <w:tr w:rsidR="00665940" w:rsidRPr="00665940" w14:paraId="7215EA9F" w14:textId="77777777" w:rsidTr="002E7EFB">
        <w:tc>
          <w:tcPr>
            <w:tcW w:w="1418" w:type="dxa"/>
          </w:tcPr>
          <w:p w14:paraId="7B8C52EC" w14:textId="333E7586" w:rsidR="00665940" w:rsidRPr="00665940" w:rsidRDefault="0019037A" w:rsidP="00665940">
            <w:pPr>
              <w:overflowPunct w:val="0"/>
              <w:autoSpaceDE w:val="0"/>
              <w:autoSpaceDN w:val="0"/>
              <w:adjustRightInd w:val="0"/>
              <w:spacing w:line="240" w:lineRule="auto"/>
              <w:textAlignment w:val="baseline"/>
              <w:rPr>
                <w:i/>
              </w:rPr>
            </w:pPr>
            <w:r>
              <w:rPr>
                <w:i/>
              </w:rPr>
              <w:t>E-mail</w:t>
            </w:r>
          </w:p>
        </w:tc>
        <w:tc>
          <w:tcPr>
            <w:tcW w:w="5670" w:type="dxa"/>
          </w:tcPr>
          <w:p w14:paraId="51562D55" w14:textId="07208443" w:rsidR="00665940" w:rsidRPr="00665940" w:rsidRDefault="00E23721" w:rsidP="00665940">
            <w:pPr>
              <w:overflowPunct w:val="0"/>
              <w:autoSpaceDE w:val="0"/>
              <w:autoSpaceDN w:val="0"/>
              <w:adjustRightInd w:val="0"/>
              <w:spacing w:line="240" w:lineRule="auto"/>
              <w:textAlignment w:val="baseline"/>
              <w:rPr>
                <w:i/>
              </w:rPr>
            </w:pPr>
            <w:hyperlink r:id="rId46" w:history="1">
              <w:r>
                <w:rPr>
                  <w:i/>
                  <w:color w:val="0000FF"/>
                  <w:u w:val="single"/>
                </w:rPr>
                <w:t>Radoslava.Stefankova@eesc.europa.eu</w:t>
              </w:r>
            </w:hyperlink>
          </w:p>
        </w:tc>
      </w:tr>
    </w:tbl>
    <w:p w14:paraId="57693FD9" w14:textId="6D060F2B" w:rsidR="00665940" w:rsidRDefault="00665940" w:rsidP="001766B2">
      <w:pPr>
        <w:pStyle w:val="ListParagraph"/>
        <w:ind w:left="0"/>
      </w:pPr>
    </w:p>
    <w:p w14:paraId="1C80C6A1" w14:textId="77777777" w:rsidR="00665940" w:rsidRDefault="00665940">
      <w:pPr>
        <w:spacing w:after="160" w:line="259" w:lineRule="auto"/>
        <w:jc w:val="left"/>
      </w:pPr>
      <w:r>
        <w:br w:type="page"/>
      </w:r>
    </w:p>
    <w:p w14:paraId="38DDDDCE" w14:textId="66FA21CC" w:rsidR="00445258" w:rsidRPr="004E3086" w:rsidRDefault="00445258"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47" w:tgtFrame="_blank" w:history="1">
        <w:r>
          <w:rPr>
            <w:b/>
            <w:i/>
            <w:color w:val="0000FF"/>
            <w:sz w:val="28"/>
            <w:u w:val="single"/>
          </w:rPr>
          <w:t>Nieuwe regels inzake drugsprecursoren</w:t>
        </w:r>
      </w:hyperlink>
    </w:p>
    <w:p w14:paraId="2957FB64" w14:textId="77777777" w:rsidR="004E3086" w:rsidRPr="004E3086" w:rsidRDefault="004E3086" w:rsidP="004E3086">
      <w:pPr>
        <w:widowControl w:val="0"/>
        <w:overflowPunct w:val="0"/>
        <w:autoSpaceDE w:val="0"/>
        <w:autoSpaceDN w:val="0"/>
        <w:adjustRightInd w:val="0"/>
        <w:spacing w:after="200" w:line="276" w:lineRule="auto"/>
        <w:contextualSpacing/>
        <w:jc w:val="left"/>
        <w:textAlignment w:val="baseline"/>
        <w:rPr>
          <w:bCs/>
          <w:sz w:val="24"/>
          <w:szCs w:val="24"/>
        </w:rPr>
      </w:pPr>
    </w:p>
    <w:tbl>
      <w:tblPr>
        <w:tblStyle w:val="TableGrid14"/>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6815"/>
      </w:tblGrid>
      <w:tr w:rsidR="00445258" w:rsidRPr="00445258" w14:paraId="7E507868" w14:textId="77777777" w:rsidTr="002E7EFB">
        <w:tc>
          <w:tcPr>
            <w:tcW w:w="1148" w:type="pct"/>
          </w:tcPr>
          <w:p w14:paraId="4BFF03AB"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r>
              <w:rPr>
                <w:b/>
              </w:rPr>
              <w:t>Rapporteur</w:t>
            </w:r>
          </w:p>
          <w:p w14:paraId="113C8799"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p>
        </w:tc>
        <w:tc>
          <w:tcPr>
            <w:tcW w:w="3852" w:type="pct"/>
          </w:tcPr>
          <w:p w14:paraId="329047B1" w14:textId="723B0F81" w:rsidR="00445258" w:rsidRPr="00445258" w:rsidRDefault="00445258" w:rsidP="00445258">
            <w:pPr>
              <w:tabs>
                <w:tab w:val="center" w:pos="284"/>
              </w:tabs>
              <w:overflowPunct w:val="0"/>
              <w:autoSpaceDE w:val="0"/>
              <w:autoSpaceDN w:val="0"/>
              <w:adjustRightInd w:val="0"/>
              <w:ind w:left="266" w:hanging="266"/>
              <w:textAlignment w:val="baseline"/>
            </w:pPr>
            <w:r>
              <w:t>Diego DUTTO (groep Maatschappelijke Organisaties – IT)</w:t>
            </w:r>
          </w:p>
          <w:p w14:paraId="641B170F" w14:textId="77777777" w:rsidR="00445258" w:rsidRPr="00445258" w:rsidRDefault="00445258" w:rsidP="00445258">
            <w:pPr>
              <w:tabs>
                <w:tab w:val="center" w:pos="284"/>
              </w:tabs>
              <w:overflowPunct w:val="0"/>
              <w:autoSpaceDE w:val="0"/>
              <w:autoSpaceDN w:val="0"/>
              <w:adjustRightInd w:val="0"/>
              <w:ind w:left="266" w:hanging="266"/>
              <w:textAlignment w:val="baseline"/>
              <w:rPr>
                <w:lang w:val="en-GB"/>
              </w:rPr>
            </w:pPr>
          </w:p>
        </w:tc>
      </w:tr>
      <w:tr w:rsidR="00445258" w:rsidRPr="00445258" w14:paraId="2EFF6C25" w14:textId="77777777" w:rsidTr="002E7EFB">
        <w:tc>
          <w:tcPr>
            <w:tcW w:w="1148" w:type="pct"/>
            <w:vMerge w:val="restart"/>
          </w:tcPr>
          <w:p w14:paraId="70282570"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r>
              <w:rPr>
                <w:b/>
              </w:rPr>
              <w:t>Referentiedocumenten</w:t>
            </w:r>
          </w:p>
        </w:tc>
        <w:tc>
          <w:tcPr>
            <w:tcW w:w="3852" w:type="pct"/>
          </w:tcPr>
          <w:p w14:paraId="4F313D09" w14:textId="3A34F015" w:rsidR="00445258" w:rsidRPr="00445258" w:rsidRDefault="00445258" w:rsidP="00445258">
            <w:pPr>
              <w:tabs>
                <w:tab w:val="center" w:pos="284"/>
              </w:tabs>
              <w:overflowPunct w:val="0"/>
              <w:autoSpaceDE w:val="0"/>
              <w:autoSpaceDN w:val="0"/>
              <w:adjustRightInd w:val="0"/>
              <w:ind w:left="266" w:hanging="266"/>
              <w:textAlignment w:val="baseline"/>
            </w:pPr>
            <w:r>
              <w:t xml:space="preserve">COM(2025) 747 final </w:t>
            </w:r>
          </w:p>
        </w:tc>
      </w:tr>
      <w:tr w:rsidR="00445258" w:rsidRPr="00445258" w14:paraId="3DFEF38A" w14:textId="77777777" w:rsidTr="002E7EFB">
        <w:tc>
          <w:tcPr>
            <w:tcW w:w="1148" w:type="pct"/>
            <w:vMerge/>
          </w:tcPr>
          <w:p w14:paraId="17E4942C" w14:textId="77777777" w:rsidR="00445258" w:rsidRPr="00445258" w:rsidRDefault="00445258" w:rsidP="00445258">
            <w:pPr>
              <w:tabs>
                <w:tab w:val="center" w:pos="284"/>
              </w:tabs>
              <w:overflowPunct w:val="0"/>
              <w:autoSpaceDE w:val="0"/>
              <w:autoSpaceDN w:val="0"/>
              <w:adjustRightInd w:val="0"/>
              <w:ind w:left="266" w:hanging="266"/>
              <w:textAlignment w:val="baseline"/>
              <w:rPr>
                <w:b/>
              </w:rPr>
            </w:pPr>
          </w:p>
        </w:tc>
        <w:tc>
          <w:tcPr>
            <w:tcW w:w="3852" w:type="pct"/>
          </w:tcPr>
          <w:p w14:paraId="37150F76" w14:textId="77777777" w:rsidR="00445258" w:rsidRPr="00445258" w:rsidRDefault="00445258" w:rsidP="00445258">
            <w:pPr>
              <w:tabs>
                <w:tab w:val="center" w:pos="284"/>
              </w:tabs>
              <w:overflowPunct w:val="0"/>
              <w:autoSpaceDE w:val="0"/>
              <w:autoSpaceDN w:val="0"/>
              <w:adjustRightInd w:val="0"/>
              <w:ind w:left="266" w:hanging="266"/>
              <w:textAlignment w:val="baseline"/>
            </w:pPr>
            <w:r>
              <w:t>EESC-2025-04277-00-00-AC</w:t>
            </w:r>
          </w:p>
        </w:tc>
      </w:tr>
    </w:tbl>
    <w:p w14:paraId="78D1CE85" w14:textId="77777777" w:rsidR="00445258" w:rsidRPr="00AE60E9" w:rsidRDefault="00445258" w:rsidP="00445258">
      <w:pPr>
        <w:keepNext/>
        <w:keepLines/>
        <w:tabs>
          <w:tab w:val="center" w:pos="284"/>
        </w:tabs>
        <w:overflowPunct w:val="0"/>
        <w:autoSpaceDE w:val="0"/>
        <w:autoSpaceDN w:val="0"/>
        <w:adjustRightInd w:val="0"/>
        <w:ind w:left="266" w:hanging="266"/>
        <w:textAlignment w:val="baseline"/>
        <w:rPr>
          <w:bCs/>
          <w:lang w:val="en-GB"/>
        </w:rPr>
      </w:pPr>
    </w:p>
    <w:p w14:paraId="23ECB8E8"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rPr>
      </w:pPr>
      <w:r>
        <w:rPr>
          <w:b/>
        </w:rPr>
        <w:t>Hoofdpunten</w:t>
      </w:r>
    </w:p>
    <w:p w14:paraId="4B7E6809" w14:textId="77777777" w:rsidR="00445258" w:rsidRPr="00AE60E9" w:rsidRDefault="00445258" w:rsidP="00445258">
      <w:pPr>
        <w:keepNext/>
        <w:keepLines/>
        <w:tabs>
          <w:tab w:val="center" w:pos="284"/>
        </w:tabs>
        <w:overflowPunct w:val="0"/>
        <w:autoSpaceDE w:val="0"/>
        <w:autoSpaceDN w:val="0"/>
        <w:adjustRightInd w:val="0"/>
        <w:ind w:left="266" w:hanging="266"/>
        <w:textAlignment w:val="baseline"/>
        <w:rPr>
          <w:bCs/>
          <w:lang w:val="en-GB"/>
        </w:rPr>
      </w:pPr>
    </w:p>
    <w:p w14:paraId="4B69ED3F" w14:textId="77777777" w:rsidR="00445258" w:rsidRPr="00445258" w:rsidRDefault="00445258" w:rsidP="00445258">
      <w:pPr>
        <w:overflowPunct w:val="0"/>
        <w:autoSpaceDE w:val="0"/>
        <w:autoSpaceDN w:val="0"/>
        <w:adjustRightInd w:val="0"/>
        <w:textAlignment w:val="baseline"/>
        <w:rPr>
          <w:bCs/>
          <w:iCs/>
        </w:rPr>
      </w:pPr>
      <w:r>
        <w:t>Het EESC beveelt aan om:</w:t>
      </w:r>
    </w:p>
    <w:p w14:paraId="39BF6AC5" w14:textId="77777777" w:rsidR="00445258" w:rsidRPr="00445258" w:rsidRDefault="00445258" w:rsidP="00445258">
      <w:pPr>
        <w:overflowPunct w:val="0"/>
        <w:autoSpaceDE w:val="0"/>
        <w:autoSpaceDN w:val="0"/>
        <w:adjustRightInd w:val="0"/>
        <w:textAlignment w:val="baseline"/>
        <w:rPr>
          <w:bCs/>
          <w:iCs/>
          <w:lang w:val="en-GB"/>
        </w:rPr>
      </w:pPr>
    </w:p>
    <w:p w14:paraId="7F6FDC1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ervoor te zorgen dat de toegang tot de “informatieopslagplaats voor drugsprecursoren” volledig gratis is;</w:t>
      </w:r>
    </w:p>
    <w:p w14:paraId="015B0DA4"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ervoor te zorgen dat van universiteiten, onderzoeksinstellingen en filantropische organisaties een aanzienlijk lagere of helemaal geen vergoeding voor de afgifte van een vergunning wordt verlangd;</w:t>
      </w:r>
    </w:p>
    <w:p w14:paraId="1D26F15F"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de procedures voor voorafgaande kennisgeving voor het gebruik van kleine hoeveelheden “designer”-precursoren te stroomlijnen;</w:t>
      </w:r>
    </w:p>
    <w:p w14:paraId="7A06841B"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een specifiek kanaal op te zetten voor technische begeleiding voor alle belanghebbenden, met inbegrip van organisaties uit de tertiaire sector, dat snel verduidelijking biedt over de indeling van varianten van stoffen;</w:t>
      </w:r>
    </w:p>
    <w:p w14:paraId="6706E6CC"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rechtsonzekerheid voor onderzoekslaboratoria te vermijden als gevolg van de generieke opname van stofgroepen in categorie 3 door duidelijke, tijdige en volledige vrijstellingslijsten te publiceren;</w:t>
      </w:r>
    </w:p>
    <w:p w14:paraId="0ED1006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maatschappelijke organisaties die gespecialiseerd zijn in verslavingspreventie en schadebeperking, te betrekken bij bewustmakings- en opleidingsactiviteiten; </w:t>
      </w:r>
    </w:p>
    <w:p w14:paraId="0308E5D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de verplichting om een “verantwoordelijke functionaris” aan te stellen, flexibel toe te passen op kleine civiele organisaties, zodat zij daarvoor bestaand personeel uit hun midden kunnen aanwijzen;</w:t>
      </w:r>
    </w:p>
    <w:p w14:paraId="0765C64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homogene regelgeving in de EU tot stand te brengen. Dit zal de autoriteiten ondersteunen bij het traceren van de handel in en het gebruik van stoffen in onderzoek in heel Europa; </w:t>
      </w:r>
    </w:p>
    <w:p w14:paraId="6673E6C9"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de autonomie van onderzoekers die precursoren van categorie 3 gebruiken, te beschermen door ervoor te zorgen dat de controles door de bevoegde autoriteiten (artikel 28) op risico’s zijn gebaseerd en geen afbreuk doen aan de vertrouwelijkheid of integriteit van protocollen voor wetenschappelijk onderzoek.</w:t>
      </w:r>
    </w:p>
    <w:p w14:paraId="78586535" w14:textId="77777777" w:rsidR="00445258" w:rsidRPr="00AE60E9" w:rsidRDefault="00445258" w:rsidP="00AE60E9">
      <w:pPr>
        <w:pStyle w:val="ListParagraph"/>
        <w:ind w:left="0"/>
      </w:pPr>
    </w:p>
    <w:tbl>
      <w:tblPr>
        <w:tblStyle w:val="TableGrid14"/>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445258" w:rsidRPr="00445258" w14:paraId="34E47DF7" w14:textId="77777777" w:rsidTr="002E7EFB">
        <w:tc>
          <w:tcPr>
            <w:tcW w:w="1556" w:type="pct"/>
          </w:tcPr>
          <w:p w14:paraId="722F8981" w14:textId="77777777" w:rsidR="00445258" w:rsidRPr="00445258" w:rsidRDefault="00445258" w:rsidP="00445258">
            <w:pPr>
              <w:overflowPunct w:val="0"/>
              <w:autoSpaceDE w:val="0"/>
              <w:autoSpaceDN w:val="0"/>
              <w:adjustRightInd w:val="0"/>
              <w:spacing w:line="240" w:lineRule="auto"/>
              <w:textAlignment w:val="baseline"/>
              <w:rPr>
                <w:i/>
              </w:rPr>
            </w:pPr>
            <w:r>
              <w:rPr>
                <w:b/>
                <w:i/>
              </w:rPr>
              <w:t>Contactpersoon</w:t>
            </w:r>
          </w:p>
        </w:tc>
        <w:tc>
          <w:tcPr>
            <w:tcW w:w="3444" w:type="pct"/>
          </w:tcPr>
          <w:p w14:paraId="24BAFF65" w14:textId="77777777" w:rsidR="00445258" w:rsidRPr="00445258" w:rsidRDefault="00445258" w:rsidP="00445258">
            <w:pPr>
              <w:overflowPunct w:val="0"/>
              <w:autoSpaceDE w:val="0"/>
              <w:autoSpaceDN w:val="0"/>
              <w:adjustRightInd w:val="0"/>
              <w:spacing w:line="240" w:lineRule="auto"/>
              <w:textAlignment w:val="baseline"/>
              <w:rPr>
                <w:i/>
              </w:rPr>
            </w:pPr>
            <w:r>
              <w:rPr>
                <w:i/>
              </w:rPr>
              <w:t>Radoslava Stefankova</w:t>
            </w:r>
          </w:p>
        </w:tc>
      </w:tr>
      <w:tr w:rsidR="00445258" w:rsidRPr="00445258" w14:paraId="12D23E6C" w14:textId="77777777" w:rsidTr="002E7EFB">
        <w:tc>
          <w:tcPr>
            <w:tcW w:w="1556" w:type="pct"/>
          </w:tcPr>
          <w:p w14:paraId="3CC13004" w14:textId="77777777" w:rsidR="00445258" w:rsidRPr="00445258" w:rsidRDefault="00445258" w:rsidP="00445258">
            <w:pPr>
              <w:overflowPunct w:val="0"/>
              <w:autoSpaceDE w:val="0"/>
              <w:autoSpaceDN w:val="0"/>
              <w:adjustRightInd w:val="0"/>
              <w:spacing w:line="240" w:lineRule="auto"/>
              <w:textAlignment w:val="baseline"/>
              <w:rPr>
                <w:i/>
              </w:rPr>
            </w:pPr>
            <w:r>
              <w:rPr>
                <w:i/>
              </w:rPr>
              <w:t>Tel.</w:t>
            </w:r>
          </w:p>
        </w:tc>
        <w:tc>
          <w:tcPr>
            <w:tcW w:w="3444" w:type="pct"/>
          </w:tcPr>
          <w:p w14:paraId="5A5BE7A3" w14:textId="77777777" w:rsidR="00445258" w:rsidRPr="00445258" w:rsidRDefault="00445258" w:rsidP="00445258">
            <w:pPr>
              <w:overflowPunct w:val="0"/>
              <w:autoSpaceDE w:val="0"/>
              <w:autoSpaceDN w:val="0"/>
              <w:adjustRightInd w:val="0"/>
              <w:spacing w:line="240" w:lineRule="auto"/>
              <w:textAlignment w:val="baseline"/>
              <w:rPr>
                <w:i/>
              </w:rPr>
            </w:pPr>
            <w:r>
              <w:rPr>
                <w:i/>
              </w:rPr>
              <w:t>+32 25468188</w:t>
            </w:r>
          </w:p>
        </w:tc>
      </w:tr>
      <w:tr w:rsidR="00445258" w:rsidRPr="00445258" w14:paraId="751CD754" w14:textId="77777777" w:rsidTr="002E7EFB">
        <w:tc>
          <w:tcPr>
            <w:tcW w:w="1556" w:type="pct"/>
          </w:tcPr>
          <w:p w14:paraId="26B15F6C" w14:textId="299FB3B9" w:rsidR="00445258" w:rsidRPr="00445258" w:rsidRDefault="00070ED2" w:rsidP="00445258">
            <w:pPr>
              <w:overflowPunct w:val="0"/>
              <w:autoSpaceDE w:val="0"/>
              <w:autoSpaceDN w:val="0"/>
              <w:adjustRightInd w:val="0"/>
              <w:spacing w:line="240" w:lineRule="auto"/>
              <w:textAlignment w:val="baseline"/>
              <w:rPr>
                <w:i/>
              </w:rPr>
            </w:pPr>
            <w:r>
              <w:rPr>
                <w:i/>
              </w:rPr>
              <w:t>E-mail</w:t>
            </w:r>
          </w:p>
        </w:tc>
        <w:tc>
          <w:tcPr>
            <w:tcW w:w="3444" w:type="pct"/>
          </w:tcPr>
          <w:p w14:paraId="7DA66FD2" w14:textId="112F51B8" w:rsidR="00445258" w:rsidRPr="00445258" w:rsidRDefault="00E23721" w:rsidP="00445258">
            <w:pPr>
              <w:overflowPunct w:val="0"/>
              <w:autoSpaceDE w:val="0"/>
              <w:autoSpaceDN w:val="0"/>
              <w:adjustRightInd w:val="0"/>
              <w:spacing w:line="240" w:lineRule="auto"/>
              <w:textAlignment w:val="baseline"/>
              <w:rPr>
                <w:i/>
                <w:iCs/>
              </w:rPr>
            </w:pPr>
            <w:hyperlink r:id="rId48" w:history="1">
              <w:r>
                <w:rPr>
                  <w:i/>
                  <w:color w:val="0000FF"/>
                  <w:u w:val="single"/>
                </w:rPr>
                <w:t>Radoslava.Stefankova@eesc.europa.eu</w:t>
              </w:r>
            </w:hyperlink>
          </w:p>
        </w:tc>
      </w:tr>
    </w:tbl>
    <w:p w14:paraId="2314B8E6" w14:textId="45059B39" w:rsidR="00445258" w:rsidRDefault="00445258" w:rsidP="001766B2">
      <w:pPr>
        <w:pStyle w:val="ListParagraph"/>
        <w:ind w:left="0"/>
      </w:pPr>
    </w:p>
    <w:p w14:paraId="0320B460" w14:textId="77777777" w:rsidR="00445258" w:rsidRDefault="00445258">
      <w:pPr>
        <w:spacing w:after="160" w:line="259" w:lineRule="auto"/>
        <w:jc w:val="left"/>
      </w:pPr>
      <w:r>
        <w:br w:type="page"/>
      </w:r>
    </w:p>
    <w:p w14:paraId="6BC63409" w14:textId="4E294CF0" w:rsidR="00DE758A" w:rsidRPr="00DE758A" w:rsidRDefault="00DE758A" w:rsidP="00DE758A">
      <w:pPr>
        <w:widowControl w:val="0"/>
        <w:numPr>
          <w:ilvl w:val="0"/>
          <w:numId w:val="4"/>
        </w:numPr>
        <w:overflowPunct w:val="0"/>
        <w:autoSpaceDE w:val="0"/>
        <w:autoSpaceDN w:val="0"/>
        <w:adjustRightInd w:val="0"/>
        <w:ind w:hanging="567"/>
        <w:textAlignment w:val="baseline"/>
        <w:rPr>
          <w:b/>
          <w:bCs/>
          <w:i/>
          <w:iCs/>
          <w:color w:val="0000FF"/>
          <w:sz w:val="28"/>
          <w:szCs w:val="28"/>
          <w:u w:val="single"/>
        </w:rPr>
      </w:pPr>
      <w:hyperlink r:id="rId49" w:history="1">
        <w:r>
          <w:rPr>
            <w:b/>
            <w:i/>
            <w:color w:val="0000FF"/>
            <w:sz w:val="28"/>
            <w:u w:val="single"/>
          </w:rPr>
          <w:t>Vereenvoudiging van de regels voor medische hulpmiddelen en in-vitrodiagnostiek</w:t>
        </w:r>
      </w:hyperlink>
    </w:p>
    <w:p w14:paraId="2DC72C04" w14:textId="77777777" w:rsidR="00DE758A" w:rsidRPr="004E3086" w:rsidRDefault="00DE758A" w:rsidP="00DE758A">
      <w:pPr>
        <w:tabs>
          <w:tab w:val="center" w:pos="284"/>
        </w:tabs>
        <w:overflowPunct w:val="0"/>
        <w:autoSpaceDE w:val="0"/>
        <w:autoSpaceDN w:val="0"/>
        <w:adjustRightInd w:val="0"/>
        <w:ind w:left="266" w:hanging="266"/>
        <w:textAlignment w:val="baseline"/>
        <w:rPr>
          <w:bCs/>
        </w:rPr>
      </w:pPr>
    </w:p>
    <w:tbl>
      <w:tblPr>
        <w:tblStyle w:val="TableGrid15"/>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6124"/>
      </w:tblGrid>
      <w:tr w:rsidR="00DE758A" w:rsidRPr="00DE758A" w14:paraId="6B8DC8E9" w14:textId="77777777" w:rsidTr="002E7EFB">
        <w:trPr>
          <w:trHeight w:val="406"/>
        </w:trPr>
        <w:tc>
          <w:tcPr>
            <w:tcW w:w="1229" w:type="pct"/>
          </w:tcPr>
          <w:p w14:paraId="4CF05AE9"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Pr>
                <w:b/>
              </w:rPr>
              <w:t>Rapporteur</w:t>
            </w:r>
          </w:p>
          <w:p w14:paraId="3BDC8518"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c>
        <w:tc>
          <w:tcPr>
            <w:tcW w:w="3771" w:type="pct"/>
          </w:tcPr>
          <w:p w14:paraId="15EACB81" w14:textId="174540E6" w:rsidR="00DE758A" w:rsidRPr="00DE758A" w:rsidRDefault="00DE758A" w:rsidP="00DE758A">
            <w:pPr>
              <w:tabs>
                <w:tab w:val="center" w:pos="0"/>
              </w:tabs>
              <w:overflowPunct w:val="0"/>
              <w:autoSpaceDE w:val="0"/>
              <w:autoSpaceDN w:val="0"/>
              <w:adjustRightInd w:val="0"/>
              <w:ind w:left="266" w:hanging="266"/>
              <w:textAlignment w:val="baseline"/>
            </w:pPr>
            <w:r>
              <w:t>Danko RELIĆ (groep Maatschappelijke Organisaties – HR)</w:t>
            </w:r>
          </w:p>
        </w:tc>
      </w:tr>
      <w:tr w:rsidR="00DE758A" w:rsidRPr="00DE758A" w14:paraId="32202284" w14:textId="77777777" w:rsidTr="002E7EFB">
        <w:tc>
          <w:tcPr>
            <w:tcW w:w="1229" w:type="pct"/>
          </w:tcPr>
          <w:p w14:paraId="39618390"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Pr>
                <w:b/>
              </w:rPr>
              <w:t>Referentiedocumenten</w:t>
            </w:r>
          </w:p>
        </w:tc>
        <w:tc>
          <w:tcPr>
            <w:tcW w:w="3771" w:type="pct"/>
          </w:tcPr>
          <w:p w14:paraId="6D00FAF5" w14:textId="56D763D6" w:rsidR="00DE758A" w:rsidRPr="00DE758A" w:rsidRDefault="00DE758A" w:rsidP="00DE758A">
            <w:pPr>
              <w:tabs>
                <w:tab w:val="center" w:pos="284"/>
              </w:tabs>
              <w:overflowPunct w:val="0"/>
              <w:autoSpaceDE w:val="0"/>
              <w:autoSpaceDN w:val="0"/>
              <w:adjustRightInd w:val="0"/>
              <w:ind w:left="266" w:hanging="266"/>
              <w:textAlignment w:val="baseline"/>
            </w:pPr>
            <w:r>
              <w:t xml:space="preserve">COM(2025) 1023 final </w:t>
            </w:r>
          </w:p>
          <w:p w14:paraId="59A88C6D" w14:textId="77777777" w:rsidR="00DE758A" w:rsidRPr="00DE758A" w:rsidRDefault="00DE758A" w:rsidP="00DE758A">
            <w:pPr>
              <w:tabs>
                <w:tab w:val="center" w:pos="284"/>
              </w:tabs>
              <w:overflowPunct w:val="0"/>
              <w:autoSpaceDE w:val="0"/>
              <w:autoSpaceDN w:val="0"/>
              <w:adjustRightInd w:val="0"/>
              <w:ind w:left="266" w:hanging="266"/>
              <w:textAlignment w:val="baseline"/>
            </w:pPr>
            <w:r>
              <w:t>EESC-2025-04298-00-00-AC</w:t>
            </w:r>
          </w:p>
        </w:tc>
      </w:tr>
    </w:tbl>
    <w:p w14:paraId="15D8F188" w14:textId="77777777" w:rsidR="00DE758A" w:rsidRPr="004E3086" w:rsidRDefault="00DE758A" w:rsidP="00DE758A">
      <w:pPr>
        <w:keepNext/>
        <w:keepLines/>
        <w:tabs>
          <w:tab w:val="center" w:pos="284"/>
        </w:tabs>
        <w:overflowPunct w:val="0"/>
        <w:autoSpaceDE w:val="0"/>
        <w:autoSpaceDN w:val="0"/>
        <w:adjustRightInd w:val="0"/>
        <w:ind w:left="266" w:hanging="266"/>
        <w:textAlignment w:val="baseline"/>
        <w:rPr>
          <w:bCs/>
          <w:lang w:val="pt-PT"/>
        </w:rPr>
      </w:pPr>
    </w:p>
    <w:p w14:paraId="3EB69E23"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rPr>
      </w:pPr>
      <w:r>
        <w:rPr>
          <w:b/>
        </w:rPr>
        <w:t>Hoofdpunten</w:t>
      </w:r>
    </w:p>
    <w:p w14:paraId="7EDD733C"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Cs/>
          <w:lang w:val="en-GB"/>
        </w:rPr>
      </w:pPr>
    </w:p>
    <w:p w14:paraId="109AD2CA" w14:textId="77777777" w:rsidR="00DE758A" w:rsidRPr="00DE758A" w:rsidRDefault="00DE758A" w:rsidP="00DE758A">
      <w:pPr>
        <w:overflowPunct w:val="0"/>
        <w:autoSpaceDE w:val="0"/>
        <w:autoSpaceDN w:val="0"/>
        <w:adjustRightInd w:val="0"/>
        <w:textAlignment w:val="baseline"/>
        <w:rPr>
          <w:bCs/>
          <w:iCs/>
        </w:rPr>
      </w:pPr>
      <w:r>
        <w:t>Het EESC:</w:t>
      </w:r>
    </w:p>
    <w:p w14:paraId="1E954AF4" w14:textId="77777777" w:rsidR="00DE758A" w:rsidRPr="00DE758A" w:rsidRDefault="00DE758A" w:rsidP="00DE758A">
      <w:pPr>
        <w:overflowPunct w:val="0"/>
        <w:autoSpaceDE w:val="0"/>
        <w:autoSpaceDN w:val="0"/>
        <w:adjustRightInd w:val="0"/>
        <w:textAlignment w:val="baseline"/>
        <w:rPr>
          <w:bCs/>
          <w:iCs/>
          <w:lang w:val="en-GB"/>
        </w:rPr>
      </w:pPr>
    </w:p>
    <w:p w14:paraId="606935A0" w14:textId="77777777" w:rsidR="00DE758A" w:rsidRPr="004C6742" w:rsidRDefault="00DE758A" w:rsidP="004C6742">
      <w:pPr>
        <w:pStyle w:val="ListParagraph"/>
        <w:numPr>
          <w:ilvl w:val="0"/>
          <w:numId w:val="77"/>
        </w:numPr>
        <w:ind w:left="567" w:hanging="567"/>
      </w:pPr>
      <w:r>
        <w:t>is ingenomen met het voorstel van de Commissie om de verordening betreffende medische hulpmiddelen (MDR) en de verordening betreffende medische hulpmiddelen voor in-vitrodiagnostiek (IVDR) te vereenvoudigen en te stroomlijnen en tegelijkertijd de patiëntveiligheid, de bescherming van de volksgezondheid en het vertrouwen in het regelgevingssysteem te waarborgen;</w:t>
      </w:r>
    </w:p>
    <w:p w14:paraId="3F3B23CD" w14:textId="77777777" w:rsidR="00DE758A" w:rsidRPr="004C6742" w:rsidRDefault="00DE758A" w:rsidP="004C6742">
      <w:pPr>
        <w:pStyle w:val="ListParagraph"/>
        <w:numPr>
          <w:ilvl w:val="0"/>
          <w:numId w:val="77"/>
        </w:numPr>
        <w:ind w:left="567" w:hanging="567"/>
      </w:pPr>
      <w:r>
        <w:t xml:space="preserve">benadrukt dat </w:t>
      </w:r>
      <w:r>
        <w:rPr>
          <w:b/>
          <w:bCs/>
        </w:rPr>
        <w:t>vereenvoudiging moet zorgen voor rechtszekerheid, voorspelbare certificeringsresultaten en geharmoniseerde praktijken in alle lidstaten</w:t>
      </w:r>
      <w:r>
        <w:t>, waarbij verschillen tussen aangemelde instanties worden vermeden en kleine en middelgrote ondernemingen (kmo’s) en micro-ondernemingen worden beschermd tegen rechtsonzekerheid;</w:t>
      </w:r>
    </w:p>
    <w:p w14:paraId="5AD93FCB" w14:textId="77777777" w:rsidR="00DE758A" w:rsidRPr="004C6742" w:rsidRDefault="00DE758A" w:rsidP="004C6742">
      <w:pPr>
        <w:pStyle w:val="ListParagraph"/>
        <w:numPr>
          <w:ilvl w:val="0"/>
          <w:numId w:val="77"/>
        </w:numPr>
        <w:ind w:left="567" w:hanging="567"/>
      </w:pPr>
      <w:r>
        <w:t xml:space="preserve">onderstreept dat </w:t>
      </w:r>
      <w:r>
        <w:rPr>
          <w:b/>
          <w:bCs/>
        </w:rPr>
        <w:t>bij de digitalisering van conformiteitsbeoordelingen en audits dubbele vereisten en extra kosten moeten worden vermeden</w:t>
      </w:r>
      <w:r>
        <w:t>, met name voor kmo’s, werknemers en zorgpersoneel, en dat deze digitalisering moet worden ondersteund door adequate begeleiding, opleiding en technische ondersteuning;</w:t>
      </w:r>
    </w:p>
    <w:p w14:paraId="5B714428" w14:textId="77777777" w:rsidR="00DE758A" w:rsidRPr="004C6742" w:rsidRDefault="00DE758A" w:rsidP="004C6742">
      <w:pPr>
        <w:pStyle w:val="ListParagraph"/>
        <w:numPr>
          <w:ilvl w:val="0"/>
          <w:numId w:val="77"/>
        </w:numPr>
        <w:ind w:left="567" w:hanging="567"/>
      </w:pPr>
      <w:r>
        <w:t xml:space="preserve">dringt erop aan dat </w:t>
      </w:r>
      <w:r>
        <w:rPr>
          <w:b/>
          <w:bCs/>
        </w:rPr>
        <w:t>de vereenvoudiging niet mag worden ondermijnd door hogere vergoedingen voor aangemelde instanties</w:t>
      </w:r>
      <w:r>
        <w:t xml:space="preserve"> en dat </w:t>
      </w:r>
      <w:r>
        <w:rPr>
          <w:b/>
          <w:bCs/>
        </w:rPr>
        <w:t>systemen voor post-market surveillance en bewaking moeten worden versterkt</w:t>
      </w:r>
      <w:r>
        <w:t xml:space="preserve"> als een belangrijk compensatiemechanisme voor de toegenomen flexibiliteit in de vereisten vóór het op de markt brengen;</w:t>
      </w:r>
    </w:p>
    <w:p w14:paraId="2350A493" w14:textId="77777777" w:rsidR="00DE758A" w:rsidRPr="004C6742" w:rsidRDefault="00DE758A" w:rsidP="004C6742">
      <w:pPr>
        <w:pStyle w:val="ListParagraph"/>
        <w:numPr>
          <w:ilvl w:val="0"/>
          <w:numId w:val="77"/>
        </w:numPr>
        <w:ind w:left="567" w:hanging="567"/>
      </w:pPr>
      <w:r>
        <w:t xml:space="preserve">steunt de invoering van </w:t>
      </w:r>
      <w:r>
        <w:rPr>
          <w:b/>
          <w:bCs/>
        </w:rPr>
        <w:t>regelgevingstrajecten voor baanbrekende en weeshulpmiddelen waarmee innovatie kan worden gestimuleerd terwijl de transparantie wordt gewaarborgd</w:t>
      </w:r>
      <w:r>
        <w:t xml:space="preserve"> (onder meer via Eudamed), en dringt erop aan dat </w:t>
      </w:r>
      <w:r>
        <w:rPr>
          <w:b/>
          <w:bCs/>
        </w:rPr>
        <w:t>de sociale partners, zorgverleners en het maatschappelijk middenveld systematisch worden betrokken</w:t>
      </w:r>
      <w:r>
        <w:t xml:space="preserve"> bij het toezicht op de uitvoering en de evaluatie van de gevolgen.</w:t>
      </w:r>
    </w:p>
    <w:p w14:paraId="67C66069" w14:textId="77777777" w:rsidR="00DE758A" w:rsidRPr="00DE758A" w:rsidRDefault="00DE758A" w:rsidP="001E4147">
      <w:pPr>
        <w:overflowPunct w:val="0"/>
        <w:autoSpaceDE w:val="0"/>
        <w:autoSpaceDN w:val="0"/>
        <w:adjustRightInd w:val="0"/>
        <w:ind w:left="284" w:hanging="284"/>
        <w:textAlignment w:val="baseline"/>
        <w:rPr>
          <w:bCs/>
          <w:iCs/>
          <w:szCs w:val="20"/>
        </w:rPr>
      </w:pPr>
    </w:p>
    <w:tbl>
      <w:tblPr>
        <w:tblStyle w:val="TableGrid15"/>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5015"/>
      </w:tblGrid>
      <w:tr w:rsidR="00DE758A" w:rsidRPr="00DE758A" w14:paraId="5DE0DD71" w14:textId="77777777" w:rsidTr="002E7EFB">
        <w:tc>
          <w:tcPr>
            <w:tcW w:w="1059" w:type="pct"/>
          </w:tcPr>
          <w:p w14:paraId="406D8126" w14:textId="77777777" w:rsidR="00DE758A" w:rsidRPr="00DE758A" w:rsidRDefault="00DE758A" w:rsidP="00DE758A">
            <w:pPr>
              <w:overflowPunct w:val="0"/>
              <w:autoSpaceDE w:val="0"/>
              <w:autoSpaceDN w:val="0"/>
              <w:adjustRightInd w:val="0"/>
              <w:spacing w:line="240" w:lineRule="auto"/>
              <w:textAlignment w:val="baseline"/>
              <w:rPr>
                <w:i/>
              </w:rPr>
            </w:pPr>
            <w:r>
              <w:rPr>
                <w:b/>
                <w:i/>
              </w:rPr>
              <w:t>Contactpersoon</w:t>
            </w:r>
          </w:p>
        </w:tc>
        <w:tc>
          <w:tcPr>
            <w:tcW w:w="3941" w:type="pct"/>
          </w:tcPr>
          <w:p w14:paraId="440062F3" w14:textId="44031FFA" w:rsidR="00DE758A" w:rsidRPr="00DE758A" w:rsidRDefault="00DE758A" w:rsidP="00DE758A">
            <w:pPr>
              <w:overflowPunct w:val="0"/>
              <w:autoSpaceDE w:val="0"/>
              <w:autoSpaceDN w:val="0"/>
              <w:adjustRightInd w:val="0"/>
              <w:spacing w:line="240" w:lineRule="auto"/>
              <w:textAlignment w:val="baseline"/>
              <w:rPr>
                <w:i/>
              </w:rPr>
            </w:pPr>
            <w:r>
              <w:rPr>
                <w:i/>
              </w:rPr>
              <w:t>Silvia Staffa</w:t>
            </w:r>
          </w:p>
        </w:tc>
      </w:tr>
      <w:tr w:rsidR="00DE758A" w:rsidRPr="00DE758A" w14:paraId="3624305D" w14:textId="77777777" w:rsidTr="002E7EFB">
        <w:tc>
          <w:tcPr>
            <w:tcW w:w="1059" w:type="pct"/>
          </w:tcPr>
          <w:p w14:paraId="169C17BD" w14:textId="77777777" w:rsidR="00DE758A" w:rsidRPr="00DE758A" w:rsidRDefault="00DE758A" w:rsidP="00DE758A">
            <w:pPr>
              <w:overflowPunct w:val="0"/>
              <w:autoSpaceDE w:val="0"/>
              <w:autoSpaceDN w:val="0"/>
              <w:adjustRightInd w:val="0"/>
              <w:spacing w:line="240" w:lineRule="auto"/>
              <w:textAlignment w:val="baseline"/>
              <w:rPr>
                <w:i/>
              </w:rPr>
            </w:pPr>
            <w:r>
              <w:rPr>
                <w:i/>
              </w:rPr>
              <w:t>Tel.</w:t>
            </w:r>
          </w:p>
        </w:tc>
        <w:tc>
          <w:tcPr>
            <w:tcW w:w="3941" w:type="pct"/>
          </w:tcPr>
          <w:p w14:paraId="7D475F69" w14:textId="77777777" w:rsidR="00DE758A" w:rsidRPr="00DE758A" w:rsidRDefault="00DE758A" w:rsidP="00DE758A">
            <w:pPr>
              <w:overflowPunct w:val="0"/>
              <w:autoSpaceDE w:val="0"/>
              <w:autoSpaceDN w:val="0"/>
              <w:adjustRightInd w:val="0"/>
              <w:spacing w:line="240" w:lineRule="auto"/>
              <w:textAlignment w:val="baseline"/>
              <w:rPr>
                <w:i/>
              </w:rPr>
            </w:pPr>
            <w:r>
              <w:rPr>
                <w:i/>
              </w:rPr>
              <w:t>+ 32 25468378</w:t>
            </w:r>
          </w:p>
        </w:tc>
      </w:tr>
      <w:tr w:rsidR="00DE758A" w:rsidRPr="00DE758A" w14:paraId="7362C1AC" w14:textId="77777777" w:rsidTr="002E7EFB">
        <w:tc>
          <w:tcPr>
            <w:tcW w:w="1059" w:type="pct"/>
          </w:tcPr>
          <w:p w14:paraId="256024F2" w14:textId="77777777" w:rsidR="00DE758A" w:rsidRPr="00DE758A" w:rsidRDefault="00DE758A" w:rsidP="00DE758A">
            <w:pPr>
              <w:overflowPunct w:val="0"/>
              <w:autoSpaceDE w:val="0"/>
              <w:autoSpaceDN w:val="0"/>
              <w:adjustRightInd w:val="0"/>
              <w:spacing w:line="240" w:lineRule="auto"/>
              <w:textAlignment w:val="baseline"/>
              <w:rPr>
                <w:i/>
              </w:rPr>
            </w:pPr>
            <w:r>
              <w:rPr>
                <w:i/>
              </w:rPr>
              <w:t>E-mail</w:t>
            </w:r>
          </w:p>
        </w:tc>
        <w:tc>
          <w:tcPr>
            <w:tcW w:w="3941" w:type="pct"/>
          </w:tcPr>
          <w:p w14:paraId="7476247D" w14:textId="488F6BC7" w:rsidR="00DE758A" w:rsidRPr="00DE758A" w:rsidRDefault="00E23721" w:rsidP="00DE758A">
            <w:pPr>
              <w:overflowPunct w:val="0"/>
              <w:autoSpaceDE w:val="0"/>
              <w:autoSpaceDN w:val="0"/>
              <w:adjustRightInd w:val="0"/>
              <w:spacing w:line="240" w:lineRule="auto"/>
              <w:textAlignment w:val="baseline"/>
              <w:rPr>
                <w:i/>
                <w:iCs/>
              </w:rPr>
            </w:pPr>
            <w:hyperlink r:id="rId50" w:history="1">
              <w:r>
                <w:rPr>
                  <w:i/>
                  <w:color w:val="0000FF"/>
                  <w:u w:val="single"/>
                </w:rPr>
                <w:t>Silvia.Staffa@eesc.europa.eu</w:t>
              </w:r>
            </w:hyperlink>
          </w:p>
        </w:tc>
      </w:tr>
    </w:tbl>
    <w:p w14:paraId="22CD9CD0" w14:textId="459E6F1C" w:rsidR="00DE758A" w:rsidRDefault="00DE758A" w:rsidP="001766B2">
      <w:pPr>
        <w:pStyle w:val="ListParagraph"/>
        <w:ind w:left="0"/>
      </w:pPr>
    </w:p>
    <w:p w14:paraId="6A195B69" w14:textId="77777777" w:rsidR="00DE758A" w:rsidRDefault="00DE758A">
      <w:pPr>
        <w:spacing w:after="160" w:line="259" w:lineRule="auto"/>
        <w:jc w:val="left"/>
      </w:pPr>
      <w:r>
        <w:br w:type="page"/>
      </w:r>
    </w:p>
    <w:p w14:paraId="05089E5F" w14:textId="7F19047E" w:rsidR="00CB6F1C" w:rsidRPr="00CB6F1C" w:rsidRDefault="00CB6F1C" w:rsidP="00CB6F1C">
      <w:pPr>
        <w:widowControl w:val="0"/>
        <w:numPr>
          <w:ilvl w:val="0"/>
          <w:numId w:val="4"/>
        </w:numPr>
        <w:overflowPunct w:val="0"/>
        <w:autoSpaceDE w:val="0"/>
        <w:autoSpaceDN w:val="0"/>
        <w:adjustRightInd w:val="0"/>
        <w:ind w:hanging="567"/>
        <w:textAlignment w:val="baseline"/>
        <w:rPr>
          <w:sz w:val="20"/>
          <w:szCs w:val="20"/>
        </w:rPr>
      </w:pPr>
      <w:hyperlink r:id="rId51" w:history="1">
        <w:r>
          <w:rPr>
            <w:b/>
            <w:i/>
            <w:color w:val="0000FF"/>
            <w:sz w:val="28"/>
            <w:u w:val="single"/>
          </w:rPr>
          <w:t>Strategische normalisatie voor een sterkere eengemaakte markt</w:t>
        </w:r>
      </w:hyperlink>
    </w:p>
    <w:p w14:paraId="36B05829" w14:textId="439E11FF" w:rsidR="00CB6F1C" w:rsidRPr="00AE60E9" w:rsidRDefault="00CB6F1C" w:rsidP="00CB6F1C">
      <w:pPr>
        <w:tabs>
          <w:tab w:val="center" w:pos="284"/>
        </w:tabs>
        <w:overflowPunct w:val="0"/>
        <w:autoSpaceDE w:val="0"/>
        <w:autoSpaceDN w:val="0"/>
        <w:adjustRightInd w:val="0"/>
        <w:ind w:left="266" w:hanging="266"/>
        <w:textAlignment w:val="baseline"/>
        <w:rPr>
          <w:bCs/>
          <w:lang w:val="en-GB"/>
        </w:rPr>
      </w:pPr>
    </w:p>
    <w:tbl>
      <w:tblPr>
        <w:tblStyle w:val="TableGrid16"/>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140"/>
      </w:tblGrid>
      <w:tr w:rsidR="00CB6F1C" w:rsidRPr="00CB6F1C" w14:paraId="45F8A76C" w14:textId="77777777" w:rsidTr="004B48B1">
        <w:tc>
          <w:tcPr>
            <w:tcW w:w="1701" w:type="dxa"/>
          </w:tcPr>
          <w:p w14:paraId="2632F8D5"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Pr>
                <w:b/>
              </w:rPr>
              <w:t>Rapporteur</w:t>
            </w:r>
          </w:p>
        </w:tc>
        <w:tc>
          <w:tcPr>
            <w:tcW w:w="7371" w:type="dxa"/>
          </w:tcPr>
          <w:p w14:paraId="0C80D85A" w14:textId="5AF224CE" w:rsidR="00CB6F1C" w:rsidRPr="00CB6F1C" w:rsidRDefault="00CB6F1C" w:rsidP="00CB6F1C">
            <w:pPr>
              <w:tabs>
                <w:tab w:val="center" w:pos="284"/>
              </w:tabs>
              <w:overflowPunct w:val="0"/>
              <w:autoSpaceDE w:val="0"/>
              <w:autoSpaceDN w:val="0"/>
              <w:adjustRightInd w:val="0"/>
              <w:ind w:left="266" w:hanging="266"/>
              <w:textAlignment w:val="baseline"/>
            </w:pPr>
            <w:r>
              <w:t>Angelo PAGLIARA (groep Werknemers – IT)</w:t>
            </w:r>
          </w:p>
        </w:tc>
      </w:tr>
      <w:tr w:rsidR="00CB6F1C" w:rsidRPr="00CB6F1C" w14:paraId="604CF083" w14:textId="77777777" w:rsidTr="004B48B1">
        <w:tc>
          <w:tcPr>
            <w:tcW w:w="9072" w:type="dxa"/>
            <w:gridSpan w:val="2"/>
          </w:tcPr>
          <w:p w14:paraId="6F3BB2F2" w14:textId="77777777" w:rsidR="00CB6F1C" w:rsidRPr="00CB6F1C" w:rsidRDefault="00CB6F1C" w:rsidP="00CB6F1C">
            <w:pPr>
              <w:tabs>
                <w:tab w:val="center" w:pos="284"/>
              </w:tabs>
              <w:overflowPunct w:val="0"/>
              <w:autoSpaceDE w:val="0"/>
              <w:autoSpaceDN w:val="0"/>
              <w:adjustRightInd w:val="0"/>
              <w:spacing w:line="160" w:lineRule="exact"/>
              <w:ind w:left="266" w:hanging="266"/>
              <w:textAlignment w:val="baseline"/>
            </w:pPr>
          </w:p>
        </w:tc>
      </w:tr>
      <w:tr w:rsidR="00CB6F1C" w:rsidRPr="00CB6F1C" w14:paraId="2D181A35" w14:textId="77777777" w:rsidTr="004B48B1">
        <w:tc>
          <w:tcPr>
            <w:tcW w:w="1701" w:type="dxa"/>
            <w:vMerge w:val="restart"/>
          </w:tcPr>
          <w:p w14:paraId="02B3C283"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Pr>
                <w:b/>
              </w:rPr>
              <w:t>Referentiedocumenten</w:t>
            </w:r>
          </w:p>
        </w:tc>
        <w:tc>
          <w:tcPr>
            <w:tcW w:w="7371" w:type="dxa"/>
          </w:tcPr>
          <w:p w14:paraId="4539C4CD" w14:textId="77777777" w:rsidR="00CB6F1C" w:rsidRPr="00CB6F1C" w:rsidRDefault="00CB6F1C" w:rsidP="00CB6F1C">
            <w:pPr>
              <w:tabs>
                <w:tab w:val="center" w:pos="284"/>
              </w:tabs>
              <w:overflowPunct w:val="0"/>
              <w:autoSpaceDE w:val="0"/>
              <w:autoSpaceDN w:val="0"/>
              <w:adjustRightInd w:val="0"/>
              <w:ind w:left="266" w:hanging="266"/>
              <w:textAlignment w:val="baseline"/>
            </w:pPr>
            <w:r>
              <w:t>Initiatiefadvies</w:t>
            </w:r>
          </w:p>
          <w:p w14:paraId="543FC291" w14:textId="77777777" w:rsidR="00CB6F1C" w:rsidRPr="00CB6F1C" w:rsidRDefault="00CB6F1C" w:rsidP="00CB6F1C">
            <w:pPr>
              <w:tabs>
                <w:tab w:val="center" w:pos="284"/>
              </w:tabs>
              <w:overflowPunct w:val="0"/>
              <w:autoSpaceDE w:val="0"/>
              <w:autoSpaceDN w:val="0"/>
              <w:adjustRightInd w:val="0"/>
              <w:ind w:left="266" w:hanging="266"/>
              <w:textAlignment w:val="baseline"/>
            </w:pPr>
            <w:r>
              <w:t>EESC-2026-00549-00-00-AC</w:t>
            </w:r>
          </w:p>
        </w:tc>
      </w:tr>
      <w:tr w:rsidR="00CB6F1C" w:rsidRPr="00CB6F1C" w14:paraId="2C4983D0" w14:textId="77777777" w:rsidTr="004B48B1">
        <w:tc>
          <w:tcPr>
            <w:tcW w:w="1701" w:type="dxa"/>
            <w:vMerge/>
          </w:tcPr>
          <w:p w14:paraId="10B21B74"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p>
        </w:tc>
        <w:tc>
          <w:tcPr>
            <w:tcW w:w="7371" w:type="dxa"/>
          </w:tcPr>
          <w:p w14:paraId="1BD3ED76" w14:textId="77777777" w:rsidR="00CB6F1C" w:rsidRPr="00CB6F1C" w:rsidRDefault="00CB6F1C" w:rsidP="00CB6F1C">
            <w:pPr>
              <w:tabs>
                <w:tab w:val="center" w:pos="284"/>
              </w:tabs>
              <w:overflowPunct w:val="0"/>
              <w:autoSpaceDE w:val="0"/>
              <w:autoSpaceDN w:val="0"/>
              <w:adjustRightInd w:val="0"/>
              <w:ind w:left="266" w:hanging="266"/>
              <w:textAlignment w:val="baseline"/>
            </w:pPr>
          </w:p>
        </w:tc>
      </w:tr>
    </w:tbl>
    <w:p w14:paraId="1B528208" w14:textId="167AD465" w:rsidR="00CB6F1C" w:rsidRPr="00CB6F1C" w:rsidRDefault="00CB6F1C" w:rsidP="00CB6F1C">
      <w:pPr>
        <w:tabs>
          <w:tab w:val="center" w:pos="284"/>
        </w:tabs>
        <w:overflowPunct w:val="0"/>
        <w:autoSpaceDE w:val="0"/>
        <w:autoSpaceDN w:val="0"/>
        <w:adjustRightInd w:val="0"/>
        <w:ind w:left="266" w:hanging="266"/>
        <w:textAlignment w:val="baseline"/>
      </w:pPr>
    </w:p>
    <w:p w14:paraId="47531A9D" w14:textId="77777777" w:rsidR="00CB6F1C" w:rsidRPr="00CB6F1C" w:rsidRDefault="00CB6F1C" w:rsidP="00AE60E9">
      <w:pPr>
        <w:keepNext/>
        <w:keepLines/>
        <w:tabs>
          <w:tab w:val="center" w:pos="284"/>
        </w:tabs>
        <w:overflowPunct w:val="0"/>
        <w:autoSpaceDE w:val="0"/>
        <w:autoSpaceDN w:val="0"/>
        <w:adjustRightInd w:val="0"/>
        <w:ind w:left="266" w:hanging="266"/>
        <w:textAlignment w:val="baseline"/>
        <w:rPr>
          <w:b/>
        </w:rPr>
      </w:pPr>
      <w:r>
        <w:rPr>
          <w:b/>
        </w:rPr>
        <w:t>Hoofdpunten</w:t>
      </w:r>
    </w:p>
    <w:p w14:paraId="5A30CB3B" w14:textId="77777777" w:rsidR="00CB6F1C" w:rsidRPr="00CB6F1C" w:rsidRDefault="00CB6F1C" w:rsidP="00AE60E9">
      <w:pPr>
        <w:keepNext/>
        <w:keepLines/>
        <w:tabs>
          <w:tab w:val="center" w:pos="284"/>
        </w:tabs>
        <w:overflowPunct w:val="0"/>
        <w:autoSpaceDE w:val="0"/>
        <w:autoSpaceDN w:val="0"/>
        <w:adjustRightInd w:val="0"/>
        <w:ind w:left="266" w:hanging="266"/>
        <w:textAlignment w:val="baseline"/>
        <w:rPr>
          <w:b/>
          <w:lang w:val="en-GB"/>
        </w:rPr>
      </w:pPr>
    </w:p>
    <w:p w14:paraId="1CF17A3E" w14:textId="77777777" w:rsidR="00CB6F1C" w:rsidRPr="00CB6F1C" w:rsidRDefault="00CB6F1C" w:rsidP="00AE60E9">
      <w:pPr>
        <w:overflowPunct w:val="0"/>
        <w:autoSpaceDE w:val="0"/>
        <w:autoSpaceDN w:val="0"/>
        <w:adjustRightInd w:val="0"/>
        <w:textAlignment w:val="baseline"/>
        <w:rPr>
          <w:bCs/>
          <w:iCs/>
        </w:rPr>
      </w:pPr>
      <w:r>
        <w:t>Het EESC:</w:t>
      </w:r>
    </w:p>
    <w:p w14:paraId="76EB4DE6" w14:textId="77777777" w:rsidR="00CB6F1C" w:rsidRPr="00CB6F1C" w:rsidRDefault="00CB6F1C" w:rsidP="00AE60E9">
      <w:pPr>
        <w:overflowPunct w:val="0"/>
        <w:autoSpaceDE w:val="0"/>
        <w:autoSpaceDN w:val="0"/>
        <w:adjustRightInd w:val="0"/>
        <w:textAlignment w:val="baseline"/>
        <w:rPr>
          <w:bCs/>
          <w:iCs/>
          <w:lang w:val="en-GB"/>
        </w:rPr>
      </w:pPr>
    </w:p>
    <w:p w14:paraId="3C18654B" w14:textId="77777777" w:rsidR="00CB6F1C" w:rsidRPr="00CB6F1C" w:rsidRDefault="00CB6F1C" w:rsidP="00AE60E9">
      <w:pPr>
        <w:widowControl w:val="0"/>
        <w:numPr>
          <w:ilvl w:val="0"/>
          <w:numId w:val="42"/>
        </w:numPr>
        <w:overflowPunct w:val="0"/>
        <w:autoSpaceDE w:val="0"/>
        <w:autoSpaceDN w:val="0"/>
        <w:adjustRightInd w:val="0"/>
        <w:ind w:left="284" w:hanging="284"/>
        <w:textAlignment w:val="baseline"/>
        <w:rPr>
          <w:bCs/>
          <w:iCs/>
        </w:rPr>
      </w:pPr>
      <w:r>
        <w:t xml:space="preserve">benadrukt dat </w:t>
      </w:r>
      <w:r>
        <w:rPr>
          <w:b/>
          <w:bCs/>
        </w:rPr>
        <w:t>inclusiviteit</w:t>
      </w:r>
      <w:r>
        <w:t xml:space="preserve"> essentieel is voor een legitiem en doeltreffend normalisatiesysteem en dringt aan op een </w:t>
      </w:r>
      <w:r>
        <w:rPr>
          <w:b/>
          <w:bCs/>
        </w:rPr>
        <w:t>grotere betrokkenheid van het midden- en kleinbedrijf (mkb), vakbonden en maatschappelijke organisaties</w:t>
      </w:r>
      <w:r>
        <w:t>, geschraagd door toereikende financiering, capaciteitsopbouw en vereenvoudigde toegang;</w:t>
      </w:r>
    </w:p>
    <w:p w14:paraId="0EF2C817" w14:textId="77777777" w:rsidR="00CB6F1C" w:rsidRPr="00CB6F1C" w:rsidRDefault="00CB6F1C" w:rsidP="00AE60E9">
      <w:pPr>
        <w:widowControl w:val="0"/>
        <w:numPr>
          <w:ilvl w:val="0"/>
          <w:numId w:val="42"/>
        </w:numPr>
        <w:overflowPunct w:val="0"/>
        <w:autoSpaceDE w:val="0"/>
        <w:autoSpaceDN w:val="0"/>
        <w:adjustRightInd w:val="0"/>
        <w:ind w:left="284" w:hanging="284"/>
        <w:textAlignment w:val="baseline"/>
        <w:rPr>
          <w:bCs/>
          <w:iCs/>
        </w:rPr>
      </w:pPr>
      <w:r>
        <w:t xml:space="preserve">verzoekt om duidelijke waarborgen ter bescherming van de sociale dialoog en benadrukt dat </w:t>
      </w:r>
      <w:r>
        <w:rPr>
          <w:b/>
          <w:bCs/>
        </w:rPr>
        <w:t>Europese normen technische instrumenten ter ondersteuning van wetgeving</w:t>
      </w:r>
      <w:r>
        <w:t xml:space="preserve"> moeten blijven en de rechten van werknemers, arbeidsomstandigheden of collectieve onderhandelingen niet mogen reguleren of verstoren;</w:t>
      </w:r>
    </w:p>
    <w:p w14:paraId="12F2C5AB" w14:textId="77777777" w:rsidR="00CB6F1C" w:rsidRPr="00CB6F1C" w:rsidRDefault="00CB6F1C" w:rsidP="00AE60E9">
      <w:pPr>
        <w:widowControl w:val="0"/>
        <w:numPr>
          <w:ilvl w:val="0"/>
          <w:numId w:val="42"/>
        </w:numPr>
        <w:overflowPunct w:val="0"/>
        <w:autoSpaceDE w:val="0"/>
        <w:autoSpaceDN w:val="0"/>
        <w:adjustRightInd w:val="0"/>
        <w:ind w:left="284" w:hanging="284"/>
        <w:textAlignment w:val="baseline"/>
        <w:rPr>
          <w:bCs/>
          <w:iCs/>
        </w:rPr>
      </w:pPr>
      <w:r>
        <w:t xml:space="preserve">pleit voor </w:t>
      </w:r>
      <w:r>
        <w:rPr>
          <w:b/>
          <w:bCs/>
        </w:rPr>
        <w:t>meer transparantie</w:t>
      </w:r>
      <w:r>
        <w:t xml:space="preserve"> en toegankelijkheid, met inbegrip van </w:t>
      </w:r>
      <w:r>
        <w:rPr>
          <w:b/>
          <w:bCs/>
        </w:rPr>
        <w:t>gemakkelijkere toegang van het publiek tot normen, duidelijkere governance van technische comités</w:t>
      </w:r>
      <w:r>
        <w:t xml:space="preserve"> en een </w:t>
      </w:r>
      <w:r>
        <w:rPr>
          <w:b/>
          <w:bCs/>
        </w:rPr>
        <w:t>voorafgaande beoordeling van normalisatieverzoeken</w:t>
      </w:r>
      <w:r>
        <w:t xml:space="preserve"> om de naleving van de grondrechten en de EU-wetgeving te waarborgen;</w:t>
      </w:r>
    </w:p>
    <w:p w14:paraId="0695E427" w14:textId="77777777" w:rsidR="00CB6F1C" w:rsidRPr="00CB6F1C" w:rsidRDefault="00CB6F1C" w:rsidP="00AE60E9">
      <w:pPr>
        <w:widowControl w:val="0"/>
        <w:numPr>
          <w:ilvl w:val="0"/>
          <w:numId w:val="42"/>
        </w:numPr>
        <w:overflowPunct w:val="0"/>
        <w:autoSpaceDE w:val="0"/>
        <w:autoSpaceDN w:val="0"/>
        <w:adjustRightInd w:val="0"/>
        <w:ind w:left="284" w:hanging="284"/>
        <w:textAlignment w:val="baseline"/>
        <w:rPr>
          <w:bCs/>
          <w:iCs/>
        </w:rPr>
      </w:pPr>
      <w:r>
        <w:t xml:space="preserve">wijst op de strategische rol van normalisatie bij het stimuleren van de eengemaakte markt, het concurrentievermogen en de open strategische autonomie, en dringt tegelijkertijd aan op sterkere </w:t>
      </w:r>
      <w:r>
        <w:rPr>
          <w:b/>
          <w:bCs/>
        </w:rPr>
        <w:t>EU-coördinatie bij de vaststelling van internationale normen</w:t>
      </w:r>
      <w:r>
        <w:t xml:space="preserve"> om de Europese belangen en hoge normen te beschermen;</w:t>
      </w:r>
    </w:p>
    <w:p w14:paraId="3F5E5408" w14:textId="77777777" w:rsidR="00CB6F1C" w:rsidRPr="00CB6F1C" w:rsidRDefault="00CB6F1C" w:rsidP="00AE60E9">
      <w:pPr>
        <w:widowControl w:val="0"/>
        <w:numPr>
          <w:ilvl w:val="0"/>
          <w:numId w:val="42"/>
        </w:numPr>
        <w:overflowPunct w:val="0"/>
        <w:autoSpaceDE w:val="0"/>
        <w:autoSpaceDN w:val="0"/>
        <w:adjustRightInd w:val="0"/>
        <w:ind w:left="284" w:hanging="284"/>
        <w:textAlignment w:val="baseline"/>
        <w:rPr>
          <w:bCs/>
          <w:iCs/>
        </w:rPr>
      </w:pPr>
      <w:r>
        <w:t xml:space="preserve">pleit voor een efficiënter en </w:t>
      </w:r>
      <w:r>
        <w:rPr>
          <w:b/>
          <w:bCs/>
        </w:rPr>
        <w:t>toekomstbestendig</w:t>
      </w:r>
      <w:r>
        <w:t xml:space="preserve"> systeem dat de </w:t>
      </w:r>
      <w:r>
        <w:rPr>
          <w:b/>
          <w:bCs/>
        </w:rPr>
        <w:t>tijdigheid</w:t>
      </w:r>
      <w:r>
        <w:t xml:space="preserve"> en kwaliteit verbetert en tegelijkertijd de nodige aandacht heeft voor </w:t>
      </w:r>
      <w:r>
        <w:rPr>
          <w:b/>
          <w:bCs/>
        </w:rPr>
        <w:t>opkomende technologieën</w:t>
      </w:r>
      <w:r>
        <w:t xml:space="preserve"> en ervoor zorgt dat normen innovatie, duurzaamheid en een </w:t>
      </w:r>
      <w:r>
        <w:rPr>
          <w:b/>
          <w:bCs/>
        </w:rPr>
        <w:t>hoog niveau van bescherming voor werknemers, consumenten en het milieu</w:t>
      </w:r>
      <w:r>
        <w:t xml:space="preserve"> ondersteunen.</w:t>
      </w:r>
    </w:p>
    <w:p w14:paraId="20CA82A9" w14:textId="77777777" w:rsidR="00CB6F1C" w:rsidRPr="00CB6F1C" w:rsidRDefault="00CB6F1C" w:rsidP="00AE60E9">
      <w:pPr>
        <w:widowControl w:val="0"/>
        <w:overflowPunct w:val="0"/>
        <w:autoSpaceDE w:val="0"/>
        <w:autoSpaceDN w:val="0"/>
        <w:adjustRightInd w:val="0"/>
        <w:ind w:left="709"/>
        <w:textAlignment w:val="baseline"/>
        <w:rPr>
          <w:szCs w:val="20"/>
          <w:lang w:val="en-GB"/>
        </w:rPr>
      </w:pP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5670"/>
      </w:tblGrid>
      <w:tr w:rsidR="00CB6F1C" w:rsidRPr="00CB6F1C" w14:paraId="10996137" w14:textId="77777777" w:rsidTr="002E7EFB">
        <w:tc>
          <w:tcPr>
            <w:tcW w:w="1418" w:type="dxa"/>
          </w:tcPr>
          <w:p w14:paraId="14035960" w14:textId="77777777" w:rsidR="00CB6F1C" w:rsidRPr="00CB6F1C" w:rsidRDefault="00CB6F1C" w:rsidP="00CB6F1C">
            <w:pPr>
              <w:overflowPunct w:val="0"/>
              <w:autoSpaceDE w:val="0"/>
              <w:autoSpaceDN w:val="0"/>
              <w:adjustRightInd w:val="0"/>
              <w:spacing w:line="240" w:lineRule="auto"/>
              <w:textAlignment w:val="baseline"/>
              <w:rPr>
                <w:i/>
              </w:rPr>
            </w:pPr>
            <w:r>
              <w:rPr>
                <w:b/>
                <w:i/>
              </w:rPr>
              <w:t>Contactpersoon</w:t>
            </w:r>
          </w:p>
        </w:tc>
        <w:tc>
          <w:tcPr>
            <w:tcW w:w="5670" w:type="dxa"/>
          </w:tcPr>
          <w:p w14:paraId="5F887264" w14:textId="77777777" w:rsidR="00CB6F1C" w:rsidRPr="00CB6F1C" w:rsidRDefault="00CB6F1C" w:rsidP="00CB6F1C">
            <w:pPr>
              <w:overflowPunct w:val="0"/>
              <w:autoSpaceDE w:val="0"/>
              <w:autoSpaceDN w:val="0"/>
              <w:adjustRightInd w:val="0"/>
              <w:spacing w:line="240" w:lineRule="auto"/>
              <w:textAlignment w:val="baseline"/>
              <w:rPr>
                <w:i/>
              </w:rPr>
            </w:pPr>
            <w:r>
              <w:rPr>
                <w:i/>
              </w:rPr>
              <w:t>Silvia Staffa</w:t>
            </w:r>
          </w:p>
        </w:tc>
      </w:tr>
      <w:tr w:rsidR="00CB6F1C" w:rsidRPr="00CB6F1C" w14:paraId="79343DDB" w14:textId="77777777" w:rsidTr="002E7EFB">
        <w:tc>
          <w:tcPr>
            <w:tcW w:w="1418" w:type="dxa"/>
          </w:tcPr>
          <w:p w14:paraId="67332A42" w14:textId="77777777" w:rsidR="00CB6F1C" w:rsidRPr="00CB6F1C" w:rsidRDefault="00CB6F1C" w:rsidP="00CB6F1C">
            <w:pPr>
              <w:overflowPunct w:val="0"/>
              <w:autoSpaceDE w:val="0"/>
              <w:autoSpaceDN w:val="0"/>
              <w:adjustRightInd w:val="0"/>
              <w:spacing w:line="240" w:lineRule="auto"/>
              <w:textAlignment w:val="baseline"/>
              <w:rPr>
                <w:i/>
              </w:rPr>
            </w:pPr>
            <w:r>
              <w:rPr>
                <w:i/>
              </w:rPr>
              <w:t>Tel.</w:t>
            </w:r>
          </w:p>
        </w:tc>
        <w:tc>
          <w:tcPr>
            <w:tcW w:w="5670" w:type="dxa"/>
          </w:tcPr>
          <w:p w14:paraId="30E9176B" w14:textId="77777777" w:rsidR="00CB6F1C" w:rsidRPr="00CB6F1C" w:rsidRDefault="00CB6F1C" w:rsidP="00CB6F1C">
            <w:pPr>
              <w:overflowPunct w:val="0"/>
              <w:autoSpaceDE w:val="0"/>
              <w:autoSpaceDN w:val="0"/>
              <w:adjustRightInd w:val="0"/>
              <w:spacing w:line="240" w:lineRule="auto"/>
              <w:textAlignment w:val="baseline"/>
              <w:rPr>
                <w:i/>
              </w:rPr>
            </w:pPr>
            <w:r>
              <w:rPr>
                <w:i/>
              </w:rPr>
              <w:t>+32 25468378</w:t>
            </w:r>
          </w:p>
        </w:tc>
      </w:tr>
      <w:tr w:rsidR="00CB6F1C" w:rsidRPr="00CB6F1C" w14:paraId="47D09906" w14:textId="77777777" w:rsidTr="002E7EFB">
        <w:tc>
          <w:tcPr>
            <w:tcW w:w="1418" w:type="dxa"/>
          </w:tcPr>
          <w:p w14:paraId="64360087" w14:textId="77777777" w:rsidR="00CB6F1C" w:rsidRPr="00CB6F1C" w:rsidRDefault="00CB6F1C" w:rsidP="00CB6F1C">
            <w:pPr>
              <w:overflowPunct w:val="0"/>
              <w:autoSpaceDE w:val="0"/>
              <w:autoSpaceDN w:val="0"/>
              <w:adjustRightInd w:val="0"/>
              <w:spacing w:line="240" w:lineRule="auto"/>
              <w:textAlignment w:val="baseline"/>
              <w:rPr>
                <w:i/>
              </w:rPr>
            </w:pPr>
            <w:r>
              <w:rPr>
                <w:i/>
              </w:rPr>
              <w:t>E-mail</w:t>
            </w:r>
          </w:p>
        </w:tc>
        <w:tc>
          <w:tcPr>
            <w:tcW w:w="5670" w:type="dxa"/>
          </w:tcPr>
          <w:p w14:paraId="7003408F" w14:textId="57314461" w:rsidR="00CB6F1C" w:rsidRPr="00CB6F1C" w:rsidRDefault="00E23721" w:rsidP="00CB6F1C">
            <w:pPr>
              <w:overflowPunct w:val="0"/>
              <w:autoSpaceDE w:val="0"/>
              <w:autoSpaceDN w:val="0"/>
              <w:adjustRightInd w:val="0"/>
              <w:spacing w:line="240" w:lineRule="auto"/>
              <w:textAlignment w:val="baseline"/>
              <w:rPr>
                <w:i/>
              </w:rPr>
            </w:pPr>
            <w:hyperlink r:id="rId52" w:history="1">
              <w:r>
                <w:rPr>
                  <w:i/>
                  <w:color w:val="0000FF"/>
                  <w:u w:val="single"/>
                </w:rPr>
                <w:t>Silvia.Staffa@eesc.europa.eu</w:t>
              </w:r>
            </w:hyperlink>
          </w:p>
        </w:tc>
      </w:tr>
    </w:tbl>
    <w:p w14:paraId="3187E665" w14:textId="3690C612" w:rsidR="00CB6F1C" w:rsidRDefault="00CB6F1C" w:rsidP="001766B2">
      <w:pPr>
        <w:pStyle w:val="ListParagraph"/>
        <w:ind w:left="0"/>
      </w:pPr>
    </w:p>
    <w:p w14:paraId="6B0B7BA6" w14:textId="77777777" w:rsidR="00CB6F1C" w:rsidRDefault="00CB6F1C">
      <w:pPr>
        <w:spacing w:after="160" w:line="259" w:lineRule="auto"/>
        <w:jc w:val="left"/>
      </w:pPr>
      <w:r>
        <w:br w:type="page"/>
      </w:r>
    </w:p>
    <w:p w14:paraId="2AE1B217" w14:textId="1551C128" w:rsidR="001F4150" w:rsidRPr="001F4150" w:rsidRDefault="00A067F3"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53" w:history="1">
        <w:r>
          <w:rPr>
            <w:b/>
            <w:i/>
            <w:color w:val="0000FF"/>
            <w:sz w:val="28"/>
            <w:u w:val="single"/>
          </w:rPr>
          <w:t>Eengemaakte markt — aanpak van ongerechtvaardigde territoriale leveringsbeperkingen</w:t>
        </w:r>
      </w:hyperlink>
    </w:p>
    <w:tbl>
      <w:tblPr>
        <w:tblStyle w:val="TableGrid17"/>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6815"/>
      </w:tblGrid>
      <w:tr w:rsidR="001F4150" w:rsidRPr="001F4150" w14:paraId="27380A90" w14:textId="77777777" w:rsidTr="002E7EFB">
        <w:tc>
          <w:tcPr>
            <w:tcW w:w="1148" w:type="pct"/>
          </w:tcPr>
          <w:p w14:paraId="2F79F3A7" w14:textId="77777777" w:rsidR="001F4150" w:rsidRPr="001F4150" w:rsidRDefault="001F4150" w:rsidP="001F4150">
            <w:pPr>
              <w:tabs>
                <w:tab w:val="center" w:pos="284"/>
              </w:tabs>
              <w:overflowPunct w:val="0"/>
              <w:autoSpaceDE w:val="0"/>
              <w:autoSpaceDN w:val="0"/>
              <w:adjustRightInd w:val="0"/>
              <w:ind w:left="266" w:hanging="266"/>
              <w:textAlignment w:val="baseline"/>
              <w:rPr>
                <w:b/>
              </w:rPr>
            </w:pPr>
          </w:p>
          <w:p w14:paraId="7485093C"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r>
              <w:rPr>
                <w:b/>
              </w:rPr>
              <w:t>Rapporteur</w:t>
            </w:r>
          </w:p>
          <w:p w14:paraId="2EC02C26"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p>
        </w:tc>
        <w:tc>
          <w:tcPr>
            <w:tcW w:w="3852" w:type="pct"/>
          </w:tcPr>
          <w:p w14:paraId="1D6A7045" w14:textId="77777777" w:rsidR="001F4150" w:rsidRPr="001F4150" w:rsidRDefault="001F4150" w:rsidP="001F4150">
            <w:pPr>
              <w:tabs>
                <w:tab w:val="center" w:pos="284"/>
              </w:tabs>
              <w:overflowPunct w:val="0"/>
              <w:autoSpaceDE w:val="0"/>
              <w:autoSpaceDN w:val="0"/>
              <w:adjustRightInd w:val="0"/>
              <w:ind w:left="266" w:hanging="266"/>
              <w:textAlignment w:val="baseline"/>
            </w:pPr>
          </w:p>
          <w:p w14:paraId="1761BEF7" w14:textId="4E47E597" w:rsidR="001F4150" w:rsidRPr="001F4150" w:rsidRDefault="001F4150" w:rsidP="001F4150">
            <w:pPr>
              <w:tabs>
                <w:tab w:val="center" w:pos="284"/>
              </w:tabs>
              <w:overflowPunct w:val="0"/>
              <w:autoSpaceDE w:val="0"/>
              <w:autoSpaceDN w:val="0"/>
              <w:adjustRightInd w:val="0"/>
              <w:ind w:left="266" w:hanging="266"/>
              <w:textAlignment w:val="baseline"/>
            </w:pPr>
            <w:r>
              <w:t>Antje GERSTEIN (groep Werkgevers – DE)</w:t>
            </w:r>
          </w:p>
          <w:p w14:paraId="1BE7D08A" w14:textId="77777777" w:rsidR="001F4150" w:rsidRPr="001F4150" w:rsidRDefault="001F4150" w:rsidP="001F4150">
            <w:pPr>
              <w:tabs>
                <w:tab w:val="center" w:pos="284"/>
              </w:tabs>
              <w:overflowPunct w:val="0"/>
              <w:autoSpaceDE w:val="0"/>
              <w:autoSpaceDN w:val="0"/>
              <w:adjustRightInd w:val="0"/>
              <w:ind w:left="266" w:hanging="266"/>
              <w:textAlignment w:val="baseline"/>
              <w:rPr>
                <w:lang w:val="fr-BE"/>
              </w:rPr>
            </w:pPr>
          </w:p>
        </w:tc>
      </w:tr>
      <w:tr w:rsidR="001F4150" w:rsidRPr="001F4150" w14:paraId="0CDF272C" w14:textId="77777777" w:rsidTr="002E7EFB">
        <w:tc>
          <w:tcPr>
            <w:tcW w:w="1148" w:type="pct"/>
            <w:vMerge w:val="restart"/>
          </w:tcPr>
          <w:p w14:paraId="2BF9F448"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r>
              <w:rPr>
                <w:b/>
              </w:rPr>
              <w:t>Referentiedocumenten</w:t>
            </w:r>
          </w:p>
        </w:tc>
        <w:tc>
          <w:tcPr>
            <w:tcW w:w="3852" w:type="pct"/>
          </w:tcPr>
          <w:p w14:paraId="2F1D29F3" w14:textId="714FA805" w:rsidR="001F4150" w:rsidRPr="001F4150" w:rsidRDefault="001F4150" w:rsidP="001F4150">
            <w:pPr>
              <w:tabs>
                <w:tab w:val="center" w:pos="284"/>
              </w:tabs>
              <w:overflowPunct w:val="0"/>
              <w:autoSpaceDE w:val="0"/>
              <w:autoSpaceDN w:val="0"/>
              <w:adjustRightInd w:val="0"/>
              <w:ind w:left="266" w:hanging="266"/>
              <w:textAlignment w:val="baseline"/>
            </w:pPr>
            <w:r>
              <w:t>Verkennend advies op verzoek van de Europese Commissie</w:t>
            </w:r>
          </w:p>
        </w:tc>
      </w:tr>
      <w:tr w:rsidR="001F4150" w:rsidRPr="001F4150" w14:paraId="64A253EA" w14:textId="77777777" w:rsidTr="002E7EFB">
        <w:tc>
          <w:tcPr>
            <w:tcW w:w="1148" w:type="pct"/>
            <w:vMerge/>
          </w:tcPr>
          <w:p w14:paraId="67EE78EE" w14:textId="77777777" w:rsidR="001F4150" w:rsidRPr="001F4150" w:rsidRDefault="001F4150" w:rsidP="001F4150">
            <w:pPr>
              <w:tabs>
                <w:tab w:val="center" w:pos="284"/>
              </w:tabs>
              <w:overflowPunct w:val="0"/>
              <w:autoSpaceDE w:val="0"/>
              <w:autoSpaceDN w:val="0"/>
              <w:adjustRightInd w:val="0"/>
              <w:ind w:left="266" w:hanging="266"/>
              <w:textAlignment w:val="baseline"/>
              <w:rPr>
                <w:b/>
              </w:rPr>
            </w:pPr>
          </w:p>
        </w:tc>
        <w:tc>
          <w:tcPr>
            <w:tcW w:w="3852" w:type="pct"/>
          </w:tcPr>
          <w:p w14:paraId="42A23A45" w14:textId="373FB450" w:rsidR="001F4150" w:rsidRPr="001F4150" w:rsidRDefault="001F4150" w:rsidP="001F4150">
            <w:pPr>
              <w:tabs>
                <w:tab w:val="center" w:pos="284"/>
              </w:tabs>
              <w:overflowPunct w:val="0"/>
              <w:autoSpaceDE w:val="0"/>
              <w:autoSpaceDN w:val="0"/>
              <w:adjustRightInd w:val="0"/>
              <w:ind w:left="266" w:hanging="266"/>
              <w:textAlignment w:val="baseline"/>
            </w:pPr>
            <w:r>
              <w:t>EESC-2026-00673-00-00-AC</w:t>
            </w:r>
          </w:p>
        </w:tc>
      </w:tr>
    </w:tbl>
    <w:p w14:paraId="427A1299" w14:textId="77777777" w:rsidR="001F4150" w:rsidRPr="00AE60E9" w:rsidRDefault="001F4150" w:rsidP="001F4150">
      <w:pPr>
        <w:keepNext/>
        <w:keepLines/>
        <w:tabs>
          <w:tab w:val="center" w:pos="284"/>
        </w:tabs>
        <w:overflowPunct w:val="0"/>
        <w:autoSpaceDE w:val="0"/>
        <w:autoSpaceDN w:val="0"/>
        <w:adjustRightInd w:val="0"/>
        <w:ind w:left="266" w:hanging="266"/>
        <w:textAlignment w:val="baseline"/>
        <w:rPr>
          <w:bCs/>
          <w:lang w:val="en-GB"/>
        </w:rPr>
      </w:pPr>
    </w:p>
    <w:p w14:paraId="60284235"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rPr>
      </w:pPr>
      <w:r>
        <w:rPr>
          <w:b/>
        </w:rPr>
        <w:t>Hoofdpunten</w:t>
      </w:r>
    </w:p>
    <w:p w14:paraId="0380E82A"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03573EDF" w14:textId="77777777" w:rsidR="001F4150" w:rsidRPr="001F4150" w:rsidRDefault="001F4150" w:rsidP="001F4150">
      <w:pPr>
        <w:overflowPunct w:val="0"/>
        <w:autoSpaceDE w:val="0"/>
        <w:autoSpaceDN w:val="0"/>
        <w:adjustRightInd w:val="0"/>
        <w:textAlignment w:val="baseline"/>
        <w:rPr>
          <w:bCs/>
          <w:iCs/>
        </w:rPr>
      </w:pPr>
      <w:r>
        <w:t>Het EESC:</w:t>
      </w:r>
    </w:p>
    <w:p w14:paraId="4513998C" w14:textId="77777777" w:rsidR="001F4150" w:rsidRPr="001F4150" w:rsidRDefault="001F4150" w:rsidP="001F4150">
      <w:pPr>
        <w:overflowPunct w:val="0"/>
        <w:autoSpaceDE w:val="0"/>
        <w:autoSpaceDN w:val="0"/>
        <w:adjustRightInd w:val="0"/>
        <w:textAlignment w:val="baseline"/>
        <w:rPr>
          <w:bCs/>
          <w:iCs/>
          <w:lang w:val="en-GB"/>
        </w:rPr>
      </w:pPr>
    </w:p>
    <w:p w14:paraId="1BF673F7"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is van mening dat territoriale leveringsbeperkingen (territorial supply constraints, TSC’s) het grensoverschrijdend handelsverkeer schaden en afbreuk doen aan de belofte van de eengemaakte markt om consumenten keuzemogelijkheden en prijsconcurrentie te bieden;</w:t>
      </w:r>
    </w:p>
    <w:p w14:paraId="58CB97FB"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is van mening dat het voor consumenten en werknemers bijzonder belangrijk is om alle potentiële voordelen van een goed functionerende eengemaakte markt op het gebied van prijzen en productkeuze te benutten;</w:t>
      </w:r>
    </w:p>
    <w:p w14:paraId="15925C71"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dringt er bij de lidstaten op aan geen nationale wetgeving goed te keuren die de inkoopmarkt verder zou hernationaliseren, maar in plaats daarvan ongerechtvaardigde belemmeringen voor het vrije verkeer van goederen weg te nemen zonder de legitieme consumentenbeschermingsvereisten te ondermijnen;</w:t>
      </w:r>
    </w:p>
    <w:p w14:paraId="2AF10FE0"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ziet een toegevoegde waarde in het onderzoeken van de mogelijkheid om richtsnoeren op te stellen voor nationale mededingingsautoriteiten en relevante belanghebbenden;</w:t>
      </w:r>
    </w:p>
    <w:p w14:paraId="7CFAE062" w14:textId="77777777" w:rsidR="001F4150" w:rsidRPr="001F4150" w:rsidRDefault="001F4150" w:rsidP="004C6742">
      <w:pPr>
        <w:numPr>
          <w:ilvl w:val="0"/>
          <w:numId w:val="39"/>
        </w:numPr>
        <w:overflowPunct w:val="0"/>
        <w:autoSpaceDE w:val="0"/>
        <w:autoSpaceDN w:val="0"/>
        <w:adjustRightInd w:val="0"/>
        <w:spacing w:after="200" w:line="276" w:lineRule="auto"/>
        <w:ind w:left="284" w:hanging="284"/>
        <w:contextualSpacing/>
        <w:textAlignment w:val="baseline"/>
        <w:rPr>
          <w:szCs w:val="20"/>
        </w:rPr>
      </w:pPr>
      <w:r>
        <w:t>vraagt de Europese Commissie te overwegen wetgeving voor te stellen die gebaseerd is op de beginselen van de digitalemarktenverordening of de richtlijn inzake oneerlijke handelspraktijken in de agrovoedingsketen, teneinde territoriale leveringsbeperkingen doeltreffend aan te pakken en voor eerlijkere handelspraktijken in de toeleveringsketen te zorgen.</w:t>
      </w:r>
    </w:p>
    <w:p w14:paraId="3F7F11E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tbl>
      <w:tblPr>
        <w:tblStyle w:val="TableGrid1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1F4150" w:rsidRPr="001F4150" w14:paraId="040FF66B" w14:textId="77777777" w:rsidTr="002E7EFB">
        <w:tc>
          <w:tcPr>
            <w:tcW w:w="1556" w:type="pct"/>
          </w:tcPr>
          <w:p w14:paraId="5FAB806C" w14:textId="77777777" w:rsidR="001F4150" w:rsidRPr="001F4150" w:rsidRDefault="001F4150" w:rsidP="001F4150">
            <w:pPr>
              <w:overflowPunct w:val="0"/>
              <w:autoSpaceDE w:val="0"/>
              <w:autoSpaceDN w:val="0"/>
              <w:adjustRightInd w:val="0"/>
              <w:spacing w:line="240" w:lineRule="auto"/>
              <w:textAlignment w:val="baseline"/>
              <w:rPr>
                <w:i/>
              </w:rPr>
            </w:pPr>
            <w:r>
              <w:rPr>
                <w:b/>
                <w:i/>
              </w:rPr>
              <w:t>Contactpersoon</w:t>
            </w:r>
          </w:p>
        </w:tc>
        <w:tc>
          <w:tcPr>
            <w:tcW w:w="3444" w:type="pct"/>
          </w:tcPr>
          <w:p w14:paraId="516AAA31" w14:textId="77777777" w:rsidR="001F4150" w:rsidRPr="001F4150" w:rsidRDefault="001F4150" w:rsidP="001F4150">
            <w:pPr>
              <w:overflowPunct w:val="0"/>
              <w:autoSpaceDE w:val="0"/>
              <w:autoSpaceDN w:val="0"/>
              <w:adjustRightInd w:val="0"/>
              <w:spacing w:line="240" w:lineRule="auto"/>
              <w:textAlignment w:val="baseline"/>
              <w:rPr>
                <w:i/>
              </w:rPr>
            </w:pPr>
            <w:r>
              <w:rPr>
                <w:i/>
              </w:rPr>
              <w:t>Annalisa Tessarolo</w:t>
            </w:r>
          </w:p>
        </w:tc>
      </w:tr>
      <w:tr w:rsidR="001F4150" w:rsidRPr="001F4150" w14:paraId="5B08B574" w14:textId="77777777" w:rsidTr="002E7EFB">
        <w:tc>
          <w:tcPr>
            <w:tcW w:w="1556" w:type="pct"/>
          </w:tcPr>
          <w:p w14:paraId="736D0776" w14:textId="77777777" w:rsidR="001F4150" w:rsidRPr="001F4150" w:rsidRDefault="001F4150" w:rsidP="001F4150">
            <w:pPr>
              <w:overflowPunct w:val="0"/>
              <w:autoSpaceDE w:val="0"/>
              <w:autoSpaceDN w:val="0"/>
              <w:adjustRightInd w:val="0"/>
              <w:spacing w:line="240" w:lineRule="auto"/>
              <w:textAlignment w:val="baseline"/>
              <w:rPr>
                <w:i/>
              </w:rPr>
            </w:pPr>
            <w:r>
              <w:rPr>
                <w:i/>
              </w:rPr>
              <w:t>Tel.</w:t>
            </w:r>
          </w:p>
        </w:tc>
        <w:tc>
          <w:tcPr>
            <w:tcW w:w="3444" w:type="pct"/>
          </w:tcPr>
          <w:p w14:paraId="38C43A98" w14:textId="77777777" w:rsidR="001F4150" w:rsidRPr="001F4150" w:rsidRDefault="001F4150" w:rsidP="001F4150">
            <w:pPr>
              <w:overflowPunct w:val="0"/>
              <w:autoSpaceDE w:val="0"/>
              <w:autoSpaceDN w:val="0"/>
              <w:adjustRightInd w:val="0"/>
              <w:spacing w:line="240" w:lineRule="auto"/>
              <w:textAlignment w:val="baseline"/>
              <w:rPr>
                <w:i/>
              </w:rPr>
            </w:pPr>
            <w:r>
              <w:rPr>
                <w:i/>
              </w:rPr>
              <w:t>+32 25469732</w:t>
            </w:r>
          </w:p>
        </w:tc>
      </w:tr>
      <w:tr w:rsidR="001F4150" w:rsidRPr="001F4150" w14:paraId="1C237976" w14:textId="77777777" w:rsidTr="002E7EFB">
        <w:tc>
          <w:tcPr>
            <w:tcW w:w="1556" w:type="pct"/>
          </w:tcPr>
          <w:p w14:paraId="782613FB" w14:textId="21F52E77" w:rsidR="001F4150" w:rsidRPr="001F4150" w:rsidRDefault="00785300" w:rsidP="001F4150">
            <w:pPr>
              <w:overflowPunct w:val="0"/>
              <w:autoSpaceDE w:val="0"/>
              <w:autoSpaceDN w:val="0"/>
              <w:adjustRightInd w:val="0"/>
              <w:spacing w:line="240" w:lineRule="auto"/>
              <w:textAlignment w:val="baseline"/>
              <w:rPr>
                <w:i/>
              </w:rPr>
            </w:pPr>
            <w:r>
              <w:rPr>
                <w:i/>
              </w:rPr>
              <w:t>E-mail</w:t>
            </w:r>
          </w:p>
        </w:tc>
        <w:tc>
          <w:tcPr>
            <w:tcW w:w="3444" w:type="pct"/>
          </w:tcPr>
          <w:p w14:paraId="67D97326" w14:textId="4EC07399" w:rsidR="001F4150" w:rsidRPr="001F4150" w:rsidRDefault="00E23721" w:rsidP="001F4150">
            <w:pPr>
              <w:overflowPunct w:val="0"/>
              <w:autoSpaceDE w:val="0"/>
              <w:autoSpaceDN w:val="0"/>
              <w:adjustRightInd w:val="0"/>
              <w:spacing w:line="240" w:lineRule="auto"/>
              <w:textAlignment w:val="baseline"/>
              <w:rPr>
                <w:i/>
                <w:iCs/>
              </w:rPr>
            </w:pPr>
            <w:hyperlink r:id="rId54" w:history="1">
              <w:r>
                <w:rPr>
                  <w:i/>
                  <w:color w:val="0000FF"/>
                  <w:u w:val="single"/>
                </w:rPr>
                <w:t>Annalisa.Tessarolo@eesc.europa.eu</w:t>
              </w:r>
            </w:hyperlink>
          </w:p>
        </w:tc>
      </w:tr>
    </w:tbl>
    <w:p w14:paraId="47AF9916" w14:textId="133CA2E1" w:rsidR="004619A5" w:rsidRDefault="004619A5" w:rsidP="001766B2">
      <w:pPr>
        <w:pStyle w:val="ListParagraph"/>
        <w:ind w:left="0"/>
      </w:pPr>
    </w:p>
    <w:p w14:paraId="18413C27" w14:textId="77777777" w:rsidR="004619A5" w:rsidRDefault="004619A5">
      <w:pPr>
        <w:spacing w:after="160" w:line="259" w:lineRule="auto"/>
        <w:jc w:val="left"/>
      </w:pPr>
      <w:r>
        <w:br w:type="page"/>
      </w:r>
    </w:p>
    <w:p w14:paraId="3EFBC0D9" w14:textId="7C99630F" w:rsidR="00227AA1" w:rsidRPr="00227AA1" w:rsidRDefault="00E23721" w:rsidP="00227AA1">
      <w:pPr>
        <w:widowControl w:val="0"/>
        <w:numPr>
          <w:ilvl w:val="0"/>
          <w:numId w:val="4"/>
        </w:numPr>
        <w:overflowPunct w:val="0"/>
        <w:autoSpaceDE w:val="0"/>
        <w:autoSpaceDN w:val="0"/>
        <w:adjustRightInd w:val="0"/>
        <w:ind w:hanging="567"/>
        <w:textAlignment w:val="baseline"/>
        <w:rPr>
          <w:sz w:val="20"/>
          <w:szCs w:val="20"/>
        </w:rPr>
      </w:pPr>
      <w:hyperlink r:id="rId55" w:tgtFrame="_blank" w:history="1">
        <w:r>
          <w:rPr>
            <w:b/>
            <w:i/>
            <w:color w:val="0000FF"/>
            <w:sz w:val="28"/>
            <w:u w:val="single"/>
          </w:rPr>
          <w:t>EU-strategie voor start-ups en scale-ups — met de nadruk op de Europese innovatiewet</w:t>
        </w:r>
      </w:hyperlink>
    </w:p>
    <w:p w14:paraId="5B220B7D" w14:textId="77777777" w:rsidR="00227AA1" w:rsidRPr="00AE60E9" w:rsidRDefault="00227AA1" w:rsidP="00227AA1">
      <w:pPr>
        <w:tabs>
          <w:tab w:val="center" w:pos="284"/>
        </w:tabs>
        <w:overflowPunct w:val="0"/>
        <w:autoSpaceDE w:val="0"/>
        <w:autoSpaceDN w:val="0"/>
        <w:adjustRightInd w:val="0"/>
        <w:ind w:left="266" w:hanging="266"/>
        <w:textAlignment w:val="baseline"/>
        <w:rPr>
          <w:bCs/>
          <w:lang w:val="en-GB"/>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031"/>
      </w:tblGrid>
      <w:tr w:rsidR="00227AA1" w:rsidRPr="00227AA1" w14:paraId="6C2F2EA8" w14:textId="77777777" w:rsidTr="004E3086">
        <w:tc>
          <w:tcPr>
            <w:tcW w:w="2149" w:type="dxa"/>
          </w:tcPr>
          <w:p w14:paraId="441F9F44"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Pr>
                <w:b/>
              </w:rPr>
              <w:t>Rapporteur</w:t>
            </w:r>
          </w:p>
        </w:tc>
        <w:tc>
          <w:tcPr>
            <w:tcW w:w="7031" w:type="dxa"/>
          </w:tcPr>
          <w:p w14:paraId="5142010D" w14:textId="2B710B5D" w:rsidR="00227AA1" w:rsidRPr="00227AA1" w:rsidRDefault="00227AA1" w:rsidP="00227AA1">
            <w:pPr>
              <w:tabs>
                <w:tab w:val="center" w:pos="284"/>
              </w:tabs>
              <w:overflowPunct w:val="0"/>
              <w:autoSpaceDE w:val="0"/>
              <w:autoSpaceDN w:val="0"/>
              <w:adjustRightInd w:val="0"/>
              <w:ind w:left="266" w:hanging="266"/>
              <w:textAlignment w:val="baseline"/>
            </w:pPr>
            <w:r>
              <w:t>Paul RÜBIG (groep Werkgevers – AT)</w:t>
            </w:r>
          </w:p>
        </w:tc>
      </w:tr>
      <w:tr w:rsidR="00227AA1" w:rsidRPr="00227AA1" w14:paraId="35AF9FA7" w14:textId="77777777" w:rsidTr="004E3086">
        <w:tc>
          <w:tcPr>
            <w:tcW w:w="9180" w:type="dxa"/>
            <w:gridSpan w:val="2"/>
          </w:tcPr>
          <w:p w14:paraId="691DC230" w14:textId="77777777" w:rsidR="00227AA1" w:rsidRPr="00227AA1" w:rsidRDefault="00227AA1" w:rsidP="00227AA1">
            <w:pPr>
              <w:tabs>
                <w:tab w:val="center" w:pos="284"/>
              </w:tabs>
              <w:overflowPunct w:val="0"/>
              <w:autoSpaceDE w:val="0"/>
              <w:autoSpaceDN w:val="0"/>
              <w:adjustRightInd w:val="0"/>
              <w:spacing w:line="160" w:lineRule="exact"/>
              <w:ind w:left="266" w:hanging="266"/>
              <w:textAlignment w:val="baseline"/>
            </w:pPr>
          </w:p>
        </w:tc>
      </w:tr>
      <w:tr w:rsidR="00227AA1" w:rsidRPr="00227AA1" w14:paraId="24C7D08D" w14:textId="77777777" w:rsidTr="004E3086">
        <w:tc>
          <w:tcPr>
            <w:tcW w:w="2149" w:type="dxa"/>
            <w:vMerge w:val="restart"/>
          </w:tcPr>
          <w:p w14:paraId="2D8C98F2"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Pr>
                <w:b/>
              </w:rPr>
              <w:t>Referentiedocumenten</w:t>
            </w:r>
          </w:p>
        </w:tc>
        <w:tc>
          <w:tcPr>
            <w:tcW w:w="7031" w:type="dxa"/>
          </w:tcPr>
          <w:p w14:paraId="05D43623" w14:textId="3773BAC0" w:rsidR="00227AA1" w:rsidRPr="00227AA1" w:rsidRDefault="00227AA1" w:rsidP="004E3086">
            <w:pPr>
              <w:tabs>
                <w:tab w:val="center" w:pos="284"/>
              </w:tabs>
              <w:overflowPunct w:val="0"/>
              <w:autoSpaceDE w:val="0"/>
              <w:autoSpaceDN w:val="0"/>
              <w:adjustRightInd w:val="0"/>
              <w:textAlignment w:val="baseline"/>
            </w:pPr>
            <w:r>
              <w:t>Verkennend advies op verzoek van het Cypriotische voorzitterschap van de Raad van de EU</w:t>
            </w:r>
          </w:p>
          <w:p w14:paraId="392D955D" w14:textId="77777777" w:rsidR="00227AA1" w:rsidRPr="00227AA1" w:rsidRDefault="00227AA1" w:rsidP="00227AA1">
            <w:pPr>
              <w:tabs>
                <w:tab w:val="center" w:pos="284"/>
              </w:tabs>
              <w:overflowPunct w:val="0"/>
              <w:autoSpaceDE w:val="0"/>
              <w:autoSpaceDN w:val="0"/>
              <w:adjustRightInd w:val="0"/>
              <w:ind w:left="266" w:hanging="266"/>
              <w:textAlignment w:val="baseline"/>
            </w:pPr>
            <w:r>
              <w:t>EESC-2025-04126-00-00-AC</w:t>
            </w:r>
          </w:p>
        </w:tc>
      </w:tr>
      <w:tr w:rsidR="00227AA1" w:rsidRPr="00227AA1" w14:paraId="2384CA2A" w14:textId="77777777" w:rsidTr="004E3086">
        <w:tc>
          <w:tcPr>
            <w:tcW w:w="2149" w:type="dxa"/>
            <w:vMerge/>
          </w:tcPr>
          <w:p w14:paraId="20987ACE"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p>
        </w:tc>
        <w:tc>
          <w:tcPr>
            <w:tcW w:w="7031" w:type="dxa"/>
          </w:tcPr>
          <w:p w14:paraId="14ABF28D" w14:textId="77777777" w:rsidR="00227AA1" w:rsidRPr="00227AA1" w:rsidRDefault="00227AA1" w:rsidP="00227AA1">
            <w:pPr>
              <w:tabs>
                <w:tab w:val="center" w:pos="284"/>
              </w:tabs>
              <w:overflowPunct w:val="0"/>
              <w:autoSpaceDE w:val="0"/>
              <w:autoSpaceDN w:val="0"/>
              <w:adjustRightInd w:val="0"/>
              <w:ind w:left="266" w:hanging="266"/>
              <w:textAlignment w:val="baseline"/>
            </w:pPr>
          </w:p>
        </w:tc>
      </w:tr>
    </w:tbl>
    <w:p w14:paraId="384C76EA"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rPr>
      </w:pPr>
      <w:r>
        <w:rPr>
          <w:b/>
        </w:rPr>
        <w:t>Hoofdpunten</w:t>
      </w:r>
    </w:p>
    <w:p w14:paraId="687AB7B0" w14:textId="77777777" w:rsidR="00227AA1" w:rsidRPr="00AE60E9" w:rsidRDefault="00227AA1" w:rsidP="00227AA1">
      <w:pPr>
        <w:keepNext/>
        <w:keepLines/>
        <w:tabs>
          <w:tab w:val="center" w:pos="284"/>
        </w:tabs>
        <w:overflowPunct w:val="0"/>
        <w:autoSpaceDE w:val="0"/>
        <w:autoSpaceDN w:val="0"/>
        <w:adjustRightInd w:val="0"/>
        <w:ind w:left="266" w:hanging="266"/>
        <w:textAlignment w:val="baseline"/>
        <w:rPr>
          <w:bCs/>
          <w:lang w:val="en-GB"/>
        </w:rPr>
      </w:pPr>
    </w:p>
    <w:p w14:paraId="46E5BC1F" w14:textId="77777777" w:rsidR="00227AA1" w:rsidRPr="00227AA1" w:rsidRDefault="00227AA1" w:rsidP="00227AA1">
      <w:pPr>
        <w:overflowPunct w:val="0"/>
        <w:autoSpaceDE w:val="0"/>
        <w:autoSpaceDN w:val="0"/>
        <w:adjustRightInd w:val="0"/>
        <w:textAlignment w:val="baseline"/>
        <w:rPr>
          <w:bCs/>
          <w:iCs/>
        </w:rPr>
      </w:pPr>
      <w:r>
        <w:t>Het EESC is van mening dat:</w:t>
      </w:r>
    </w:p>
    <w:p w14:paraId="766EBB4A" w14:textId="77777777" w:rsidR="00227AA1" w:rsidRPr="00227AA1" w:rsidRDefault="00227AA1" w:rsidP="00227AA1">
      <w:pPr>
        <w:overflowPunct w:val="0"/>
        <w:autoSpaceDE w:val="0"/>
        <w:autoSpaceDN w:val="0"/>
        <w:adjustRightInd w:val="0"/>
        <w:textAlignment w:val="baseline"/>
        <w:rPr>
          <w:bCs/>
          <w:iCs/>
          <w:lang w:val="en-GB"/>
        </w:rPr>
      </w:pPr>
    </w:p>
    <w:p w14:paraId="1113F168"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Europa aanzienlijk meer moet inzetten op innovatie en onderzoek en nog een grote inhaalslag te maken heeft bij het commercialiseren van de resultaten daarvan via spin-offs, start-ups en scale ups.</w:t>
      </w:r>
      <w:r>
        <w:rPr>
          <w:rFonts w:ascii="Calibri" w:hAnsi="Calibri"/>
        </w:rPr>
        <w:t xml:space="preserve"> </w:t>
      </w:r>
      <w:r>
        <w:t>In strategisch relevante sectoren groeit de zorg dat het ecosysteem in Europa te gefragmenteerd, te regeldicht en te traag is geworden om gelijke tred te kunnen houden met de snelle technologische ontwikkelingen die zich wereldwijd voltrekken;</w:t>
      </w:r>
    </w:p>
    <w:p w14:paraId="4520EF6F"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deze situatie in de eerste plaats is toe te schrijven aan het afnemende inzicht in markteconomieprocessen en in de steeds grotere versnippering van de regelgeving en de implementatie ervan op de eengemaakte markt, waardoor grensoverschrijdende marktintroducties en de overdracht van technologie van onderzoek naar bedrijfsleven belemmerd worden;</w:t>
      </w:r>
    </w:p>
    <w:p w14:paraId="1B8E4833"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stroperige administratieve procedures, de beperkte digitalisering en de inconsistente toepassing van EU-regelgeving op nationaal en regionaal niveau verdere obstakels voor bedrijven vormen;</w:t>
      </w:r>
    </w:p>
    <w:p w14:paraId="3C747BF5"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de Europese innovatiewet grensoverschrijdende start-ups en scale-ups verlichting kan bieden, mits daarbij wordt voorzien in horizontale vereenvoudigingen voor start-ups en het regime in alle lidstaten bindend is en kan worden gehandhaafd, met inachtneming van de rechten van werknemers en werknemersparticipatie. Het Comité benadrukt dat de Europese innovatiewet moet worden afgestemd op de beginselen van een rechtvaardige transitie, waarbij ervoor moet worden gezorgd dat innovatie bijdraagt tot economische groei, concurrentievermogen en het scheppen van banen en rekening wordt gehouden met de noodzaak om werknemers en regio’s die worden getroffen door technologische en industriële transformatie te begeleiden;</w:t>
      </w:r>
    </w:p>
    <w:p w14:paraId="5BC43F04"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een catalogus met criteria om innovatieve aspecten en groeiperspectieven te beoordelen doeltreffender en beter zou zijn dan een bindende definitie van start-ups en scale-ups. Ook zou een ranglijst van startersvriendelijke universiteiten nuttig kunnen zijn ter ondersteuning van de Europese innovatiewet. Voorts zou de Europese innovatiewet de rol van onderzoeks- en technologieorganisaties en het Europees Instituut voor innovatie en technologie (EIT) moeten versterken, met name in deeptech- en kapitaalintensieve sectoren;</w:t>
      </w:r>
    </w:p>
    <w:p w14:paraId="12B27491" w14:textId="77777777" w:rsidR="00227AA1" w:rsidRPr="004C6742"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rPr>
          <w:rFonts w:ascii="Calibri" w:hAnsi="Calibri"/>
        </w:rPr>
      </w:pPr>
      <w:r>
        <w:t>EU-brede belastingstimulansen voor aandeelhouderschap van werknemers bevorderlijk zouden zijn voor innovatie en groei. Starters moet bescherming tegen risico’s worden aangeboden en daarnaast moeten er passende waarborgen komen voor werknemers en schuldeisers, in overeenstemming met de bestaande insolventiekaders.</w:t>
      </w:r>
    </w:p>
    <w:p w14:paraId="5C529301" w14:textId="77777777" w:rsidR="00336295" w:rsidRPr="004E3086" w:rsidRDefault="00336295" w:rsidP="004E3086">
      <w:pPr>
        <w:overflowPunct w:val="0"/>
        <w:autoSpaceDE w:val="0"/>
        <w:autoSpaceDN w:val="0"/>
        <w:adjustRightInd w:val="0"/>
        <w:spacing w:after="200" w:line="276" w:lineRule="auto"/>
        <w:contextualSpacing/>
        <w:textAlignment w:val="baseline"/>
        <w:rPr>
          <w:lang w:val="en-GB" w:eastAsia="zh-CN"/>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5670"/>
      </w:tblGrid>
      <w:tr w:rsidR="00227AA1" w:rsidRPr="00227AA1" w14:paraId="5F5314FB" w14:textId="77777777" w:rsidTr="002E7EFB">
        <w:tc>
          <w:tcPr>
            <w:tcW w:w="1418" w:type="dxa"/>
          </w:tcPr>
          <w:p w14:paraId="632E98AB" w14:textId="77777777" w:rsidR="00227AA1" w:rsidRPr="00227AA1" w:rsidRDefault="00227AA1" w:rsidP="00227AA1">
            <w:pPr>
              <w:overflowPunct w:val="0"/>
              <w:autoSpaceDE w:val="0"/>
              <w:autoSpaceDN w:val="0"/>
              <w:adjustRightInd w:val="0"/>
              <w:spacing w:line="240" w:lineRule="auto"/>
              <w:textAlignment w:val="baseline"/>
              <w:rPr>
                <w:i/>
              </w:rPr>
            </w:pPr>
            <w:r>
              <w:rPr>
                <w:b/>
                <w:i/>
              </w:rPr>
              <w:t>Contactpersoon</w:t>
            </w:r>
          </w:p>
        </w:tc>
        <w:tc>
          <w:tcPr>
            <w:tcW w:w="5670" w:type="dxa"/>
          </w:tcPr>
          <w:p w14:paraId="0DA3C898" w14:textId="77777777" w:rsidR="00227AA1" w:rsidRPr="00227AA1" w:rsidRDefault="00227AA1" w:rsidP="00227AA1">
            <w:pPr>
              <w:overflowPunct w:val="0"/>
              <w:autoSpaceDE w:val="0"/>
              <w:autoSpaceDN w:val="0"/>
              <w:adjustRightInd w:val="0"/>
              <w:spacing w:line="240" w:lineRule="auto"/>
              <w:textAlignment w:val="baseline"/>
              <w:rPr>
                <w:i/>
              </w:rPr>
            </w:pPr>
            <w:r>
              <w:rPr>
                <w:i/>
              </w:rPr>
              <w:t>Jana Valant</w:t>
            </w:r>
          </w:p>
        </w:tc>
      </w:tr>
      <w:tr w:rsidR="00227AA1" w:rsidRPr="00227AA1" w14:paraId="3B10A3F9" w14:textId="77777777" w:rsidTr="002E7EFB">
        <w:tc>
          <w:tcPr>
            <w:tcW w:w="1418" w:type="dxa"/>
          </w:tcPr>
          <w:p w14:paraId="1158D001" w14:textId="77777777" w:rsidR="00227AA1" w:rsidRPr="00227AA1" w:rsidRDefault="00227AA1" w:rsidP="00227AA1">
            <w:pPr>
              <w:overflowPunct w:val="0"/>
              <w:autoSpaceDE w:val="0"/>
              <w:autoSpaceDN w:val="0"/>
              <w:adjustRightInd w:val="0"/>
              <w:spacing w:line="240" w:lineRule="auto"/>
              <w:textAlignment w:val="baseline"/>
              <w:rPr>
                <w:i/>
              </w:rPr>
            </w:pPr>
            <w:r>
              <w:rPr>
                <w:i/>
              </w:rPr>
              <w:t>Tel.</w:t>
            </w:r>
          </w:p>
        </w:tc>
        <w:tc>
          <w:tcPr>
            <w:tcW w:w="5670" w:type="dxa"/>
          </w:tcPr>
          <w:p w14:paraId="173082A5" w14:textId="52E4D874" w:rsidR="00227AA1" w:rsidRPr="00227AA1" w:rsidRDefault="00227AA1" w:rsidP="00227AA1">
            <w:pPr>
              <w:overflowPunct w:val="0"/>
              <w:autoSpaceDE w:val="0"/>
              <w:autoSpaceDN w:val="0"/>
              <w:adjustRightInd w:val="0"/>
              <w:spacing w:line="240" w:lineRule="auto"/>
              <w:textAlignment w:val="baseline"/>
              <w:rPr>
                <w:i/>
              </w:rPr>
            </w:pPr>
            <w:r>
              <w:rPr>
                <w:i/>
              </w:rPr>
              <w:t>+32 25468924</w:t>
            </w:r>
          </w:p>
        </w:tc>
      </w:tr>
      <w:tr w:rsidR="00227AA1" w:rsidRPr="00227AA1" w14:paraId="06425715" w14:textId="77777777" w:rsidTr="002E7EFB">
        <w:tc>
          <w:tcPr>
            <w:tcW w:w="1418" w:type="dxa"/>
          </w:tcPr>
          <w:p w14:paraId="086F4B7F" w14:textId="3050AF2F" w:rsidR="00227AA1" w:rsidRPr="00227AA1" w:rsidRDefault="00336295" w:rsidP="00227AA1">
            <w:pPr>
              <w:overflowPunct w:val="0"/>
              <w:autoSpaceDE w:val="0"/>
              <w:autoSpaceDN w:val="0"/>
              <w:adjustRightInd w:val="0"/>
              <w:spacing w:line="240" w:lineRule="auto"/>
              <w:textAlignment w:val="baseline"/>
              <w:rPr>
                <w:i/>
              </w:rPr>
            </w:pPr>
            <w:r>
              <w:rPr>
                <w:i/>
              </w:rPr>
              <w:t>E-mail</w:t>
            </w:r>
          </w:p>
        </w:tc>
        <w:tc>
          <w:tcPr>
            <w:tcW w:w="5670" w:type="dxa"/>
          </w:tcPr>
          <w:p w14:paraId="69C6AF5C" w14:textId="007EFB7A" w:rsidR="00227AA1" w:rsidRPr="00227AA1" w:rsidRDefault="00E23721" w:rsidP="00227AA1">
            <w:pPr>
              <w:overflowPunct w:val="0"/>
              <w:autoSpaceDE w:val="0"/>
              <w:autoSpaceDN w:val="0"/>
              <w:adjustRightInd w:val="0"/>
              <w:spacing w:line="240" w:lineRule="auto"/>
              <w:textAlignment w:val="baseline"/>
              <w:rPr>
                <w:i/>
              </w:rPr>
            </w:pPr>
            <w:hyperlink r:id="rId56" w:history="1">
              <w:r>
                <w:rPr>
                  <w:i/>
                  <w:color w:val="0000FF"/>
                  <w:u w:val="single"/>
                </w:rPr>
                <w:t>Jana.Valant@eesc.europa.eu</w:t>
              </w:r>
            </w:hyperlink>
          </w:p>
        </w:tc>
      </w:tr>
    </w:tbl>
    <w:p w14:paraId="4982DE1E" w14:textId="77777777" w:rsidR="004D7AC0" w:rsidRDefault="004D7AC0" w:rsidP="001766B2">
      <w:pPr>
        <w:jc w:val="left"/>
      </w:pPr>
      <w:r>
        <w:br w:type="page"/>
      </w:r>
    </w:p>
    <w:p w14:paraId="4982DE1F" w14:textId="1B0F62B5" w:rsidR="004D7AC0" w:rsidRDefault="004D7AC0" w:rsidP="004C6742">
      <w:pPr>
        <w:pStyle w:val="Heading2"/>
      </w:pPr>
      <w:bookmarkStart w:id="18" w:name="_Toc70322234"/>
      <w:bookmarkStart w:id="19" w:name="_Toc75527084"/>
      <w:bookmarkStart w:id="20" w:name="_Toc230351243"/>
      <w:r>
        <w:lastRenderedPageBreak/>
        <w:t>LANDBOUW, PLATTELANDSONTWIKKELING EN MILIEU</w:t>
      </w:r>
      <w:bookmarkEnd w:id="18"/>
      <w:bookmarkEnd w:id="19"/>
      <w:bookmarkEnd w:id="20"/>
    </w:p>
    <w:p w14:paraId="4982DE20" w14:textId="77777777" w:rsidR="004D7AC0" w:rsidRDefault="004D7AC0" w:rsidP="001766B2"/>
    <w:p w14:paraId="38C8A97D" w14:textId="614BF7AC" w:rsidR="00341FC2" w:rsidRPr="004C6742" w:rsidRDefault="00341FC2" w:rsidP="004C6742">
      <w:pPr>
        <w:widowControl w:val="0"/>
        <w:numPr>
          <w:ilvl w:val="0"/>
          <w:numId w:val="4"/>
        </w:numPr>
        <w:overflowPunct w:val="0"/>
        <w:autoSpaceDE w:val="0"/>
        <w:autoSpaceDN w:val="0"/>
        <w:adjustRightInd w:val="0"/>
        <w:ind w:hanging="567"/>
        <w:textAlignment w:val="baseline"/>
        <w:rPr>
          <w:b/>
        </w:rPr>
      </w:pPr>
      <w:hyperlink r:id="rId57" w:history="1">
        <w:r>
          <w:rPr>
            <w:b/>
            <w:i/>
            <w:color w:val="0000FF"/>
            <w:sz w:val="28"/>
            <w:u w:val="single"/>
          </w:rPr>
          <w:t>Een alomvattende strategie voor op de natuur gebaseerde biologisch afbreekbare materialen om circulariteit en hulpbronnenefficiëntie te bevorderen, de agrovoedingssector te versterken en de bio-economie van de EU op te schalen</w:t>
        </w:r>
      </w:hyperlink>
    </w:p>
    <w:p w14:paraId="4760649F" w14:textId="77777777" w:rsidR="00BD7679" w:rsidRPr="00341FC2" w:rsidRDefault="00BD7679" w:rsidP="004C6742">
      <w:pPr>
        <w:widowControl w:val="0"/>
        <w:overflowPunct w:val="0"/>
        <w:autoSpaceDE w:val="0"/>
        <w:autoSpaceDN w:val="0"/>
        <w:adjustRightInd w:val="0"/>
        <w:ind w:left="284"/>
        <w:textAlignment w:val="baseline"/>
        <w:rPr>
          <w:b/>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140"/>
      </w:tblGrid>
      <w:tr w:rsidR="00341FC2" w:rsidRPr="00341FC2" w14:paraId="11BFC935" w14:textId="77777777" w:rsidTr="002E7EFB">
        <w:tc>
          <w:tcPr>
            <w:tcW w:w="1077" w:type="pct"/>
          </w:tcPr>
          <w:p w14:paraId="051AE187"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Pr>
                <w:b/>
              </w:rPr>
              <w:t>Rapporteur</w:t>
            </w:r>
          </w:p>
        </w:tc>
        <w:tc>
          <w:tcPr>
            <w:tcW w:w="3923" w:type="pct"/>
          </w:tcPr>
          <w:p w14:paraId="6A31ADA0" w14:textId="6038B615" w:rsidR="00341FC2" w:rsidRDefault="00341FC2" w:rsidP="00341FC2">
            <w:pPr>
              <w:tabs>
                <w:tab w:val="center" w:pos="284"/>
              </w:tabs>
              <w:overflowPunct w:val="0"/>
              <w:autoSpaceDE w:val="0"/>
              <w:autoSpaceDN w:val="0"/>
              <w:adjustRightInd w:val="0"/>
              <w:ind w:left="266" w:right="-3091" w:hanging="266"/>
              <w:textAlignment w:val="baseline"/>
            </w:pPr>
            <w:r>
              <w:t xml:space="preserve">Stoyan TCHOUKANOV (groep Maatschappelijke Organisaties – BG) </w:t>
            </w:r>
          </w:p>
          <w:p w14:paraId="734AA599" w14:textId="77777777" w:rsidR="00840C59" w:rsidRPr="00341FC2" w:rsidRDefault="00840C59" w:rsidP="00341FC2">
            <w:pPr>
              <w:tabs>
                <w:tab w:val="center" w:pos="284"/>
              </w:tabs>
              <w:overflowPunct w:val="0"/>
              <w:autoSpaceDE w:val="0"/>
              <w:autoSpaceDN w:val="0"/>
              <w:adjustRightInd w:val="0"/>
              <w:ind w:left="266" w:right="-3091" w:hanging="266"/>
              <w:textAlignment w:val="baseline"/>
            </w:pPr>
          </w:p>
        </w:tc>
      </w:tr>
      <w:tr w:rsidR="00341FC2" w:rsidRPr="00341FC2" w14:paraId="5910CD05" w14:textId="77777777" w:rsidTr="002E7EFB">
        <w:tc>
          <w:tcPr>
            <w:tcW w:w="1077" w:type="pct"/>
          </w:tcPr>
          <w:p w14:paraId="0596BC04"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Pr>
                <w:b/>
              </w:rPr>
              <w:t>Referentiedocumenten</w:t>
            </w:r>
          </w:p>
        </w:tc>
        <w:tc>
          <w:tcPr>
            <w:tcW w:w="3923" w:type="pct"/>
          </w:tcPr>
          <w:p w14:paraId="54454E7C" w14:textId="3611E015" w:rsidR="00516EEE" w:rsidRDefault="00516EEE" w:rsidP="00341FC2">
            <w:pPr>
              <w:tabs>
                <w:tab w:val="center" w:pos="284"/>
              </w:tabs>
              <w:overflowPunct w:val="0"/>
              <w:autoSpaceDE w:val="0"/>
              <w:autoSpaceDN w:val="0"/>
              <w:adjustRightInd w:val="0"/>
              <w:ind w:left="266" w:right="-3091" w:hanging="266"/>
              <w:textAlignment w:val="baseline"/>
            </w:pPr>
            <w:r>
              <w:t>Initiatiefadvies</w:t>
            </w:r>
          </w:p>
          <w:p w14:paraId="02B79D0E" w14:textId="0206A71A" w:rsidR="00341FC2" w:rsidRPr="00341FC2" w:rsidRDefault="00341FC2" w:rsidP="00341FC2">
            <w:pPr>
              <w:tabs>
                <w:tab w:val="center" w:pos="284"/>
              </w:tabs>
              <w:overflowPunct w:val="0"/>
              <w:autoSpaceDE w:val="0"/>
              <w:autoSpaceDN w:val="0"/>
              <w:adjustRightInd w:val="0"/>
              <w:ind w:left="266" w:right="-3091" w:hanging="266"/>
              <w:textAlignment w:val="baseline"/>
            </w:pPr>
            <w:r>
              <w:t>EESC-2025-04330-00-00-AC</w:t>
            </w:r>
          </w:p>
        </w:tc>
      </w:tr>
    </w:tbl>
    <w:p w14:paraId="3E17185C" w14:textId="77777777" w:rsidR="00C63006" w:rsidRPr="00341FC2" w:rsidRDefault="00C63006" w:rsidP="00341FC2">
      <w:pPr>
        <w:tabs>
          <w:tab w:val="center" w:pos="284"/>
        </w:tabs>
        <w:overflowPunct w:val="0"/>
        <w:autoSpaceDE w:val="0"/>
        <w:autoSpaceDN w:val="0"/>
        <w:adjustRightInd w:val="0"/>
        <w:ind w:left="266" w:hanging="266"/>
        <w:textAlignment w:val="baseline"/>
        <w:rPr>
          <w:b/>
          <w:lang w:val="en-GB"/>
        </w:rPr>
      </w:pPr>
    </w:p>
    <w:p w14:paraId="3CCC7A67"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rPr>
      </w:pPr>
      <w:r>
        <w:rPr>
          <w:b/>
        </w:rPr>
        <w:t>Hoofdpunten</w:t>
      </w:r>
    </w:p>
    <w:p w14:paraId="0B80A8BF"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lang w:val="en-GB"/>
        </w:rPr>
      </w:pPr>
    </w:p>
    <w:p w14:paraId="61D66D5E" w14:textId="77777777" w:rsidR="00341FC2" w:rsidRDefault="00341FC2" w:rsidP="00341FC2">
      <w:pPr>
        <w:overflowPunct w:val="0"/>
        <w:autoSpaceDE w:val="0"/>
        <w:autoSpaceDN w:val="0"/>
        <w:adjustRightInd w:val="0"/>
        <w:textAlignment w:val="baseline"/>
        <w:rPr>
          <w:bCs/>
          <w:iCs/>
        </w:rPr>
      </w:pPr>
      <w:r>
        <w:t>Het EESC:</w:t>
      </w:r>
    </w:p>
    <w:p w14:paraId="152BE433" w14:textId="77777777" w:rsidR="00C63006" w:rsidRPr="00341FC2" w:rsidRDefault="00C63006" w:rsidP="00341FC2">
      <w:pPr>
        <w:overflowPunct w:val="0"/>
        <w:autoSpaceDE w:val="0"/>
        <w:autoSpaceDN w:val="0"/>
        <w:adjustRightInd w:val="0"/>
        <w:textAlignment w:val="baseline"/>
        <w:rPr>
          <w:bCs/>
          <w:iCs/>
          <w:lang w:val="en-GB"/>
        </w:rPr>
      </w:pPr>
    </w:p>
    <w:p w14:paraId="7A2EA203"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1" w:name="_Toc228805432"/>
      <w:r>
        <w:t>is van mening dat de EU nu een uitgelezen kans heeft om haar transitie naar een circulaire bio-economie te versterken, waarin circulariteit, beperking van het gebruik van materialen tot binnen de grenzen van de planeet, duurzaam gebruik van biomassa en industrieel concurrentievermogen worden gecombineerd. Voortbouwend op de komende wetgeving op het gebied van circulaire economie en de geactualiseerde EU-strategie voor de bio-economie roept het Comité op tot een coherente en ambitieuze uitvoering die het politieke momentum vertaalt in concrete resultaten op het gebied van industriële en regionale ontwikkeling;</w:t>
      </w:r>
      <w:bookmarkEnd w:id="21"/>
    </w:p>
    <w:p w14:paraId="6A0A3863"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2" w:name="_Toc228805433"/>
      <w:r>
        <w:t>benadrukt dat voor een efficiënt gebruik van milieuhulpbronnen de afvalhiërarchie moet worden toegepast overeenkomstig de kaderrichtlijn afvalstoffen, op basis van een levenscyclusbenadering en het beste algemene milieuresultaat. Het is dan ook voorstander van een resultaatgerichte, technologieneutrale aanpak waarbij afvalpreventie, hergebruik en materiaalefficiëntie vooropstaan en zowel technische als biologische cycli door middel van gedifferentieerde circulaire trajecten erkend worden;</w:t>
      </w:r>
      <w:bookmarkEnd w:id="22"/>
    </w:p>
    <w:p w14:paraId="25220C00"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3" w:name="_Toc228805434"/>
      <w:r>
        <w:t>benadrukt dat materialen die zijn afgeleid van chemisch niet-gemodificeerde natuurlijke polymeren, die wettelijk zijn erkend als niet-kunststoffen in het kader van de richtlijn kunststoffen voor eenmalig gebruik en in overeenstemming zijn met Reach, kunnen bijdragen aan het voorkomen van verontreiniging, onder meer door het lekken van microplastics te verminderen. Hun rol moet worden beoordeeld in overeenstemming met de “één gezondheid”-benadering, waarbij de onderlinge verbanden tussen milieu-integriteit, veerkracht van ecosystemen en de gezondheid van mens en dier worden erkend;</w:t>
      </w:r>
      <w:bookmarkEnd w:id="23"/>
    </w:p>
    <w:p w14:paraId="26333444"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4" w:name="_Toc228805435"/>
      <w:r>
        <w:t>benadrukt het potentieel van dergelijke materialen om de plattelands- en kusteconomieën te versterken door de valorisatie van secundaire biomassa uit de landbouw en de mariene sector mogelijk te maken, lokale en regionale waardeketens te versterken, generatievernieuwing in de landbouw en visserij te ondersteunen en hoogwaardige banen te scheppen, en zo bij te dragen aan sociale cohesie. Het gebruik in levensmiddelen, diervoeders en bodembescherming moet prioriteit blijven krijgen, in die volgorde;</w:t>
      </w:r>
      <w:bookmarkEnd w:id="24"/>
    </w:p>
    <w:p w14:paraId="1568ED7F"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5" w:name="_Toc228805436"/>
      <w:r>
        <w:t xml:space="preserve">dringt aan op meer samenhang in de regelgeving voor alle product-, afval- en industriële wetgeving van de EU, zodat het wettelijk vastgestelde onderscheid tussen kunststoffen en ongewijzigde natuurlijke polymeren consequent in de praktijk wordt gebracht. De wetgeving inzake </w:t>
      </w:r>
      <w:r>
        <w:lastRenderedPageBreak/>
        <w:t>verpakkingen moet onbedoelde belemmeringen of feitelijke uitsluiting van de markt voorkomen, zowel technische als biologische circulariteit weerspiegelen en zorgen voor duidelijke, geharmoniseerde informatie voor consumenten en voor voorspelbaarheid voor marktdeelnemers en kleine ondernemingen;</w:t>
      </w:r>
      <w:bookmarkEnd w:id="25"/>
    </w:p>
    <w:p w14:paraId="756BDDFA"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6" w:name="_Toc228805437"/>
      <w:r>
        <w:t>benadrukt dat de uitvoering van de verordening betreffende verpakkingen en verpakkingsafval een prioriteit is, en waarschuwt dat verpakkingen van chemisch niet-gemodificeerde natuurlijke polymeren zouden kunnen worden uitgesloten als de regels inzake recyclebaarheid alleen technische recycling toestaan. Het verzoekt de Commissie derhalve om ervoor te zorgen dat bij de uitvoering van de verordening betreffende verpakkingen en verpakkingsafval wordt erkend dat deze polymeren geen kunststof zijn en dat biologische eindtrajecten zijn toegestaan wanneer dit het beste algemene milieuresultaat oplevert;</w:t>
      </w:r>
      <w:bookmarkEnd w:id="26"/>
    </w:p>
    <w:p w14:paraId="462FAC8B"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7" w:name="_Toc228805438"/>
      <w:r>
        <w:t>verzoekt de Commissie te zorgen voor gecoördineerde maatregelen op het gebied van milieu-, industrie- en landbouwbeleid, opdat duurzame materialen op grotere schaal geproduceerd worden, de industriële toepassing ervan vergemakkelijkt wordt, regionale waardeketens worden versterkt en het mondiale concurrentievermogen van Europa op het gebied van duurzame materiaalinnovatie wordt gewaarborgd. Tegelijkertijd moeten particuliere investeringen en de opschaling van innovatieve oplossingen worden ondersteund.</w:t>
      </w:r>
      <w:bookmarkEnd w:id="27"/>
    </w:p>
    <w:p w14:paraId="2DFB198D" w14:textId="77777777" w:rsidR="00341FC2" w:rsidRPr="00341FC2" w:rsidRDefault="00341FC2" w:rsidP="00341FC2">
      <w:pPr>
        <w:overflowPunct w:val="0"/>
        <w:autoSpaceDE w:val="0"/>
        <w:autoSpaceDN w:val="0"/>
        <w:adjustRightInd w:val="0"/>
        <w:textAlignment w:val="baseline"/>
        <w:rPr>
          <w:szCs w:val="20"/>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41FC2" w:rsidRPr="00341FC2" w14:paraId="7F4411DB" w14:textId="77777777" w:rsidTr="002E7EFB">
        <w:tc>
          <w:tcPr>
            <w:tcW w:w="1077" w:type="pct"/>
          </w:tcPr>
          <w:p w14:paraId="151013E3" w14:textId="77777777" w:rsidR="00341FC2" w:rsidRPr="00341FC2" w:rsidRDefault="00341FC2" w:rsidP="00341FC2">
            <w:pPr>
              <w:overflowPunct w:val="0"/>
              <w:autoSpaceDE w:val="0"/>
              <w:autoSpaceDN w:val="0"/>
              <w:adjustRightInd w:val="0"/>
              <w:textAlignment w:val="baseline"/>
              <w:rPr>
                <w:i/>
              </w:rPr>
            </w:pPr>
            <w:r>
              <w:rPr>
                <w:b/>
                <w:i/>
              </w:rPr>
              <w:t>Contactpersoon</w:t>
            </w:r>
          </w:p>
        </w:tc>
        <w:tc>
          <w:tcPr>
            <w:tcW w:w="3923" w:type="pct"/>
          </w:tcPr>
          <w:p w14:paraId="24D7A0E4" w14:textId="1AB2E33E" w:rsidR="00341FC2" w:rsidRPr="00341FC2" w:rsidRDefault="00341FC2" w:rsidP="00341FC2">
            <w:pPr>
              <w:overflowPunct w:val="0"/>
              <w:autoSpaceDE w:val="0"/>
              <w:autoSpaceDN w:val="0"/>
              <w:adjustRightInd w:val="0"/>
              <w:textAlignment w:val="baseline"/>
              <w:rPr>
                <w:i/>
              </w:rPr>
            </w:pPr>
            <w:r>
              <w:rPr>
                <w:i/>
              </w:rPr>
              <w:t>Caroline Verhelst</w:t>
            </w:r>
          </w:p>
        </w:tc>
      </w:tr>
      <w:tr w:rsidR="00341FC2" w:rsidRPr="00341FC2" w14:paraId="1048C7FF" w14:textId="77777777" w:rsidTr="002E7EFB">
        <w:tc>
          <w:tcPr>
            <w:tcW w:w="1077" w:type="pct"/>
          </w:tcPr>
          <w:p w14:paraId="716E0640" w14:textId="77777777" w:rsidR="00341FC2" w:rsidRPr="00341FC2" w:rsidRDefault="00341FC2" w:rsidP="00341FC2">
            <w:pPr>
              <w:overflowPunct w:val="0"/>
              <w:autoSpaceDE w:val="0"/>
              <w:autoSpaceDN w:val="0"/>
              <w:adjustRightInd w:val="0"/>
              <w:textAlignment w:val="baseline"/>
              <w:rPr>
                <w:i/>
              </w:rPr>
            </w:pPr>
            <w:r>
              <w:rPr>
                <w:i/>
              </w:rPr>
              <w:t>Tel.</w:t>
            </w:r>
          </w:p>
        </w:tc>
        <w:tc>
          <w:tcPr>
            <w:tcW w:w="3923" w:type="pct"/>
          </w:tcPr>
          <w:p w14:paraId="24F2C3A8" w14:textId="77777777" w:rsidR="00341FC2" w:rsidRPr="00341FC2" w:rsidRDefault="00341FC2" w:rsidP="00341FC2">
            <w:pPr>
              <w:overflowPunct w:val="0"/>
              <w:autoSpaceDE w:val="0"/>
              <w:autoSpaceDN w:val="0"/>
              <w:adjustRightInd w:val="0"/>
              <w:textAlignment w:val="baseline"/>
              <w:rPr>
                <w:i/>
              </w:rPr>
            </w:pPr>
            <w:r>
              <w:rPr>
                <w:i/>
              </w:rPr>
              <w:t>+32 25469497</w:t>
            </w:r>
          </w:p>
        </w:tc>
      </w:tr>
      <w:tr w:rsidR="00341FC2" w:rsidRPr="00341FC2" w14:paraId="24B14DC0" w14:textId="77777777" w:rsidTr="002E7EFB">
        <w:tc>
          <w:tcPr>
            <w:tcW w:w="1077" w:type="pct"/>
          </w:tcPr>
          <w:p w14:paraId="532D2B72" w14:textId="77777777" w:rsidR="00341FC2" w:rsidRPr="00341FC2" w:rsidRDefault="00341FC2" w:rsidP="00341FC2">
            <w:pPr>
              <w:overflowPunct w:val="0"/>
              <w:autoSpaceDE w:val="0"/>
              <w:autoSpaceDN w:val="0"/>
              <w:adjustRightInd w:val="0"/>
              <w:textAlignment w:val="baseline"/>
              <w:rPr>
                <w:i/>
              </w:rPr>
            </w:pPr>
            <w:r>
              <w:rPr>
                <w:i/>
              </w:rPr>
              <w:t>E-mail</w:t>
            </w:r>
          </w:p>
        </w:tc>
        <w:tc>
          <w:tcPr>
            <w:tcW w:w="3923" w:type="pct"/>
          </w:tcPr>
          <w:p w14:paraId="06E89BE5" w14:textId="7A5988DC" w:rsidR="00341FC2" w:rsidRPr="00341FC2" w:rsidRDefault="00E23721" w:rsidP="00341FC2">
            <w:pPr>
              <w:overflowPunct w:val="0"/>
              <w:autoSpaceDE w:val="0"/>
              <w:autoSpaceDN w:val="0"/>
              <w:adjustRightInd w:val="0"/>
              <w:textAlignment w:val="baseline"/>
              <w:rPr>
                <w:i/>
              </w:rPr>
            </w:pPr>
            <w:hyperlink r:id="rId58" w:history="1">
              <w:r>
                <w:rPr>
                  <w:i/>
                  <w:color w:val="0000FF"/>
                  <w:u w:val="single"/>
                </w:rPr>
                <w:t>Caroline.Verhelst@eesc.europa.eu</w:t>
              </w:r>
            </w:hyperlink>
            <w:r>
              <w:rPr>
                <w:i/>
              </w:rPr>
              <w:t xml:space="preserve"> </w:t>
            </w:r>
          </w:p>
        </w:tc>
      </w:tr>
    </w:tbl>
    <w:p w14:paraId="0AB0D1D5" w14:textId="5E180140" w:rsidR="00341FC2" w:rsidRDefault="00341FC2" w:rsidP="001766B2">
      <w:pPr>
        <w:jc w:val="left"/>
      </w:pPr>
    </w:p>
    <w:p w14:paraId="59F4D581" w14:textId="77777777" w:rsidR="00341FC2" w:rsidRDefault="00341FC2">
      <w:pPr>
        <w:spacing w:after="160" w:line="259" w:lineRule="auto"/>
        <w:jc w:val="left"/>
      </w:pPr>
      <w:r>
        <w:br w:type="page"/>
      </w:r>
    </w:p>
    <w:p w14:paraId="62D6DD15" w14:textId="6E1AAB06" w:rsidR="000C5A16" w:rsidRPr="004C6742" w:rsidRDefault="000C5A16" w:rsidP="00C716C1">
      <w:pPr>
        <w:numPr>
          <w:ilvl w:val="0"/>
          <w:numId w:val="17"/>
        </w:numPr>
        <w:overflowPunct w:val="0"/>
        <w:autoSpaceDE w:val="0"/>
        <w:autoSpaceDN w:val="0"/>
        <w:adjustRightInd w:val="0"/>
        <w:spacing w:after="200" w:line="276" w:lineRule="auto"/>
        <w:ind w:left="567" w:hanging="567"/>
        <w:contextualSpacing/>
        <w:textAlignment w:val="baseline"/>
        <w:rPr>
          <w:rFonts w:ascii="Calibri" w:hAnsi="Calibri"/>
          <w:b/>
          <w:bCs/>
          <w:i/>
          <w:iCs/>
          <w:sz w:val="28"/>
          <w:szCs w:val="28"/>
        </w:rPr>
      </w:pPr>
      <w:hyperlink r:id="rId59" w:history="1">
        <w:r>
          <w:rPr>
            <w:b/>
            <w:i/>
            <w:color w:val="0000FF"/>
            <w:sz w:val="28"/>
            <w:u w:val="single"/>
          </w:rPr>
          <w:t>EU-strategie voor de bio-economie — naar een circulaire, regeneratieve en concurrerende bio-economie</w:t>
        </w:r>
      </w:hyperlink>
    </w:p>
    <w:p w14:paraId="67EC52A8" w14:textId="77777777" w:rsidR="000C5A16" w:rsidRPr="00AE60E9" w:rsidRDefault="000C5A16" w:rsidP="000C5A16">
      <w:pPr>
        <w:widowControl w:val="0"/>
        <w:overflowPunct w:val="0"/>
        <w:autoSpaceDE w:val="0"/>
        <w:autoSpaceDN w:val="0"/>
        <w:adjustRightInd w:val="0"/>
        <w:ind w:left="567"/>
        <w:textAlignment w:val="baseline"/>
        <w:rPr>
          <w:bCs/>
          <w:lang w:val="en-GB"/>
        </w:rPr>
      </w:pPr>
    </w:p>
    <w:tbl>
      <w:tblPr>
        <w:tblStyle w:val="TableGrid2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173"/>
      </w:tblGrid>
      <w:tr w:rsidR="000C5A16" w:rsidRPr="000C5A16" w14:paraId="11DB0199" w14:textId="77777777" w:rsidTr="002E7EFB">
        <w:tc>
          <w:tcPr>
            <w:tcW w:w="1701" w:type="dxa"/>
          </w:tcPr>
          <w:p w14:paraId="702BE3AD" w14:textId="77777777" w:rsidR="000C5A16" w:rsidRPr="000C5A16" w:rsidRDefault="000C5A16" w:rsidP="000C5A16">
            <w:pPr>
              <w:tabs>
                <w:tab w:val="center" w:pos="284"/>
              </w:tabs>
              <w:overflowPunct w:val="0"/>
              <w:autoSpaceDE w:val="0"/>
              <w:autoSpaceDN w:val="0"/>
              <w:adjustRightInd w:val="0"/>
              <w:ind w:left="266" w:hanging="266"/>
              <w:textAlignment w:val="baseline"/>
              <w:rPr>
                <w:b/>
              </w:rPr>
            </w:pPr>
            <w:r>
              <w:rPr>
                <w:b/>
              </w:rPr>
              <w:t>Rapporteur</w:t>
            </w:r>
          </w:p>
        </w:tc>
        <w:tc>
          <w:tcPr>
            <w:tcW w:w="7621" w:type="dxa"/>
          </w:tcPr>
          <w:p w14:paraId="5ECA4C39" w14:textId="528DF1F9" w:rsidR="000C5A16" w:rsidRPr="000C5A16" w:rsidRDefault="000C5A16" w:rsidP="000C5A16">
            <w:pPr>
              <w:tabs>
                <w:tab w:val="center" w:pos="284"/>
              </w:tabs>
              <w:overflowPunct w:val="0"/>
              <w:autoSpaceDE w:val="0"/>
              <w:autoSpaceDN w:val="0"/>
              <w:adjustRightInd w:val="0"/>
              <w:ind w:left="266" w:hanging="266"/>
              <w:textAlignment w:val="baseline"/>
              <w:rPr>
                <w:b/>
                <w:bCs/>
                <w:spacing w:val="-4"/>
              </w:rPr>
            </w:pPr>
            <w:r>
              <w:t>Arnaud SCHWARTZ (groep Maatschappelijke Organisaties – FR)</w:t>
            </w:r>
          </w:p>
        </w:tc>
      </w:tr>
      <w:tr w:rsidR="000C5A16" w:rsidRPr="000C5A16" w14:paraId="7972012C" w14:textId="77777777" w:rsidTr="002E7EFB">
        <w:tc>
          <w:tcPr>
            <w:tcW w:w="1701" w:type="dxa"/>
          </w:tcPr>
          <w:p w14:paraId="19D90AB9" w14:textId="77777777" w:rsidR="000C5A16" w:rsidRPr="000C5A16" w:rsidRDefault="000C5A16" w:rsidP="000C5A16">
            <w:pPr>
              <w:tabs>
                <w:tab w:val="center" w:pos="284"/>
              </w:tabs>
              <w:overflowPunct w:val="0"/>
              <w:autoSpaceDE w:val="0"/>
              <w:autoSpaceDN w:val="0"/>
              <w:adjustRightInd w:val="0"/>
              <w:ind w:left="266" w:hanging="266"/>
              <w:textAlignment w:val="baseline"/>
              <w:rPr>
                <w:b/>
                <w:sz w:val="16"/>
                <w:szCs w:val="16"/>
              </w:rPr>
            </w:pPr>
          </w:p>
        </w:tc>
        <w:tc>
          <w:tcPr>
            <w:tcW w:w="7621" w:type="dxa"/>
          </w:tcPr>
          <w:p w14:paraId="367D2144" w14:textId="77777777" w:rsidR="000C5A16" w:rsidRPr="000C5A16" w:rsidRDefault="000C5A16" w:rsidP="000C5A16">
            <w:pPr>
              <w:tabs>
                <w:tab w:val="center" w:pos="284"/>
              </w:tabs>
              <w:overflowPunct w:val="0"/>
              <w:autoSpaceDE w:val="0"/>
              <w:autoSpaceDN w:val="0"/>
              <w:adjustRightInd w:val="0"/>
              <w:ind w:left="266" w:hanging="266"/>
              <w:textAlignment w:val="baseline"/>
              <w:rPr>
                <w:b/>
                <w:bCs/>
                <w:sz w:val="16"/>
                <w:szCs w:val="16"/>
                <w:lang w:val="en-GB"/>
              </w:rPr>
            </w:pPr>
          </w:p>
        </w:tc>
      </w:tr>
      <w:tr w:rsidR="000C5A16" w:rsidRPr="000C5A16" w14:paraId="21344BB5" w14:textId="77777777" w:rsidTr="002E7EFB">
        <w:tc>
          <w:tcPr>
            <w:tcW w:w="1701" w:type="dxa"/>
          </w:tcPr>
          <w:p w14:paraId="25A3DC2A" w14:textId="77777777" w:rsidR="000C5A16" w:rsidRPr="000C5A16" w:rsidRDefault="000C5A16" w:rsidP="000C5A16">
            <w:pPr>
              <w:tabs>
                <w:tab w:val="center" w:pos="284"/>
              </w:tabs>
              <w:overflowPunct w:val="0"/>
              <w:autoSpaceDE w:val="0"/>
              <w:autoSpaceDN w:val="0"/>
              <w:adjustRightInd w:val="0"/>
              <w:ind w:left="266" w:hanging="266"/>
              <w:textAlignment w:val="baseline"/>
              <w:rPr>
                <w:b/>
              </w:rPr>
            </w:pPr>
            <w:r>
              <w:rPr>
                <w:b/>
              </w:rPr>
              <w:t>Referentiedocumenten</w:t>
            </w:r>
          </w:p>
        </w:tc>
        <w:tc>
          <w:tcPr>
            <w:tcW w:w="7621" w:type="dxa"/>
          </w:tcPr>
          <w:p w14:paraId="1A41EF62" w14:textId="77777777" w:rsidR="000C5A16" w:rsidRPr="000C5A16" w:rsidRDefault="000C5A16" w:rsidP="000C5A16">
            <w:pPr>
              <w:tabs>
                <w:tab w:val="center" w:pos="284"/>
              </w:tabs>
              <w:overflowPunct w:val="0"/>
              <w:autoSpaceDE w:val="0"/>
              <w:autoSpaceDN w:val="0"/>
              <w:adjustRightInd w:val="0"/>
              <w:ind w:left="266" w:hanging="266"/>
              <w:textAlignment w:val="baseline"/>
            </w:pPr>
            <w:r>
              <w:t>COM(2025) 960 final</w:t>
            </w:r>
          </w:p>
          <w:p w14:paraId="6E8937F3" w14:textId="72C7BF98" w:rsidR="000C5A16" w:rsidRPr="000C5A16" w:rsidRDefault="000C5A16" w:rsidP="000C5A16">
            <w:pPr>
              <w:tabs>
                <w:tab w:val="center" w:pos="284"/>
              </w:tabs>
              <w:overflowPunct w:val="0"/>
              <w:autoSpaceDE w:val="0"/>
              <w:autoSpaceDN w:val="0"/>
              <w:adjustRightInd w:val="0"/>
              <w:ind w:left="266" w:hanging="266"/>
              <w:textAlignment w:val="baseline"/>
            </w:pPr>
            <w:r>
              <w:t>EESC-2025-03968-00-00-AC</w:t>
            </w:r>
          </w:p>
        </w:tc>
      </w:tr>
    </w:tbl>
    <w:p w14:paraId="06FD5121" w14:textId="624A6349" w:rsidR="0017309D" w:rsidRPr="0017309D" w:rsidRDefault="0017309D" w:rsidP="0017309D">
      <w:pPr>
        <w:overflowPunct w:val="0"/>
        <w:autoSpaceDE w:val="0"/>
        <w:autoSpaceDN w:val="0"/>
        <w:adjustRightInd w:val="0"/>
        <w:spacing w:line="276" w:lineRule="auto"/>
        <w:textAlignment w:val="baseline"/>
        <w:outlineLvl w:val="1"/>
        <w:rPr>
          <w:szCs w:val="20"/>
          <w:lang w:val="en-GB"/>
        </w:rPr>
      </w:pPr>
    </w:p>
    <w:p w14:paraId="1F87D72F" w14:textId="77777777" w:rsidR="0039093C" w:rsidRPr="0039093C" w:rsidRDefault="0039093C" w:rsidP="0039093C">
      <w:pPr>
        <w:overflowPunct w:val="0"/>
        <w:autoSpaceDE w:val="0"/>
        <w:autoSpaceDN w:val="0"/>
        <w:adjustRightInd w:val="0"/>
        <w:spacing w:line="276" w:lineRule="auto"/>
        <w:textAlignment w:val="baseline"/>
        <w:outlineLvl w:val="1"/>
        <w:rPr>
          <w:b/>
          <w:szCs w:val="20"/>
        </w:rPr>
      </w:pPr>
      <w:r>
        <w:rPr>
          <w:b/>
        </w:rPr>
        <w:t>Hoofdpunten</w:t>
      </w:r>
    </w:p>
    <w:p w14:paraId="3956F520" w14:textId="77777777" w:rsidR="0039093C" w:rsidRPr="0039093C" w:rsidRDefault="0039093C" w:rsidP="0039093C">
      <w:pPr>
        <w:overflowPunct w:val="0"/>
        <w:autoSpaceDE w:val="0"/>
        <w:autoSpaceDN w:val="0"/>
        <w:adjustRightInd w:val="0"/>
        <w:spacing w:line="276" w:lineRule="auto"/>
        <w:textAlignment w:val="baseline"/>
        <w:outlineLvl w:val="1"/>
        <w:rPr>
          <w:bCs/>
          <w:szCs w:val="20"/>
          <w:lang w:val="en-GB"/>
        </w:rPr>
      </w:pPr>
    </w:p>
    <w:p w14:paraId="5806984D" w14:textId="77777777" w:rsidR="0039093C" w:rsidRDefault="0039093C" w:rsidP="0039093C">
      <w:pPr>
        <w:overflowPunct w:val="0"/>
        <w:autoSpaceDE w:val="0"/>
        <w:autoSpaceDN w:val="0"/>
        <w:adjustRightInd w:val="0"/>
        <w:spacing w:line="276" w:lineRule="auto"/>
        <w:textAlignment w:val="baseline"/>
        <w:outlineLvl w:val="1"/>
        <w:rPr>
          <w:bCs/>
          <w:iCs/>
          <w:szCs w:val="20"/>
        </w:rPr>
      </w:pPr>
      <w:r>
        <w:t>Het EESC:</w:t>
      </w:r>
    </w:p>
    <w:p w14:paraId="555AEE0E" w14:textId="77777777" w:rsidR="00FD6A81" w:rsidRPr="0039093C" w:rsidRDefault="00FD6A81" w:rsidP="0039093C">
      <w:pPr>
        <w:overflowPunct w:val="0"/>
        <w:autoSpaceDE w:val="0"/>
        <w:autoSpaceDN w:val="0"/>
        <w:adjustRightInd w:val="0"/>
        <w:spacing w:line="276" w:lineRule="auto"/>
        <w:textAlignment w:val="baseline"/>
        <w:outlineLvl w:val="1"/>
        <w:rPr>
          <w:bCs/>
          <w:iCs/>
          <w:szCs w:val="20"/>
          <w:lang w:val="en-GB"/>
        </w:rPr>
      </w:pPr>
    </w:p>
    <w:p w14:paraId="326B8BDD" w14:textId="77777777" w:rsidR="00944198" w:rsidRPr="00944198" w:rsidRDefault="00944198" w:rsidP="004C6742">
      <w:pPr>
        <w:numPr>
          <w:ilvl w:val="1"/>
          <w:numId w:val="72"/>
        </w:numPr>
        <w:overflowPunct w:val="0"/>
        <w:autoSpaceDE w:val="0"/>
        <w:autoSpaceDN w:val="0"/>
        <w:adjustRightInd w:val="0"/>
        <w:ind w:left="284" w:hanging="284"/>
        <w:textAlignment w:val="baseline"/>
        <w:outlineLvl w:val="1"/>
        <w:rPr>
          <w:szCs w:val="20"/>
        </w:rPr>
      </w:pPr>
      <w:r>
        <w:t>benadrukt dat Europa een continent is dat over beperkte hulpbronnen beschikt en voor onder meer fossiele brandstoffen en grondstoffen sterk afhankelijk is van invoer, in een steeds gespannener geopolitieke context. Tegelijkertijd is de overexploitatie van natuurlijke hulpbronnen een van de belangrijkste oorzaken van het aanhoudende verlies aan biodiversiteit</w:t>
      </w:r>
      <w:r w:rsidRPr="00944198">
        <w:rPr>
          <w:sz w:val="24"/>
          <w:szCs w:val="20"/>
          <w:vertAlign w:val="superscript"/>
          <w:lang w:val="en-GB"/>
        </w:rPr>
        <w:footnoteReference w:id="1"/>
      </w:r>
      <w:r>
        <w:t>. In overeenstemming met de duurzameontwikkelingsdoelstellingen moet worden gezorgd voor samenhang tussen de klimaat- en biodiversiteitsdoelstellingen van de EU en de circulaire economie. Een robuuste en welomschreven strategie voor de</w:t>
      </w:r>
      <w:r>
        <w:rPr>
          <w:b/>
        </w:rPr>
        <w:t xml:space="preserve"> </w:t>
      </w:r>
      <w:r>
        <w:rPr>
          <w:b/>
          <w:bCs/>
        </w:rPr>
        <w:t>bio-economie zal de vorderingen</w:t>
      </w:r>
      <w:r>
        <w:t xml:space="preserve"> op het gebied van de </w:t>
      </w:r>
      <w:r>
        <w:rPr>
          <w:b/>
          <w:bCs/>
        </w:rPr>
        <w:t>circulaire economie aanvullen en zal, binnen de grenzen van de planeet, zorgen voor decarbonisatie, welzijn en concurrentievermogen op lange termijn</w:t>
      </w:r>
      <w:r>
        <w:t>;</w:t>
      </w:r>
    </w:p>
    <w:p w14:paraId="62E16178" w14:textId="77777777" w:rsidR="00944198" w:rsidRPr="00944198" w:rsidRDefault="00944198" w:rsidP="004C6742">
      <w:pPr>
        <w:numPr>
          <w:ilvl w:val="1"/>
          <w:numId w:val="72"/>
        </w:numPr>
        <w:overflowPunct w:val="0"/>
        <w:autoSpaceDE w:val="0"/>
        <w:autoSpaceDN w:val="0"/>
        <w:adjustRightInd w:val="0"/>
        <w:ind w:left="284" w:hanging="284"/>
        <w:textAlignment w:val="baseline"/>
        <w:outlineLvl w:val="1"/>
        <w:rPr>
          <w:szCs w:val="20"/>
        </w:rPr>
      </w:pPr>
      <w:r>
        <w:t xml:space="preserve">herinnert eraan dat de EU alleen een leidende rol in de wereld zal kunnen spelen als haar instellingen </w:t>
      </w:r>
      <w:r>
        <w:rPr>
          <w:b/>
          <w:bCs/>
        </w:rPr>
        <w:t>strikte beginselen en waarborgen vaststellen</w:t>
      </w:r>
      <w:r>
        <w:t xml:space="preserve"> met betrekking tot mogelijke inputs voor de bio-economie, of het nu gaat om primaire of secundaire biomassa uit landbouw, aquacultuur, bossen, natuur of gemeentelijk/industrieel afval. De EU-strategie voor de bio-economie moet gericht zijn op de groene transformatie van de economie, rekening houdend met sociale en milieuaspecten. Een duurzame en circulaire bio-economie zal de economie en het concurrentievermogen van de EU versterken, de afhankelijkheid van fossiele hulpbronnen verminderen, bijdragen tot de verwezenlijking van de klimaatdoelstellingen en nieuwe banen alsook sociale en milieuvoordelen creëren. De EU moet in haar leidende rol </w:t>
      </w:r>
      <w:r>
        <w:rPr>
          <w:b/>
          <w:bCs/>
        </w:rPr>
        <w:t>prioriteit geven aan hoogwaardige banen, met name in landelijke en afgelegen gebieden</w:t>
      </w:r>
      <w:r>
        <w:t xml:space="preserve">. Deze beginselen moeten kwantificeerbaar en afdwingbaar zijn en in de hele toeleveringsketen worden gemonitord, en moeten op gelijke wijze worden toegepast op Europese en ingevoerde grondstoffen. Een belangrijk punt in een mondiale context is dat </w:t>
      </w:r>
      <w:r>
        <w:rPr>
          <w:b/>
          <w:bCs/>
        </w:rPr>
        <w:t>iets gedaan moet worden aan de oneerlijke concurrentie van fossiele grondstoffen die te laag geprijsd zijn</w:t>
      </w:r>
      <w:r>
        <w:t xml:space="preserve"> omdat de aan winning, gebruik en uitputting verbonden externe kosten niet worden doorberekend (en omdat ze vaak gesubsidieerd worden).</w:t>
      </w:r>
    </w:p>
    <w:p w14:paraId="2628EFBA" w14:textId="77777777" w:rsidR="0039093C" w:rsidRPr="0039093C" w:rsidRDefault="0039093C" w:rsidP="00A162C2">
      <w:pPr>
        <w:overflowPunct w:val="0"/>
        <w:autoSpaceDE w:val="0"/>
        <w:autoSpaceDN w:val="0"/>
        <w:adjustRightInd w:val="0"/>
        <w:spacing w:line="276" w:lineRule="auto"/>
        <w:ind w:left="284" w:hanging="284"/>
        <w:textAlignment w:val="baseline"/>
        <w:outlineLvl w:val="1"/>
        <w:rPr>
          <w:szCs w:val="20"/>
          <w:lang w:val="en-G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7567"/>
      </w:tblGrid>
      <w:tr w:rsidR="0039093C" w:rsidRPr="0039093C" w14:paraId="15A4E0A1" w14:textId="77777777" w:rsidTr="00854068">
        <w:trPr>
          <w:trHeight w:val="300"/>
        </w:trPr>
        <w:tc>
          <w:tcPr>
            <w:tcW w:w="1755" w:type="dxa"/>
          </w:tcPr>
          <w:p w14:paraId="0B8186B8" w14:textId="77777777" w:rsidR="0039093C" w:rsidRPr="004C6742" w:rsidRDefault="0039093C" w:rsidP="004853F6">
            <w:pPr>
              <w:overflowPunct w:val="0"/>
              <w:autoSpaceDE w:val="0"/>
              <w:autoSpaceDN w:val="0"/>
              <w:adjustRightInd w:val="0"/>
              <w:spacing w:line="276" w:lineRule="auto"/>
              <w:textAlignment w:val="baseline"/>
              <w:outlineLvl w:val="1"/>
              <w:rPr>
                <w:i/>
                <w:iCs/>
                <w:sz w:val="20"/>
                <w:szCs w:val="20"/>
              </w:rPr>
            </w:pPr>
            <w:r>
              <w:rPr>
                <w:b/>
                <w:i/>
                <w:sz w:val="20"/>
              </w:rPr>
              <w:t>Contactpersoon</w:t>
            </w:r>
          </w:p>
        </w:tc>
        <w:tc>
          <w:tcPr>
            <w:tcW w:w="7567" w:type="dxa"/>
          </w:tcPr>
          <w:p w14:paraId="0319F3A6" w14:textId="11113606"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sz w:val="20"/>
              </w:rPr>
              <w:t>Anna Cameron</w:t>
            </w:r>
          </w:p>
        </w:tc>
      </w:tr>
      <w:tr w:rsidR="0039093C" w:rsidRPr="0039093C" w14:paraId="44DCA9C5" w14:textId="77777777" w:rsidTr="00854068">
        <w:trPr>
          <w:trHeight w:val="300"/>
        </w:trPr>
        <w:tc>
          <w:tcPr>
            <w:tcW w:w="1755" w:type="dxa"/>
          </w:tcPr>
          <w:p w14:paraId="714A323E" w14:textId="77777777"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i/>
                <w:sz w:val="20"/>
              </w:rPr>
              <w:t>Tel.</w:t>
            </w:r>
          </w:p>
        </w:tc>
        <w:tc>
          <w:tcPr>
            <w:tcW w:w="7567" w:type="dxa"/>
          </w:tcPr>
          <w:p w14:paraId="46765661" w14:textId="77777777" w:rsidR="0039093C" w:rsidRPr="004C6742" w:rsidRDefault="0039093C" w:rsidP="004853F6">
            <w:pPr>
              <w:overflowPunct w:val="0"/>
              <w:autoSpaceDE w:val="0"/>
              <w:autoSpaceDN w:val="0"/>
              <w:adjustRightInd w:val="0"/>
              <w:spacing w:line="276" w:lineRule="auto"/>
              <w:textAlignment w:val="baseline"/>
              <w:outlineLvl w:val="1"/>
              <w:rPr>
                <w:i/>
                <w:iCs/>
                <w:sz w:val="20"/>
                <w:szCs w:val="20"/>
              </w:rPr>
            </w:pPr>
            <w:r>
              <w:rPr>
                <w:i/>
                <w:sz w:val="20"/>
              </w:rPr>
              <w:t>+32 25468228</w:t>
            </w:r>
          </w:p>
        </w:tc>
      </w:tr>
      <w:tr w:rsidR="0039093C" w:rsidRPr="0039093C" w14:paraId="3E645883" w14:textId="77777777" w:rsidTr="00854068">
        <w:trPr>
          <w:trHeight w:val="300"/>
        </w:trPr>
        <w:tc>
          <w:tcPr>
            <w:tcW w:w="1755" w:type="dxa"/>
          </w:tcPr>
          <w:p w14:paraId="6069BEEF" w14:textId="77777777"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i/>
                <w:sz w:val="20"/>
              </w:rPr>
              <w:t>E-mail</w:t>
            </w:r>
          </w:p>
        </w:tc>
        <w:tc>
          <w:tcPr>
            <w:tcW w:w="7567" w:type="dxa"/>
          </w:tcPr>
          <w:p w14:paraId="53CEC4E5" w14:textId="355C0ADE" w:rsidR="0039093C" w:rsidRPr="004C6742" w:rsidRDefault="0039093C" w:rsidP="004853F6">
            <w:pPr>
              <w:overflowPunct w:val="0"/>
              <w:autoSpaceDE w:val="0"/>
              <w:autoSpaceDN w:val="0"/>
              <w:adjustRightInd w:val="0"/>
              <w:spacing w:line="276" w:lineRule="auto"/>
              <w:textAlignment w:val="baseline"/>
              <w:outlineLvl w:val="1"/>
              <w:rPr>
                <w:i/>
                <w:iCs/>
                <w:sz w:val="20"/>
                <w:szCs w:val="20"/>
                <w:u w:val="single"/>
              </w:rPr>
            </w:pPr>
            <w:hyperlink r:id="rId60" w:history="1">
              <w:r>
                <w:rPr>
                  <w:rStyle w:val="Hyperlink"/>
                  <w:i/>
                  <w:sz w:val="20"/>
                </w:rPr>
                <w:t>Anna.Cameron@eesc.europa.eu</w:t>
              </w:r>
            </w:hyperlink>
          </w:p>
        </w:tc>
      </w:tr>
    </w:tbl>
    <w:p w14:paraId="19C31E20" w14:textId="45F2D7D1" w:rsidR="007D7A17" w:rsidRDefault="007D7A17" w:rsidP="00360C1A">
      <w:pPr>
        <w:overflowPunct w:val="0"/>
        <w:autoSpaceDE w:val="0"/>
        <w:autoSpaceDN w:val="0"/>
        <w:adjustRightInd w:val="0"/>
        <w:spacing w:line="276" w:lineRule="auto"/>
        <w:textAlignment w:val="baseline"/>
        <w:outlineLvl w:val="1"/>
        <w:rPr>
          <w:szCs w:val="20"/>
          <w:lang w:val="en-GB"/>
        </w:rPr>
      </w:pPr>
    </w:p>
    <w:p w14:paraId="104E4E43" w14:textId="77777777" w:rsidR="007D7A17" w:rsidRDefault="007D7A17">
      <w:pPr>
        <w:spacing w:after="160" w:line="259" w:lineRule="auto"/>
        <w:jc w:val="left"/>
        <w:rPr>
          <w:szCs w:val="20"/>
        </w:rPr>
      </w:pPr>
      <w:r>
        <w:br w:type="page"/>
      </w:r>
    </w:p>
    <w:p w14:paraId="48D068B9" w14:textId="1FFD83FA" w:rsidR="00403683" w:rsidRPr="004C6742" w:rsidRDefault="00A067F3" w:rsidP="004C6742">
      <w:pPr>
        <w:widowControl w:val="0"/>
        <w:numPr>
          <w:ilvl w:val="0"/>
          <w:numId w:val="4"/>
        </w:numPr>
        <w:overflowPunct w:val="0"/>
        <w:autoSpaceDE w:val="0"/>
        <w:autoSpaceDN w:val="0"/>
        <w:adjustRightInd w:val="0"/>
        <w:ind w:hanging="567"/>
        <w:textAlignment w:val="baseline"/>
        <w:rPr>
          <w:b/>
        </w:rPr>
      </w:pPr>
      <w:hyperlink r:id="rId61" w:history="1">
        <w:r>
          <w:rPr>
            <w:b/>
            <w:i/>
            <w:color w:val="0000FF"/>
            <w:sz w:val="28"/>
            <w:u w:val="single"/>
          </w:rPr>
          <w:t>Omnibuspakket vereenvoudiging levensmiddelen en diervoeders</w:t>
        </w:r>
      </w:hyperlink>
    </w:p>
    <w:p w14:paraId="2887B6E5" w14:textId="77777777" w:rsidR="00D245DB" w:rsidRDefault="00D245DB" w:rsidP="00D245DB">
      <w:pPr>
        <w:widowControl w:val="0"/>
        <w:overflowPunct w:val="0"/>
        <w:autoSpaceDE w:val="0"/>
        <w:autoSpaceDN w:val="0"/>
        <w:adjustRightInd w:val="0"/>
        <w:textAlignment w:val="baseline"/>
        <w:rPr>
          <w: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140"/>
      </w:tblGrid>
      <w:tr w:rsidR="00403683" w:rsidRPr="00403683" w14:paraId="7E2BB842" w14:textId="77777777" w:rsidTr="00AE60E9">
        <w:tc>
          <w:tcPr>
            <w:tcW w:w="1157" w:type="pct"/>
          </w:tcPr>
          <w:p w14:paraId="7E4E51AD"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Rapporteur</w:t>
            </w:r>
          </w:p>
          <w:p w14:paraId="1DA05D33"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Corapporteur</w:t>
            </w:r>
          </w:p>
        </w:tc>
        <w:tc>
          <w:tcPr>
            <w:tcW w:w="3843" w:type="pct"/>
          </w:tcPr>
          <w:p w14:paraId="2C24310A" w14:textId="58067842" w:rsidR="00403683" w:rsidRPr="00403683" w:rsidRDefault="00403683" w:rsidP="00403683">
            <w:pPr>
              <w:tabs>
                <w:tab w:val="center" w:pos="284"/>
              </w:tabs>
              <w:overflowPunct w:val="0"/>
              <w:autoSpaceDE w:val="0"/>
              <w:autoSpaceDN w:val="0"/>
              <w:adjustRightInd w:val="0"/>
              <w:ind w:left="266" w:right="-3091" w:hanging="266"/>
              <w:textAlignment w:val="baseline"/>
            </w:pPr>
            <w:r>
              <w:t>Felipe MEDINA (groep Werkgevers – ES)</w:t>
            </w:r>
          </w:p>
          <w:p w14:paraId="3D560AB1" w14:textId="7A3E50CA" w:rsidR="00403683" w:rsidRDefault="00403683" w:rsidP="00403683">
            <w:pPr>
              <w:tabs>
                <w:tab w:val="center" w:pos="284"/>
              </w:tabs>
              <w:overflowPunct w:val="0"/>
              <w:autoSpaceDE w:val="0"/>
              <w:autoSpaceDN w:val="0"/>
              <w:adjustRightInd w:val="0"/>
              <w:ind w:left="266" w:right="-3091" w:hanging="266"/>
              <w:textAlignment w:val="baseline"/>
            </w:pPr>
            <w:r>
              <w:t>John COMER (groep Maatschappelijke Organisaties – IE)</w:t>
            </w:r>
          </w:p>
          <w:p w14:paraId="037A195D" w14:textId="77777777" w:rsidR="00F10208" w:rsidRPr="00403683" w:rsidRDefault="00F10208" w:rsidP="00403683">
            <w:pPr>
              <w:tabs>
                <w:tab w:val="center" w:pos="284"/>
              </w:tabs>
              <w:overflowPunct w:val="0"/>
              <w:autoSpaceDE w:val="0"/>
              <w:autoSpaceDN w:val="0"/>
              <w:adjustRightInd w:val="0"/>
              <w:ind w:left="266" w:right="-3091" w:hanging="266"/>
              <w:textAlignment w:val="baseline"/>
            </w:pPr>
          </w:p>
        </w:tc>
      </w:tr>
      <w:tr w:rsidR="00403683" w:rsidRPr="00403683" w14:paraId="783AECB9" w14:textId="77777777" w:rsidTr="00AE60E9">
        <w:tc>
          <w:tcPr>
            <w:tcW w:w="1157" w:type="pct"/>
          </w:tcPr>
          <w:p w14:paraId="6E48B402"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Referentiedocumenten</w:t>
            </w:r>
          </w:p>
        </w:tc>
        <w:tc>
          <w:tcPr>
            <w:tcW w:w="3843" w:type="pct"/>
          </w:tcPr>
          <w:p w14:paraId="3053CB7C" w14:textId="4CC39F23" w:rsidR="00F10208" w:rsidRDefault="007C5358" w:rsidP="00403683">
            <w:pPr>
              <w:tabs>
                <w:tab w:val="center" w:pos="284"/>
              </w:tabs>
              <w:overflowPunct w:val="0"/>
              <w:autoSpaceDE w:val="0"/>
              <w:autoSpaceDN w:val="0"/>
              <w:adjustRightInd w:val="0"/>
              <w:ind w:left="266" w:right="-3091" w:hanging="266"/>
              <w:textAlignment w:val="baseline"/>
            </w:pPr>
            <w:r>
              <w:t>COM(2025) 1030 final</w:t>
            </w:r>
          </w:p>
          <w:p w14:paraId="762EB0A0" w14:textId="5D841CDA" w:rsidR="00403683" w:rsidRPr="00403683" w:rsidRDefault="00403683" w:rsidP="00403683">
            <w:pPr>
              <w:tabs>
                <w:tab w:val="center" w:pos="284"/>
              </w:tabs>
              <w:overflowPunct w:val="0"/>
              <w:autoSpaceDE w:val="0"/>
              <w:autoSpaceDN w:val="0"/>
              <w:adjustRightInd w:val="0"/>
              <w:ind w:left="266" w:right="-3091" w:hanging="266"/>
              <w:textAlignment w:val="baseline"/>
            </w:pPr>
            <w:r>
              <w:t>EESC-2025-04381-00-00-AC</w:t>
            </w:r>
          </w:p>
        </w:tc>
      </w:tr>
    </w:tbl>
    <w:p w14:paraId="07986621" w14:textId="77777777" w:rsidR="00403683" w:rsidRPr="00403683" w:rsidRDefault="00403683" w:rsidP="00403683">
      <w:pPr>
        <w:tabs>
          <w:tab w:val="center" w:pos="284"/>
        </w:tabs>
        <w:overflowPunct w:val="0"/>
        <w:autoSpaceDE w:val="0"/>
        <w:autoSpaceDN w:val="0"/>
        <w:adjustRightInd w:val="0"/>
        <w:ind w:left="266" w:hanging="266"/>
        <w:textAlignment w:val="baseline"/>
        <w:rPr>
          <w:b/>
          <w:lang w:val="en-GB"/>
        </w:rPr>
      </w:pPr>
    </w:p>
    <w:p w14:paraId="7C92A945"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rPr>
      </w:pPr>
      <w:r>
        <w:rPr>
          <w:b/>
        </w:rPr>
        <w:t>Hoofdpunten</w:t>
      </w:r>
    </w:p>
    <w:p w14:paraId="2174BF7E"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lang w:val="en-GB"/>
        </w:rPr>
      </w:pPr>
    </w:p>
    <w:p w14:paraId="16E30F54" w14:textId="77777777" w:rsidR="00403683" w:rsidRDefault="00403683" w:rsidP="00403683">
      <w:pPr>
        <w:overflowPunct w:val="0"/>
        <w:autoSpaceDE w:val="0"/>
        <w:autoSpaceDN w:val="0"/>
        <w:adjustRightInd w:val="0"/>
        <w:textAlignment w:val="baseline"/>
        <w:rPr>
          <w:bCs/>
          <w:iCs/>
        </w:rPr>
      </w:pPr>
      <w:r>
        <w:t>Het EESC:</w:t>
      </w:r>
    </w:p>
    <w:p w14:paraId="15731CD7" w14:textId="77777777" w:rsidR="00AF547E" w:rsidRPr="00403683" w:rsidRDefault="00AF547E" w:rsidP="00403683">
      <w:pPr>
        <w:overflowPunct w:val="0"/>
        <w:autoSpaceDE w:val="0"/>
        <w:autoSpaceDN w:val="0"/>
        <w:adjustRightInd w:val="0"/>
        <w:textAlignment w:val="baseline"/>
        <w:rPr>
          <w:bCs/>
          <w:iCs/>
          <w:lang w:val="en-GB"/>
        </w:rPr>
      </w:pPr>
    </w:p>
    <w:p w14:paraId="1FCFD917"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28" w:name="_Toc228805442"/>
      <w:r>
        <w:t>is ingenomen met de algemene strekking van het vereenvoudigingspakket inzake levensmiddelen en diervoeders, dat onnodige administratieve lasten en kosten moet verminderen, maar benadrukt dat geen enkele vereenvoudiging afbreuk mag doen aan de hoge normen van de EU op het vlak van de veiligheid van levensmiddelen en diervoeders, de bescherming van het milieu en de volksgezondheid en dat verdere vereenvoudiging nuttig zou zijn geweest;</w:t>
      </w:r>
      <w:bookmarkEnd w:id="28"/>
    </w:p>
    <w:p w14:paraId="03C81D74"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29" w:name="_Toc228805443"/>
      <w:r>
        <w:t>benadrukt het belang van kwaliteitsvolle regelgeving en de noodzaak om de rol van het maatschappelijk middenveld bij het toezicht op en de handhaving van de wetgeving te consolideren;</w:t>
      </w:r>
      <w:bookmarkEnd w:id="29"/>
    </w:p>
    <w:p w14:paraId="2F1E934E"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0" w:name="_Toc228805444"/>
      <w:r>
        <w:t>is ingenomen met het voorstel om het gebruik van drones voor het sproeien van pesticiden te vergemakkelijken, maar benadrukt tegelijkertijd de noodzaak van goede beschermingsmaatregelen en waarborgen voor de gezondheid en de omgeving van plattelandsbewoners die geen landbouw bedrijven, alsook de gezondheid van alle werknemers;</w:t>
      </w:r>
      <w:bookmarkEnd w:id="30"/>
    </w:p>
    <w:p w14:paraId="4305D899"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1" w:name="_Toc228805445"/>
      <w:r>
        <w:t>is van mening dat de Europese Autoriteit voor voedselveiligheid (EFSA) het recht moet hebben om aan de bel te trekken indien gerichte herbeoordelingen van werkzame stoffen met onbeperkte goedkeuring noodzakelijk zijn en dat de EFSA gevraagd moet worden om advies uit te brengen over de geschiktheid van respijtperiodes;</w:t>
      </w:r>
      <w:bookmarkEnd w:id="31"/>
      <w:r>
        <w:t xml:space="preserve"> </w:t>
      </w:r>
    </w:p>
    <w:p w14:paraId="52534770"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2" w:name="_Toc228805446"/>
      <w:r>
        <w:t>staat positief tegenover de versnelling en vereenvoudiging van de toelatingsprocedures voor biologische bestrijdingsmiddelen;</w:t>
      </w:r>
      <w:bookmarkEnd w:id="32"/>
      <w:r>
        <w:t xml:space="preserve"> </w:t>
      </w:r>
    </w:p>
    <w:p w14:paraId="5FE87611"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3" w:name="_Toc228805447"/>
      <w:r>
        <w:t>dringt erop aan dat de respijtperioden op het hoogste niveau van bescherming in de hele EU worden geharmoniseerd en dat wederzijdse erkenningen vergemakkelijkt worden;</w:t>
      </w:r>
      <w:bookmarkEnd w:id="33"/>
    </w:p>
    <w:p w14:paraId="740656F8"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4" w:name="_Toc228805448"/>
      <w:r>
        <w:t>steunt de toelating van gewasbeschermingsmiddelen die door de EU goedgekeurde werkzame stoffen bevatten voor de behandeling van zaad dat bestemd is voor de export, mits dit gebruik voldoet aan de wettelijke voorschriften van het land van bestemming;</w:t>
      </w:r>
      <w:bookmarkEnd w:id="34"/>
    </w:p>
    <w:p w14:paraId="32435E68"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5" w:name="_Toc228805449"/>
      <w:r>
        <w:t>stelt voor dat particuliere sanitaire en certificeringsanalyses die door bedrijven worden uitgevoerd, als officieel worden erkend teneinde de exportprocedure van gewasbeschermingsmiddelen naar niet-EU-landen te vereenvoudigen, in combinatie met strengere controles en boetes van de autoriteiten om een dergelijke erkenning mogelijk te maken;</w:t>
      </w:r>
      <w:bookmarkEnd w:id="35"/>
    </w:p>
    <w:p w14:paraId="5D898E6D"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6" w:name="_Toc228805450"/>
      <w:r>
        <w:t>erkent het belang van gelijkwaardigheid van normen, maar spreekt zijn bezorgdheid uit over het schrappen van invoertoleranties voor bepaalde stoffen die niet in de EU zijn toegelaten; is van mening dat een effectbeoordeling essentieel is voor dergelijke ingrijpende wijzigingen, in overeenstemming met het voorzorgsbeginsel en met het oog op de potentiële gevolgen voor alle actoren in de keten die sterk afhankelijk zijn van invoer;</w:t>
      </w:r>
      <w:bookmarkEnd w:id="36"/>
    </w:p>
    <w:p w14:paraId="0129D2DA"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7" w:name="_Toc228805451"/>
      <w:r>
        <w:lastRenderedPageBreak/>
        <w:t>is van mening dat het gebruik van zware metalen zoals koper in biologische bestrijdingsmiddelen moet worden toegestaan, op voorwaarde dat de gezondheid van mens, dier en bodem alsook de biodiversiteit gewaarborgd zijn;</w:t>
      </w:r>
      <w:bookmarkEnd w:id="37"/>
    </w:p>
    <w:p w14:paraId="3C8AB436"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8" w:name="_Toc228805452"/>
      <w:r>
        <w:t>is van mening dat, er alvorens een werkzame stof die voor vervanging in aanmerking komt, wordt ingetrokken, een economisch haalbaar alternatief voorhanden moet zijn dat even doeltreffend is;</w:t>
      </w:r>
      <w:bookmarkEnd w:id="38"/>
    </w:p>
    <w:p w14:paraId="30304C3E"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9" w:name="_Toc228805453"/>
      <w:r>
        <w:t>is van mening dat de EU bij nieuwe voedingsmiddelen en genetisch gemodificeerde voedingsmiddelen de hoogste normen op het gebied van transparantie en veiligheid moet handhaven;</w:t>
      </w:r>
      <w:bookmarkEnd w:id="39"/>
    </w:p>
    <w:p w14:paraId="47E9B68C"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40" w:name="_Toc228805454"/>
      <w:r>
        <w:t>dringt erop aan dat de harmonisatie van de etikettering van zaden relevante voorzorgs- en risicobeheersmaatregelen omvat.</w:t>
      </w:r>
      <w:bookmarkEnd w:id="40"/>
    </w:p>
    <w:p w14:paraId="6C0CF265" w14:textId="77777777" w:rsidR="00403683" w:rsidRPr="00403683" w:rsidRDefault="00403683" w:rsidP="00403683">
      <w:pPr>
        <w:overflowPunct w:val="0"/>
        <w:autoSpaceDE w:val="0"/>
        <w:autoSpaceDN w:val="0"/>
        <w:adjustRightInd w:val="0"/>
        <w:textAlignment w:val="baseline"/>
        <w:rPr>
          <w:szCs w:val="20"/>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03683" w:rsidRPr="00403683" w14:paraId="70675006" w14:textId="77777777" w:rsidTr="002E7EFB">
        <w:tc>
          <w:tcPr>
            <w:tcW w:w="1077" w:type="pct"/>
          </w:tcPr>
          <w:p w14:paraId="47BC0F37" w14:textId="77777777" w:rsidR="00403683" w:rsidRPr="00403683" w:rsidRDefault="00403683" w:rsidP="00403683">
            <w:pPr>
              <w:overflowPunct w:val="0"/>
              <w:autoSpaceDE w:val="0"/>
              <w:autoSpaceDN w:val="0"/>
              <w:adjustRightInd w:val="0"/>
              <w:textAlignment w:val="baseline"/>
              <w:rPr>
                <w:i/>
              </w:rPr>
            </w:pPr>
            <w:r>
              <w:rPr>
                <w:b/>
                <w:i/>
              </w:rPr>
              <w:t>Contactpersoon</w:t>
            </w:r>
          </w:p>
        </w:tc>
        <w:tc>
          <w:tcPr>
            <w:tcW w:w="3923" w:type="pct"/>
          </w:tcPr>
          <w:p w14:paraId="14A09B02" w14:textId="54C774A1" w:rsidR="00403683" w:rsidRPr="00403683" w:rsidRDefault="00403683" w:rsidP="00403683">
            <w:pPr>
              <w:overflowPunct w:val="0"/>
              <w:autoSpaceDE w:val="0"/>
              <w:autoSpaceDN w:val="0"/>
              <w:adjustRightInd w:val="0"/>
              <w:textAlignment w:val="baseline"/>
              <w:rPr>
                <w:i/>
              </w:rPr>
            </w:pPr>
            <w:r>
              <w:rPr>
                <w:i/>
              </w:rPr>
              <w:t>Martine Delanoy</w:t>
            </w:r>
          </w:p>
        </w:tc>
      </w:tr>
      <w:tr w:rsidR="00403683" w:rsidRPr="00403683" w14:paraId="1A38B9B8" w14:textId="77777777" w:rsidTr="002E7EFB">
        <w:tc>
          <w:tcPr>
            <w:tcW w:w="1077" w:type="pct"/>
          </w:tcPr>
          <w:p w14:paraId="4675EE24" w14:textId="77777777" w:rsidR="00403683" w:rsidRPr="00403683" w:rsidRDefault="00403683" w:rsidP="00403683">
            <w:pPr>
              <w:overflowPunct w:val="0"/>
              <w:autoSpaceDE w:val="0"/>
              <w:autoSpaceDN w:val="0"/>
              <w:adjustRightInd w:val="0"/>
              <w:textAlignment w:val="baseline"/>
              <w:rPr>
                <w:i/>
              </w:rPr>
            </w:pPr>
            <w:r>
              <w:rPr>
                <w:i/>
              </w:rPr>
              <w:t>Tel.</w:t>
            </w:r>
          </w:p>
        </w:tc>
        <w:tc>
          <w:tcPr>
            <w:tcW w:w="3923" w:type="pct"/>
          </w:tcPr>
          <w:p w14:paraId="353DAD93" w14:textId="77777777" w:rsidR="00403683" w:rsidRPr="00403683" w:rsidRDefault="00403683" w:rsidP="00403683">
            <w:pPr>
              <w:overflowPunct w:val="0"/>
              <w:autoSpaceDE w:val="0"/>
              <w:autoSpaceDN w:val="0"/>
              <w:adjustRightInd w:val="0"/>
              <w:textAlignment w:val="baseline"/>
              <w:rPr>
                <w:i/>
              </w:rPr>
            </w:pPr>
            <w:r>
              <w:rPr>
                <w:i/>
              </w:rPr>
              <w:t>+32 25469802</w:t>
            </w:r>
          </w:p>
        </w:tc>
      </w:tr>
      <w:tr w:rsidR="00403683" w:rsidRPr="00403683" w14:paraId="7CCD1D63" w14:textId="77777777" w:rsidTr="002E7EFB">
        <w:tc>
          <w:tcPr>
            <w:tcW w:w="1077" w:type="pct"/>
          </w:tcPr>
          <w:p w14:paraId="0D398F1B" w14:textId="77777777" w:rsidR="00403683" w:rsidRPr="00403683" w:rsidRDefault="00403683" w:rsidP="00403683">
            <w:pPr>
              <w:overflowPunct w:val="0"/>
              <w:autoSpaceDE w:val="0"/>
              <w:autoSpaceDN w:val="0"/>
              <w:adjustRightInd w:val="0"/>
              <w:textAlignment w:val="baseline"/>
              <w:rPr>
                <w:i/>
              </w:rPr>
            </w:pPr>
            <w:r>
              <w:rPr>
                <w:i/>
              </w:rPr>
              <w:t>E-mail</w:t>
            </w:r>
          </w:p>
        </w:tc>
        <w:tc>
          <w:tcPr>
            <w:tcW w:w="3923" w:type="pct"/>
          </w:tcPr>
          <w:p w14:paraId="7433A851" w14:textId="22822148" w:rsidR="00CA6EC9" w:rsidRPr="00403683" w:rsidRDefault="00E23721" w:rsidP="00403683">
            <w:pPr>
              <w:overflowPunct w:val="0"/>
              <w:autoSpaceDE w:val="0"/>
              <w:autoSpaceDN w:val="0"/>
              <w:adjustRightInd w:val="0"/>
              <w:textAlignment w:val="baseline"/>
              <w:rPr>
                <w:i/>
              </w:rPr>
            </w:pPr>
            <w:hyperlink r:id="rId62" w:history="1">
              <w:r>
                <w:rPr>
                  <w:i/>
                  <w:color w:val="0000FF"/>
                  <w:u w:val="single"/>
                </w:rPr>
                <w:t>Martine.Delanoy@eesc.europa.eu</w:t>
              </w:r>
            </w:hyperlink>
            <w:r>
              <w:rPr>
                <w:i/>
              </w:rPr>
              <w:t xml:space="preserve"> </w:t>
            </w:r>
          </w:p>
        </w:tc>
      </w:tr>
    </w:tbl>
    <w:p w14:paraId="2EE3ACD5" w14:textId="77777777" w:rsidR="007B6F06" w:rsidRPr="004E3086" w:rsidRDefault="007B6F06" w:rsidP="004E3086">
      <w:pPr>
        <w:overflowPunct w:val="0"/>
        <w:autoSpaceDE w:val="0"/>
        <w:autoSpaceDN w:val="0"/>
        <w:adjustRightInd w:val="0"/>
        <w:textAlignment w:val="baseline"/>
        <w:rPr>
          <w:szCs w:val="20"/>
          <w:lang w:val="en-GB"/>
        </w:rPr>
      </w:pPr>
    </w:p>
    <w:p w14:paraId="2F50326F" w14:textId="7CD0B26F" w:rsidR="00A230F1" w:rsidRPr="007B6F06" w:rsidRDefault="007B6F06" w:rsidP="004C6742">
      <w:pPr>
        <w:pStyle w:val="ListParagraph"/>
        <w:numPr>
          <w:ilvl w:val="0"/>
          <w:numId w:val="14"/>
        </w:numPr>
        <w:spacing w:after="160" w:line="259" w:lineRule="auto"/>
        <w:ind w:left="567" w:hanging="567"/>
        <w:jc w:val="left"/>
        <w:rPr>
          <w:b/>
          <w:bCs/>
          <w:szCs w:val="20"/>
        </w:rPr>
      </w:pPr>
      <w:r>
        <w:br w:type="page"/>
      </w:r>
      <w:hyperlink r:id="rId63" w:history="1">
        <w:r>
          <w:rPr>
            <w:b/>
            <w:i/>
            <w:color w:val="0000FF"/>
            <w:sz w:val="28"/>
            <w:u w:val="single"/>
          </w:rPr>
          <w:t>Gelijkwaardigheid van in derde landen verrichte veldkeuringen van gewassen voor de teelt van zaaizaad en de gelijkwaardigheid van in derde landen voortgebracht zaaizaad</w:t>
        </w:r>
      </w:hyperlink>
      <w:r>
        <w:rPr>
          <w:b/>
          <w:i/>
          <w:sz w:val="28"/>
        </w:rPr>
        <w:t xml:space="preserve"> </w:t>
      </w:r>
    </w:p>
    <w:p w14:paraId="32AB9036" w14:textId="77777777" w:rsidR="00A230F1" w:rsidRPr="004E3086" w:rsidRDefault="00A230F1" w:rsidP="004E3086">
      <w:pPr>
        <w:overflowPunct w:val="0"/>
        <w:autoSpaceDE w:val="0"/>
        <w:autoSpaceDN w:val="0"/>
        <w:adjustRightInd w:val="0"/>
        <w:textAlignment w:val="baseline"/>
        <w:rPr>
          <w:szCs w:val="20"/>
          <w:lang w:val="en-GB"/>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140"/>
      </w:tblGrid>
      <w:tr w:rsidR="00A230F1" w:rsidRPr="00A230F1" w14:paraId="427B5DF2" w14:textId="77777777" w:rsidTr="002E7EFB">
        <w:tc>
          <w:tcPr>
            <w:tcW w:w="1077" w:type="pct"/>
            <w:vMerge w:val="restart"/>
          </w:tcPr>
          <w:p w14:paraId="6D05D3E2" w14:textId="77777777" w:rsidR="00A230F1" w:rsidRPr="00A230F1" w:rsidRDefault="00A230F1" w:rsidP="00A230F1">
            <w:pPr>
              <w:tabs>
                <w:tab w:val="center" w:pos="284"/>
              </w:tabs>
              <w:overflowPunct w:val="0"/>
              <w:autoSpaceDE w:val="0"/>
              <w:autoSpaceDN w:val="0"/>
              <w:adjustRightInd w:val="0"/>
              <w:ind w:left="266" w:hanging="266"/>
              <w:textAlignment w:val="baseline"/>
              <w:rPr>
                <w:b/>
              </w:rPr>
            </w:pPr>
            <w:r>
              <w:rPr>
                <w:b/>
              </w:rPr>
              <w:t>Referentiedocumenten</w:t>
            </w:r>
          </w:p>
        </w:tc>
        <w:tc>
          <w:tcPr>
            <w:tcW w:w="3923" w:type="pct"/>
          </w:tcPr>
          <w:p w14:paraId="54297B64" w14:textId="7C4F1EAB" w:rsidR="005D0FED" w:rsidRDefault="005D0FED" w:rsidP="00A230F1">
            <w:pPr>
              <w:tabs>
                <w:tab w:val="center" w:pos="284"/>
              </w:tabs>
              <w:overflowPunct w:val="0"/>
              <w:autoSpaceDE w:val="0"/>
              <w:autoSpaceDN w:val="0"/>
              <w:adjustRightInd w:val="0"/>
              <w:ind w:left="266" w:right="-3091" w:hanging="266"/>
              <w:textAlignment w:val="baseline"/>
            </w:pPr>
            <w:r>
              <w:t>categorie C-advies</w:t>
            </w:r>
          </w:p>
          <w:p w14:paraId="139E7F03" w14:textId="312ADB3D" w:rsidR="00A230F1" w:rsidRPr="00A230F1" w:rsidRDefault="00A230F1" w:rsidP="00A230F1">
            <w:pPr>
              <w:tabs>
                <w:tab w:val="center" w:pos="284"/>
              </w:tabs>
              <w:overflowPunct w:val="0"/>
              <w:autoSpaceDE w:val="0"/>
              <w:autoSpaceDN w:val="0"/>
              <w:adjustRightInd w:val="0"/>
              <w:ind w:left="266" w:right="-3091" w:hanging="266"/>
              <w:textAlignment w:val="baseline"/>
            </w:pPr>
            <w:r>
              <w:t>COM(2026) 128 final</w:t>
            </w:r>
          </w:p>
        </w:tc>
      </w:tr>
      <w:tr w:rsidR="00A230F1" w:rsidRPr="00A230F1" w14:paraId="63A72A95" w14:textId="77777777" w:rsidTr="002E7EFB">
        <w:tc>
          <w:tcPr>
            <w:tcW w:w="1077" w:type="pct"/>
            <w:vMerge/>
          </w:tcPr>
          <w:p w14:paraId="11CFEE2D" w14:textId="77777777" w:rsidR="00A230F1" w:rsidRPr="00A230F1" w:rsidRDefault="00A230F1" w:rsidP="00A230F1">
            <w:pPr>
              <w:tabs>
                <w:tab w:val="center" w:pos="284"/>
              </w:tabs>
              <w:overflowPunct w:val="0"/>
              <w:autoSpaceDE w:val="0"/>
              <w:autoSpaceDN w:val="0"/>
              <w:adjustRightInd w:val="0"/>
              <w:ind w:left="266" w:hanging="266"/>
              <w:textAlignment w:val="baseline"/>
              <w:rPr>
                <w:b/>
              </w:rPr>
            </w:pPr>
          </w:p>
        </w:tc>
        <w:tc>
          <w:tcPr>
            <w:tcW w:w="3923" w:type="pct"/>
          </w:tcPr>
          <w:p w14:paraId="70F0DEFB" w14:textId="77777777" w:rsidR="00A230F1" w:rsidRPr="00A230F1" w:rsidRDefault="00A230F1" w:rsidP="00A230F1">
            <w:pPr>
              <w:tabs>
                <w:tab w:val="center" w:pos="284"/>
              </w:tabs>
              <w:overflowPunct w:val="0"/>
              <w:autoSpaceDE w:val="0"/>
              <w:autoSpaceDN w:val="0"/>
              <w:adjustRightInd w:val="0"/>
              <w:ind w:left="266" w:right="-3091" w:hanging="266"/>
              <w:textAlignment w:val="baseline"/>
            </w:pPr>
            <w:r>
              <w:t>EESC-2026-01152-00-00-AC</w:t>
            </w:r>
          </w:p>
        </w:tc>
      </w:tr>
    </w:tbl>
    <w:p w14:paraId="1F198972" w14:textId="77777777" w:rsidR="00A230F1" w:rsidRPr="004E3086" w:rsidRDefault="00A230F1" w:rsidP="004E3086">
      <w:pPr>
        <w:overflowPunct w:val="0"/>
        <w:autoSpaceDE w:val="0"/>
        <w:autoSpaceDN w:val="0"/>
        <w:adjustRightInd w:val="0"/>
        <w:textAlignment w:val="baseline"/>
        <w:rPr>
          <w:szCs w:val="20"/>
          <w:lang w:val="en-GB"/>
        </w:rPr>
      </w:pPr>
    </w:p>
    <w:p w14:paraId="64BE0F4D" w14:textId="4C5D3568" w:rsidR="002B30F4" w:rsidRPr="002B30F4" w:rsidRDefault="00A230F1" w:rsidP="004C6742">
      <w:pPr>
        <w:pStyle w:val="Footer"/>
        <w:rPr>
          <w:bCs/>
          <w:iCs/>
        </w:rPr>
      </w:pPr>
      <w:r>
        <w:t>Aangezien het Comité zich in zijn op resp. 14/2/2018</w:t>
      </w:r>
      <w:r w:rsidR="002B30F4" w:rsidRPr="002B30F4">
        <w:rPr>
          <w:sz w:val="24"/>
          <w:vertAlign w:val="superscript"/>
          <w:lang w:val="en-GB"/>
        </w:rPr>
        <w:footnoteReference w:id="2"/>
      </w:r>
      <w:r>
        <w:t xml:space="preserve"> en 18/9/2020</w:t>
      </w:r>
      <w:r w:rsidR="002B30F4" w:rsidRPr="002B30F4">
        <w:rPr>
          <w:sz w:val="24"/>
          <w:vertAlign w:val="superscript"/>
          <w:lang w:val="en-GB"/>
        </w:rPr>
        <w:footnoteReference w:id="3"/>
      </w:r>
      <w:r>
        <w:t xml:space="preserve"> goedgekeurde adviezen (EESC-2018-00043-00-00-AC-TRA en EESC-2020-02029-00-00-AC-TRA) al over de inhoud van dit voorstel heeft uitgesproken, heeft het besloten geen nieuw advies op te stellen, maar te verwijzen naar het standpunt dat het in genoemde adviezen heeft ingenomen.</w:t>
      </w:r>
    </w:p>
    <w:p w14:paraId="23AFABFB" w14:textId="193EFDF4" w:rsidR="00A230F1" w:rsidRDefault="00A230F1" w:rsidP="00A230F1">
      <w:pPr>
        <w:overflowPunct w:val="0"/>
        <w:autoSpaceDE w:val="0"/>
        <w:autoSpaceDN w:val="0"/>
        <w:adjustRightInd w:val="0"/>
        <w:textAlignment w:val="baseline"/>
        <w:rPr>
          <w:szCs w:val="20"/>
          <w:lang w:val="en-GB"/>
        </w:rPr>
      </w:pPr>
    </w:p>
    <w:tbl>
      <w:tblPr>
        <w:tblStyle w:val="TableGrid2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A230F1" w:rsidRPr="00A230F1" w14:paraId="16CCD5A5" w14:textId="77777777" w:rsidTr="002E7EFB">
        <w:tc>
          <w:tcPr>
            <w:tcW w:w="1078" w:type="pct"/>
          </w:tcPr>
          <w:p w14:paraId="441CA2A8" w14:textId="77777777" w:rsidR="00A230F1" w:rsidRPr="00A230F1" w:rsidRDefault="00A230F1" w:rsidP="00A230F1">
            <w:pPr>
              <w:overflowPunct w:val="0"/>
              <w:autoSpaceDE w:val="0"/>
              <w:autoSpaceDN w:val="0"/>
              <w:adjustRightInd w:val="0"/>
              <w:textAlignment w:val="baseline"/>
              <w:rPr>
                <w:i/>
              </w:rPr>
            </w:pPr>
            <w:r>
              <w:rPr>
                <w:b/>
                <w:i/>
              </w:rPr>
              <w:t>Contactpersoon</w:t>
            </w:r>
          </w:p>
        </w:tc>
        <w:tc>
          <w:tcPr>
            <w:tcW w:w="3922" w:type="pct"/>
          </w:tcPr>
          <w:p w14:paraId="1998D269" w14:textId="77777777" w:rsidR="00A230F1" w:rsidRPr="00A230F1" w:rsidRDefault="00A230F1" w:rsidP="00A230F1">
            <w:pPr>
              <w:overflowPunct w:val="0"/>
              <w:autoSpaceDE w:val="0"/>
              <w:autoSpaceDN w:val="0"/>
              <w:adjustRightInd w:val="0"/>
              <w:textAlignment w:val="baseline"/>
              <w:rPr>
                <w:i/>
              </w:rPr>
            </w:pPr>
            <w:r>
              <w:rPr>
                <w:i/>
              </w:rPr>
              <w:t>Arturo Iniguez Yuste</w:t>
            </w:r>
          </w:p>
        </w:tc>
      </w:tr>
      <w:tr w:rsidR="00A230F1" w:rsidRPr="00A230F1" w14:paraId="7CBB3F89" w14:textId="77777777" w:rsidTr="002E7EFB">
        <w:tc>
          <w:tcPr>
            <w:tcW w:w="1078" w:type="pct"/>
          </w:tcPr>
          <w:p w14:paraId="4B2CEA11" w14:textId="77777777" w:rsidR="00A230F1" w:rsidRPr="00A230F1" w:rsidRDefault="00A230F1" w:rsidP="00A230F1">
            <w:pPr>
              <w:overflowPunct w:val="0"/>
              <w:autoSpaceDE w:val="0"/>
              <w:autoSpaceDN w:val="0"/>
              <w:adjustRightInd w:val="0"/>
              <w:textAlignment w:val="baseline"/>
              <w:rPr>
                <w:i/>
              </w:rPr>
            </w:pPr>
            <w:r>
              <w:rPr>
                <w:i/>
              </w:rPr>
              <w:t>Tel.</w:t>
            </w:r>
          </w:p>
        </w:tc>
        <w:tc>
          <w:tcPr>
            <w:tcW w:w="3922" w:type="pct"/>
          </w:tcPr>
          <w:p w14:paraId="151C60D3" w14:textId="77777777" w:rsidR="00A230F1" w:rsidRPr="00A230F1" w:rsidRDefault="00A230F1" w:rsidP="00A230F1">
            <w:pPr>
              <w:overflowPunct w:val="0"/>
              <w:autoSpaceDE w:val="0"/>
              <w:autoSpaceDN w:val="0"/>
              <w:adjustRightInd w:val="0"/>
              <w:textAlignment w:val="baseline"/>
              <w:rPr>
                <w:i/>
              </w:rPr>
            </w:pPr>
            <w:r>
              <w:rPr>
                <w:i/>
              </w:rPr>
              <w:t>+32 25468768</w:t>
            </w:r>
          </w:p>
        </w:tc>
      </w:tr>
      <w:tr w:rsidR="00A230F1" w:rsidRPr="00A230F1" w14:paraId="3090F269" w14:textId="77777777" w:rsidTr="002E7EFB">
        <w:tc>
          <w:tcPr>
            <w:tcW w:w="1078" w:type="pct"/>
          </w:tcPr>
          <w:p w14:paraId="36817683" w14:textId="77777777" w:rsidR="00A230F1" w:rsidRPr="00A230F1" w:rsidRDefault="00A230F1" w:rsidP="00A230F1">
            <w:pPr>
              <w:overflowPunct w:val="0"/>
              <w:autoSpaceDE w:val="0"/>
              <w:autoSpaceDN w:val="0"/>
              <w:adjustRightInd w:val="0"/>
              <w:textAlignment w:val="baseline"/>
              <w:rPr>
                <w:i/>
              </w:rPr>
            </w:pPr>
            <w:r>
              <w:rPr>
                <w:i/>
              </w:rPr>
              <w:t>E-mail</w:t>
            </w:r>
          </w:p>
        </w:tc>
        <w:tc>
          <w:tcPr>
            <w:tcW w:w="3922" w:type="pct"/>
          </w:tcPr>
          <w:p w14:paraId="1FAC504A" w14:textId="3BA9CF34" w:rsidR="00A230F1" w:rsidRPr="00A230F1" w:rsidRDefault="00E23721" w:rsidP="00A230F1">
            <w:pPr>
              <w:overflowPunct w:val="0"/>
              <w:autoSpaceDE w:val="0"/>
              <w:autoSpaceDN w:val="0"/>
              <w:adjustRightInd w:val="0"/>
              <w:textAlignment w:val="baseline"/>
              <w:rPr>
                <w:i/>
                <w:iCs/>
              </w:rPr>
            </w:pPr>
            <w:hyperlink r:id="rId64" w:history="1">
              <w:r>
                <w:rPr>
                  <w:i/>
                  <w:color w:val="0000FF"/>
                  <w:u w:val="single"/>
                </w:rPr>
                <w:t>Arturo.Iniguez@eesc.europa.eu</w:t>
              </w:r>
            </w:hyperlink>
            <w:r>
              <w:rPr>
                <w:i/>
              </w:rPr>
              <w:t xml:space="preserve"> </w:t>
            </w:r>
          </w:p>
        </w:tc>
      </w:tr>
    </w:tbl>
    <w:p w14:paraId="60213BA5" w14:textId="23657EAA" w:rsidR="00A230F1" w:rsidRDefault="00A230F1" w:rsidP="001766B2">
      <w:pPr>
        <w:jc w:val="left"/>
      </w:pPr>
    </w:p>
    <w:p w14:paraId="4B9B21DA" w14:textId="77777777" w:rsidR="00553BE0" w:rsidRDefault="00553BE0" w:rsidP="001766B2">
      <w:pPr>
        <w:jc w:val="left"/>
      </w:pPr>
    </w:p>
    <w:p w14:paraId="41D04A55" w14:textId="77777777" w:rsidR="00553BE0" w:rsidRDefault="00553BE0" w:rsidP="001766B2">
      <w:pPr>
        <w:jc w:val="left"/>
      </w:pPr>
    </w:p>
    <w:p w14:paraId="07B8FDA7" w14:textId="77777777" w:rsidR="00A230F1" w:rsidRDefault="00A230F1">
      <w:pPr>
        <w:spacing w:after="160" w:line="259" w:lineRule="auto"/>
        <w:jc w:val="left"/>
      </w:pPr>
      <w:r>
        <w:br w:type="page"/>
      </w:r>
    </w:p>
    <w:p w14:paraId="77C06DA1" w14:textId="26F38BF5" w:rsidR="00EC4D43" w:rsidRPr="00EC4D43" w:rsidRDefault="00A067F3" w:rsidP="004C6742">
      <w:pPr>
        <w:widowControl w:val="0"/>
        <w:numPr>
          <w:ilvl w:val="0"/>
          <w:numId w:val="4"/>
        </w:numPr>
        <w:overflowPunct w:val="0"/>
        <w:autoSpaceDE w:val="0"/>
        <w:autoSpaceDN w:val="0"/>
        <w:adjustRightInd w:val="0"/>
        <w:ind w:hanging="567"/>
        <w:textAlignment w:val="baseline"/>
        <w:rPr>
          <w:b/>
        </w:rPr>
      </w:pPr>
      <w:hyperlink r:id="rId65" w:history="1">
        <w:r>
          <w:rPr>
            <w:b/>
            <w:i/>
            <w:color w:val="0000FF"/>
            <w:sz w:val="28"/>
            <w:u w:val="single"/>
          </w:rPr>
          <w:t>Ongeldigverklaring van emissierechten in de marktstabiliteitsreserve</w:t>
        </w:r>
      </w:hyperlink>
    </w:p>
    <w:p w14:paraId="2C3AAF47" w14:textId="77777777" w:rsidR="00EC4D43" w:rsidRPr="00AE60E9" w:rsidRDefault="00EC4D43" w:rsidP="00EC4D43">
      <w:pPr>
        <w:widowControl w:val="0"/>
        <w:overflowPunct w:val="0"/>
        <w:autoSpaceDE w:val="0"/>
        <w:autoSpaceDN w:val="0"/>
        <w:adjustRightInd w:val="0"/>
        <w:ind w:left="266"/>
        <w:textAlignment w:val="baseline"/>
        <w:rPr>
          <w:bCs/>
          <w:lang w:val="en-GB"/>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140"/>
      </w:tblGrid>
      <w:tr w:rsidR="00EC4D43" w:rsidRPr="00EC4D43" w14:paraId="22D897E0" w14:textId="77777777" w:rsidTr="00C56EF3">
        <w:tc>
          <w:tcPr>
            <w:tcW w:w="1157" w:type="pct"/>
            <w:vMerge w:val="restart"/>
          </w:tcPr>
          <w:p w14:paraId="6262FEF2"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r>
              <w:rPr>
                <w:b/>
              </w:rPr>
              <w:t>Referentiedocumenten</w:t>
            </w:r>
          </w:p>
        </w:tc>
        <w:tc>
          <w:tcPr>
            <w:tcW w:w="3843" w:type="pct"/>
          </w:tcPr>
          <w:p w14:paraId="60CAA90A" w14:textId="2B344929" w:rsidR="00447A14" w:rsidRDefault="00F1581A" w:rsidP="00EC4D43">
            <w:pPr>
              <w:tabs>
                <w:tab w:val="center" w:pos="284"/>
              </w:tabs>
              <w:overflowPunct w:val="0"/>
              <w:autoSpaceDE w:val="0"/>
              <w:autoSpaceDN w:val="0"/>
              <w:adjustRightInd w:val="0"/>
              <w:ind w:left="266" w:right="-3091" w:hanging="266"/>
              <w:textAlignment w:val="baseline"/>
            </w:pPr>
            <w:r>
              <w:t>categorie C-advies</w:t>
            </w:r>
          </w:p>
          <w:p w14:paraId="0ADB870C" w14:textId="3DA0E6FF" w:rsidR="00EC4D43" w:rsidRPr="00EC4D43" w:rsidRDefault="00EC4D43" w:rsidP="00EC4D43">
            <w:pPr>
              <w:tabs>
                <w:tab w:val="center" w:pos="284"/>
              </w:tabs>
              <w:overflowPunct w:val="0"/>
              <w:autoSpaceDE w:val="0"/>
              <w:autoSpaceDN w:val="0"/>
              <w:adjustRightInd w:val="0"/>
              <w:ind w:left="266" w:right="-3091" w:hanging="266"/>
              <w:textAlignment w:val="baseline"/>
            </w:pPr>
            <w:r>
              <w:t>COM(2026) 153 final</w:t>
            </w:r>
          </w:p>
        </w:tc>
      </w:tr>
      <w:tr w:rsidR="00EC4D43" w:rsidRPr="00EC4D43" w14:paraId="651FA50F" w14:textId="77777777" w:rsidTr="00C56EF3">
        <w:tc>
          <w:tcPr>
            <w:tcW w:w="1157" w:type="pct"/>
            <w:vMerge/>
          </w:tcPr>
          <w:p w14:paraId="6A472EE9"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p>
        </w:tc>
        <w:tc>
          <w:tcPr>
            <w:tcW w:w="3843" w:type="pct"/>
          </w:tcPr>
          <w:p w14:paraId="47DF85DF" w14:textId="77777777" w:rsidR="00EC4D43" w:rsidRPr="00EC4D43" w:rsidRDefault="00EC4D43" w:rsidP="00EC4D43">
            <w:pPr>
              <w:tabs>
                <w:tab w:val="center" w:pos="284"/>
              </w:tabs>
              <w:overflowPunct w:val="0"/>
              <w:autoSpaceDE w:val="0"/>
              <w:autoSpaceDN w:val="0"/>
              <w:adjustRightInd w:val="0"/>
              <w:ind w:left="266" w:right="-3091" w:hanging="266"/>
              <w:textAlignment w:val="baseline"/>
            </w:pPr>
            <w:r>
              <w:t>EESC-2026-01164-00-00-AC</w:t>
            </w:r>
          </w:p>
        </w:tc>
      </w:tr>
    </w:tbl>
    <w:p w14:paraId="6B206414" w14:textId="77777777" w:rsidR="00517E07" w:rsidRPr="00C56EF3" w:rsidRDefault="00517E07" w:rsidP="00EC4D43">
      <w:pPr>
        <w:tabs>
          <w:tab w:val="center" w:pos="284"/>
        </w:tabs>
        <w:overflowPunct w:val="0"/>
        <w:autoSpaceDE w:val="0"/>
        <w:autoSpaceDN w:val="0"/>
        <w:adjustRightInd w:val="0"/>
        <w:ind w:left="266" w:hanging="266"/>
        <w:textAlignment w:val="baseline"/>
        <w:rPr>
          <w:bCs/>
          <w:lang w:val="en-GB"/>
        </w:rPr>
      </w:pPr>
    </w:p>
    <w:p w14:paraId="0FC42288" w14:textId="77777777" w:rsidR="00517E07" w:rsidRPr="00C56EF3" w:rsidRDefault="00517E07" w:rsidP="00EC4D43">
      <w:pPr>
        <w:tabs>
          <w:tab w:val="center" w:pos="284"/>
        </w:tabs>
        <w:overflowPunct w:val="0"/>
        <w:autoSpaceDE w:val="0"/>
        <w:autoSpaceDN w:val="0"/>
        <w:adjustRightInd w:val="0"/>
        <w:ind w:left="266" w:hanging="266"/>
        <w:textAlignment w:val="baseline"/>
        <w:rPr>
          <w:bCs/>
          <w:lang w:val="en-GB"/>
        </w:rPr>
      </w:pPr>
    </w:p>
    <w:p w14:paraId="3ABFEF49" w14:textId="0C867BC5" w:rsidR="008548EA" w:rsidRPr="008548EA" w:rsidRDefault="00EC4D43" w:rsidP="004C6742">
      <w:pPr>
        <w:widowControl w:val="0"/>
        <w:overflowPunct w:val="0"/>
        <w:autoSpaceDE w:val="0"/>
        <w:autoSpaceDN w:val="0"/>
        <w:adjustRightInd w:val="0"/>
        <w:textAlignment w:val="baseline"/>
        <w:rPr>
          <w:bCs/>
          <w:iCs/>
        </w:rPr>
      </w:pPr>
      <w:r>
        <w:t>Het Comité kan zich in dit voorstel vinden. Het heeft bovendien reeds een standpunt over dit onderwerp ingenomen in het op 8/12/2021 uitgebrachte advies EESC-2021-03918-00-00-AC-TRA</w:t>
      </w:r>
      <w:r w:rsidR="008548EA" w:rsidRPr="008548EA">
        <w:rPr>
          <w:sz w:val="24"/>
          <w:szCs w:val="20"/>
          <w:vertAlign w:val="superscript"/>
          <w:lang w:val="en-GB"/>
        </w:rPr>
        <w:footnoteReference w:id="4"/>
      </w:r>
      <w:r>
        <w:t>. Daarom heeft het besloten een positief advies over de voorgestelde tekst uit te brengen en daarin te verwijzen naar zijn eerder geformuleerde standpunt ter zake.</w:t>
      </w:r>
    </w:p>
    <w:p w14:paraId="7DCC2B7B" w14:textId="77777777" w:rsidR="00EC4D43" w:rsidRPr="00C56EF3" w:rsidRDefault="00EC4D43" w:rsidP="00C56EF3">
      <w:pPr>
        <w:tabs>
          <w:tab w:val="center" w:pos="284"/>
        </w:tabs>
        <w:overflowPunct w:val="0"/>
        <w:autoSpaceDE w:val="0"/>
        <w:autoSpaceDN w:val="0"/>
        <w:adjustRightInd w:val="0"/>
        <w:ind w:left="266" w:hanging="266"/>
        <w:textAlignment w:val="baseline"/>
        <w:rPr>
          <w:bCs/>
          <w:lang w:val="en-GB"/>
        </w:rPr>
      </w:pPr>
    </w:p>
    <w:tbl>
      <w:tblPr>
        <w:tblStyle w:val="TableGrid23"/>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EC4D43" w:rsidRPr="00EC4D43" w14:paraId="2D162523" w14:textId="77777777" w:rsidTr="002E7EFB">
        <w:tc>
          <w:tcPr>
            <w:tcW w:w="1078" w:type="pct"/>
          </w:tcPr>
          <w:p w14:paraId="1CAD14A2" w14:textId="77777777" w:rsidR="00EC4D43" w:rsidRPr="00EC4D43" w:rsidRDefault="00EC4D43" w:rsidP="00EC4D43">
            <w:pPr>
              <w:overflowPunct w:val="0"/>
              <w:autoSpaceDE w:val="0"/>
              <w:autoSpaceDN w:val="0"/>
              <w:adjustRightInd w:val="0"/>
              <w:textAlignment w:val="baseline"/>
              <w:rPr>
                <w:i/>
              </w:rPr>
            </w:pPr>
            <w:r>
              <w:rPr>
                <w:b/>
                <w:i/>
              </w:rPr>
              <w:t>Contactpersoon</w:t>
            </w:r>
          </w:p>
        </w:tc>
        <w:tc>
          <w:tcPr>
            <w:tcW w:w="3922" w:type="pct"/>
          </w:tcPr>
          <w:p w14:paraId="36FD4393" w14:textId="46A780E6" w:rsidR="00EC4D43" w:rsidRPr="00EC4D43" w:rsidRDefault="00EC4D43" w:rsidP="00EC4D43">
            <w:pPr>
              <w:overflowPunct w:val="0"/>
              <w:autoSpaceDE w:val="0"/>
              <w:autoSpaceDN w:val="0"/>
              <w:adjustRightInd w:val="0"/>
              <w:textAlignment w:val="baseline"/>
              <w:rPr>
                <w:i/>
              </w:rPr>
            </w:pPr>
            <w:r>
              <w:rPr>
                <w:i/>
              </w:rPr>
              <w:t>Gaizka Malo Elcoro-Iribe</w:t>
            </w:r>
          </w:p>
        </w:tc>
      </w:tr>
      <w:tr w:rsidR="00EC4D43" w:rsidRPr="00EC4D43" w14:paraId="0DA2E11C" w14:textId="77777777" w:rsidTr="002E7EFB">
        <w:tc>
          <w:tcPr>
            <w:tcW w:w="1078" w:type="pct"/>
          </w:tcPr>
          <w:p w14:paraId="459B752C" w14:textId="77777777" w:rsidR="00EC4D43" w:rsidRPr="00EC4D43" w:rsidRDefault="00EC4D43" w:rsidP="00EC4D43">
            <w:pPr>
              <w:overflowPunct w:val="0"/>
              <w:autoSpaceDE w:val="0"/>
              <w:autoSpaceDN w:val="0"/>
              <w:adjustRightInd w:val="0"/>
              <w:textAlignment w:val="baseline"/>
              <w:rPr>
                <w:i/>
              </w:rPr>
            </w:pPr>
            <w:r>
              <w:rPr>
                <w:i/>
              </w:rPr>
              <w:t>Tel.</w:t>
            </w:r>
          </w:p>
        </w:tc>
        <w:tc>
          <w:tcPr>
            <w:tcW w:w="3922" w:type="pct"/>
          </w:tcPr>
          <w:p w14:paraId="77EB016E" w14:textId="77777777" w:rsidR="00EC4D43" w:rsidRPr="00EC4D43" w:rsidRDefault="00EC4D43" w:rsidP="00EC4D43">
            <w:pPr>
              <w:overflowPunct w:val="0"/>
              <w:autoSpaceDE w:val="0"/>
              <w:autoSpaceDN w:val="0"/>
              <w:adjustRightInd w:val="0"/>
              <w:textAlignment w:val="baseline"/>
              <w:rPr>
                <w:i/>
              </w:rPr>
            </w:pPr>
            <w:r>
              <w:rPr>
                <w:i/>
              </w:rPr>
              <w:t>+32 25468526</w:t>
            </w:r>
          </w:p>
        </w:tc>
      </w:tr>
      <w:tr w:rsidR="00EC4D43" w:rsidRPr="00EC4D43" w14:paraId="1581E8CF" w14:textId="77777777" w:rsidTr="002E7EFB">
        <w:tc>
          <w:tcPr>
            <w:tcW w:w="1078" w:type="pct"/>
          </w:tcPr>
          <w:p w14:paraId="3CA2A44C" w14:textId="77777777" w:rsidR="00EC4D43" w:rsidRPr="00EC4D43" w:rsidRDefault="00EC4D43" w:rsidP="00EC4D43">
            <w:pPr>
              <w:overflowPunct w:val="0"/>
              <w:autoSpaceDE w:val="0"/>
              <w:autoSpaceDN w:val="0"/>
              <w:adjustRightInd w:val="0"/>
              <w:textAlignment w:val="baseline"/>
              <w:rPr>
                <w:i/>
              </w:rPr>
            </w:pPr>
            <w:r>
              <w:rPr>
                <w:i/>
              </w:rPr>
              <w:t>E-mail</w:t>
            </w:r>
          </w:p>
        </w:tc>
        <w:tc>
          <w:tcPr>
            <w:tcW w:w="3922" w:type="pct"/>
          </w:tcPr>
          <w:p w14:paraId="4685C922" w14:textId="69EAE240" w:rsidR="00EC4D43" w:rsidRPr="00EC4D43" w:rsidRDefault="00E23721" w:rsidP="00EC4D43">
            <w:pPr>
              <w:overflowPunct w:val="0"/>
              <w:autoSpaceDE w:val="0"/>
              <w:autoSpaceDN w:val="0"/>
              <w:adjustRightInd w:val="0"/>
              <w:textAlignment w:val="baseline"/>
              <w:rPr>
                <w:i/>
                <w:iCs/>
              </w:rPr>
            </w:pPr>
            <w:hyperlink r:id="rId66" w:history="1">
              <w:r>
                <w:rPr>
                  <w:i/>
                  <w:color w:val="0000FF"/>
                  <w:u w:val="single"/>
                </w:rPr>
                <w:t>Gaizka.Maloelcoro-iribe@eesc.europa.eu</w:t>
              </w:r>
            </w:hyperlink>
            <w:r>
              <w:rPr>
                <w:i/>
              </w:rPr>
              <w:t xml:space="preserve"> </w:t>
            </w:r>
          </w:p>
        </w:tc>
      </w:tr>
    </w:tbl>
    <w:p w14:paraId="06526E7E" w14:textId="3807A81A" w:rsidR="00EC4D43" w:rsidRDefault="00EC4D43" w:rsidP="001766B2">
      <w:pPr>
        <w:jc w:val="left"/>
      </w:pPr>
    </w:p>
    <w:p w14:paraId="18C8BD3F" w14:textId="77777777" w:rsidR="00EC4D43" w:rsidRDefault="00EC4D43">
      <w:pPr>
        <w:spacing w:after="160" w:line="259" w:lineRule="auto"/>
        <w:jc w:val="left"/>
      </w:pPr>
      <w:r>
        <w:br w:type="page"/>
      </w:r>
    </w:p>
    <w:p w14:paraId="14026A78" w14:textId="34519E14" w:rsidR="007F5784" w:rsidRDefault="007F5784" w:rsidP="004C6742">
      <w:pPr>
        <w:pStyle w:val="Heading2"/>
      </w:pPr>
      <w:bookmarkStart w:id="41" w:name="_Toc230351244"/>
      <w:r>
        <w:lastRenderedPageBreak/>
        <w:t>EXTERNE BETREKKINGEN</w:t>
      </w:r>
      <w:bookmarkEnd w:id="41"/>
    </w:p>
    <w:p w14:paraId="3BBB3E68" w14:textId="77777777" w:rsidR="007F5784" w:rsidRDefault="007F5784" w:rsidP="00AE60E9"/>
    <w:p w14:paraId="1A338A4C" w14:textId="799E67DE" w:rsidR="00D16830" w:rsidRPr="00D16830" w:rsidRDefault="00D16830" w:rsidP="00AE60E9">
      <w:pPr>
        <w:widowControl w:val="0"/>
        <w:numPr>
          <w:ilvl w:val="0"/>
          <w:numId w:val="4"/>
        </w:numPr>
        <w:overflowPunct w:val="0"/>
        <w:autoSpaceDE w:val="0"/>
        <w:autoSpaceDN w:val="0"/>
        <w:adjustRightInd w:val="0"/>
        <w:ind w:hanging="567"/>
        <w:textAlignment w:val="baseline"/>
        <w:rPr>
          <w:b/>
          <w:bCs/>
          <w:i/>
          <w:iCs/>
          <w:sz w:val="24"/>
          <w:szCs w:val="24"/>
        </w:rPr>
      </w:pPr>
      <w:hyperlink r:id="rId67" w:history="1">
        <w:r>
          <w:rPr>
            <w:b/>
            <w:i/>
            <w:color w:val="0000FF"/>
            <w:sz w:val="24"/>
            <w:u w:val="single"/>
          </w:rPr>
          <w:t>De rol van het maatschappelijk middenveld bij het ondersteunen van hervormingen in het kader van de groeiplannen voor de Westelijke Balkan en Moldavië, alsook bij het hervormingstraject van Oekraïne</w:t>
        </w:r>
      </w:hyperlink>
    </w:p>
    <w:p w14:paraId="464D5003" w14:textId="77777777" w:rsidR="00D16830" w:rsidRPr="00C56EF3" w:rsidRDefault="00D16830" w:rsidP="00AE60E9">
      <w:pPr>
        <w:tabs>
          <w:tab w:val="center" w:pos="284"/>
        </w:tabs>
        <w:overflowPunct w:val="0"/>
        <w:autoSpaceDE w:val="0"/>
        <w:autoSpaceDN w:val="0"/>
        <w:adjustRightInd w:val="0"/>
        <w:ind w:left="266" w:hanging="266"/>
        <w:textAlignment w:val="baseline"/>
        <w:rPr>
          <w:bCs/>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031"/>
      </w:tblGrid>
      <w:tr w:rsidR="00D16830" w:rsidRPr="00D16830" w14:paraId="10A26714" w14:textId="77777777" w:rsidTr="00C56EF3">
        <w:tc>
          <w:tcPr>
            <w:tcW w:w="2149" w:type="dxa"/>
          </w:tcPr>
          <w:p w14:paraId="1F036B18" w14:textId="77777777" w:rsidR="00D16830" w:rsidRPr="00D16830" w:rsidRDefault="00D16830" w:rsidP="00AE60E9">
            <w:pPr>
              <w:tabs>
                <w:tab w:val="center" w:pos="284"/>
              </w:tabs>
              <w:overflowPunct w:val="0"/>
              <w:autoSpaceDE w:val="0"/>
              <w:autoSpaceDN w:val="0"/>
              <w:adjustRightInd w:val="0"/>
              <w:ind w:left="266" w:hanging="266"/>
              <w:textAlignment w:val="baseline"/>
              <w:rPr>
                <w:b/>
              </w:rPr>
            </w:pPr>
            <w:r>
              <w:rPr>
                <w:b/>
              </w:rPr>
              <w:t>Rapporteur</w:t>
            </w:r>
          </w:p>
        </w:tc>
        <w:tc>
          <w:tcPr>
            <w:tcW w:w="7031" w:type="dxa"/>
          </w:tcPr>
          <w:p w14:paraId="61302FB0" w14:textId="2C902EF4" w:rsidR="00D16830" w:rsidRPr="00D16830" w:rsidRDefault="00D16830" w:rsidP="00AE60E9">
            <w:pPr>
              <w:tabs>
                <w:tab w:val="center" w:pos="284"/>
              </w:tabs>
              <w:overflowPunct w:val="0"/>
              <w:autoSpaceDE w:val="0"/>
              <w:autoSpaceDN w:val="0"/>
              <w:adjustRightInd w:val="0"/>
              <w:ind w:left="266" w:hanging="266"/>
              <w:textAlignment w:val="baseline"/>
            </w:pPr>
            <w:r>
              <w:t>Oleg ROIBU (groep Werkgevers – RO)</w:t>
            </w:r>
          </w:p>
        </w:tc>
      </w:tr>
      <w:tr w:rsidR="00D16830" w:rsidRPr="00D16830" w14:paraId="16FB2AA9" w14:textId="77777777" w:rsidTr="00C56EF3">
        <w:tc>
          <w:tcPr>
            <w:tcW w:w="2149" w:type="dxa"/>
          </w:tcPr>
          <w:p w14:paraId="41593292" w14:textId="77777777" w:rsidR="00D16830" w:rsidRPr="00D16830" w:rsidRDefault="00D16830" w:rsidP="00AE60E9">
            <w:pPr>
              <w:tabs>
                <w:tab w:val="center" w:pos="284"/>
              </w:tabs>
              <w:overflowPunct w:val="0"/>
              <w:autoSpaceDE w:val="0"/>
              <w:autoSpaceDN w:val="0"/>
              <w:adjustRightInd w:val="0"/>
              <w:ind w:left="266" w:hanging="266"/>
              <w:textAlignment w:val="baseline"/>
              <w:rPr>
                <w:b/>
              </w:rPr>
            </w:pPr>
            <w:r>
              <w:rPr>
                <w:b/>
              </w:rPr>
              <w:t>Corapporteur</w:t>
            </w:r>
          </w:p>
        </w:tc>
        <w:tc>
          <w:tcPr>
            <w:tcW w:w="7031" w:type="dxa"/>
          </w:tcPr>
          <w:p w14:paraId="15F5EFBF" w14:textId="32660462" w:rsidR="00D16830" w:rsidRPr="00D16830" w:rsidRDefault="00D16830" w:rsidP="00AE60E9">
            <w:pPr>
              <w:tabs>
                <w:tab w:val="center" w:pos="284"/>
              </w:tabs>
              <w:overflowPunct w:val="0"/>
              <w:autoSpaceDE w:val="0"/>
              <w:autoSpaceDN w:val="0"/>
              <w:adjustRightInd w:val="0"/>
              <w:ind w:left="266" w:hanging="266"/>
              <w:textAlignment w:val="baseline"/>
            </w:pPr>
            <w:r>
              <w:t>Andrej ZORKO (groep Werknemers – SI)</w:t>
            </w:r>
          </w:p>
        </w:tc>
      </w:tr>
      <w:tr w:rsidR="00D16830" w:rsidRPr="00D16830" w14:paraId="6E76E965" w14:textId="77777777" w:rsidTr="00C56EF3">
        <w:tc>
          <w:tcPr>
            <w:tcW w:w="9180" w:type="dxa"/>
            <w:gridSpan w:val="2"/>
          </w:tcPr>
          <w:p w14:paraId="3CA058AE" w14:textId="77777777" w:rsidR="00D16830" w:rsidRPr="00D16830" w:rsidRDefault="00D16830" w:rsidP="00AE60E9">
            <w:pPr>
              <w:tabs>
                <w:tab w:val="center" w:pos="284"/>
              </w:tabs>
              <w:overflowPunct w:val="0"/>
              <w:autoSpaceDE w:val="0"/>
              <w:autoSpaceDN w:val="0"/>
              <w:adjustRightInd w:val="0"/>
              <w:ind w:left="266" w:hanging="266"/>
              <w:textAlignment w:val="baseline"/>
            </w:pPr>
          </w:p>
        </w:tc>
      </w:tr>
      <w:tr w:rsidR="00D16830" w:rsidRPr="00D16830" w14:paraId="0673089E" w14:textId="77777777" w:rsidTr="00C56EF3">
        <w:tc>
          <w:tcPr>
            <w:tcW w:w="2149" w:type="dxa"/>
          </w:tcPr>
          <w:p w14:paraId="62E4ADE4" w14:textId="77777777" w:rsidR="00D16830" w:rsidRPr="00D16830" w:rsidRDefault="00D16830" w:rsidP="00AE60E9">
            <w:pPr>
              <w:tabs>
                <w:tab w:val="center" w:pos="284"/>
              </w:tabs>
              <w:overflowPunct w:val="0"/>
              <w:autoSpaceDE w:val="0"/>
              <w:autoSpaceDN w:val="0"/>
              <w:adjustRightInd w:val="0"/>
              <w:ind w:left="266" w:hanging="266"/>
              <w:textAlignment w:val="baseline"/>
              <w:rPr>
                <w:b/>
              </w:rPr>
            </w:pPr>
            <w:r>
              <w:rPr>
                <w:b/>
              </w:rPr>
              <w:t>Referentiedocumenten</w:t>
            </w:r>
          </w:p>
        </w:tc>
        <w:tc>
          <w:tcPr>
            <w:tcW w:w="7031" w:type="dxa"/>
          </w:tcPr>
          <w:p w14:paraId="7F3E1AFA" w14:textId="712E7546" w:rsidR="006717BA" w:rsidRDefault="006717BA" w:rsidP="00AE60E9">
            <w:pPr>
              <w:tabs>
                <w:tab w:val="center" w:pos="284"/>
              </w:tabs>
              <w:overflowPunct w:val="0"/>
              <w:autoSpaceDE w:val="0"/>
              <w:autoSpaceDN w:val="0"/>
              <w:adjustRightInd w:val="0"/>
              <w:textAlignment w:val="baseline"/>
            </w:pPr>
            <w:r>
              <w:t>Verkennend advies op verzoek van het Cypriotische voorzitterschap van de Raad van de EU</w:t>
            </w:r>
          </w:p>
          <w:p w14:paraId="79EFFABC" w14:textId="224D0178" w:rsidR="00D16830" w:rsidRPr="00D16830" w:rsidRDefault="00D16830" w:rsidP="00AE60E9">
            <w:pPr>
              <w:tabs>
                <w:tab w:val="center" w:pos="284"/>
              </w:tabs>
              <w:overflowPunct w:val="0"/>
              <w:autoSpaceDE w:val="0"/>
              <w:autoSpaceDN w:val="0"/>
              <w:adjustRightInd w:val="0"/>
              <w:ind w:left="266" w:hanging="266"/>
              <w:textAlignment w:val="baseline"/>
            </w:pPr>
            <w:r>
              <w:t>EESC-2026-00143-00-00-AC</w:t>
            </w:r>
          </w:p>
        </w:tc>
      </w:tr>
    </w:tbl>
    <w:p w14:paraId="25FD7D63" w14:textId="77777777" w:rsidR="00AE60E9" w:rsidRPr="00AE60E9" w:rsidRDefault="00AE60E9" w:rsidP="00AE60E9">
      <w:pPr>
        <w:keepNext/>
        <w:keepLines/>
        <w:tabs>
          <w:tab w:val="center" w:pos="284"/>
        </w:tabs>
        <w:overflowPunct w:val="0"/>
        <w:autoSpaceDE w:val="0"/>
        <w:autoSpaceDN w:val="0"/>
        <w:adjustRightInd w:val="0"/>
        <w:ind w:left="266" w:hanging="266"/>
        <w:textAlignment w:val="baseline"/>
        <w:rPr>
          <w:bCs/>
        </w:rPr>
      </w:pPr>
    </w:p>
    <w:p w14:paraId="3E05C86B" w14:textId="27FCBD78" w:rsidR="00D16830" w:rsidRPr="00D16830" w:rsidRDefault="00D16830" w:rsidP="00AE60E9">
      <w:pPr>
        <w:keepNext/>
        <w:keepLines/>
        <w:tabs>
          <w:tab w:val="center" w:pos="284"/>
        </w:tabs>
        <w:overflowPunct w:val="0"/>
        <w:autoSpaceDE w:val="0"/>
        <w:autoSpaceDN w:val="0"/>
        <w:adjustRightInd w:val="0"/>
        <w:ind w:left="266" w:hanging="266"/>
        <w:textAlignment w:val="baseline"/>
        <w:rPr>
          <w:b/>
        </w:rPr>
      </w:pPr>
      <w:r>
        <w:rPr>
          <w:b/>
        </w:rPr>
        <w:t xml:space="preserve">Hoofdpunten </w:t>
      </w:r>
    </w:p>
    <w:p w14:paraId="7EE6889C" w14:textId="77777777" w:rsidR="00D16830" w:rsidRPr="00C56EF3" w:rsidRDefault="00D16830" w:rsidP="00AE60E9">
      <w:pPr>
        <w:keepNext/>
        <w:keepLines/>
        <w:tabs>
          <w:tab w:val="center" w:pos="284"/>
        </w:tabs>
        <w:overflowPunct w:val="0"/>
        <w:autoSpaceDE w:val="0"/>
        <w:autoSpaceDN w:val="0"/>
        <w:adjustRightInd w:val="0"/>
        <w:ind w:left="266" w:hanging="266"/>
        <w:textAlignment w:val="baseline"/>
        <w:rPr>
          <w:bCs/>
          <w:lang w:val="en-GB"/>
        </w:rPr>
      </w:pPr>
    </w:p>
    <w:p w14:paraId="6D13BD68" w14:textId="77777777" w:rsidR="00D16830" w:rsidRDefault="00D16830" w:rsidP="00AE60E9">
      <w:pPr>
        <w:overflowPunct w:val="0"/>
        <w:autoSpaceDE w:val="0"/>
        <w:autoSpaceDN w:val="0"/>
        <w:adjustRightInd w:val="0"/>
        <w:textAlignment w:val="baseline"/>
        <w:rPr>
          <w:bCs/>
          <w:iCs/>
        </w:rPr>
      </w:pPr>
      <w:r>
        <w:t>Het EESC:</w:t>
      </w:r>
    </w:p>
    <w:p w14:paraId="34AABBC4" w14:textId="77777777" w:rsidR="00037101" w:rsidRPr="00D16830" w:rsidRDefault="00037101" w:rsidP="00AE60E9">
      <w:pPr>
        <w:overflowPunct w:val="0"/>
        <w:autoSpaceDE w:val="0"/>
        <w:autoSpaceDN w:val="0"/>
        <w:adjustRightInd w:val="0"/>
        <w:textAlignment w:val="baseline"/>
        <w:rPr>
          <w:bCs/>
          <w:iCs/>
          <w:lang w:val="en-GB"/>
        </w:rPr>
      </w:pPr>
    </w:p>
    <w:p w14:paraId="29563EFC" w14:textId="77777777" w:rsidR="00D16830" w:rsidRPr="00D16830" w:rsidRDefault="00D16830" w:rsidP="00AE60E9">
      <w:pPr>
        <w:widowControl w:val="0"/>
        <w:numPr>
          <w:ilvl w:val="0"/>
          <w:numId w:val="63"/>
        </w:numPr>
        <w:overflowPunct w:val="0"/>
        <w:autoSpaceDE w:val="0"/>
        <w:autoSpaceDN w:val="0"/>
        <w:adjustRightInd w:val="0"/>
        <w:ind w:left="270" w:hanging="270"/>
        <w:textAlignment w:val="baseline"/>
        <w:rPr>
          <w:bCs/>
          <w:iCs/>
        </w:rPr>
      </w:pPr>
      <w:r>
        <w:t xml:space="preserve">onderstreept dat alle drie de faciliteiten voor de Westelijke Balkan, Oekraïne en Moldavië </w:t>
      </w:r>
      <w:r>
        <w:rPr>
          <w:b/>
          <w:bCs/>
        </w:rPr>
        <w:t>actieve betrokkenheid vereisen van het maatschappelijk middenveld</w:t>
      </w:r>
      <w:r>
        <w:t xml:space="preserve"> als een structurele governancevoorwaarde die ten grondslag ligt aan de </w:t>
      </w:r>
      <w:r>
        <w:rPr>
          <w:b/>
          <w:bCs/>
        </w:rPr>
        <w:t>houdbaarheid van het uitbreidingsproces</w:t>
      </w:r>
      <w:r>
        <w:t>;</w:t>
      </w:r>
    </w:p>
    <w:p w14:paraId="6CBB1B4B" w14:textId="77777777" w:rsidR="00D16830" w:rsidRPr="00D16830" w:rsidRDefault="00D16830" w:rsidP="00AE60E9">
      <w:pPr>
        <w:widowControl w:val="0"/>
        <w:numPr>
          <w:ilvl w:val="0"/>
          <w:numId w:val="63"/>
        </w:numPr>
        <w:overflowPunct w:val="0"/>
        <w:autoSpaceDE w:val="0"/>
        <w:autoSpaceDN w:val="0"/>
        <w:adjustRightInd w:val="0"/>
        <w:ind w:left="270" w:hanging="270"/>
        <w:textAlignment w:val="baseline"/>
        <w:rPr>
          <w:bCs/>
          <w:iCs/>
        </w:rPr>
      </w:pPr>
      <w:r>
        <w:t xml:space="preserve">benadrukt dat de betrokkenheid van het maatschappelijk middenveld bij de door de drie faciliteiten ondersteunde hervormingen moet bestaan uit een </w:t>
      </w:r>
      <w:r>
        <w:rPr>
          <w:b/>
          <w:bCs/>
        </w:rPr>
        <w:t>permanente, actieve, gestructureerde en formeel geïnstitutionaliseerde rol voor de sociale partners en maatschappelijke organisaties</w:t>
      </w:r>
      <w:r>
        <w:t xml:space="preserve"> naast de nationale autoriteiten;</w:t>
      </w:r>
    </w:p>
    <w:p w14:paraId="6112EC9A" w14:textId="77777777" w:rsidR="00D16830" w:rsidRPr="00D16830" w:rsidRDefault="00D16830" w:rsidP="00AE60E9">
      <w:pPr>
        <w:widowControl w:val="0"/>
        <w:numPr>
          <w:ilvl w:val="0"/>
          <w:numId w:val="63"/>
        </w:numPr>
        <w:overflowPunct w:val="0"/>
        <w:autoSpaceDE w:val="0"/>
        <w:autoSpaceDN w:val="0"/>
        <w:adjustRightInd w:val="0"/>
        <w:ind w:left="270" w:hanging="270"/>
        <w:textAlignment w:val="baseline"/>
        <w:rPr>
          <w:bCs/>
          <w:iCs/>
        </w:rPr>
      </w:pPr>
      <w:r>
        <w:t xml:space="preserve">beklemtoont dat </w:t>
      </w:r>
      <w:r>
        <w:rPr>
          <w:b/>
          <w:bCs/>
        </w:rPr>
        <w:t>financiering landen actief moet voorbereiden op EU-lidmaatschap</w:t>
      </w:r>
      <w:r>
        <w:t xml:space="preserve"> uitgaande van het Europese sociale en economische model en niet alleen hun integratie in de eengemaakte markt mag ondersteunen;</w:t>
      </w:r>
    </w:p>
    <w:p w14:paraId="2E0BC090" w14:textId="77777777" w:rsidR="00D16830" w:rsidRPr="00D16830" w:rsidRDefault="00D16830" w:rsidP="00AE60E9">
      <w:pPr>
        <w:widowControl w:val="0"/>
        <w:numPr>
          <w:ilvl w:val="0"/>
          <w:numId w:val="63"/>
        </w:numPr>
        <w:overflowPunct w:val="0"/>
        <w:autoSpaceDE w:val="0"/>
        <w:autoSpaceDN w:val="0"/>
        <w:adjustRightInd w:val="0"/>
        <w:ind w:left="270" w:hanging="270"/>
        <w:textAlignment w:val="baseline"/>
        <w:rPr>
          <w:szCs w:val="20"/>
        </w:rPr>
      </w:pPr>
      <w:r>
        <w:t xml:space="preserve">wijst erop dat </w:t>
      </w:r>
      <w:r>
        <w:rPr>
          <w:b/>
          <w:bCs/>
        </w:rPr>
        <w:t>deadlines geen afbreuk mogen doen aan democratische procedures, het openbare debat, verplichte raadplegingen of de dialoog</w:t>
      </w:r>
      <w:r>
        <w:t xml:space="preserve"> met de sociale partners en maatschappelijke organisaties, en evenmin mogen worden gebruikt als rechtvaardiging van legislatieve geitenpaadjes als noodoplossing waarbij de sociale partners en maatschappelijke organisaties worden buitengesloten;</w:t>
      </w:r>
    </w:p>
    <w:p w14:paraId="13E72E61" w14:textId="77777777" w:rsidR="00D16830" w:rsidRPr="00D16830" w:rsidRDefault="00D16830" w:rsidP="00AE60E9">
      <w:pPr>
        <w:widowControl w:val="0"/>
        <w:numPr>
          <w:ilvl w:val="0"/>
          <w:numId w:val="63"/>
        </w:numPr>
        <w:overflowPunct w:val="0"/>
        <w:autoSpaceDE w:val="0"/>
        <w:autoSpaceDN w:val="0"/>
        <w:adjustRightInd w:val="0"/>
        <w:ind w:left="270" w:hanging="270"/>
        <w:textAlignment w:val="baseline"/>
        <w:rPr>
          <w:bCs/>
          <w:iCs/>
        </w:rPr>
      </w:pPr>
      <w:r>
        <w:t xml:space="preserve">benadrukt dat regeringen een </w:t>
      </w:r>
      <w:r>
        <w:rPr>
          <w:b/>
          <w:bCs/>
        </w:rPr>
        <w:t>gestructureerd kader voor sociale dialoog</w:t>
      </w:r>
      <w:r>
        <w:t xml:space="preserve"> tot stand moeten brengen dat de deelname van nationaal representatieve (d.w.z. een passend aantal leden tellende) werkgevers-, werknemers- en maatschappelijke organisaties waarborgt, met </w:t>
      </w:r>
      <w:r>
        <w:rPr>
          <w:b/>
          <w:bCs/>
        </w:rPr>
        <w:t>inachtneming van de specifieke rol en autonomie van de sociale partners</w:t>
      </w:r>
      <w:r>
        <w:t>;</w:t>
      </w:r>
    </w:p>
    <w:p w14:paraId="26EAFF74" w14:textId="77777777" w:rsidR="00D16830" w:rsidRPr="00D16830" w:rsidRDefault="00D16830" w:rsidP="00AE60E9">
      <w:pPr>
        <w:widowControl w:val="0"/>
        <w:numPr>
          <w:ilvl w:val="0"/>
          <w:numId w:val="63"/>
        </w:numPr>
        <w:overflowPunct w:val="0"/>
        <w:autoSpaceDE w:val="0"/>
        <w:autoSpaceDN w:val="0"/>
        <w:adjustRightInd w:val="0"/>
        <w:ind w:left="270" w:hanging="270"/>
        <w:textAlignment w:val="baseline"/>
        <w:rPr>
          <w:bCs/>
          <w:iCs/>
        </w:rPr>
      </w:pPr>
      <w:r>
        <w:t xml:space="preserve">beveelt de Europese Commissie aan om duidelijke, openbare richtsnoeren op te stellen voor de beoordeling van de volledige en gedeeltelijke </w:t>
      </w:r>
      <w:r>
        <w:rPr>
          <w:b/>
          <w:bCs/>
        </w:rPr>
        <w:t>verwezenlijking van de uitvoeringsindicatoren van de hervormingsagenda’s</w:t>
      </w:r>
      <w:r>
        <w:t>, met inbegrip van verificatienormen en aanwijzingen voor de omgang met situaties waarin eerder vervulde voorwaarden opnieuw niet worden nagekomen;</w:t>
      </w:r>
    </w:p>
    <w:p w14:paraId="2056D22B" w14:textId="77777777" w:rsidR="00D16830" w:rsidRPr="00D16830" w:rsidRDefault="00D16830" w:rsidP="00AE60E9">
      <w:pPr>
        <w:widowControl w:val="0"/>
        <w:numPr>
          <w:ilvl w:val="0"/>
          <w:numId w:val="63"/>
        </w:numPr>
        <w:overflowPunct w:val="0"/>
        <w:autoSpaceDE w:val="0"/>
        <w:autoSpaceDN w:val="0"/>
        <w:adjustRightInd w:val="0"/>
        <w:ind w:left="270" w:hanging="270"/>
        <w:textAlignment w:val="baseline"/>
        <w:rPr>
          <w:bCs/>
          <w:iCs/>
        </w:rPr>
      </w:pPr>
      <w:r>
        <w:t xml:space="preserve">beveelt aan om via </w:t>
      </w:r>
      <w:r>
        <w:rPr>
          <w:b/>
          <w:bCs/>
        </w:rPr>
        <w:t>meerjarige en transparante financieringsmechanismen</w:t>
      </w:r>
      <w:r>
        <w:t xml:space="preserve"> te zorgen voor op maat gesneden, duurzame en voorspelbare </w:t>
      </w:r>
      <w:r>
        <w:rPr>
          <w:b/>
          <w:bCs/>
        </w:rPr>
        <w:t>financiële steun voor maatschappelijke organisaties en de sociale partners</w:t>
      </w:r>
      <w:r>
        <w:t>;</w:t>
      </w:r>
    </w:p>
    <w:p w14:paraId="3DC98AF8" w14:textId="77777777" w:rsidR="00D16830" w:rsidRPr="00C56EF3" w:rsidRDefault="00D16830" w:rsidP="00AE60E9">
      <w:pPr>
        <w:keepNext/>
        <w:keepLines/>
        <w:numPr>
          <w:ilvl w:val="0"/>
          <w:numId w:val="63"/>
        </w:numPr>
        <w:overflowPunct w:val="0"/>
        <w:autoSpaceDE w:val="0"/>
        <w:autoSpaceDN w:val="0"/>
        <w:adjustRightInd w:val="0"/>
        <w:ind w:left="270" w:hanging="270"/>
        <w:textAlignment w:val="baseline"/>
        <w:rPr>
          <w:bCs/>
          <w:iCs/>
        </w:rPr>
      </w:pPr>
      <w:r w:rsidRPr="00C56EF3">
        <w:lastRenderedPageBreak/>
        <w:t xml:space="preserve">verzoekt de Europese Commissie gebruik te maken van </w:t>
      </w:r>
      <w:r w:rsidRPr="00C56EF3">
        <w:rPr>
          <w:b/>
          <w:bCs/>
        </w:rPr>
        <w:t>tussentijdse beoordelingen</w:t>
      </w:r>
      <w:r w:rsidRPr="00C56EF3">
        <w:t xml:space="preserve"> van de governance- en uitvoeringskaders van de huidige faciliteiten om </w:t>
      </w:r>
      <w:r w:rsidRPr="00C56EF3">
        <w:rPr>
          <w:b/>
          <w:bCs/>
        </w:rPr>
        <w:t>de uitvoering van de huidige en toekomstige relevante op prestaties gebaseerde uitbreidingsinstrumenten van de EU verder te verbeteren</w:t>
      </w:r>
      <w:r w:rsidRPr="00C56EF3">
        <w:t>.</w:t>
      </w:r>
    </w:p>
    <w:p w14:paraId="77E533A4" w14:textId="77777777" w:rsidR="00D16830" w:rsidRPr="00D16830" w:rsidRDefault="00D16830" w:rsidP="00AE60E9">
      <w:pPr>
        <w:widowControl w:val="0"/>
        <w:overflowPunct w:val="0"/>
        <w:autoSpaceDE w:val="0"/>
        <w:autoSpaceDN w:val="0"/>
        <w:adjustRightInd w:val="0"/>
        <w:ind w:left="284" w:hanging="284"/>
        <w:textAlignment w:val="baseline"/>
        <w:rPr>
          <w:szCs w:val="20"/>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5670"/>
      </w:tblGrid>
      <w:tr w:rsidR="00D16830" w:rsidRPr="00D16830" w14:paraId="06D6E640" w14:textId="77777777" w:rsidTr="002E7EFB">
        <w:tc>
          <w:tcPr>
            <w:tcW w:w="1418" w:type="dxa"/>
          </w:tcPr>
          <w:p w14:paraId="2EFB1BD5" w14:textId="77777777" w:rsidR="00D16830" w:rsidRPr="00D16830" w:rsidRDefault="00D16830" w:rsidP="00D16830">
            <w:pPr>
              <w:overflowPunct w:val="0"/>
              <w:autoSpaceDE w:val="0"/>
              <w:autoSpaceDN w:val="0"/>
              <w:adjustRightInd w:val="0"/>
              <w:spacing w:line="240" w:lineRule="auto"/>
              <w:textAlignment w:val="baseline"/>
              <w:rPr>
                <w:i/>
              </w:rPr>
            </w:pPr>
            <w:r>
              <w:rPr>
                <w:b/>
                <w:i/>
              </w:rPr>
              <w:t>Contactpersoon</w:t>
            </w:r>
          </w:p>
        </w:tc>
        <w:tc>
          <w:tcPr>
            <w:tcW w:w="5670" w:type="dxa"/>
          </w:tcPr>
          <w:p w14:paraId="72677A97" w14:textId="77777777" w:rsidR="00D16830" w:rsidRPr="00D16830" w:rsidRDefault="00D16830" w:rsidP="00D16830">
            <w:pPr>
              <w:overflowPunct w:val="0"/>
              <w:autoSpaceDE w:val="0"/>
              <w:autoSpaceDN w:val="0"/>
              <w:adjustRightInd w:val="0"/>
              <w:spacing w:line="240" w:lineRule="auto"/>
              <w:textAlignment w:val="baseline"/>
              <w:rPr>
                <w:i/>
              </w:rPr>
            </w:pPr>
            <w:r>
              <w:rPr>
                <w:i/>
              </w:rPr>
              <w:t>David Hoić</w:t>
            </w:r>
          </w:p>
        </w:tc>
      </w:tr>
      <w:tr w:rsidR="00D16830" w:rsidRPr="00D16830" w14:paraId="3BA7205F" w14:textId="77777777" w:rsidTr="002E7EFB">
        <w:tc>
          <w:tcPr>
            <w:tcW w:w="1418" w:type="dxa"/>
          </w:tcPr>
          <w:p w14:paraId="7D4BCE3B" w14:textId="77777777" w:rsidR="00D16830" w:rsidRPr="00D16830" w:rsidRDefault="00D16830" w:rsidP="00D16830">
            <w:pPr>
              <w:overflowPunct w:val="0"/>
              <w:autoSpaceDE w:val="0"/>
              <w:autoSpaceDN w:val="0"/>
              <w:adjustRightInd w:val="0"/>
              <w:spacing w:line="240" w:lineRule="auto"/>
              <w:textAlignment w:val="baseline"/>
              <w:rPr>
                <w:i/>
              </w:rPr>
            </w:pPr>
            <w:r>
              <w:rPr>
                <w:i/>
              </w:rPr>
              <w:t>Tel.</w:t>
            </w:r>
          </w:p>
        </w:tc>
        <w:tc>
          <w:tcPr>
            <w:tcW w:w="5670" w:type="dxa"/>
          </w:tcPr>
          <w:p w14:paraId="6033BB59" w14:textId="77777777" w:rsidR="00D16830" w:rsidRPr="00D16830" w:rsidRDefault="00D16830" w:rsidP="00D16830">
            <w:pPr>
              <w:overflowPunct w:val="0"/>
              <w:autoSpaceDE w:val="0"/>
              <w:autoSpaceDN w:val="0"/>
              <w:adjustRightInd w:val="0"/>
              <w:spacing w:line="240" w:lineRule="auto"/>
              <w:textAlignment w:val="baseline"/>
              <w:rPr>
                <w:i/>
              </w:rPr>
            </w:pPr>
            <w:r>
              <w:rPr>
                <w:i/>
              </w:rPr>
              <w:t>+32 25469069</w:t>
            </w:r>
          </w:p>
        </w:tc>
      </w:tr>
      <w:tr w:rsidR="00D16830" w:rsidRPr="00D16830" w14:paraId="06D43AB5" w14:textId="77777777" w:rsidTr="002E7EFB">
        <w:tc>
          <w:tcPr>
            <w:tcW w:w="1418" w:type="dxa"/>
          </w:tcPr>
          <w:p w14:paraId="1591AA97" w14:textId="77777777" w:rsidR="00D16830" w:rsidRPr="00D16830" w:rsidRDefault="00D16830" w:rsidP="00D16830">
            <w:pPr>
              <w:overflowPunct w:val="0"/>
              <w:autoSpaceDE w:val="0"/>
              <w:autoSpaceDN w:val="0"/>
              <w:adjustRightInd w:val="0"/>
              <w:spacing w:line="240" w:lineRule="auto"/>
              <w:textAlignment w:val="baseline"/>
              <w:rPr>
                <w:i/>
              </w:rPr>
            </w:pPr>
            <w:r>
              <w:rPr>
                <w:i/>
              </w:rPr>
              <w:t>E-mail</w:t>
            </w:r>
          </w:p>
        </w:tc>
        <w:tc>
          <w:tcPr>
            <w:tcW w:w="5670" w:type="dxa"/>
          </w:tcPr>
          <w:p w14:paraId="104A20AD" w14:textId="1E36B5B5" w:rsidR="00D16830" w:rsidRPr="00D16830" w:rsidRDefault="00E23721" w:rsidP="00D16830">
            <w:pPr>
              <w:overflowPunct w:val="0"/>
              <w:autoSpaceDE w:val="0"/>
              <w:autoSpaceDN w:val="0"/>
              <w:adjustRightInd w:val="0"/>
              <w:spacing w:line="240" w:lineRule="auto"/>
              <w:textAlignment w:val="baseline"/>
              <w:rPr>
                <w:i/>
              </w:rPr>
            </w:pPr>
            <w:hyperlink r:id="rId68" w:history="1">
              <w:r>
                <w:rPr>
                  <w:i/>
                  <w:color w:val="0000FF"/>
                  <w:u w:val="single"/>
                </w:rPr>
                <w:t>David.Hoic@eesc.europa.eu</w:t>
              </w:r>
            </w:hyperlink>
            <w:r>
              <w:rPr>
                <w:i/>
              </w:rPr>
              <w:t xml:space="preserve"> </w:t>
            </w:r>
          </w:p>
        </w:tc>
      </w:tr>
    </w:tbl>
    <w:p w14:paraId="126BFE8C" w14:textId="2B629BAC" w:rsidR="00A3691D" w:rsidRDefault="00A3691D" w:rsidP="0066696D">
      <w:pPr>
        <w:pStyle w:val="ListParagraph"/>
        <w:ind w:left="567" w:hanging="567"/>
        <w:jc w:val="left"/>
      </w:pPr>
    </w:p>
    <w:p w14:paraId="09BE7192" w14:textId="77777777" w:rsidR="00A067F3" w:rsidRDefault="00A067F3">
      <w:pPr>
        <w:spacing w:after="160" w:line="259" w:lineRule="auto"/>
        <w:jc w:val="left"/>
      </w:pPr>
      <w:r>
        <w:br w:type="page"/>
      </w:r>
    </w:p>
    <w:p w14:paraId="41D04A86" w14:textId="0C8AE98B" w:rsidR="00297F0C" w:rsidRPr="00297F0C" w:rsidRDefault="00297F0C" w:rsidP="00297F0C">
      <w:pPr>
        <w:widowControl w:val="0"/>
        <w:numPr>
          <w:ilvl w:val="0"/>
          <w:numId w:val="4"/>
        </w:numPr>
        <w:overflowPunct w:val="0"/>
        <w:autoSpaceDE w:val="0"/>
        <w:autoSpaceDN w:val="0"/>
        <w:adjustRightInd w:val="0"/>
        <w:ind w:hanging="567"/>
        <w:jc w:val="left"/>
        <w:textAlignment w:val="baseline"/>
        <w:rPr>
          <w:sz w:val="20"/>
          <w:szCs w:val="20"/>
        </w:rPr>
      </w:pPr>
      <w:hyperlink r:id="rId69" w:history="1">
        <w:r>
          <w:rPr>
            <w:b/>
            <w:i/>
            <w:color w:val="0000FF"/>
            <w:sz w:val="28"/>
            <w:u w:val="single"/>
          </w:rPr>
          <w:t>De rol van de particuliere sector en het maatschappelijk middenveld bij de versterking van de economische samenwerking in het kader van het pact voor het Middellandse Zeegebied</w:t>
        </w:r>
      </w:hyperlink>
    </w:p>
    <w:p w14:paraId="04ADF7F0" w14:textId="77777777" w:rsidR="00297F0C" w:rsidRPr="00C56EF3" w:rsidRDefault="00297F0C" w:rsidP="00297F0C">
      <w:pPr>
        <w:tabs>
          <w:tab w:val="center" w:pos="284"/>
        </w:tabs>
        <w:overflowPunct w:val="0"/>
        <w:autoSpaceDE w:val="0"/>
        <w:autoSpaceDN w:val="0"/>
        <w:adjustRightInd w:val="0"/>
        <w:ind w:left="266" w:hanging="266"/>
        <w:textAlignment w:val="baseline"/>
        <w:rPr>
          <w:bCs/>
          <w:lang w:val="en-GB"/>
        </w:rPr>
      </w:pPr>
    </w:p>
    <w:tbl>
      <w:tblPr>
        <w:tblStyle w:val="TableGrid25"/>
        <w:tblW w:w="51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463"/>
      </w:tblGrid>
      <w:tr w:rsidR="00297F0C" w:rsidRPr="00297F0C" w14:paraId="125788EB" w14:textId="77777777" w:rsidTr="00C56EF3">
        <w:trPr>
          <w:trHeight w:val="70"/>
        </w:trPr>
        <w:tc>
          <w:tcPr>
            <w:tcW w:w="1118" w:type="pct"/>
          </w:tcPr>
          <w:p w14:paraId="210D65F7"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Rapporteur</w:t>
            </w:r>
          </w:p>
        </w:tc>
        <w:tc>
          <w:tcPr>
            <w:tcW w:w="3882" w:type="pct"/>
          </w:tcPr>
          <w:p w14:paraId="1A0D7BEA" w14:textId="77777777" w:rsidR="00297F0C" w:rsidRPr="00297F0C" w:rsidRDefault="00297F0C" w:rsidP="00297F0C">
            <w:pPr>
              <w:tabs>
                <w:tab w:val="center" w:pos="284"/>
              </w:tabs>
              <w:overflowPunct w:val="0"/>
              <w:autoSpaceDE w:val="0"/>
              <w:autoSpaceDN w:val="0"/>
              <w:adjustRightInd w:val="0"/>
              <w:ind w:left="266" w:right="-3091" w:hanging="266"/>
              <w:textAlignment w:val="baseline"/>
            </w:pPr>
            <w:r>
              <w:t>Thomas WAGNSONNER (groep Werknemers – AT)</w:t>
            </w:r>
          </w:p>
        </w:tc>
      </w:tr>
      <w:tr w:rsidR="00297F0C" w:rsidRPr="00297F0C" w14:paraId="3290F704" w14:textId="77777777" w:rsidTr="00C56EF3">
        <w:tc>
          <w:tcPr>
            <w:tcW w:w="1118" w:type="pct"/>
          </w:tcPr>
          <w:p w14:paraId="432C48BB"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Corapporteur</w:t>
            </w:r>
          </w:p>
        </w:tc>
        <w:tc>
          <w:tcPr>
            <w:tcW w:w="3882" w:type="pct"/>
          </w:tcPr>
          <w:p w14:paraId="78BBD0C8" w14:textId="77777777" w:rsidR="00297F0C" w:rsidRDefault="00297F0C" w:rsidP="00297F0C">
            <w:pPr>
              <w:tabs>
                <w:tab w:val="center" w:pos="284"/>
              </w:tabs>
              <w:overflowPunct w:val="0"/>
              <w:autoSpaceDE w:val="0"/>
              <w:autoSpaceDN w:val="0"/>
              <w:adjustRightInd w:val="0"/>
              <w:ind w:left="266" w:right="-3091" w:hanging="266"/>
              <w:textAlignment w:val="baseline"/>
            </w:pPr>
            <w:r>
              <w:t>Lidija PAVIĆ-ROGOŠIĆ (groep Maatschappelijke Organisaties – HR)</w:t>
            </w:r>
          </w:p>
          <w:p w14:paraId="14EF11F7" w14:textId="77777777" w:rsidR="00F76EE7" w:rsidRPr="00297F0C" w:rsidRDefault="00F76EE7" w:rsidP="00297F0C">
            <w:pPr>
              <w:tabs>
                <w:tab w:val="center" w:pos="284"/>
              </w:tabs>
              <w:overflowPunct w:val="0"/>
              <w:autoSpaceDE w:val="0"/>
              <w:autoSpaceDN w:val="0"/>
              <w:adjustRightInd w:val="0"/>
              <w:ind w:left="266" w:right="-3091" w:hanging="266"/>
              <w:textAlignment w:val="baseline"/>
            </w:pPr>
          </w:p>
        </w:tc>
      </w:tr>
      <w:tr w:rsidR="00297F0C" w:rsidRPr="00297F0C" w14:paraId="54CCBB87" w14:textId="77777777" w:rsidTr="00C56EF3">
        <w:tc>
          <w:tcPr>
            <w:tcW w:w="1118" w:type="pct"/>
          </w:tcPr>
          <w:p w14:paraId="7E611676"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Referentiedocumenten</w:t>
            </w:r>
          </w:p>
        </w:tc>
        <w:tc>
          <w:tcPr>
            <w:tcW w:w="3882" w:type="pct"/>
          </w:tcPr>
          <w:p w14:paraId="4F6E33CF" w14:textId="1323A011" w:rsidR="005D6457" w:rsidRPr="00C56EF3" w:rsidRDefault="005D6457" w:rsidP="00C56EF3">
            <w:pPr>
              <w:tabs>
                <w:tab w:val="center" w:pos="284"/>
              </w:tabs>
              <w:overflowPunct w:val="0"/>
              <w:autoSpaceDE w:val="0"/>
              <w:autoSpaceDN w:val="0"/>
              <w:adjustRightInd w:val="0"/>
              <w:textAlignment w:val="baseline"/>
              <w:rPr>
                <w:spacing w:val="-2"/>
              </w:rPr>
            </w:pPr>
            <w:r w:rsidRPr="00C56EF3">
              <w:rPr>
                <w:spacing w:val="-2"/>
              </w:rPr>
              <w:t>Verkennend advies op verzoek van het Cypriotische voorzitterschap van de Raad van de EU</w:t>
            </w:r>
          </w:p>
          <w:p w14:paraId="6DA7AE0B" w14:textId="1B6A132C" w:rsidR="00297F0C" w:rsidRPr="00297F0C" w:rsidRDefault="00297F0C" w:rsidP="00297F0C">
            <w:pPr>
              <w:tabs>
                <w:tab w:val="center" w:pos="284"/>
              </w:tabs>
              <w:overflowPunct w:val="0"/>
              <w:autoSpaceDE w:val="0"/>
              <w:autoSpaceDN w:val="0"/>
              <w:adjustRightInd w:val="0"/>
              <w:ind w:left="266" w:right="-3091" w:hanging="266"/>
              <w:textAlignment w:val="baseline"/>
            </w:pPr>
            <w:r>
              <w:t>EESC-2025-04127-00-00-AC</w:t>
            </w:r>
          </w:p>
        </w:tc>
      </w:tr>
    </w:tbl>
    <w:p w14:paraId="4D431AA9" w14:textId="77777777" w:rsidR="00297F0C" w:rsidRPr="00C56EF3" w:rsidRDefault="00297F0C" w:rsidP="00AE60E9">
      <w:pPr>
        <w:tabs>
          <w:tab w:val="center" w:pos="284"/>
        </w:tabs>
        <w:overflowPunct w:val="0"/>
        <w:autoSpaceDE w:val="0"/>
        <w:autoSpaceDN w:val="0"/>
        <w:adjustRightInd w:val="0"/>
        <w:textAlignment w:val="baseline"/>
        <w:rPr>
          <w:bCs/>
          <w:lang w:val="en-GB"/>
        </w:rPr>
      </w:pPr>
    </w:p>
    <w:p w14:paraId="22629F76" w14:textId="77777777" w:rsidR="00297F0C" w:rsidRPr="00297F0C" w:rsidRDefault="00297F0C" w:rsidP="00AE60E9">
      <w:pPr>
        <w:keepNext/>
        <w:keepLines/>
        <w:tabs>
          <w:tab w:val="center" w:pos="284"/>
        </w:tabs>
        <w:overflowPunct w:val="0"/>
        <w:autoSpaceDE w:val="0"/>
        <w:autoSpaceDN w:val="0"/>
        <w:adjustRightInd w:val="0"/>
        <w:textAlignment w:val="baseline"/>
        <w:rPr>
          <w:b/>
        </w:rPr>
      </w:pPr>
      <w:r>
        <w:rPr>
          <w:b/>
        </w:rPr>
        <w:t>Hoofdpunten</w:t>
      </w:r>
    </w:p>
    <w:p w14:paraId="3C8C3215" w14:textId="77777777" w:rsidR="00297F0C" w:rsidRPr="00C56EF3" w:rsidRDefault="00297F0C" w:rsidP="00AE60E9">
      <w:pPr>
        <w:keepNext/>
        <w:keepLines/>
        <w:tabs>
          <w:tab w:val="center" w:pos="284"/>
        </w:tabs>
        <w:overflowPunct w:val="0"/>
        <w:autoSpaceDE w:val="0"/>
        <w:autoSpaceDN w:val="0"/>
        <w:adjustRightInd w:val="0"/>
        <w:textAlignment w:val="baseline"/>
        <w:rPr>
          <w:bCs/>
          <w:lang w:val="en-GB"/>
        </w:rPr>
      </w:pPr>
    </w:p>
    <w:p w14:paraId="696A1CA7" w14:textId="77777777" w:rsidR="00297F0C" w:rsidRDefault="00297F0C" w:rsidP="00AE60E9">
      <w:pPr>
        <w:overflowPunct w:val="0"/>
        <w:autoSpaceDE w:val="0"/>
        <w:autoSpaceDN w:val="0"/>
        <w:adjustRightInd w:val="0"/>
        <w:textAlignment w:val="baseline"/>
        <w:rPr>
          <w:bCs/>
          <w:iCs/>
        </w:rPr>
      </w:pPr>
      <w:r>
        <w:t>Het EESC:</w:t>
      </w:r>
    </w:p>
    <w:p w14:paraId="26DA2862" w14:textId="77777777" w:rsidR="00297F0C" w:rsidRPr="00297F0C" w:rsidRDefault="00297F0C" w:rsidP="00AE60E9">
      <w:pPr>
        <w:numPr>
          <w:ilvl w:val="0"/>
          <w:numId w:val="64"/>
        </w:numPr>
        <w:overflowPunct w:val="0"/>
        <w:autoSpaceDE w:val="0"/>
        <w:autoSpaceDN w:val="0"/>
        <w:adjustRightInd w:val="0"/>
        <w:ind w:left="300" w:hanging="300"/>
        <w:textAlignment w:val="baseline"/>
      </w:pPr>
      <w:r>
        <w:t>meent dat het pact voor het Middellandse Zeegebied alleen kan slagen door middel van een echt, gelijkwaardig partnerschap tussen de EU, haar lidstaten en de partners in het zuidelijke Middellandse Zeegebied, met zichtbare voordelen voor gewone mensen en gemeenschappen;</w:t>
      </w:r>
    </w:p>
    <w:p w14:paraId="1A4BF8CB" w14:textId="77777777" w:rsidR="00297F0C" w:rsidRPr="00297F0C" w:rsidRDefault="00297F0C" w:rsidP="00AE60E9">
      <w:pPr>
        <w:numPr>
          <w:ilvl w:val="0"/>
          <w:numId w:val="64"/>
        </w:numPr>
        <w:overflowPunct w:val="0"/>
        <w:autoSpaceDE w:val="0"/>
        <w:autoSpaceDN w:val="0"/>
        <w:adjustRightInd w:val="0"/>
        <w:ind w:left="300" w:hanging="300"/>
        <w:textAlignment w:val="baseline"/>
      </w:pPr>
      <w:r>
        <w:t>zou graag zien dat het maatschappelijk middenveld, waaronder vakbonden, werkgeversgroepen en maatschappelijke organisaties, op permanente en gestructureerde wijze bij het pact worden betrokken, dus niet alleen via ad-hocraadplegingen;</w:t>
      </w:r>
    </w:p>
    <w:p w14:paraId="6F943845" w14:textId="77777777" w:rsidR="00297F0C" w:rsidRPr="00297F0C" w:rsidRDefault="00297F0C" w:rsidP="00AE60E9">
      <w:pPr>
        <w:numPr>
          <w:ilvl w:val="0"/>
          <w:numId w:val="64"/>
        </w:numPr>
        <w:overflowPunct w:val="0"/>
        <w:autoSpaceDE w:val="0"/>
        <w:autoSpaceDN w:val="0"/>
        <w:adjustRightInd w:val="0"/>
        <w:ind w:left="300" w:hanging="300"/>
        <w:textAlignment w:val="baseline"/>
      </w:pPr>
      <w:r>
        <w:t>acht het ter wille van de versterking van de particuliere sector, met name micro-, kleine en middelgrote ondernemingen, zaak om voor de regio’s hervormingen door te voeren waarmee financiering toegankelijker wordt, procedures worden vereenvoudigd en digitalisering en connectiviteit worden ondersteund, zodat bedrijven zich kunnen aansluiten bij regionale waardeketens;</w:t>
      </w:r>
    </w:p>
    <w:p w14:paraId="243F9592" w14:textId="77777777" w:rsidR="00297F0C" w:rsidRPr="00297F0C" w:rsidRDefault="00297F0C" w:rsidP="00AE60E9">
      <w:pPr>
        <w:numPr>
          <w:ilvl w:val="0"/>
          <w:numId w:val="64"/>
        </w:numPr>
        <w:overflowPunct w:val="0"/>
        <w:autoSpaceDE w:val="0"/>
        <w:autoSpaceDN w:val="0"/>
        <w:adjustRightInd w:val="0"/>
        <w:ind w:left="300" w:hanging="300"/>
        <w:textAlignment w:val="baseline"/>
      </w:pPr>
      <w:r>
        <w:t>is van oordeel dat bestaande handelsovereenkomsten van de EU met veel landen in het zuidelijke Middellandse Zeegebied verouderd zijn en gemoderniseerd moeten worden, waarbij het maatschappelijk middenveld dient te helpen om toezicht te houden op normen inzake arbeid, milieu en mensenrechten;</w:t>
      </w:r>
    </w:p>
    <w:p w14:paraId="3659C819" w14:textId="77777777" w:rsidR="00297F0C" w:rsidRPr="00297F0C" w:rsidRDefault="00297F0C" w:rsidP="00AE60E9">
      <w:pPr>
        <w:numPr>
          <w:ilvl w:val="0"/>
          <w:numId w:val="64"/>
        </w:numPr>
        <w:overflowPunct w:val="0"/>
        <w:autoSpaceDE w:val="0"/>
        <w:autoSpaceDN w:val="0"/>
        <w:adjustRightInd w:val="0"/>
        <w:ind w:left="300" w:hanging="300"/>
        <w:textAlignment w:val="baseline"/>
      </w:pPr>
      <w:r>
        <w:t>is van mening dat handel en investeringen moeten worden gekoppeld aan duurzame ontwikkeling en fatsoenlijk werk, met inbegrip van eerlijke lonen, veilige arbeidsomstandigheden, afdwingbare normen en investeringen in duurzame regionale projecten;</w:t>
      </w:r>
    </w:p>
    <w:p w14:paraId="2D5E3A8E" w14:textId="77777777" w:rsidR="00297F0C" w:rsidRPr="00297F0C" w:rsidRDefault="00297F0C" w:rsidP="00AE60E9">
      <w:pPr>
        <w:numPr>
          <w:ilvl w:val="0"/>
          <w:numId w:val="64"/>
        </w:numPr>
        <w:overflowPunct w:val="0"/>
        <w:autoSpaceDE w:val="0"/>
        <w:autoSpaceDN w:val="0"/>
        <w:adjustRightInd w:val="0"/>
        <w:ind w:left="300" w:hanging="300"/>
        <w:textAlignment w:val="baseline"/>
      </w:pPr>
      <w:r>
        <w:t>benadrukt dat bij de transitie van de informele naar de formele economie IAO-aanbeveling nr. 204 moet worden gevolgd, wat betekent dat deze overgang niet bestraffend mag werken, maar geleidelijk, inclusief en economisch realistisch moet zijn;</w:t>
      </w:r>
    </w:p>
    <w:p w14:paraId="12F91A67" w14:textId="77777777" w:rsidR="00297F0C" w:rsidRPr="00297F0C" w:rsidRDefault="00297F0C" w:rsidP="00AE60E9">
      <w:pPr>
        <w:numPr>
          <w:ilvl w:val="0"/>
          <w:numId w:val="64"/>
        </w:numPr>
        <w:overflowPunct w:val="0"/>
        <w:autoSpaceDE w:val="0"/>
        <w:autoSpaceDN w:val="0"/>
        <w:adjustRightInd w:val="0"/>
        <w:ind w:left="300" w:hanging="300"/>
        <w:textAlignment w:val="baseline"/>
      </w:pPr>
      <w:r>
        <w:t>vindt dat het actieplan van het pact sociale bescherming, arbeidsrechten en naleving van de kernverdragen van de IAO moet waarborgen en er tegelijkertijd voor moet zorgen dat de sociale partners en het maatschappelijk middenveld van meet af aan worden betrokken bij de Global Gateway en andere grote projecten;</w:t>
      </w:r>
    </w:p>
    <w:p w14:paraId="79769976" w14:textId="77777777" w:rsidR="00297F0C" w:rsidRPr="00297F0C" w:rsidRDefault="00297F0C" w:rsidP="00AE60E9">
      <w:pPr>
        <w:numPr>
          <w:ilvl w:val="0"/>
          <w:numId w:val="64"/>
        </w:numPr>
        <w:overflowPunct w:val="0"/>
        <w:autoSpaceDE w:val="0"/>
        <w:autoSpaceDN w:val="0"/>
        <w:adjustRightInd w:val="0"/>
        <w:ind w:left="300" w:hanging="300"/>
        <w:textAlignment w:val="baseline"/>
        <w:rPr>
          <w:b/>
          <w:bCs/>
        </w:rPr>
      </w:pPr>
      <w:r>
        <w:t>dringt erop aan bijzondere aandacht te besteden aan actoren van de sociale economie, vrouwen en jongeren, en wel door middel van financiering, capaciteitsopbouw, juridische ondersteuning, ondernemerschapsprogramma’s en deelname aan bestuur, terwijl het bij arbeidsmobiliteit zaak is om de mensenrechten te eerbiedigen en een braindrain te voorkomen;</w:t>
      </w:r>
    </w:p>
    <w:p w14:paraId="55EA3EF9" w14:textId="6A17B226" w:rsidR="00297F0C" w:rsidRDefault="00297F0C" w:rsidP="00AE60E9">
      <w:pPr>
        <w:keepNext/>
        <w:keepLines/>
        <w:numPr>
          <w:ilvl w:val="0"/>
          <w:numId w:val="64"/>
        </w:numPr>
        <w:overflowPunct w:val="0"/>
        <w:autoSpaceDE w:val="0"/>
        <w:autoSpaceDN w:val="0"/>
        <w:adjustRightInd w:val="0"/>
        <w:ind w:left="300" w:hanging="300"/>
        <w:textAlignment w:val="baseline"/>
      </w:pPr>
      <w:r>
        <w:lastRenderedPageBreak/>
        <w:t>is van mening dat de coördinatie tussen door de EU gefinancierde en internationale financiële instellingen moet worden versterkt om de impact te verbeteren, en dat de oprichting van een regionale ontwikkelingsbank of een soortgelijk financieel mechanisme kan helpen bij de financiering van projecten op het gebied van infrastructuur, micro-, kleine en middelgrote ondernemingen, start-ups en de sociale economie, met betrokkenheid van het maatschappelijk middenveld om transparantie te waarborgen.</w:t>
      </w:r>
    </w:p>
    <w:p w14:paraId="2A1A39EB" w14:textId="77777777" w:rsidR="00A067F3" w:rsidRPr="00297F0C" w:rsidRDefault="00A067F3" w:rsidP="00C56EF3">
      <w:pPr>
        <w:overflowPunct w:val="0"/>
        <w:autoSpaceDE w:val="0"/>
        <w:autoSpaceDN w:val="0"/>
        <w:adjustRightInd w:val="0"/>
        <w:spacing w:line="276" w:lineRule="auto"/>
        <w:ind w:left="285"/>
        <w:textAlignment w:val="baseline"/>
        <w:rPr>
          <w:lang w:val="en-GB" w:eastAsia="fr-BE"/>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97F0C" w:rsidRPr="00297F0C" w14:paraId="12ED4367" w14:textId="77777777" w:rsidTr="002E7EFB">
        <w:tc>
          <w:tcPr>
            <w:tcW w:w="1077" w:type="pct"/>
          </w:tcPr>
          <w:p w14:paraId="17C20851" w14:textId="4041C4F3" w:rsidR="00297F0C" w:rsidRPr="00297F0C" w:rsidRDefault="00297F0C">
            <w:pPr>
              <w:overflowPunct w:val="0"/>
              <w:autoSpaceDE w:val="0"/>
              <w:autoSpaceDN w:val="0"/>
              <w:adjustRightInd w:val="0"/>
              <w:textAlignment w:val="baseline"/>
              <w:rPr>
                <w:i/>
              </w:rPr>
            </w:pPr>
            <w:r>
              <w:br w:type="page"/>
            </w:r>
            <w:r>
              <w:rPr>
                <w:b/>
                <w:i/>
              </w:rPr>
              <w:t>Contactpersoon</w:t>
            </w:r>
          </w:p>
        </w:tc>
        <w:tc>
          <w:tcPr>
            <w:tcW w:w="3923" w:type="pct"/>
          </w:tcPr>
          <w:p w14:paraId="01CC3A82" w14:textId="77777777" w:rsidR="00297F0C" w:rsidRPr="00297F0C" w:rsidRDefault="00297F0C" w:rsidP="00297F0C">
            <w:pPr>
              <w:overflowPunct w:val="0"/>
              <w:autoSpaceDE w:val="0"/>
              <w:autoSpaceDN w:val="0"/>
              <w:adjustRightInd w:val="0"/>
              <w:textAlignment w:val="baseline"/>
              <w:rPr>
                <w:i/>
              </w:rPr>
            </w:pPr>
            <w:r>
              <w:rPr>
                <w:i/>
              </w:rPr>
              <w:t>Andreas Berger</w:t>
            </w:r>
          </w:p>
        </w:tc>
      </w:tr>
      <w:tr w:rsidR="00297F0C" w:rsidRPr="00297F0C" w14:paraId="4DE5DEB6" w14:textId="77777777" w:rsidTr="002E7EFB">
        <w:tc>
          <w:tcPr>
            <w:tcW w:w="1077" w:type="pct"/>
          </w:tcPr>
          <w:p w14:paraId="333F8669" w14:textId="77777777" w:rsidR="00297F0C" w:rsidRPr="00297F0C" w:rsidRDefault="00297F0C" w:rsidP="00297F0C">
            <w:pPr>
              <w:overflowPunct w:val="0"/>
              <w:autoSpaceDE w:val="0"/>
              <w:autoSpaceDN w:val="0"/>
              <w:adjustRightInd w:val="0"/>
              <w:textAlignment w:val="baseline"/>
              <w:rPr>
                <w:i/>
              </w:rPr>
            </w:pPr>
            <w:r>
              <w:rPr>
                <w:i/>
              </w:rPr>
              <w:t>Tel.</w:t>
            </w:r>
          </w:p>
        </w:tc>
        <w:tc>
          <w:tcPr>
            <w:tcW w:w="3923" w:type="pct"/>
          </w:tcPr>
          <w:p w14:paraId="27143945" w14:textId="77777777" w:rsidR="00297F0C" w:rsidRPr="00297F0C" w:rsidRDefault="00297F0C" w:rsidP="00297F0C">
            <w:pPr>
              <w:overflowPunct w:val="0"/>
              <w:autoSpaceDE w:val="0"/>
              <w:autoSpaceDN w:val="0"/>
              <w:adjustRightInd w:val="0"/>
              <w:textAlignment w:val="baseline"/>
              <w:rPr>
                <w:i/>
              </w:rPr>
            </w:pPr>
            <w:r>
              <w:rPr>
                <w:i/>
              </w:rPr>
              <w:t>+32 5469062</w:t>
            </w:r>
          </w:p>
        </w:tc>
      </w:tr>
      <w:tr w:rsidR="00297F0C" w:rsidRPr="00297F0C" w14:paraId="18E1E5AB" w14:textId="77777777" w:rsidTr="002E7EFB">
        <w:tc>
          <w:tcPr>
            <w:tcW w:w="1077" w:type="pct"/>
          </w:tcPr>
          <w:p w14:paraId="069DD35F" w14:textId="77777777" w:rsidR="00297F0C" w:rsidRPr="00297F0C" w:rsidRDefault="00297F0C" w:rsidP="00297F0C">
            <w:pPr>
              <w:overflowPunct w:val="0"/>
              <w:autoSpaceDE w:val="0"/>
              <w:autoSpaceDN w:val="0"/>
              <w:adjustRightInd w:val="0"/>
              <w:textAlignment w:val="baseline"/>
              <w:rPr>
                <w:i/>
              </w:rPr>
            </w:pPr>
            <w:r>
              <w:rPr>
                <w:i/>
              </w:rPr>
              <w:t>E-mail</w:t>
            </w:r>
          </w:p>
        </w:tc>
        <w:tc>
          <w:tcPr>
            <w:tcW w:w="3923" w:type="pct"/>
          </w:tcPr>
          <w:p w14:paraId="6FC2A286" w14:textId="31126084" w:rsidR="00297F0C" w:rsidRPr="00297F0C" w:rsidRDefault="00E23721" w:rsidP="00297F0C">
            <w:pPr>
              <w:overflowPunct w:val="0"/>
              <w:autoSpaceDE w:val="0"/>
              <w:autoSpaceDN w:val="0"/>
              <w:adjustRightInd w:val="0"/>
              <w:textAlignment w:val="baseline"/>
              <w:rPr>
                <w:i/>
              </w:rPr>
            </w:pPr>
            <w:hyperlink r:id="rId70" w:history="1">
              <w:r>
                <w:rPr>
                  <w:i/>
                  <w:color w:val="0000FF"/>
                  <w:u w:val="single"/>
                </w:rPr>
                <w:t>Andreas.Berger@eesc.europa.eu</w:t>
              </w:r>
            </w:hyperlink>
            <w:r>
              <w:rPr>
                <w:i/>
              </w:rPr>
              <w:t xml:space="preserve"> </w:t>
            </w:r>
          </w:p>
        </w:tc>
      </w:tr>
    </w:tbl>
    <w:p w14:paraId="12CF0795" w14:textId="1C00578F" w:rsidR="00A067F3" w:rsidRDefault="00A067F3" w:rsidP="0066696D">
      <w:pPr>
        <w:pStyle w:val="ListParagraph"/>
        <w:ind w:left="567" w:hanging="567"/>
        <w:jc w:val="left"/>
      </w:pPr>
    </w:p>
    <w:p w14:paraId="542BD5E6" w14:textId="77777777" w:rsidR="00A067F3" w:rsidRDefault="00A067F3">
      <w:pPr>
        <w:spacing w:after="160" w:line="259" w:lineRule="auto"/>
        <w:jc w:val="left"/>
      </w:pPr>
      <w:r>
        <w:br w:type="page"/>
      </w:r>
    </w:p>
    <w:p w14:paraId="528C73AA" w14:textId="46DE726B" w:rsidR="006D2C8A" w:rsidRPr="006D2C8A" w:rsidRDefault="006D2C8A" w:rsidP="004C6742">
      <w:pPr>
        <w:pStyle w:val="Heading2"/>
      </w:pPr>
      <w:bookmarkStart w:id="42" w:name="_Toc229140651"/>
      <w:bookmarkStart w:id="43" w:name="_Toc229140658"/>
      <w:bookmarkStart w:id="44" w:name="_Toc230351245"/>
      <w:bookmarkEnd w:id="42"/>
      <w:bookmarkEnd w:id="43"/>
      <w:r>
        <w:lastRenderedPageBreak/>
        <w:t>ADVIESCOMMISSIE INDUSTRIËLE RECONVERSIE</w:t>
      </w:r>
      <w:bookmarkEnd w:id="44"/>
    </w:p>
    <w:p w14:paraId="713E272F" w14:textId="77777777" w:rsidR="006D2C8A" w:rsidRDefault="006D2C8A" w:rsidP="001766B2"/>
    <w:p w14:paraId="1B9F790A" w14:textId="4DE1AE02" w:rsidR="00814A54" w:rsidRPr="00C56EF3" w:rsidRDefault="00814A54" w:rsidP="00814A54">
      <w:pPr>
        <w:widowControl w:val="0"/>
        <w:numPr>
          <w:ilvl w:val="0"/>
          <w:numId w:val="19"/>
        </w:numPr>
        <w:spacing w:after="200" w:line="276" w:lineRule="auto"/>
        <w:ind w:left="567" w:hanging="567"/>
        <w:contextualSpacing/>
        <w:jc w:val="left"/>
        <w:rPr>
          <w:sz w:val="28"/>
          <w:szCs w:val="28"/>
        </w:rPr>
      </w:pPr>
      <w:hyperlink r:id="rId71" w:history="1">
        <w:r>
          <w:rPr>
            <w:b/>
            <w:i/>
            <w:color w:val="0000FF"/>
            <w:sz w:val="28"/>
            <w:u w:val="single"/>
          </w:rPr>
          <w:t>Programma voor flexibele en snelle defensie-innovatie — AGILE</w:t>
        </w:r>
      </w:hyperlink>
    </w:p>
    <w:p w14:paraId="7A5FBF62" w14:textId="77777777" w:rsidR="00C56EF3" w:rsidRPr="00C56EF3" w:rsidRDefault="00C56EF3" w:rsidP="00C56EF3">
      <w:pPr>
        <w:widowControl w:val="0"/>
        <w:spacing w:after="200" w:line="276" w:lineRule="auto"/>
        <w:contextualSpacing/>
        <w:jc w:val="left"/>
      </w:pP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5670"/>
      </w:tblGrid>
      <w:tr w:rsidR="00814A54" w:rsidRPr="00814A54" w14:paraId="37988BA0" w14:textId="77777777" w:rsidTr="002E7EFB">
        <w:tc>
          <w:tcPr>
            <w:tcW w:w="1701" w:type="dxa"/>
          </w:tcPr>
          <w:p w14:paraId="41B7C4EB" w14:textId="77777777" w:rsidR="00814A54" w:rsidRPr="00814A54" w:rsidRDefault="00814A54" w:rsidP="00814A54">
            <w:pPr>
              <w:tabs>
                <w:tab w:val="center" w:pos="284"/>
              </w:tabs>
              <w:ind w:left="266" w:hanging="266"/>
              <w:rPr>
                <w:b/>
              </w:rPr>
            </w:pPr>
            <w:r>
              <w:rPr>
                <w:b/>
              </w:rPr>
              <w:t>Rapporteur</w:t>
            </w:r>
          </w:p>
        </w:tc>
        <w:tc>
          <w:tcPr>
            <w:tcW w:w="5670" w:type="dxa"/>
          </w:tcPr>
          <w:p w14:paraId="1D11312F" w14:textId="073C09C2" w:rsidR="00814A54" w:rsidRPr="00814A54" w:rsidRDefault="00814A54" w:rsidP="00814A54">
            <w:pPr>
              <w:tabs>
                <w:tab w:val="center" w:pos="284"/>
              </w:tabs>
              <w:ind w:left="266" w:hanging="266"/>
            </w:pPr>
            <w:r>
              <w:t>Monika SITÁROVÁ (groep Werknemers – SK)</w:t>
            </w:r>
          </w:p>
        </w:tc>
      </w:tr>
      <w:tr w:rsidR="00814A54" w:rsidRPr="00814A54" w14:paraId="3DB16DB5" w14:textId="77777777" w:rsidTr="002E7EFB">
        <w:tc>
          <w:tcPr>
            <w:tcW w:w="1701" w:type="dxa"/>
          </w:tcPr>
          <w:p w14:paraId="723151C3" w14:textId="77777777" w:rsidR="00814A54" w:rsidRPr="00814A54" w:rsidRDefault="00814A54" w:rsidP="00814A54">
            <w:pPr>
              <w:tabs>
                <w:tab w:val="center" w:pos="284"/>
              </w:tabs>
              <w:ind w:left="266" w:hanging="266"/>
              <w:rPr>
                <w:b/>
              </w:rPr>
            </w:pPr>
            <w:r>
              <w:rPr>
                <w:b/>
              </w:rPr>
              <w:t>Corapporteur</w:t>
            </w:r>
          </w:p>
        </w:tc>
        <w:tc>
          <w:tcPr>
            <w:tcW w:w="5670" w:type="dxa"/>
          </w:tcPr>
          <w:p w14:paraId="691AA178" w14:textId="77BDBBFF" w:rsidR="00814A54" w:rsidRPr="00814A54" w:rsidRDefault="00814A54" w:rsidP="00814A54">
            <w:pPr>
              <w:tabs>
                <w:tab w:val="center" w:pos="284"/>
              </w:tabs>
              <w:ind w:left="266" w:hanging="266"/>
            </w:pPr>
            <w:r>
              <w:t>Srita HEIDE (categorie 3 – DE)</w:t>
            </w:r>
          </w:p>
        </w:tc>
      </w:tr>
      <w:tr w:rsidR="00814A54" w:rsidRPr="00814A54" w14:paraId="27D9C93B" w14:textId="77777777" w:rsidTr="002E7EFB">
        <w:tc>
          <w:tcPr>
            <w:tcW w:w="7371" w:type="dxa"/>
            <w:gridSpan w:val="2"/>
          </w:tcPr>
          <w:p w14:paraId="5ACA8EEC" w14:textId="77777777" w:rsidR="00814A54" w:rsidRPr="00814A54" w:rsidRDefault="00814A54" w:rsidP="00814A54">
            <w:pPr>
              <w:tabs>
                <w:tab w:val="center" w:pos="284"/>
              </w:tabs>
              <w:spacing w:line="160" w:lineRule="exact"/>
              <w:ind w:left="266" w:hanging="266"/>
            </w:pPr>
          </w:p>
        </w:tc>
      </w:tr>
      <w:tr w:rsidR="00814A54" w:rsidRPr="00814A54" w14:paraId="5AE7EBB6" w14:textId="77777777" w:rsidTr="002E7EFB">
        <w:tc>
          <w:tcPr>
            <w:tcW w:w="1701" w:type="dxa"/>
            <w:vMerge w:val="restart"/>
          </w:tcPr>
          <w:p w14:paraId="69099993" w14:textId="77777777" w:rsidR="00814A54" w:rsidRPr="00814A54" w:rsidRDefault="00814A54" w:rsidP="00814A54">
            <w:pPr>
              <w:tabs>
                <w:tab w:val="center" w:pos="284"/>
              </w:tabs>
              <w:ind w:left="266" w:hanging="266"/>
              <w:rPr>
                <w:b/>
              </w:rPr>
            </w:pPr>
            <w:r>
              <w:rPr>
                <w:b/>
              </w:rPr>
              <w:t>Referentiedocumenten</w:t>
            </w:r>
          </w:p>
        </w:tc>
        <w:tc>
          <w:tcPr>
            <w:tcW w:w="5670" w:type="dxa"/>
          </w:tcPr>
          <w:p w14:paraId="699F0B48" w14:textId="3F25C095" w:rsidR="00BA2BB0" w:rsidRDefault="00BA2BB0" w:rsidP="00814A54">
            <w:pPr>
              <w:tabs>
                <w:tab w:val="center" w:pos="284"/>
              </w:tabs>
              <w:ind w:left="266" w:hanging="266"/>
            </w:pPr>
            <w:r>
              <w:t>COM(2026) 135 final</w:t>
            </w:r>
          </w:p>
          <w:p w14:paraId="30557EA2" w14:textId="294C27C9" w:rsidR="00814A54" w:rsidRPr="00814A54" w:rsidRDefault="00814A54" w:rsidP="00814A54">
            <w:pPr>
              <w:tabs>
                <w:tab w:val="center" w:pos="284"/>
              </w:tabs>
              <w:ind w:left="266" w:hanging="266"/>
            </w:pPr>
            <w:r>
              <w:t>EESC-2026-01126-00-00-AC</w:t>
            </w:r>
          </w:p>
        </w:tc>
      </w:tr>
      <w:tr w:rsidR="00814A54" w:rsidRPr="00814A54" w14:paraId="15CB02A5" w14:textId="77777777" w:rsidTr="002E7EFB">
        <w:tc>
          <w:tcPr>
            <w:tcW w:w="1701" w:type="dxa"/>
            <w:vMerge/>
          </w:tcPr>
          <w:p w14:paraId="0E4A7D50" w14:textId="77777777" w:rsidR="00814A54" w:rsidRPr="00814A54" w:rsidRDefault="00814A54" w:rsidP="00814A54">
            <w:pPr>
              <w:tabs>
                <w:tab w:val="center" w:pos="284"/>
              </w:tabs>
              <w:ind w:left="266" w:hanging="266"/>
              <w:rPr>
                <w:b/>
              </w:rPr>
            </w:pPr>
          </w:p>
        </w:tc>
        <w:tc>
          <w:tcPr>
            <w:tcW w:w="5670" w:type="dxa"/>
          </w:tcPr>
          <w:p w14:paraId="5AB61185" w14:textId="77777777" w:rsidR="00814A54" w:rsidRPr="00814A54" w:rsidRDefault="00814A54" w:rsidP="00814A54">
            <w:pPr>
              <w:tabs>
                <w:tab w:val="center" w:pos="284"/>
              </w:tabs>
              <w:ind w:left="266" w:hanging="266"/>
            </w:pPr>
          </w:p>
        </w:tc>
      </w:tr>
    </w:tbl>
    <w:p w14:paraId="283139ED" w14:textId="77777777" w:rsidR="00814A54" w:rsidRPr="00814A54" w:rsidRDefault="00814A54" w:rsidP="00814A54">
      <w:pPr>
        <w:keepNext/>
        <w:keepLines/>
        <w:tabs>
          <w:tab w:val="center" w:pos="284"/>
        </w:tabs>
        <w:ind w:left="266" w:hanging="266"/>
        <w:rPr>
          <w:b/>
        </w:rPr>
      </w:pPr>
      <w:r>
        <w:rPr>
          <w:b/>
        </w:rPr>
        <w:t>Hoofdpunten</w:t>
      </w:r>
    </w:p>
    <w:p w14:paraId="0388059A" w14:textId="77777777" w:rsidR="00814A54" w:rsidRPr="00C56EF3" w:rsidRDefault="00814A54" w:rsidP="00814A54">
      <w:pPr>
        <w:keepNext/>
        <w:keepLines/>
        <w:tabs>
          <w:tab w:val="center" w:pos="284"/>
        </w:tabs>
        <w:ind w:left="266" w:hanging="266"/>
        <w:rPr>
          <w:bCs/>
        </w:rPr>
      </w:pPr>
    </w:p>
    <w:p w14:paraId="144BA9E2" w14:textId="77777777" w:rsidR="00814A54" w:rsidRPr="00814A54" w:rsidRDefault="00814A54" w:rsidP="00814A54">
      <w:pPr>
        <w:keepNext/>
        <w:keepLines/>
        <w:tabs>
          <w:tab w:val="center" w:pos="284"/>
        </w:tabs>
        <w:ind w:left="266" w:hanging="266"/>
        <w:rPr>
          <w:bCs/>
        </w:rPr>
      </w:pPr>
      <w:r>
        <w:t>Het EESC:</w:t>
      </w:r>
    </w:p>
    <w:p w14:paraId="35C0FAC6" w14:textId="77777777" w:rsidR="00814A54" w:rsidRPr="00814A54" w:rsidRDefault="00814A54" w:rsidP="00814A54">
      <w:pPr>
        <w:keepNext/>
        <w:keepLines/>
        <w:tabs>
          <w:tab w:val="center" w:pos="284"/>
        </w:tabs>
        <w:ind w:left="266" w:hanging="266"/>
        <w:rPr>
          <w:bCs/>
        </w:rPr>
      </w:pPr>
    </w:p>
    <w:p w14:paraId="47615632" w14:textId="77777777" w:rsidR="00814A54" w:rsidRPr="00814A54" w:rsidRDefault="00814A54" w:rsidP="004C6742">
      <w:pPr>
        <w:numPr>
          <w:ilvl w:val="1"/>
          <w:numId w:val="65"/>
        </w:numPr>
        <w:outlineLvl w:val="1"/>
        <w:rPr>
          <w:b/>
          <w:bCs/>
          <w:color w:val="111111"/>
        </w:rPr>
      </w:pPr>
      <w:bookmarkStart w:id="45" w:name="_Toc228805457"/>
      <w:r>
        <w:t>steunt de inspanningen om de snelheid, het reactievermogen en de innovatiecapaciteit van de Europese technologische en industriële defensiebasis (EDTIB) te verbeteren in het licht van de veranderende veiligheidsomgeving, en is daarom ingenomen met het door de Commissie voorgestelde defensiekader AGILE;</w:t>
      </w:r>
      <w:bookmarkEnd w:id="45"/>
    </w:p>
    <w:p w14:paraId="7C3494F3" w14:textId="77777777" w:rsidR="00814A54" w:rsidRPr="00814A54" w:rsidRDefault="00814A54" w:rsidP="004C6742">
      <w:pPr>
        <w:numPr>
          <w:ilvl w:val="1"/>
          <w:numId w:val="65"/>
        </w:numPr>
        <w:outlineLvl w:val="1"/>
      </w:pPr>
      <w:bookmarkStart w:id="46" w:name="_Toc228805458"/>
      <w:r>
        <w:t>is ingenomen met AGILE als platform dat kmo’s, start-ups, civiele technologiebedrijven en ondernemers ondersteunt bij het vinden van hoogwaardige en snelle oplossingen voor de defensiegereedheid van de EU; onderstreept de belangrijke rol van nieuwe spelers in de defensiesector bij de transformatie van de defensie-industrie van de EU;</w:t>
      </w:r>
      <w:bookmarkEnd w:id="46"/>
      <w:r>
        <w:t xml:space="preserve"> </w:t>
      </w:r>
    </w:p>
    <w:p w14:paraId="084337D9" w14:textId="77777777" w:rsidR="00814A54" w:rsidRPr="00814A54" w:rsidRDefault="00814A54" w:rsidP="004C6742">
      <w:pPr>
        <w:numPr>
          <w:ilvl w:val="1"/>
          <w:numId w:val="65"/>
        </w:numPr>
        <w:outlineLvl w:val="1"/>
      </w:pPr>
      <w:bookmarkStart w:id="47" w:name="_Toc228805459"/>
      <w:r>
        <w:t>onderstreept dat versnelling niet ten koste mag gaan van transparantie, verantwoordingsplicht of democratisch toezicht, die essentieel blijven voor de legitimiteit en doeltreffendheid van het optreden van de EU;</w:t>
      </w:r>
      <w:bookmarkEnd w:id="47"/>
    </w:p>
    <w:p w14:paraId="15C24631" w14:textId="77777777" w:rsidR="00814A54" w:rsidRPr="00814A54" w:rsidRDefault="00814A54" w:rsidP="004C6742">
      <w:pPr>
        <w:numPr>
          <w:ilvl w:val="1"/>
          <w:numId w:val="65"/>
        </w:numPr>
        <w:outlineLvl w:val="1"/>
      </w:pPr>
      <w:bookmarkStart w:id="48" w:name="_Toc228805460"/>
      <w:r>
        <w:t>dringt erop aan dat de AGILE-middelen een aanvulling vormen op de bestaande defensieprogramma’s van de EU; beveelt aan om het budget voor dit instrument in de volgende MFK-periode aanzienlijk te verhogen op basis van de uitkomsten van de evaluatie van het proefprogramma;</w:t>
      </w:r>
      <w:bookmarkEnd w:id="48"/>
      <w:r>
        <w:t xml:space="preserve"> </w:t>
      </w:r>
    </w:p>
    <w:p w14:paraId="590B8EC8" w14:textId="77777777" w:rsidR="00814A54" w:rsidRPr="00814A54" w:rsidRDefault="00814A54" w:rsidP="004C6742">
      <w:pPr>
        <w:numPr>
          <w:ilvl w:val="1"/>
          <w:numId w:val="65"/>
        </w:numPr>
        <w:outlineLvl w:val="1"/>
      </w:pPr>
      <w:bookmarkStart w:id="49" w:name="_Toc228805461"/>
      <w:r>
        <w:t>beveelt aan bepalingen op te nemen om ervoor te zorgen dat innovatieve kmo’s, start-ups en individuele ondernemingen uit alle lidstaten en sectoren proactief worden betrokken bij de outreach-, selectie- en evaluatieprocessen van AGILE, teneinde het geografische evenwicht en de inclusiviteit in de hele Unie te versterken;</w:t>
      </w:r>
      <w:bookmarkEnd w:id="49"/>
    </w:p>
    <w:p w14:paraId="2B71655A" w14:textId="77777777" w:rsidR="00814A54" w:rsidRPr="00814A54" w:rsidRDefault="00814A54" w:rsidP="004C6742">
      <w:pPr>
        <w:numPr>
          <w:ilvl w:val="1"/>
          <w:numId w:val="65"/>
        </w:numPr>
        <w:outlineLvl w:val="1"/>
      </w:pPr>
      <w:bookmarkStart w:id="50" w:name="_Toc228805462"/>
      <w:r>
        <w:t>beveelt aan robuuste en afdwingbare maatregelen in te voeren om ervoor te zorgen dat artikel 9, lid 5, inzake subsidiabiliteit daadwerkelijk wordt nageleefd. Om de strategische autonomie en veiligheidsbelangen van de Unie te waarborgen, moeten in dit artikel de uitsluitingscriteria uitdrukkelijk worden verduidelijkt en aangescherpt;</w:t>
      </w:r>
      <w:bookmarkEnd w:id="50"/>
    </w:p>
    <w:p w14:paraId="3849E73E" w14:textId="77777777" w:rsidR="00814A54" w:rsidRPr="00814A54" w:rsidRDefault="00814A54" w:rsidP="004C6742">
      <w:pPr>
        <w:numPr>
          <w:ilvl w:val="1"/>
          <w:numId w:val="65"/>
        </w:numPr>
        <w:outlineLvl w:val="1"/>
      </w:pPr>
      <w:bookmarkStart w:id="51" w:name="_Toc228805463"/>
      <w:r>
        <w:t>beveelt aan dat AGILE-projecten stevig worden gestuurd door duidelijk omschreven eisen op het gebied van defensiecapaciteit en nauw aansluiten bij de behoeften van eindgebruikers; benadrukt dat AGILE-projecten toegang moeten hebben tot realistische testomgevingen, met inbegrip van militaire oefeningen en testterreinen, zodat oplossingen in de praktijk kunnen worden getest en sneller in gebruik kunnen worden genomen;</w:t>
      </w:r>
      <w:bookmarkEnd w:id="51"/>
    </w:p>
    <w:p w14:paraId="0638FC2F" w14:textId="77777777" w:rsidR="00814A54" w:rsidRPr="00814A54" w:rsidRDefault="00814A54" w:rsidP="004C6742">
      <w:pPr>
        <w:numPr>
          <w:ilvl w:val="1"/>
          <w:numId w:val="65"/>
        </w:numPr>
        <w:outlineLvl w:val="1"/>
      </w:pPr>
      <w:bookmarkStart w:id="52" w:name="_Toc228805464"/>
      <w:r>
        <w:t xml:space="preserve">beveelt aan om eerbiediging van de arbeids-, sociale en milieuwetgeving van de EU expliciet te verankeren in de uitvoering van AGILE; benadrukt dat deelname aan het AGILE-programma afhankelijk zou moeten worden gesteld van verbintenissen op het gebied van de ontwikkeling van </w:t>
      </w:r>
      <w:r>
        <w:lastRenderedPageBreak/>
        <w:t>vaardigheden, hoogwaardige werkgelegenheid en volledige eerbiediging van de rechten van werknemers, in overeenstemming met het Europees sociaal model.</w:t>
      </w:r>
      <w:bookmarkEnd w:id="52"/>
      <w:r>
        <w:t xml:space="preserve"> </w:t>
      </w:r>
    </w:p>
    <w:p w14:paraId="532F5590" w14:textId="77777777" w:rsidR="00814A54" w:rsidRPr="00814A54" w:rsidRDefault="00814A54" w:rsidP="00814A54"/>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5670"/>
      </w:tblGrid>
      <w:tr w:rsidR="00814A54" w:rsidRPr="00814A54" w14:paraId="5B60E629" w14:textId="77777777" w:rsidTr="002E7EFB">
        <w:tc>
          <w:tcPr>
            <w:tcW w:w="1418" w:type="dxa"/>
          </w:tcPr>
          <w:p w14:paraId="59F261E2" w14:textId="77777777" w:rsidR="00814A54" w:rsidRPr="00814A54" w:rsidRDefault="00814A54" w:rsidP="00814A54">
            <w:pPr>
              <w:spacing w:line="240" w:lineRule="auto"/>
              <w:rPr>
                <w:i/>
              </w:rPr>
            </w:pPr>
            <w:r>
              <w:rPr>
                <w:b/>
                <w:i/>
              </w:rPr>
              <w:t>Contactpersoon</w:t>
            </w:r>
          </w:p>
        </w:tc>
        <w:tc>
          <w:tcPr>
            <w:tcW w:w="5670" w:type="dxa"/>
          </w:tcPr>
          <w:p w14:paraId="42A1FC82" w14:textId="7A465A63" w:rsidR="00814A54" w:rsidRPr="004C6742" w:rsidRDefault="00814A54" w:rsidP="00814A54">
            <w:pPr>
              <w:spacing w:line="240" w:lineRule="auto"/>
              <w:rPr>
                <w:bCs/>
                <w:i/>
              </w:rPr>
            </w:pPr>
            <w:r>
              <w:rPr>
                <w:i/>
              </w:rPr>
              <w:t>Ioannis Diamantopoulos</w:t>
            </w:r>
          </w:p>
        </w:tc>
      </w:tr>
      <w:tr w:rsidR="00814A54" w:rsidRPr="00814A54" w14:paraId="7C2F36B8" w14:textId="77777777" w:rsidTr="002E7EFB">
        <w:tc>
          <w:tcPr>
            <w:tcW w:w="1418" w:type="dxa"/>
          </w:tcPr>
          <w:p w14:paraId="2F6A920E" w14:textId="77777777" w:rsidR="00814A54" w:rsidRPr="00814A54" w:rsidRDefault="00814A54" w:rsidP="00814A54">
            <w:pPr>
              <w:spacing w:line="240" w:lineRule="auto"/>
              <w:rPr>
                <w:i/>
              </w:rPr>
            </w:pPr>
            <w:r>
              <w:rPr>
                <w:i/>
              </w:rPr>
              <w:t>Tel.</w:t>
            </w:r>
          </w:p>
        </w:tc>
        <w:tc>
          <w:tcPr>
            <w:tcW w:w="5670" w:type="dxa"/>
          </w:tcPr>
          <w:p w14:paraId="2671F0CA" w14:textId="77777777" w:rsidR="00814A54" w:rsidRPr="00814A54" w:rsidRDefault="00814A54" w:rsidP="00814A54">
            <w:pPr>
              <w:spacing w:line="240" w:lineRule="auto"/>
              <w:rPr>
                <w:i/>
              </w:rPr>
            </w:pPr>
            <w:r>
              <w:rPr>
                <w:i/>
              </w:rPr>
              <w:t>+32 25469170</w:t>
            </w:r>
          </w:p>
        </w:tc>
      </w:tr>
      <w:tr w:rsidR="00814A54" w:rsidRPr="00814A54" w14:paraId="7A81BD47" w14:textId="77777777" w:rsidTr="002E7EFB">
        <w:trPr>
          <w:trHeight w:val="244"/>
        </w:trPr>
        <w:tc>
          <w:tcPr>
            <w:tcW w:w="1418" w:type="dxa"/>
          </w:tcPr>
          <w:p w14:paraId="3A5319AB" w14:textId="77777777" w:rsidR="00814A54" w:rsidRPr="00814A54" w:rsidRDefault="00814A54" w:rsidP="00814A54">
            <w:pPr>
              <w:spacing w:line="240" w:lineRule="auto"/>
              <w:rPr>
                <w:i/>
              </w:rPr>
            </w:pPr>
            <w:r>
              <w:rPr>
                <w:i/>
              </w:rPr>
              <w:t>E-mail</w:t>
            </w:r>
          </w:p>
        </w:tc>
        <w:tc>
          <w:tcPr>
            <w:tcW w:w="5670" w:type="dxa"/>
          </w:tcPr>
          <w:p w14:paraId="210C9375" w14:textId="26DA4D1A" w:rsidR="00814A54" w:rsidRPr="00814A54" w:rsidRDefault="00E23721" w:rsidP="00814A54">
            <w:pPr>
              <w:spacing w:line="240" w:lineRule="auto"/>
              <w:rPr>
                <w:i/>
              </w:rPr>
            </w:pPr>
            <w:hyperlink r:id="rId72" w:history="1">
              <w:r>
                <w:rPr>
                  <w:i/>
                  <w:color w:val="0000FF"/>
                  <w:u w:val="single"/>
                </w:rPr>
                <w:t>Ioannis.Diamantopoulos@eesc.europa.eu</w:t>
              </w:r>
            </w:hyperlink>
          </w:p>
        </w:tc>
      </w:tr>
    </w:tbl>
    <w:p w14:paraId="0FA13A3E" w14:textId="77777777" w:rsidR="006D2C8A" w:rsidRDefault="006D2C8A" w:rsidP="001766B2">
      <w:pPr>
        <w:jc w:val="left"/>
      </w:pPr>
    </w:p>
    <w:p w14:paraId="2E28EF19" w14:textId="65CAFCC1" w:rsidR="000D394D" w:rsidRPr="001766B2" w:rsidRDefault="001766B2" w:rsidP="001766B2">
      <w:pPr>
        <w:overflowPunct w:val="0"/>
        <w:autoSpaceDE w:val="0"/>
        <w:autoSpaceDN w:val="0"/>
        <w:adjustRightInd w:val="0"/>
        <w:jc w:val="center"/>
        <w:textAlignment w:val="baseline"/>
      </w:pPr>
      <w:r>
        <w:t>_____________</w:t>
      </w:r>
    </w:p>
    <w:sectPr w:rsidR="000D394D" w:rsidRPr="001766B2" w:rsidSect="00D40A83">
      <w:footerReference w:type="even" r:id="rId73"/>
      <w:footerReference w:type="default" r:id="rId74"/>
      <w:footerReference w:type="first" r:id="rId7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37D8" w14:textId="77777777" w:rsidR="00072888" w:rsidRDefault="00072888" w:rsidP="00B518C9">
      <w:pPr>
        <w:spacing w:line="240" w:lineRule="auto"/>
      </w:pPr>
      <w:r>
        <w:separator/>
      </w:r>
    </w:p>
  </w:endnote>
  <w:endnote w:type="continuationSeparator" w:id="0">
    <w:p w14:paraId="2E6076CA" w14:textId="77777777" w:rsidR="00072888" w:rsidRDefault="0007288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9A33" w14:textId="77777777" w:rsidR="00A067F3" w:rsidRDefault="00A067F3" w:rsidP="00A06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DE51" w14:textId="017FB3A5" w:rsidR="00B518C9"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rsidR="0004480F">
      <w:t>1</w:t>
    </w:r>
    <w:r>
      <w:fldChar w:fldCharType="end"/>
    </w:r>
    <w:r>
      <w:t>/</w:t>
    </w:r>
    <w:fldSimple w:instr=" NUMPAGES ">
      <w:r w:rsidR="0004480F">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741D" w14:textId="77777777" w:rsidR="00A067F3" w:rsidRDefault="00A067F3" w:rsidP="00A067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2857" w14:textId="77777777" w:rsidR="00A067F3" w:rsidRDefault="00A067F3" w:rsidP="00A067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16DF" w14:textId="26CF0E5F" w:rsidR="00A067F3"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t>1</w:t>
    </w:r>
    <w:r>
      <w:fldChar w:fldCharType="end"/>
    </w:r>
    <w:r>
      <w:t>/</w:t>
    </w:r>
    <w:fldSimple w:instr=" NUMPAGES ">
      <w:r>
        <w:t>33</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57FD" w14:textId="77777777" w:rsidR="00A067F3" w:rsidRDefault="00A067F3" w:rsidP="00A0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B4978" w14:textId="77777777" w:rsidR="00072888" w:rsidRDefault="00072888" w:rsidP="00B518C9">
      <w:pPr>
        <w:spacing w:line="240" w:lineRule="auto"/>
      </w:pPr>
      <w:r>
        <w:separator/>
      </w:r>
    </w:p>
  </w:footnote>
  <w:footnote w:type="continuationSeparator" w:id="0">
    <w:p w14:paraId="31C2D61B" w14:textId="77777777" w:rsidR="00072888" w:rsidRDefault="00072888" w:rsidP="00B518C9">
      <w:pPr>
        <w:spacing w:line="240" w:lineRule="auto"/>
      </w:pPr>
      <w:r>
        <w:continuationSeparator/>
      </w:r>
    </w:p>
  </w:footnote>
  <w:footnote w:id="1">
    <w:p w14:paraId="7B651DAB" w14:textId="0B92808C" w:rsidR="00944198" w:rsidRPr="00BD72B3" w:rsidRDefault="00944198" w:rsidP="00944198">
      <w:pPr>
        <w:pStyle w:val="FootnoteText"/>
      </w:pPr>
      <w:r>
        <w:rPr>
          <w:rStyle w:val="FootnoteReference"/>
        </w:rPr>
        <w:footnoteRef/>
      </w:r>
      <w:r>
        <w:tab/>
        <w:t xml:space="preserve">PB C, C/2024/6880, 28.11.2024, ELI: </w:t>
      </w:r>
      <w:hyperlink r:id="rId1" w:history="1">
        <w:r>
          <w:rPr>
            <w:rStyle w:val="Hyperlink"/>
          </w:rPr>
          <w:t>http://data.europa.eu/eli/C/2024/6880/oj</w:t>
        </w:r>
      </w:hyperlink>
      <w:r>
        <w:t>.</w:t>
      </w:r>
    </w:p>
  </w:footnote>
  <w:footnote w:id="2">
    <w:p w14:paraId="6A5DF5FB" w14:textId="106CCACB" w:rsidR="002B30F4" w:rsidRDefault="002B30F4" w:rsidP="002B30F4">
      <w:pPr>
        <w:pStyle w:val="FootnoteText"/>
      </w:pPr>
      <w:r>
        <w:rPr>
          <w:rStyle w:val="FootnoteReference"/>
        </w:rPr>
        <w:footnoteRef/>
      </w:r>
      <w:r>
        <w:tab/>
        <w:t xml:space="preserve">EESC-advies over </w:t>
      </w:r>
      <w:hyperlink r:id="rId2" w:history="1">
        <w:r>
          <w:rPr>
            <w:rStyle w:val="Hyperlink"/>
            <w:i/>
          </w:rPr>
          <w:t>Gelijkwaardigheid van keuringen — zaaizaden uit Brazilië en Moldavië (wijziging)</w:t>
        </w:r>
      </w:hyperlink>
      <w:r>
        <w:t xml:space="preserve">, </w:t>
      </w:r>
      <w:hyperlink r:id="rId3" w:history="1">
        <w:r>
          <w:rPr>
            <w:rStyle w:val="Hyperlink"/>
          </w:rPr>
          <w:t>PB C 227 van 28.6.2018, blz. 76-77</w:t>
        </w:r>
      </w:hyperlink>
      <w:r>
        <w:t>.</w:t>
      </w:r>
    </w:p>
  </w:footnote>
  <w:footnote w:id="3">
    <w:p w14:paraId="31B28570" w14:textId="4B2DFF3E" w:rsidR="002B30F4" w:rsidRDefault="002B30F4" w:rsidP="002B30F4">
      <w:pPr>
        <w:pStyle w:val="FootnoteText"/>
      </w:pPr>
      <w:r>
        <w:rPr>
          <w:rStyle w:val="FootnoteReference"/>
        </w:rPr>
        <w:footnoteRef/>
      </w:r>
      <w:r>
        <w:tab/>
        <w:t xml:space="preserve">EESC-advies over </w:t>
      </w:r>
      <w:hyperlink r:id="rId4" w:history="1">
        <w:r>
          <w:rPr>
            <w:rStyle w:val="Hyperlink"/>
            <w:i/>
          </w:rPr>
          <w:t>Gelijkwaardigheid van zaaizaad — Oekraïne</w:t>
        </w:r>
      </w:hyperlink>
      <w:r>
        <w:t xml:space="preserve">, </w:t>
      </w:r>
      <w:hyperlink r:id="rId5" w:history="1">
        <w:r>
          <w:rPr>
            <w:rStyle w:val="Hyperlink"/>
          </w:rPr>
          <w:t>PB C 429 van 11.12.2020, blz. 276</w:t>
        </w:r>
      </w:hyperlink>
      <w:r>
        <w:t>.</w:t>
      </w:r>
    </w:p>
  </w:footnote>
  <w:footnote w:id="4">
    <w:p w14:paraId="704BA872" w14:textId="61A1B1DB" w:rsidR="008548EA" w:rsidRDefault="008548EA" w:rsidP="008548EA">
      <w:pPr>
        <w:pStyle w:val="FootnoteText"/>
      </w:pPr>
      <w:r>
        <w:rPr>
          <w:rStyle w:val="FootnoteReference"/>
        </w:rPr>
        <w:footnoteRef/>
      </w:r>
      <w:r>
        <w:t xml:space="preserve"> </w:t>
      </w:r>
      <w:r>
        <w:tab/>
        <w:t xml:space="preserve">EESC-advies over de </w:t>
      </w:r>
      <w:hyperlink r:id="rId6">
        <w:r>
          <w:rPr>
            <w:rStyle w:val="Hyperlink"/>
            <w:i/>
          </w:rPr>
          <w:t>Herziening van het EU-emissiehandelssysteem (ETS), met inbegrip van het zeevervoer en de marktstabiliteitsreserve</w:t>
        </w:r>
      </w:hyperlink>
      <w:r>
        <w:t xml:space="preserve">, </w:t>
      </w:r>
      <w:hyperlink r:id="rId7">
        <w:r>
          <w:rPr>
            <w:rStyle w:val="Hyperlink"/>
          </w:rPr>
          <w:t>PB C 152 van 6.4.2022, blz. 175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5A0A" w14:textId="77777777" w:rsidR="00A067F3" w:rsidRDefault="00A06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0B92" w14:textId="77777777" w:rsidR="00A067F3" w:rsidRDefault="00A06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5DC4" w14:textId="77777777" w:rsidR="00A067F3" w:rsidRDefault="00A06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52C9E3E"/>
    <w:lvl w:ilvl="0">
      <w:start w:val="1"/>
      <w:numFmt w:val="decimal"/>
      <w:pStyle w:val="Heading1"/>
      <w:lvlText w:val="%1."/>
      <w:legacy w:legacy="1" w:legacySpace="0" w:legacyIndent="0"/>
      <w:lvlJc w:val="left"/>
      <w:rPr>
        <w:b w:val="0"/>
        <w:bCs/>
      </w:r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BAB073A6"/>
    <w:lvl w:ilvl="0">
      <w:numFmt w:val="decimal"/>
      <w:lvlText w:val="*"/>
      <w:lvlJc w:val="left"/>
    </w:lvl>
  </w:abstractNum>
  <w:abstractNum w:abstractNumId="2" w15:restartNumberingAfterBreak="0">
    <w:nsid w:val="02E401AE"/>
    <w:multiLevelType w:val="singleLevel"/>
    <w:tmpl w:val="BAB073A6"/>
    <w:lvl w:ilvl="0">
      <w:numFmt w:val="decimal"/>
      <w:lvlText w:val="*"/>
      <w:lvlJc w:val="left"/>
    </w:lvl>
  </w:abstractNum>
  <w:abstractNum w:abstractNumId="3" w15:restartNumberingAfterBreak="0">
    <w:nsid w:val="06B5704A"/>
    <w:multiLevelType w:val="hybridMultilevel"/>
    <w:tmpl w:val="E1367E7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D01F2"/>
    <w:multiLevelType w:val="hybridMultilevel"/>
    <w:tmpl w:val="9FC85D9C"/>
    <w:lvl w:ilvl="0" w:tplc="FFFFFFFF">
      <w:start w:val="1"/>
      <w:numFmt w:val="bullet"/>
      <w:lvlText w:val=""/>
      <w:lvlJc w:val="left"/>
      <w:pPr>
        <w:ind w:left="644"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99D084D"/>
    <w:multiLevelType w:val="hybridMultilevel"/>
    <w:tmpl w:val="520C034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392AF6"/>
    <w:multiLevelType w:val="hybridMultilevel"/>
    <w:tmpl w:val="99BC296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0CC636AC"/>
    <w:multiLevelType w:val="hybridMultilevel"/>
    <w:tmpl w:val="230CF7A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8F5275E"/>
    <w:multiLevelType w:val="hybridMultilevel"/>
    <w:tmpl w:val="01A454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1823DB9"/>
    <w:multiLevelType w:val="hybridMultilevel"/>
    <w:tmpl w:val="16D43C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20A1150"/>
    <w:multiLevelType w:val="hybridMultilevel"/>
    <w:tmpl w:val="EE26D73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C144FA"/>
    <w:multiLevelType w:val="hybridMultilevel"/>
    <w:tmpl w:val="A9C6870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100E8D"/>
    <w:multiLevelType w:val="multilevel"/>
    <w:tmpl w:val="2FF07FE2"/>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54606"/>
    <w:multiLevelType w:val="hybridMultilevel"/>
    <w:tmpl w:val="100E4A8A"/>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00243"/>
    <w:multiLevelType w:val="multilevel"/>
    <w:tmpl w:val="E1CE38D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27E37B32"/>
    <w:multiLevelType w:val="singleLevel"/>
    <w:tmpl w:val="BAB073A6"/>
    <w:lvl w:ilvl="0">
      <w:numFmt w:val="decimal"/>
      <w:lvlText w:val="*"/>
      <w:lvlJc w:val="left"/>
    </w:lvl>
  </w:abstractNum>
  <w:abstractNum w:abstractNumId="18" w15:restartNumberingAfterBreak="0">
    <w:nsid w:val="28270E71"/>
    <w:multiLevelType w:val="hybridMultilevel"/>
    <w:tmpl w:val="91F27F50"/>
    <w:lvl w:ilvl="0" w:tplc="8E864B0C">
      <w:start w:val="1"/>
      <w:numFmt w:val="bullet"/>
      <w:lvlText w:val=""/>
      <w:lvlJc w:val="left"/>
      <w:pPr>
        <w:ind w:left="644" w:hanging="360"/>
      </w:pPr>
      <w:rPr>
        <w:rFonts w:ascii="Symbol" w:hAnsi="Symbol" w:hint="default"/>
        <w:color w:val="auto"/>
      </w:rPr>
    </w:lvl>
    <w:lvl w:ilvl="1" w:tplc="080C0003">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282F56D1"/>
    <w:multiLevelType w:val="singleLevel"/>
    <w:tmpl w:val="BAB073A6"/>
    <w:lvl w:ilvl="0">
      <w:numFmt w:val="decimal"/>
      <w:lvlText w:val="*"/>
      <w:lvlJc w:val="left"/>
    </w:lvl>
  </w:abstractNum>
  <w:abstractNum w:abstractNumId="20" w15:restartNumberingAfterBreak="0">
    <w:nsid w:val="295B33E9"/>
    <w:multiLevelType w:val="hybridMultilevel"/>
    <w:tmpl w:val="7F8ED52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15:restartNumberingAfterBreak="0">
    <w:nsid w:val="2C6902C0"/>
    <w:multiLevelType w:val="hybridMultilevel"/>
    <w:tmpl w:val="B19E7F0A"/>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E9244B4"/>
    <w:multiLevelType w:val="hybridMultilevel"/>
    <w:tmpl w:val="E7FC3DB2"/>
    <w:lvl w:ilvl="0" w:tplc="8E864B0C">
      <w:start w:val="1"/>
      <w:numFmt w:val="bullet"/>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3" w15:restartNumberingAfterBreak="0">
    <w:nsid w:val="2E95E4AD"/>
    <w:multiLevelType w:val="hybridMultilevel"/>
    <w:tmpl w:val="4EF0B18C"/>
    <w:lvl w:ilvl="0" w:tplc="EB9C4E38">
      <w:start w:val="1"/>
      <w:numFmt w:val="bullet"/>
      <w:lvlText w:val=""/>
      <w:lvlJc w:val="left"/>
      <w:pPr>
        <w:ind w:left="720" w:hanging="360"/>
      </w:pPr>
      <w:rPr>
        <w:rFonts w:ascii="Symbol" w:hAnsi="Symbol" w:hint="default"/>
      </w:rPr>
    </w:lvl>
    <w:lvl w:ilvl="1" w:tplc="3F60D982">
      <w:start w:val="1"/>
      <w:numFmt w:val="bullet"/>
      <w:lvlText w:val="o"/>
      <w:lvlJc w:val="left"/>
      <w:pPr>
        <w:ind w:left="1440" w:hanging="360"/>
      </w:pPr>
      <w:rPr>
        <w:rFonts w:ascii="Courier New" w:hAnsi="Courier New" w:hint="default"/>
      </w:rPr>
    </w:lvl>
    <w:lvl w:ilvl="2" w:tplc="E8602744">
      <w:start w:val="1"/>
      <w:numFmt w:val="bullet"/>
      <w:lvlText w:val=""/>
      <w:lvlJc w:val="left"/>
      <w:pPr>
        <w:ind w:left="2160" w:hanging="360"/>
      </w:pPr>
      <w:rPr>
        <w:rFonts w:ascii="Wingdings" w:hAnsi="Wingdings" w:hint="default"/>
      </w:rPr>
    </w:lvl>
    <w:lvl w:ilvl="3" w:tplc="E1A2C312">
      <w:start w:val="1"/>
      <w:numFmt w:val="bullet"/>
      <w:lvlText w:val=""/>
      <w:lvlJc w:val="left"/>
      <w:pPr>
        <w:ind w:left="2880" w:hanging="360"/>
      </w:pPr>
      <w:rPr>
        <w:rFonts w:ascii="Symbol" w:hAnsi="Symbol" w:hint="default"/>
      </w:rPr>
    </w:lvl>
    <w:lvl w:ilvl="4" w:tplc="372C0AB0">
      <w:start w:val="1"/>
      <w:numFmt w:val="bullet"/>
      <w:lvlText w:val="o"/>
      <w:lvlJc w:val="left"/>
      <w:pPr>
        <w:ind w:left="3600" w:hanging="360"/>
      </w:pPr>
      <w:rPr>
        <w:rFonts w:ascii="Courier New" w:hAnsi="Courier New" w:hint="default"/>
      </w:rPr>
    </w:lvl>
    <w:lvl w:ilvl="5" w:tplc="576634FC">
      <w:start w:val="1"/>
      <w:numFmt w:val="bullet"/>
      <w:lvlText w:val=""/>
      <w:lvlJc w:val="left"/>
      <w:pPr>
        <w:ind w:left="4320" w:hanging="360"/>
      </w:pPr>
      <w:rPr>
        <w:rFonts w:ascii="Wingdings" w:hAnsi="Wingdings" w:hint="default"/>
      </w:rPr>
    </w:lvl>
    <w:lvl w:ilvl="6" w:tplc="0CC2E68E">
      <w:start w:val="1"/>
      <w:numFmt w:val="bullet"/>
      <w:lvlText w:val=""/>
      <w:lvlJc w:val="left"/>
      <w:pPr>
        <w:ind w:left="5040" w:hanging="360"/>
      </w:pPr>
      <w:rPr>
        <w:rFonts w:ascii="Symbol" w:hAnsi="Symbol" w:hint="default"/>
      </w:rPr>
    </w:lvl>
    <w:lvl w:ilvl="7" w:tplc="9BAA6F84">
      <w:start w:val="1"/>
      <w:numFmt w:val="bullet"/>
      <w:lvlText w:val="o"/>
      <w:lvlJc w:val="left"/>
      <w:pPr>
        <w:ind w:left="5760" w:hanging="360"/>
      </w:pPr>
      <w:rPr>
        <w:rFonts w:ascii="Courier New" w:hAnsi="Courier New" w:hint="default"/>
      </w:rPr>
    </w:lvl>
    <w:lvl w:ilvl="8" w:tplc="9ACAAED0">
      <w:start w:val="1"/>
      <w:numFmt w:val="bullet"/>
      <w:lvlText w:val=""/>
      <w:lvlJc w:val="left"/>
      <w:pPr>
        <w:ind w:left="6480" w:hanging="360"/>
      </w:pPr>
      <w:rPr>
        <w:rFonts w:ascii="Wingdings" w:hAnsi="Wingdings" w:hint="default"/>
      </w:rPr>
    </w:lvl>
  </w:abstractNum>
  <w:abstractNum w:abstractNumId="24" w15:restartNumberingAfterBreak="0">
    <w:nsid w:val="304041FE"/>
    <w:multiLevelType w:val="singleLevel"/>
    <w:tmpl w:val="BAB073A6"/>
    <w:lvl w:ilvl="0">
      <w:numFmt w:val="decimal"/>
      <w:lvlText w:val="*"/>
      <w:lvlJc w:val="left"/>
    </w:lvl>
  </w:abstractNum>
  <w:abstractNum w:abstractNumId="25" w15:restartNumberingAfterBreak="0">
    <w:nsid w:val="304B6C22"/>
    <w:multiLevelType w:val="hybridMultilevel"/>
    <w:tmpl w:val="CAF6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AB0B36"/>
    <w:multiLevelType w:val="hybridMultilevel"/>
    <w:tmpl w:val="9AA6686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3447C62"/>
    <w:multiLevelType w:val="multilevel"/>
    <w:tmpl w:val="85A0D720"/>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8" w15:restartNumberingAfterBreak="0">
    <w:nsid w:val="37C53481"/>
    <w:multiLevelType w:val="hybridMultilevel"/>
    <w:tmpl w:val="D368BB18"/>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8EA22B1"/>
    <w:multiLevelType w:val="hybridMultilevel"/>
    <w:tmpl w:val="1C88FD8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0" w15:restartNumberingAfterBreak="0">
    <w:nsid w:val="39133BFF"/>
    <w:multiLevelType w:val="hybridMultilevel"/>
    <w:tmpl w:val="E3B40A20"/>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96C1E74"/>
    <w:multiLevelType w:val="hybridMultilevel"/>
    <w:tmpl w:val="FBF2FA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3BC95AAA"/>
    <w:multiLevelType w:val="hybridMultilevel"/>
    <w:tmpl w:val="EBE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FE2B09"/>
    <w:multiLevelType w:val="hybridMultilevel"/>
    <w:tmpl w:val="7206F4D2"/>
    <w:lvl w:ilvl="0" w:tplc="8E864B0C">
      <w:start w:val="1"/>
      <w:numFmt w:val="bullet"/>
      <w:lvlText w:val=""/>
      <w:lvlJc w:val="left"/>
      <w:pPr>
        <w:ind w:left="1004" w:hanging="360"/>
      </w:pPr>
      <w:rPr>
        <w:rFonts w:ascii="Symbol" w:hAnsi="Symbol" w:hint="default"/>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4" w15:restartNumberingAfterBreak="0">
    <w:nsid w:val="3D220D80"/>
    <w:multiLevelType w:val="singleLevel"/>
    <w:tmpl w:val="BAB073A6"/>
    <w:lvl w:ilvl="0">
      <w:numFmt w:val="decimal"/>
      <w:lvlText w:val="*"/>
      <w:lvlJc w:val="left"/>
    </w:lvl>
  </w:abstractNum>
  <w:abstractNum w:abstractNumId="35" w15:restartNumberingAfterBreak="0">
    <w:nsid w:val="3FCA5E74"/>
    <w:multiLevelType w:val="multilevel"/>
    <w:tmpl w:val="ED68449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6" w15:restartNumberingAfterBreak="0">
    <w:nsid w:val="41395909"/>
    <w:multiLevelType w:val="hybridMultilevel"/>
    <w:tmpl w:val="E89E7E2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41ED687D"/>
    <w:multiLevelType w:val="hybridMultilevel"/>
    <w:tmpl w:val="C65A009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4360788A"/>
    <w:multiLevelType w:val="hybridMultilevel"/>
    <w:tmpl w:val="C896CC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985DF5"/>
    <w:multiLevelType w:val="hybridMultilevel"/>
    <w:tmpl w:val="A118C42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BA00765"/>
    <w:multiLevelType w:val="hybridMultilevel"/>
    <w:tmpl w:val="A52039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1" w15:restartNumberingAfterBreak="0">
    <w:nsid w:val="4BE26162"/>
    <w:multiLevelType w:val="hybridMultilevel"/>
    <w:tmpl w:val="870420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D4A5278"/>
    <w:multiLevelType w:val="hybridMultilevel"/>
    <w:tmpl w:val="30E8A80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0C6359"/>
    <w:multiLevelType w:val="hybridMultilevel"/>
    <w:tmpl w:val="4C36186A"/>
    <w:lvl w:ilvl="0" w:tplc="20000001">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4" w15:restartNumberingAfterBreak="0">
    <w:nsid w:val="525A0A52"/>
    <w:multiLevelType w:val="hybridMultilevel"/>
    <w:tmpl w:val="540CE5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527808F6"/>
    <w:multiLevelType w:val="hybridMultilevel"/>
    <w:tmpl w:val="DE42093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6" w15:restartNumberingAfterBreak="0">
    <w:nsid w:val="5336169D"/>
    <w:multiLevelType w:val="hybridMultilevel"/>
    <w:tmpl w:val="5616F14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9159B7"/>
    <w:multiLevelType w:val="multilevel"/>
    <w:tmpl w:val="1BD2AE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F742BF"/>
    <w:multiLevelType w:val="hybridMultilevel"/>
    <w:tmpl w:val="D15C3F4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9A6780E"/>
    <w:multiLevelType w:val="hybridMultilevel"/>
    <w:tmpl w:val="146CB53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0" w15:restartNumberingAfterBreak="0">
    <w:nsid w:val="5A9F417D"/>
    <w:multiLevelType w:val="hybridMultilevel"/>
    <w:tmpl w:val="52807AB2"/>
    <w:lvl w:ilvl="0" w:tplc="8E864B0C">
      <w:start w:val="1"/>
      <w:numFmt w:val="bullet"/>
      <w:lvlText w:val=""/>
      <w:lvlJc w:val="left"/>
      <w:pPr>
        <w:ind w:left="1080" w:hanging="360"/>
      </w:pPr>
      <w:rPr>
        <w:rFonts w:ascii="Symbol" w:hAnsi="Symbol" w:hint="default"/>
        <w:color w:val="auto"/>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1" w15:restartNumberingAfterBreak="0">
    <w:nsid w:val="5BED5387"/>
    <w:multiLevelType w:val="hybridMultilevel"/>
    <w:tmpl w:val="5AEA60A8"/>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CA209FF"/>
    <w:multiLevelType w:val="hybridMultilevel"/>
    <w:tmpl w:val="69DED2C4"/>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E7B53A0"/>
    <w:multiLevelType w:val="hybridMultilevel"/>
    <w:tmpl w:val="D9F41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29F4733"/>
    <w:multiLevelType w:val="hybridMultilevel"/>
    <w:tmpl w:val="947CDD20"/>
    <w:lvl w:ilvl="0" w:tplc="943C3EDC">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63E22154"/>
    <w:multiLevelType w:val="hybridMultilevel"/>
    <w:tmpl w:val="1116E10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64D642E2"/>
    <w:multiLevelType w:val="hybridMultilevel"/>
    <w:tmpl w:val="2E7008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537323D"/>
    <w:multiLevelType w:val="hybridMultilevel"/>
    <w:tmpl w:val="3DDA69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681949FE"/>
    <w:multiLevelType w:val="hybridMultilevel"/>
    <w:tmpl w:val="C9764F86"/>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693F519E"/>
    <w:multiLevelType w:val="hybridMultilevel"/>
    <w:tmpl w:val="BD72474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1"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2" w15:restartNumberingAfterBreak="0">
    <w:nsid w:val="6B3767B2"/>
    <w:multiLevelType w:val="hybridMultilevel"/>
    <w:tmpl w:val="88EA115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3" w15:restartNumberingAfterBreak="0">
    <w:nsid w:val="6D0361A2"/>
    <w:multiLevelType w:val="hybridMultilevel"/>
    <w:tmpl w:val="91840EE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4" w15:restartNumberingAfterBreak="0">
    <w:nsid w:val="6E092C62"/>
    <w:multiLevelType w:val="multilevel"/>
    <w:tmpl w:val="B8EA660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5" w15:restartNumberingAfterBreak="0">
    <w:nsid w:val="6F904926"/>
    <w:multiLevelType w:val="hybridMultilevel"/>
    <w:tmpl w:val="EB3299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6" w15:restartNumberingAfterBreak="0">
    <w:nsid w:val="71663646"/>
    <w:multiLevelType w:val="hybridMultilevel"/>
    <w:tmpl w:val="66CABB7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4F4187C"/>
    <w:multiLevelType w:val="hybridMultilevel"/>
    <w:tmpl w:val="1346CE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8"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8756ED"/>
    <w:multiLevelType w:val="hybridMultilevel"/>
    <w:tmpl w:val="F198E9E8"/>
    <w:lvl w:ilvl="0" w:tplc="2A40409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874575E"/>
    <w:multiLevelType w:val="hybridMultilevel"/>
    <w:tmpl w:val="04A46B0E"/>
    <w:lvl w:ilvl="0" w:tplc="8E864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4538B0"/>
    <w:multiLevelType w:val="hybridMultilevel"/>
    <w:tmpl w:val="95486FC6"/>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7F0B0CA1"/>
    <w:multiLevelType w:val="hybridMultilevel"/>
    <w:tmpl w:val="35BCE30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1376587">
    <w:abstractNumId w:val="0"/>
  </w:num>
  <w:num w:numId="2" w16cid:durableId="2004504894">
    <w:abstractNumId w:val="61"/>
  </w:num>
  <w:num w:numId="3" w16cid:durableId="1718092457">
    <w:abstractNumId w:val="68"/>
  </w:num>
  <w:num w:numId="4" w16cid:durableId="725957422">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16cid:durableId="1353729996">
    <w:abstractNumId w:val="62"/>
  </w:num>
  <w:num w:numId="6" w16cid:durableId="641424827">
    <w:abstractNumId w:val="69"/>
  </w:num>
  <w:num w:numId="7" w16cid:durableId="707029894">
    <w:abstractNumId w:val="25"/>
  </w:num>
  <w:num w:numId="8" w16cid:durableId="716666414">
    <w:abstractNumId w:val="1"/>
    <w:lvlOverride w:ilvl="0">
      <w:lvl w:ilvl="0">
        <w:start w:val="1"/>
        <w:numFmt w:val="bullet"/>
        <w:lvlText w:val=""/>
        <w:lvlJc w:val="left"/>
        <w:pPr>
          <w:ind w:left="720" w:hanging="360"/>
        </w:pPr>
        <w:rPr>
          <w:rFonts w:ascii="Symbol" w:hAnsi="Symbol" w:hint="default"/>
          <w:color w:val="auto"/>
          <w:sz w:val="28"/>
          <w:szCs w:val="28"/>
        </w:rPr>
      </w:lvl>
    </w:lvlOverride>
  </w:num>
  <w:num w:numId="9" w16cid:durableId="1793669222">
    <w:abstractNumId w:val="56"/>
  </w:num>
  <w:num w:numId="10" w16cid:durableId="1276406617">
    <w:abstractNumId w:val="46"/>
  </w:num>
  <w:num w:numId="11" w16cid:durableId="569076230">
    <w:abstractNumId w:val="58"/>
  </w:num>
  <w:num w:numId="12" w16cid:durableId="735475890">
    <w:abstractNumId w:val="47"/>
  </w:num>
  <w:num w:numId="13" w16cid:durableId="359431178">
    <w:abstractNumId w:val="60"/>
  </w:num>
  <w:num w:numId="14" w16cid:durableId="775054199">
    <w:abstractNumId w:val="54"/>
  </w:num>
  <w:num w:numId="15" w16cid:durableId="1114977608">
    <w:abstractNumId w:val="10"/>
  </w:num>
  <w:num w:numId="16" w16cid:durableId="1963919288">
    <w:abstractNumId w:val="53"/>
  </w:num>
  <w:num w:numId="17" w16cid:durableId="1245531845">
    <w:abstractNumId w:val="32"/>
  </w:num>
  <w:num w:numId="18" w16cid:durableId="167142101">
    <w:abstractNumId w:val="23"/>
  </w:num>
  <w:num w:numId="19" w16cid:durableId="882717286">
    <w:abstractNumId w:val="8"/>
  </w:num>
  <w:num w:numId="20" w16cid:durableId="1853951092">
    <w:abstractNumId w:val="71"/>
  </w:num>
  <w:num w:numId="21" w16cid:durableId="743835569">
    <w:abstractNumId w:val="51"/>
  </w:num>
  <w:num w:numId="22" w16cid:durableId="1299382771">
    <w:abstractNumId w:val="3"/>
  </w:num>
  <w:num w:numId="23" w16cid:durableId="319427157">
    <w:abstractNumId w:val="39"/>
  </w:num>
  <w:num w:numId="24" w16cid:durableId="1780024874">
    <w:abstractNumId w:val="40"/>
  </w:num>
  <w:num w:numId="25" w16cid:durableId="372195752">
    <w:abstractNumId w:val="55"/>
  </w:num>
  <w:num w:numId="26" w16cid:durableId="1508866593">
    <w:abstractNumId w:val="14"/>
  </w:num>
  <w:num w:numId="27" w16cid:durableId="789276653">
    <w:abstractNumId w:val="11"/>
  </w:num>
  <w:num w:numId="28" w16cid:durableId="1291739553">
    <w:abstractNumId w:val="37"/>
  </w:num>
  <w:num w:numId="29" w16cid:durableId="1052002978">
    <w:abstractNumId w:val="38"/>
  </w:num>
  <w:num w:numId="30" w16cid:durableId="909777235">
    <w:abstractNumId w:val="31"/>
  </w:num>
  <w:num w:numId="31" w16cid:durableId="625236341">
    <w:abstractNumId w:val="45"/>
  </w:num>
  <w:num w:numId="32" w16cid:durableId="1579709927">
    <w:abstractNumId w:val="7"/>
  </w:num>
  <w:num w:numId="33" w16cid:durableId="59575388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4" w16cid:durableId="1227766028">
    <w:abstractNumId w:val="19"/>
  </w:num>
  <w:num w:numId="35" w16cid:durableId="1833372393">
    <w:abstractNumId w:val="65"/>
  </w:num>
  <w:num w:numId="36" w16cid:durableId="738021958">
    <w:abstractNumId w:val="43"/>
  </w:num>
  <w:num w:numId="37" w16cid:durableId="1081826900">
    <w:abstractNumId w:val="33"/>
  </w:num>
  <w:num w:numId="38" w16cid:durableId="1856191307">
    <w:abstractNumId w:val="36"/>
  </w:num>
  <w:num w:numId="39" w16cid:durableId="174153639">
    <w:abstractNumId w:val="63"/>
  </w:num>
  <w:num w:numId="40" w16cid:durableId="228804849">
    <w:abstractNumId w:val="6"/>
  </w:num>
  <w:num w:numId="41" w16cid:durableId="125314563">
    <w:abstractNumId w:val="48"/>
  </w:num>
  <w:num w:numId="42" w16cid:durableId="774641243">
    <w:abstractNumId w:val="67"/>
  </w:num>
  <w:num w:numId="43" w16cid:durableId="1290548620">
    <w:abstractNumId w:val="13"/>
  </w:num>
  <w:num w:numId="44" w16cid:durableId="2082166919">
    <w:abstractNumId w:val="18"/>
  </w:num>
  <w:num w:numId="45" w16cid:durableId="275793577">
    <w:abstractNumId w:val="4"/>
  </w:num>
  <w:num w:numId="46" w16cid:durableId="463159445">
    <w:abstractNumId w:val="64"/>
  </w:num>
  <w:num w:numId="47" w16cid:durableId="1497719484">
    <w:abstractNumId w:val="41"/>
  </w:num>
  <w:num w:numId="48" w16cid:durableId="1171138157">
    <w:abstractNumId w:val="12"/>
  </w:num>
  <w:num w:numId="49" w16cid:durableId="1007639698">
    <w:abstractNumId w:val="57"/>
  </w:num>
  <w:num w:numId="50" w16cid:durableId="2057774988">
    <w:abstractNumId w:val="26"/>
  </w:num>
  <w:num w:numId="51" w16cid:durableId="1223636952">
    <w:abstractNumId w:val="66"/>
  </w:num>
  <w:num w:numId="52" w16cid:durableId="1979996544">
    <w:abstractNumId w:val="50"/>
  </w:num>
  <w:num w:numId="53" w16cid:durableId="1496342941">
    <w:abstractNumId w:val="22"/>
  </w:num>
  <w:num w:numId="54" w16cid:durableId="1137839135">
    <w:abstractNumId w:val="5"/>
  </w:num>
  <w:num w:numId="55" w16cid:durableId="1536580772">
    <w:abstractNumId w:val="52"/>
  </w:num>
  <w:num w:numId="56" w16cid:durableId="1681354256">
    <w:abstractNumId w:val="9"/>
  </w:num>
  <w:num w:numId="57" w16cid:durableId="669258988">
    <w:abstractNumId w:val="30"/>
  </w:num>
  <w:num w:numId="58" w16cid:durableId="599947830">
    <w:abstractNumId w:val="44"/>
  </w:num>
  <w:num w:numId="59" w16cid:durableId="548419319">
    <w:abstractNumId w:val="28"/>
  </w:num>
  <w:num w:numId="60" w16cid:durableId="589706188">
    <w:abstractNumId w:val="27"/>
  </w:num>
  <w:num w:numId="61" w16cid:durableId="1749957074">
    <w:abstractNumId w:val="20"/>
  </w:num>
  <w:num w:numId="62" w16cid:durableId="2143695807">
    <w:abstractNumId w:val="49"/>
  </w:num>
  <w:num w:numId="63" w16cid:durableId="72630573">
    <w:abstractNumId w:val="29"/>
  </w:num>
  <w:num w:numId="64" w16cid:durableId="1298217474">
    <w:abstractNumId w:val="21"/>
  </w:num>
  <w:num w:numId="65" w16cid:durableId="811991789">
    <w:abstractNumId w:val="35"/>
  </w:num>
  <w:num w:numId="66" w16cid:durableId="139782638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7" w16cid:durableId="217671081">
    <w:abstractNumId w:val="24"/>
  </w:num>
  <w:num w:numId="68" w16cid:durableId="201838423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9" w16cid:durableId="1810393546">
    <w:abstractNumId w:val="17"/>
  </w:num>
  <w:num w:numId="70" w16cid:durableId="1217621632">
    <w:abstractNumId w:val="34"/>
  </w:num>
  <w:num w:numId="71" w16cid:durableId="1575898782">
    <w:abstractNumId w:val="2"/>
  </w:num>
  <w:num w:numId="72" w16cid:durableId="1963686031">
    <w:abstractNumId w:val="16"/>
  </w:num>
  <w:num w:numId="73" w16cid:durableId="1458641281">
    <w:abstractNumId w:val="59"/>
  </w:num>
  <w:num w:numId="74" w16cid:durableId="871114158">
    <w:abstractNumId w:val="72"/>
  </w:num>
  <w:num w:numId="75" w16cid:durableId="1367408687">
    <w:abstractNumId w:val="42"/>
  </w:num>
  <w:num w:numId="76" w16cid:durableId="710881818">
    <w:abstractNumId w:val="15"/>
  </w:num>
  <w:num w:numId="77" w16cid:durableId="398135064">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010F"/>
    <w:rsid w:val="000056E4"/>
    <w:rsid w:val="00010A4D"/>
    <w:rsid w:val="000136C9"/>
    <w:rsid w:val="00014921"/>
    <w:rsid w:val="00023DB5"/>
    <w:rsid w:val="00032C87"/>
    <w:rsid w:val="00037101"/>
    <w:rsid w:val="00043BEF"/>
    <w:rsid w:val="0004480F"/>
    <w:rsid w:val="000501F7"/>
    <w:rsid w:val="00050D04"/>
    <w:rsid w:val="000517F6"/>
    <w:rsid w:val="0006268B"/>
    <w:rsid w:val="00063DFF"/>
    <w:rsid w:val="00070ED2"/>
    <w:rsid w:val="00072888"/>
    <w:rsid w:val="00092ACC"/>
    <w:rsid w:val="00096B93"/>
    <w:rsid w:val="000A2AF0"/>
    <w:rsid w:val="000A2B8D"/>
    <w:rsid w:val="000C5A16"/>
    <w:rsid w:val="000D394D"/>
    <w:rsid w:val="000F4673"/>
    <w:rsid w:val="001110F2"/>
    <w:rsid w:val="00121D18"/>
    <w:rsid w:val="00125D6F"/>
    <w:rsid w:val="00126E5E"/>
    <w:rsid w:val="0014411E"/>
    <w:rsid w:val="0014429D"/>
    <w:rsid w:val="00144D96"/>
    <w:rsid w:val="00150F26"/>
    <w:rsid w:val="001549EB"/>
    <w:rsid w:val="0017309D"/>
    <w:rsid w:val="00173C89"/>
    <w:rsid w:val="001766B2"/>
    <w:rsid w:val="00176B69"/>
    <w:rsid w:val="00181B6C"/>
    <w:rsid w:val="0019037A"/>
    <w:rsid w:val="00190FCF"/>
    <w:rsid w:val="00196518"/>
    <w:rsid w:val="001A42F8"/>
    <w:rsid w:val="001B4559"/>
    <w:rsid w:val="001B58AE"/>
    <w:rsid w:val="001C343E"/>
    <w:rsid w:val="001C540B"/>
    <w:rsid w:val="001D28C3"/>
    <w:rsid w:val="001D292C"/>
    <w:rsid w:val="001E391D"/>
    <w:rsid w:val="001E4147"/>
    <w:rsid w:val="001F05C6"/>
    <w:rsid w:val="001F4150"/>
    <w:rsid w:val="0020397F"/>
    <w:rsid w:val="002079FC"/>
    <w:rsid w:val="00212AD9"/>
    <w:rsid w:val="00224B1B"/>
    <w:rsid w:val="00227AA1"/>
    <w:rsid w:val="00235BA4"/>
    <w:rsid w:val="00235CEA"/>
    <w:rsid w:val="0024677E"/>
    <w:rsid w:val="00251ADD"/>
    <w:rsid w:val="002723A4"/>
    <w:rsid w:val="00272AC6"/>
    <w:rsid w:val="002753D7"/>
    <w:rsid w:val="00297F0C"/>
    <w:rsid w:val="002A0F5D"/>
    <w:rsid w:val="002A5636"/>
    <w:rsid w:val="002B1F1C"/>
    <w:rsid w:val="002B30F4"/>
    <w:rsid w:val="002B7981"/>
    <w:rsid w:val="002C1664"/>
    <w:rsid w:val="002C3C5F"/>
    <w:rsid w:val="002C3F34"/>
    <w:rsid w:val="002E1159"/>
    <w:rsid w:val="002E1E9E"/>
    <w:rsid w:val="002F2C4A"/>
    <w:rsid w:val="002F4BCC"/>
    <w:rsid w:val="003066BE"/>
    <w:rsid w:val="003227CC"/>
    <w:rsid w:val="00334F4E"/>
    <w:rsid w:val="00336295"/>
    <w:rsid w:val="003362B9"/>
    <w:rsid w:val="00341FC2"/>
    <w:rsid w:val="00342D5E"/>
    <w:rsid w:val="00354B98"/>
    <w:rsid w:val="0035724D"/>
    <w:rsid w:val="003578BB"/>
    <w:rsid w:val="00360C1A"/>
    <w:rsid w:val="003734B1"/>
    <w:rsid w:val="0039093C"/>
    <w:rsid w:val="00392AE5"/>
    <w:rsid w:val="003974F0"/>
    <w:rsid w:val="003A066A"/>
    <w:rsid w:val="003A1590"/>
    <w:rsid w:val="003B25E1"/>
    <w:rsid w:val="003B7B77"/>
    <w:rsid w:val="003C0021"/>
    <w:rsid w:val="003C1C0C"/>
    <w:rsid w:val="003C3284"/>
    <w:rsid w:val="003C7540"/>
    <w:rsid w:val="003D0BE5"/>
    <w:rsid w:val="003E20A3"/>
    <w:rsid w:val="003E263E"/>
    <w:rsid w:val="003F20DF"/>
    <w:rsid w:val="003F326D"/>
    <w:rsid w:val="003F79EF"/>
    <w:rsid w:val="00403683"/>
    <w:rsid w:val="00406469"/>
    <w:rsid w:val="00410FEB"/>
    <w:rsid w:val="00416A6E"/>
    <w:rsid w:val="00426604"/>
    <w:rsid w:val="00427781"/>
    <w:rsid w:val="0043191A"/>
    <w:rsid w:val="00435FF5"/>
    <w:rsid w:val="00440237"/>
    <w:rsid w:val="00445258"/>
    <w:rsid w:val="00445B9D"/>
    <w:rsid w:val="00446791"/>
    <w:rsid w:val="00447A14"/>
    <w:rsid w:val="004619A5"/>
    <w:rsid w:val="004815E0"/>
    <w:rsid w:val="00484F8B"/>
    <w:rsid w:val="004853F6"/>
    <w:rsid w:val="0048603B"/>
    <w:rsid w:val="004979CB"/>
    <w:rsid w:val="004A35A1"/>
    <w:rsid w:val="004A4B18"/>
    <w:rsid w:val="004A5CD7"/>
    <w:rsid w:val="004B0221"/>
    <w:rsid w:val="004B35B6"/>
    <w:rsid w:val="004B48B1"/>
    <w:rsid w:val="004B4BD3"/>
    <w:rsid w:val="004B4EC0"/>
    <w:rsid w:val="004C6742"/>
    <w:rsid w:val="004D2D6F"/>
    <w:rsid w:val="004D7AC0"/>
    <w:rsid w:val="004E3086"/>
    <w:rsid w:val="004E385F"/>
    <w:rsid w:val="004E5363"/>
    <w:rsid w:val="004F74E4"/>
    <w:rsid w:val="00506669"/>
    <w:rsid w:val="00512479"/>
    <w:rsid w:val="00516EEE"/>
    <w:rsid w:val="00517E07"/>
    <w:rsid w:val="00532089"/>
    <w:rsid w:val="00535A65"/>
    <w:rsid w:val="00537B03"/>
    <w:rsid w:val="005478EC"/>
    <w:rsid w:val="00553BE0"/>
    <w:rsid w:val="0055505B"/>
    <w:rsid w:val="00556299"/>
    <w:rsid w:val="00563D40"/>
    <w:rsid w:val="00567A6B"/>
    <w:rsid w:val="00586B4B"/>
    <w:rsid w:val="00595D85"/>
    <w:rsid w:val="005A0BDA"/>
    <w:rsid w:val="005C032C"/>
    <w:rsid w:val="005C3A8D"/>
    <w:rsid w:val="005C7B1D"/>
    <w:rsid w:val="005D0FED"/>
    <w:rsid w:val="005D1BBF"/>
    <w:rsid w:val="005D43B9"/>
    <w:rsid w:val="005D6457"/>
    <w:rsid w:val="005E01B5"/>
    <w:rsid w:val="005E73C3"/>
    <w:rsid w:val="005E7651"/>
    <w:rsid w:val="00610016"/>
    <w:rsid w:val="00613302"/>
    <w:rsid w:val="006206DB"/>
    <w:rsid w:val="00621FEB"/>
    <w:rsid w:val="00625CA3"/>
    <w:rsid w:val="0063486D"/>
    <w:rsid w:val="00641262"/>
    <w:rsid w:val="0064411A"/>
    <w:rsid w:val="00650BED"/>
    <w:rsid w:val="00651838"/>
    <w:rsid w:val="00665940"/>
    <w:rsid w:val="0066696D"/>
    <w:rsid w:val="006717BA"/>
    <w:rsid w:val="006765AF"/>
    <w:rsid w:val="0069052D"/>
    <w:rsid w:val="00690DC9"/>
    <w:rsid w:val="0069265D"/>
    <w:rsid w:val="006B3C3C"/>
    <w:rsid w:val="006B60D1"/>
    <w:rsid w:val="006C48A5"/>
    <w:rsid w:val="006D114B"/>
    <w:rsid w:val="006D2C8A"/>
    <w:rsid w:val="006D2D64"/>
    <w:rsid w:val="006D7E6E"/>
    <w:rsid w:val="006E4A8A"/>
    <w:rsid w:val="006E7F1F"/>
    <w:rsid w:val="00702280"/>
    <w:rsid w:val="00705EB1"/>
    <w:rsid w:val="00707697"/>
    <w:rsid w:val="007159C5"/>
    <w:rsid w:val="007173CF"/>
    <w:rsid w:val="007205A4"/>
    <w:rsid w:val="007323B9"/>
    <w:rsid w:val="00732E14"/>
    <w:rsid w:val="00740CB7"/>
    <w:rsid w:val="00741902"/>
    <w:rsid w:val="00747F87"/>
    <w:rsid w:val="00754027"/>
    <w:rsid w:val="00754882"/>
    <w:rsid w:val="00755E1E"/>
    <w:rsid w:val="007576D0"/>
    <w:rsid w:val="00757F74"/>
    <w:rsid w:val="00764CCB"/>
    <w:rsid w:val="00766B1A"/>
    <w:rsid w:val="0078198B"/>
    <w:rsid w:val="00785300"/>
    <w:rsid w:val="007A148E"/>
    <w:rsid w:val="007A3096"/>
    <w:rsid w:val="007A570F"/>
    <w:rsid w:val="007A78AB"/>
    <w:rsid w:val="007B6F06"/>
    <w:rsid w:val="007C36BF"/>
    <w:rsid w:val="007C5358"/>
    <w:rsid w:val="007C6EFD"/>
    <w:rsid w:val="007D7A17"/>
    <w:rsid w:val="007F1953"/>
    <w:rsid w:val="007F240C"/>
    <w:rsid w:val="007F48FC"/>
    <w:rsid w:val="007F5784"/>
    <w:rsid w:val="00800532"/>
    <w:rsid w:val="00804389"/>
    <w:rsid w:val="0080462D"/>
    <w:rsid w:val="00814A54"/>
    <w:rsid w:val="008314CE"/>
    <w:rsid w:val="008317E3"/>
    <w:rsid w:val="0083397F"/>
    <w:rsid w:val="00833B7B"/>
    <w:rsid w:val="00840C59"/>
    <w:rsid w:val="00843847"/>
    <w:rsid w:val="00844645"/>
    <w:rsid w:val="00845F24"/>
    <w:rsid w:val="008548EA"/>
    <w:rsid w:val="0085744A"/>
    <w:rsid w:val="00860162"/>
    <w:rsid w:val="00862DC4"/>
    <w:rsid w:val="00867002"/>
    <w:rsid w:val="008676ED"/>
    <w:rsid w:val="0087045E"/>
    <w:rsid w:val="008713EF"/>
    <w:rsid w:val="0088219D"/>
    <w:rsid w:val="00882D0D"/>
    <w:rsid w:val="008A47F4"/>
    <w:rsid w:val="008B155C"/>
    <w:rsid w:val="008B2CEB"/>
    <w:rsid w:val="008B4117"/>
    <w:rsid w:val="008C5433"/>
    <w:rsid w:val="008D2468"/>
    <w:rsid w:val="008D4F95"/>
    <w:rsid w:val="008E331E"/>
    <w:rsid w:val="008F062E"/>
    <w:rsid w:val="008F6AA0"/>
    <w:rsid w:val="00902FFF"/>
    <w:rsid w:val="00914FCF"/>
    <w:rsid w:val="00921E89"/>
    <w:rsid w:val="00927ACD"/>
    <w:rsid w:val="009360D7"/>
    <w:rsid w:val="00943240"/>
    <w:rsid w:val="00944198"/>
    <w:rsid w:val="009517E6"/>
    <w:rsid w:val="00952910"/>
    <w:rsid w:val="00956698"/>
    <w:rsid w:val="00962E55"/>
    <w:rsid w:val="00963401"/>
    <w:rsid w:val="009666C7"/>
    <w:rsid w:val="009700FB"/>
    <w:rsid w:val="0097101D"/>
    <w:rsid w:val="00983331"/>
    <w:rsid w:val="009954BD"/>
    <w:rsid w:val="00995C71"/>
    <w:rsid w:val="009A5F2B"/>
    <w:rsid w:val="009B6B7D"/>
    <w:rsid w:val="009D79C9"/>
    <w:rsid w:val="009E357D"/>
    <w:rsid w:val="009E6BDF"/>
    <w:rsid w:val="009F11CB"/>
    <w:rsid w:val="00A04D84"/>
    <w:rsid w:val="00A067F3"/>
    <w:rsid w:val="00A0776A"/>
    <w:rsid w:val="00A10033"/>
    <w:rsid w:val="00A10200"/>
    <w:rsid w:val="00A16254"/>
    <w:rsid w:val="00A162C2"/>
    <w:rsid w:val="00A16494"/>
    <w:rsid w:val="00A17E08"/>
    <w:rsid w:val="00A20E9D"/>
    <w:rsid w:val="00A230F1"/>
    <w:rsid w:val="00A23D6D"/>
    <w:rsid w:val="00A272B2"/>
    <w:rsid w:val="00A3691D"/>
    <w:rsid w:val="00A40127"/>
    <w:rsid w:val="00A456BF"/>
    <w:rsid w:val="00A45BD8"/>
    <w:rsid w:val="00A50553"/>
    <w:rsid w:val="00A53DD0"/>
    <w:rsid w:val="00A65FE3"/>
    <w:rsid w:val="00A83352"/>
    <w:rsid w:val="00A839C1"/>
    <w:rsid w:val="00A90C28"/>
    <w:rsid w:val="00A95447"/>
    <w:rsid w:val="00AA7C16"/>
    <w:rsid w:val="00AB224C"/>
    <w:rsid w:val="00AB3379"/>
    <w:rsid w:val="00AB43C4"/>
    <w:rsid w:val="00AC16AD"/>
    <w:rsid w:val="00AC5EC3"/>
    <w:rsid w:val="00AC66E4"/>
    <w:rsid w:val="00AE547F"/>
    <w:rsid w:val="00AE60E9"/>
    <w:rsid w:val="00AF5414"/>
    <w:rsid w:val="00AF547E"/>
    <w:rsid w:val="00B047A4"/>
    <w:rsid w:val="00B14E53"/>
    <w:rsid w:val="00B16376"/>
    <w:rsid w:val="00B203DA"/>
    <w:rsid w:val="00B251D5"/>
    <w:rsid w:val="00B310E6"/>
    <w:rsid w:val="00B31966"/>
    <w:rsid w:val="00B31AE4"/>
    <w:rsid w:val="00B366CF"/>
    <w:rsid w:val="00B37567"/>
    <w:rsid w:val="00B40A78"/>
    <w:rsid w:val="00B41741"/>
    <w:rsid w:val="00B47AAE"/>
    <w:rsid w:val="00B518C9"/>
    <w:rsid w:val="00B56575"/>
    <w:rsid w:val="00B61B74"/>
    <w:rsid w:val="00B635A1"/>
    <w:rsid w:val="00BA0251"/>
    <w:rsid w:val="00BA2BB0"/>
    <w:rsid w:val="00BA2D1E"/>
    <w:rsid w:val="00BB4A1A"/>
    <w:rsid w:val="00BC1478"/>
    <w:rsid w:val="00BD09B2"/>
    <w:rsid w:val="00BD5C39"/>
    <w:rsid w:val="00BD7679"/>
    <w:rsid w:val="00BE2F67"/>
    <w:rsid w:val="00BE54B3"/>
    <w:rsid w:val="00BE61CD"/>
    <w:rsid w:val="00C008B4"/>
    <w:rsid w:val="00C17ABD"/>
    <w:rsid w:val="00C25029"/>
    <w:rsid w:val="00C26C67"/>
    <w:rsid w:val="00C3123A"/>
    <w:rsid w:val="00C31776"/>
    <w:rsid w:val="00C32E41"/>
    <w:rsid w:val="00C37CA1"/>
    <w:rsid w:val="00C53E67"/>
    <w:rsid w:val="00C56EF3"/>
    <w:rsid w:val="00C57C84"/>
    <w:rsid w:val="00C6134C"/>
    <w:rsid w:val="00C63006"/>
    <w:rsid w:val="00C716C1"/>
    <w:rsid w:val="00C76C7D"/>
    <w:rsid w:val="00C81F1B"/>
    <w:rsid w:val="00C821A5"/>
    <w:rsid w:val="00C82A9F"/>
    <w:rsid w:val="00C95C7D"/>
    <w:rsid w:val="00C96FA3"/>
    <w:rsid w:val="00CA4A98"/>
    <w:rsid w:val="00CA6EC9"/>
    <w:rsid w:val="00CB6F1C"/>
    <w:rsid w:val="00CD4904"/>
    <w:rsid w:val="00CD7ECC"/>
    <w:rsid w:val="00CE3211"/>
    <w:rsid w:val="00CE4B1B"/>
    <w:rsid w:val="00CF2E5B"/>
    <w:rsid w:val="00CF7F94"/>
    <w:rsid w:val="00D02268"/>
    <w:rsid w:val="00D05F9C"/>
    <w:rsid w:val="00D16830"/>
    <w:rsid w:val="00D245DB"/>
    <w:rsid w:val="00D251DB"/>
    <w:rsid w:val="00D37D44"/>
    <w:rsid w:val="00D43613"/>
    <w:rsid w:val="00D53FBF"/>
    <w:rsid w:val="00D56293"/>
    <w:rsid w:val="00D7076A"/>
    <w:rsid w:val="00D73E8F"/>
    <w:rsid w:val="00D81F5E"/>
    <w:rsid w:val="00D86EFC"/>
    <w:rsid w:val="00D87925"/>
    <w:rsid w:val="00D92269"/>
    <w:rsid w:val="00D923C9"/>
    <w:rsid w:val="00D947AB"/>
    <w:rsid w:val="00D95586"/>
    <w:rsid w:val="00DA30AB"/>
    <w:rsid w:val="00DA4337"/>
    <w:rsid w:val="00DC7A5F"/>
    <w:rsid w:val="00DE0E4F"/>
    <w:rsid w:val="00DE13A8"/>
    <w:rsid w:val="00DE176A"/>
    <w:rsid w:val="00DE1BF7"/>
    <w:rsid w:val="00DE481E"/>
    <w:rsid w:val="00DE4D23"/>
    <w:rsid w:val="00DE5DBA"/>
    <w:rsid w:val="00DE758A"/>
    <w:rsid w:val="00DF174A"/>
    <w:rsid w:val="00DF6F2B"/>
    <w:rsid w:val="00E00A6B"/>
    <w:rsid w:val="00E129EB"/>
    <w:rsid w:val="00E14A19"/>
    <w:rsid w:val="00E14E08"/>
    <w:rsid w:val="00E171F6"/>
    <w:rsid w:val="00E23721"/>
    <w:rsid w:val="00E27990"/>
    <w:rsid w:val="00E43713"/>
    <w:rsid w:val="00E629FA"/>
    <w:rsid w:val="00E77899"/>
    <w:rsid w:val="00E8783B"/>
    <w:rsid w:val="00E92C8E"/>
    <w:rsid w:val="00EB0AFC"/>
    <w:rsid w:val="00EC4D43"/>
    <w:rsid w:val="00ED1C2B"/>
    <w:rsid w:val="00ED374C"/>
    <w:rsid w:val="00EE3717"/>
    <w:rsid w:val="00EE6B95"/>
    <w:rsid w:val="00EE6C3C"/>
    <w:rsid w:val="00EF7725"/>
    <w:rsid w:val="00F10208"/>
    <w:rsid w:val="00F1424E"/>
    <w:rsid w:val="00F146AD"/>
    <w:rsid w:val="00F1581A"/>
    <w:rsid w:val="00F170AA"/>
    <w:rsid w:val="00F2612C"/>
    <w:rsid w:val="00F32F97"/>
    <w:rsid w:val="00F3633D"/>
    <w:rsid w:val="00F3654D"/>
    <w:rsid w:val="00F37962"/>
    <w:rsid w:val="00F5080F"/>
    <w:rsid w:val="00F55F11"/>
    <w:rsid w:val="00F76EE7"/>
    <w:rsid w:val="00F807A4"/>
    <w:rsid w:val="00F80BEB"/>
    <w:rsid w:val="00F83C17"/>
    <w:rsid w:val="00F96D7F"/>
    <w:rsid w:val="00FA1401"/>
    <w:rsid w:val="00FA15B5"/>
    <w:rsid w:val="00FB1E95"/>
    <w:rsid w:val="00FC01B9"/>
    <w:rsid w:val="00FC1C8F"/>
    <w:rsid w:val="00FC456F"/>
    <w:rsid w:val="00FC7343"/>
    <w:rsid w:val="00FD5585"/>
    <w:rsid w:val="00FD6A81"/>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Heading1"/>
    <w:next w:val="Normal"/>
    <w:link w:val="Heading2Char"/>
    <w:qFormat/>
    <w:rsid w:val="00A067F3"/>
    <w:pPr>
      <w:outlineLvl w:val="1"/>
    </w:pPr>
    <w:rPr>
      <w:b/>
    </w:r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A067F3"/>
    <w:rPr>
      <w:rFonts w:ascii="Times New Roman" w:eastAsia="Times New Roman" w:hAnsi="Times New Roman" w:cs="Times New Roman"/>
      <w:b/>
      <w:kern w:val="28"/>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129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36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432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54B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D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A42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53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E33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82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266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833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659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45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DE75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B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1F4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227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4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C5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0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23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EC4D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16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297F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14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F3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8F062E"/>
    <w:pPr>
      <w:spacing w:after="100"/>
      <w:ind w:left="220"/>
    </w:pPr>
  </w:style>
  <w:style w:type="table" w:customStyle="1" w:styleId="TableGrid27">
    <w:name w:val="Table Grid27"/>
    <w:basedOn w:val="TableNormal"/>
    <w:next w:val="TableGrid"/>
    <w:rsid w:val="007A3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artek.Bednarowicz@eesc.europa.eu" TargetMode="External"/><Relationship Id="rId21" Type="http://schemas.openxmlformats.org/officeDocument/2006/relationships/hyperlink" Target="https://www.eesc.europa.eu/nl/our-work/opinions-information-reports/opinions/eu-policy-agenda-liveable-cities" TargetMode="External"/><Relationship Id="rId42" Type="http://schemas.openxmlformats.org/officeDocument/2006/relationships/hyperlink" Target="mailto:Radoslava.Stefankova@eesc.europa.eu" TargetMode="External"/><Relationship Id="rId47" Type="http://schemas.openxmlformats.org/officeDocument/2006/relationships/hyperlink" Target="https://www.eesc.europa.eu/nl/our-work/opinions-information-reports/opinions/new-rules-drug-precursors" TargetMode="External"/><Relationship Id="rId63" Type="http://schemas.openxmlformats.org/officeDocument/2006/relationships/hyperlink" Target="https://www.eesc.europa.eu/nl/our-work/opinions-information-reports/opinions/equivalence-field-inspections-carried-out-third-countries-seed-producing-crops-and-equivalence-seed-produced-third" TargetMode="External"/><Relationship Id="rId68" Type="http://schemas.openxmlformats.org/officeDocument/2006/relationships/hyperlink" Target="mailto:David.Hoic@eesc.europa.eu" TargetMode="External"/><Relationship Id="rId16"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Sergio.LorencioMatallana@eesc.europa.eu" TargetMode="External"/><Relationship Id="rId32" Type="http://schemas.openxmlformats.org/officeDocument/2006/relationships/hyperlink" Target="mailto:Gemma.Amran@eesc.europa.eu" TargetMode="External"/><Relationship Id="rId37" Type="http://schemas.openxmlformats.org/officeDocument/2006/relationships/hyperlink" Target="https://www.eesc.europa.eu/nl/our-work/opinions-information-reports/opinions/revision-co2-standards-cars-and-vans" TargetMode="External"/><Relationship Id="rId40" Type="http://schemas.openxmlformats.org/officeDocument/2006/relationships/hyperlink" Target="mailto:Annalisa.Tessarolo@eesc.europa.eu" TargetMode="External"/><Relationship Id="rId45" Type="http://schemas.openxmlformats.org/officeDocument/2006/relationships/hyperlink" Target="https://www.eesc.europa.eu/nl/our-work/opinions-information-reports/opinions/developing-european-centre-clinical-excellence-pharmaceuticals" TargetMode="External"/><Relationship Id="rId53" Type="http://schemas.openxmlformats.org/officeDocument/2006/relationships/hyperlink" Target="https://www.eesc.europa.eu/nl/our-work/opinions-information-reports/opinions/single-market-tackling-unjustified-territorial-supply-constraints" TargetMode="External"/><Relationship Id="rId58" Type="http://schemas.openxmlformats.org/officeDocument/2006/relationships/hyperlink" Target="mailto:Caroline.Verhelst@eesc.europa.eu" TargetMode="External"/><Relationship Id="rId66" Type="http://schemas.openxmlformats.org/officeDocument/2006/relationships/hyperlink" Target="mailto:Gaizka.Maloelcoro-iribe@eesc.europa.eu" TargetMode="External"/><Relationship Id="rId74"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hyperlink" Target="https://www.eesc.europa.eu/nl/our-work/opinions-information-reports/opinions/food-and-feed-safety-simplification-omnibus" TargetMode="Externa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Georgios.Meleas@eesc.europa.eu" TargetMode="External"/><Relationship Id="rId27" Type="http://schemas.openxmlformats.org/officeDocument/2006/relationships/hyperlink" Target="https://www.eesc.europa.eu/nl/our-work/opinions-information-reports/opinions/union-equality-lgbtiq-equality-strategy-2026-2030" TargetMode="External"/><Relationship Id="rId30" Type="http://schemas.openxmlformats.org/officeDocument/2006/relationships/hyperlink" Target="mailto:Bartek.Bednarowicz@eesc.europa.eu" TargetMode="External"/><Relationship Id="rId35" Type="http://schemas.openxmlformats.org/officeDocument/2006/relationships/hyperlink" Target="https://www.eesc.europa.eu/nl/our-work/opinions-information-reports/opinions/over-tourism-short-term-rentals-and-crowding-out-local-populations-finding-right-balance" TargetMode="External"/><Relationship Id="rId43" Type="http://schemas.openxmlformats.org/officeDocument/2006/relationships/hyperlink" Target="https://www.eesc.europa.eu/nl/our-work/opinions-information-reports/opinions/cybersecurity-act-1" TargetMode="External"/><Relationship Id="rId48" Type="http://schemas.openxmlformats.org/officeDocument/2006/relationships/hyperlink" Target="mailto:Radoslava.Stefankova@eesc.europa.eu" TargetMode="External"/><Relationship Id="rId56" Type="http://schemas.openxmlformats.org/officeDocument/2006/relationships/hyperlink" Target="mailto:Jana.Valant@eesc.europa.eu" TargetMode="External"/><Relationship Id="rId64" Type="http://schemas.openxmlformats.org/officeDocument/2006/relationships/hyperlink" Target="mailto:Arturo.Iniguez@eesc.europa.eu" TargetMode="External"/><Relationship Id="rId69" Type="http://schemas.openxmlformats.org/officeDocument/2006/relationships/hyperlink" Target="https://www.eesc.europa.eu/nl/our-work/opinions-information-reports/opinions/role-private-sector-and-civil-society-strengthening-economic-cooperation-within-pact-mediterranean"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nl/our-work/opinions-information-reports/opinions/strategic-standardisation-stronger-single-market" TargetMode="External"/><Relationship Id="rId72" Type="http://schemas.openxmlformats.org/officeDocument/2006/relationships/hyperlink" Target="mailto:Ioannis.Diamantopoulos@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nl/our-work/opinions-information-reports/opinions/ban-conversion-practices-european-union" TargetMode="External"/><Relationship Id="rId33" Type="http://schemas.openxmlformats.org/officeDocument/2006/relationships/hyperlink" Target="https://www.eesc.europa.eu/nl/our-work/opinions-information-reports/opinions/culture-compass-europe" TargetMode="External"/><Relationship Id="rId38" Type="http://schemas.openxmlformats.org/officeDocument/2006/relationships/hyperlink" Target="mailto:Silvia.Staffa@eesc.europa.eu" TargetMode="External"/><Relationship Id="rId46" Type="http://schemas.openxmlformats.org/officeDocument/2006/relationships/hyperlink" Target="mailto:Radoslava.stefankova@eesc.europa.eu" TargetMode="External"/><Relationship Id="rId59" Type="http://schemas.openxmlformats.org/officeDocument/2006/relationships/hyperlink" Target="https://www.eesc.europa.eu/nl/our-work/opinions-information-reports/opinions/eu-bioeconomy-strategy-towards-circular-regenerative-and-competitive-bioeconomy" TargetMode="External"/><Relationship Id="rId67" Type="http://schemas.openxmlformats.org/officeDocument/2006/relationships/hyperlink" Target="https://www.eesc.europa.eu/nl/our-work/opinions-information-reports/opinions/civil-societys-role-supporting-reform-under-growth-plans-western-balkans-and-moldova-well-ukraines-reform-path" TargetMode="External"/><Relationship Id="rId20" Type="http://schemas.openxmlformats.org/officeDocument/2006/relationships/footer" Target="footer3.xml"/><Relationship Id="rId41" Type="http://schemas.openxmlformats.org/officeDocument/2006/relationships/hyperlink" Target="https://www.eesc.europa.eu/nl/our-work/opinions-information-reports/opinions/2030-consumer-agenda" TargetMode="External"/><Relationship Id="rId54" Type="http://schemas.openxmlformats.org/officeDocument/2006/relationships/hyperlink" Target="mailto:Annalisa.Tessarolo@eesc.europa.eu" TargetMode="External"/><Relationship Id="rId62" Type="http://schemas.openxmlformats.org/officeDocument/2006/relationships/hyperlink" Target="mailto:Martine.Delanoy@eesc.europa.eu" TargetMode="External"/><Relationship Id="rId70" Type="http://schemas.openxmlformats.org/officeDocument/2006/relationships/hyperlink" Target="mailto:Andreas.Berger@eesc.europa.eu" TargetMode="Externa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nl/our-work/opinions-information-reports/opinions/supplementary-pensions-package-pepp-and-iorp" TargetMode="External"/><Relationship Id="rId28" Type="http://schemas.openxmlformats.org/officeDocument/2006/relationships/hyperlink" Target="rewritten://8da35b6f-64c2-4d79-b754-e2ec3a611b38" TargetMode="External"/><Relationship Id="rId36" Type="http://schemas.openxmlformats.org/officeDocument/2006/relationships/hyperlink" Target="mailto:Silvia.Staffa@eesc.europa.eu" TargetMode="External"/><Relationship Id="rId49" Type="http://schemas.openxmlformats.org/officeDocument/2006/relationships/hyperlink" Target="https://www.eesc.europa.eu/nl/our-work/opinions-information-reports/opinions/proposal-regulation-targeted-revision-eu-rules-medical-devices-and-vitro-diagnostics" TargetMode="External"/><Relationship Id="rId57" Type="http://schemas.openxmlformats.org/officeDocument/2006/relationships/hyperlink" Target="https://www.eesc.europa.eu/nl/our-work/opinions-information-reports/opinions/comprehensive-strategy-nature-based-biodegradable-materials-foster-circularity-and-resource-efficiency-strengthen-agri" TargetMode="External"/><Relationship Id="rId10" Type="http://schemas.openxmlformats.org/officeDocument/2006/relationships/footnotes" Target="footnotes.xml"/><Relationship Id="rId31" Type="http://schemas.openxmlformats.org/officeDocument/2006/relationships/hyperlink" Target="https://www.eesc.europa.eu/nl/our-work/opinions-information-reports/opinions/eu-drugs-strategy" TargetMode="External"/><Relationship Id="rId44" Type="http://schemas.openxmlformats.org/officeDocument/2006/relationships/hyperlink" Target="mailto:Silvia.Staffa@eesc.europa.eu" TargetMode="External"/><Relationship Id="rId52" Type="http://schemas.openxmlformats.org/officeDocument/2006/relationships/hyperlink" Target="mailto:Silvia.Staffa@eesc.europa.eu" TargetMode="External"/><Relationship Id="rId60" Type="http://schemas.openxmlformats.org/officeDocument/2006/relationships/hyperlink" Target="mailto:Anna.Cameron@eesc.europa.eu" TargetMode="External"/><Relationship Id="rId65" Type="http://schemas.openxmlformats.org/officeDocument/2006/relationships/hyperlink" Target="https://www.eesc.europa.eu/nl/our-work/opinions-information-reports/opinions/invalidation-allowances-market-stability-reserve" TargetMode="External"/><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nl/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https://www.eesc.europa.eu/nl/our-work/opinions-information-reports/information-reports/evaluation-regulation-eu-20191020-market-surveillance-and-compliance-products" TargetMode="External"/><Relationship Id="rId34" Type="http://schemas.openxmlformats.org/officeDocument/2006/relationships/hyperlink" Target="mailto:JeanMarie.Rogue@eesc.europa.eu" TargetMode="External"/><Relationship Id="rId50" Type="http://schemas.openxmlformats.org/officeDocument/2006/relationships/hyperlink" Target="mailto:Silvia.Staffa@eesc.europa.eu" TargetMode="External"/><Relationship Id="rId55" Type="http://schemas.openxmlformats.org/officeDocument/2006/relationships/hyperlink" Target="https://www.eesc.europa.eu/nl/our-work/opinions-information-reports/opinions/eu-startups-and-scale-strategy-focus-european-innovation-act"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eesc.europa.eu/nl/our-work/opinions-information-reports/opinions/programme-agile-and-rapid-defence-innovation-agile" TargetMode="External"/><Relationship Id="rId2" Type="http://schemas.openxmlformats.org/officeDocument/2006/relationships/customXml" Target="../customXml/item2.xml"/><Relationship Id="rId29" Type="http://schemas.openxmlformats.org/officeDocument/2006/relationships/hyperlink" Target="https://www.eesc.europa.eu/nl/our-work/opinions-information-reports/opinions/eu-competitiveness-and-youth-entrepreneurshi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uri=uriserv:OJ.C_.2018.227.01.0076.01.NLD&amp;toc=OJ:C:2018:227:TOC" TargetMode="External"/><Relationship Id="rId7" Type="http://schemas.openxmlformats.org/officeDocument/2006/relationships/hyperlink" Target="https://eur-lex.europa.eu/legal-content/NL/TXT/?uri=uriserv%3AOJ.C_.2022.152.01.0175.01.NLD&amp;toc=OJ%3AC%3A2022%3A152%3ATOC" TargetMode="External"/><Relationship Id="rId2" Type="http://schemas.openxmlformats.org/officeDocument/2006/relationships/hyperlink" Target="https://www.eesc.europa.eu/nl/our-work/opinions-information-reports/opinions/equivalence-inspections-seed-produced-brazil-and-moldova-modification" TargetMode="External"/><Relationship Id="rId1" Type="http://schemas.openxmlformats.org/officeDocument/2006/relationships/hyperlink" Target="http://data.europa.eu/eli/C/2024/6880/oj" TargetMode="External"/><Relationship Id="rId6" Type="http://schemas.openxmlformats.org/officeDocument/2006/relationships/hyperlink" Target="https://www.eesc.europa.eu/nl/our-work/opinions-information-reports/opinions/revision-eu-emissions-trading-system-ets-including-maritime-transport-and-market-stability-reserve" TargetMode="External"/><Relationship Id="rId5" Type="http://schemas.openxmlformats.org/officeDocument/2006/relationships/hyperlink" Target="https://eur-lex.europa.eu/legal-content/NL/TXT/?uri=uriserv%3AOJ.C_.2020.429.01.0276.01.NLD&amp;toc=OJ%3AC%3A2020%3A429%3ATOC" TargetMode="External"/><Relationship Id="rId4" Type="http://schemas.openxmlformats.org/officeDocument/2006/relationships/hyperlink" Target="https://www.eesc.europa.eu/nl/our-work/opinions-information-reports/opinions/seed-equivalence-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VP3JK3XSEPRV-2087481956-9145</_dlc_DocId>
    <_dlc_DocIdUrl xmlns="7d640e6d-779c-472f-a269-6b546787f1c9">
      <Url>http://dm/eesc/2026/_layouts/15/DocIdRedir.aspx?ID=VP3JK3XSEPRV-2087481956-9145</Url>
      <Description>VP3JK3XSEPRV-2087481956-9145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2026-05-22T12:00:00+00:00</ProductionDate>
    <DocumentNumber xmlns="a95533f8-59af-4217-bc7a-c1167744adb0">936</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MeetingDate xmlns="7d640e6d-779c-472f-a269-6b546787f1c9">2026-06-17T12:00:00+00:00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303002</FicheNumber>
    <OriginalSender xmlns="7d640e6d-779c-472f-a269-6b546787f1c9">
      <UserInfo>
        <DisplayName>Bialkowska Anna Maria</DisplayName>
        <AccountId>1366</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2.xml><?xml version="1.0" encoding="utf-8"?>
<ds:datastoreItem xmlns:ds="http://schemas.openxmlformats.org/officeDocument/2006/customXml" ds:itemID="{F5213C9C-C2AD-41E5-8AB6-4FF5F6509736}"/>
</file>

<file path=customXml/itemProps3.xml><?xml version="1.0" encoding="utf-8"?>
<ds:datastoreItem xmlns:ds="http://schemas.openxmlformats.org/officeDocument/2006/customXml" ds:itemID="{F0CC17BB-7ED8-47CF-857B-E1E1F9E37692}">
  <ds:schemaRefs>
    <ds:schemaRef ds:uri="http://schemas.openxmlformats.org/officeDocument/2006/bibliography"/>
  </ds:schemaRefs>
</ds:datastoreItem>
</file>

<file path=customXml/itemProps4.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5.xml><?xml version="1.0" encoding="utf-8"?>
<ds:datastoreItem xmlns:ds="http://schemas.openxmlformats.org/officeDocument/2006/customXml" ds:itemID="{4550B7D9-B944-4719-A93C-2F495E041519}">
  <ds:schemaRefs>
    <ds:schemaRef ds:uri="http://schemas.microsoft.com/sharepoint/event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9671</Words>
  <Characters>63448</Characters>
  <Application>Microsoft Office Word</Application>
  <DocSecurity>0</DocSecurity>
  <Lines>1547</Lines>
  <Paragraphs>786</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72333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Samenvatting van de adviezen - 605e zitting - april 2026</dc:title>
  <dc:subject>ADMIN</dc:subject>
  <dc:creator/>
  <cp:keywords>COR-EESC-2022-02583-00-00-ADMIN-TRA-EN</cp:keywords>
  <dc:description>Rapporteur:  - Original language: EN - Date of document: 20/05/2022 - Date of meeting:  - External documents:  - Administrator:  SUCIU Serban</dc:description>
  <cp:lastModifiedBy/>
  <cp:revision>12</cp:revision>
  <dcterms:created xsi:type="dcterms:W3CDTF">2026-05-08T11:50:00Z</dcterms:created>
  <dcterms:modified xsi:type="dcterms:W3CDTF">2026-05-22T12:07:00Z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08/05/2026, 02/05/2022, 02/05/2022, 28/06/2021</vt:lpwstr>
  </property>
  <property fmtid="{D5CDD505-2E9C-101B-9397-08002B2CF9AE}" pid="4" name="Pref_Time">
    <vt:lpwstr>13:50:41, 12:28:29, 12:25:37, 08:41:48</vt:lpwstr>
  </property>
  <property fmtid="{D5CDD505-2E9C-101B-9397-08002B2CF9AE}" pid="5" name="Pref_User">
    <vt:lpwstr>pacup, enied, enied, enied</vt:lpwstr>
  </property>
  <property fmtid="{D5CDD505-2E9C-101B-9397-08002B2CF9AE}" pid="6" name="Pref_FileName">
    <vt:lpwstr>EESC-2026-00936-00-00-TCD-ORI.docx,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99f1e716-c1f8-479b-8903-ed1769c2561e</vt:lpwstr>
  </property>
  <property fmtid="{D5CDD505-2E9C-101B-9397-08002B2CF9AE}" pid="9" name="AvailableTranslations">
    <vt:lpwstr>25;#FI|87606a43-d45f-42d6-b8c9-e1a3457db5b7;#4;#EN|f2175f21-25d7-44a3-96da-d6a61b075e1b;#51;#LV|46f7e311-5d9f-4663-b433-18aeccb7ace7;#13;#IT|0774613c-01ed-4e5d-a25d-11d2388de825;#37;#HU|6b229040-c589-4408-b4c1-4285663d20a8;#31;#SL|98a412ae-eb01-49e9-ae3d-585a81724cfc;#23;#FR|d2afafd3-4c81-4f60-8f52-ee33f2f54ff3;#30;#SK|46d9fce0-ef79-4f71-b89b-cd6aa82426b8;#28;#PT|50ccc04a-eadd-42ae-a0cb-acaf45f812ba;#34;#HR|2f555653-ed1a-4fe6-8362-9082d95989e5;#27;#ET|ff6c3f4c-b02c-4c3c-ab07-2c37995a7a0a;#44;#LT|a7ff5ce7-6123-4f68-865a-a57c31810414;#46;#DA|5d49c027-8956-412b-aa16-e85a0f96ad0e;#29;#CS|72f9705b-0217-4fd3-bea2-cbc7ed80e26e;#60;#EL|6d4f4d51-af9b-4650-94b4-4276bee85c91;#55;#RO|feb747a2-64cd-4299-af12-4833ddc30497;#11;#DE|f6b31e5a-26fa-4935-b661-318e46daf27e;#12;#ES|e7a6b05b-ae16-40c8-add9-68b64b03aeba;#43;#BG|1a1b3951-7821-4e6a-85f5-5673fc08bd2c;#32;#PL|1e03da61-4678-4e07-b136-b5024ca9197b;#36;#NL|55c6556c-b4f4-441d-9acf-c498d4f838bd;#45;#SV|c2ed69e7-a339-43d7-8f22-d93680a92aa0</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936</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34;#HR|2f555653-ed1a-4fe6-8362-9082d95989e5;#32;#PL|1e03da61-4678-4e07-b136-b5024ca9197b;#31;#SL|98a412ae-eb01-49e9-ae3d-585a81724cfc;#30;#SK|46d9fce0-ef79-4f71-b89b-cd6aa82426b8;#29;#CS|72f9705b-0217-4fd3-bea2-cbc7ed80e26e;#28;#PT|50ccc04a-eadd-42ae-a0cb-acaf45f812ba;#27;#ET|ff6c3f4c-b02c-4c3c-ab07-2c37995a7a0a;#12;#ES|e7a6b05b-ae16-40c8-add9-68b64b03aeba;#25;#FI|87606a43-d45f-42d6-b8c9-e1a3457db5b7;#44;#LT|a7ff5ce7-6123-4f68-865a-a57c31810414;#59;#SPL-CES|32d8cb1f-c9ec-4365-95c7-8385a18618ac;#19;#Unrestricted|826e22d7-d029-4ec0-a450-0c28ff673572;#18;#TCD|cd9d6eb6-3f4f-424a-b2d1-57c9d450eaaf;#51;#LV|46f7e311-5d9f-4663-b433-18aeccb7ace7;#13;#IT|0774613c-01ed-4e5d-a25d-11d2388de825;#46;#DA|5d49c027-8956-412b-aa16-e85a0f96ad0e;#11;#DE|f6b31e5a-26fa-4935-b661-318e46daf27e;#9;#TRA|150d2a88-1431-44e6-a8ca-0bb753ab8672;#45;#SV|c2ed69e7-a339-43d7-8f22-d93680a92aa0;#7;#Final|ea5e6674-7b27-4bac-b091-73adbb394efe;#43;#BG|1a1b3951-7821-4e6a-85f5-5673fc08bd2c;#4;#EN|f2175f21-25d7-44a3-96da-d6a61b075e1b;#1;#EESC|422833ec-8d7e-4e65-8e4e-8bed07ffb729;#37;#HU|6b229040-c589-4408-b4c1-4285663d20a8</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303002</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36;#NL|55c6556c-b4f4-441d-9acf-c498d4f838bd</vt:lpwstr>
  </property>
  <property fmtid="{D5CDD505-2E9C-101B-9397-08002B2CF9AE}" pid="33" name="AvailableTranslations_0">
    <vt:lpwstr>FI|87606a43-d45f-42d6-b8c9-e1a3457db5b7;EN|f2175f21-25d7-44a3-96da-d6a61b075e1b;LV|46f7e311-5d9f-4663-b433-18aeccb7ace7;IT|0774613c-01ed-4e5d-a25d-11d2388de825;HU|6b229040-c589-4408-b4c1-4285663d20a8;SL|98a412ae-eb01-49e9-ae3d-585a81724cfc;SK|46d9fce0-ef79-4f71-b89b-cd6aa82426b8;PT|50ccc04a-eadd-42ae-a0cb-acaf45f812ba;HR|2f555653-ed1a-4fe6-8362-9082d95989e5;ET|ff6c3f4c-b02c-4c3c-ab07-2c37995a7a0a;LT|a7ff5ce7-6123-4f68-865a-a57c31810414;DA|5d49c027-8956-412b-aa16-e85a0f96ad0e;CS|72f9705b-0217-4fd3-bea2-cbc7ed80e26e;DE|f6b31e5a-26fa-4935-b661-318e46daf27e;ES|e7a6b05b-ae16-40c8-add9-68b64b03aeba;BG|1a1b3951-7821-4e6a-85f5-5673fc08bd2c;PL|1e03da61-4678-4e07-b136-b5024ca9197b;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606</vt:i4>
  </property>
  <property fmtid="{D5CDD505-2E9C-101B-9397-08002B2CF9AE}" pid="40" name="MeetingDate">
    <vt:filetime>2026-06-17T12:00:00Z</vt:filetime>
  </property>
</Properties>
</file>