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6ECF0847" w:rsidR="004D7AC0" w:rsidRDefault="00291C11" w:rsidP="001766B2">
      <w:pPr>
        <w:jc w:val="center"/>
      </w:pPr>
      <w:r>
        <w:rPr>
          <w:noProof/>
        </w:rPr>
        <w:drawing>
          <wp:inline distT="0" distB="0" distL="0" distR="0" wp14:anchorId="299F3FF3" wp14:editId="4611ABBA">
            <wp:extent cx="1792605" cy="1239520"/>
            <wp:effectExtent l="0" t="0" r="0" b="0"/>
            <wp:docPr id="1266058561" name="Picture 1" title="EESCLogo_IT"/>
            <wp:cNvGraphicFramePr/>
            <a:graphic xmlns:a="http://schemas.openxmlformats.org/drawingml/2006/main">
              <a:graphicData uri="http://schemas.openxmlformats.org/drawingml/2006/picture">
                <pic:pic xmlns:pic="http://schemas.openxmlformats.org/drawingml/2006/picture">
                  <pic:nvPicPr>
                    <pic:cNvPr id="1266058561" name="Picture 1" title="EESCLogo_I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177D898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IT</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Bruxelles, 22 maggio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2F213312" w:rsidR="003066BE" w:rsidRDefault="003E263E" w:rsidP="001766B2">
            <w:pPr>
              <w:snapToGrid w:val="0"/>
              <w:jc w:val="center"/>
              <w:rPr>
                <w:b/>
                <w:sz w:val="32"/>
                <w:szCs w:val="32"/>
              </w:rPr>
            </w:pPr>
            <w:r>
              <w:rPr>
                <w:b/>
                <w:sz w:val="32"/>
              </w:rPr>
              <w:t>605</w:t>
            </w:r>
            <w:r w:rsidR="005C0987">
              <w:rPr>
                <w:b/>
                <w:sz w:val="32"/>
              </w:rPr>
              <w:t>ª</w:t>
            </w:r>
            <w:r>
              <w:rPr>
                <w:b/>
                <w:sz w:val="32"/>
              </w:rPr>
              <w:t xml:space="preserve"> SESSIONE PLENARIA</w:t>
            </w:r>
          </w:p>
          <w:p w14:paraId="4982DD55" w14:textId="0EEFFEDA" w:rsidR="003066BE" w:rsidRDefault="003E263E" w:rsidP="001766B2">
            <w:pPr>
              <w:snapToGrid w:val="0"/>
              <w:jc w:val="center"/>
              <w:rPr>
                <w:b/>
                <w:sz w:val="32"/>
                <w:szCs w:val="32"/>
              </w:rPr>
            </w:pPr>
            <w:r>
              <w:rPr>
                <w:b/>
                <w:sz w:val="32"/>
              </w:rPr>
              <w:t>del 29 e 30 aprile 2026</w:t>
            </w:r>
          </w:p>
          <w:p w14:paraId="4982DD56" w14:textId="77777777" w:rsidR="003066BE" w:rsidRDefault="003066BE" w:rsidP="001766B2">
            <w:pPr>
              <w:snapToGrid w:val="0"/>
              <w:jc w:val="center"/>
              <w:rPr>
                <w:b/>
                <w:sz w:val="32"/>
                <w:szCs w:val="32"/>
              </w:rPr>
            </w:pPr>
          </w:p>
          <w:p w14:paraId="19DC727D" w14:textId="77777777" w:rsidR="005C0987" w:rsidRDefault="00754027" w:rsidP="001766B2">
            <w:pPr>
              <w:snapToGrid w:val="0"/>
              <w:jc w:val="center"/>
              <w:rPr>
                <w:b/>
                <w:sz w:val="32"/>
              </w:rPr>
            </w:pPr>
            <w:r>
              <w:rPr>
                <w:b/>
                <w:sz w:val="32"/>
              </w:rPr>
              <w:t xml:space="preserve">SINTESI DEI PARERI, DELLE RISOLUZIONI </w:t>
            </w:r>
          </w:p>
          <w:p w14:paraId="3F7A681E" w14:textId="77777777" w:rsidR="005C0987" w:rsidRDefault="00754027" w:rsidP="001766B2">
            <w:pPr>
              <w:snapToGrid w:val="0"/>
              <w:jc w:val="center"/>
              <w:rPr>
                <w:b/>
                <w:sz w:val="32"/>
              </w:rPr>
            </w:pPr>
            <w:r>
              <w:rPr>
                <w:b/>
                <w:sz w:val="32"/>
              </w:rPr>
              <w:t>E DELLE RELAZIONI INFORMATIVE</w:t>
            </w:r>
            <w:r w:rsidR="005C0987">
              <w:rPr>
                <w:b/>
                <w:sz w:val="32"/>
              </w:rPr>
              <w:t xml:space="preserve"> </w:t>
            </w:r>
            <w:r>
              <w:rPr>
                <w:b/>
                <w:sz w:val="32"/>
              </w:rPr>
              <w:t>/</w:t>
            </w:r>
            <w:r w:rsidR="005C0987">
              <w:rPr>
                <w:b/>
                <w:sz w:val="32"/>
              </w:rPr>
              <w:t xml:space="preserve"> </w:t>
            </w:r>
          </w:p>
          <w:p w14:paraId="4982DD57" w14:textId="3920EEEA" w:rsidR="004D7AC0" w:rsidRPr="0081153B" w:rsidRDefault="00754027" w:rsidP="001766B2">
            <w:pPr>
              <w:snapToGrid w:val="0"/>
              <w:jc w:val="center"/>
              <w:rPr>
                <w:rFonts w:eastAsia="MS Mincho"/>
                <w:b/>
                <w:sz w:val="32"/>
                <w:szCs w:val="32"/>
              </w:rPr>
            </w:pPr>
            <w:r>
              <w:rPr>
                <w:b/>
                <w:sz w:val="32"/>
              </w:rPr>
              <w:t>DI VALUTAZIONE ADOTTATI</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6E000B81" w14:textId="77777777" w:rsidR="005C0987" w:rsidRDefault="004D7AC0" w:rsidP="005C0987">
            <w:pPr>
              <w:snapToGrid w:val="0"/>
              <w:spacing w:before="120"/>
              <w:jc w:val="center"/>
            </w:pPr>
            <w:r>
              <w:t xml:space="preserve">Il presente documento è accessibile in tutte le lingue ufficiali dell'Unione europea sul sito Internet </w:t>
            </w:r>
          </w:p>
          <w:p w14:paraId="4982DD5A" w14:textId="4DFFEBA6" w:rsidR="004D7AC0" w:rsidRPr="0081153B" w:rsidRDefault="004D7AC0" w:rsidP="005C0987">
            <w:pPr>
              <w:snapToGrid w:val="0"/>
              <w:jc w:val="center"/>
            </w:pPr>
            <w:r>
              <w:t xml:space="preserve">del CESE al seguente indirizzo: </w:t>
            </w:r>
            <w:hyperlink r:id="rId13" w:history="1">
              <w:r>
                <w:rPr>
                  <w:rStyle w:val="Hyperlink"/>
                </w:rPr>
                <w:t>https://www.eesc.europa.eu/it/our-work/opinions-information-reports/plenary-session-summaries</w:t>
              </w:r>
            </w:hyperlink>
          </w:p>
          <w:p w14:paraId="4982DD5C" w14:textId="77777777" w:rsidR="004D7AC0" w:rsidRPr="0081153B" w:rsidRDefault="004D7AC0" w:rsidP="001766B2">
            <w:pPr>
              <w:snapToGrid w:val="0"/>
              <w:jc w:val="center"/>
              <w:rPr>
                <w:rFonts w:eastAsia="SimSun"/>
              </w:rPr>
            </w:pPr>
          </w:p>
          <w:p w14:paraId="4982DD5E" w14:textId="55F909F5" w:rsidR="004D7AC0" w:rsidRPr="00044561" w:rsidRDefault="004D7AC0" w:rsidP="005C0987">
            <w:pPr>
              <w:snapToGrid w:val="0"/>
              <w:spacing w:after="120"/>
              <w:jc w:val="center"/>
            </w:pPr>
            <w:r>
              <w:t>I pareri menzionati possono essere consultati online tramite il motore di ricerca del CESE:</w:t>
            </w:r>
            <w:r>
              <w:br/>
            </w:r>
            <w:hyperlink r:id="rId14" w:history="1">
              <w:r>
                <w:rPr>
                  <w:rStyle w:val="Hyperlink"/>
                </w:rPr>
                <w:t>https://dmsearch.eesc.europa.eu/search/opinion</w:t>
              </w:r>
            </w:hyperlink>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Indice:</w:t>
      </w:r>
    </w:p>
    <w:p w14:paraId="2174B63A" w14:textId="77777777" w:rsidR="00A067F3" w:rsidRPr="00A81AFE" w:rsidRDefault="00A067F3" w:rsidP="001766B2">
      <w:pPr>
        <w:rPr>
          <w:b/>
        </w:rPr>
      </w:pPr>
    </w:p>
    <w:p w14:paraId="1AC5F105" w14:textId="0BD64815" w:rsidR="00854E09" w:rsidRDefault="00A067F3">
      <w:pPr>
        <w:pStyle w:val="TOC1"/>
        <w:tabs>
          <w:tab w:val="left" w:pos="480"/>
          <w:tab w:val="right" w:leader="dot" w:pos="9063"/>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\h \z \u \t "Heading 2,1" </w:instrText>
      </w:r>
      <w:r>
        <w:fldChar w:fldCharType="separate"/>
      </w:r>
      <w:hyperlink w:anchor="_Toc229405145" w:history="1">
        <w:r w:rsidR="00854E09" w:rsidRPr="009715B1">
          <w:rPr>
            <w:rStyle w:val="Hyperlink"/>
            <w:bCs/>
            <w:noProof/>
          </w:rPr>
          <w:t>1.</w:t>
        </w:r>
        <w:r w:rsidR="00854E09">
          <w:rPr>
            <w:rFonts w:asciiTheme="minorHAnsi" w:eastAsiaTheme="minorEastAsia" w:hAnsiTheme="minorHAnsi" w:cstheme="minorBidi"/>
            <w:noProof/>
            <w:kern w:val="2"/>
            <w:sz w:val="24"/>
            <w:szCs w:val="24"/>
            <w:lang w:val="en-GB" w:eastAsia="en-GB"/>
            <w14:ligatures w14:val="standardContextual"/>
          </w:rPr>
          <w:tab/>
        </w:r>
        <w:r w:rsidR="00854E09" w:rsidRPr="009715B1">
          <w:rPr>
            <w:rStyle w:val="Hyperlink"/>
            <w:noProof/>
          </w:rPr>
          <w:t>UNIONE ECONOMICA E M</w:t>
        </w:r>
        <w:r w:rsidR="00854E09" w:rsidRPr="009715B1">
          <w:rPr>
            <w:rStyle w:val="Hyperlink"/>
            <w:noProof/>
          </w:rPr>
          <w:t>O</w:t>
        </w:r>
        <w:r w:rsidR="00854E09" w:rsidRPr="009715B1">
          <w:rPr>
            <w:rStyle w:val="Hyperlink"/>
            <w:noProof/>
          </w:rPr>
          <w:t>NETARIA, COESIONE ECONOMICA E SOCIALE</w:t>
        </w:r>
        <w:r w:rsidR="00854E09">
          <w:rPr>
            <w:noProof/>
            <w:webHidden/>
          </w:rPr>
          <w:tab/>
        </w:r>
        <w:r w:rsidR="00854E09">
          <w:rPr>
            <w:noProof/>
            <w:webHidden/>
          </w:rPr>
          <w:fldChar w:fldCharType="begin"/>
        </w:r>
        <w:r w:rsidR="00854E09">
          <w:rPr>
            <w:noProof/>
            <w:webHidden/>
          </w:rPr>
          <w:instrText xml:space="preserve"> PAGEREF _Toc229405145 \h </w:instrText>
        </w:r>
        <w:r w:rsidR="00854E09">
          <w:rPr>
            <w:noProof/>
            <w:webHidden/>
          </w:rPr>
        </w:r>
        <w:r w:rsidR="00854E09">
          <w:rPr>
            <w:noProof/>
            <w:webHidden/>
          </w:rPr>
          <w:fldChar w:fldCharType="separate"/>
        </w:r>
        <w:r w:rsidR="00280166">
          <w:rPr>
            <w:noProof/>
            <w:webHidden/>
          </w:rPr>
          <w:t>3</w:t>
        </w:r>
        <w:r w:rsidR="00854E09">
          <w:rPr>
            <w:noProof/>
            <w:webHidden/>
          </w:rPr>
          <w:fldChar w:fldCharType="end"/>
        </w:r>
      </w:hyperlink>
    </w:p>
    <w:p w14:paraId="36BC1F03" w14:textId="690143EA" w:rsidR="00854E09" w:rsidRDefault="00854E09">
      <w:pPr>
        <w:pStyle w:val="TOC1"/>
        <w:tabs>
          <w:tab w:val="left" w:pos="480"/>
          <w:tab w:val="right" w:leader="dot" w:pos="9063"/>
        </w:tabs>
        <w:rPr>
          <w:rFonts w:asciiTheme="minorHAnsi" w:eastAsiaTheme="minorEastAsia" w:hAnsiTheme="minorHAnsi" w:cstheme="minorBidi"/>
          <w:noProof/>
          <w:kern w:val="2"/>
          <w:sz w:val="24"/>
          <w:szCs w:val="24"/>
          <w:lang w:val="en-GB" w:eastAsia="en-GB"/>
          <w14:ligatures w14:val="standardContextual"/>
        </w:rPr>
      </w:pPr>
      <w:hyperlink w:anchor="_Toc229405146" w:history="1">
        <w:r w:rsidRPr="009715B1">
          <w:rPr>
            <w:rStyle w:val="Hyperlink"/>
            <w:bCs/>
            <w:noProof/>
          </w:rPr>
          <w:t>2.</w:t>
        </w:r>
        <w:r>
          <w:rPr>
            <w:rFonts w:asciiTheme="minorHAnsi" w:eastAsiaTheme="minorEastAsia" w:hAnsiTheme="minorHAnsi" w:cstheme="minorBidi"/>
            <w:noProof/>
            <w:kern w:val="2"/>
            <w:sz w:val="24"/>
            <w:szCs w:val="24"/>
            <w:lang w:val="en-GB" w:eastAsia="en-GB"/>
            <w14:ligatures w14:val="standardContextual"/>
          </w:rPr>
          <w:tab/>
        </w:r>
        <w:r w:rsidRPr="009715B1">
          <w:rPr>
            <w:rStyle w:val="Hyperlink"/>
            <w:noProof/>
          </w:rPr>
          <w:t>OCCUPAZIONE, AFFARI SOCIALI E</w:t>
        </w:r>
        <w:r w:rsidRPr="009715B1">
          <w:rPr>
            <w:rStyle w:val="Hyperlink"/>
            <w:noProof/>
          </w:rPr>
          <w:t xml:space="preserve"> </w:t>
        </w:r>
        <w:r w:rsidRPr="009715B1">
          <w:rPr>
            <w:rStyle w:val="Hyperlink"/>
            <w:noProof/>
          </w:rPr>
          <w:t>CITTADINANZA</w:t>
        </w:r>
        <w:r>
          <w:rPr>
            <w:noProof/>
            <w:webHidden/>
          </w:rPr>
          <w:tab/>
        </w:r>
        <w:r>
          <w:rPr>
            <w:noProof/>
            <w:webHidden/>
          </w:rPr>
          <w:fldChar w:fldCharType="begin"/>
        </w:r>
        <w:r>
          <w:rPr>
            <w:noProof/>
            <w:webHidden/>
          </w:rPr>
          <w:instrText xml:space="preserve"> PAGEREF _Toc229405146 \h </w:instrText>
        </w:r>
        <w:r>
          <w:rPr>
            <w:noProof/>
            <w:webHidden/>
          </w:rPr>
        </w:r>
        <w:r>
          <w:rPr>
            <w:noProof/>
            <w:webHidden/>
          </w:rPr>
          <w:fldChar w:fldCharType="separate"/>
        </w:r>
        <w:r w:rsidR="00280166">
          <w:rPr>
            <w:noProof/>
            <w:webHidden/>
          </w:rPr>
          <w:t>7</w:t>
        </w:r>
        <w:r>
          <w:rPr>
            <w:noProof/>
            <w:webHidden/>
          </w:rPr>
          <w:fldChar w:fldCharType="end"/>
        </w:r>
      </w:hyperlink>
    </w:p>
    <w:p w14:paraId="69FE99E4" w14:textId="7B85B149" w:rsidR="00854E09" w:rsidRDefault="00854E09">
      <w:pPr>
        <w:pStyle w:val="TOC1"/>
        <w:tabs>
          <w:tab w:val="left" w:pos="480"/>
          <w:tab w:val="right" w:leader="dot" w:pos="9063"/>
        </w:tabs>
        <w:rPr>
          <w:rFonts w:asciiTheme="minorHAnsi" w:eastAsiaTheme="minorEastAsia" w:hAnsiTheme="minorHAnsi" w:cstheme="minorBidi"/>
          <w:noProof/>
          <w:kern w:val="2"/>
          <w:sz w:val="24"/>
          <w:szCs w:val="24"/>
          <w:lang w:val="en-GB" w:eastAsia="en-GB"/>
          <w14:ligatures w14:val="standardContextual"/>
        </w:rPr>
      </w:pPr>
      <w:hyperlink w:anchor="_Toc229405147" w:history="1">
        <w:r w:rsidRPr="009715B1">
          <w:rPr>
            <w:rStyle w:val="Hyperlink"/>
            <w:bCs/>
            <w:noProof/>
          </w:rPr>
          <w:t>3.</w:t>
        </w:r>
        <w:r>
          <w:rPr>
            <w:rFonts w:asciiTheme="minorHAnsi" w:eastAsiaTheme="minorEastAsia" w:hAnsiTheme="minorHAnsi" w:cstheme="minorBidi"/>
            <w:noProof/>
            <w:kern w:val="2"/>
            <w:sz w:val="24"/>
            <w:szCs w:val="24"/>
            <w:lang w:val="en-GB" w:eastAsia="en-GB"/>
            <w14:ligatures w14:val="standardContextual"/>
          </w:rPr>
          <w:tab/>
        </w:r>
        <w:r w:rsidRPr="009715B1">
          <w:rPr>
            <w:rStyle w:val="Hyperlink"/>
            <w:noProof/>
          </w:rPr>
          <w:t>MERCATO UNICO</w:t>
        </w:r>
        <w:r w:rsidRPr="009715B1">
          <w:rPr>
            <w:rStyle w:val="Hyperlink"/>
            <w:noProof/>
          </w:rPr>
          <w:t>,</w:t>
        </w:r>
        <w:r w:rsidRPr="009715B1">
          <w:rPr>
            <w:rStyle w:val="Hyperlink"/>
            <w:noProof/>
          </w:rPr>
          <w:t xml:space="preserve"> PRODUZIONE E CONSUMO</w:t>
        </w:r>
        <w:r>
          <w:rPr>
            <w:noProof/>
            <w:webHidden/>
          </w:rPr>
          <w:tab/>
        </w:r>
        <w:r>
          <w:rPr>
            <w:noProof/>
            <w:webHidden/>
          </w:rPr>
          <w:fldChar w:fldCharType="begin"/>
        </w:r>
        <w:r>
          <w:rPr>
            <w:noProof/>
            <w:webHidden/>
          </w:rPr>
          <w:instrText xml:space="preserve"> PAGEREF _Toc229405147 \h </w:instrText>
        </w:r>
        <w:r>
          <w:rPr>
            <w:noProof/>
            <w:webHidden/>
          </w:rPr>
        </w:r>
        <w:r>
          <w:rPr>
            <w:noProof/>
            <w:webHidden/>
          </w:rPr>
          <w:fldChar w:fldCharType="separate"/>
        </w:r>
        <w:r w:rsidR="00280166">
          <w:rPr>
            <w:noProof/>
            <w:webHidden/>
          </w:rPr>
          <w:t>13</w:t>
        </w:r>
        <w:r>
          <w:rPr>
            <w:noProof/>
            <w:webHidden/>
          </w:rPr>
          <w:fldChar w:fldCharType="end"/>
        </w:r>
      </w:hyperlink>
    </w:p>
    <w:p w14:paraId="6762BDEE" w14:textId="3F143479" w:rsidR="00854E09" w:rsidRDefault="00854E09">
      <w:pPr>
        <w:pStyle w:val="TOC1"/>
        <w:tabs>
          <w:tab w:val="left" w:pos="480"/>
          <w:tab w:val="right" w:leader="dot" w:pos="9063"/>
        </w:tabs>
        <w:rPr>
          <w:rFonts w:asciiTheme="minorHAnsi" w:eastAsiaTheme="minorEastAsia" w:hAnsiTheme="minorHAnsi" w:cstheme="minorBidi"/>
          <w:noProof/>
          <w:kern w:val="2"/>
          <w:sz w:val="24"/>
          <w:szCs w:val="24"/>
          <w:lang w:val="en-GB" w:eastAsia="en-GB"/>
          <w14:ligatures w14:val="standardContextual"/>
        </w:rPr>
      </w:pPr>
      <w:hyperlink w:anchor="_Toc229405148" w:history="1">
        <w:r w:rsidRPr="009715B1">
          <w:rPr>
            <w:rStyle w:val="Hyperlink"/>
            <w:bCs/>
            <w:noProof/>
          </w:rPr>
          <w:t>4.</w:t>
        </w:r>
        <w:r>
          <w:rPr>
            <w:rFonts w:asciiTheme="minorHAnsi" w:eastAsiaTheme="minorEastAsia" w:hAnsiTheme="minorHAnsi" w:cstheme="minorBidi"/>
            <w:noProof/>
            <w:kern w:val="2"/>
            <w:sz w:val="24"/>
            <w:szCs w:val="24"/>
            <w:lang w:val="en-GB" w:eastAsia="en-GB"/>
            <w14:ligatures w14:val="standardContextual"/>
          </w:rPr>
          <w:tab/>
        </w:r>
        <w:r w:rsidRPr="009715B1">
          <w:rPr>
            <w:rStyle w:val="Hyperlink"/>
            <w:noProof/>
          </w:rPr>
          <w:t>AGRICOLTURA,</w:t>
        </w:r>
        <w:r w:rsidRPr="009715B1">
          <w:rPr>
            <w:rStyle w:val="Hyperlink"/>
            <w:noProof/>
          </w:rPr>
          <w:t xml:space="preserve"> </w:t>
        </w:r>
        <w:r w:rsidRPr="009715B1">
          <w:rPr>
            <w:rStyle w:val="Hyperlink"/>
            <w:noProof/>
          </w:rPr>
          <w:t>SVILUPPO RURALE E AMBIENTE</w:t>
        </w:r>
        <w:r>
          <w:rPr>
            <w:noProof/>
            <w:webHidden/>
          </w:rPr>
          <w:tab/>
        </w:r>
        <w:r>
          <w:rPr>
            <w:noProof/>
            <w:webHidden/>
          </w:rPr>
          <w:fldChar w:fldCharType="begin"/>
        </w:r>
        <w:r>
          <w:rPr>
            <w:noProof/>
            <w:webHidden/>
          </w:rPr>
          <w:instrText xml:space="preserve"> PAGEREF _Toc229405148 \h </w:instrText>
        </w:r>
        <w:r>
          <w:rPr>
            <w:noProof/>
            <w:webHidden/>
          </w:rPr>
        </w:r>
        <w:r>
          <w:rPr>
            <w:noProof/>
            <w:webHidden/>
          </w:rPr>
          <w:fldChar w:fldCharType="separate"/>
        </w:r>
        <w:r w:rsidR="00280166">
          <w:rPr>
            <w:noProof/>
            <w:webHidden/>
          </w:rPr>
          <w:t>26</w:t>
        </w:r>
        <w:r>
          <w:rPr>
            <w:noProof/>
            <w:webHidden/>
          </w:rPr>
          <w:fldChar w:fldCharType="end"/>
        </w:r>
      </w:hyperlink>
    </w:p>
    <w:p w14:paraId="521D4833" w14:textId="49A2214B" w:rsidR="00854E09" w:rsidRDefault="00854E09">
      <w:pPr>
        <w:pStyle w:val="TOC1"/>
        <w:tabs>
          <w:tab w:val="left" w:pos="480"/>
          <w:tab w:val="right" w:leader="dot" w:pos="9063"/>
        </w:tabs>
        <w:rPr>
          <w:rFonts w:asciiTheme="minorHAnsi" w:eastAsiaTheme="minorEastAsia" w:hAnsiTheme="minorHAnsi" w:cstheme="minorBidi"/>
          <w:noProof/>
          <w:kern w:val="2"/>
          <w:sz w:val="24"/>
          <w:szCs w:val="24"/>
          <w:lang w:val="en-GB" w:eastAsia="en-GB"/>
          <w14:ligatures w14:val="standardContextual"/>
        </w:rPr>
      </w:pPr>
      <w:hyperlink w:anchor="_Toc229405149" w:history="1">
        <w:r w:rsidRPr="009715B1">
          <w:rPr>
            <w:rStyle w:val="Hyperlink"/>
            <w:bCs/>
            <w:noProof/>
          </w:rPr>
          <w:t>5.</w:t>
        </w:r>
        <w:r>
          <w:rPr>
            <w:rFonts w:asciiTheme="minorHAnsi" w:eastAsiaTheme="minorEastAsia" w:hAnsiTheme="minorHAnsi" w:cstheme="minorBidi"/>
            <w:noProof/>
            <w:kern w:val="2"/>
            <w:sz w:val="24"/>
            <w:szCs w:val="24"/>
            <w:lang w:val="en-GB" w:eastAsia="en-GB"/>
            <w14:ligatures w14:val="standardContextual"/>
          </w:rPr>
          <w:tab/>
        </w:r>
        <w:r w:rsidRPr="009715B1">
          <w:rPr>
            <w:rStyle w:val="Hyperlink"/>
            <w:noProof/>
          </w:rPr>
          <w:t>RELAZIONI E</w:t>
        </w:r>
        <w:r w:rsidRPr="009715B1">
          <w:rPr>
            <w:rStyle w:val="Hyperlink"/>
            <w:noProof/>
          </w:rPr>
          <w:t>S</w:t>
        </w:r>
        <w:r w:rsidRPr="009715B1">
          <w:rPr>
            <w:rStyle w:val="Hyperlink"/>
            <w:noProof/>
          </w:rPr>
          <w:t>TERNE</w:t>
        </w:r>
        <w:r>
          <w:rPr>
            <w:noProof/>
            <w:webHidden/>
          </w:rPr>
          <w:tab/>
        </w:r>
        <w:r>
          <w:rPr>
            <w:noProof/>
            <w:webHidden/>
          </w:rPr>
          <w:fldChar w:fldCharType="begin"/>
        </w:r>
        <w:r>
          <w:rPr>
            <w:noProof/>
            <w:webHidden/>
          </w:rPr>
          <w:instrText xml:space="preserve"> PAGEREF _Toc229405149 \h </w:instrText>
        </w:r>
        <w:r>
          <w:rPr>
            <w:noProof/>
            <w:webHidden/>
          </w:rPr>
        </w:r>
        <w:r>
          <w:rPr>
            <w:noProof/>
            <w:webHidden/>
          </w:rPr>
          <w:fldChar w:fldCharType="separate"/>
        </w:r>
        <w:r w:rsidR="00280166">
          <w:rPr>
            <w:noProof/>
            <w:webHidden/>
          </w:rPr>
          <w:t>33</w:t>
        </w:r>
        <w:r>
          <w:rPr>
            <w:noProof/>
            <w:webHidden/>
          </w:rPr>
          <w:fldChar w:fldCharType="end"/>
        </w:r>
      </w:hyperlink>
    </w:p>
    <w:p w14:paraId="4867A637" w14:textId="27F1C105" w:rsidR="00854E09" w:rsidRDefault="00854E09">
      <w:pPr>
        <w:pStyle w:val="TOC1"/>
        <w:tabs>
          <w:tab w:val="left" w:pos="480"/>
          <w:tab w:val="right" w:leader="dot" w:pos="9063"/>
        </w:tabs>
        <w:rPr>
          <w:rFonts w:asciiTheme="minorHAnsi" w:eastAsiaTheme="minorEastAsia" w:hAnsiTheme="minorHAnsi" w:cstheme="minorBidi"/>
          <w:noProof/>
          <w:kern w:val="2"/>
          <w:sz w:val="24"/>
          <w:szCs w:val="24"/>
          <w:lang w:val="en-GB" w:eastAsia="en-GB"/>
          <w14:ligatures w14:val="standardContextual"/>
        </w:rPr>
      </w:pPr>
      <w:hyperlink w:anchor="_Toc229405150" w:history="1">
        <w:r w:rsidRPr="009715B1">
          <w:rPr>
            <w:rStyle w:val="Hyperlink"/>
            <w:bCs/>
            <w:noProof/>
          </w:rPr>
          <w:t>6.</w:t>
        </w:r>
        <w:r>
          <w:rPr>
            <w:rFonts w:asciiTheme="minorHAnsi" w:eastAsiaTheme="minorEastAsia" w:hAnsiTheme="minorHAnsi" w:cstheme="minorBidi"/>
            <w:noProof/>
            <w:kern w:val="2"/>
            <w:sz w:val="24"/>
            <w:szCs w:val="24"/>
            <w:lang w:val="en-GB" w:eastAsia="en-GB"/>
            <w14:ligatures w14:val="standardContextual"/>
          </w:rPr>
          <w:tab/>
        </w:r>
        <w:r w:rsidRPr="009715B1">
          <w:rPr>
            <w:rStyle w:val="Hyperlink"/>
            <w:noProof/>
          </w:rPr>
          <w:t>COMMISSIONE CONSUL</w:t>
        </w:r>
        <w:r w:rsidRPr="009715B1">
          <w:rPr>
            <w:rStyle w:val="Hyperlink"/>
            <w:noProof/>
          </w:rPr>
          <w:t>T</w:t>
        </w:r>
        <w:r w:rsidRPr="009715B1">
          <w:rPr>
            <w:rStyle w:val="Hyperlink"/>
            <w:noProof/>
          </w:rPr>
          <w:t>IVA PER LE TRASFORMAZIONI INDUSTRIALI</w:t>
        </w:r>
        <w:r>
          <w:rPr>
            <w:noProof/>
            <w:webHidden/>
          </w:rPr>
          <w:tab/>
        </w:r>
        <w:r>
          <w:rPr>
            <w:noProof/>
            <w:webHidden/>
          </w:rPr>
          <w:fldChar w:fldCharType="begin"/>
        </w:r>
        <w:r>
          <w:rPr>
            <w:noProof/>
            <w:webHidden/>
          </w:rPr>
          <w:instrText xml:space="preserve"> PAGEREF _Toc229405150 \h </w:instrText>
        </w:r>
        <w:r>
          <w:rPr>
            <w:noProof/>
            <w:webHidden/>
          </w:rPr>
        </w:r>
        <w:r>
          <w:rPr>
            <w:noProof/>
            <w:webHidden/>
          </w:rPr>
          <w:fldChar w:fldCharType="separate"/>
        </w:r>
        <w:r w:rsidR="00280166">
          <w:rPr>
            <w:noProof/>
            <w:webHidden/>
          </w:rPr>
          <w:t>37</w:t>
        </w:r>
        <w:r>
          <w:rPr>
            <w:noProof/>
            <w:webHidden/>
          </w:rPr>
          <w:fldChar w:fldCharType="end"/>
        </w:r>
      </w:hyperlink>
    </w:p>
    <w:p w14:paraId="4982DD6B" w14:textId="4B607614" w:rsidR="004D7AC0" w:rsidRDefault="00A067F3" w:rsidP="001766B2">
      <w:r>
        <w:fldChar w:fldCharType="end"/>
      </w:r>
    </w:p>
    <w:p w14:paraId="4982DD6C" w14:textId="77777777" w:rsidR="004D7AC0" w:rsidRDefault="004D7AC0" w:rsidP="001766B2">
      <w:pPr>
        <w:jc w:val="left"/>
      </w:pPr>
      <w:r>
        <w:br w:type="page"/>
      </w:r>
    </w:p>
    <w:p w14:paraId="4982DD6D" w14:textId="48287E99" w:rsidR="004D7AC0" w:rsidRPr="00A067F3" w:rsidRDefault="004D7AC0" w:rsidP="004C6742">
      <w:pPr>
        <w:pStyle w:val="Heading2"/>
      </w:pPr>
      <w:bookmarkStart w:id="0" w:name="_Toc229405145"/>
      <w:r>
        <w:lastRenderedPageBreak/>
        <w:t>UNIONE ECONOMICA E MONETARIA, COESIONE ECONOMICA E SOCIALE</w:t>
      </w:r>
      <w:bookmarkEnd w:id="0"/>
    </w:p>
    <w:p w14:paraId="4982DD6E" w14:textId="77777777" w:rsidR="004D7AC0" w:rsidRDefault="004D7AC0" w:rsidP="001766B2"/>
    <w:p w14:paraId="258C871E" w14:textId="46531A9A" w:rsidR="00F37962" w:rsidRPr="004C6742" w:rsidRDefault="00291C11"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Pr>
            <w:b/>
            <w:i/>
            <w:color w:val="0000FF"/>
            <w:sz w:val="28"/>
            <w:u w:val="single"/>
          </w:rPr>
          <w:t>Agenda strategica dell'UE per città vivibili</w:t>
        </w:r>
      </w:hyperlink>
    </w:p>
    <w:p w14:paraId="050FF4D0" w14:textId="77777777" w:rsidR="00435FF5" w:rsidRPr="007836E0" w:rsidRDefault="00435FF5" w:rsidP="004C6742">
      <w:pPr>
        <w:widowControl w:val="0"/>
        <w:overflowPunct w:val="0"/>
        <w:autoSpaceDE w:val="0"/>
        <w:autoSpaceDN w:val="0"/>
        <w:adjustRightInd w:val="0"/>
        <w:spacing w:after="120"/>
        <w:ind w:left="284" w:hanging="284"/>
        <w:textAlignment w:val="baseline"/>
        <w:rPr>
          <w:b/>
          <w:i/>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Relatore</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rPr>
              <w:t>Correlatore</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r>
              <w:t>Florian MARIN (Lavoratori - RO)</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Roman HAKEN (Organizzazioni della società civile - CZ)</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Riferimento</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r>
              <w:t>COM(2025) 552 final</w:t>
            </w:r>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Punti principali</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r>
        <w:t>Il CESE:</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12664E">
      <w:pPr>
        <w:numPr>
          <w:ilvl w:val="0"/>
          <w:numId w:val="20"/>
        </w:numPr>
        <w:overflowPunct w:val="0"/>
        <w:autoSpaceDE w:val="0"/>
        <w:autoSpaceDN w:val="0"/>
        <w:adjustRightInd w:val="0"/>
        <w:ind w:left="709" w:hanging="425"/>
        <w:contextualSpacing/>
        <w:textAlignment w:val="baseline"/>
        <w:rPr>
          <w:szCs w:val="20"/>
        </w:rPr>
      </w:pPr>
      <w:r>
        <w:t>ritiene che le città siano la spina dorsale dello sviluppo economico, sociale e territoriale dell'Unione europea. Esse costituiscono degli spazi fondamentali per la trasformazione sociale, ecologica ed economica, in cui l'innovazione dovrebbe essere orientata verso il miglioramento della qualità della vita;</w:t>
      </w:r>
    </w:p>
    <w:p w14:paraId="4B3A1070" w14:textId="77777777" w:rsidR="00F37962" w:rsidRPr="00E129EB" w:rsidRDefault="00F37962" w:rsidP="0012664E">
      <w:pPr>
        <w:numPr>
          <w:ilvl w:val="0"/>
          <w:numId w:val="20"/>
        </w:numPr>
        <w:overflowPunct w:val="0"/>
        <w:autoSpaceDE w:val="0"/>
        <w:autoSpaceDN w:val="0"/>
        <w:adjustRightInd w:val="0"/>
        <w:ind w:left="709" w:hanging="425"/>
        <w:contextualSpacing/>
        <w:textAlignment w:val="baseline"/>
        <w:rPr>
          <w:szCs w:val="20"/>
        </w:rPr>
      </w:pPr>
      <w:r>
        <w:t xml:space="preserve">pur accogliendo con favore il complesso approccio adottato dalla Commissione, nonché la sua intenzione di rafforzare l'agenda dell'UE per le città e la sua visione globale di città prospere, vivibili e inclusive, ritiene che l'agenda proposta non corrisponda ancora alle ambizioni dichiarate; </w:t>
      </w:r>
    </w:p>
    <w:p w14:paraId="0D95657E" w14:textId="77777777" w:rsidR="00F37962" w:rsidRPr="00E129EB" w:rsidRDefault="00F37962" w:rsidP="0012664E">
      <w:pPr>
        <w:numPr>
          <w:ilvl w:val="0"/>
          <w:numId w:val="20"/>
        </w:numPr>
        <w:overflowPunct w:val="0"/>
        <w:autoSpaceDE w:val="0"/>
        <w:autoSpaceDN w:val="0"/>
        <w:adjustRightInd w:val="0"/>
        <w:ind w:left="709" w:hanging="425"/>
        <w:contextualSpacing/>
        <w:textAlignment w:val="baseline"/>
        <w:rPr>
          <w:szCs w:val="20"/>
        </w:rPr>
      </w:pPr>
      <w:r>
        <w:t xml:space="preserve">chiede, a titolo di raccomandazione, di essere associato formalmente, insieme al Comitato delle regioni, alla proposta di agenda dell'UE per le città, in modo da rispecchiare il suo ruolo ufficiale riconosciuto dall'accordo di Lubiana e dal patto di Amsterdam, nonché il suo coinvolgimento attivo in tutti i settori dell'agenda urbana; </w:t>
      </w:r>
    </w:p>
    <w:p w14:paraId="37634D38" w14:textId="77777777" w:rsidR="00F37962" w:rsidRPr="00E129EB" w:rsidRDefault="00F37962" w:rsidP="0012664E">
      <w:pPr>
        <w:numPr>
          <w:ilvl w:val="0"/>
          <w:numId w:val="20"/>
        </w:numPr>
        <w:overflowPunct w:val="0"/>
        <w:autoSpaceDE w:val="0"/>
        <w:autoSpaceDN w:val="0"/>
        <w:adjustRightInd w:val="0"/>
        <w:ind w:left="709" w:hanging="425"/>
        <w:contextualSpacing/>
        <w:textAlignment w:val="baseline"/>
        <w:rPr>
          <w:szCs w:val="20"/>
        </w:rPr>
      </w:pPr>
      <w:r>
        <w:t>propone che l'agenda dell'UE per le città sia saldamente ancorata alla governance multilivello, al principio di partenariato e a un approccio basato sul territorio. L'agenda deve garantire uno sviluppo territoriale equilibrato e rafforzare il dialogo sociale e civico;</w:t>
      </w:r>
    </w:p>
    <w:p w14:paraId="77962AE4" w14:textId="77777777" w:rsidR="00F37962" w:rsidRPr="00E129EB" w:rsidRDefault="00F37962" w:rsidP="0012664E">
      <w:pPr>
        <w:numPr>
          <w:ilvl w:val="0"/>
          <w:numId w:val="20"/>
        </w:numPr>
        <w:overflowPunct w:val="0"/>
        <w:autoSpaceDE w:val="0"/>
        <w:autoSpaceDN w:val="0"/>
        <w:adjustRightInd w:val="0"/>
        <w:spacing w:after="120"/>
        <w:ind w:left="709" w:hanging="425"/>
        <w:textAlignment w:val="baseline"/>
        <w:rPr>
          <w:szCs w:val="20"/>
        </w:rPr>
      </w:pPr>
      <w:r>
        <w:t>invita pertanto la Commissione a:</w:t>
      </w:r>
    </w:p>
    <w:p w14:paraId="56F86CF4" w14:textId="22B5EA19" w:rsidR="00F37962" w:rsidRPr="00E129EB" w:rsidRDefault="00F37962" w:rsidP="0012664E">
      <w:pPr>
        <w:numPr>
          <w:ilvl w:val="0"/>
          <w:numId w:val="6"/>
        </w:numPr>
        <w:overflowPunct w:val="0"/>
        <w:autoSpaceDE w:val="0"/>
        <w:autoSpaceDN w:val="0"/>
        <w:adjustRightInd w:val="0"/>
        <w:ind w:left="1134" w:hanging="425"/>
        <w:contextualSpacing/>
        <w:textAlignment w:val="baseline"/>
        <w:rPr>
          <w:szCs w:val="20"/>
        </w:rPr>
      </w:pPr>
      <w:r>
        <w:t>riconoscere formalmente sia il CESE che le città come partner paritari, e non semplicemente come soggetti responsabili dell'attuazione, nell'elaborazione delle politiche urbane dell'UE, istituendo meccanismi di governance multilivello permanenti e strutturati;</w:t>
      </w:r>
    </w:p>
    <w:p w14:paraId="1378BDDC" w14:textId="37E29201" w:rsidR="00F37962" w:rsidRPr="00E129EB" w:rsidRDefault="00F37962" w:rsidP="0012664E">
      <w:pPr>
        <w:numPr>
          <w:ilvl w:val="0"/>
          <w:numId w:val="6"/>
        </w:numPr>
        <w:overflowPunct w:val="0"/>
        <w:autoSpaceDE w:val="0"/>
        <w:autoSpaceDN w:val="0"/>
        <w:adjustRightInd w:val="0"/>
        <w:ind w:left="1134" w:hanging="425"/>
        <w:contextualSpacing/>
        <w:textAlignment w:val="baseline"/>
        <w:rPr>
          <w:szCs w:val="20"/>
        </w:rPr>
      </w:pPr>
      <w:r>
        <w:t>rafforzare il principio di partenariato garantendo il coinvolgimento sistematico e significativo della società civile organizzata nell'intero ciclo politico dell'agenda dell'UE per le città;</w:t>
      </w:r>
    </w:p>
    <w:p w14:paraId="1A186602" w14:textId="0A0810CD" w:rsidR="00F37962" w:rsidRPr="00E129EB" w:rsidRDefault="00F37962" w:rsidP="0012664E">
      <w:pPr>
        <w:numPr>
          <w:ilvl w:val="0"/>
          <w:numId w:val="6"/>
        </w:numPr>
        <w:overflowPunct w:val="0"/>
        <w:autoSpaceDE w:val="0"/>
        <w:autoSpaceDN w:val="0"/>
        <w:adjustRightInd w:val="0"/>
        <w:ind w:left="1134" w:hanging="425"/>
        <w:contextualSpacing/>
        <w:textAlignment w:val="baseline"/>
        <w:rPr>
          <w:szCs w:val="20"/>
        </w:rPr>
      </w:pPr>
      <w:r>
        <w:t>dotare l'agenda dell'UE per le città di un quadro d'azione concreto e operativo, che comprenda responsabilità chiaramente definite, tempistiche e indicatori misurabili, introducendo valutazioni d'impatto territoriale sistematiche per esaminare gli effetti della legislazione dell'UE sulle città e sui comuni;</w:t>
      </w:r>
    </w:p>
    <w:p w14:paraId="350E2056" w14:textId="7279332E" w:rsidR="00F37962" w:rsidRPr="00E129EB" w:rsidRDefault="00F37962" w:rsidP="0012664E">
      <w:pPr>
        <w:numPr>
          <w:ilvl w:val="0"/>
          <w:numId w:val="6"/>
        </w:numPr>
        <w:overflowPunct w:val="0"/>
        <w:autoSpaceDE w:val="0"/>
        <w:autoSpaceDN w:val="0"/>
        <w:adjustRightInd w:val="0"/>
        <w:ind w:left="1134" w:hanging="425"/>
        <w:contextualSpacing/>
        <w:textAlignment w:val="baseline"/>
        <w:rPr>
          <w:szCs w:val="20"/>
        </w:rPr>
      </w:pPr>
      <w:r>
        <w:t>garantire finanziamenti adeguati, prevedibili e accessibili per lo sviluppo urbano, compreso l'accesso diretto delle città ai finanziamenti dell'UE;</w:t>
      </w:r>
    </w:p>
    <w:p w14:paraId="79FB5343" w14:textId="2EAD5A15" w:rsidR="00F37962" w:rsidRPr="00E129EB" w:rsidRDefault="00F37962" w:rsidP="0012664E">
      <w:pPr>
        <w:numPr>
          <w:ilvl w:val="0"/>
          <w:numId w:val="6"/>
        </w:numPr>
        <w:overflowPunct w:val="0"/>
        <w:autoSpaceDE w:val="0"/>
        <w:autoSpaceDN w:val="0"/>
        <w:adjustRightInd w:val="0"/>
        <w:ind w:left="1134" w:hanging="425"/>
        <w:contextualSpacing/>
        <w:textAlignment w:val="baseline"/>
        <w:rPr>
          <w:szCs w:val="20"/>
        </w:rPr>
      </w:pPr>
      <w:r>
        <w:t>promuovere un approccio alla coesione territoriale integrato, orientato ai progetti e basato sul territorio, rafforzando esplicitamente la complementarità tra le città e le zone rurali;</w:t>
      </w:r>
    </w:p>
    <w:p w14:paraId="39B6313E" w14:textId="4B65A089" w:rsidR="00F37962" w:rsidRPr="00E129EB" w:rsidRDefault="00F37962" w:rsidP="0012664E">
      <w:pPr>
        <w:numPr>
          <w:ilvl w:val="0"/>
          <w:numId w:val="6"/>
        </w:numPr>
        <w:overflowPunct w:val="0"/>
        <w:autoSpaceDE w:val="0"/>
        <w:autoSpaceDN w:val="0"/>
        <w:adjustRightInd w:val="0"/>
        <w:ind w:left="1134" w:hanging="425"/>
        <w:contextualSpacing/>
        <w:textAlignment w:val="baseline"/>
        <w:rPr>
          <w:szCs w:val="20"/>
        </w:rPr>
      </w:pPr>
      <w:r>
        <w:lastRenderedPageBreak/>
        <w:t>sviluppare un dialogo urbano a livello dell'UE, nell'ambito della piattaforma delle città dell'UE, che evidenzi l'importanza del ruolo del dialogo sociale e civile per le questioni relative all'occupazione;</w:t>
      </w:r>
    </w:p>
    <w:p w14:paraId="1D8BF3C3" w14:textId="14CC777F" w:rsidR="00F37962" w:rsidRPr="00E129EB" w:rsidRDefault="00F37962" w:rsidP="0012664E">
      <w:pPr>
        <w:numPr>
          <w:ilvl w:val="0"/>
          <w:numId w:val="6"/>
        </w:numPr>
        <w:overflowPunct w:val="0"/>
        <w:autoSpaceDE w:val="0"/>
        <w:autoSpaceDN w:val="0"/>
        <w:adjustRightInd w:val="0"/>
        <w:ind w:left="1134" w:hanging="425"/>
        <w:contextualSpacing/>
        <w:textAlignment w:val="baseline"/>
        <w:rPr>
          <w:szCs w:val="20"/>
        </w:rPr>
      </w:pPr>
      <w:r>
        <w:t>aumentare il fondo di assistenza tecnica dedicato alle città e introdurre un'iniziativa europea specifica o un fondo concentrato direttamente sui progetti urbani;</w:t>
      </w:r>
    </w:p>
    <w:p w14:paraId="1D134A52" w14:textId="77777777" w:rsidR="00F37962" w:rsidRPr="00E129EB" w:rsidRDefault="00F37962" w:rsidP="0012664E">
      <w:pPr>
        <w:numPr>
          <w:ilvl w:val="0"/>
          <w:numId w:val="6"/>
        </w:numPr>
        <w:overflowPunct w:val="0"/>
        <w:autoSpaceDE w:val="0"/>
        <w:autoSpaceDN w:val="0"/>
        <w:adjustRightInd w:val="0"/>
        <w:ind w:left="1134" w:hanging="425"/>
        <w:contextualSpacing/>
        <w:textAlignment w:val="baseline"/>
        <w:rPr>
          <w:szCs w:val="20"/>
        </w:rPr>
      </w:pPr>
      <w:r>
        <w:t xml:space="preserve">proporre norme chiare in materia di consultazione per garantire un coinvolgimento significativo, tempestivo e rappresentativo delle parti sociali e della società civile a tutti i livelli; </w:t>
      </w:r>
    </w:p>
    <w:p w14:paraId="0816F466" w14:textId="77777777" w:rsidR="00F37962" w:rsidRPr="00E129EB" w:rsidRDefault="00F37962" w:rsidP="0012664E">
      <w:pPr>
        <w:numPr>
          <w:ilvl w:val="0"/>
          <w:numId w:val="6"/>
        </w:numPr>
        <w:overflowPunct w:val="0"/>
        <w:autoSpaceDE w:val="0"/>
        <w:autoSpaceDN w:val="0"/>
        <w:adjustRightInd w:val="0"/>
        <w:ind w:left="1134" w:hanging="425"/>
        <w:contextualSpacing/>
        <w:textAlignment w:val="baseline"/>
        <w:rPr>
          <w:szCs w:val="20"/>
        </w:rPr>
      </w:pPr>
      <w:r>
        <w:t>istituire un quadro unificato a livello dell'UE per la raccolta e la comunicazione dei dati urbani al fine di garantire che gli indicatori siano comparabili e che il monitoraggio sia efficace in tutti gli Stati membri;</w:t>
      </w:r>
    </w:p>
    <w:p w14:paraId="73AAA0E7" w14:textId="031100CF" w:rsidR="00F37962" w:rsidRPr="00E129EB" w:rsidRDefault="00F37962" w:rsidP="0012664E">
      <w:pPr>
        <w:numPr>
          <w:ilvl w:val="0"/>
          <w:numId w:val="6"/>
        </w:numPr>
        <w:overflowPunct w:val="0"/>
        <w:autoSpaceDE w:val="0"/>
        <w:autoSpaceDN w:val="0"/>
        <w:adjustRightInd w:val="0"/>
        <w:spacing w:after="120"/>
        <w:ind w:left="1134" w:hanging="425"/>
        <w:textAlignment w:val="baseline"/>
        <w:rPr>
          <w:szCs w:val="20"/>
        </w:rPr>
      </w:pPr>
      <w:r>
        <w:t>riconoscere che l'edilizia abitativa è una questione sociale ed economica strutturale piuttosto che un risultato del mercato, e chiedere un quadro dell'UE che garantisca l'accesso ad alloggi economicamente accessibili;</w:t>
      </w:r>
    </w:p>
    <w:p w14:paraId="73EBB26E" w14:textId="77777777" w:rsidR="00F37962" w:rsidRPr="00E129EB" w:rsidRDefault="00F37962" w:rsidP="0012664E">
      <w:pPr>
        <w:numPr>
          <w:ilvl w:val="0"/>
          <w:numId w:val="21"/>
        </w:numPr>
        <w:overflowPunct w:val="0"/>
        <w:autoSpaceDE w:val="0"/>
        <w:autoSpaceDN w:val="0"/>
        <w:adjustRightInd w:val="0"/>
        <w:ind w:left="709" w:hanging="425"/>
        <w:contextualSpacing/>
        <w:textAlignment w:val="baseline"/>
        <w:rPr>
          <w:szCs w:val="20"/>
        </w:rPr>
      </w:pPr>
      <w:r>
        <w:t>ritiene che il principale meccanismo utilizzato per attuare i finanziamenti della politica di coesione europea in modo integrato e basato sul territorio sia lo sviluppo locale di tipo partecipativo (CLLD). Nelle città / aree urbane lo sviluppo locale di tipo partecipativo (CLLD-U) deve andare oltre l'attuale fase pilota ed essere riconosciuto come uno degli strumenti più efficaci per attivare le comunità locali, generare occupazione, rafforzare l'economia sociale e coinvolgere i portatori di interessi;</w:t>
      </w:r>
    </w:p>
    <w:p w14:paraId="3429112F" w14:textId="77777777" w:rsidR="00F37962" w:rsidRPr="00E129EB" w:rsidRDefault="00F37962" w:rsidP="0012664E">
      <w:pPr>
        <w:numPr>
          <w:ilvl w:val="0"/>
          <w:numId w:val="21"/>
        </w:numPr>
        <w:overflowPunct w:val="0"/>
        <w:autoSpaceDE w:val="0"/>
        <w:autoSpaceDN w:val="0"/>
        <w:adjustRightInd w:val="0"/>
        <w:ind w:left="709" w:hanging="425"/>
        <w:contextualSpacing/>
        <w:textAlignment w:val="baseline"/>
        <w:rPr>
          <w:szCs w:val="20"/>
        </w:rPr>
      </w:pPr>
      <w:r>
        <w:t xml:space="preserve">ritiene che dovrebbe essere introdotta una misura specifica per consolidare il CLLD-U in futuro, garantendone l'inclusione formale nei processi decisionali a livello dell'UE e nelle consultazioni tecniche mirate con gli esperti.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Pr>
                <w:b/>
                <w:i/>
              </w:rPr>
              <w:t>Contatto</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r>
              <w:rPr>
                <w:i/>
              </w:rPr>
              <w:t>Georgios MELEAS</w:t>
            </w:r>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Pr>
                <w:i/>
              </w:rPr>
              <w:t>Tel.</w:t>
            </w:r>
          </w:p>
        </w:tc>
        <w:tc>
          <w:tcPr>
            <w:tcW w:w="7904" w:type="dxa"/>
          </w:tcPr>
          <w:p w14:paraId="285FFA02" w14:textId="69C35846" w:rsidR="00F37962" w:rsidRPr="00E129EB" w:rsidRDefault="00F37962" w:rsidP="002E7EFB">
            <w:pPr>
              <w:overflowPunct w:val="0"/>
              <w:autoSpaceDE w:val="0"/>
              <w:autoSpaceDN w:val="0"/>
              <w:adjustRightInd w:val="0"/>
              <w:textAlignment w:val="baseline"/>
              <w:rPr>
                <w:i/>
              </w:rPr>
            </w:pPr>
            <w:r>
              <w:rPr>
                <w:i/>
              </w:rPr>
              <w:t>+32 25469795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Pr>
                <w:i/>
              </w:rPr>
              <w:t>E-mail</w:t>
            </w:r>
          </w:p>
        </w:tc>
        <w:tc>
          <w:tcPr>
            <w:tcW w:w="7904" w:type="dxa"/>
          </w:tcPr>
          <w:p w14:paraId="122227DF" w14:textId="1AE33EC0" w:rsidR="00F37962" w:rsidRPr="00E129EB" w:rsidRDefault="00291C11" w:rsidP="002E7EFB">
            <w:pPr>
              <w:overflowPunct w:val="0"/>
              <w:autoSpaceDE w:val="0"/>
              <w:autoSpaceDN w:val="0"/>
              <w:adjustRightInd w:val="0"/>
              <w:textAlignment w:val="baseline"/>
              <w:rPr>
                <w:i/>
                <w:iCs/>
              </w:rPr>
            </w:pPr>
            <w:hyperlink r:id="rId22" w:history="1">
              <w:r>
                <w:rPr>
                  <w:i/>
                  <w:color w:val="0000FF"/>
                  <w:u w:val="single"/>
                </w:rPr>
                <w:t>Georgios.</w:t>
              </w:r>
              <w:r w:rsidR="0012664E">
                <w:rPr>
                  <w:i/>
                  <w:color w:val="0000FF"/>
                  <w:u w:val="single"/>
                </w:rPr>
                <w:t>MELEAS</w:t>
              </w:r>
              <w:r>
                <w:rPr>
                  <w:i/>
                  <w:color w:val="0000FF"/>
                  <w:u w:val="single"/>
                </w:rPr>
                <w:t>@eesc.europa.eu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015702B7" w:rsidR="00F37962" w:rsidRDefault="00A067F3" w:rsidP="0012664E">
      <w:pPr>
        <w:pStyle w:val="ListParagraph"/>
        <w:numPr>
          <w:ilvl w:val="0"/>
          <w:numId w:val="76"/>
        </w:numPr>
        <w:ind w:left="567" w:hanging="567"/>
      </w:pPr>
      <w:hyperlink r:id="rId23" w:history="1">
        <w:r>
          <w:rPr>
            <w:b/>
            <w:i/>
            <w:color w:val="0000FF"/>
            <w:sz w:val="28"/>
            <w:u w:val="single"/>
          </w:rPr>
          <w:t>Pacchetto pensioni complementari: PEPP ed EPAP</w:t>
        </w:r>
      </w:hyperlink>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37962" w:rsidRPr="009360D7" w14:paraId="0DA0566E" w14:textId="77777777" w:rsidTr="002E7EFB">
        <w:tc>
          <w:tcPr>
            <w:tcW w:w="1077" w:type="pct"/>
          </w:tcPr>
          <w:p w14:paraId="4046C9F6"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Relatrice</w:t>
            </w:r>
          </w:p>
        </w:tc>
        <w:tc>
          <w:tcPr>
            <w:tcW w:w="3923" w:type="pct"/>
          </w:tcPr>
          <w:p w14:paraId="76BEB7DB" w14:textId="53F5F0D5"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María del Carmen BARRERA CHAMORRO (Lavoratori - ES)</w:t>
            </w:r>
          </w:p>
        </w:tc>
      </w:tr>
      <w:tr w:rsidR="00F37962" w:rsidRPr="009360D7" w14:paraId="68747D90" w14:textId="77777777" w:rsidTr="002E7EFB">
        <w:tc>
          <w:tcPr>
            <w:tcW w:w="1077" w:type="pct"/>
          </w:tcPr>
          <w:p w14:paraId="5B2075D4"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lang w:val="es-ES"/>
              </w:rPr>
            </w:pPr>
          </w:p>
        </w:tc>
        <w:tc>
          <w:tcPr>
            <w:tcW w:w="3923" w:type="pct"/>
          </w:tcPr>
          <w:p w14:paraId="075524E1" w14:textId="77777777" w:rsidR="00F37962" w:rsidRPr="009360D7" w:rsidRDefault="00F37962" w:rsidP="004C6742">
            <w:pPr>
              <w:tabs>
                <w:tab w:val="center" w:pos="284"/>
              </w:tabs>
              <w:overflowPunct w:val="0"/>
              <w:autoSpaceDE w:val="0"/>
              <w:autoSpaceDN w:val="0"/>
              <w:adjustRightInd w:val="0"/>
              <w:spacing w:line="240" w:lineRule="auto"/>
              <w:ind w:left="266" w:right="-3091" w:hanging="266"/>
              <w:textAlignment w:val="baseline"/>
              <w:rPr>
                <w:lang w:val="es-ES"/>
              </w:rPr>
            </w:pPr>
          </w:p>
        </w:tc>
      </w:tr>
      <w:tr w:rsidR="00F37962" w:rsidRPr="009360D7" w14:paraId="5E5AA138" w14:textId="77777777" w:rsidTr="002E7EFB">
        <w:tc>
          <w:tcPr>
            <w:tcW w:w="1077" w:type="pct"/>
          </w:tcPr>
          <w:p w14:paraId="5801F57F"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Riferimento</w:t>
            </w:r>
          </w:p>
        </w:tc>
        <w:tc>
          <w:tcPr>
            <w:tcW w:w="3923" w:type="pct"/>
          </w:tcPr>
          <w:p w14:paraId="5E33F076"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839 final </w:t>
            </w:r>
          </w:p>
          <w:p w14:paraId="099CCB38" w14:textId="1D24FF1C"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840 final </w:t>
            </w:r>
          </w:p>
          <w:p w14:paraId="5F2CC97B" w14:textId="2F5BA5F2"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COM(2025) 842 final</w:t>
            </w:r>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Punti principali</w:t>
      </w:r>
    </w:p>
    <w:p w14:paraId="65428812"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p>
    <w:p w14:paraId="446B0743" w14:textId="77777777" w:rsidR="00F37962" w:rsidRDefault="00F37962" w:rsidP="00F37962">
      <w:pPr>
        <w:overflowPunct w:val="0"/>
        <w:autoSpaceDE w:val="0"/>
        <w:autoSpaceDN w:val="0"/>
        <w:adjustRightInd w:val="0"/>
        <w:textAlignment w:val="baseline"/>
      </w:pPr>
      <w:r>
        <w:t>Il CESE:</w:t>
      </w:r>
    </w:p>
    <w:p w14:paraId="3803DA59" w14:textId="77777777" w:rsidR="0012664E" w:rsidRDefault="0012664E" w:rsidP="00F37962">
      <w:pPr>
        <w:overflowPunct w:val="0"/>
        <w:autoSpaceDE w:val="0"/>
        <w:autoSpaceDN w:val="0"/>
        <w:adjustRightInd w:val="0"/>
        <w:textAlignment w:val="baseline"/>
        <w:rPr>
          <w:bCs/>
          <w:iCs/>
        </w:rPr>
      </w:pPr>
    </w:p>
    <w:p w14:paraId="3B37DD9F"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rPr>
        <w:t>riconosce</w:t>
      </w:r>
      <w:r>
        <w:t xml:space="preserve"> i vantaggi di un </w:t>
      </w:r>
      <w:r>
        <w:rPr>
          <w:b/>
        </w:rPr>
        <w:t>sistema pensionistico multipilastro</w:t>
      </w:r>
      <w:r>
        <w:t xml:space="preserve"> e ritiene che le pensioni complementari non debbano fungere da giustificazione per indebolire le pensioni pubbliche, e sottolinea che occorre garantire che i cittadini di tutta l'Unione europea possano andare in pensione con dignità, sicurezza e un reddito adeguato. </w:t>
      </w:r>
      <w:r>
        <w:rPr>
          <w:b/>
        </w:rPr>
        <w:t>È necessario un approccio olistico</w:t>
      </w:r>
      <w:r>
        <w:t xml:space="preserve"> al livello appropriato, nazionale o europeo, che dovrebbe includere il miglioramento sia del mercato del lavoro che del sistema pensionistico complementare;</w:t>
      </w:r>
    </w:p>
    <w:p w14:paraId="693DE00C"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rPr>
        <w:t>raccomanda</w:t>
      </w:r>
      <w:r>
        <w:t xml:space="preserve"> misure adeguate di </w:t>
      </w:r>
      <w:r>
        <w:rPr>
          <w:b/>
        </w:rPr>
        <w:t>rafforzamento della governance partecipativa</w:t>
      </w:r>
      <w:r>
        <w:t xml:space="preserve"> atte a promuovere la partecipazione delle parti sociali, preservandone la libertà negoziale e nel rispetto della diversità dei sistemi nell'UE;</w:t>
      </w:r>
    </w:p>
    <w:p w14:paraId="05C90A8C"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rPr>
        <w:t>raccomanda</w:t>
      </w:r>
      <w:r>
        <w:t xml:space="preserve"> modifiche specifiche alla </w:t>
      </w:r>
      <w:r>
        <w:rPr>
          <w:b/>
        </w:rPr>
        <w:t>direttiva EPAP</w:t>
      </w:r>
      <w:r>
        <w:t xml:space="preserve"> per ridurre la frammentazione, aumentare la comparabilità e la trasparenza e garantire la fiducia degli aderenti;</w:t>
      </w:r>
    </w:p>
    <w:p w14:paraId="0CA65CB4"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rPr>
        <w:t>raccomanda</w:t>
      </w:r>
      <w:r>
        <w:t xml:space="preserve"> modifiche specifiche al </w:t>
      </w:r>
      <w:r>
        <w:rPr>
          <w:b/>
        </w:rPr>
        <w:t>regolamento PEPP</w:t>
      </w:r>
      <w:r>
        <w:t>, anche per quanto riguarda le informazioni e la consulenza, il ruolo dell'EIOPA e i trasferimenti transfrontalieri;</w:t>
      </w:r>
    </w:p>
    <w:p w14:paraId="653F0F93"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rPr>
        <w:t>raccomanda</w:t>
      </w:r>
      <w:r>
        <w:t xml:space="preserve"> misure per migliorare l'</w:t>
      </w:r>
      <w:r>
        <w:rPr>
          <w:b/>
        </w:rPr>
        <w:t>equilibrio di genere</w:t>
      </w:r>
      <w:r>
        <w:t xml:space="preserve"> e per </w:t>
      </w:r>
      <w:r>
        <w:rPr>
          <w:b/>
        </w:rPr>
        <w:t>rafforzare la fiducia dei cittadini</w:t>
      </w:r>
      <w:r>
        <w:t xml:space="preserve"> nei prodotti pensionistici, e che i </w:t>
      </w:r>
      <w:r>
        <w:rPr>
          <w:b/>
        </w:rPr>
        <w:t>PEPP mantengano la loro natura di prodotti individuali</w:t>
      </w:r>
      <w:r>
        <w:t xml:space="preserve"> e non sia consentito l'acquisto collettivo;</w:t>
      </w:r>
    </w:p>
    <w:p w14:paraId="3F455E5B"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rPr>
        <w:t>invita</w:t>
      </w:r>
      <w:r>
        <w:t xml:space="preserve"> i colegislatori a prendere in considerazione la </w:t>
      </w:r>
      <w:r>
        <w:rPr>
          <w:b/>
        </w:rPr>
        <w:t>riformulazione del principio della "persona prudente"</w:t>
      </w:r>
      <w:r>
        <w:t xml:space="preserve"> di cui alla direttiva EPAP, al fine di </w:t>
      </w:r>
      <w:r>
        <w:rPr>
          <w:b/>
        </w:rPr>
        <w:t>trovare il giusto equilibrio</w:t>
      </w:r>
      <w:r>
        <w:t xml:space="preserve"> tra il rischio di investimento e la garanzia dei contributi ai sistemi;</w:t>
      </w:r>
    </w:p>
    <w:p w14:paraId="6341AEBC"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rPr>
        <w:t>raccomanda</w:t>
      </w:r>
      <w:r>
        <w:t xml:space="preserve"> che l'</w:t>
      </w:r>
      <w:r>
        <w:rPr>
          <w:b/>
          <w:bCs/>
        </w:rPr>
        <w:t>iscrizione automatica</w:t>
      </w:r>
      <w:r>
        <w:t xml:space="preserve"> sia il risultato, se del caso, di un rafforzamento del </w:t>
      </w:r>
      <w:r>
        <w:rPr>
          <w:b/>
          <w:bCs/>
        </w:rPr>
        <w:t>dialogo sociale</w:t>
      </w:r>
      <w:r>
        <w:t xml:space="preserve"> e della contrattazione collettiva, preservando la libertà delle parti sociali di negoziare, definire i piani pensionistici e decidere in merito all'iscrizione automatica;</w:t>
      </w:r>
    </w:p>
    <w:p w14:paraId="69D94ECA"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bCs/>
        </w:rPr>
        <w:t>raccomanda</w:t>
      </w:r>
      <w:r>
        <w:t xml:space="preserve"> alla Commissione europea di istituire un </w:t>
      </w:r>
      <w:r>
        <w:rPr>
          <w:b/>
          <w:bCs/>
        </w:rPr>
        <w:t>comitato di monitoraggio</w:t>
      </w:r>
      <w:r>
        <w:t xml:space="preserve"> per </w:t>
      </w:r>
      <w:r>
        <w:rPr>
          <w:b/>
          <w:bCs/>
        </w:rPr>
        <w:t>seguire</w:t>
      </w:r>
      <w:r>
        <w:t xml:space="preserve"> con efficacia </w:t>
      </w:r>
      <w:r>
        <w:rPr>
          <w:b/>
          <w:bCs/>
        </w:rPr>
        <w:t>l'evoluzione delle pensioni complementari</w:t>
      </w:r>
      <w:r>
        <w:t xml:space="preserve">. Dovrebbe coinvolgere le autorità pubbliche competenti, le parti sociali e le organizzazioni della società civile. I suoi lavori dovrebbero </w:t>
      </w:r>
      <w:r>
        <w:rPr>
          <w:b/>
          <w:bCs/>
        </w:rPr>
        <w:t>orientare</w:t>
      </w:r>
      <w:r>
        <w:t xml:space="preserve"> le future modifiche normative e contribuire ai lavori del semestre europeo e del Consiglio;</w:t>
      </w:r>
    </w:p>
    <w:p w14:paraId="50B09C2F"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rPr>
        <w:t>raccomanda misure</w:t>
      </w:r>
      <w:r>
        <w:t xml:space="preserve"> volte ad </w:t>
      </w:r>
      <w:r>
        <w:rPr>
          <w:b/>
        </w:rPr>
        <w:t>attenuare</w:t>
      </w:r>
      <w:r>
        <w:t xml:space="preserve"> i possibili effetti sulla </w:t>
      </w:r>
      <w:r>
        <w:rPr>
          <w:b/>
        </w:rPr>
        <w:t>sostenibilità</w:t>
      </w:r>
      <w:r>
        <w:t xml:space="preserve"> delle pensioni, nonché sulla </w:t>
      </w:r>
      <w:r>
        <w:rPr>
          <w:b/>
        </w:rPr>
        <w:t>povertà</w:t>
      </w:r>
      <w:r>
        <w:t xml:space="preserve"> e la </w:t>
      </w:r>
      <w:r>
        <w:rPr>
          <w:b/>
        </w:rPr>
        <w:t>disuguaglianza</w:t>
      </w:r>
      <w:r>
        <w:t>;</w:t>
      </w:r>
    </w:p>
    <w:p w14:paraId="22649A22"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szCs w:val="20"/>
        </w:rPr>
      </w:pPr>
      <w:r>
        <w:rPr>
          <w:b/>
          <w:bCs/>
        </w:rPr>
        <w:t>raccomanda</w:t>
      </w:r>
      <w:r>
        <w:t xml:space="preserve"> di completare l'attuazione del coordinamento della </w:t>
      </w:r>
      <w:r>
        <w:rPr>
          <w:b/>
          <w:bCs/>
        </w:rPr>
        <w:t>digitalizzazione dei sistemi di sicurezza sociale europei</w:t>
      </w:r>
      <w:r>
        <w:t>;</w:t>
      </w:r>
    </w:p>
    <w:p w14:paraId="0879C2C7" w14:textId="77777777" w:rsidR="00A40127" w:rsidRPr="00A40127" w:rsidRDefault="00A40127" w:rsidP="0012664E">
      <w:pPr>
        <w:numPr>
          <w:ilvl w:val="0"/>
          <w:numId w:val="74"/>
        </w:numPr>
        <w:overflowPunct w:val="0"/>
        <w:autoSpaceDE w:val="0"/>
        <w:autoSpaceDN w:val="0"/>
        <w:adjustRightInd w:val="0"/>
        <w:spacing w:line="283" w:lineRule="auto"/>
        <w:ind w:left="709" w:hanging="425"/>
        <w:textAlignment w:val="baseline"/>
        <w:outlineLvl w:val="1"/>
        <w:rPr>
          <w:bCs/>
          <w:iCs/>
          <w:szCs w:val="20"/>
        </w:rPr>
      </w:pPr>
      <w:r>
        <w:rPr>
          <w:b/>
        </w:rPr>
        <w:t>sottolinea</w:t>
      </w:r>
      <w:r>
        <w:t xml:space="preserve"> la necessità di un'</w:t>
      </w:r>
      <w:r>
        <w:rPr>
          <w:b/>
        </w:rPr>
        <w:t>educazione finanziaria</w:t>
      </w:r>
      <w:r>
        <w:t xml:space="preserve"> sostenuta da </w:t>
      </w:r>
      <w:r>
        <w:rPr>
          <w:b/>
        </w:rPr>
        <w:t>strumenti di monitoraggio</w:t>
      </w:r>
      <w:r>
        <w:t xml:space="preserve"> di facile utilizzo e dall'accesso all'</w:t>
      </w:r>
      <w:r>
        <w:rPr>
          <w:b/>
        </w:rPr>
        <w:t>orientamento</w:t>
      </w:r>
      <w:r>
        <w:t xml:space="preserve"> e alla </w:t>
      </w:r>
      <w:r>
        <w:rPr>
          <w:b/>
          <w:bCs/>
        </w:rPr>
        <w:t>consulenza</w:t>
      </w:r>
      <w:r>
        <w:t xml:space="preserve"> per la presa di decisioni.</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37962" w:rsidRPr="009360D7" w14:paraId="2F150675" w14:textId="77777777" w:rsidTr="002E7EFB">
        <w:tc>
          <w:tcPr>
            <w:tcW w:w="1077" w:type="pct"/>
          </w:tcPr>
          <w:p w14:paraId="55D99EF2" w14:textId="77777777" w:rsidR="007836E0" w:rsidRDefault="007836E0" w:rsidP="002E7EFB">
            <w:pPr>
              <w:overflowPunct w:val="0"/>
              <w:autoSpaceDE w:val="0"/>
              <w:autoSpaceDN w:val="0"/>
              <w:adjustRightInd w:val="0"/>
              <w:textAlignment w:val="baseline"/>
              <w:rPr>
                <w:b/>
                <w:bCs/>
                <w:i/>
              </w:rPr>
            </w:pPr>
          </w:p>
          <w:p w14:paraId="0E22D454" w14:textId="2046C3FE" w:rsidR="00F37962" w:rsidRPr="009360D7" w:rsidRDefault="00F37962" w:rsidP="002E7EFB">
            <w:pPr>
              <w:overflowPunct w:val="0"/>
              <w:autoSpaceDE w:val="0"/>
              <w:autoSpaceDN w:val="0"/>
              <w:adjustRightInd w:val="0"/>
              <w:textAlignment w:val="baseline"/>
              <w:rPr>
                <w:i/>
              </w:rPr>
            </w:pPr>
            <w:r>
              <w:rPr>
                <w:b/>
                <w:bCs/>
                <w:i/>
              </w:rPr>
              <w:lastRenderedPageBreak/>
              <w:t>Contatto</w:t>
            </w:r>
          </w:p>
        </w:tc>
        <w:tc>
          <w:tcPr>
            <w:tcW w:w="3923" w:type="pct"/>
          </w:tcPr>
          <w:p w14:paraId="3995F780" w14:textId="77777777" w:rsidR="007836E0" w:rsidRDefault="007836E0" w:rsidP="002E7EFB">
            <w:pPr>
              <w:overflowPunct w:val="0"/>
              <w:autoSpaceDE w:val="0"/>
              <w:autoSpaceDN w:val="0"/>
              <w:adjustRightInd w:val="0"/>
              <w:textAlignment w:val="baseline"/>
              <w:rPr>
                <w:i/>
              </w:rPr>
            </w:pPr>
          </w:p>
          <w:p w14:paraId="69384752" w14:textId="6F6E021C" w:rsidR="00F37962" w:rsidRPr="009360D7" w:rsidRDefault="00F37962" w:rsidP="002E7EFB">
            <w:pPr>
              <w:overflowPunct w:val="0"/>
              <w:autoSpaceDE w:val="0"/>
              <w:autoSpaceDN w:val="0"/>
              <w:adjustRightInd w:val="0"/>
              <w:textAlignment w:val="baseline"/>
              <w:rPr>
                <w:i/>
              </w:rPr>
            </w:pPr>
            <w:r>
              <w:rPr>
                <w:i/>
              </w:rPr>
              <w:lastRenderedPageBreak/>
              <w:t xml:space="preserve">Sergio </w:t>
            </w:r>
            <w:r w:rsidR="007836E0">
              <w:rPr>
                <w:i/>
              </w:rPr>
              <w:t xml:space="preserve">LORENCIO </w:t>
            </w:r>
            <w:r>
              <w:rPr>
                <w:i/>
              </w:rPr>
              <w:t>MATALLANA</w:t>
            </w:r>
          </w:p>
        </w:tc>
      </w:tr>
      <w:tr w:rsidR="00F37962" w:rsidRPr="009360D7" w14:paraId="6F824D39" w14:textId="77777777" w:rsidTr="002E7EFB">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Pr>
                <w:i/>
              </w:rPr>
              <w:lastRenderedPageBreak/>
              <w:t>Tel.</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Pr>
                <w:i/>
              </w:rPr>
              <w:t>+32 25469240</w:t>
            </w:r>
          </w:p>
        </w:tc>
      </w:tr>
      <w:tr w:rsidR="00F37962" w:rsidRPr="009360D7" w14:paraId="4CBC8AD0" w14:textId="77777777" w:rsidTr="002E7EFB">
        <w:tc>
          <w:tcPr>
            <w:tcW w:w="1077" w:type="pct"/>
          </w:tcPr>
          <w:p w14:paraId="74D96EA0" w14:textId="77777777" w:rsidR="00F37962" w:rsidRPr="009360D7" w:rsidRDefault="00F37962" w:rsidP="002E7EFB">
            <w:pPr>
              <w:overflowPunct w:val="0"/>
              <w:autoSpaceDE w:val="0"/>
              <w:autoSpaceDN w:val="0"/>
              <w:adjustRightInd w:val="0"/>
              <w:textAlignment w:val="baseline"/>
              <w:rPr>
                <w:i/>
              </w:rPr>
            </w:pPr>
            <w:r>
              <w:rPr>
                <w:i/>
              </w:rPr>
              <w:t>E-mail</w:t>
            </w:r>
          </w:p>
        </w:tc>
        <w:tc>
          <w:tcPr>
            <w:tcW w:w="3923" w:type="pct"/>
          </w:tcPr>
          <w:p w14:paraId="5475F81E" w14:textId="399D3629" w:rsidR="00F37962" w:rsidRPr="009360D7" w:rsidRDefault="00291C11" w:rsidP="002E7EFB">
            <w:pPr>
              <w:overflowPunct w:val="0"/>
              <w:autoSpaceDE w:val="0"/>
              <w:autoSpaceDN w:val="0"/>
              <w:adjustRightInd w:val="0"/>
              <w:textAlignment w:val="baseline"/>
              <w:rPr>
                <w:i/>
              </w:rPr>
            </w:pPr>
            <w:hyperlink r:id="rId24" w:history="1">
              <w:r>
                <w:rPr>
                  <w:i/>
                  <w:color w:val="0000FF"/>
                  <w:u w:val="single"/>
                </w:rPr>
                <w:t>Sergio.</w:t>
              </w:r>
              <w:r w:rsidR="0012664E">
                <w:rPr>
                  <w:i/>
                  <w:color w:val="0000FF"/>
                  <w:u w:val="single"/>
                </w:rPr>
                <w:t>LORENCIOMATALLANA</w:t>
              </w:r>
              <w:r>
                <w:rPr>
                  <w:i/>
                  <w:color w:val="0000FF"/>
                  <w:u w:val="single"/>
                </w:rPr>
                <w:t>@eesc.europa.eu</w:t>
              </w:r>
            </w:hyperlink>
          </w:p>
        </w:tc>
      </w:tr>
      <w:tr w:rsidR="00BC1478" w:rsidRPr="009360D7" w14:paraId="0B098D50" w14:textId="77777777" w:rsidTr="002E7EFB">
        <w:tc>
          <w:tcPr>
            <w:tcW w:w="1077" w:type="pct"/>
          </w:tcPr>
          <w:p w14:paraId="16C6980E" w14:textId="77777777" w:rsidR="00BC1478" w:rsidRPr="009360D7" w:rsidRDefault="00BC1478" w:rsidP="002E7EFB">
            <w:pPr>
              <w:overflowPunct w:val="0"/>
              <w:autoSpaceDE w:val="0"/>
              <w:autoSpaceDN w:val="0"/>
              <w:adjustRightInd w:val="0"/>
              <w:textAlignment w:val="baseline"/>
              <w:rPr>
                <w:i/>
              </w:rPr>
            </w:pPr>
          </w:p>
        </w:tc>
        <w:tc>
          <w:tcPr>
            <w:tcW w:w="3923" w:type="pct"/>
          </w:tcPr>
          <w:p w14:paraId="5BC40BE7" w14:textId="77777777" w:rsidR="00BC1478" w:rsidRPr="009360D7" w:rsidRDefault="00BC1478" w:rsidP="002E7EFB">
            <w:pPr>
              <w:overflowPunct w:val="0"/>
              <w:autoSpaceDE w:val="0"/>
              <w:autoSpaceDN w:val="0"/>
              <w:adjustRightInd w:val="0"/>
              <w:textAlignment w:val="baseline"/>
              <w:rPr>
                <w:lang w:val="en-GB"/>
              </w:rPr>
            </w:pPr>
          </w:p>
        </w:tc>
      </w:tr>
      <w:tr w:rsidR="00BC1478" w:rsidRPr="009360D7" w14:paraId="50525A98" w14:textId="77777777" w:rsidTr="002E7EFB">
        <w:tc>
          <w:tcPr>
            <w:tcW w:w="1077" w:type="pct"/>
          </w:tcPr>
          <w:p w14:paraId="75CC5483" w14:textId="417D7763" w:rsidR="00BC1478" w:rsidRPr="009360D7" w:rsidRDefault="00BC1478" w:rsidP="002E7EFB">
            <w:pPr>
              <w:overflowPunct w:val="0"/>
              <w:autoSpaceDE w:val="0"/>
              <w:autoSpaceDN w:val="0"/>
              <w:adjustRightInd w:val="0"/>
              <w:textAlignment w:val="baseline"/>
              <w:rPr>
                <w:i/>
              </w:rPr>
            </w:pPr>
          </w:p>
        </w:tc>
        <w:tc>
          <w:tcPr>
            <w:tcW w:w="3923" w:type="pct"/>
          </w:tcPr>
          <w:p w14:paraId="3AD31ED3" w14:textId="77777777" w:rsidR="00BC1478" w:rsidRPr="009360D7" w:rsidRDefault="00BC1478" w:rsidP="002E7EFB">
            <w:pPr>
              <w:overflowPunct w:val="0"/>
              <w:autoSpaceDE w:val="0"/>
              <w:autoSpaceDN w:val="0"/>
              <w:adjustRightInd w:val="0"/>
              <w:textAlignment w:val="baseline"/>
              <w:rPr>
                <w:lang w:val="en-GB"/>
              </w:rPr>
            </w:pPr>
          </w:p>
        </w:tc>
      </w:tr>
    </w:tbl>
    <w:p w14:paraId="78262753" w14:textId="248BD617" w:rsidR="00A067F3" w:rsidRDefault="00A067F3" w:rsidP="001766B2">
      <w:pPr>
        <w:jc w:val="left"/>
      </w:pPr>
    </w:p>
    <w:p w14:paraId="23A0EDCC" w14:textId="77777777" w:rsidR="00A067F3" w:rsidRDefault="00A067F3">
      <w:pPr>
        <w:spacing w:after="160" w:line="259" w:lineRule="auto"/>
        <w:jc w:val="left"/>
      </w:pPr>
      <w:r>
        <w:br w:type="page"/>
      </w:r>
    </w:p>
    <w:p w14:paraId="4982DD99" w14:textId="592F9C95" w:rsidR="004D7AC0" w:rsidRDefault="004D7AC0" w:rsidP="004C6742">
      <w:pPr>
        <w:pStyle w:val="Heading2"/>
      </w:pPr>
      <w:bookmarkStart w:id="1" w:name="_Toc75527081"/>
      <w:bookmarkStart w:id="2" w:name="_Toc229405146"/>
      <w:r>
        <w:lastRenderedPageBreak/>
        <w:t>OCCUPAZIONE, AFFARI SOCIALI E CITTADINANZA</w:t>
      </w:r>
      <w:bookmarkEnd w:id="1"/>
      <w:bookmarkEnd w:id="2"/>
    </w:p>
    <w:p w14:paraId="4982DD9A" w14:textId="77777777" w:rsidR="004D7AC0" w:rsidRDefault="004D7AC0" w:rsidP="001766B2"/>
    <w:p w14:paraId="0FBA9E33" w14:textId="1E48CE8D" w:rsidR="00943240" w:rsidRPr="00943240" w:rsidRDefault="00943240" w:rsidP="00943240">
      <w:pPr>
        <w:widowControl w:val="0"/>
        <w:numPr>
          <w:ilvl w:val="0"/>
          <w:numId w:val="8"/>
        </w:numPr>
        <w:overflowPunct w:val="0"/>
        <w:autoSpaceDE w:val="0"/>
        <w:autoSpaceDN w:val="0"/>
        <w:adjustRightInd w:val="0"/>
        <w:ind w:left="567" w:hanging="567"/>
        <w:textAlignment w:val="baseline"/>
        <w:rPr>
          <w:b/>
        </w:rPr>
      </w:pPr>
      <w:hyperlink r:id="rId25" w:history="1">
        <w:r>
          <w:rPr>
            <w:b/>
            <w:i/>
            <w:color w:val="0000FF"/>
            <w:sz w:val="28"/>
            <w:u w:val="single"/>
          </w:rPr>
          <w:t>Vietare le pratiche di conversione nell'Unione europea</w:t>
        </w:r>
      </w:hyperlink>
    </w:p>
    <w:p w14:paraId="0DD8BE16" w14:textId="77777777" w:rsidR="00537B03" w:rsidRPr="007836E0" w:rsidRDefault="00537B03" w:rsidP="00943240">
      <w:pPr>
        <w:tabs>
          <w:tab w:val="center" w:pos="284"/>
        </w:tabs>
        <w:overflowPunct w:val="0"/>
        <w:autoSpaceDE w:val="0"/>
        <w:autoSpaceDN w:val="0"/>
        <w:adjustRightInd w:val="0"/>
        <w:ind w:left="567" w:hanging="567"/>
        <w:textAlignment w:val="baseline"/>
        <w:rPr>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943240" w:rsidRPr="00943240" w14:paraId="4E8345CE" w14:textId="77777777" w:rsidTr="002E7EFB">
        <w:tc>
          <w:tcPr>
            <w:tcW w:w="1701"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Relatore</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pPr>
            <w:r>
              <w:t>Pascal DEBAY (Lavoratori - FR)</w:t>
            </w:r>
          </w:p>
        </w:tc>
      </w:tr>
      <w:tr w:rsidR="00943240" w:rsidRPr="00943240" w14:paraId="007125B5" w14:textId="77777777" w:rsidTr="002E7EFB">
        <w:tc>
          <w:tcPr>
            <w:tcW w:w="1701"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Correlatore</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pPr>
            <w:r>
              <w:t>Ionuţ SIBIAN (Organizzazioni della società civile - RO)</w:t>
            </w:r>
          </w:p>
        </w:tc>
      </w:tr>
      <w:tr w:rsidR="00943240" w:rsidRPr="00943240" w14:paraId="2715214D" w14:textId="77777777" w:rsidTr="002E7EFB">
        <w:tc>
          <w:tcPr>
            <w:tcW w:w="1701"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6237"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2E7EFB">
        <w:tc>
          <w:tcPr>
            <w:tcW w:w="1701"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Riferimento</w:t>
            </w:r>
          </w:p>
        </w:tc>
        <w:tc>
          <w:tcPr>
            <w:tcW w:w="6237"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pPr>
            <w:r>
              <w:t>Parere d'iniziativa</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r>
              <w:t>EESC-2025-04295-00-00-AC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Punti principali</w:t>
      </w:r>
    </w:p>
    <w:p w14:paraId="367A8012" w14:textId="77777777" w:rsidR="00943240" w:rsidRPr="00943240" w:rsidRDefault="00943240" w:rsidP="00943240">
      <w:pPr>
        <w:spacing w:before="100" w:beforeAutospacing="1" w:after="100" w:afterAutospacing="1" w:line="240" w:lineRule="auto"/>
        <w:jc w:val="left"/>
        <w:rPr>
          <w:b/>
          <w:bCs/>
        </w:rPr>
      </w:pPr>
      <w:r>
        <w:t>Il CESE:</w:t>
      </w:r>
    </w:p>
    <w:p w14:paraId="148FFAB3" w14:textId="77777777" w:rsidR="00943240" w:rsidRPr="00943240" w:rsidRDefault="00943240" w:rsidP="00C53C36">
      <w:pPr>
        <w:numPr>
          <w:ilvl w:val="0"/>
          <w:numId w:val="23"/>
        </w:numPr>
        <w:overflowPunct w:val="0"/>
        <w:autoSpaceDE w:val="0"/>
        <w:autoSpaceDN w:val="0"/>
        <w:adjustRightInd w:val="0"/>
        <w:ind w:left="709" w:hanging="425"/>
        <w:textAlignment w:val="baseline"/>
        <w:outlineLvl w:val="1"/>
        <w:rPr>
          <w:szCs w:val="20"/>
        </w:rPr>
      </w:pPr>
      <w:bookmarkStart w:id="3" w:name="_Toc228805417"/>
      <w:r>
        <w:t>condanna fermamente qualsiasi forma di pratica di conversione volta a modificare, reprimere o cancellare l'orientamento sessuale, l'identità di genere o l'espressione di genere di una persona, e considera tali pratiche una violazione del divieto assoluto di tortura e di pene o trattamenti inumani o degradanti;</w:t>
      </w:r>
      <w:bookmarkEnd w:id="3"/>
    </w:p>
    <w:p w14:paraId="7291556E" w14:textId="77777777" w:rsidR="00943240" w:rsidRPr="00943240" w:rsidRDefault="00943240" w:rsidP="00C53C36">
      <w:pPr>
        <w:numPr>
          <w:ilvl w:val="0"/>
          <w:numId w:val="23"/>
        </w:numPr>
        <w:overflowPunct w:val="0"/>
        <w:autoSpaceDE w:val="0"/>
        <w:autoSpaceDN w:val="0"/>
        <w:adjustRightInd w:val="0"/>
        <w:ind w:left="709" w:hanging="425"/>
        <w:textAlignment w:val="baseline"/>
        <w:outlineLvl w:val="1"/>
        <w:rPr>
          <w:szCs w:val="20"/>
        </w:rPr>
      </w:pPr>
      <w:bookmarkStart w:id="4" w:name="_Toc228805418"/>
      <w:r>
        <w:t>ricorda che la discriminazione, la violenza e la tortura nei confronti delle persone LGBTIQ+ all'interno dell'UE sono incompatibili con i diritti e i valori fondamentali dell'UE;</w:t>
      </w:r>
      <w:bookmarkEnd w:id="4"/>
    </w:p>
    <w:p w14:paraId="4C8743D6" w14:textId="77777777" w:rsidR="00943240" w:rsidRPr="00943240" w:rsidRDefault="00943240" w:rsidP="00C53C36">
      <w:pPr>
        <w:numPr>
          <w:ilvl w:val="0"/>
          <w:numId w:val="23"/>
        </w:numPr>
        <w:overflowPunct w:val="0"/>
        <w:autoSpaceDE w:val="0"/>
        <w:autoSpaceDN w:val="0"/>
        <w:adjustRightInd w:val="0"/>
        <w:ind w:left="709" w:hanging="425"/>
        <w:textAlignment w:val="baseline"/>
        <w:outlineLvl w:val="1"/>
        <w:rPr>
          <w:szCs w:val="20"/>
        </w:rPr>
      </w:pPr>
      <w:bookmarkStart w:id="5" w:name="_Toc228805419"/>
      <w:r>
        <w:t>invita la Commissione europea a proporre un divieto giuridicamente vincolante a livello dell'UE delle pratiche di conversione, che contempli sia la condotta che la pubblicità di tali attività, includendo le pratiche di conversione tra "reati dell'UE", e a riconoscerle come reati generati dall'odio, per garantire un livello uniforme di protezione in tutta l'UE;</w:t>
      </w:r>
      <w:bookmarkEnd w:id="5"/>
    </w:p>
    <w:p w14:paraId="7C4251B7" w14:textId="77777777" w:rsidR="00943240" w:rsidRPr="00943240" w:rsidRDefault="00943240" w:rsidP="00C53C36">
      <w:pPr>
        <w:numPr>
          <w:ilvl w:val="0"/>
          <w:numId w:val="23"/>
        </w:numPr>
        <w:overflowPunct w:val="0"/>
        <w:autoSpaceDE w:val="0"/>
        <w:autoSpaceDN w:val="0"/>
        <w:adjustRightInd w:val="0"/>
        <w:ind w:left="709" w:hanging="425"/>
        <w:textAlignment w:val="baseline"/>
        <w:outlineLvl w:val="1"/>
        <w:rPr>
          <w:szCs w:val="20"/>
        </w:rPr>
      </w:pPr>
      <w:bookmarkStart w:id="6" w:name="_Toc228805420"/>
      <w:r>
        <w:t>insiste affinché il divieto sia globale e definito con precisione, si applichi sia ai minori che agli adulti, copra tutti gli attori pubblici e privati (professionali e non professionali) e garantisca che i sopravvissuti non siano mai soggetti a responsabilità penale o civile;</w:t>
      </w:r>
      <w:bookmarkEnd w:id="6"/>
    </w:p>
    <w:p w14:paraId="1745C5AE" w14:textId="77777777" w:rsidR="00943240" w:rsidRPr="00943240" w:rsidRDefault="00943240" w:rsidP="00C53C36">
      <w:pPr>
        <w:numPr>
          <w:ilvl w:val="0"/>
          <w:numId w:val="23"/>
        </w:numPr>
        <w:overflowPunct w:val="0"/>
        <w:autoSpaceDE w:val="0"/>
        <w:autoSpaceDN w:val="0"/>
        <w:adjustRightInd w:val="0"/>
        <w:ind w:left="709" w:hanging="425"/>
        <w:textAlignment w:val="baseline"/>
        <w:outlineLvl w:val="1"/>
        <w:rPr>
          <w:szCs w:val="20"/>
        </w:rPr>
      </w:pPr>
      <w:bookmarkStart w:id="7" w:name="_Toc228805421"/>
      <w:r>
        <w:t>ribadisce il fatto che il divieto comprende sanzioni efficaci, proporzionate e dissuasive che rispecchiano il grave danno causato dalle pratiche di conversione;</w:t>
      </w:r>
      <w:bookmarkEnd w:id="7"/>
    </w:p>
    <w:p w14:paraId="6ABD62C6" w14:textId="77777777" w:rsidR="00943240" w:rsidRPr="00943240" w:rsidRDefault="00943240" w:rsidP="00C53C36">
      <w:pPr>
        <w:numPr>
          <w:ilvl w:val="0"/>
          <w:numId w:val="23"/>
        </w:numPr>
        <w:overflowPunct w:val="0"/>
        <w:autoSpaceDE w:val="0"/>
        <w:autoSpaceDN w:val="0"/>
        <w:adjustRightInd w:val="0"/>
        <w:ind w:left="709" w:hanging="425"/>
        <w:textAlignment w:val="baseline"/>
        <w:outlineLvl w:val="1"/>
        <w:rPr>
          <w:szCs w:val="20"/>
        </w:rPr>
      </w:pPr>
      <w:bookmarkStart w:id="8" w:name="_Toc228805422"/>
      <w:r>
        <w:t>chiede l'inclusione esplicita dei caratteri sessuali nell'ambito di applicazione del divieto, al fine di proteggere le persone intersessuali da interventi non terapeutici e non consensuali imponendo un allineamento binario di genere;</w:t>
      </w:r>
      <w:bookmarkEnd w:id="8"/>
    </w:p>
    <w:p w14:paraId="7E833977" w14:textId="77777777" w:rsidR="00943240" w:rsidRPr="00943240" w:rsidRDefault="00943240" w:rsidP="00C53C36">
      <w:pPr>
        <w:numPr>
          <w:ilvl w:val="0"/>
          <w:numId w:val="23"/>
        </w:numPr>
        <w:overflowPunct w:val="0"/>
        <w:autoSpaceDE w:val="0"/>
        <w:autoSpaceDN w:val="0"/>
        <w:adjustRightInd w:val="0"/>
        <w:ind w:left="709" w:hanging="425"/>
        <w:textAlignment w:val="baseline"/>
        <w:outlineLvl w:val="1"/>
        <w:rPr>
          <w:szCs w:val="20"/>
        </w:rPr>
      </w:pPr>
      <w:bookmarkStart w:id="9" w:name="_Toc228805423"/>
      <w:r>
        <w:t>raccomanda misure di attuazione rigorose nell'ambito della strategia per l'uguaglianza LGBTIQ+ 2026-2030. Tali misure dovrebbero includere un monitoraggio annuale effettuato in consultazione con la società civile organizzata, finanziamenti specifici per le organizzazioni per la formazione professionale e la parità e iniziative di istruzione e sensibilizzazione del pubblico sostenute dall'UE, che sono essenziali per individuare ed eliminare tali pratiche.</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943240" w:rsidRPr="00943240" w14:paraId="4E107AFC" w14:textId="77777777" w:rsidTr="002E7EFB">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Contatto</w:t>
            </w:r>
          </w:p>
        </w:tc>
        <w:tc>
          <w:tcPr>
            <w:tcW w:w="4493"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r>
              <w:rPr>
                <w:i/>
              </w:rPr>
              <w:t>Bartek BEDNAROWICZ</w:t>
            </w:r>
          </w:p>
        </w:tc>
      </w:tr>
      <w:tr w:rsidR="00943240" w:rsidRPr="00943240" w14:paraId="7B668718" w14:textId="77777777" w:rsidTr="002E7EFB">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Tel.</w:t>
            </w:r>
          </w:p>
        </w:tc>
        <w:tc>
          <w:tcPr>
            <w:tcW w:w="4493"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+32 25469229</w:t>
            </w:r>
          </w:p>
        </w:tc>
      </w:tr>
      <w:tr w:rsidR="00943240" w:rsidRPr="00943240" w14:paraId="65C7A403" w14:textId="77777777" w:rsidTr="002E7EFB">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E-mail</w:t>
            </w:r>
          </w:p>
        </w:tc>
        <w:tc>
          <w:tcPr>
            <w:tcW w:w="4493" w:type="dxa"/>
          </w:tcPr>
          <w:p w14:paraId="33C773EF" w14:textId="6066D372" w:rsidR="00943240" w:rsidRPr="00943240" w:rsidRDefault="00291C11" w:rsidP="00943240">
            <w:pPr>
              <w:overflowPunct w:val="0"/>
              <w:autoSpaceDE w:val="0"/>
              <w:autoSpaceDN w:val="0"/>
              <w:adjustRightInd w:val="0"/>
              <w:spacing w:line="240" w:lineRule="auto"/>
              <w:textAlignment w:val="baseline"/>
              <w:rPr>
                <w:i/>
                <w:iCs/>
              </w:rPr>
            </w:pPr>
            <w:hyperlink r:id="rId26" w:history="1">
              <w:r>
                <w:rPr>
                  <w:i/>
                  <w:color w:val="0000FF"/>
                  <w:u w:val="single"/>
                </w:rPr>
                <w:t>Bartek.</w:t>
              </w:r>
              <w:r w:rsidR="00C53C36">
                <w:rPr>
                  <w:i/>
                  <w:color w:val="0000FF"/>
                  <w:u w:val="single"/>
                </w:rPr>
                <w:t>BEDNAROWICZ</w:t>
              </w:r>
              <w:r>
                <w:rPr>
                  <w:i/>
                  <w:color w:val="0000FF"/>
                  <w:u w:val="single"/>
                </w:rPr>
                <w:t>@eesc.europa.eu</w:t>
              </w:r>
            </w:hyperlink>
          </w:p>
          <w:p w14:paraId="05B7586B" w14:textId="77777777" w:rsidR="00943240" w:rsidRPr="00943240" w:rsidRDefault="00943240" w:rsidP="00943240">
            <w:pPr>
              <w:overflowPunct w:val="0"/>
              <w:autoSpaceDE w:val="0"/>
              <w:autoSpaceDN w:val="0"/>
              <w:adjustRightInd w:val="0"/>
              <w:spacing w:line="240" w:lineRule="auto"/>
              <w:textAlignment w:val="baseline"/>
              <w:rPr>
                <w:i/>
                <w:lang w:val="en-IE"/>
              </w:rPr>
            </w:pPr>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52B36A78" w:rsidR="00354B98" w:rsidRPr="00354B98" w:rsidRDefault="00291C11" w:rsidP="00741EC1">
      <w:pPr>
        <w:widowControl w:val="0"/>
        <w:numPr>
          <w:ilvl w:val="0"/>
          <w:numId w:val="10"/>
        </w:numPr>
        <w:overflowPunct w:val="0"/>
        <w:autoSpaceDE w:val="0"/>
        <w:autoSpaceDN w:val="0"/>
        <w:adjustRightInd w:val="0"/>
        <w:spacing w:after="200" w:line="276" w:lineRule="auto"/>
        <w:ind w:left="567" w:hanging="567"/>
        <w:contextualSpacing/>
        <w:textAlignment w:val="baseline"/>
        <w:rPr>
          <w:b/>
          <w:i/>
          <w:sz w:val="28"/>
          <w:szCs w:val="28"/>
        </w:rPr>
      </w:pPr>
      <w:hyperlink r:id="rId27" w:history="1">
        <w:r>
          <w:rPr>
            <w:b/>
            <w:i/>
            <w:color w:val="0000FF"/>
            <w:sz w:val="28"/>
            <w:u w:val="single"/>
          </w:rPr>
          <w:t>Unione dell'uguaglianza: strategia per l'uguaglianza LGBTIQ+ 2026</w:t>
        </w:r>
        <w:r w:rsidR="00741EC1">
          <w:rPr>
            <w:b/>
            <w:i/>
            <w:color w:val="0000FF"/>
            <w:sz w:val="28"/>
            <w:u w:val="single"/>
          </w:rPr>
          <w:noBreakHyphen/>
        </w:r>
        <w:r>
          <w:rPr>
            <w:b/>
            <w:i/>
            <w:color w:val="0000FF"/>
            <w:sz w:val="28"/>
            <w:u w:val="single"/>
          </w:rPr>
          <w:t>2030</w:t>
        </w:r>
      </w:hyperlink>
    </w:p>
    <w:p w14:paraId="0E47B1B5" w14:textId="2D9E1616" w:rsidR="00354B98" w:rsidRPr="007836E0" w:rsidRDefault="00354B98" w:rsidP="004C6742">
      <w:pPr>
        <w:widowControl w:val="0"/>
        <w:overflowPunct w:val="0"/>
        <w:autoSpaceDE w:val="0"/>
        <w:autoSpaceDN w:val="0"/>
        <w:adjustRightInd w:val="0"/>
        <w:jc w:val="left"/>
        <w:textAlignment w:val="baseline"/>
        <w:rPr>
          <w:b/>
          <w:bCs/>
          <w:i/>
          <w:iCs/>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354B98" w:rsidRPr="00354B98" w14:paraId="5A523F39" w14:textId="77777777" w:rsidTr="002E7EFB">
        <w:tc>
          <w:tcPr>
            <w:tcW w:w="1701"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Relatrice</w:t>
            </w:r>
          </w:p>
        </w:tc>
        <w:tc>
          <w:tcPr>
            <w:tcW w:w="6804"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(Organizzazioni della società civile - DK)</w:t>
            </w:r>
          </w:p>
        </w:tc>
      </w:tr>
      <w:tr w:rsidR="00354B98" w:rsidRPr="00354B98" w14:paraId="47C7615B" w14:textId="77777777" w:rsidTr="002E7EFB">
        <w:tc>
          <w:tcPr>
            <w:tcW w:w="1701" w:type="dxa"/>
          </w:tcPr>
          <w:p w14:paraId="20505F27"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p>
        </w:tc>
        <w:tc>
          <w:tcPr>
            <w:tcW w:w="6804" w:type="dxa"/>
          </w:tcPr>
          <w:p w14:paraId="465F0ECB" w14:textId="77777777" w:rsidR="00354B98" w:rsidRPr="00354B98" w:rsidRDefault="00354B98" w:rsidP="00354B98">
            <w:pPr>
              <w:tabs>
                <w:tab w:val="center" w:pos="284"/>
              </w:tabs>
              <w:overflowPunct w:val="0"/>
              <w:autoSpaceDE w:val="0"/>
              <w:autoSpaceDN w:val="0"/>
              <w:adjustRightInd w:val="0"/>
              <w:textAlignment w:val="baseline"/>
            </w:pPr>
          </w:p>
        </w:tc>
      </w:tr>
      <w:tr w:rsidR="00354B98" w:rsidRPr="00354B98" w14:paraId="54E406AB" w14:textId="77777777" w:rsidTr="002E7EFB">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Riferimento </w:t>
            </w:r>
          </w:p>
        </w:tc>
        <w:tc>
          <w:tcPr>
            <w:tcW w:w="6804"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r>
              <w:t>COM(2025) 725 final</w:t>
            </w:r>
          </w:p>
        </w:tc>
      </w:tr>
      <w:tr w:rsidR="00354B98" w:rsidRPr="00354B98" w14:paraId="1CC90C32" w14:textId="77777777" w:rsidTr="002E7EFB">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6804"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Punti principali:</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Il CESE:</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C53C36">
      <w:pPr>
        <w:widowControl w:val="0"/>
        <w:numPr>
          <w:ilvl w:val="0"/>
          <w:numId w:val="24"/>
        </w:numPr>
        <w:overflowPunct w:val="0"/>
        <w:autoSpaceDE w:val="0"/>
        <w:autoSpaceDN w:val="0"/>
        <w:adjustRightInd w:val="0"/>
        <w:ind w:left="709" w:hanging="425"/>
        <w:textAlignment w:val="baseline"/>
        <w:rPr>
          <w:szCs w:val="20"/>
        </w:rPr>
      </w:pPr>
      <w:r>
        <w:t xml:space="preserve">accoglie con favore la nuova strategia per l'uguaglianza LGBTIQ+ 2026-2030, ma chiede nel contempo un'azione più incisiva in quanto la discriminazione, la violenza, le molestie e l'esclusione persistenti – che colpiscono in particolare le persone transgender, non binarie e intersessuali – richiedono azioni politiche più energiche; </w:t>
      </w:r>
    </w:p>
    <w:p w14:paraId="6D5257E3" w14:textId="77777777" w:rsidR="00354B98" w:rsidRPr="00354B98" w:rsidRDefault="00354B98" w:rsidP="00C53C36">
      <w:pPr>
        <w:widowControl w:val="0"/>
        <w:numPr>
          <w:ilvl w:val="0"/>
          <w:numId w:val="24"/>
        </w:numPr>
        <w:overflowPunct w:val="0"/>
        <w:autoSpaceDE w:val="0"/>
        <w:autoSpaceDN w:val="0"/>
        <w:adjustRightInd w:val="0"/>
        <w:ind w:left="709" w:hanging="425"/>
        <w:textAlignment w:val="baseline"/>
        <w:rPr>
          <w:szCs w:val="20"/>
        </w:rPr>
      </w:pPr>
      <w:r>
        <w:t xml:space="preserve">raccomanda maggiore determinazione nell'applicazione delle norme e nell'assunzione di responsabilità attraverso parametri di riferimento vincolanti, procedure di infrazione sistematiche, il meccanismo della condizionalità dello Stato di diritto e l'attuazione di strategie nazionali per l'uguaglianza delle persone LGBTIQ+; </w:t>
      </w:r>
    </w:p>
    <w:p w14:paraId="0B028E36" w14:textId="77777777" w:rsidR="00354B98" w:rsidRPr="00354B98" w:rsidRDefault="00354B98" w:rsidP="00C53C36">
      <w:pPr>
        <w:widowControl w:val="0"/>
        <w:numPr>
          <w:ilvl w:val="0"/>
          <w:numId w:val="24"/>
        </w:numPr>
        <w:overflowPunct w:val="0"/>
        <w:autoSpaceDE w:val="0"/>
        <w:autoSpaceDN w:val="0"/>
        <w:adjustRightInd w:val="0"/>
        <w:ind w:left="709" w:hanging="425"/>
        <w:textAlignment w:val="baseline"/>
        <w:rPr>
          <w:szCs w:val="20"/>
        </w:rPr>
      </w:pPr>
      <w:r>
        <w:t xml:space="preserve">chiede un'azione risoluta per proteggere i diritti fondamentali e lo spazio civico, in modo da contrastare gli atteggiamenti ostili, la disinformazione e l'incitamento all'odio e al fine di assicurare un sostegno costante alla società civile; </w:t>
      </w:r>
    </w:p>
    <w:p w14:paraId="7C167313" w14:textId="77777777" w:rsidR="00354B98" w:rsidRPr="00354B98" w:rsidRDefault="00354B98" w:rsidP="00C53C36">
      <w:pPr>
        <w:widowControl w:val="0"/>
        <w:numPr>
          <w:ilvl w:val="0"/>
          <w:numId w:val="24"/>
        </w:numPr>
        <w:overflowPunct w:val="0"/>
        <w:autoSpaceDE w:val="0"/>
        <w:autoSpaceDN w:val="0"/>
        <w:adjustRightInd w:val="0"/>
        <w:ind w:left="709" w:hanging="425"/>
        <w:textAlignment w:val="baseline"/>
        <w:rPr>
          <w:szCs w:val="20"/>
        </w:rPr>
      </w:pPr>
      <w:r>
        <w:t>sollecita la piena uguaglianza nella vita quotidiana tramite la garanzia di un accesso inclusivo non solo all'assistenza sanitaria e all'istruzione, ma anche all'occupazione mediante una maggiore inclusione sul luogo di lavoro;</w:t>
      </w:r>
    </w:p>
    <w:p w14:paraId="0449885B" w14:textId="77777777" w:rsidR="00354B98" w:rsidRPr="00354B98" w:rsidRDefault="00354B98" w:rsidP="00C53C36">
      <w:pPr>
        <w:widowControl w:val="0"/>
        <w:numPr>
          <w:ilvl w:val="0"/>
          <w:numId w:val="24"/>
        </w:numPr>
        <w:overflowPunct w:val="0"/>
        <w:autoSpaceDE w:val="0"/>
        <w:autoSpaceDN w:val="0"/>
        <w:adjustRightInd w:val="0"/>
        <w:ind w:left="709" w:hanging="425"/>
        <w:textAlignment w:val="baseline"/>
        <w:rPr>
          <w:szCs w:val="20"/>
        </w:rPr>
      </w:pPr>
      <w:r>
        <w:t>invita la Commissione europea a proporre un divieto – giuridicamente vincolante a livello dell'UE – delle pratiche di conversione che abbia per oggetto sia la condotta che la pubblicità di tali attività (includendole tra i "reati dell'UE") e a riconoscere queste pratiche come reati generati dall'odio, per garantire un livello di protezione uniforme in tutta l'UE;</w:t>
      </w:r>
    </w:p>
    <w:p w14:paraId="1400C6A1" w14:textId="77777777" w:rsidR="00354B98" w:rsidRPr="00354B98" w:rsidRDefault="00354B98" w:rsidP="00C53C36">
      <w:pPr>
        <w:widowControl w:val="0"/>
        <w:numPr>
          <w:ilvl w:val="0"/>
          <w:numId w:val="24"/>
        </w:numPr>
        <w:overflowPunct w:val="0"/>
        <w:autoSpaceDE w:val="0"/>
        <w:autoSpaceDN w:val="0"/>
        <w:adjustRightInd w:val="0"/>
        <w:ind w:left="709" w:hanging="425"/>
        <w:textAlignment w:val="baseline"/>
        <w:rPr>
          <w:szCs w:val="20"/>
        </w:rPr>
      </w:pPr>
      <w:r>
        <w:t>chiede azioni contro le disuguaglianze strutturali che prevedano l'integrazione dell'uguaglianza LGBTIQ+ nelle politiche in materia di inclusione sociale, alloggi e lotta alla povertà, con un sostegno mirato per coloro che subiscono discriminazioni intersezionali;</w:t>
      </w:r>
    </w:p>
    <w:p w14:paraId="7CD0D179" w14:textId="77777777" w:rsidR="00354B98" w:rsidRPr="00354B98" w:rsidRDefault="00354B98" w:rsidP="00C53C36">
      <w:pPr>
        <w:widowControl w:val="0"/>
        <w:numPr>
          <w:ilvl w:val="0"/>
          <w:numId w:val="24"/>
        </w:numPr>
        <w:overflowPunct w:val="0"/>
        <w:autoSpaceDE w:val="0"/>
        <w:autoSpaceDN w:val="0"/>
        <w:adjustRightInd w:val="0"/>
        <w:ind w:left="709" w:hanging="425"/>
        <w:textAlignment w:val="baseline"/>
        <w:rPr>
          <w:rFonts w:asciiTheme="minorHAnsi" w:hAnsiTheme="minorHAnsi"/>
          <w:szCs w:val="20"/>
        </w:rPr>
      </w:pPr>
      <w:r>
        <w:t>raccomanda quadri di riferimento adeguati alle esigenze future e basati sui diritti che provvedano a colmare le lacune sul piano giuridico, a garantire l'autodeterminazione nel riconoscimento di genere, a rafforzare l'accesso alla giustizia, ad assicurare finanziamenti adeguati per le organizzazioni della società civile, a migliorare la raccolta di dati intersezionali e a salvaguardare la parità di trattamento nelle tecnologie digitali e nell'IA.</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54B98" w:rsidRPr="00354B98" w14:paraId="3184797F" w14:textId="77777777" w:rsidTr="002E7EFB">
        <w:tc>
          <w:tcPr>
            <w:tcW w:w="1418" w:type="dxa"/>
          </w:tcPr>
          <w:p w14:paraId="2A28D240" w14:textId="319F770A" w:rsidR="00354B98" w:rsidRPr="00354B98" w:rsidRDefault="00354B98" w:rsidP="00354B98">
            <w:pPr>
              <w:overflowPunct w:val="0"/>
              <w:autoSpaceDE w:val="0"/>
              <w:autoSpaceDN w:val="0"/>
              <w:adjustRightInd w:val="0"/>
              <w:spacing w:line="240" w:lineRule="auto"/>
              <w:textAlignment w:val="baseline"/>
              <w:rPr>
                <w:i/>
              </w:rPr>
            </w:pPr>
            <w:r>
              <w:rPr>
                <w:b/>
                <w:i/>
              </w:rPr>
              <w:t>Contatto</w:t>
            </w:r>
          </w:p>
        </w:tc>
        <w:tc>
          <w:tcPr>
            <w:tcW w:w="5670"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r>
              <w:rPr>
                <w:i/>
              </w:rPr>
              <w:t>Bartek BEDNAROWICZ</w:t>
            </w:r>
          </w:p>
        </w:tc>
      </w:tr>
      <w:tr w:rsidR="00354B98" w:rsidRPr="00354B98" w14:paraId="0E1F3D07" w14:textId="77777777" w:rsidTr="002E7EFB">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Tel.</w:t>
            </w:r>
          </w:p>
        </w:tc>
        <w:tc>
          <w:tcPr>
            <w:tcW w:w="5670"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+32 25469229</w:t>
            </w:r>
          </w:p>
        </w:tc>
      </w:tr>
      <w:tr w:rsidR="00354B98" w:rsidRPr="00354B98" w14:paraId="07F9D924" w14:textId="77777777" w:rsidTr="002E7EFB">
        <w:tc>
          <w:tcPr>
            <w:tcW w:w="1418"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E-mail</w:t>
            </w:r>
          </w:p>
        </w:tc>
        <w:tc>
          <w:tcPr>
            <w:tcW w:w="5670" w:type="dxa"/>
          </w:tcPr>
          <w:p w14:paraId="25F375C5" w14:textId="56B7F370" w:rsidR="00354B98" w:rsidRPr="00354B98" w:rsidRDefault="00291C11" w:rsidP="00354B98">
            <w:pPr>
              <w:overflowPunct w:val="0"/>
              <w:autoSpaceDE w:val="0"/>
              <w:autoSpaceDN w:val="0"/>
              <w:adjustRightInd w:val="0"/>
              <w:spacing w:line="240" w:lineRule="auto"/>
              <w:textAlignment w:val="baseline"/>
              <w:rPr>
                <w:i/>
                <w:iCs/>
              </w:rPr>
            </w:pPr>
            <w:hyperlink r:id="rId28" w:history="1">
              <w:r>
                <w:rPr>
                  <w:i/>
                  <w:color w:val="0000FF"/>
                  <w:u w:val="single"/>
                </w:rPr>
                <w:t>Bartek.</w:t>
              </w:r>
              <w:r w:rsidR="00C53C36">
                <w:rPr>
                  <w:i/>
                  <w:color w:val="0000FF"/>
                  <w:u w:val="single"/>
                </w:rPr>
                <w:t>BEDNAROWICZ</w:t>
              </w:r>
              <w:r>
                <w:rPr>
                  <w:i/>
                  <w:color w:val="0000FF"/>
                  <w:u w:val="single"/>
                </w:rPr>
                <w:t xml:space="preserve">@eesc.europa.eu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43538579" w:rsidR="005D43B9" w:rsidRPr="005D43B9" w:rsidRDefault="00291C11"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Pr>
            <w:b/>
            <w:i/>
            <w:color w:val="0000FF"/>
            <w:sz w:val="28"/>
            <w:u w:val="single"/>
          </w:rPr>
          <w:t>Competitività dell'UE e imprenditorialità giovanile</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5D43B9" w14:paraId="2FF33FAA" w14:textId="77777777" w:rsidTr="004C6742">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Relatore</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663"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Giuseppe GUERINI (Organizzazioni della società civile - IT)</w:t>
            </w:r>
          </w:p>
        </w:tc>
      </w:tr>
      <w:tr w:rsidR="005D43B9" w:rsidRPr="005D43B9" w14:paraId="118E6E00" w14:textId="77777777" w:rsidTr="004C6742">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Riferimento</w:t>
            </w:r>
          </w:p>
        </w:tc>
        <w:tc>
          <w:tcPr>
            <w:tcW w:w="6663" w:type="dxa"/>
          </w:tcPr>
          <w:p w14:paraId="2EF0047D" w14:textId="66FB81B3" w:rsidR="004A4B18" w:rsidRDefault="005E01B5" w:rsidP="005D43B9">
            <w:pPr>
              <w:tabs>
                <w:tab w:val="center" w:pos="284"/>
              </w:tabs>
              <w:overflowPunct w:val="0"/>
              <w:autoSpaceDE w:val="0"/>
              <w:autoSpaceDN w:val="0"/>
              <w:adjustRightInd w:val="0"/>
              <w:spacing w:line="240" w:lineRule="auto"/>
              <w:ind w:left="567" w:hanging="567"/>
              <w:textAlignment w:val="baseline"/>
            </w:pPr>
            <w:r>
              <w:t>Parere esplorativo richiesto dalla presidenza cipriota del Consiglio dell'UE</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r>
              <w:t>EESC-2025-04305-00-00-AC</w:t>
            </w:r>
          </w:p>
        </w:tc>
      </w:tr>
      <w:tr w:rsidR="005D43B9" w:rsidRPr="005D43B9" w14:paraId="2A0968A0" w14:textId="77777777" w:rsidTr="004C6742">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663"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Punti principali</w:t>
      </w:r>
    </w:p>
    <w:p w14:paraId="79AD68CC" w14:textId="77777777" w:rsidR="005D43B9" w:rsidRPr="005D43B9" w:rsidRDefault="005D43B9" w:rsidP="005D43B9">
      <w:pPr>
        <w:spacing w:before="100" w:beforeAutospacing="1" w:after="100" w:afterAutospacing="1" w:line="240" w:lineRule="auto"/>
        <w:rPr>
          <w:sz w:val="24"/>
          <w:szCs w:val="24"/>
        </w:rPr>
      </w:pPr>
      <w:r w:rsidRPr="00C53C36">
        <w:rPr>
          <w:szCs w:val="20"/>
        </w:rPr>
        <w:t>Il CESE:</w:t>
      </w:r>
    </w:p>
    <w:p w14:paraId="0C9A4C87" w14:textId="77777777" w:rsidR="005D43B9" w:rsidRPr="005D43B9" w:rsidRDefault="005D43B9" w:rsidP="00C53C36">
      <w:pPr>
        <w:numPr>
          <w:ilvl w:val="0"/>
          <w:numId w:val="25"/>
        </w:numPr>
        <w:overflowPunct w:val="0"/>
        <w:autoSpaceDE w:val="0"/>
        <w:autoSpaceDN w:val="0"/>
        <w:adjustRightInd w:val="0"/>
        <w:ind w:left="709" w:hanging="425"/>
        <w:textAlignment w:val="baseline"/>
        <w:outlineLvl w:val="1"/>
        <w:rPr>
          <w:szCs w:val="20"/>
        </w:rPr>
      </w:pPr>
      <w:bookmarkStart w:id="10" w:name="_Toc228805424"/>
      <w:r>
        <w:t>chiede una strategia globale e coordinata dell'UE e degli Stati membri volta a fornire un pacchetto integrato di sostegno per i giovani imprenditori, che combini finanziamenti accessibili, formazione su misura, servizi di mentoring, coaching, programmi di incubazione d'impresa ed ecosistemi locali forti per massimizzare la creazione e la sostenibilità delle imprese;</w:t>
      </w:r>
      <w:bookmarkEnd w:id="10"/>
    </w:p>
    <w:p w14:paraId="1676989C" w14:textId="77777777" w:rsidR="005D43B9" w:rsidRPr="005D43B9" w:rsidRDefault="005D43B9" w:rsidP="00C53C36">
      <w:pPr>
        <w:numPr>
          <w:ilvl w:val="0"/>
          <w:numId w:val="25"/>
        </w:numPr>
        <w:overflowPunct w:val="0"/>
        <w:autoSpaceDE w:val="0"/>
        <w:autoSpaceDN w:val="0"/>
        <w:adjustRightInd w:val="0"/>
        <w:ind w:left="709" w:hanging="425"/>
        <w:textAlignment w:val="baseline"/>
        <w:outlineLvl w:val="1"/>
        <w:rPr>
          <w:szCs w:val="20"/>
        </w:rPr>
      </w:pPr>
      <w:bookmarkStart w:id="11" w:name="_Toc228805425"/>
      <w:r>
        <w:t>chiede un cambio di passo nell'accesso ai finanziamenti ampliando gli strumenti di finanziamento su misura per i giovani al di là dei prestiti bancari tradizionali, ad esempio tramite la microfinanza, strumenti di capitalizzazione alternativi e un sostegno mirato alle imprese dell'economia sociale e ad altri modelli orientati all'impatto;</w:t>
      </w:r>
      <w:bookmarkEnd w:id="11"/>
    </w:p>
    <w:p w14:paraId="5EC949AC" w14:textId="77777777" w:rsidR="005D43B9" w:rsidRPr="005D43B9" w:rsidRDefault="005D43B9" w:rsidP="00C53C36">
      <w:pPr>
        <w:numPr>
          <w:ilvl w:val="0"/>
          <w:numId w:val="25"/>
        </w:numPr>
        <w:overflowPunct w:val="0"/>
        <w:autoSpaceDE w:val="0"/>
        <w:autoSpaceDN w:val="0"/>
        <w:adjustRightInd w:val="0"/>
        <w:ind w:left="709" w:hanging="425"/>
        <w:textAlignment w:val="baseline"/>
        <w:outlineLvl w:val="1"/>
        <w:rPr>
          <w:szCs w:val="20"/>
        </w:rPr>
      </w:pPr>
      <w:bookmarkStart w:id="12" w:name="_Toc228805426"/>
      <w:r>
        <w:t>sollecita una decisa semplificazione dei quadri amministrativi e normativi a livello dell'UE, nazionale e locale per ridurre la burocrazia, abbassare i costi di conformità e creare un ambiente stabile e favorevole ai giovani imprenditori;</w:t>
      </w:r>
      <w:bookmarkEnd w:id="12"/>
    </w:p>
    <w:p w14:paraId="6B1C43BE" w14:textId="77777777" w:rsidR="005D43B9" w:rsidRPr="005D43B9" w:rsidRDefault="005D43B9" w:rsidP="00C53C36">
      <w:pPr>
        <w:numPr>
          <w:ilvl w:val="0"/>
          <w:numId w:val="25"/>
        </w:numPr>
        <w:overflowPunct w:val="0"/>
        <w:autoSpaceDE w:val="0"/>
        <w:autoSpaceDN w:val="0"/>
        <w:adjustRightInd w:val="0"/>
        <w:ind w:left="709" w:hanging="425"/>
        <w:textAlignment w:val="baseline"/>
        <w:outlineLvl w:val="1"/>
        <w:rPr>
          <w:szCs w:val="20"/>
        </w:rPr>
      </w:pPr>
      <w:bookmarkStart w:id="13" w:name="_Toc228805427"/>
      <w:r>
        <w:t>raccomanda di integrare l'educazione all'imprenditorialità, l'alfabetizzazione finanziaria e lo spirito imprenditoriale in tutti i sistemi di istruzione e formazione, prevedendo in particolare percorsi professionali e duali e rafforzando nel contempo le competenze digitali e avanzate, compresa l'IA, per preparare i giovani ai mercati futuri;</w:t>
      </w:r>
      <w:bookmarkEnd w:id="13"/>
    </w:p>
    <w:p w14:paraId="365FBE52" w14:textId="77777777" w:rsidR="005D43B9" w:rsidRPr="005D43B9" w:rsidRDefault="005D43B9" w:rsidP="00C53C36">
      <w:pPr>
        <w:numPr>
          <w:ilvl w:val="0"/>
          <w:numId w:val="25"/>
        </w:numPr>
        <w:overflowPunct w:val="0"/>
        <w:autoSpaceDE w:val="0"/>
        <w:autoSpaceDN w:val="0"/>
        <w:adjustRightInd w:val="0"/>
        <w:ind w:left="709" w:hanging="425"/>
        <w:textAlignment w:val="baseline"/>
        <w:outlineLvl w:val="1"/>
        <w:rPr>
          <w:szCs w:val="20"/>
        </w:rPr>
      </w:pPr>
      <w:bookmarkStart w:id="14" w:name="_Toc228805428"/>
      <w:r>
        <w:t>chiede ecosistemi di sostegno più forti attraverso programmi di mentoring e di sponsorizzazione nonché opportunità di creazione di reti e di internazionalizzazione, compresi i programmi di mobilità e l'accesso ai mercati transfrontalieri, al fine di aumentare l'innovazione, la scalabilità e la competitività;</w:t>
      </w:r>
      <w:bookmarkEnd w:id="14"/>
    </w:p>
    <w:p w14:paraId="121511A7" w14:textId="77777777" w:rsidR="005D43B9" w:rsidRPr="005D43B9" w:rsidRDefault="005D43B9" w:rsidP="00C53C36">
      <w:pPr>
        <w:numPr>
          <w:ilvl w:val="0"/>
          <w:numId w:val="25"/>
        </w:numPr>
        <w:overflowPunct w:val="0"/>
        <w:autoSpaceDE w:val="0"/>
        <w:autoSpaceDN w:val="0"/>
        <w:adjustRightInd w:val="0"/>
        <w:ind w:left="709" w:hanging="425"/>
        <w:textAlignment w:val="baseline"/>
        <w:outlineLvl w:val="1"/>
        <w:rPr>
          <w:szCs w:val="20"/>
        </w:rPr>
      </w:pPr>
      <w:bookmarkStart w:id="15" w:name="_Toc228805429"/>
      <w:r>
        <w:t>sollecita politiche inclusive e sostenibili in materia di imprenditorialità che colmino i divari per i gruppi sottorappresentati, promuovano una cultura della "seconda opportunità", garantiscano un'adeguata protezione sociale e rendano l'imprenditorialità giovanile uno strumento volontario ma strategico per creare mercati del lavoro resilienti e conseguire una competitività a lungo termine dell'UE.</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58"/>
      </w:tblGrid>
      <w:tr w:rsidR="005D43B9" w:rsidRPr="005D43B9" w14:paraId="3AEDDC10" w14:textId="77777777" w:rsidTr="00C53C36">
        <w:tc>
          <w:tcPr>
            <w:tcW w:w="1276" w:type="dxa"/>
          </w:tcPr>
          <w:p w14:paraId="0448BC47" w14:textId="77777777" w:rsidR="005D43B9" w:rsidRPr="00C53C36" w:rsidRDefault="005D43B9" w:rsidP="005D43B9">
            <w:pPr>
              <w:overflowPunct w:val="0"/>
              <w:autoSpaceDE w:val="0"/>
              <w:autoSpaceDN w:val="0"/>
              <w:adjustRightInd w:val="0"/>
              <w:textAlignment w:val="baseline"/>
              <w:rPr>
                <w:b/>
                <w:bCs/>
                <w:i/>
                <w:iCs/>
              </w:rPr>
            </w:pPr>
            <w:r w:rsidRPr="00C53C36">
              <w:rPr>
                <w:b/>
                <w:bCs/>
                <w:i/>
              </w:rPr>
              <w:t>Contatto</w:t>
            </w:r>
          </w:p>
        </w:tc>
        <w:tc>
          <w:tcPr>
            <w:tcW w:w="8358" w:type="dxa"/>
          </w:tcPr>
          <w:p w14:paraId="756B92DB" w14:textId="77777777" w:rsidR="005D43B9" w:rsidRPr="005D43B9" w:rsidRDefault="005D43B9" w:rsidP="005D43B9">
            <w:pPr>
              <w:overflowPunct w:val="0"/>
              <w:autoSpaceDE w:val="0"/>
              <w:autoSpaceDN w:val="0"/>
              <w:adjustRightInd w:val="0"/>
              <w:textAlignment w:val="baseline"/>
              <w:rPr>
                <w:i/>
                <w:iCs/>
              </w:rPr>
            </w:pPr>
            <w:r>
              <w:rPr>
                <w:i/>
              </w:rPr>
              <w:t>Bartek BEDNAROWICZ</w:t>
            </w:r>
          </w:p>
        </w:tc>
      </w:tr>
      <w:tr w:rsidR="005D43B9" w:rsidRPr="005D43B9" w14:paraId="11B3891D" w14:textId="77777777" w:rsidTr="00C53C36">
        <w:tc>
          <w:tcPr>
            <w:tcW w:w="1276"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Tel.</w:t>
            </w:r>
          </w:p>
        </w:tc>
        <w:tc>
          <w:tcPr>
            <w:tcW w:w="8358" w:type="dxa"/>
          </w:tcPr>
          <w:p w14:paraId="346E976A" w14:textId="77777777" w:rsidR="005D43B9" w:rsidRPr="005D43B9" w:rsidRDefault="005D43B9" w:rsidP="005D43B9">
            <w:pPr>
              <w:overflowPunct w:val="0"/>
              <w:autoSpaceDE w:val="0"/>
              <w:autoSpaceDN w:val="0"/>
              <w:adjustRightInd w:val="0"/>
              <w:textAlignment w:val="baseline"/>
              <w:rPr>
                <w:i/>
                <w:iCs/>
              </w:rPr>
            </w:pPr>
            <w:r>
              <w:rPr>
                <w:i/>
              </w:rPr>
              <w:t>+32 25469229</w:t>
            </w:r>
          </w:p>
        </w:tc>
      </w:tr>
      <w:tr w:rsidR="005D43B9" w:rsidRPr="005D43B9" w14:paraId="74A431CF" w14:textId="77777777" w:rsidTr="00C53C36">
        <w:tc>
          <w:tcPr>
            <w:tcW w:w="1276" w:type="dxa"/>
          </w:tcPr>
          <w:p w14:paraId="2F9FDB94" w14:textId="77777777" w:rsidR="005D43B9" w:rsidRPr="005D43B9" w:rsidRDefault="005D43B9" w:rsidP="005D43B9">
            <w:pPr>
              <w:overflowPunct w:val="0"/>
              <w:autoSpaceDE w:val="0"/>
              <w:autoSpaceDN w:val="0"/>
              <w:adjustRightInd w:val="0"/>
              <w:textAlignment w:val="baseline"/>
              <w:rPr>
                <w:i/>
                <w:iCs/>
              </w:rPr>
            </w:pPr>
            <w:r>
              <w:rPr>
                <w:i/>
              </w:rPr>
              <w:t>E-mail</w:t>
            </w:r>
          </w:p>
        </w:tc>
        <w:tc>
          <w:tcPr>
            <w:tcW w:w="8358" w:type="dxa"/>
          </w:tcPr>
          <w:p w14:paraId="22B77F87" w14:textId="0B35F0A6" w:rsidR="005D43B9" w:rsidRPr="005D43B9" w:rsidRDefault="00291C11" w:rsidP="005D43B9">
            <w:pPr>
              <w:overflowPunct w:val="0"/>
              <w:autoSpaceDE w:val="0"/>
              <w:autoSpaceDN w:val="0"/>
              <w:adjustRightInd w:val="0"/>
              <w:textAlignment w:val="baseline"/>
              <w:rPr>
                <w:i/>
                <w:iCs/>
              </w:rPr>
            </w:pPr>
            <w:hyperlink r:id="rId30" w:history="1">
              <w:r>
                <w:rPr>
                  <w:i/>
                  <w:color w:val="0000FF"/>
                  <w:u w:val="single"/>
                </w:rPr>
                <w:t>Bartek.</w:t>
              </w:r>
              <w:r w:rsidR="00C53C36">
                <w:rPr>
                  <w:i/>
                  <w:color w:val="0000FF"/>
                  <w:u w:val="single"/>
                </w:rPr>
                <w:t>BEDNAROWICZ</w:t>
              </w:r>
              <w:r>
                <w:rPr>
                  <w:i/>
                  <w:color w:val="0000FF"/>
                  <w:u w:val="single"/>
                </w:rPr>
                <w:t>@eesc.europa.eu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268817D3" w:rsidR="001A42F8" w:rsidRPr="001A42F8" w:rsidRDefault="00291C11"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Pr>
            <w:b/>
            <w:i/>
            <w:color w:val="0000FF"/>
            <w:sz w:val="28"/>
            <w:u w:val="single"/>
          </w:rPr>
          <w:t>Strategia dell'UE in materia di droghe</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1A42F8" w14:paraId="662136A7" w14:textId="77777777" w:rsidTr="004C6742">
        <w:tc>
          <w:tcPr>
            <w:tcW w:w="1701" w:type="dxa"/>
          </w:tcPr>
          <w:p w14:paraId="639EA8AB"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Relatore</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4074A82C" w14:textId="77777777" w:rsidR="001A42F8" w:rsidRPr="001A42F8" w:rsidRDefault="001A42F8" w:rsidP="004C6742">
            <w:pPr>
              <w:overflowPunct w:val="0"/>
              <w:autoSpaceDE w:val="0"/>
              <w:autoSpaceDN w:val="0"/>
              <w:adjustRightInd w:val="0"/>
              <w:ind w:left="567" w:hanging="567"/>
              <w:jc w:val="left"/>
              <w:textAlignment w:val="baseline"/>
            </w:pPr>
          </w:p>
          <w:p w14:paraId="56646FC8" w14:textId="63FDEAFD" w:rsidR="001A42F8" w:rsidRPr="001A42F8" w:rsidRDefault="001A42F8" w:rsidP="001A42F8">
            <w:pPr>
              <w:overflowPunct w:val="0"/>
              <w:autoSpaceDE w:val="0"/>
              <w:autoSpaceDN w:val="0"/>
              <w:adjustRightInd w:val="0"/>
              <w:ind w:left="567" w:hanging="567"/>
              <w:textAlignment w:val="baseline"/>
            </w:pPr>
            <w:r>
              <w:t>Diego DUTTO (Organizzazioni della società civile - IT)</w:t>
            </w:r>
          </w:p>
        </w:tc>
      </w:tr>
      <w:tr w:rsidR="001A42F8" w:rsidRPr="001A42F8" w14:paraId="090EED85" w14:textId="77777777" w:rsidTr="004C6742">
        <w:tc>
          <w:tcPr>
            <w:tcW w:w="1701"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Riferimento</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r>
              <w:t>COM(2025)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pPr>
            <w:r>
              <w:t>COM(2025) 744 final</w:t>
            </w:r>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r>
              <w:t>EESC-2026-00238-00-00-AC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rPr>
      </w:pPr>
      <w:r>
        <w:rPr>
          <w:b/>
        </w:rPr>
        <w:t>Punti principali</w:t>
      </w:r>
    </w:p>
    <w:p w14:paraId="50E3F48E" w14:textId="77777777" w:rsidR="001A42F8" w:rsidRPr="004C6742" w:rsidRDefault="001A42F8" w:rsidP="001A42F8">
      <w:pPr>
        <w:spacing w:before="100" w:beforeAutospacing="1" w:after="100" w:afterAutospacing="1" w:line="240" w:lineRule="auto"/>
      </w:pPr>
      <w:r>
        <w:t>Il CESE:</w:t>
      </w:r>
    </w:p>
    <w:p w14:paraId="6436B95C" w14:textId="77777777" w:rsidR="001A42F8" w:rsidRPr="001A42F8" w:rsidRDefault="001A42F8" w:rsidP="00C53C36">
      <w:pPr>
        <w:numPr>
          <w:ilvl w:val="0"/>
          <w:numId w:val="26"/>
        </w:numPr>
        <w:tabs>
          <w:tab w:val="clear" w:pos="720"/>
          <w:tab w:val="num" w:pos="709"/>
        </w:tabs>
        <w:overflowPunct w:val="0"/>
        <w:autoSpaceDE w:val="0"/>
        <w:autoSpaceDN w:val="0"/>
        <w:adjustRightInd w:val="0"/>
        <w:ind w:left="709" w:hanging="425"/>
        <w:textAlignment w:val="baseline"/>
      </w:pPr>
      <w:r>
        <w:t>sottolinea che l'efficacia della strategia dell'UE dipende dalla sua capacità di anticipare le tendenze. Raccomanda alla Commissione di non limitarsi a indicatori reattivi (sequestri di droga e decessi), ma di rendere strutturale e obbligatorio il supporto a sistemi di monitoraggio standardizzati;</w:t>
      </w:r>
    </w:p>
    <w:p w14:paraId="2271E454" w14:textId="77777777" w:rsidR="001A42F8" w:rsidRPr="001A42F8" w:rsidRDefault="001A42F8" w:rsidP="00C53C36">
      <w:pPr>
        <w:numPr>
          <w:ilvl w:val="0"/>
          <w:numId w:val="26"/>
        </w:numPr>
        <w:tabs>
          <w:tab w:val="clear" w:pos="720"/>
          <w:tab w:val="num" w:pos="709"/>
        </w:tabs>
        <w:overflowPunct w:val="0"/>
        <w:autoSpaceDE w:val="0"/>
        <w:autoSpaceDN w:val="0"/>
        <w:adjustRightInd w:val="0"/>
        <w:ind w:left="709" w:hanging="425"/>
        <w:textAlignment w:val="baseline"/>
      </w:pPr>
      <w:r>
        <w:t>osserva con preoccupazione che la strategia è parzialmente sbilanciata sulle sostanze illegali tradizionali, mentre è in atto una transizione delle giovani generazioni verso l'uso improprio (off-label) di farmaci legali. Si raccomandano l'introduzione di linee guida europee per il monitoraggio della prescrittibilità farmaceutica e l'avvio di campagne di sensibilizzazione specifiche sul rischio di dipendenza da farmaci psicoattivi legali;</w:t>
      </w:r>
    </w:p>
    <w:p w14:paraId="06511F32" w14:textId="77777777" w:rsidR="001A42F8" w:rsidRPr="001A42F8" w:rsidRDefault="001A42F8" w:rsidP="00C53C36">
      <w:pPr>
        <w:numPr>
          <w:ilvl w:val="0"/>
          <w:numId w:val="26"/>
        </w:numPr>
        <w:tabs>
          <w:tab w:val="clear" w:pos="720"/>
          <w:tab w:val="num" w:pos="709"/>
        </w:tabs>
        <w:overflowPunct w:val="0"/>
        <w:autoSpaceDE w:val="0"/>
        <w:autoSpaceDN w:val="0"/>
        <w:adjustRightInd w:val="0"/>
        <w:ind w:left="709" w:hanging="425"/>
        <w:textAlignment w:val="baseline"/>
      </w:pPr>
      <w:r>
        <w:t>raccomanda un monitoraggio rigoroso della diffusione degli oppioidi antidolorifici. È necessario evitare che una fetta di popolazione apparentemente non a rischio sviluppi dipendenze attraverso il canale legale;</w:t>
      </w:r>
    </w:p>
    <w:p w14:paraId="712668E0" w14:textId="77777777" w:rsidR="001A42F8" w:rsidRPr="001A42F8" w:rsidRDefault="001A42F8" w:rsidP="00C53C36">
      <w:pPr>
        <w:numPr>
          <w:ilvl w:val="0"/>
          <w:numId w:val="26"/>
        </w:numPr>
        <w:tabs>
          <w:tab w:val="clear" w:pos="720"/>
          <w:tab w:val="num" w:pos="709"/>
        </w:tabs>
        <w:overflowPunct w:val="0"/>
        <w:autoSpaceDE w:val="0"/>
        <w:autoSpaceDN w:val="0"/>
        <w:adjustRightInd w:val="0"/>
        <w:ind w:left="709" w:hanging="425"/>
        <w:textAlignment w:val="baseline"/>
      </w:pPr>
      <w:r>
        <w:t>raccomanda di sviluppare protocolli europei per l'aggancio precoce (</w:t>
      </w:r>
      <w:r w:rsidRPr="00741EC1">
        <w:rPr>
          <w:i/>
          <w:iCs/>
        </w:rPr>
        <w:t>early intervention</w:t>
      </w:r>
      <w:r>
        <w:t>), che sostengano i servizi socio-sanitari nell'intercettare i nuovi utilizzatori nelle fasi iniziali del consumo;</w:t>
      </w:r>
    </w:p>
    <w:p w14:paraId="69923D8D" w14:textId="77777777" w:rsidR="001A42F8" w:rsidRPr="001A42F8" w:rsidRDefault="001A42F8" w:rsidP="00C53C36">
      <w:pPr>
        <w:numPr>
          <w:ilvl w:val="0"/>
          <w:numId w:val="26"/>
        </w:numPr>
        <w:tabs>
          <w:tab w:val="clear" w:pos="720"/>
          <w:tab w:val="num" w:pos="709"/>
        </w:tabs>
        <w:overflowPunct w:val="0"/>
        <w:autoSpaceDE w:val="0"/>
        <w:autoSpaceDN w:val="0"/>
        <w:adjustRightInd w:val="0"/>
        <w:ind w:left="709" w:hanging="425"/>
        <w:textAlignment w:val="baseline"/>
      </w:pPr>
      <w:r>
        <w:t>raccomanda la creazione di indicatori chiave di prestazione (ICP) specifici per valutare l'efficacia delle politiche di prevenzione, misurando il successo non solo tramite i sequestri di droga, ma anche attraverso la riduzione dell'incidenza delle nuove dipendenze e l'efficacia dei percorsi di reinserimento;</w:t>
      </w:r>
    </w:p>
    <w:p w14:paraId="2A5044E2" w14:textId="77777777" w:rsidR="001A42F8" w:rsidRPr="001A42F8" w:rsidRDefault="001A42F8" w:rsidP="00C53C36">
      <w:pPr>
        <w:numPr>
          <w:ilvl w:val="0"/>
          <w:numId w:val="26"/>
        </w:numPr>
        <w:tabs>
          <w:tab w:val="clear" w:pos="720"/>
          <w:tab w:val="num" w:pos="709"/>
        </w:tabs>
        <w:overflowPunct w:val="0"/>
        <w:autoSpaceDE w:val="0"/>
        <w:autoSpaceDN w:val="0"/>
        <w:adjustRightInd w:val="0"/>
        <w:ind w:left="709" w:hanging="425"/>
        <w:textAlignment w:val="baseline"/>
      </w:pPr>
      <w:r>
        <w:t>ribadisce che la lotta al narcotraffico non può essere disgiunta da una solida politica di salute pubblica;</w:t>
      </w:r>
    </w:p>
    <w:p w14:paraId="646F52D6" w14:textId="77777777" w:rsidR="001A42F8" w:rsidRPr="001A42F8" w:rsidRDefault="001A42F8" w:rsidP="00C53C36">
      <w:pPr>
        <w:numPr>
          <w:ilvl w:val="0"/>
          <w:numId w:val="26"/>
        </w:numPr>
        <w:tabs>
          <w:tab w:val="clear" w:pos="720"/>
          <w:tab w:val="num" w:pos="709"/>
        </w:tabs>
        <w:overflowPunct w:val="0"/>
        <w:autoSpaceDE w:val="0"/>
        <w:autoSpaceDN w:val="0"/>
        <w:adjustRightInd w:val="0"/>
        <w:ind w:left="709" w:hanging="425"/>
        <w:textAlignment w:val="baseline"/>
      </w:pPr>
      <w:r>
        <w:t>rileva che il piano d'azione si concentra quasi esclusivamente sulla messa in sicurezza delle infrastrutture fisiche (porti, centri logistici) e digitali, trascurando la dimensione comunitaria;</w:t>
      </w:r>
    </w:p>
    <w:p w14:paraId="1DC9D98D" w14:textId="77777777" w:rsidR="001A42F8" w:rsidRPr="001A42F8" w:rsidRDefault="001A42F8" w:rsidP="00C53C36">
      <w:pPr>
        <w:numPr>
          <w:ilvl w:val="0"/>
          <w:numId w:val="26"/>
        </w:numPr>
        <w:tabs>
          <w:tab w:val="clear" w:pos="720"/>
          <w:tab w:val="num" w:pos="709"/>
        </w:tabs>
        <w:overflowPunct w:val="0"/>
        <w:autoSpaceDE w:val="0"/>
        <w:autoSpaceDN w:val="0"/>
        <w:adjustRightInd w:val="0"/>
        <w:ind w:left="709" w:hanging="425"/>
        <w:textAlignment w:val="baseline"/>
      </w:pPr>
      <w:r>
        <w:t>osserva che il piano d'azione non fornisce indicazioni sufficienti agli Stati membri sulle politiche pubbliche necessarie per ridurre la diffusione dei consumi.</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1A42F8" w:rsidRPr="001A42F8" w14:paraId="6F6F0875" w14:textId="77777777" w:rsidTr="002E7EFB">
        <w:tc>
          <w:tcPr>
            <w:tcW w:w="1210"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Pr>
                <w:b/>
                <w:i/>
              </w:rPr>
              <w:t>Contatto</w:t>
            </w:r>
          </w:p>
        </w:tc>
        <w:tc>
          <w:tcPr>
            <w:tcW w:w="4493" w:type="dxa"/>
          </w:tcPr>
          <w:p w14:paraId="51601E16" w14:textId="2E875FA3" w:rsidR="001A42F8" w:rsidRPr="001A42F8" w:rsidRDefault="001A42F8" w:rsidP="001A42F8">
            <w:pPr>
              <w:overflowPunct w:val="0"/>
              <w:autoSpaceDE w:val="0"/>
              <w:autoSpaceDN w:val="0"/>
              <w:adjustRightInd w:val="0"/>
              <w:spacing w:line="240" w:lineRule="auto"/>
              <w:ind w:hanging="12"/>
              <w:textAlignment w:val="baseline"/>
              <w:rPr>
                <w:i/>
              </w:rPr>
            </w:pPr>
            <w:r>
              <w:rPr>
                <w:i/>
              </w:rPr>
              <w:t xml:space="preserve">Gemma </w:t>
            </w:r>
            <w:r w:rsidR="00C53C36">
              <w:rPr>
                <w:i/>
              </w:rPr>
              <w:t>AMRAN</w:t>
            </w:r>
          </w:p>
        </w:tc>
      </w:tr>
      <w:tr w:rsidR="001A42F8" w:rsidRPr="001A42F8" w14:paraId="6CBEA581" w14:textId="77777777" w:rsidTr="002E7EFB">
        <w:tc>
          <w:tcPr>
            <w:tcW w:w="1210"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Pr>
                <w:i/>
              </w:rPr>
              <w:t>Tel.</w:t>
            </w:r>
          </w:p>
        </w:tc>
        <w:tc>
          <w:tcPr>
            <w:tcW w:w="4493"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Pr>
                <w:i/>
              </w:rPr>
              <w:t>+32 25469</w:t>
            </w:r>
            <w:r>
              <w:t>415</w:t>
            </w:r>
          </w:p>
        </w:tc>
      </w:tr>
      <w:tr w:rsidR="001A42F8" w:rsidRPr="001A42F8" w14:paraId="0CEF3057" w14:textId="77777777" w:rsidTr="002E7EFB">
        <w:tc>
          <w:tcPr>
            <w:tcW w:w="1210"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Pr>
                <w:i/>
              </w:rPr>
              <w:t>E-mail</w:t>
            </w:r>
          </w:p>
        </w:tc>
        <w:tc>
          <w:tcPr>
            <w:tcW w:w="4493" w:type="dxa"/>
          </w:tcPr>
          <w:p w14:paraId="7CF2E2AE" w14:textId="579F2EA4" w:rsidR="001A42F8" w:rsidRPr="001A42F8" w:rsidRDefault="00291C11" w:rsidP="001A42F8">
            <w:pPr>
              <w:overflowPunct w:val="0"/>
              <w:autoSpaceDE w:val="0"/>
              <w:autoSpaceDN w:val="0"/>
              <w:adjustRightInd w:val="0"/>
              <w:spacing w:line="240" w:lineRule="auto"/>
              <w:textAlignment w:val="baseline"/>
              <w:rPr>
                <w:i/>
                <w:iCs/>
              </w:rPr>
            </w:pPr>
            <w:hyperlink r:id="rId32" w:history="1">
              <w:r>
                <w:rPr>
                  <w:i/>
                  <w:color w:val="0000FF"/>
                  <w:u w:val="single"/>
                </w:rPr>
                <w:t>Gemma.</w:t>
              </w:r>
              <w:r w:rsidR="00C53C36">
                <w:rPr>
                  <w:i/>
                  <w:color w:val="0000FF"/>
                  <w:u w:val="single"/>
                </w:rPr>
                <w:t>AMRAN</w:t>
              </w:r>
              <w:r>
                <w:rPr>
                  <w:i/>
                  <w:color w:val="0000FF"/>
                  <w:u w:val="single"/>
                </w:rPr>
                <w:t>@eesc.europa.eu</w:t>
              </w:r>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6D0FE56E" w:rsidR="00C53E67" w:rsidRPr="00C53E67" w:rsidRDefault="00A067F3" w:rsidP="004C6742">
      <w:pPr>
        <w:widowControl w:val="0"/>
        <w:numPr>
          <w:ilvl w:val="0"/>
          <w:numId w:val="4"/>
        </w:numPr>
        <w:overflowPunct w:val="0"/>
        <w:autoSpaceDE w:val="0"/>
        <w:autoSpaceDN w:val="0"/>
        <w:adjustRightInd w:val="0"/>
        <w:ind w:hanging="567"/>
        <w:textAlignment w:val="baseline"/>
        <w:rPr>
          <w:b/>
        </w:rPr>
      </w:pPr>
      <w:hyperlink r:id="rId33" w:history="1">
        <w:r>
          <w:rPr>
            <w:b/>
            <w:i/>
            <w:color w:val="0000FF"/>
            <w:sz w:val="28"/>
            <w:u w:val="single"/>
          </w:rPr>
          <w:t>Una bussola culturale per l'Europa</w:t>
        </w:r>
      </w:hyperlink>
    </w:p>
    <w:p w14:paraId="4A204B30" w14:textId="77777777" w:rsidR="001D292C" w:rsidRPr="00C53E67" w:rsidRDefault="001D292C" w:rsidP="00C53E67">
      <w:pPr>
        <w:widowControl w:val="0"/>
        <w:overflowPunct w:val="0"/>
        <w:autoSpaceDE w:val="0"/>
        <w:autoSpaceDN w:val="0"/>
        <w:adjustRightInd w:val="0"/>
        <w:ind w:left="266"/>
        <w:textAlignment w:val="baseline"/>
        <w:rPr>
          <w:b/>
          <w:sz w:val="18"/>
          <w:szCs w:val="18"/>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9"/>
      </w:tblGrid>
      <w:tr w:rsidR="00C53E67" w:rsidRPr="00C53E67" w14:paraId="2091F211" w14:textId="77777777" w:rsidTr="002E7EFB">
        <w:tc>
          <w:tcPr>
            <w:tcW w:w="1321" w:type="pct"/>
          </w:tcPr>
          <w:p w14:paraId="10C92D44" w14:textId="77777777" w:rsidR="00C53E67" w:rsidRPr="00C53E67" w:rsidRDefault="00C53E67" w:rsidP="00C53E67">
            <w:pPr>
              <w:overflowPunct w:val="0"/>
              <w:autoSpaceDE w:val="0"/>
              <w:autoSpaceDN w:val="0"/>
              <w:adjustRightInd w:val="0"/>
              <w:ind w:left="-113"/>
              <w:textAlignment w:val="baseline"/>
              <w:rPr>
                <w:b/>
              </w:rPr>
            </w:pPr>
            <w:r>
              <w:rPr>
                <w:b/>
              </w:rPr>
              <w:t xml:space="preserve">Relatore </w:t>
            </w:r>
          </w:p>
        </w:tc>
        <w:tc>
          <w:tcPr>
            <w:tcW w:w="3679" w:type="pct"/>
          </w:tcPr>
          <w:p w14:paraId="10DA44E6" w14:textId="77777777" w:rsidR="00C53E67" w:rsidRPr="00C53E67" w:rsidRDefault="00C53E67" w:rsidP="00C53E67">
            <w:pPr>
              <w:overflowPunct w:val="0"/>
              <w:autoSpaceDE w:val="0"/>
              <w:autoSpaceDN w:val="0"/>
              <w:adjustRightInd w:val="0"/>
              <w:ind w:left="-113"/>
              <w:textAlignment w:val="baseline"/>
            </w:pPr>
            <w:r>
              <w:t>Luca JAHIER (Organizzazioni della società civile - IT)</w:t>
            </w:r>
          </w:p>
        </w:tc>
      </w:tr>
      <w:tr w:rsidR="00C53E67" w:rsidRPr="00C53E67" w14:paraId="12DAA263" w14:textId="77777777" w:rsidTr="002E7EFB">
        <w:tc>
          <w:tcPr>
            <w:tcW w:w="5000" w:type="pct"/>
            <w:gridSpan w:val="2"/>
          </w:tcPr>
          <w:p w14:paraId="1A0026BB" w14:textId="77777777" w:rsidR="00C53E67" w:rsidRPr="00C53E67" w:rsidRDefault="00C53E67" w:rsidP="00C53E67">
            <w:pPr>
              <w:overflowPunct w:val="0"/>
              <w:autoSpaceDE w:val="0"/>
              <w:autoSpaceDN w:val="0"/>
              <w:adjustRightInd w:val="0"/>
              <w:spacing w:line="160" w:lineRule="exact"/>
              <w:ind w:left="-113"/>
              <w:textAlignment w:val="baseline"/>
              <w:rPr>
                <w:sz w:val="14"/>
                <w:szCs w:val="14"/>
              </w:rPr>
            </w:pPr>
          </w:p>
        </w:tc>
      </w:tr>
      <w:tr w:rsidR="00C53E67" w:rsidRPr="00C53E67" w14:paraId="1917B1A6" w14:textId="77777777" w:rsidTr="002E7EFB">
        <w:tc>
          <w:tcPr>
            <w:tcW w:w="1321" w:type="pct"/>
          </w:tcPr>
          <w:p w14:paraId="68946A42" w14:textId="77777777" w:rsidR="00C53E67" w:rsidRPr="00C53E67" w:rsidRDefault="00C53E67" w:rsidP="00C53E67">
            <w:pPr>
              <w:overflowPunct w:val="0"/>
              <w:autoSpaceDE w:val="0"/>
              <w:autoSpaceDN w:val="0"/>
              <w:adjustRightInd w:val="0"/>
              <w:ind w:left="-113"/>
              <w:textAlignment w:val="baseline"/>
              <w:rPr>
                <w:b/>
              </w:rPr>
            </w:pPr>
            <w:r>
              <w:rPr>
                <w:b/>
              </w:rPr>
              <w:t>Riferimento</w:t>
            </w:r>
          </w:p>
        </w:tc>
        <w:tc>
          <w:tcPr>
            <w:tcW w:w="3679" w:type="pct"/>
          </w:tcPr>
          <w:p w14:paraId="3649F935" w14:textId="5EC0AA86" w:rsidR="00DE1BF7" w:rsidRDefault="00DE1BF7" w:rsidP="00C53E67">
            <w:pPr>
              <w:overflowPunct w:val="0"/>
              <w:autoSpaceDE w:val="0"/>
              <w:autoSpaceDN w:val="0"/>
              <w:adjustRightInd w:val="0"/>
              <w:ind w:left="-113"/>
              <w:textAlignment w:val="baseline"/>
            </w:pPr>
            <w:r>
              <w:t>COM(2025) 785 final</w:t>
            </w:r>
          </w:p>
          <w:p w14:paraId="72ADC23E" w14:textId="431F11BB" w:rsidR="00DE1BF7" w:rsidRDefault="00DE1BF7" w:rsidP="00C53E67">
            <w:pPr>
              <w:overflowPunct w:val="0"/>
              <w:autoSpaceDE w:val="0"/>
              <w:autoSpaceDN w:val="0"/>
              <w:adjustRightInd w:val="0"/>
              <w:ind w:left="-113"/>
              <w:textAlignment w:val="baseline"/>
            </w:pPr>
            <w:r>
              <w:t>COM(2025) 786 final</w:t>
            </w:r>
          </w:p>
          <w:p w14:paraId="20BD4BF5" w14:textId="0E4CE06A" w:rsidR="00C53E67" w:rsidRPr="00C53E67" w:rsidRDefault="00C53E67" w:rsidP="00C53E67">
            <w:pPr>
              <w:overflowPunct w:val="0"/>
              <w:autoSpaceDE w:val="0"/>
              <w:autoSpaceDN w:val="0"/>
              <w:adjustRightInd w:val="0"/>
              <w:ind w:left="-113"/>
              <w:textAlignment w:val="baseline"/>
            </w:pPr>
            <w:r>
              <w:t>EESC-2025-04241-00-00-AC</w:t>
            </w:r>
          </w:p>
        </w:tc>
      </w:tr>
    </w:tbl>
    <w:p w14:paraId="3D06F742"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8"/>
          <w:szCs w:val="18"/>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Punti principali</w:t>
      </w:r>
    </w:p>
    <w:p w14:paraId="2BEAC91B" w14:textId="77777777" w:rsidR="00C53E67" w:rsidRPr="007836E0" w:rsidRDefault="00C53E67" w:rsidP="00C53E67">
      <w:pPr>
        <w:keepNext/>
        <w:keepLines/>
        <w:tabs>
          <w:tab w:val="center" w:pos="284"/>
        </w:tabs>
        <w:overflowPunct w:val="0"/>
        <w:autoSpaceDE w:val="0"/>
        <w:autoSpaceDN w:val="0"/>
        <w:adjustRightInd w:val="0"/>
        <w:ind w:left="266" w:hanging="266"/>
        <w:textAlignment w:val="baseline"/>
        <w:rPr>
          <w:b/>
          <w:lang w:val="en-GB"/>
        </w:rPr>
      </w:pPr>
    </w:p>
    <w:p w14:paraId="6931DC56" w14:textId="77777777" w:rsidR="00C53E67" w:rsidRDefault="00C53E67" w:rsidP="00C53E67">
      <w:pPr>
        <w:overflowPunct w:val="0"/>
        <w:autoSpaceDE w:val="0"/>
        <w:autoSpaceDN w:val="0"/>
        <w:adjustRightInd w:val="0"/>
        <w:spacing w:line="240" w:lineRule="auto"/>
        <w:contextualSpacing/>
        <w:textAlignment w:val="baseline"/>
      </w:pPr>
      <w:r>
        <w:t>Il CESE:</w:t>
      </w:r>
    </w:p>
    <w:p w14:paraId="299808C0" w14:textId="77777777" w:rsidR="00C53C36" w:rsidRDefault="00C53C36" w:rsidP="00C53E67">
      <w:pPr>
        <w:overflowPunct w:val="0"/>
        <w:autoSpaceDE w:val="0"/>
        <w:autoSpaceDN w:val="0"/>
        <w:adjustRightInd w:val="0"/>
        <w:spacing w:line="240" w:lineRule="auto"/>
        <w:contextualSpacing/>
        <w:textAlignment w:val="baseline"/>
        <w:rPr>
          <w:bCs/>
          <w:iCs/>
        </w:rPr>
      </w:pPr>
    </w:p>
    <w:p w14:paraId="38DEACAE" w14:textId="77777777" w:rsidR="00C53E67" w:rsidRPr="00C53E67" w:rsidRDefault="00C53E67" w:rsidP="00C53C36">
      <w:pPr>
        <w:numPr>
          <w:ilvl w:val="0"/>
          <w:numId w:val="27"/>
        </w:numPr>
        <w:overflowPunct w:val="0"/>
        <w:autoSpaceDE w:val="0"/>
        <w:autoSpaceDN w:val="0"/>
        <w:adjustRightInd w:val="0"/>
        <w:spacing w:line="276" w:lineRule="auto"/>
        <w:ind w:left="709" w:hanging="425"/>
        <w:textAlignment w:val="baseline"/>
      </w:pPr>
      <w:r>
        <w:rPr>
          <w:b/>
          <w:bCs/>
        </w:rPr>
        <w:t>sostiene pienamente la bussola culturale per l'Europa</w:t>
      </w:r>
      <w:r>
        <w:t>, in quanto strategia trasversale pubblicata al momento opportuno per promuovere la cultura e i valori europei e garantire un settore culturale prospero;</w:t>
      </w:r>
    </w:p>
    <w:p w14:paraId="51935618"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sottolinea </w:t>
      </w:r>
      <w:r>
        <w:rPr>
          <w:b/>
        </w:rPr>
        <w:t>il ruolo della cultura per consolidare la democrazia</w:t>
      </w:r>
      <w:r>
        <w:t>, contrastare le narrazioni populiste e autoritarie e promuovere la coesione sociale, la preparazione e lo sviluppo sostenibile;</w:t>
      </w:r>
    </w:p>
    <w:p w14:paraId="1C5AAA1E"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raccomanda di </w:t>
      </w:r>
      <w:r>
        <w:rPr>
          <w:b/>
          <w:bCs/>
        </w:rPr>
        <w:t>sviluppare sinergie</w:t>
      </w:r>
      <w:r>
        <w:t xml:space="preserve"> tra la bussola culturale e iniziative quali lo scudo europeo per la democrazia, in particolare nella sfera digitale;</w:t>
      </w:r>
    </w:p>
    <w:p w14:paraId="5D3CFABE"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sottolinea la necessità di </w:t>
      </w:r>
      <w:r>
        <w:rPr>
          <w:b/>
          <w:bCs/>
        </w:rPr>
        <w:t>una strategia specifica in materia di IA per i settori culturali e creativi</w:t>
      </w:r>
      <w:r>
        <w:t>, che comprenda la protezione della proprietà dei contenuti creativi, lo sviluppo dei mercati delle licenze e orientamenti stabiliti dal regolamento sull'IA;</w:t>
      </w:r>
    </w:p>
    <w:p w14:paraId="076C2D8F"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chiede </w:t>
      </w:r>
      <w:r>
        <w:rPr>
          <w:b/>
          <w:bCs/>
        </w:rPr>
        <w:t>un sostegno finanziario robusto e trasversale nel prossimo QFP (2028-2034)</w:t>
      </w:r>
      <w:r>
        <w:t>, ad esempio destinando il 2 % del bilancio dell'UE alla cultura e garantendone l'integrazione nei principali programmi dell'UE;</w:t>
      </w:r>
    </w:p>
    <w:p w14:paraId="5C1C74F4"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chiede </w:t>
      </w:r>
      <w:r>
        <w:rPr>
          <w:b/>
          <w:bCs/>
        </w:rPr>
        <w:t>un'attuazione solida e basata sugli obiettivi della bussola culturale attraverso un piano d'azione chiaro</w:t>
      </w:r>
      <w:r>
        <w:t>, un'adeguata capacità amministrativa e la continuità politica a lungo termine;</w:t>
      </w:r>
    </w:p>
    <w:p w14:paraId="4ABFA2B6"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raccomanda </w:t>
      </w:r>
      <w:r>
        <w:rPr>
          <w:b/>
          <w:bCs/>
        </w:rPr>
        <w:t>il coinvolgimento sistematico, fin dalle prime fasi, dei portatori di interessi culturali e non culturali</w:t>
      </w:r>
      <w:r>
        <w:t>, compresi gli enti locali, le PMI e i settori culturali e creativi, al fine di rafforzare la titolarità e l'impatto;</w:t>
      </w:r>
    </w:p>
    <w:p w14:paraId="34D1F370"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chiede </w:t>
      </w:r>
      <w:r>
        <w:rPr>
          <w:b/>
          <w:bCs/>
        </w:rPr>
        <w:t>una maggiore integrazione degli attori dell'economia sociale</w:t>
      </w:r>
      <w:r>
        <w:t xml:space="preserve"> e delle iniziative culturali a livello di comunità nelle politiche pubbliche, anche mediante strumenti fiscali e finanziari adattati;</w:t>
      </w:r>
    </w:p>
    <w:p w14:paraId="7574E8ED"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rPr>
          <w:b/>
          <w:bCs/>
        </w:rPr>
        <w:t>plaude alla proposta di organizzare un "dialogo strutturato dell'UE con i portatori di interessi"</w:t>
      </w:r>
      <w:r>
        <w:t xml:space="preserve"> e si offre per il ruolo di partner chiave per facilitare gli scambi con gli attori istituzionali e settoriali;</w:t>
      </w:r>
    </w:p>
    <w:p w14:paraId="2118B2C0"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sottolinea che i settori culturali e creativi costituiscono </w:t>
      </w:r>
      <w:r>
        <w:rPr>
          <w:b/>
          <w:bCs/>
        </w:rPr>
        <w:t>un ecosistema economico strategico</w:t>
      </w:r>
      <w:r>
        <w:t xml:space="preserve"> e chiede una migliore integrazione nella bussola di settori chiave quali i (video)giochi, il cinema, la musica e la moda;</w:t>
      </w:r>
    </w:p>
    <w:p w14:paraId="4B8E43E5"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sostiene </w:t>
      </w:r>
      <w:r>
        <w:rPr>
          <w:b/>
          <w:bCs/>
        </w:rPr>
        <w:t>l'educazione culturale e lo sviluppo delle competenze</w:t>
      </w:r>
      <w:r>
        <w:t>, chiedendo un accesso inclusivo, finanziamenti dedicati e legami più forti con programmi dell'UE quali Erasmus + e la politica di coesione;</w:t>
      </w:r>
    </w:p>
    <w:p w14:paraId="2BCF815C"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rPr>
          <w:b/>
          <w:bCs/>
        </w:rPr>
        <w:t>sostiene l'elaborazione di una Carta degli artisti dell'UE</w:t>
      </w:r>
      <w:r>
        <w:t xml:space="preserve"> per garantire condizioni di lavoro eque, una maggiore protezione sociale e l'allineamento dei finanziamenti dell'UE alle norme in materia di occupazione di qualità;</w:t>
      </w:r>
    </w:p>
    <w:p w14:paraId="52A25FBE"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rPr>
          <w:sz w:val="24"/>
          <w:szCs w:val="24"/>
        </w:rPr>
      </w:pPr>
      <w:r>
        <w:lastRenderedPageBreak/>
        <w:t xml:space="preserve">sottolinea </w:t>
      </w:r>
      <w:r>
        <w:rPr>
          <w:b/>
          <w:bCs/>
        </w:rPr>
        <w:t>l'importanza di investimenti pubblici costanti</w:t>
      </w:r>
      <w:r>
        <w:t xml:space="preserve"> nei settori culturali e creativi, sostenendo nel contempo un migliore accesso ai finanziamenti per le PMI attraverso una maggiore mobilitazione degli strumenti della BEI e del FEI, unitamente allo sviluppo di quadri complementari di sostegno privato;</w:t>
      </w:r>
    </w:p>
    <w:p w14:paraId="3A3FD424" w14:textId="77777777" w:rsidR="00C53E67" w:rsidRPr="00C53E67" w:rsidRDefault="00C53E67" w:rsidP="00C53C36">
      <w:pPr>
        <w:numPr>
          <w:ilvl w:val="0"/>
          <w:numId w:val="27"/>
        </w:numPr>
        <w:overflowPunct w:val="0"/>
        <w:autoSpaceDE w:val="0"/>
        <w:autoSpaceDN w:val="0"/>
        <w:adjustRightInd w:val="0"/>
        <w:spacing w:before="100" w:beforeAutospacing="1" w:after="100" w:afterAutospacing="1" w:line="276" w:lineRule="auto"/>
        <w:ind w:left="709" w:hanging="425"/>
        <w:textAlignment w:val="baseline"/>
      </w:pPr>
      <w:r>
        <w:t xml:space="preserve">sostiene </w:t>
      </w:r>
      <w:r>
        <w:rPr>
          <w:b/>
          <w:bCs/>
        </w:rPr>
        <w:t>l'approvazione della dichiarazione comune a livello istituzionale</w:t>
      </w:r>
      <w:r>
        <w:t xml:space="preserve"> da parte delle istituzioni dell'UE (compresi il CESE e il Comitato delle regioni) e delle parti interessate al fine di garantire un'ampia titolarità e legittimità;</w:t>
      </w:r>
    </w:p>
    <w:p w14:paraId="3DBA33EF" w14:textId="77777777" w:rsidR="00C53E67" w:rsidRPr="004C6742" w:rsidRDefault="00C53E67" w:rsidP="00C53C36">
      <w:pPr>
        <w:numPr>
          <w:ilvl w:val="0"/>
          <w:numId w:val="27"/>
        </w:numPr>
        <w:overflowPunct w:val="0"/>
        <w:autoSpaceDE w:val="0"/>
        <w:autoSpaceDN w:val="0"/>
        <w:adjustRightInd w:val="0"/>
        <w:spacing w:line="276" w:lineRule="auto"/>
        <w:ind w:left="709" w:hanging="425"/>
        <w:textAlignment w:val="baseline"/>
        <w:rPr>
          <w:sz w:val="24"/>
          <w:szCs w:val="24"/>
        </w:rPr>
      </w:pPr>
      <w:r>
        <w:t xml:space="preserve">sottolinea </w:t>
      </w:r>
      <w:r>
        <w:rPr>
          <w:b/>
          <w:bCs/>
        </w:rPr>
        <w:t>l'importanza della dimensione internazionale della cultura</w:t>
      </w:r>
      <w:r>
        <w:t>, chiede che sia reintrodotta nella dichiarazione comune e che sia adottato un piano d'azione completo basato sulla strategia dell'UE per le relazioni culturali internazionali.</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C53E67" w:rsidRPr="00C53E67" w14:paraId="272A79A3" w14:textId="77777777" w:rsidTr="002E7EFB">
        <w:tc>
          <w:tcPr>
            <w:tcW w:w="1556"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Contatto</w:t>
            </w:r>
          </w:p>
        </w:tc>
        <w:tc>
          <w:tcPr>
            <w:tcW w:w="3444"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Jean-Marie ROGUE</w:t>
            </w:r>
          </w:p>
        </w:tc>
      </w:tr>
      <w:tr w:rsidR="00C53E67" w:rsidRPr="00C53E67" w14:paraId="6943624D" w14:textId="77777777" w:rsidTr="002E7EFB">
        <w:tc>
          <w:tcPr>
            <w:tcW w:w="1556"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Tel.</w:t>
            </w:r>
          </w:p>
        </w:tc>
        <w:tc>
          <w:tcPr>
            <w:tcW w:w="3444"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+32 25468909</w:t>
            </w:r>
          </w:p>
        </w:tc>
      </w:tr>
      <w:tr w:rsidR="00C53E67" w:rsidRPr="00C53E67" w14:paraId="496DCA57" w14:textId="77777777" w:rsidTr="002E7EFB">
        <w:tc>
          <w:tcPr>
            <w:tcW w:w="1556"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E-mail</w:t>
            </w:r>
          </w:p>
        </w:tc>
        <w:tc>
          <w:tcPr>
            <w:tcW w:w="3444" w:type="pct"/>
          </w:tcPr>
          <w:p w14:paraId="18C49AA7" w14:textId="44A0234C" w:rsidR="00C53E67" w:rsidRPr="00C53E67" w:rsidRDefault="00291C11" w:rsidP="00C53E67">
            <w:pPr>
              <w:overflowPunct w:val="0"/>
              <w:autoSpaceDE w:val="0"/>
              <w:autoSpaceDN w:val="0"/>
              <w:adjustRightInd w:val="0"/>
              <w:spacing w:line="240" w:lineRule="auto"/>
              <w:textAlignment w:val="baseline"/>
              <w:rPr>
                <w:i/>
              </w:rPr>
            </w:pPr>
            <w:hyperlink r:id="rId34" w:history="1">
              <w:r>
                <w:rPr>
                  <w:i/>
                  <w:color w:val="0000FF"/>
                  <w:u w:val="single"/>
                </w:rPr>
                <w:t>JeanMarie.</w:t>
              </w:r>
              <w:r w:rsidR="00C53C36">
                <w:rPr>
                  <w:i/>
                  <w:color w:val="0000FF"/>
                  <w:u w:val="single"/>
                </w:rPr>
                <w:t>ROGUE</w:t>
              </w:r>
              <w:r>
                <w:rPr>
                  <w:i/>
                  <w:color w:val="0000FF"/>
                  <w:u w:val="single"/>
                </w:rPr>
                <w:t>@eesc.europa.eu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3" w14:textId="77616464" w:rsidR="004D7AC0" w:rsidRDefault="004D7AC0" w:rsidP="004C6742">
      <w:pPr>
        <w:pStyle w:val="Heading2"/>
      </w:pPr>
      <w:bookmarkStart w:id="16" w:name="_Toc75527083"/>
      <w:bookmarkStart w:id="17" w:name="_Toc229405147"/>
      <w:r>
        <w:lastRenderedPageBreak/>
        <w:t>MERCATO UNICO, PRODUZIONE E CONSUMO</w:t>
      </w:r>
      <w:bookmarkEnd w:id="16"/>
      <w:bookmarkEnd w:id="17"/>
    </w:p>
    <w:p w14:paraId="4982DDF4" w14:textId="77777777" w:rsidR="004D7AC0" w:rsidRDefault="004D7AC0" w:rsidP="001766B2"/>
    <w:p w14:paraId="566598A4" w14:textId="079D68D1" w:rsidR="00392AE5" w:rsidRPr="000D0060" w:rsidRDefault="00392AE5" w:rsidP="00392AE5">
      <w:pPr>
        <w:widowControl w:val="0"/>
        <w:numPr>
          <w:ilvl w:val="0"/>
          <w:numId w:val="4"/>
        </w:numPr>
        <w:tabs>
          <w:tab w:val="left" w:pos="2127"/>
        </w:tabs>
        <w:overflowPunct w:val="0"/>
        <w:autoSpaceDE w:val="0"/>
        <w:autoSpaceDN w:val="0"/>
        <w:adjustRightInd w:val="0"/>
        <w:ind w:hanging="567"/>
        <w:textAlignment w:val="baseline"/>
        <w:rPr>
          <w:b/>
          <w:bCs/>
          <w:i/>
          <w:iCs/>
          <w:sz w:val="28"/>
          <w:szCs w:val="28"/>
        </w:rPr>
      </w:pPr>
      <w:hyperlink r:id="rId35" w:history="1">
        <w:r w:rsidRPr="000D0060">
          <w:rPr>
            <w:b/>
            <w:bCs/>
            <w:i/>
            <w:iCs/>
            <w:color w:val="0000FF"/>
            <w:sz w:val="28"/>
            <w:szCs w:val="28"/>
            <w:u w:val="single"/>
          </w:rPr>
          <w:t>Turismo eccessivo, locazioni a breve termine ed esclusione delle popolazioni locali</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Relatore</w:t>
            </w:r>
          </w:p>
        </w:tc>
        <w:tc>
          <w:tcPr>
            <w:tcW w:w="3923" w:type="pct"/>
          </w:tcPr>
          <w:p w14:paraId="4123F63B" w14:textId="669257A5" w:rsidR="00392AE5" w:rsidRDefault="00741EC1" w:rsidP="00392AE5">
            <w:pPr>
              <w:tabs>
                <w:tab w:val="center" w:pos="284"/>
              </w:tabs>
              <w:overflowPunct w:val="0"/>
              <w:autoSpaceDE w:val="0"/>
              <w:autoSpaceDN w:val="0"/>
              <w:adjustRightInd w:val="0"/>
              <w:ind w:left="266" w:right="-3091" w:hanging="266"/>
              <w:textAlignment w:val="baseline"/>
            </w:pPr>
            <w:r>
              <w:t xml:space="preserve">Marinel Dănuț MUREŞAN </w:t>
            </w:r>
            <w:r w:rsidR="00392AE5">
              <w:t>(Datori di lavoro -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Riferimento</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t>Parere esplorativo richiesto dalla presidenza cipriota del Consiglio dell'UE</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Punti principali</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Il CESE:</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0D0060">
      <w:pPr>
        <w:numPr>
          <w:ilvl w:val="0"/>
          <w:numId w:val="28"/>
        </w:numPr>
        <w:overflowPunct w:val="0"/>
        <w:autoSpaceDE w:val="0"/>
        <w:autoSpaceDN w:val="0"/>
        <w:adjustRightInd w:val="0"/>
        <w:spacing w:line="276" w:lineRule="auto"/>
        <w:ind w:left="709" w:hanging="425"/>
        <w:textAlignment w:val="baseline"/>
        <w:rPr>
          <w:szCs w:val="20"/>
        </w:rPr>
      </w:pPr>
      <w:r>
        <w:t xml:space="preserve">sottolinea che il turismo è un ecosistema strategico per l'UE – in quanto stimola crescita, occupazione e sviluppo sociale – e chiede il passaggio a un modello più sostenibile, equilibrato e competitivo che salvaguardi la qualità di vita delle comunità locali; </w:t>
      </w:r>
    </w:p>
    <w:p w14:paraId="7E1A2FA7" w14:textId="77777777" w:rsidR="00392AE5" w:rsidRPr="00392AE5" w:rsidRDefault="00392AE5" w:rsidP="000D0060">
      <w:pPr>
        <w:numPr>
          <w:ilvl w:val="0"/>
          <w:numId w:val="28"/>
        </w:numPr>
        <w:overflowPunct w:val="0"/>
        <w:autoSpaceDE w:val="0"/>
        <w:autoSpaceDN w:val="0"/>
        <w:adjustRightInd w:val="0"/>
        <w:spacing w:line="276" w:lineRule="auto"/>
        <w:ind w:left="709" w:hanging="425"/>
        <w:textAlignment w:val="baseline"/>
        <w:rPr>
          <w:szCs w:val="20"/>
        </w:rPr>
      </w:pPr>
      <w:r>
        <w:t xml:space="preserve">mette in guardia contro le crescenti pressioni esercitate dal turismo eccessivo e dalle locazioni a breve termine in alcune mete turistiche e </w:t>
      </w:r>
      <w:r>
        <w:rPr>
          <w:b/>
          <w:bCs/>
        </w:rPr>
        <w:t>chiede un'azione coordinata dell'UE</w:t>
      </w:r>
      <w:r>
        <w:t xml:space="preserve"> per sostenere gli Stati membri nello sviluppo di soluzioni basate su dati concreti, proporzionate e pensate in funzione del territorio; </w:t>
      </w:r>
    </w:p>
    <w:p w14:paraId="4DA31274" w14:textId="77777777" w:rsidR="00392AE5" w:rsidRPr="00392AE5" w:rsidRDefault="00392AE5" w:rsidP="000D0060">
      <w:pPr>
        <w:numPr>
          <w:ilvl w:val="0"/>
          <w:numId w:val="28"/>
        </w:numPr>
        <w:overflowPunct w:val="0"/>
        <w:autoSpaceDE w:val="0"/>
        <w:autoSpaceDN w:val="0"/>
        <w:adjustRightInd w:val="0"/>
        <w:spacing w:line="276" w:lineRule="auto"/>
        <w:ind w:left="709" w:hanging="425"/>
        <w:textAlignment w:val="baseline"/>
        <w:rPr>
          <w:szCs w:val="20"/>
        </w:rPr>
      </w:pPr>
      <w:r>
        <w:t xml:space="preserve">propone strumenti e strategie sostenuti dall'UE finalizzati a gestire meglio i flussi turistici, anche mediante sistemi di monitoraggio digitale, la diversificazione delle mete turistiche e la spinta al turismo in bassa stagione, oltre a un rafforzamento dei legami tra – da un lato – il turismo e – dall'altro – l'economia del territorio, la cultura locale e l'artigianato tradizionale; </w:t>
      </w:r>
    </w:p>
    <w:p w14:paraId="0407BE7E" w14:textId="77777777" w:rsidR="00392AE5" w:rsidRPr="00392AE5" w:rsidRDefault="00392AE5" w:rsidP="000D0060">
      <w:pPr>
        <w:numPr>
          <w:ilvl w:val="0"/>
          <w:numId w:val="28"/>
        </w:numPr>
        <w:overflowPunct w:val="0"/>
        <w:autoSpaceDE w:val="0"/>
        <w:autoSpaceDN w:val="0"/>
        <w:adjustRightInd w:val="0"/>
        <w:spacing w:line="276" w:lineRule="auto"/>
        <w:ind w:left="709" w:hanging="425"/>
        <w:textAlignment w:val="baseline"/>
        <w:rPr>
          <w:szCs w:val="20"/>
        </w:rPr>
      </w:pPr>
      <w:r>
        <w:t xml:space="preserve">sostiene modelli innovativi di governance e finanziamento che combinino investimenti pubblici e privati per promuovere un turismo sostenibile, alloggi a prezzi accessibili per i residenti ed ecosistemi imprenditoriali radicati nel territorio, in cui le PMI e le comunità locali hanno un ruolo di primo piano; </w:t>
      </w:r>
    </w:p>
    <w:p w14:paraId="38238CCA" w14:textId="77777777" w:rsidR="00392AE5" w:rsidRPr="00392AE5" w:rsidRDefault="00392AE5" w:rsidP="000D0060">
      <w:pPr>
        <w:widowControl w:val="0"/>
        <w:numPr>
          <w:ilvl w:val="0"/>
          <w:numId w:val="28"/>
        </w:numPr>
        <w:overflowPunct w:val="0"/>
        <w:autoSpaceDE w:val="0"/>
        <w:autoSpaceDN w:val="0"/>
        <w:adjustRightInd w:val="0"/>
        <w:spacing w:line="276" w:lineRule="auto"/>
        <w:ind w:left="709" w:hanging="425"/>
        <w:textAlignment w:val="baseline"/>
        <w:rPr>
          <w:bCs/>
          <w:iCs/>
        </w:rPr>
      </w:pPr>
      <w:r>
        <w:t xml:space="preserve">raccomanda di rafforzare le competenze, la formazione e il coinvolgimento dei giovani, e chiede l'istituzione di un </w:t>
      </w:r>
      <w:r>
        <w:rPr>
          <w:b/>
          <w:bCs/>
        </w:rPr>
        <w:t>Centro europeo per l'artigianato e i mestieri tradizionali</w:t>
      </w:r>
      <w:r>
        <w:t xml:space="preserve"> volto a promuovere le economie locali e la sostenibilità culturale in tutta l'UE.</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392AE5" w:rsidRPr="00392AE5" w14:paraId="519A6FBB" w14:textId="77777777" w:rsidTr="002E7EFB">
        <w:tc>
          <w:tcPr>
            <w:tcW w:w="1077" w:type="pct"/>
          </w:tcPr>
          <w:p w14:paraId="2511DD3A" w14:textId="77777777" w:rsidR="00392AE5" w:rsidRPr="00392AE5" w:rsidRDefault="00392AE5" w:rsidP="00392AE5">
            <w:pPr>
              <w:overflowPunct w:val="0"/>
              <w:autoSpaceDE w:val="0"/>
              <w:autoSpaceDN w:val="0"/>
              <w:adjustRightInd w:val="0"/>
              <w:textAlignment w:val="baseline"/>
              <w:rPr>
                <w:i/>
              </w:rPr>
            </w:pPr>
            <w:r>
              <w:rPr>
                <w:b/>
                <w:i/>
              </w:rPr>
              <w:t>Contatto</w:t>
            </w:r>
          </w:p>
        </w:tc>
        <w:tc>
          <w:tcPr>
            <w:tcW w:w="3923" w:type="pct"/>
          </w:tcPr>
          <w:p w14:paraId="3960CCB8" w14:textId="77777777" w:rsidR="00392AE5" w:rsidRPr="00392AE5" w:rsidRDefault="00392AE5" w:rsidP="00392AE5">
            <w:pPr>
              <w:overflowPunct w:val="0"/>
              <w:autoSpaceDE w:val="0"/>
              <w:autoSpaceDN w:val="0"/>
              <w:adjustRightInd w:val="0"/>
              <w:textAlignment w:val="baseline"/>
              <w:rPr>
                <w:i/>
              </w:rPr>
            </w:pPr>
            <w:r>
              <w:rPr>
                <w:i/>
              </w:rPr>
              <w:t>Silvia STAFFA</w:t>
            </w:r>
          </w:p>
        </w:tc>
      </w:tr>
      <w:tr w:rsidR="00392AE5" w:rsidRPr="00392AE5" w14:paraId="3AF34B7F" w14:textId="77777777" w:rsidTr="002E7EFB">
        <w:tc>
          <w:tcPr>
            <w:tcW w:w="1077" w:type="pct"/>
          </w:tcPr>
          <w:p w14:paraId="2CBD3E50" w14:textId="77777777" w:rsidR="00392AE5" w:rsidRPr="00392AE5" w:rsidRDefault="00392AE5" w:rsidP="00392AE5">
            <w:pPr>
              <w:overflowPunct w:val="0"/>
              <w:autoSpaceDE w:val="0"/>
              <w:autoSpaceDN w:val="0"/>
              <w:adjustRightInd w:val="0"/>
              <w:textAlignment w:val="baseline"/>
              <w:rPr>
                <w:i/>
              </w:rPr>
            </w:pPr>
            <w:r>
              <w:rPr>
                <w:i/>
              </w:rPr>
              <w:t>Tel.</w:t>
            </w:r>
          </w:p>
        </w:tc>
        <w:tc>
          <w:tcPr>
            <w:tcW w:w="3923" w:type="pct"/>
          </w:tcPr>
          <w:p w14:paraId="730C53AF" w14:textId="77777777" w:rsidR="00392AE5" w:rsidRPr="00392AE5" w:rsidRDefault="00392AE5" w:rsidP="00392AE5">
            <w:pPr>
              <w:overflowPunct w:val="0"/>
              <w:autoSpaceDE w:val="0"/>
              <w:autoSpaceDN w:val="0"/>
              <w:adjustRightInd w:val="0"/>
              <w:textAlignment w:val="baseline"/>
              <w:rPr>
                <w:i/>
              </w:rPr>
            </w:pPr>
            <w:r>
              <w:rPr>
                <w:i/>
              </w:rPr>
              <w:t>+32 25468378</w:t>
            </w:r>
          </w:p>
        </w:tc>
      </w:tr>
      <w:tr w:rsidR="00392AE5" w:rsidRPr="00392AE5" w14:paraId="7E2C07CA" w14:textId="77777777" w:rsidTr="002E7EFB">
        <w:tc>
          <w:tcPr>
            <w:tcW w:w="1077" w:type="pct"/>
          </w:tcPr>
          <w:p w14:paraId="22A428C5" w14:textId="77777777" w:rsidR="00392AE5" w:rsidRPr="00392AE5" w:rsidRDefault="00392AE5" w:rsidP="00392AE5">
            <w:pPr>
              <w:overflowPunct w:val="0"/>
              <w:autoSpaceDE w:val="0"/>
              <w:autoSpaceDN w:val="0"/>
              <w:adjustRightInd w:val="0"/>
              <w:textAlignment w:val="baseline"/>
              <w:rPr>
                <w:i/>
              </w:rPr>
            </w:pPr>
            <w:r>
              <w:rPr>
                <w:i/>
              </w:rPr>
              <w:t>E-mail</w:t>
            </w:r>
          </w:p>
        </w:tc>
        <w:tc>
          <w:tcPr>
            <w:tcW w:w="3923" w:type="pct"/>
          </w:tcPr>
          <w:p w14:paraId="0EBCDB0C" w14:textId="6B46398B" w:rsidR="00392AE5" w:rsidRPr="00392AE5" w:rsidRDefault="00291C11" w:rsidP="00392AE5">
            <w:pPr>
              <w:overflowPunct w:val="0"/>
              <w:autoSpaceDE w:val="0"/>
              <w:autoSpaceDN w:val="0"/>
              <w:adjustRightInd w:val="0"/>
              <w:spacing w:line="240" w:lineRule="auto"/>
              <w:textAlignment w:val="baseline"/>
              <w:rPr>
                <w:i/>
              </w:rPr>
            </w:pPr>
            <w:hyperlink r:id="rId36" w:history="1">
              <w:r>
                <w:rPr>
                  <w:i/>
                  <w:color w:val="0000FF"/>
                  <w:u w:val="single"/>
                </w:rPr>
                <w:t>Silvia.</w:t>
              </w:r>
              <w:r w:rsidR="000D0060">
                <w:rPr>
                  <w:i/>
                  <w:color w:val="0000FF"/>
                  <w:u w:val="single"/>
                </w:rPr>
                <w:t>STAFFA</w:t>
              </w:r>
              <w:r>
                <w:rPr>
                  <w:i/>
                  <w:color w:val="0000FF"/>
                  <w:u w:val="single"/>
                </w:rPr>
                <w:t>@eesc.europa.eu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6230B29C" w:rsidR="008E331E" w:rsidRPr="008E331E" w:rsidRDefault="00291C11" w:rsidP="008E331E">
      <w:pPr>
        <w:widowControl w:val="0"/>
        <w:numPr>
          <w:ilvl w:val="0"/>
          <w:numId w:val="4"/>
        </w:numPr>
        <w:overflowPunct w:val="0"/>
        <w:autoSpaceDE w:val="0"/>
        <w:autoSpaceDN w:val="0"/>
        <w:adjustRightInd w:val="0"/>
        <w:ind w:hanging="567"/>
        <w:textAlignment w:val="baseline"/>
        <w:rPr>
          <w:sz w:val="20"/>
          <w:szCs w:val="20"/>
        </w:rPr>
      </w:pPr>
      <w:hyperlink r:id="rId37" w:tgtFrame="_blank" w:history="1">
        <w:r>
          <w:rPr>
            <w:b/>
            <w:i/>
            <w:color w:val="0000FF"/>
            <w:sz w:val="28"/>
            <w:u w:val="single"/>
          </w:rPr>
          <w:t>Revisione delle norme sulle emissioni di CO</w:t>
        </w:r>
        <w:r>
          <w:rPr>
            <w:b/>
            <w:i/>
            <w:color w:val="0000FF"/>
            <w:sz w:val="28"/>
            <w:u w:val="single"/>
            <w:vertAlign w:val="subscript"/>
          </w:rPr>
          <w:t>2</w:t>
        </w:r>
        <w:r>
          <w:rPr>
            <w:b/>
            <w:i/>
            <w:color w:val="0000FF"/>
            <w:sz w:val="28"/>
            <w:u w:val="single"/>
          </w:rPr>
          <w:t xml:space="preserve"> per le autovetture e i veicoli commerciali leggeri</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8E331E" w14:paraId="3544A5AD" w14:textId="77777777" w:rsidTr="002E7EFB">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Relatore</w:t>
            </w:r>
          </w:p>
        </w:tc>
        <w:tc>
          <w:tcPr>
            <w:tcW w:w="5387" w:type="dxa"/>
          </w:tcPr>
          <w:p w14:paraId="206429AE" w14:textId="78B329B9" w:rsidR="008E331E" w:rsidRPr="008E331E" w:rsidRDefault="008E331E" w:rsidP="008E331E">
            <w:pPr>
              <w:tabs>
                <w:tab w:val="center" w:pos="284"/>
              </w:tabs>
              <w:overflowPunct w:val="0"/>
              <w:autoSpaceDE w:val="0"/>
              <w:autoSpaceDN w:val="0"/>
              <w:adjustRightInd w:val="0"/>
              <w:ind w:left="266" w:hanging="266"/>
              <w:textAlignment w:val="baseline"/>
            </w:pPr>
            <w:r>
              <w:t>Matteo BORSANI (Datori di lavoro - IT)</w:t>
            </w:r>
          </w:p>
          <w:p w14:paraId="3D9FC490"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r w:rsidR="008E331E" w:rsidRPr="008E331E" w14:paraId="0E58D564" w14:textId="77777777" w:rsidTr="002E7EFB">
        <w:tc>
          <w:tcPr>
            <w:tcW w:w="1701" w:type="dxa"/>
            <w:vMerge w:val="restart"/>
          </w:tcPr>
          <w:p w14:paraId="145A97E5"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Riferimento</w:t>
            </w:r>
          </w:p>
        </w:tc>
        <w:tc>
          <w:tcPr>
            <w:tcW w:w="5387" w:type="dxa"/>
          </w:tcPr>
          <w:p w14:paraId="7281EBE1" w14:textId="0C5497BF" w:rsidR="008E331E" w:rsidRPr="008E331E" w:rsidRDefault="008E331E" w:rsidP="008E331E">
            <w:pPr>
              <w:tabs>
                <w:tab w:val="center" w:pos="284"/>
              </w:tabs>
              <w:overflowPunct w:val="0"/>
              <w:autoSpaceDE w:val="0"/>
              <w:autoSpaceDN w:val="0"/>
              <w:adjustRightInd w:val="0"/>
              <w:ind w:left="266" w:hanging="266"/>
              <w:textAlignment w:val="baseline"/>
            </w:pPr>
            <w:r>
              <w:t xml:space="preserve">COM(2025) 995 final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pPr>
            <w:r>
              <w:t>EESC-2025-04308-00-00-AC</w:t>
            </w:r>
          </w:p>
        </w:tc>
      </w:tr>
      <w:tr w:rsidR="008E331E" w:rsidRPr="008E331E" w14:paraId="3BC2EE29" w14:textId="77777777" w:rsidTr="002E7EFB">
        <w:tc>
          <w:tcPr>
            <w:tcW w:w="1701" w:type="dxa"/>
            <w:vMerge/>
          </w:tcPr>
          <w:p w14:paraId="00FF22F1"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pt-PT"/>
              </w:rPr>
            </w:pPr>
          </w:p>
        </w:tc>
        <w:tc>
          <w:tcPr>
            <w:tcW w:w="5387" w:type="dxa"/>
          </w:tcPr>
          <w:p w14:paraId="56EC2136"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tc>
      </w:tr>
    </w:tbl>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Punti principali</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Il CESE:</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E82CD4">
      <w:pPr>
        <w:numPr>
          <w:ilvl w:val="0"/>
          <w:numId w:val="29"/>
        </w:numPr>
        <w:overflowPunct w:val="0"/>
        <w:autoSpaceDE w:val="0"/>
        <w:autoSpaceDN w:val="0"/>
        <w:adjustRightInd w:val="0"/>
        <w:spacing w:after="200" w:line="276" w:lineRule="auto"/>
        <w:ind w:left="709" w:hanging="425"/>
        <w:contextualSpacing/>
        <w:textAlignment w:val="baseline"/>
      </w:pPr>
      <w:r>
        <w:rPr>
          <w:b/>
          <w:bCs/>
        </w:rPr>
        <w:t>chiede un quadro dell'UE equilibrato e coerente</w:t>
      </w:r>
      <w:r>
        <w:t xml:space="preserve"> per la transizione del settore automobilistico, che combini una forte spinta a favore della mobilità a zero e a basse emissioni con la neutralità tecnologica, una catena del valore rafforzata "Made in the EU" e la salvaguardia di un'occupazione di qualità, della capacità industriale e dell'innovazione;</w:t>
      </w:r>
    </w:p>
    <w:p w14:paraId="432BFC18" w14:textId="77777777" w:rsidR="008E331E" w:rsidRPr="008E331E" w:rsidRDefault="008E331E" w:rsidP="00E82CD4">
      <w:pPr>
        <w:numPr>
          <w:ilvl w:val="0"/>
          <w:numId w:val="29"/>
        </w:numPr>
        <w:overflowPunct w:val="0"/>
        <w:autoSpaceDE w:val="0"/>
        <w:autoSpaceDN w:val="0"/>
        <w:adjustRightInd w:val="0"/>
        <w:spacing w:after="200" w:line="276" w:lineRule="auto"/>
        <w:ind w:left="709" w:hanging="425"/>
        <w:contextualSpacing/>
        <w:textAlignment w:val="baseline"/>
      </w:pPr>
      <w:r>
        <w:rPr>
          <w:b/>
          <w:bCs/>
        </w:rPr>
        <w:t>sollecita una revisione pragmatica delle norme in materia di CO₂</w:t>
      </w:r>
      <w:r>
        <w:t xml:space="preserve"> per le autovetture e i furgoni, in linea con le realtà del mercato e gli obiettivi climatici, al fine di ripristinare la competitività mantenendo nel contempo la traiettoria di decarbonizzazione a lungo termine;</w:t>
      </w:r>
    </w:p>
    <w:p w14:paraId="0972F5CB" w14:textId="77777777" w:rsidR="008E331E" w:rsidRPr="008E331E" w:rsidRDefault="008E331E" w:rsidP="00E82CD4">
      <w:pPr>
        <w:numPr>
          <w:ilvl w:val="0"/>
          <w:numId w:val="29"/>
        </w:numPr>
        <w:overflowPunct w:val="0"/>
        <w:autoSpaceDE w:val="0"/>
        <w:autoSpaceDN w:val="0"/>
        <w:adjustRightInd w:val="0"/>
        <w:spacing w:after="200" w:line="276" w:lineRule="auto"/>
        <w:ind w:left="709" w:hanging="425"/>
        <w:contextualSpacing/>
        <w:textAlignment w:val="baseline"/>
      </w:pPr>
      <w:r>
        <w:rPr>
          <w:b/>
          <w:bCs/>
        </w:rPr>
        <w:t>sostiene un ruolo più incisivo per le tecnologie di transizione</w:t>
      </w:r>
      <w:r>
        <w:t>, compresi i veicoli ibridi, i combustibili rinnovabili sostenibili e i materiali a basse emissioni, e chiede di ridurre la dipendenza esclusiva dalle emissioni dallo scarico per consentire una transizione più realistica e socialmente equilibrata;</w:t>
      </w:r>
    </w:p>
    <w:p w14:paraId="1A4C34C1" w14:textId="77777777" w:rsidR="008E331E" w:rsidRPr="008E331E" w:rsidRDefault="008E331E" w:rsidP="00E82CD4">
      <w:pPr>
        <w:numPr>
          <w:ilvl w:val="0"/>
          <w:numId w:val="29"/>
        </w:numPr>
        <w:overflowPunct w:val="0"/>
        <w:autoSpaceDE w:val="0"/>
        <w:autoSpaceDN w:val="0"/>
        <w:adjustRightInd w:val="0"/>
        <w:spacing w:after="200" w:line="276" w:lineRule="auto"/>
        <w:ind w:left="709" w:hanging="425"/>
        <w:contextualSpacing/>
        <w:textAlignment w:val="baseline"/>
      </w:pPr>
      <w:r>
        <w:rPr>
          <w:b/>
          <w:bCs/>
        </w:rPr>
        <w:t>accoglie con favore una maggiore flessibilità per gli obiettivi fissati per il 2030</w:t>
      </w:r>
      <w:r>
        <w:t>, compresa la conformità pluriennale, e chiede un sostegno mirato per le infrastrutture di ricarica, l'elettrificazione delle flotte aziendali e i veicoli commerciali leggeri, la cui diffusione sul mercato rimane limitata;</w:t>
      </w:r>
    </w:p>
    <w:p w14:paraId="789098F1" w14:textId="77777777" w:rsidR="008E331E" w:rsidRPr="008E331E" w:rsidRDefault="008E331E" w:rsidP="00E82CD4">
      <w:pPr>
        <w:numPr>
          <w:ilvl w:val="0"/>
          <w:numId w:val="29"/>
        </w:numPr>
        <w:overflowPunct w:val="0"/>
        <w:autoSpaceDE w:val="0"/>
        <w:autoSpaceDN w:val="0"/>
        <w:adjustRightInd w:val="0"/>
        <w:spacing w:after="200" w:line="276" w:lineRule="auto"/>
        <w:ind w:left="709" w:hanging="425"/>
        <w:contextualSpacing/>
        <w:textAlignment w:val="baseline"/>
      </w:pPr>
      <w:r>
        <w:rPr>
          <w:b/>
          <w:bCs/>
        </w:rPr>
        <w:t>raccomanda di rafforzare la leadership industriale dell'UE</w:t>
      </w:r>
      <w:r>
        <w:t xml:space="preserve"> attraverso incentivi quali il contenuto "Made in the EU", il sostegno all'acciaio a basse emissioni e l'estensione dei supercrediti per i veicoli elettrici, unitamente a una metodologia più completa in materia di emissioni e a una transizione che rimanga accessibile dal punto di vista economico, inclusiva e fonte di occupazione.</w:t>
      </w: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331E" w:rsidRPr="008E331E" w14:paraId="1B085562" w14:textId="77777777" w:rsidTr="002E7EFB">
        <w:tc>
          <w:tcPr>
            <w:tcW w:w="1418"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Contatto</w:t>
            </w:r>
          </w:p>
        </w:tc>
        <w:tc>
          <w:tcPr>
            <w:tcW w:w="5670"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Silvia STAFFA</w:t>
            </w:r>
          </w:p>
        </w:tc>
      </w:tr>
      <w:tr w:rsidR="008E331E" w:rsidRPr="008E331E" w14:paraId="0B08C9F9" w14:textId="77777777" w:rsidTr="002E7EFB">
        <w:tc>
          <w:tcPr>
            <w:tcW w:w="1418"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Tel.</w:t>
            </w:r>
          </w:p>
        </w:tc>
        <w:tc>
          <w:tcPr>
            <w:tcW w:w="5670"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+ 32 25468378</w:t>
            </w:r>
          </w:p>
        </w:tc>
      </w:tr>
      <w:tr w:rsidR="008E331E" w:rsidRPr="008E331E" w14:paraId="5F4D2CBA" w14:textId="77777777" w:rsidTr="002E7EFB">
        <w:tc>
          <w:tcPr>
            <w:tcW w:w="1418"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E-mail</w:t>
            </w:r>
          </w:p>
        </w:tc>
        <w:tc>
          <w:tcPr>
            <w:tcW w:w="5670" w:type="dxa"/>
          </w:tcPr>
          <w:p w14:paraId="07ADD844" w14:textId="63B328FD" w:rsidR="008E331E" w:rsidRPr="008E331E" w:rsidRDefault="00291C11" w:rsidP="008E331E">
            <w:pPr>
              <w:overflowPunct w:val="0"/>
              <w:autoSpaceDE w:val="0"/>
              <w:autoSpaceDN w:val="0"/>
              <w:adjustRightInd w:val="0"/>
              <w:spacing w:line="240" w:lineRule="auto"/>
              <w:textAlignment w:val="baseline"/>
              <w:rPr>
                <w:i/>
              </w:rPr>
            </w:pPr>
            <w:hyperlink r:id="rId38" w:history="1">
              <w:r>
                <w:rPr>
                  <w:i/>
                  <w:color w:val="0000FF"/>
                  <w:u w:val="single"/>
                </w:rPr>
                <w:t>Silvia.</w:t>
              </w:r>
              <w:r w:rsidR="00E82CD4">
                <w:rPr>
                  <w:i/>
                  <w:color w:val="0000FF"/>
                  <w:u w:val="single"/>
                </w:rPr>
                <w:t>STAFFA</w:t>
              </w:r>
              <w:r>
                <w:rPr>
                  <w:i/>
                  <w:color w:val="0000FF"/>
                  <w:u w:val="single"/>
                </w:rPr>
                <w:t>@eesc.europa.eu</w:t>
              </w:r>
            </w:hyperlink>
          </w:p>
          <w:p w14:paraId="334E5630" w14:textId="77777777" w:rsidR="008E331E" w:rsidRPr="008E331E" w:rsidRDefault="008E331E" w:rsidP="008E331E">
            <w:pPr>
              <w:overflowPunct w:val="0"/>
              <w:autoSpaceDE w:val="0"/>
              <w:autoSpaceDN w:val="0"/>
              <w:adjustRightInd w:val="0"/>
              <w:spacing w:line="240" w:lineRule="auto"/>
              <w:textAlignment w:val="baseline"/>
              <w:rPr>
                <w:i/>
              </w:rPr>
            </w:pPr>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3EBF6FA2" w:rsidR="00882D0D" w:rsidRPr="004C6742" w:rsidRDefault="00882D0D" w:rsidP="007836E0">
      <w:pPr>
        <w:widowControl w:val="0"/>
        <w:numPr>
          <w:ilvl w:val="0"/>
          <w:numId w:val="15"/>
        </w:numPr>
        <w:overflowPunct w:val="0"/>
        <w:autoSpaceDE w:val="0"/>
        <w:autoSpaceDN w:val="0"/>
        <w:adjustRightInd w:val="0"/>
        <w:spacing w:after="200" w:line="276" w:lineRule="auto"/>
        <w:ind w:left="426" w:hanging="568"/>
        <w:contextualSpacing/>
        <w:textAlignment w:val="baseline"/>
        <w:rPr>
          <w:b/>
          <w:i/>
          <w:sz w:val="32"/>
          <w:szCs w:val="32"/>
        </w:rPr>
      </w:pPr>
      <w:hyperlink r:id="rId39" w:tgtFrame="_blank" w:history="1">
        <w:r>
          <w:rPr>
            <w:b/>
            <w:i/>
            <w:color w:val="0000FF"/>
            <w:sz w:val="32"/>
            <w:u w:val="single"/>
          </w:rPr>
          <w:t>Valutazione del regolamento (UE) 2019/1020 sulla vigilanza del mercato e sulla conformità dei prodotti</w:t>
        </w:r>
      </w:hyperlink>
    </w:p>
    <w:p w14:paraId="3DC7A7FA" w14:textId="77777777" w:rsidR="002A0F5D" w:rsidRPr="00882D0D" w:rsidRDefault="002A0F5D" w:rsidP="004C6742">
      <w:pPr>
        <w:widowControl w:val="0"/>
        <w:overflowPunct w:val="0"/>
        <w:autoSpaceDE w:val="0"/>
        <w:autoSpaceDN w:val="0"/>
        <w:adjustRightInd w:val="0"/>
        <w:spacing w:after="200" w:line="276" w:lineRule="auto"/>
        <w:ind w:left="360"/>
        <w:contextualSpacing/>
        <w:jc w:val="left"/>
        <w:textAlignment w:val="baseline"/>
        <w:rPr>
          <w:b/>
          <w:i/>
          <w:sz w:val="32"/>
          <w:szCs w:val="32"/>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882D0D" w:rsidRPr="00882D0D" w14:paraId="5D4233BC" w14:textId="77777777" w:rsidTr="002E7EFB">
        <w:tc>
          <w:tcPr>
            <w:tcW w:w="1148"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Relatrice</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Correlatore</w:t>
            </w:r>
          </w:p>
        </w:tc>
        <w:tc>
          <w:tcPr>
            <w:tcW w:w="3852"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r>
              <w:t>Antje GERSTEIN (Datori di lavoro -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r>
              <w:t>Anastasis YIAPANIS (Organizzazioni della società civile - CY)</w:t>
            </w:r>
          </w:p>
          <w:p w14:paraId="0D785ADB" w14:textId="77777777" w:rsidR="00882D0D" w:rsidRPr="00882D0D" w:rsidRDefault="00882D0D" w:rsidP="00882D0D">
            <w:pPr>
              <w:tabs>
                <w:tab w:val="center" w:pos="284"/>
              </w:tabs>
              <w:overflowPunct w:val="0"/>
              <w:autoSpaceDE w:val="0"/>
              <w:autoSpaceDN w:val="0"/>
              <w:adjustRightInd w:val="0"/>
              <w:ind w:left="266" w:hanging="266"/>
              <w:textAlignment w:val="baseline"/>
              <w:rPr>
                <w:lang w:val="fr-BE"/>
              </w:rPr>
            </w:pPr>
          </w:p>
        </w:tc>
      </w:tr>
      <w:tr w:rsidR="00882D0D" w:rsidRPr="00882D0D" w14:paraId="1AC48DDB" w14:textId="77777777" w:rsidTr="002E7EFB">
        <w:tc>
          <w:tcPr>
            <w:tcW w:w="1148"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Riferimenti</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Relazione di valutazione</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r>
              <w:t>COM(2025) 63 final</w:t>
            </w:r>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t>EESC-2025-003345-00-00-RE</w:t>
            </w:r>
          </w:p>
        </w:tc>
      </w:tr>
    </w:tbl>
    <w:p w14:paraId="7E28CB07"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Punti principali</w:t>
      </w:r>
    </w:p>
    <w:p w14:paraId="7E01B620"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Il CESE raccomanda di:</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promuovere l'adozione di un regolamento europeo consolidato in materia di prodotti;</w:t>
      </w:r>
    </w:p>
    <w:p w14:paraId="331BAADF"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garantire la coerenza tra il regolamento sulla vigilanza del mercato, il regolamento relativo alla sicurezza generale dei prodotti, la legislazione settoriale e il codice doganale dell'Unione;</w:t>
      </w:r>
    </w:p>
    <w:p w14:paraId="47770594"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rafforzare la cooperazione strutturata tra le autorità doganali e le autorità di vigilanza del mercato;</w:t>
      </w:r>
    </w:p>
    <w:p w14:paraId="3C1DCD11"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far sì che eventuali revisioni future del regolamento sulla vigilanza del mercato affrontino le caratteristiche specifiche dell'IA e di altre tecnologie digitali;</w:t>
      </w:r>
    </w:p>
    <w:p w14:paraId="5E50D7E5"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garantire risorse umane e finanziarie adeguate, prevedibili e basate sulle prestazioni per le autorità di vigilanza del mercato e le autorità doganali, associate a indicatori di attuazione misurabili;</w:t>
      </w:r>
    </w:p>
    <w:p w14:paraId="5E775A69"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dotare le autorità nazionali di strumenti applicativi efficaci, proporzionati e dissuasivi;</w:t>
      </w:r>
    </w:p>
    <w:p w14:paraId="23D44F67"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 xml:space="preserve">istituire una capacità europea rafforzata di applicazione delle norme, in grado di affrontare i rischi sistemici transfrontalieri e i flussi di commercio digitale su larga scala; </w:t>
      </w:r>
    </w:p>
    <w:p w14:paraId="22F6F36B"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adottare un quadro di applicazione delle norme chiaro e basato sul rischio;</w:t>
      </w:r>
    </w:p>
    <w:p w14:paraId="76E510E8"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allineare il quadro di applicazione del regolamento sulla vigilanza del mercato alla logica stabilita dal regolamento sui servizi digitali introducendo responsabilità aggiuntive proporzionate per gli operatori la cui portata genera rischi sistemici di conformità;</w:t>
      </w:r>
    </w:p>
    <w:p w14:paraId="4CC68798"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sviluppare un quadro strutturato di partenariato per la conformità che consenta alle autorità di collaborare in modo proattivo con gli operatori economici;</w:t>
      </w:r>
    </w:p>
    <w:p w14:paraId="774CC109"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rendere il regolamento sulla vigilanza del mercato più proporzionato e accessibile per le PMI e le microimprese;</w:t>
      </w:r>
    </w:p>
    <w:p w14:paraId="569668E9"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istituire un osservatorio europeo sui prodotti non conformi;</w:t>
      </w:r>
    </w:p>
    <w:p w14:paraId="6343892F"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chiarire la catena di responsabilità e renderla operativa introducendo criteri minimi di qualità per i rappresentanti autorizzati;</w:t>
      </w:r>
    </w:p>
    <w:p w14:paraId="30F2C869"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migliorare l'interoperabilità tra il sistema di informazione e comunicazione per la vigilanza del mercato (ICSMS), il Safety Gate, le banche dati doganali e altri sistemi pertinenti;</w:t>
      </w:r>
    </w:p>
    <w:p w14:paraId="6CFF330B"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garantire la pubblicazione e la diffusione periodiche e accessibili dei risultati dell'applicazione delle norme;</w:t>
      </w:r>
    </w:p>
    <w:p w14:paraId="1556111A"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 xml:space="preserve">rafforzare il coinvolgimento strutturato della società civile e delle parti sociali (meccanismi formali di consultazione, piattaforme permanenti di dialogo, un coinvolgimento precoce negli sviluppi legislativi e un migliore accesso alle informazioni e alle interfacce digitali per </w:t>
      </w:r>
      <w:r>
        <w:lastRenderedPageBreak/>
        <w:t>l'interazione con le autorità);</w:t>
      </w:r>
    </w:p>
    <w:p w14:paraId="21DADFB3"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fornire sostegno allo sviluppo delle capacità e programmi di formazione mirata sia alle autorità che agli attori della società civile;</w:t>
      </w:r>
    </w:p>
    <w:p w14:paraId="64C493EB" w14:textId="77777777" w:rsidR="00882D0D" w:rsidRPr="00882D0D" w:rsidRDefault="00882D0D" w:rsidP="00E82CD4">
      <w:pPr>
        <w:widowControl w:val="0"/>
        <w:numPr>
          <w:ilvl w:val="0"/>
          <w:numId w:val="30"/>
        </w:numPr>
        <w:overflowPunct w:val="0"/>
        <w:autoSpaceDE w:val="0"/>
        <w:autoSpaceDN w:val="0"/>
        <w:adjustRightInd w:val="0"/>
        <w:ind w:left="709" w:hanging="425"/>
        <w:textAlignment w:val="baseline"/>
        <w:rPr>
          <w:szCs w:val="20"/>
        </w:rPr>
      </w:pPr>
      <w:r>
        <w:t>introdurre strumenti semplici ed efficaci per la segnalazione della pubblicità fraudolenta.</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882D0D" w:rsidRPr="00882D0D" w14:paraId="027E516E" w14:textId="77777777" w:rsidTr="002E7EFB">
        <w:tc>
          <w:tcPr>
            <w:tcW w:w="1556"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Contatto</w:t>
            </w:r>
          </w:p>
        </w:tc>
        <w:tc>
          <w:tcPr>
            <w:tcW w:w="3444"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Annalisa TESSAROLO</w:t>
            </w:r>
          </w:p>
        </w:tc>
      </w:tr>
      <w:tr w:rsidR="00882D0D" w:rsidRPr="00882D0D" w14:paraId="48F3F374" w14:textId="77777777" w:rsidTr="002E7EFB">
        <w:tc>
          <w:tcPr>
            <w:tcW w:w="1556"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Tel.</w:t>
            </w:r>
          </w:p>
        </w:tc>
        <w:tc>
          <w:tcPr>
            <w:tcW w:w="3444"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+32 25469732</w:t>
            </w:r>
          </w:p>
        </w:tc>
      </w:tr>
      <w:tr w:rsidR="00882D0D" w:rsidRPr="00882D0D" w14:paraId="2E49B53D" w14:textId="77777777" w:rsidTr="002E7EFB">
        <w:tc>
          <w:tcPr>
            <w:tcW w:w="1556"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E-mail</w:t>
            </w:r>
          </w:p>
        </w:tc>
        <w:tc>
          <w:tcPr>
            <w:tcW w:w="3444" w:type="pct"/>
          </w:tcPr>
          <w:p w14:paraId="22B253E8" w14:textId="483F00C2" w:rsidR="00882D0D" w:rsidRPr="00882D0D" w:rsidRDefault="00291C11" w:rsidP="00882D0D">
            <w:pPr>
              <w:overflowPunct w:val="0"/>
              <w:autoSpaceDE w:val="0"/>
              <w:autoSpaceDN w:val="0"/>
              <w:adjustRightInd w:val="0"/>
              <w:spacing w:line="240" w:lineRule="auto"/>
              <w:textAlignment w:val="baseline"/>
              <w:rPr>
                <w:i/>
                <w:iCs/>
              </w:rPr>
            </w:pPr>
            <w:hyperlink r:id="rId40" w:history="1">
              <w:r>
                <w:rPr>
                  <w:i/>
                  <w:color w:val="0000FF"/>
                  <w:u w:val="single"/>
                </w:rPr>
                <w:t>Annalisa.</w:t>
              </w:r>
              <w:r w:rsidR="00E82CD4">
                <w:rPr>
                  <w:i/>
                  <w:color w:val="0000FF"/>
                  <w:u w:val="single"/>
                </w:rPr>
                <w:t>TESSAROLO</w:t>
              </w:r>
              <w:r>
                <w:rPr>
                  <w:i/>
                  <w:color w:val="0000FF"/>
                  <w:u w:val="single"/>
                </w:rPr>
                <w:t>@eesc.europa.eu</w:t>
              </w:r>
            </w:hyperlink>
          </w:p>
        </w:tc>
      </w:tr>
    </w:tbl>
    <w:p w14:paraId="5CBAA359" w14:textId="1C551085" w:rsidR="00A067F3" w:rsidRDefault="00A067F3">
      <w:pPr>
        <w:spacing w:after="160" w:line="259" w:lineRule="auto"/>
        <w:jc w:val="left"/>
        <w:rPr>
          <w:szCs w:val="20"/>
          <w:lang w:val="nl-BE"/>
        </w:rPr>
      </w:pPr>
    </w:p>
    <w:p w14:paraId="0667917E" w14:textId="77777777" w:rsidR="00A067F3" w:rsidRDefault="00A067F3">
      <w:pPr>
        <w:spacing w:after="160" w:line="259" w:lineRule="auto"/>
        <w:jc w:val="left"/>
        <w:rPr>
          <w:szCs w:val="20"/>
        </w:rPr>
      </w:pPr>
      <w:r>
        <w:br w:type="page"/>
      </w:r>
    </w:p>
    <w:p w14:paraId="58C55E8F" w14:textId="1AD6E6D1" w:rsidR="00426604" w:rsidRPr="00426604" w:rsidRDefault="00291C11"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Pr>
            <w:b/>
            <w:i/>
            <w:color w:val="0000FF"/>
            <w:sz w:val="28"/>
            <w:u w:val="single"/>
          </w:rPr>
          <w:t>Agenda dei consumatori 2030</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426604" w14:paraId="7FCA49AB" w14:textId="77777777" w:rsidTr="002E7EFB">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Relatore</w:t>
            </w:r>
          </w:p>
        </w:tc>
        <w:tc>
          <w:tcPr>
            <w:tcW w:w="5812"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Thierry LIBAERT (Organizzazioni della società civile - FR)</w:t>
            </w:r>
          </w:p>
        </w:tc>
      </w:tr>
      <w:tr w:rsidR="00426604" w:rsidRPr="00426604" w14:paraId="55BCB3CD" w14:textId="77777777" w:rsidTr="002E7EFB">
        <w:tc>
          <w:tcPr>
            <w:tcW w:w="7513"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2E7EFB">
        <w:tc>
          <w:tcPr>
            <w:tcW w:w="1701" w:type="dxa"/>
            <w:vMerge w:val="restart"/>
          </w:tcPr>
          <w:p w14:paraId="434AA7EC"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Riferimento</w:t>
            </w:r>
          </w:p>
        </w:tc>
        <w:tc>
          <w:tcPr>
            <w:tcW w:w="5812"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pPr>
            <w:r>
              <w:t>COM(2025) 848 final</w:t>
            </w:r>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pPr>
            <w:r>
              <w:t>EESC-2025-03969-00-00-AC</w:t>
            </w:r>
          </w:p>
        </w:tc>
      </w:tr>
      <w:tr w:rsidR="00426604" w:rsidRPr="00426604" w14:paraId="020B5F42" w14:textId="77777777" w:rsidTr="002E7EFB">
        <w:tc>
          <w:tcPr>
            <w:tcW w:w="1701"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pt-PT"/>
              </w:rPr>
            </w:pPr>
          </w:p>
        </w:tc>
        <w:tc>
          <w:tcPr>
            <w:tcW w:w="5812"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tc>
      </w:tr>
    </w:tbl>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Punti principali</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Il CESE:</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bCs/>
          <w:iCs/>
        </w:rPr>
      </w:pPr>
      <w:r>
        <w:t>accoglie con favore l'Agenda dei consumatori 2030, che costituisce un ottimo testo di inquadramento per la protezione dei consumatori negli anni a venire, sia sul piano formale che su quello sostanziale;</w:t>
      </w:r>
    </w:p>
    <w:p w14:paraId="5F03BEBA"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bCs/>
          <w:iCs/>
        </w:rPr>
      </w:pPr>
      <w:r>
        <w:t>auspica che la Commissione possa proporre un approccio più globale nei confronti dei consumatori, che non si limiti a una questione di diritti;</w:t>
      </w:r>
    </w:p>
    <w:p w14:paraId="2DB8C1F5"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bCs/>
          <w:iCs/>
        </w:rPr>
      </w:pPr>
      <w:r>
        <w:t>al fine di procedere a una valutazione più completa, apprezzerebbe la possibilità di ottenere un bilancio strutturato, dettagliato e quantificato dell'agenda precedente;</w:t>
      </w:r>
    </w:p>
    <w:p w14:paraId="23F5AC6C"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pPr>
      <w:r>
        <w:t>pur sostenendo le misure di semplificazione, sottolinea che nessuna di esse può avere l'effetto di ridurre la protezione dei consumatori;</w:t>
      </w:r>
    </w:p>
    <w:p w14:paraId="22E46B9A"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rFonts w:asciiTheme="minorHAnsi" w:hAnsiTheme="minorHAnsi"/>
          <w:szCs w:val="20"/>
        </w:rPr>
      </w:pPr>
      <w:r>
        <w:t>ritiene che la protezione dei consumatori deve necessariamente tener conto della diversità delle situazioni, in particolare per quanto riguarda i "deserti commerciali" e la vulnerabilità di talune categorie di consumatori;</w:t>
      </w:r>
    </w:p>
    <w:p w14:paraId="3000A78C"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rFonts w:asciiTheme="minorHAnsi" w:hAnsiTheme="minorHAnsi"/>
          <w:szCs w:val="20"/>
        </w:rPr>
      </w:pPr>
      <w:r>
        <w:t>auspica una maggiore rapidità e intensità nel monitoraggio della pericolosità dei prodotti importati, in particolare tramite le piattaforme di commercio elettronico situate al di fuori dell'Unione europea;</w:t>
      </w:r>
    </w:p>
    <w:p w14:paraId="24286CF8"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rFonts w:asciiTheme="minorHAnsi" w:hAnsiTheme="minorHAnsi"/>
          <w:szCs w:val="20"/>
        </w:rPr>
      </w:pPr>
      <w:r>
        <w:t>chiede che si dedichi maggiore attenzione alle pratiche di microgiustizia al fine di risolvere le controversie relative a importi di modesta entità;</w:t>
      </w:r>
    </w:p>
    <w:p w14:paraId="3DE92808"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rFonts w:asciiTheme="minorHAnsi" w:hAnsiTheme="minorHAnsi"/>
          <w:szCs w:val="20"/>
        </w:rPr>
      </w:pPr>
      <w:r>
        <w:t>sostiene le misure di digitalizzazione ma insiste affinché, per qualsiasi reclamo, il consumatore abbia sempre a disposizione in ultima istanza un interlocutore umano per rispondere alle sue domande;</w:t>
      </w:r>
    </w:p>
    <w:p w14:paraId="34B18EC1"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rFonts w:asciiTheme="minorHAnsi" w:hAnsiTheme="minorHAnsi"/>
          <w:szCs w:val="20"/>
        </w:rPr>
      </w:pPr>
      <w:r>
        <w:t>invita la Commissione a incrementare il suo livello di interesse per la circolarità e la sostenibilità dei prodotti;</w:t>
      </w:r>
    </w:p>
    <w:p w14:paraId="1ABE3F68"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rFonts w:asciiTheme="minorHAnsi" w:hAnsiTheme="minorHAnsi"/>
          <w:szCs w:val="20"/>
        </w:rPr>
      </w:pPr>
      <w:r>
        <w:t>raccomanda di istituire una forte politica di protezione dei consumatori contro i messaggi commerciali degli influencer, in particolare quando sono rivolti ai minori;</w:t>
      </w:r>
    </w:p>
    <w:p w14:paraId="0F934297" w14:textId="77777777" w:rsidR="00426604" w:rsidRPr="00426604" w:rsidRDefault="00426604" w:rsidP="00E82CD4">
      <w:pPr>
        <w:widowControl w:val="0"/>
        <w:numPr>
          <w:ilvl w:val="0"/>
          <w:numId w:val="31"/>
        </w:numPr>
        <w:overflowPunct w:val="0"/>
        <w:autoSpaceDE w:val="0"/>
        <w:autoSpaceDN w:val="0"/>
        <w:adjustRightInd w:val="0"/>
        <w:ind w:left="709" w:hanging="425"/>
        <w:textAlignment w:val="baseline"/>
        <w:rPr>
          <w:rFonts w:asciiTheme="minorHAnsi" w:hAnsiTheme="minorHAnsi"/>
          <w:szCs w:val="20"/>
        </w:rPr>
      </w:pPr>
      <w:r>
        <w:t>incoraggia gli Stati membri a dare sostegno alle associazioni dei consumatori.</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6604" w:rsidRPr="00426604" w14:paraId="1EC4B28B" w14:textId="77777777" w:rsidTr="002E7EFB">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Contatto</w:t>
            </w:r>
          </w:p>
        </w:tc>
        <w:tc>
          <w:tcPr>
            <w:tcW w:w="5670"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r>
              <w:rPr>
                <w:i/>
              </w:rPr>
              <w:t>Radoslava STEFANKOVA</w:t>
            </w:r>
          </w:p>
        </w:tc>
      </w:tr>
      <w:tr w:rsidR="00426604" w:rsidRPr="00426604" w14:paraId="1EEA77FB" w14:textId="77777777" w:rsidTr="002E7EFB">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Tel.</w:t>
            </w:r>
          </w:p>
        </w:tc>
        <w:tc>
          <w:tcPr>
            <w:tcW w:w="5670"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+32 25468188</w:t>
            </w:r>
          </w:p>
        </w:tc>
      </w:tr>
      <w:tr w:rsidR="00426604" w:rsidRPr="00426604" w14:paraId="2BB4FECE" w14:textId="77777777" w:rsidTr="002E7EFB">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E-mail</w:t>
            </w:r>
          </w:p>
        </w:tc>
        <w:tc>
          <w:tcPr>
            <w:tcW w:w="5670" w:type="dxa"/>
          </w:tcPr>
          <w:p w14:paraId="21BA9078" w14:textId="5B1AFC6A" w:rsidR="00426604" w:rsidRPr="00426604" w:rsidRDefault="00291C11" w:rsidP="00426604">
            <w:pPr>
              <w:overflowPunct w:val="0"/>
              <w:autoSpaceDE w:val="0"/>
              <w:autoSpaceDN w:val="0"/>
              <w:adjustRightInd w:val="0"/>
              <w:spacing w:line="240" w:lineRule="auto"/>
              <w:textAlignment w:val="baseline"/>
              <w:rPr>
                <w:i/>
              </w:rPr>
            </w:pPr>
            <w:hyperlink r:id="rId42" w:history="1">
              <w:r>
                <w:rPr>
                  <w:i/>
                  <w:color w:val="0000FF"/>
                  <w:u w:val="single"/>
                </w:rPr>
                <w:t>Radoslava.</w:t>
              </w:r>
              <w:r w:rsidR="00E82CD4">
                <w:rPr>
                  <w:i/>
                  <w:color w:val="0000FF"/>
                  <w:u w:val="single"/>
                </w:rPr>
                <w:t>STEFANKOVA</w:t>
              </w:r>
              <w:r>
                <w:rPr>
                  <w:i/>
                  <w:color w:val="0000FF"/>
                  <w:u w:val="single"/>
                </w:rPr>
                <w:t>@eesc.europa.eu</w:t>
              </w:r>
            </w:hyperlink>
          </w:p>
          <w:p w14:paraId="0D4503F1" w14:textId="77777777" w:rsidR="00426604" w:rsidRPr="00426604" w:rsidRDefault="00426604" w:rsidP="00426604">
            <w:pPr>
              <w:overflowPunct w:val="0"/>
              <w:autoSpaceDE w:val="0"/>
              <w:autoSpaceDN w:val="0"/>
              <w:adjustRightInd w:val="0"/>
              <w:spacing w:line="240" w:lineRule="auto"/>
              <w:textAlignment w:val="baseline"/>
              <w:rPr>
                <w:i/>
              </w:rPr>
            </w:pPr>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0C73C2CA" w:rsidR="00A83352" w:rsidRPr="00A83352" w:rsidRDefault="00291C11"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Pr>
            <w:b/>
            <w:i/>
            <w:color w:val="0000FF"/>
            <w:sz w:val="28"/>
            <w:u w:val="single"/>
          </w:rPr>
          <w:t>Regolamento sulla cibersicurezza</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Relatore</w:t>
            </w:r>
          </w:p>
        </w:tc>
        <w:tc>
          <w:tcPr>
            <w:tcW w:w="6946" w:type="dxa"/>
          </w:tcPr>
          <w:p w14:paraId="0214D104" w14:textId="5371BD6F" w:rsidR="007A3096" w:rsidRPr="007A3096" w:rsidRDefault="007A3096" w:rsidP="00B56575">
            <w:pPr>
              <w:tabs>
                <w:tab w:val="center" w:pos="284"/>
              </w:tabs>
              <w:overflowPunct w:val="0"/>
              <w:autoSpaceDE w:val="0"/>
              <w:autoSpaceDN w:val="0"/>
              <w:adjustRightInd w:val="0"/>
              <w:ind w:left="266" w:hanging="266"/>
              <w:textAlignment w:val="baseline"/>
            </w:pPr>
            <w:r>
              <w:t>Miroslav HAJNOŠ (Lavoratori -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Riferimento</w:t>
            </w:r>
          </w:p>
        </w:tc>
        <w:tc>
          <w:tcPr>
            <w:tcW w:w="6946" w:type="dxa"/>
          </w:tcPr>
          <w:p w14:paraId="482A2846" w14:textId="4D7D3A98" w:rsidR="007A3096" w:rsidRPr="007A3096" w:rsidRDefault="007A3096" w:rsidP="00B56575">
            <w:pPr>
              <w:tabs>
                <w:tab w:val="center" w:pos="284"/>
              </w:tabs>
              <w:overflowPunct w:val="0"/>
              <w:autoSpaceDE w:val="0"/>
              <w:autoSpaceDN w:val="0"/>
              <w:adjustRightInd w:val="0"/>
              <w:ind w:left="266" w:hanging="266"/>
              <w:textAlignment w:val="baseline"/>
            </w:pPr>
            <w:r>
              <w:t xml:space="preserve">COM(2026) 11 final </w:t>
            </w:r>
          </w:p>
          <w:p w14:paraId="1457E830" w14:textId="583DA8F1" w:rsidR="007A3096" w:rsidRPr="007A3096" w:rsidRDefault="007A3096" w:rsidP="00B56575">
            <w:pPr>
              <w:tabs>
                <w:tab w:val="center" w:pos="284"/>
              </w:tabs>
              <w:overflowPunct w:val="0"/>
              <w:autoSpaceDE w:val="0"/>
              <w:autoSpaceDN w:val="0"/>
              <w:adjustRightInd w:val="0"/>
              <w:ind w:left="266" w:right="1458" w:hanging="266"/>
              <w:textAlignment w:val="baseline"/>
            </w:pPr>
            <w:r>
              <w:t xml:space="preserve">COM(2026) 13 final </w:t>
            </w:r>
          </w:p>
          <w:p w14:paraId="0B733C5A" w14:textId="1B1A251B" w:rsidR="004D2D6F" w:rsidRPr="007A3096" w:rsidRDefault="007A3096" w:rsidP="00E82CD4">
            <w:pPr>
              <w:tabs>
                <w:tab w:val="center" w:pos="284"/>
              </w:tabs>
              <w:overflowPunct w:val="0"/>
              <w:autoSpaceDE w:val="0"/>
              <w:autoSpaceDN w:val="0"/>
              <w:adjustRightInd w:val="0"/>
              <w:ind w:left="266" w:hanging="266"/>
              <w:textAlignment w:val="baseline"/>
              <w:rPr>
                <w:lang w:val="pt-PT"/>
              </w:rPr>
            </w:pPr>
            <w:r>
              <w:t>EESC-2026-00075-00-00-AC</w:t>
            </w: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Punti principali</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Il CESE: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E82CD4">
      <w:pPr>
        <w:widowControl w:val="0"/>
        <w:numPr>
          <w:ilvl w:val="0"/>
          <w:numId w:val="37"/>
        </w:numPr>
        <w:overflowPunct w:val="0"/>
        <w:autoSpaceDE w:val="0"/>
        <w:autoSpaceDN w:val="0"/>
        <w:adjustRightInd w:val="0"/>
        <w:ind w:left="709" w:hanging="425"/>
        <w:textAlignment w:val="baseline"/>
        <w:rPr>
          <w:bCs/>
          <w:iCs/>
        </w:rPr>
      </w:pPr>
      <w:r>
        <w:t xml:space="preserve">accoglie con favore la revisione del regolamento sulla cibersicurezza e gli aggiornamenti introdotti nella direttiva NIS 2 ("direttiva riveduta sulla sicurezza delle reti e dei sistemi informativi"), sottolineando che la cibersicurezza deve essere considerata </w:t>
      </w:r>
      <w:r>
        <w:rPr>
          <w:b/>
          <w:bCs/>
        </w:rPr>
        <w:t>una questione centrale in tema di sicurezza economica e resilienza geopolitica</w:t>
      </w:r>
      <w:r>
        <w:t>, provvedendo nel contempo a semplificare le norme e a ridurre gli oneri amministrativi per le imprese;</w:t>
      </w:r>
    </w:p>
    <w:p w14:paraId="31A5FE88" w14:textId="77777777" w:rsidR="007A3096" w:rsidRPr="007A3096" w:rsidRDefault="007A3096" w:rsidP="00E82CD4">
      <w:pPr>
        <w:widowControl w:val="0"/>
        <w:numPr>
          <w:ilvl w:val="0"/>
          <w:numId w:val="37"/>
        </w:numPr>
        <w:overflowPunct w:val="0"/>
        <w:autoSpaceDE w:val="0"/>
        <w:autoSpaceDN w:val="0"/>
        <w:adjustRightInd w:val="0"/>
        <w:ind w:left="709" w:hanging="425"/>
        <w:textAlignment w:val="baseline"/>
        <w:rPr>
          <w:bCs/>
          <w:iCs/>
        </w:rPr>
      </w:pPr>
      <w:r>
        <w:t xml:space="preserve">chiede che </w:t>
      </w:r>
      <w:r>
        <w:rPr>
          <w:b/>
          <w:bCs/>
        </w:rPr>
        <w:t>l'Agenzia dell'Unione europea per la cibersicurezza (ENISA) sia rafforzata e dotata di maggiori risorse</w:t>
      </w:r>
      <w:r>
        <w:t>, disponga di un mandato chiaro e consolidato nonché di finanziamenti e personale sufficienti per adempiere efficacemente ai nuovi compiti che le sono stati assegnati, anche in materia di sviluppo di competenze e certificazione;</w:t>
      </w:r>
    </w:p>
    <w:p w14:paraId="48226406" w14:textId="77777777" w:rsidR="007A3096" w:rsidRPr="007A3096" w:rsidRDefault="007A3096" w:rsidP="00E82CD4">
      <w:pPr>
        <w:widowControl w:val="0"/>
        <w:numPr>
          <w:ilvl w:val="0"/>
          <w:numId w:val="37"/>
        </w:numPr>
        <w:overflowPunct w:val="0"/>
        <w:autoSpaceDE w:val="0"/>
        <w:autoSpaceDN w:val="0"/>
        <w:adjustRightInd w:val="0"/>
        <w:ind w:left="709" w:hanging="425"/>
        <w:textAlignment w:val="baseline"/>
        <w:rPr>
          <w:bCs/>
          <w:iCs/>
        </w:rPr>
      </w:pPr>
      <w:r>
        <w:t xml:space="preserve">sottolinea il ruolo fondamentale </w:t>
      </w:r>
      <w:r>
        <w:rPr>
          <w:b/>
          <w:bCs/>
        </w:rPr>
        <w:t>delle competenze e della formazione della forza lavoro</w:t>
      </w:r>
      <w:r>
        <w:t xml:space="preserve"> nella resilienza in materia di cibersicurezza, e sostiene l'adozione di quadri delle competenze e sistemi di certificazione a livello dell'UE, garantendo nel contempo che tali quadri e sistemi rimangano pratici, coordinati e accessibili in tutti gli Stati membri;</w:t>
      </w:r>
    </w:p>
    <w:p w14:paraId="6A6411FE" w14:textId="77777777" w:rsidR="007A3096" w:rsidRPr="007A3096" w:rsidRDefault="007A3096" w:rsidP="00E82CD4">
      <w:pPr>
        <w:widowControl w:val="0"/>
        <w:numPr>
          <w:ilvl w:val="0"/>
          <w:numId w:val="37"/>
        </w:numPr>
        <w:overflowPunct w:val="0"/>
        <w:autoSpaceDE w:val="0"/>
        <w:autoSpaceDN w:val="0"/>
        <w:adjustRightInd w:val="0"/>
        <w:ind w:left="709" w:hanging="425"/>
        <w:textAlignment w:val="baseline"/>
        <w:rPr>
          <w:bCs/>
          <w:iCs/>
        </w:rPr>
      </w:pPr>
      <w:r>
        <w:t xml:space="preserve">pone l'accento sulla crescente importanza che riveste la cibersicurezza per la </w:t>
      </w:r>
      <w:r>
        <w:rPr>
          <w:b/>
          <w:bCs/>
        </w:rPr>
        <w:t>resilienza democratica</w:t>
      </w:r>
      <w:r>
        <w:t xml:space="preserve">, esortando a </w:t>
      </w:r>
      <w:r>
        <w:rPr>
          <w:b/>
          <w:bCs/>
        </w:rPr>
        <w:t>rafforzare il coordinamento a livello dell'UE</w:t>
      </w:r>
      <w:r>
        <w:t xml:space="preserve"> per la protezione delle elezioni e delle infrastrutture critiche dagli attacchi informatici, dalla disinformazione e dalle ingerenze straniere;</w:t>
      </w:r>
    </w:p>
    <w:p w14:paraId="1C1338FC" w14:textId="77777777" w:rsidR="007A3096" w:rsidRPr="007A3096" w:rsidRDefault="007A3096" w:rsidP="00E82CD4">
      <w:pPr>
        <w:widowControl w:val="0"/>
        <w:numPr>
          <w:ilvl w:val="0"/>
          <w:numId w:val="37"/>
        </w:numPr>
        <w:overflowPunct w:val="0"/>
        <w:autoSpaceDE w:val="0"/>
        <w:autoSpaceDN w:val="0"/>
        <w:adjustRightInd w:val="0"/>
        <w:ind w:left="709" w:hanging="425"/>
        <w:textAlignment w:val="baseline"/>
        <w:rPr>
          <w:bCs/>
          <w:iCs/>
        </w:rPr>
      </w:pPr>
      <w:r>
        <w:t xml:space="preserve">è favorevole a un </w:t>
      </w:r>
      <w:r>
        <w:rPr>
          <w:b/>
          <w:bCs/>
        </w:rPr>
        <w:t>quadro di certificazione razionalizzato ed efficace</w:t>
      </w:r>
      <w:r>
        <w:t>, basato su un approccio "certificato una volta, certificato ovunque", che garantisca chiarezza giuridica, trasparenza e proporzionalità, in particolare per le PMI e gli operatori transfrontalieri;</w:t>
      </w:r>
    </w:p>
    <w:p w14:paraId="287DCAC1" w14:textId="77777777" w:rsidR="007A3096" w:rsidRPr="007A3096" w:rsidRDefault="007A3096" w:rsidP="00E82CD4">
      <w:pPr>
        <w:widowControl w:val="0"/>
        <w:numPr>
          <w:ilvl w:val="0"/>
          <w:numId w:val="37"/>
        </w:numPr>
        <w:overflowPunct w:val="0"/>
        <w:autoSpaceDE w:val="0"/>
        <w:autoSpaceDN w:val="0"/>
        <w:adjustRightInd w:val="0"/>
        <w:ind w:left="709" w:hanging="425"/>
        <w:textAlignment w:val="baseline"/>
        <w:rPr>
          <w:bCs/>
          <w:iCs/>
        </w:rPr>
      </w:pPr>
      <w:r>
        <w:t xml:space="preserve">invoca un </w:t>
      </w:r>
      <w:r>
        <w:rPr>
          <w:b/>
          <w:bCs/>
        </w:rPr>
        <w:t>approccio equilibrato in materia di sicurezza della catena di approvvigionamento delle TIC</w:t>
      </w:r>
      <w:r>
        <w:t>, con misure trasparenti e basate sul rischio e una valutazione completa degli impatti a livello economico, operativo e sociale, evitando nel contempo oneri di conformità eccessivi e garantendo un forte coinvolgimento delle parti sociali e dei portatori di interessi.</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83352" w:rsidRPr="00A83352" w14:paraId="6378B503" w14:textId="77777777" w:rsidTr="002E7EFB">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Contatto</w:t>
            </w:r>
          </w:p>
        </w:tc>
        <w:tc>
          <w:tcPr>
            <w:tcW w:w="5670"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Silvia STAFFA</w:t>
            </w:r>
          </w:p>
        </w:tc>
      </w:tr>
      <w:tr w:rsidR="00A83352" w:rsidRPr="00A83352" w14:paraId="3427545F" w14:textId="77777777" w:rsidTr="002E7EFB">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Tel.</w:t>
            </w:r>
          </w:p>
        </w:tc>
        <w:tc>
          <w:tcPr>
            <w:tcW w:w="5670"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+32 25468378</w:t>
            </w:r>
          </w:p>
        </w:tc>
      </w:tr>
      <w:tr w:rsidR="00A83352" w:rsidRPr="00A83352" w14:paraId="72DC4E78" w14:textId="77777777" w:rsidTr="002E7EFB">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E-mail</w:t>
            </w:r>
          </w:p>
        </w:tc>
        <w:tc>
          <w:tcPr>
            <w:tcW w:w="5670" w:type="dxa"/>
          </w:tcPr>
          <w:p w14:paraId="1D8269C1" w14:textId="08503629" w:rsidR="00A83352" w:rsidRPr="00A83352" w:rsidRDefault="00291C11" w:rsidP="00A83352">
            <w:pPr>
              <w:overflowPunct w:val="0"/>
              <w:autoSpaceDE w:val="0"/>
              <w:autoSpaceDN w:val="0"/>
              <w:adjustRightInd w:val="0"/>
              <w:spacing w:line="240" w:lineRule="auto"/>
              <w:textAlignment w:val="baseline"/>
              <w:rPr>
                <w:i/>
              </w:rPr>
            </w:pPr>
            <w:hyperlink r:id="rId44" w:history="1">
              <w:r>
                <w:rPr>
                  <w:i/>
                  <w:color w:val="0000FF"/>
                  <w:u w:val="single"/>
                </w:rPr>
                <w:t>Silvia.</w:t>
              </w:r>
              <w:r w:rsidR="00E82CD4">
                <w:rPr>
                  <w:i/>
                  <w:color w:val="0000FF"/>
                  <w:u w:val="single"/>
                </w:rPr>
                <w:t>STAFFA</w:t>
              </w:r>
              <w:r>
                <w:rPr>
                  <w:i/>
                  <w:color w:val="0000FF"/>
                  <w:u w:val="single"/>
                </w:rPr>
                <w:t>@eesc.europa.eu</w:t>
              </w:r>
            </w:hyperlink>
          </w:p>
          <w:p w14:paraId="2F1FD287" w14:textId="77777777" w:rsidR="00A83352" w:rsidRPr="00A83352" w:rsidRDefault="00A83352" w:rsidP="00A83352">
            <w:pPr>
              <w:overflowPunct w:val="0"/>
              <w:autoSpaceDE w:val="0"/>
              <w:autoSpaceDN w:val="0"/>
              <w:adjustRightInd w:val="0"/>
              <w:spacing w:line="240" w:lineRule="auto"/>
              <w:textAlignment w:val="baseline"/>
              <w:rPr>
                <w:i/>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6260F98C" w:rsidR="00665940" w:rsidRPr="00665940" w:rsidRDefault="00291C11"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Pr>
            <w:b/>
            <w:i/>
            <w:color w:val="0000FF"/>
            <w:sz w:val="28"/>
            <w:u w:val="single"/>
          </w:rPr>
          <w:t>Sviluppo di un centro europeo di eccellenza clinica per i prodotti farmaceutici</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665940" w:rsidRPr="00665940" w14:paraId="42EBD1F0" w14:textId="77777777" w:rsidTr="004C6742">
        <w:tc>
          <w:tcPr>
            <w:tcW w:w="1701"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Relatore</w:t>
            </w:r>
          </w:p>
        </w:tc>
        <w:tc>
          <w:tcPr>
            <w:tcW w:w="6663"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r>
              <w:t>Veselin MITOV (Lavoratori - BG)</w:t>
            </w:r>
          </w:p>
        </w:tc>
      </w:tr>
      <w:tr w:rsidR="00665940" w:rsidRPr="00665940" w14:paraId="4D35B05F" w14:textId="77777777" w:rsidTr="004C6742">
        <w:tc>
          <w:tcPr>
            <w:tcW w:w="8364"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4C6742">
        <w:trPr>
          <w:trHeight w:val="404"/>
        </w:trPr>
        <w:tc>
          <w:tcPr>
            <w:tcW w:w="1701"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Riferimento</w:t>
            </w:r>
          </w:p>
        </w:tc>
        <w:tc>
          <w:tcPr>
            <w:tcW w:w="6663" w:type="dxa"/>
          </w:tcPr>
          <w:p w14:paraId="0BCAF6AE" w14:textId="03E7889E" w:rsidR="00665940" w:rsidRPr="00665940" w:rsidRDefault="00665940" w:rsidP="00F170AA">
            <w:pPr>
              <w:tabs>
                <w:tab w:val="center" w:pos="284"/>
              </w:tabs>
              <w:overflowPunct w:val="0"/>
              <w:autoSpaceDE w:val="0"/>
              <w:autoSpaceDN w:val="0"/>
              <w:adjustRightInd w:val="0"/>
              <w:ind w:left="266" w:right="-254" w:hanging="266"/>
              <w:textAlignment w:val="baseline"/>
            </w:pPr>
            <w:r>
              <w:t>Parere esplorativo richiesto dalla presidenza cipriota del Consiglio dell'UE</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Punti principali</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Il CESE:</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E82CD4">
      <w:pPr>
        <w:widowControl w:val="0"/>
        <w:numPr>
          <w:ilvl w:val="0"/>
          <w:numId w:val="38"/>
        </w:numPr>
        <w:overflowPunct w:val="0"/>
        <w:autoSpaceDE w:val="0"/>
        <w:autoSpaceDN w:val="0"/>
        <w:adjustRightInd w:val="0"/>
        <w:ind w:left="709" w:hanging="425"/>
        <w:textAlignment w:val="baseline"/>
        <w:rPr>
          <w:bCs/>
          <w:iCs/>
        </w:rPr>
      </w:pPr>
      <w:r>
        <w:t>raccomanda di istituire un centro europeo di eccellenza clinica (di seguito anche semplicemente "il centro") che operi quale organismo di riferimento non vincolante dell'UE per tradurre le evidenze scientifiche in orientamenti clinici di alta qualità, rispettando pienamente i principi di sussidiarietà e proporzionalità e promuovendo un accesso equo all'assistenza di alta qualità in tutta l'UE;</w:t>
      </w:r>
    </w:p>
    <w:p w14:paraId="3658F039" w14:textId="77777777" w:rsidR="00665940" w:rsidRPr="00665940" w:rsidRDefault="00665940" w:rsidP="00E82CD4">
      <w:pPr>
        <w:widowControl w:val="0"/>
        <w:numPr>
          <w:ilvl w:val="0"/>
          <w:numId w:val="38"/>
        </w:numPr>
        <w:overflowPunct w:val="0"/>
        <w:autoSpaceDE w:val="0"/>
        <w:autoSpaceDN w:val="0"/>
        <w:adjustRightInd w:val="0"/>
        <w:ind w:left="709" w:hanging="425"/>
        <w:textAlignment w:val="baseline"/>
        <w:rPr>
          <w:bCs/>
          <w:iCs/>
        </w:rPr>
      </w:pPr>
      <w:r>
        <w:t>ritiene che il centro dovrebbe essere integrato in una più ampia strategia dell'UE per la resilienza sanitaria al fine di rafforzare la cooperazione scientifica, la diffusione dell'innovazione e l'autonomia strategica dell'UE;</w:t>
      </w:r>
    </w:p>
    <w:p w14:paraId="0D049DD7" w14:textId="77777777" w:rsidR="00665940" w:rsidRPr="00665940" w:rsidRDefault="00665940" w:rsidP="00E82CD4">
      <w:pPr>
        <w:widowControl w:val="0"/>
        <w:numPr>
          <w:ilvl w:val="0"/>
          <w:numId w:val="38"/>
        </w:numPr>
        <w:overflowPunct w:val="0"/>
        <w:autoSpaceDE w:val="0"/>
        <w:autoSpaceDN w:val="0"/>
        <w:adjustRightInd w:val="0"/>
        <w:ind w:left="709" w:hanging="425"/>
        <w:textAlignment w:val="baseline"/>
        <w:rPr>
          <w:bCs/>
          <w:iCs/>
        </w:rPr>
      </w:pPr>
      <w:r>
        <w:t>reputa che il centro dovrebbe integrare, e non sostituire, le strutture esistenti a livello nazionale e dell'UE, nonché fungere da punto di riferimento scientifico comune e operare all'interno di un solido quadro di governance;</w:t>
      </w:r>
    </w:p>
    <w:p w14:paraId="05280080" w14:textId="77777777" w:rsidR="00665940" w:rsidRPr="00665940" w:rsidRDefault="00665940" w:rsidP="00E82CD4">
      <w:pPr>
        <w:widowControl w:val="0"/>
        <w:numPr>
          <w:ilvl w:val="0"/>
          <w:numId w:val="38"/>
        </w:numPr>
        <w:overflowPunct w:val="0"/>
        <w:autoSpaceDE w:val="0"/>
        <w:autoSpaceDN w:val="0"/>
        <w:adjustRightInd w:val="0"/>
        <w:ind w:left="709" w:hanging="425"/>
        <w:textAlignment w:val="baseline"/>
        <w:rPr>
          <w:bCs/>
          <w:iCs/>
        </w:rPr>
      </w:pPr>
      <w:r>
        <w:t>è dell'avviso che il mandato del centro dovrebbe essere definito chiaramente, essere incentrato sull'eccellenza scientifica, la trasparenza e la rilevanza pratica e porre l'accento sull'analisi e la sintesi sistematiche dei dati clinici, comprese le valutazioni cliniche congiunte e le evidenze del mondo reale. Il centro dovrebbe elaborare, con efficacia non vincolante e basandosi su dati concreti, raccomandazioni in materia di farmacoterapia e protocolli clinici per sostenere il processo decisionale a livello nazionale;</w:t>
      </w:r>
    </w:p>
    <w:p w14:paraId="6AA7D53C" w14:textId="77777777" w:rsidR="00665940" w:rsidRPr="00665940" w:rsidRDefault="00665940" w:rsidP="00E82CD4">
      <w:pPr>
        <w:widowControl w:val="0"/>
        <w:numPr>
          <w:ilvl w:val="0"/>
          <w:numId w:val="38"/>
        </w:numPr>
        <w:overflowPunct w:val="0"/>
        <w:autoSpaceDE w:val="0"/>
        <w:autoSpaceDN w:val="0"/>
        <w:adjustRightInd w:val="0"/>
        <w:ind w:left="709" w:hanging="425"/>
        <w:textAlignment w:val="baseline"/>
      </w:pPr>
      <w:r>
        <w:t>raccomanda di istituire il centro europeo di eccellenza clinica come nuovo organismo decentrato dell'UE volto a garantire la coerenza scientifica, la continuità istituzionale e l'indipendenza, governato mediante un modello equilibrato e a più livelli che preveda il coinvolgimento di Stati membri, Commissione europea e società civile organizzata;</w:t>
      </w:r>
    </w:p>
    <w:p w14:paraId="43AC5B7A" w14:textId="77777777" w:rsidR="00665940" w:rsidRPr="00665940" w:rsidRDefault="00665940" w:rsidP="00E82CD4">
      <w:pPr>
        <w:widowControl w:val="0"/>
        <w:numPr>
          <w:ilvl w:val="0"/>
          <w:numId w:val="38"/>
        </w:numPr>
        <w:overflowPunct w:val="0"/>
        <w:autoSpaceDE w:val="0"/>
        <w:autoSpaceDN w:val="0"/>
        <w:adjustRightInd w:val="0"/>
        <w:ind w:left="709" w:hanging="425"/>
        <w:textAlignment w:val="baseline"/>
        <w:rPr>
          <w:rFonts w:asciiTheme="minorHAnsi" w:hAnsiTheme="minorHAnsi"/>
          <w:szCs w:val="20"/>
        </w:rPr>
      </w:pPr>
      <w:r>
        <w:t>ritiene che un finanziamento stabile, adeguato e prevedibile a titolo del bilancio dell'UE sia un prerequisito per la credibilità, l'indipendenza e l'efficacia a lungo termine del centro. Qualsiasi finanziamento complementare deve essere rigorosamente regolamentato e pienamente trasparente per evitare indebite influenze sulla produzione scientifica.</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65940" w:rsidRPr="00665940" w14:paraId="62BF535A" w14:textId="77777777" w:rsidTr="002E7EFB">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Contatto</w:t>
            </w:r>
          </w:p>
        </w:tc>
        <w:tc>
          <w:tcPr>
            <w:tcW w:w="5670"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r>
              <w:rPr>
                <w:i/>
              </w:rPr>
              <w:t>Radoslava STEFANKOVA</w:t>
            </w:r>
          </w:p>
        </w:tc>
      </w:tr>
      <w:tr w:rsidR="00665940" w:rsidRPr="00665940" w14:paraId="50843905" w14:textId="77777777" w:rsidTr="002E7EFB">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Tel.</w:t>
            </w:r>
          </w:p>
        </w:tc>
        <w:tc>
          <w:tcPr>
            <w:tcW w:w="5670"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+32 25468188</w:t>
            </w:r>
          </w:p>
        </w:tc>
      </w:tr>
      <w:tr w:rsidR="00665940" w:rsidRPr="00665940" w14:paraId="7215EA9F" w14:textId="77777777" w:rsidTr="002E7EFB">
        <w:tc>
          <w:tcPr>
            <w:tcW w:w="1418"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E-mail</w:t>
            </w:r>
          </w:p>
        </w:tc>
        <w:tc>
          <w:tcPr>
            <w:tcW w:w="5670" w:type="dxa"/>
          </w:tcPr>
          <w:p w14:paraId="51562D55" w14:textId="27843B66" w:rsidR="00665940" w:rsidRPr="00665940" w:rsidRDefault="00291C11" w:rsidP="00665940">
            <w:pPr>
              <w:overflowPunct w:val="0"/>
              <w:autoSpaceDE w:val="0"/>
              <w:autoSpaceDN w:val="0"/>
              <w:adjustRightInd w:val="0"/>
              <w:spacing w:line="240" w:lineRule="auto"/>
              <w:textAlignment w:val="baseline"/>
              <w:rPr>
                <w:i/>
              </w:rPr>
            </w:pPr>
            <w:hyperlink r:id="rId46" w:history="1">
              <w:r>
                <w:rPr>
                  <w:i/>
                  <w:color w:val="0000FF"/>
                  <w:u w:val="single"/>
                </w:rPr>
                <w:t>Radoslava.</w:t>
              </w:r>
              <w:r w:rsidR="00E82CD4">
                <w:rPr>
                  <w:i/>
                  <w:color w:val="0000FF"/>
                  <w:u w:val="single"/>
                </w:rPr>
                <w:t>STEFANKOVA</w:t>
              </w:r>
              <w:r>
                <w:rPr>
                  <w:i/>
                  <w:color w:val="0000FF"/>
                  <w:u w:val="single"/>
                </w:rPr>
                <w:t>@eesc.europa.eu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5B233A61" w:rsidR="00445258" w:rsidRPr="00445258" w:rsidRDefault="00445258"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Pr>
            <w:b/>
            <w:i/>
            <w:color w:val="0000FF"/>
            <w:sz w:val="28"/>
            <w:u w:val="single"/>
          </w:rPr>
          <w:t>Precursori di droghe</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445258" w:rsidRPr="00445258" w14:paraId="7E507868" w14:textId="77777777" w:rsidTr="002E7EFB">
        <w:tc>
          <w:tcPr>
            <w:tcW w:w="1148" w:type="pct"/>
          </w:tcPr>
          <w:p w14:paraId="3292FCF5"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Relatore</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5A2AAF34" w14:textId="77777777" w:rsidR="00445258" w:rsidRPr="00445258" w:rsidRDefault="00445258" w:rsidP="00445258">
            <w:pPr>
              <w:tabs>
                <w:tab w:val="center" w:pos="284"/>
              </w:tabs>
              <w:overflowPunct w:val="0"/>
              <w:autoSpaceDE w:val="0"/>
              <w:autoSpaceDN w:val="0"/>
              <w:adjustRightInd w:val="0"/>
              <w:ind w:left="266" w:hanging="266"/>
              <w:textAlignment w:val="baseline"/>
            </w:pPr>
          </w:p>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Diego DUTTO (Organizzazioni della società civile -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2E7EFB">
        <w:tc>
          <w:tcPr>
            <w:tcW w:w="1148"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Riferimento</w:t>
            </w:r>
          </w:p>
        </w:tc>
        <w:tc>
          <w:tcPr>
            <w:tcW w:w="3852"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r>
              <w:t xml:space="preserve">COM(2025) 747 final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Punti principali</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Il CESE raccomanda di:</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E82CD4">
      <w:pPr>
        <w:widowControl w:val="0"/>
        <w:numPr>
          <w:ilvl w:val="0"/>
          <w:numId w:val="40"/>
        </w:numPr>
        <w:overflowPunct w:val="0"/>
        <w:autoSpaceDE w:val="0"/>
        <w:autoSpaceDN w:val="0"/>
        <w:adjustRightInd w:val="0"/>
        <w:spacing w:line="276" w:lineRule="auto"/>
        <w:ind w:left="709" w:hanging="425"/>
        <w:textAlignment w:val="baseline"/>
        <w:rPr>
          <w:szCs w:val="20"/>
        </w:rPr>
      </w:pPr>
      <w:r>
        <w:t>garantire che l'accesso al "repertorio di informazioni sui precursori di droghe" sia interamente gratuito;</w:t>
      </w:r>
    </w:p>
    <w:p w14:paraId="015B0DA4" w14:textId="77777777" w:rsidR="00445258" w:rsidRPr="00445258" w:rsidRDefault="00445258" w:rsidP="00E82CD4">
      <w:pPr>
        <w:widowControl w:val="0"/>
        <w:numPr>
          <w:ilvl w:val="0"/>
          <w:numId w:val="40"/>
        </w:numPr>
        <w:overflowPunct w:val="0"/>
        <w:autoSpaceDE w:val="0"/>
        <w:autoSpaceDN w:val="0"/>
        <w:adjustRightInd w:val="0"/>
        <w:spacing w:line="276" w:lineRule="auto"/>
        <w:ind w:left="709" w:hanging="425"/>
        <w:textAlignment w:val="baseline"/>
        <w:rPr>
          <w:szCs w:val="20"/>
        </w:rPr>
      </w:pPr>
      <w:r>
        <w:t>prevedere l'esenzione totale dalla tassa per le licenze, o una riduzione significativa di tale tassa, per le università, gli istituti di ricerca e le organizzazioni filantropiche;</w:t>
      </w:r>
    </w:p>
    <w:p w14:paraId="1D26F15F" w14:textId="77777777" w:rsidR="00445258" w:rsidRPr="00445258" w:rsidRDefault="00445258" w:rsidP="00E82CD4">
      <w:pPr>
        <w:widowControl w:val="0"/>
        <w:numPr>
          <w:ilvl w:val="0"/>
          <w:numId w:val="40"/>
        </w:numPr>
        <w:overflowPunct w:val="0"/>
        <w:autoSpaceDE w:val="0"/>
        <w:autoSpaceDN w:val="0"/>
        <w:adjustRightInd w:val="0"/>
        <w:spacing w:line="276" w:lineRule="auto"/>
        <w:ind w:left="709" w:hanging="425"/>
        <w:textAlignment w:val="baseline"/>
        <w:rPr>
          <w:szCs w:val="20"/>
        </w:rPr>
      </w:pPr>
      <w:r>
        <w:t>semplificare le procedure di notificazione preventiva per l'uso di piccole quantità di precursori "di progettazione";</w:t>
      </w:r>
    </w:p>
    <w:p w14:paraId="7A06841B" w14:textId="77777777" w:rsidR="00445258" w:rsidRPr="00445258" w:rsidRDefault="00445258" w:rsidP="00E82CD4">
      <w:pPr>
        <w:widowControl w:val="0"/>
        <w:numPr>
          <w:ilvl w:val="0"/>
          <w:numId w:val="40"/>
        </w:numPr>
        <w:overflowPunct w:val="0"/>
        <w:autoSpaceDE w:val="0"/>
        <w:autoSpaceDN w:val="0"/>
        <w:adjustRightInd w:val="0"/>
        <w:spacing w:line="276" w:lineRule="auto"/>
        <w:ind w:left="709" w:hanging="425"/>
        <w:textAlignment w:val="baseline"/>
        <w:rPr>
          <w:szCs w:val="20"/>
        </w:rPr>
      </w:pPr>
      <w:r>
        <w:t>istituire un canale di orientamento tecnico dedicato per tutte le parti interessate, comprese le organizzazioni del terzo settore, che permetta di ottenere un chiarimento rapido sulla classificazione delle varianti delle sostanze;</w:t>
      </w:r>
    </w:p>
    <w:p w14:paraId="6706E6CC" w14:textId="77777777" w:rsidR="00445258" w:rsidRPr="00445258" w:rsidRDefault="00445258" w:rsidP="00E82CD4">
      <w:pPr>
        <w:widowControl w:val="0"/>
        <w:numPr>
          <w:ilvl w:val="0"/>
          <w:numId w:val="40"/>
        </w:numPr>
        <w:overflowPunct w:val="0"/>
        <w:autoSpaceDE w:val="0"/>
        <w:autoSpaceDN w:val="0"/>
        <w:adjustRightInd w:val="0"/>
        <w:spacing w:line="276" w:lineRule="auto"/>
        <w:ind w:left="709" w:hanging="425"/>
        <w:textAlignment w:val="baseline"/>
        <w:rPr>
          <w:szCs w:val="20"/>
        </w:rPr>
      </w:pPr>
      <w:r>
        <w:t>evitare l'incertezza giuridica che l'inclusione generica di gruppi di sostanze nella categoria 3 genera per i laboratori di ricerca, tramite la pubblicazione tempestiva di elenchi di esenzioni chiari ed esaustivi;</w:t>
      </w:r>
    </w:p>
    <w:p w14:paraId="0ED10065" w14:textId="77777777" w:rsidR="00445258" w:rsidRPr="00445258" w:rsidRDefault="00445258" w:rsidP="00E82CD4">
      <w:pPr>
        <w:widowControl w:val="0"/>
        <w:numPr>
          <w:ilvl w:val="0"/>
          <w:numId w:val="40"/>
        </w:numPr>
        <w:overflowPunct w:val="0"/>
        <w:autoSpaceDE w:val="0"/>
        <w:autoSpaceDN w:val="0"/>
        <w:adjustRightInd w:val="0"/>
        <w:spacing w:line="276" w:lineRule="auto"/>
        <w:ind w:left="709" w:hanging="425"/>
        <w:textAlignment w:val="baseline"/>
        <w:rPr>
          <w:szCs w:val="20"/>
        </w:rPr>
      </w:pPr>
      <w:r>
        <w:t xml:space="preserve">coinvolgere nelle attività di sensibilizzazione e formazione le organizzazioni della società civile specializzate nella prevenzione della dipendenza e nella riduzione del danno; </w:t>
      </w:r>
    </w:p>
    <w:p w14:paraId="0308E5D5" w14:textId="77777777" w:rsidR="00445258" w:rsidRPr="00445258" w:rsidRDefault="00445258" w:rsidP="00E82CD4">
      <w:pPr>
        <w:widowControl w:val="0"/>
        <w:numPr>
          <w:ilvl w:val="0"/>
          <w:numId w:val="40"/>
        </w:numPr>
        <w:overflowPunct w:val="0"/>
        <w:autoSpaceDE w:val="0"/>
        <w:autoSpaceDN w:val="0"/>
        <w:adjustRightInd w:val="0"/>
        <w:spacing w:line="276" w:lineRule="auto"/>
        <w:ind w:left="709" w:hanging="425"/>
        <w:textAlignment w:val="baseline"/>
        <w:rPr>
          <w:szCs w:val="20"/>
        </w:rPr>
      </w:pPr>
      <w:r>
        <w:t>applicare in maniera flessibile l'obbligo di nominare un "funzionario responsabile" per le piccole organizzazioni civili, consentendo loro di designare un membro del personale;</w:t>
      </w:r>
    </w:p>
    <w:p w14:paraId="0765C645" w14:textId="77777777" w:rsidR="00445258" w:rsidRPr="00445258" w:rsidRDefault="00445258" w:rsidP="00E82CD4">
      <w:pPr>
        <w:widowControl w:val="0"/>
        <w:numPr>
          <w:ilvl w:val="0"/>
          <w:numId w:val="40"/>
        </w:numPr>
        <w:overflowPunct w:val="0"/>
        <w:autoSpaceDE w:val="0"/>
        <w:autoSpaceDN w:val="0"/>
        <w:adjustRightInd w:val="0"/>
        <w:spacing w:line="276" w:lineRule="auto"/>
        <w:ind w:left="709" w:hanging="425"/>
        <w:textAlignment w:val="baseline"/>
        <w:rPr>
          <w:szCs w:val="20"/>
        </w:rPr>
      </w:pPr>
      <w:r>
        <w:t xml:space="preserve">conseguire una regolamentazione omogenea nell'UE, il che aiuterà le autorità a monitorare il commercio delle sostanze e il loro uso nella ricerca in tutta Europa; </w:t>
      </w:r>
    </w:p>
    <w:p w14:paraId="6673E6C9" w14:textId="77777777" w:rsidR="00445258" w:rsidRPr="00445258" w:rsidRDefault="00445258" w:rsidP="00E82CD4">
      <w:pPr>
        <w:widowControl w:val="0"/>
        <w:numPr>
          <w:ilvl w:val="0"/>
          <w:numId w:val="40"/>
        </w:numPr>
        <w:overflowPunct w:val="0"/>
        <w:autoSpaceDE w:val="0"/>
        <w:autoSpaceDN w:val="0"/>
        <w:adjustRightInd w:val="0"/>
        <w:spacing w:line="276" w:lineRule="auto"/>
        <w:ind w:left="709" w:hanging="425"/>
        <w:textAlignment w:val="baseline"/>
        <w:rPr>
          <w:szCs w:val="20"/>
        </w:rPr>
      </w:pPr>
      <w:r>
        <w:t>proteggere l'autonomia dei ricercatori che utilizzano precursori di categoria 3 garantendo che i controlli dell'autorità competente siano basati sul rischio e non interferiscano con la riservatezza o l'integrità dei protocolli di ricerca scientifica.</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445258" w:rsidRPr="00445258" w14:paraId="34E47DF7" w14:textId="77777777" w:rsidTr="002E7EFB">
        <w:tc>
          <w:tcPr>
            <w:tcW w:w="1556"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Contatto</w:t>
            </w:r>
          </w:p>
        </w:tc>
        <w:tc>
          <w:tcPr>
            <w:tcW w:w="3444"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r>
              <w:rPr>
                <w:i/>
              </w:rPr>
              <w:t>Radoslava STEFANKOVA</w:t>
            </w:r>
          </w:p>
        </w:tc>
      </w:tr>
      <w:tr w:rsidR="00445258" w:rsidRPr="00445258" w14:paraId="12D23E6C" w14:textId="77777777" w:rsidTr="002E7EFB">
        <w:tc>
          <w:tcPr>
            <w:tcW w:w="1556"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Tel.</w:t>
            </w:r>
          </w:p>
        </w:tc>
        <w:tc>
          <w:tcPr>
            <w:tcW w:w="3444"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+32 25468188</w:t>
            </w:r>
          </w:p>
        </w:tc>
      </w:tr>
      <w:tr w:rsidR="00445258" w:rsidRPr="00445258" w14:paraId="751CD754" w14:textId="77777777" w:rsidTr="002E7EFB">
        <w:tc>
          <w:tcPr>
            <w:tcW w:w="1556"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E-mail</w:t>
            </w:r>
          </w:p>
        </w:tc>
        <w:tc>
          <w:tcPr>
            <w:tcW w:w="3444" w:type="pct"/>
          </w:tcPr>
          <w:p w14:paraId="7DA66FD2" w14:textId="3A8464F4" w:rsidR="00445258" w:rsidRPr="00445258" w:rsidRDefault="00291C11" w:rsidP="00445258">
            <w:pPr>
              <w:overflowPunct w:val="0"/>
              <w:autoSpaceDE w:val="0"/>
              <w:autoSpaceDN w:val="0"/>
              <w:adjustRightInd w:val="0"/>
              <w:spacing w:line="240" w:lineRule="auto"/>
              <w:textAlignment w:val="baseline"/>
              <w:rPr>
                <w:i/>
                <w:iCs/>
              </w:rPr>
            </w:pPr>
            <w:hyperlink r:id="rId48" w:history="1">
              <w:r>
                <w:rPr>
                  <w:i/>
                  <w:color w:val="0000FF"/>
                  <w:u w:val="single"/>
                </w:rPr>
                <w:t>Radoslava.</w:t>
              </w:r>
              <w:r w:rsidR="00E82CD4">
                <w:rPr>
                  <w:i/>
                  <w:color w:val="0000FF"/>
                  <w:u w:val="single"/>
                </w:rPr>
                <w:t>STEFANKOVA</w:t>
              </w:r>
              <w:r>
                <w:rPr>
                  <w:i/>
                  <w:color w:val="0000FF"/>
                  <w:u w:val="single"/>
                </w:rPr>
                <w:t>@eesc.europa.eu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61D74693" w:rsidR="00DE758A" w:rsidRPr="00DE758A" w:rsidRDefault="00DE758A"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Pr>
            <w:b/>
            <w:i/>
            <w:color w:val="0000FF"/>
            <w:sz w:val="28"/>
            <w:u w:val="single"/>
          </w:rPr>
          <w:t>Proposta di regolamento - Revisione mirata delle norme dell'UE sui dispositivi medici e sulla diagnostica in vitro</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094"/>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Relatore</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r>
              <w:t>Danko RELIĆ (Organizzazioni della società civile -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Riferimenti</w:t>
            </w:r>
          </w:p>
        </w:tc>
        <w:tc>
          <w:tcPr>
            <w:tcW w:w="3771" w:type="pct"/>
          </w:tcPr>
          <w:p w14:paraId="6D00FAF5" w14:textId="56D763D6" w:rsidR="00DE758A" w:rsidRPr="00DE758A" w:rsidRDefault="00DE758A" w:rsidP="00DE758A">
            <w:pPr>
              <w:tabs>
                <w:tab w:val="center" w:pos="284"/>
              </w:tabs>
              <w:overflowPunct w:val="0"/>
              <w:autoSpaceDE w:val="0"/>
              <w:autoSpaceDN w:val="0"/>
              <w:adjustRightInd w:val="0"/>
              <w:ind w:left="266" w:hanging="266"/>
              <w:textAlignment w:val="baseline"/>
            </w:pPr>
            <w:r>
              <w:t xml:space="preserve">COM(2025) 1023 final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Punti principali</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Il CESE:</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E82CD4">
      <w:pPr>
        <w:pStyle w:val="ListParagraph"/>
        <w:numPr>
          <w:ilvl w:val="0"/>
          <w:numId w:val="77"/>
        </w:numPr>
        <w:ind w:left="709" w:hanging="425"/>
      </w:pPr>
      <w:r>
        <w:t>accoglie con favore la proposta della Commissione di semplificare e razionalizzare il quadro normativo relativo ai dispositivi medici e ai dispositivi medico-diagnostici in vitro (IVD), senza che ciò pregiudichi la sicurezza dei pazienti, la protezione della salute pubblica e la fiducia nel sistema normativo;</w:t>
      </w:r>
    </w:p>
    <w:p w14:paraId="3F3B23CD" w14:textId="77777777" w:rsidR="00DE758A" w:rsidRPr="004C6742" w:rsidRDefault="00DE758A" w:rsidP="00E82CD4">
      <w:pPr>
        <w:pStyle w:val="ListParagraph"/>
        <w:numPr>
          <w:ilvl w:val="0"/>
          <w:numId w:val="77"/>
        </w:numPr>
        <w:ind w:left="709" w:hanging="425"/>
      </w:pPr>
      <w:r>
        <w:t xml:space="preserve">sottolinea che </w:t>
      </w:r>
      <w:r>
        <w:rPr>
          <w:b/>
          <w:bCs/>
        </w:rPr>
        <w:t>la semplificazione deve garantire la certezza del diritto, la prevedibilità degli esiti della certificazione e pratiche armonizzate tra gli Stati membri</w:t>
      </w:r>
      <w:r>
        <w:t>, in modo da evitare divergenze tra gli organismi notificati e proteggere le PMI e le microimprese dall'incertezza;</w:t>
      </w:r>
    </w:p>
    <w:p w14:paraId="5AD93FCB" w14:textId="77777777" w:rsidR="00DE758A" w:rsidRPr="004C6742" w:rsidRDefault="00DE758A" w:rsidP="00E82CD4">
      <w:pPr>
        <w:pStyle w:val="ListParagraph"/>
        <w:numPr>
          <w:ilvl w:val="0"/>
          <w:numId w:val="77"/>
        </w:numPr>
        <w:ind w:left="709" w:hanging="425"/>
      </w:pPr>
      <w:r>
        <w:t xml:space="preserve">pone in evidenza che </w:t>
      </w:r>
      <w:r>
        <w:rPr>
          <w:b/>
          <w:bCs/>
        </w:rPr>
        <w:t>la digitalizzazione della valutazione della conformità e degli audit deve evitare la duplicazione dei requisiti e costi aggiuntivi</w:t>
      </w:r>
      <w:r>
        <w:t>, in particolare per le PMI, i lavoratori e il personale sanitario, e deve essere sostenuta da orientamenti chiari, formazione e assistenza tecnica;</w:t>
      </w:r>
    </w:p>
    <w:p w14:paraId="5B714428" w14:textId="77777777" w:rsidR="00DE758A" w:rsidRPr="004C6742" w:rsidRDefault="00DE758A" w:rsidP="00E82CD4">
      <w:pPr>
        <w:pStyle w:val="ListParagraph"/>
        <w:numPr>
          <w:ilvl w:val="0"/>
          <w:numId w:val="77"/>
        </w:numPr>
        <w:ind w:left="709" w:hanging="425"/>
      </w:pPr>
      <w:r>
        <w:t xml:space="preserve">ribadisce che </w:t>
      </w:r>
      <w:r>
        <w:rPr>
          <w:b/>
          <w:bCs/>
        </w:rPr>
        <w:t>la semplificazione non deve essere compromessa da un aumento delle tariffe applicate dagli organismi notificati</w:t>
      </w:r>
      <w:r>
        <w:t xml:space="preserve"> e che </w:t>
      </w:r>
      <w:r>
        <w:rPr>
          <w:b/>
          <w:bCs/>
        </w:rPr>
        <w:t>i sistemi di sorveglianza e vigilanza nella fase successiva all'immissione sul mercato devono essere rafforzati</w:t>
      </w:r>
      <w:r>
        <w:t xml:space="preserve"> quale meccanismo di compensazione fondamentale per requisiti più flessibili da osservare prima dell'immissione sul mercato;</w:t>
      </w:r>
    </w:p>
    <w:p w14:paraId="2350A493" w14:textId="77777777" w:rsidR="00DE758A" w:rsidRPr="004C6742" w:rsidRDefault="00DE758A" w:rsidP="00E82CD4">
      <w:pPr>
        <w:pStyle w:val="ListParagraph"/>
        <w:numPr>
          <w:ilvl w:val="0"/>
          <w:numId w:val="77"/>
        </w:numPr>
        <w:ind w:left="709" w:hanging="425"/>
      </w:pPr>
      <w:r>
        <w:t xml:space="preserve">appoggia </w:t>
      </w:r>
      <w:r>
        <w:rPr>
          <w:b/>
          <w:bCs/>
        </w:rPr>
        <w:t>percorsi normativi favorevoli all'innovazione per i dispositivi pionieristici e orfani, garantendo nel contempo la trasparenza</w:t>
      </w:r>
      <w:r>
        <w:t xml:space="preserve"> (anche attraverso EUDAMED), e chiede il </w:t>
      </w:r>
      <w:r>
        <w:rPr>
          <w:b/>
          <w:bCs/>
        </w:rPr>
        <w:t>coinvolgimento</w:t>
      </w:r>
      <w:r>
        <w:t xml:space="preserve"> sistematico </w:t>
      </w:r>
      <w:r>
        <w:rPr>
          <w:b/>
          <w:bCs/>
        </w:rPr>
        <w:t>delle parti sociali, degli operatori sanitari e della società civile</w:t>
      </w:r>
      <w:r>
        <w:t xml:space="preserve"> nel monitoraggio dell'attuazione e degli impatti.</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5029"/>
      </w:tblGrid>
      <w:tr w:rsidR="00DE758A" w:rsidRPr="00DE758A" w14:paraId="5DE0DD71" w14:textId="77777777" w:rsidTr="002E7EFB">
        <w:tc>
          <w:tcPr>
            <w:tcW w:w="1059"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Contatto</w:t>
            </w:r>
          </w:p>
        </w:tc>
        <w:tc>
          <w:tcPr>
            <w:tcW w:w="3941"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Silvia STAFFA</w:t>
            </w:r>
          </w:p>
        </w:tc>
      </w:tr>
      <w:tr w:rsidR="00DE758A" w:rsidRPr="00DE758A" w14:paraId="3624305D" w14:textId="77777777" w:rsidTr="002E7EFB">
        <w:tc>
          <w:tcPr>
            <w:tcW w:w="1059"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Tel.</w:t>
            </w:r>
          </w:p>
        </w:tc>
        <w:tc>
          <w:tcPr>
            <w:tcW w:w="3941"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+ 32 25468378</w:t>
            </w:r>
          </w:p>
        </w:tc>
      </w:tr>
      <w:tr w:rsidR="00DE758A" w:rsidRPr="00DE758A" w14:paraId="7362C1AC" w14:textId="77777777" w:rsidTr="002E7EFB">
        <w:tc>
          <w:tcPr>
            <w:tcW w:w="1059"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E-mail</w:t>
            </w:r>
          </w:p>
        </w:tc>
        <w:tc>
          <w:tcPr>
            <w:tcW w:w="3941" w:type="pct"/>
          </w:tcPr>
          <w:p w14:paraId="7476247D" w14:textId="38C8F562" w:rsidR="00DE758A" w:rsidRPr="00DE758A" w:rsidRDefault="00291C11" w:rsidP="00DE758A">
            <w:pPr>
              <w:overflowPunct w:val="0"/>
              <w:autoSpaceDE w:val="0"/>
              <w:autoSpaceDN w:val="0"/>
              <w:adjustRightInd w:val="0"/>
              <w:spacing w:line="240" w:lineRule="auto"/>
              <w:textAlignment w:val="baseline"/>
              <w:rPr>
                <w:i/>
                <w:iCs/>
              </w:rPr>
            </w:pPr>
            <w:hyperlink r:id="rId50" w:history="1">
              <w:r>
                <w:rPr>
                  <w:i/>
                  <w:color w:val="0000FF"/>
                  <w:u w:val="single"/>
                </w:rPr>
                <w:t>Silvia.</w:t>
              </w:r>
              <w:r w:rsidR="00E82CD4">
                <w:rPr>
                  <w:i/>
                  <w:color w:val="0000FF"/>
                  <w:u w:val="single"/>
                </w:rPr>
                <w:t>STAFFA</w:t>
              </w:r>
              <w:r>
                <w:rPr>
                  <w:i/>
                  <w:color w:val="0000FF"/>
                  <w:u w:val="single"/>
                </w:rPr>
                <w:t>@eesc.europa.eu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6AED6EF6" w:rsidR="00CB6F1C" w:rsidRPr="00CB6F1C" w:rsidRDefault="00CB6F1C"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Pr>
            <w:b/>
            <w:i/>
            <w:color w:val="0000FF"/>
            <w:sz w:val="28"/>
            <w:u w:val="single"/>
          </w:rPr>
          <w:t>Una normazione strategica per un mercato unico più forte</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Relatore</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r>
              <w:t>Angelo PAGLIARA (Lavoratori -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vMerge w:val="restart"/>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Riferimento</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t>Parere d'iniziativa</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t>EESC-2026-00549-00-00-AC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Punti principali</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Il CESE:</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E82CD4">
      <w:pPr>
        <w:widowControl w:val="0"/>
        <w:numPr>
          <w:ilvl w:val="0"/>
          <w:numId w:val="42"/>
        </w:numPr>
        <w:overflowPunct w:val="0"/>
        <w:autoSpaceDE w:val="0"/>
        <w:autoSpaceDN w:val="0"/>
        <w:adjustRightInd w:val="0"/>
        <w:spacing w:line="276" w:lineRule="auto"/>
        <w:ind w:left="709" w:hanging="425"/>
        <w:textAlignment w:val="baseline"/>
        <w:rPr>
          <w:bCs/>
          <w:iCs/>
        </w:rPr>
      </w:pPr>
      <w:r>
        <w:t>sottolinea che l'</w:t>
      </w:r>
      <w:r>
        <w:rPr>
          <w:b/>
          <w:bCs/>
        </w:rPr>
        <w:t>inclusività</w:t>
      </w:r>
      <w:r>
        <w:t xml:space="preserve"> è una condizione essenziale per la legittimità e l'efficacia del sistema di normazione, e chiede una </w:t>
      </w:r>
      <w:r>
        <w:rPr>
          <w:b/>
          <w:bCs/>
        </w:rPr>
        <w:t>maggiore partecipazione delle PMI, dei sindacati e delle organizzazioni della società civile</w:t>
      </w:r>
      <w:r>
        <w:t>, sostenuta da finanziamenti adeguati, dal rafforzamento delle capacità e da un accesso semplificato;</w:t>
      </w:r>
    </w:p>
    <w:p w14:paraId="0EF2C817" w14:textId="77777777" w:rsidR="00CB6F1C" w:rsidRPr="00CB6F1C" w:rsidRDefault="00CB6F1C" w:rsidP="00E82CD4">
      <w:pPr>
        <w:widowControl w:val="0"/>
        <w:numPr>
          <w:ilvl w:val="0"/>
          <w:numId w:val="42"/>
        </w:numPr>
        <w:overflowPunct w:val="0"/>
        <w:autoSpaceDE w:val="0"/>
        <w:autoSpaceDN w:val="0"/>
        <w:adjustRightInd w:val="0"/>
        <w:spacing w:line="276" w:lineRule="auto"/>
        <w:ind w:left="709" w:hanging="425"/>
        <w:textAlignment w:val="baseline"/>
        <w:rPr>
          <w:bCs/>
          <w:iCs/>
        </w:rPr>
      </w:pPr>
      <w:r>
        <w:t xml:space="preserve">chiede garanzie chiare per proteggere il dialogo sociale, insistendo sul fatto che le </w:t>
      </w:r>
      <w:r>
        <w:rPr>
          <w:b/>
          <w:bCs/>
        </w:rPr>
        <w:t>norme europee devono rimanere strumenti tecnici a sostegno della legislazione</w:t>
      </w:r>
      <w:r>
        <w:t xml:space="preserve"> e non devono disciplinare né interferire con i diritti dei lavoratori, le condizioni di lavoro o la contrattazione collettiva;</w:t>
      </w:r>
    </w:p>
    <w:p w14:paraId="12F2C5AB" w14:textId="77777777" w:rsidR="00CB6F1C" w:rsidRPr="00CB6F1C" w:rsidRDefault="00CB6F1C" w:rsidP="00E82CD4">
      <w:pPr>
        <w:widowControl w:val="0"/>
        <w:numPr>
          <w:ilvl w:val="0"/>
          <w:numId w:val="42"/>
        </w:numPr>
        <w:overflowPunct w:val="0"/>
        <w:autoSpaceDE w:val="0"/>
        <w:autoSpaceDN w:val="0"/>
        <w:adjustRightInd w:val="0"/>
        <w:spacing w:line="276" w:lineRule="auto"/>
        <w:ind w:left="709" w:hanging="425"/>
        <w:textAlignment w:val="baseline"/>
        <w:rPr>
          <w:bCs/>
          <w:iCs/>
        </w:rPr>
      </w:pPr>
      <w:r>
        <w:t xml:space="preserve">raccomanda una </w:t>
      </w:r>
      <w:r>
        <w:rPr>
          <w:b/>
          <w:bCs/>
        </w:rPr>
        <w:t>maggiore trasparenza</w:t>
      </w:r>
      <w:r>
        <w:t xml:space="preserve"> e accessibilità, compresi un </w:t>
      </w:r>
      <w:r>
        <w:rPr>
          <w:b/>
          <w:bCs/>
        </w:rPr>
        <w:t>accesso più agevole del pubblico alle norme</w:t>
      </w:r>
      <w:r>
        <w:t xml:space="preserve">, una </w:t>
      </w:r>
      <w:r>
        <w:rPr>
          <w:b/>
        </w:rPr>
        <w:t>governance più chiara dei comitati tecnici</w:t>
      </w:r>
      <w:r>
        <w:t xml:space="preserve"> e una </w:t>
      </w:r>
      <w:r>
        <w:rPr>
          <w:b/>
        </w:rPr>
        <w:t>valutazione ex ante per le richieste di normazione</w:t>
      </w:r>
      <w:r>
        <w:t xml:space="preserve"> al fine di garantire il rispetto dei diritti fondamentali e della legislazione dell'UE;</w:t>
      </w:r>
    </w:p>
    <w:p w14:paraId="0695E427" w14:textId="77777777" w:rsidR="00CB6F1C" w:rsidRPr="00CB6F1C" w:rsidRDefault="00CB6F1C" w:rsidP="00E82CD4">
      <w:pPr>
        <w:widowControl w:val="0"/>
        <w:numPr>
          <w:ilvl w:val="0"/>
          <w:numId w:val="42"/>
        </w:numPr>
        <w:overflowPunct w:val="0"/>
        <w:autoSpaceDE w:val="0"/>
        <w:autoSpaceDN w:val="0"/>
        <w:adjustRightInd w:val="0"/>
        <w:spacing w:line="276" w:lineRule="auto"/>
        <w:ind w:left="709" w:hanging="425"/>
        <w:textAlignment w:val="baseline"/>
        <w:rPr>
          <w:bCs/>
          <w:iCs/>
        </w:rPr>
      </w:pPr>
      <w:r>
        <w:t xml:space="preserve">sottolinea il ruolo strategico della normazione nel rafforzare il mercato unico, la competitività e l'autonomia strategica aperta, sollecitando nel contempo </w:t>
      </w:r>
      <w:r>
        <w:rPr>
          <w:b/>
          <w:bCs/>
        </w:rPr>
        <w:t>un maggiore coordinamento dell'UE nella definizione di norme internazionali</w:t>
      </w:r>
      <w:r>
        <w:t xml:space="preserve"> per salvaguardare gli interessi europei e mantenere norme elevate;</w:t>
      </w:r>
    </w:p>
    <w:p w14:paraId="3F5E5408" w14:textId="77777777" w:rsidR="00CB6F1C" w:rsidRPr="00CB6F1C" w:rsidRDefault="00CB6F1C" w:rsidP="00E82CD4">
      <w:pPr>
        <w:widowControl w:val="0"/>
        <w:numPr>
          <w:ilvl w:val="0"/>
          <w:numId w:val="42"/>
        </w:numPr>
        <w:overflowPunct w:val="0"/>
        <w:autoSpaceDE w:val="0"/>
        <w:autoSpaceDN w:val="0"/>
        <w:adjustRightInd w:val="0"/>
        <w:spacing w:line="276" w:lineRule="auto"/>
        <w:ind w:left="709" w:hanging="425"/>
        <w:textAlignment w:val="baseline"/>
        <w:rPr>
          <w:bCs/>
          <w:iCs/>
        </w:rPr>
      </w:pPr>
      <w:r>
        <w:t xml:space="preserve">sostiene un sistema più efficiente e </w:t>
      </w:r>
      <w:r>
        <w:rPr>
          <w:b/>
        </w:rPr>
        <w:t>adeguato alle esigenze future</w:t>
      </w:r>
      <w:r>
        <w:t xml:space="preserve">, che migliori la </w:t>
      </w:r>
      <w:r>
        <w:rPr>
          <w:b/>
          <w:bCs/>
        </w:rPr>
        <w:t>tempestività</w:t>
      </w:r>
      <w:r>
        <w:t xml:space="preserve"> e la qualità tenendo conto allo stesso tempo delle </w:t>
      </w:r>
      <w:r>
        <w:rPr>
          <w:b/>
          <w:bCs/>
        </w:rPr>
        <w:t>tecnologie emergenti</w:t>
      </w:r>
      <w:r>
        <w:t xml:space="preserve"> e garantendo che le norme sostengano l'innovazione, la sostenibilità e </w:t>
      </w:r>
      <w:r>
        <w:rPr>
          <w:b/>
          <w:bCs/>
        </w:rPr>
        <w:t>livelli elevati di protezione dei lavoratori, dei consumatori e dell'ambiente</w:t>
      </w:r>
      <w: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CB6F1C" w:rsidRPr="00CB6F1C" w14:paraId="10996137" w14:textId="77777777" w:rsidTr="002E7EFB">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Contatto</w:t>
            </w:r>
          </w:p>
        </w:tc>
        <w:tc>
          <w:tcPr>
            <w:tcW w:w="5670"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Silvia STAFFA</w:t>
            </w:r>
          </w:p>
        </w:tc>
      </w:tr>
      <w:tr w:rsidR="00CB6F1C" w:rsidRPr="00CB6F1C" w14:paraId="79343DDB" w14:textId="77777777" w:rsidTr="002E7EFB">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Tel.</w:t>
            </w:r>
          </w:p>
        </w:tc>
        <w:tc>
          <w:tcPr>
            <w:tcW w:w="5670"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+32 25468378</w:t>
            </w:r>
          </w:p>
        </w:tc>
      </w:tr>
      <w:tr w:rsidR="00CB6F1C" w:rsidRPr="00CB6F1C" w14:paraId="47D09906" w14:textId="77777777" w:rsidTr="002E7EFB">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E-mail</w:t>
            </w:r>
          </w:p>
        </w:tc>
        <w:tc>
          <w:tcPr>
            <w:tcW w:w="5670" w:type="dxa"/>
          </w:tcPr>
          <w:p w14:paraId="06BF328F" w14:textId="5CAC4C5B" w:rsidR="00CB6F1C" w:rsidRPr="00CB6F1C" w:rsidRDefault="00291C11" w:rsidP="00CB6F1C">
            <w:pPr>
              <w:overflowPunct w:val="0"/>
              <w:autoSpaceDE w:val="0"/>
              <w:autoSpaceDN w:val="0"/>
              <w:adjustRightInd w:val="0"/>
              <w:spacing w:line="240" w:lineRule="auto"/>
              <w:textAlignment w:val="baseline"/>
              <w:rPr>
                <w:i/>
              </w:rPr>
            </w:pPr>
            <w:hyperlink r:id="rId52" w:history="1">
              <w:r>
                <w:rPr>
                  <w:i/>
                  <w:color w:val="0000FF"/>
                  <w:u w:val="single"/>
                </w:rPr>
                <w:t>Silvia.</w:t>
              </w:r>
              <w:r w:rsidR="00E82CD4">
                <w:rPr>
                  <w:i/>
                  <w:color w:val="0000FF"/>
                  <w:u w:val="single"/>
                </w:rPr>
                <w:t>STAFFA</w:t>
              </w:r>
              <w:r>
                <w:rPr>
                  <w:i/>
                  <w:color w:val="0000FF"/>
                  <w:u w:val="single"/>
                </w:rPr>
                <w:t>@eesc.europa.eu</w:t>
              </w:r>
            </w:hyperlink>
          </w:p>
          <w:p w14:paraId="7003408F" w14:textId="77777777" w:rsidR="00CB6F1C" w:rsidRPr="00CB6F1C" w:rsidRDefault="00CB6F1C" w:rsidP="00CB6F1C">
            <w:pPr>
              <w:overflowPunct w:val="0"/>
              <w:autoSpaceDE w:val="0"/>
              <w:autoSpaceDN w:val="0"/>
              <w:adjustRightInd w:val="0"/>
              <w:spacing w:line="240" w:lineRule="auto"/>
              <w:textAlignment w:val="baseline"/>
              <w:rPr>
                <w:i/>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14AFF478" w:rsidR="001F4150" w:rsidRPr="001F4150" w:rsidRDefault="00A067F3" w:rsidP="00E82CD4">
      <w:pPr>
        <w:widowControl w:val="0"/>
        <w:numPr>
          <w:ilvl w:val="0"/>
          <w:numId w:val="15"/>
        </w:numPr>
        <w:overflowPunct w:val="0"/>
        <w:autoSpaceDE w:val="0"/>
        <w:autoSpaceDN w:val="0"/>
        <w:adjustRightInd w:val="0"/>
        <w:spacing w:after="200" w:line="276" w:lineRule="auto"/>
        <w:ind w:left="567" w:hanging="567"/>
        <w:contextualSpacing/>
        <w:textAlignment w:val="baseline"/>
        <w:rPr>
          <w:b/>
          <w:sz w:val="28"/>
          <w:szCs w:val="28"/>
        </w:rPr>
      </w:pPr>
      <w:hyperlink r:id="rId53" w:history="1">
        <w:r>
          <w:rPr>
            <w:b/>
            <w:i/>
            <w:color w:val="0000FF"/>
            <w:sz w:val="28"/>
            <w:u w:val="single"/>
          </w:rPr>
          <w:t>Mercato unico - Contrastare le restrizioni territoriali dell'offerta ingiustificate</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1F4150" w:rsidRPr="001F4150" w14:paraId="27380A90" w14:textId="77777777" w:rsidTr="002E7EFB">
        <w:tc>
          <w:tcPr>
            <w:tcW w:w="1148" w:type="pct"/>
          </w:tcPr>
          <w:p w14:paraId="2F79F3A7"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p w14:paraId="7485093C" w14:textId="40B033F4"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Relatr</w:t>
            </w:r>
            <w:r w:rsidR="00854E09">
              <w:rPr>
                <w:b/>
              </w:rPr>
              <w:t>ic</w:t>
            </w:r>
            <w:r>
              <w:rPr>
                <w:b/>
              </w:rPr>
              <w:t>e</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1F4150" w:rsidRDefault="001F4150" w:rsidP="001F4150">
            <w:pPr>
              <w:tabs>
                <w:tab w:val="center" w:pos="284"/>
              </w:tabs>
              <w:overflowPunct w:val="0"/>
              <w:autoSpaceDE w:val="0"/>
              <w:autoSpaceDN w:val="0"/>
              <w:adjustRightInd w:val="0"/>
              <w:ind w:left="266" w:hanging="266"/>
              <w:textAlignment w:val="baseline"/>
            </w:pPr>
          </w:p>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r>
              <w:t>Antje GERSTEIN (Datori di lavoro -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Riferimento</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Parere esplorativo richiesto della Commissione europea</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Punti principali</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Il CESE:</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E82CD4">
      <w:pPr>
        <w:widowControl w:val="0"/>
        <w:numPr>
          <w:ilvl w:val="0"/>
          <w:numId w:val="39"/>
        </w:numPr>
        <w:overflowPunct w:val="0"/>
        <w:autoSpaceDE w:val="0"/>
        <w:autoSpaceDN w:val="0"/>
        <w:adjustRightInd w:val="0"/>
        <w:ind w:left="709" w:hanging="425"/>
        <w:textAlignment w:val="baseline"/>
        <w:rPr>
          <w:szCs w:val="20"/>
        </w:rPr>
      </w:pPr>
      <w:r>
        <w:t>ritiene che le restrizioni territoriali dell'offerta danneggino le imprese transfrontaliere e infrangano la promessa del mercato unico di offrire ai consumatori possibilità di scelta e concorrenza sui prezzi;</w:t>
      </w:r>
    </w:p>
    <w:p w14:paraId="58CB97FB" w14:textId="77777777" w:rsidR="001F4150" w:rsidRPr="001F4150" w:rsidRDefault="001F4150" w:rsidP="00E82CD4">
      <w:pPr>
        <w:widowControl w:val="0"/>
        <w:numPr>
          <w:ilvl w:val="0"/>
          <w:numId w:val="39"/>
        </w:numPr>
        <w:overflowPunct w:val="0"/>
        <w:autoSpaceDE w:val="0"/>
        <w:autoSpaceDN w:val="0"/>
        <w:adjustRightInd w:val="0"/>
        <w:ind w:left="709" w:hanging="425"/>
        <w:textAlignment w:val="baseline"/>
        <w:rPr>
          <w:szCs w:val="20"/>
        </w:rPr>
      </w:pPr>
      <w:r>
        <w:t>considera particolarmente importante che i consumatori e i lavoratori possano sfruttare tutti i potenziali benefici di un migliore funzionamento del mercato unico in termini di prezzi e di scelta dei prodotti;</w:t>
      </w:r>
    </w:p>
    <w:p w14:paraId="15925C71" w14:textId="77777777" w:rsidR="001F4150" w:rsidRPr="001F4150" w:rsidRDefault="001F4150" w:rsidP="00E82CD4">
      <w:pPr>
        <w:widowControl w:val="0"/>
        <w:numPr>
          <w:ilvl w:val="0"/>
          <w:numId w:val="39"/>
        </w:numPr>
        <w:overflowPunct w:val="0"/>
        <w:autoSpaceDE w:val="0"/>
        <w:autoSpaceDN w:val="0"/>
        <w:adjustRightInd w:val="0"/>
        <w:ind w:left="709" w:hanging="425"/>
        <w:textAlignment w:val="baseline"/>
        <w:rPr>
          <w:szCs w:val="20"/>
        </w:rPr>
      </w:pPr>
      <w:r>
        <w:t>esorta gli Stati membri a non adottare norme nazionali che rinazionalizzino ulteriormente il mercato dell'approvvigionamento, ma piuttosto a eliminare gli ostacoli ingiustificati alla libera circolazione delle merci, senza pregiudicare i requisiti legittimi in materia di tutela dei consumatori;</w:t>
      </w:r>
    </w:p>
    <w:p w14:paraId="2AF10FE0" w14:textId="77777777" w:rsidR="001F4150" w:rsidRPr="001F4150" w:rsidRDefault="001F4150" w:rsidP="00E82CD4">
      <w:pPr>
        <w:widowControl w:val="0"/>
        <w:numPr>
          <w:ilvl w:val="0"/>
          <w:numId w:val="39"/>
        </w:numPr>
        <w:overflowPunct w:val="0"/>
        <w:autoSpaceDE w:val="0"/>
        <w:autoSpaceDN w:val="0"/>
        <w:adjustRightInd w:val="0"/>
        <w:ind w:left="709" w:hanging="425"/>
        <w:textAlignment w:val="baseline"/>
        <w:rPr>
          <w:szCs w:val="20"/>
        </w:rPr>
      </w:pPr>
      <w:r>
        <w:t>ravvisa un valore aggiunto nell'esaminare la possibilità di elaborare orientamenti per le autorità nazionali garanti della concorrenza e i pertinenti portatori di interessi;</w:t>
      </w:r>
    </w:p>
    <w:p w14:paraId="7CFAE062" w14:textId="77777777" w:rsidR="001F4150" w:rsidRPr="001F4150" w:rsidRDefault="001F4150" w:rsidP="00E82CD4">
      <w:pPr>
        <w:numPr>
          <w:ilvl w:val="0"/>
          <w:numId w:val="39"/>
        </w:numPr>
        <w:overflowPunct w:val="0"/>
        <w:autoSpaceDE w:val="0"/>
        <w:autoSpaceDN w:val="0"/>
        <w:adjustRightInd w:val="0"/>
        <w:spacing w:after="200" w:line="276" w:lineRule="auto"/>
        <w:ind w:left="709" w:hanging="425"/>
        <w:contextualSpacing/>
        <w:textAlignment w:val="baseline"/>
        <w:rPr>
          <w:szCs w:val="20"/>
        </w:rPr>
      </w:pPr>
      <w:r>
        <w:t>chiede alla Commissione europea di considerare la possibilità di presentare proposte legislative basate sui principi del regolamento sui mercati digitali o della direttiva sulle pratiche commerciali sleali nella filiera agroalimentare, al fine di affrontare efficacemente le restrizioni territoriali dell'offerta e garantire pratiche commerciali più eque all'interno della filiera.</w:t>
      </w: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1F4150" w:rsidRPr="001F4150" w14:paraId="040FF66B" w14:textId="77777777" w:rsidTr="002E7EFB">
        <w:tc>
          <w:tcPr>
            <w:tcW w:w="1556"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Contatto</w:t>
            </w:r>
          </w:p>
        </w:tc>
        <w:tc>
          <w:tcPr>
            <w:tcW w:w="3444"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Annalisa TESSAROLO</w:t>
            </w:r>
          </w:p>
        </w:tc>
      </w:tr>
      <w:tr w:rsidR="001F4150" w:rsidRPr="001F4150" w14:paraId="5B08B574" w14:textId="77777777" w:rsidTr="002E7EFB">
        <w:tc>
          <w:tcPr>
            <w:tcW w:w="1556"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Tel.</w:t>
            </w:r>
          </w:p>
        </w:tc>
        <w:tc>
          <w:tcPr>
            <w:tcW w:w="3444"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+32 25469732</w:t>
            </w:r>
          </w:p>
        </w:tc>
      </w:tr>
      <w:tr w:rsidR="001F4150" w:rsidRPr="001F4150" w14:paraId="1C237976" w14:textId="77777777" w:rsidTr="002E7EFB">
        <w:tc>
          <w:tcPr>
            <w:tcW w:w="1556"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E-mail</w:t>
            </w:r>
          </w:p>
        </w:tc>
        <w:tc>
          <w:tcPr>
            <w:tcW w:w="3444" w:type="pct"/>
          </w:tcPr>
          <w:p w14:paraId="67D97326" w14:textId="724D1CB0" w:rsidR="001F4150" w:rsidRPr="001F4150" w:rsidRDefault="00291C11" w:rsidP="001F4150">
            <w:pPr>
              <w:overflowPunct w:val="0"/>
              <w:autoSpaceDE w:val="0"/>
              <w:autoSpaceDN w:val="0"/>
              <w:adjustRightInd w:val="0"/>
              <w:spacing w:line="240" w:lineRule="auto"/>
              <w:textAlignment w:val="baseline"/>
              <w:rPr>
                <w:i/>
                <w:iCs/>
              </w:rPr>
            </w:pPr>
            <w:hyperlink r:id="rId54" w:history="1">
              <w:r>
                <w:rPr>
                  <w:i/>
                  <w:color w:val="0000FF"/>
                  <w:u w:val="single"/>
                </w:rPr>
                <w:t>Annalisa.</w:t>
              </w:r>
              <w:r w:rsidR="00E82CD4">
                <w:rPr>
                  <w:i/>
                  <w:color w:val="0000FF"/>
                  <w:u w:val="single"/>
                </w:rPr>
                <w:t>TESSAROLO</w:t>
              </w:r>
              <w:r>
                <w:rPr>
                  <w:i/>
                  <w:color w:val="0000FF"/>
                  <w:u w:val="single"/>
                </w:rPr>
                <w:t>@eesc.europa.eu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021627C4" w:rsidR="00227AA1" w:rsidRPr="00227AA1" w:rsidRDefault="00291C11"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Pr>
            <w:b/>
            <w:i/>
            <w:color w:val="0000FF"/>
            <w:sz w:val="28"/>
            <w:u w:val="single"/>
          </w:rPr>
          <w:t>La strategia dell'UE per le start-up e le scale-up - con una particolare attenzione all'atto legislativo europeo a favore dell'innovazione</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227AA1" w14:paraId="6C2F2EA8" w14:textId="77777777" w:rsidTr="004C6742">
        <w:tc>
          <w:tcPr>
            <w:tcW w:w="1701"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Relatore</w:t>
            </w:r>
          </w:p>
        </w:tc>
        <w:tc>
          <w:tcPr>
            <w:tcW w:w="6663" w:type="dxa"/>
          </w:tcPr>
          <w:p w14:paraId="0C2DB9EA" w14:textId="7F8CAD64" w:rsidR="00227AA1" w:rsidRPr="00227AA1" w:rsidRDefault="00227AA1" w:rsidP="00227AA1">
            <w:pPr>
              <w:tabs>
                <w:tab w:val="center" w:pos="284"/>
              </w:tabs>
              <w:overflowPunct w:val="0"/>
              <w:autoSpaceDE w:val="0"/>
              <w:autoSpaceDN w:val="0"/>
              <w:adjustRightInd w:val="0"/>
              <w:ind w:left="266" w:hanging="266"/>
              <w:textAlignment w:val="baseline"/>
            </w:pPr>
            <w:r>
              <w:t>Paul RÜBIG (Datori di lavoro - AT)</w:t>
            </w:r>
          </w:p>
          <w:p w14:paraId="5142010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r w:rsidR="00227AA1" w:rsidRPr="00227AA1" w14:paraId="24C7D08D" w14:textId="77777777" w:rsidTr="004C6742">
        <w:tc>
          <w:tcPr>
            <w:tcW w:w="1701"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Riferimento</w:t>
            </w:r>
          </w:p>
        </w:tc>
        <w:tc>
          <w:tcPr>
            <w:tcW w:w="6663" w:type="dxa"/>
          </w:tcPr>
          <w:p w14:paraId="05D43623" w14:textId="3773BAC0" w:rsidR="00227AA1" w:rsidRPr="00227AA1" w:rsidRDefault="00227AA1" w:rsidP="00227AA1">
            <w:pPr>
              <w:tabs>
                <w:tab w:val="center" w:pos="284"/>
              </w:tabs>
              <w:overflowPunct w:val="0"/>
              <w:autoSpaceDE w:val="0"/>
              <w:autoSpaceDN w:val="0"/>
              <w:adjustRightInd w:val="0"/>
              <w:ind w:left="266" w:hanging="266"/>
              <w:textAlignment w:val="baseline"/>
            </w:pPr>
            <w:r>
              <w:t>Parere esplorativo richiesto dalla presidenza cipriota del Consiglio dell'UE</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t>EESC-2025-04126-00-00-AC</w:t>
            </w:r>
          </w:p>
        </w:tc>
      </w:tr>
      <w:tr w:rsidR="00227AA1" w:rsidRPr="00227AA1" w14:paraId="2384CA2A" w14:textId="77777777" w:rsidTr="004C6742">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Punti principali</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Il CESE ritiene che:</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E82CD4">
      <w:pPr>
        <w:numPr>
          <w:ilvl w:val="0"/>
          <w:numId w:val="43"/>
        </w:numPr>
        <w:overflowPunct w:val="0"/>
        <w:autoSpaceDE w:val="0"/>
        <w:autoSpaceDN w:val="0"/>
        <w:adjustRightInd w:val="0"/>
        <w:spacing w:after="200" w:line="276" w:lineRule="auto"/>
        <w:ind w:left="709" w:hanging="425"/>
        <w:contextualSpacing/>
        <w:textAlignment w:val="baseline"/>
      </w:pPr>
      <w:r>
        <w:t xml:space="preserve">l'Europa debba potenziare fortemente le attività di innovazione e ricerca e che registri notevoli ritardi nella commercializzazione dei risultati prodotti da queste attività attraverso le spin-off e le imprese start-up e scale-up. </w:t>
      </w:r>
      <w:r>
        <w:rPr>
          <w:rFonts w:ascii="Calibri" w:hAnsi="Calibri"/>
        </w:rPr>
        <w:t xml:space="preserve"> </w:t>
      </w:r>
      <w:r>
        <w:t>Nelle industrie che hanno un'importanza strategica emerge una crescente preoccupazione per il fatto che il contesto in Europa sia diventato troppo frammentario, eccessivamente denso e troppo lento per stare al passo con la rapida evoluzione delle tecnologie a livello mondiale;</w:t>
      </w:r>
    </w:p>
    <w:p w14:paraId="4520EF6F" w14:textId="77777777" w:rsidR="00227AA1" w:rsidRPr="00227AA1" w:rsidRDefault="00227AA1" w:rsidP="00E82CD4">
      <w:pPr>
        <w:numPr>
          <w:ilvl w:val="0"/>
          <w:numId w:val="43"/>
        </w:numPr>
        <w:overflowPunct w:val="0"/>
        <w:autoSpaceDE w:val="0"/>
        <w:autoSpaceDN w:val="0"/>
        <w:adjustRightInd w:val="0"/>
        <w:spacing w:after="200" w:line="276" w:lineRule="auto"/>
        <w:ind w:left="709" w:hanging="425"/>
        <w:contextualSpacing/>
        <w:textAlignment w:val="baseline"/>
      </w:pPr>
      <w:r>
        <w:t>le cause principali di questa situazione siano una sempre più debole comprensione dei processi dell'economia di mercato e la crescente frammentazione delle norme e della loro attuazione nel mercato unico, che ostacolano l'espansione del mercato transfrontaliero e il trasferimento di tecnologie dalla ricerca all'industria;</w:t>
      </w:r>
    </w:p>
    <w:p w14:paraId="1B8E4833" w14:textId="77777777" w:rsidR="00227AA1" w:rsidRPr="00227AA1" w:rsidRDefault="00227AA1" w:rsidP="00E82CD4">
      <w:pPr>
        <w:numPr>
          <w:ilvl w:val="0"/>
          <w:numId w:val="43"/>
        </w:numPr>
        <w:overflowPunct w:val="0"/>
        <w:autoSpaceDE w:val="0"/>
        <w:autoSpaceDN w:val="0"/>
        <w:adjustRightInd w:val="0"/>
        <w:spacing w:after="200" w:line="276" w:lineRule="auto"/>
        <w:ind w:left="709" w:hanging="425"/>
        <w:contextualSpacing/>
        <w:textAlignment w:val="baseline"/>
      </w:pPr>
      <w:r>
        <w:t>altri ostacoli per le imprese siano costituiti dalla lentezza delle procedure amministrative, dalla limitata digitalizzazione e dall'applicazione incoerente delle normative dell'UE a livello nazionale e regionale;</w:t>
      </w:r>
    </w:p>
    <w:p w14:paraId="3C747BF5" w14:textId="77777777" w:rsidR="00227AA1" w:rsidRPr="00227AA1" w:rsidRDefault="00227AA1" w:rsidP="00E82CD4">
      <w:pPr>
        <w:numPr>
          <w:ilvl w:val="0"/>
          <w:numId w:val="43"/>
        </w:numPr>
        <w:overflowPunct w:val="0"/>
        <w:autoSpaceDE w:val="0"/>
        <w:autoSpaceDN w:val="0"/>
        <w:adjustRightInd w:val="0"/>
        <w:spacing w:after="200" w:line="276" w:lineRule="auto"/>
        <w:ind w:left="709" w:hanging="425"/>
        <w:contextualSpacing/>
        <w:textAlignment w:val="baseline"/>
      </w:pPr>
      <w:r>
        <w:t>l'atto legislativo europeo a favore dell'innovazione possa essere di aiuto per le start-up e le scale-up transfrontaliere se contiene semplificazioni trasversali per le start-up e se potrà essere applicato come regime vincolante in tutti gli Stati membri tenendo anche conto dei diritti e della partecipazione dei lavoratori. Il Comitato sottolinea che l'atto legislativo europeo a favore dell'innovazione deve essere allineato ai principi di una transizione giusta, garantendo che l'innovazione contribuisca alla crescita economica, alla competitività e alla creazione di posti di lavoro, tenendo conto nel contempo della necessitò di accompagnare i lavoratori e le regioni coinvolti nella trasformazione tecnologica e industriale;</w:t>
      </w:r>
    </w:p>
    <w:p w14:paraId="5BC43F04" w14:textId="77777777" w:rsidR="00227AA1" w:rsidRPr="00227AA1" w:rsidRDefault="00227AA1" w:rsidP="00E82CD4">
      <w:pPr>
        <w:numPr>
          <w:ilvl w:val="0"/>
          <w:numId w:val="43"/>
        </w:numPr>
        <w:overflowPunct w:val="0"/>
        <w:autoSpaceDE w:val="0"/>
        <w:autoSpaceDN w:val="0"/>
        <w:adjustRightInd w:val="0"/>
        <w:spacing w:after="200" w:line="276" w:lineRule="auto"/>
        <w:ind w:left="709" w:hanging="425"/>
        <w:contextualSpacing/>
        <w:textAlignment w:val="baseline"/>
      </w:pPr>
      <w:r>
        <w:t>definire una serie di criteri di valutazione di contenuti innovativi e prospettive di crescita costituirebbe un approccio più efficiente e accurato rispetto all'elaborazione di una definizione vincolante di start-up e scale-up. Anche stilare una graduatoria delle università favorevoli ai fondatori/fondatrici di imprese potrebbe sostenere l'atto legislativo europeo a favore dell'innovazione. Inoltre, tale atto legislativo dovrebbe rafforzare il ruolo svolto dalle organizzazioni di ricerca e tecnologia (ORT) e dall'Istituto europeo di innovazione e tecnologia (EIT), in particolare nei settori a elevatissimo contenuto tecnologico (</w:t>
      </w:r>
      <w:r>
        <w:rPr>
          <w:i/>
          <w:iCs/>
        </w:rPr>
        <w:t>deep tech</w:t>
      </w:r>
      <w:r>
        <w:t>) e ad alta intensità di capitale;</w:t>
      </w:r>
    </w:p>
    <w:p w14:paraId="12B27491" w14:textId="77777777" w:rsidR="00227AA1" w:rsidRPr="004C6742" w:rsidRDefault="00227AA1" w:rsidP="00E82CD4">
      <w:pPr>
        <w:numPr>
          <w:ilvl w:val="0"/>
          <w:numId w:val="43"/>
        </w:numPr>
        <w:overflowPunct w:val="0"/>
        <w:autoSpaceDE w:val="0"/>
        <w:autoSpaceDN w:val="0"/>
        <w:adjustRightInd w:val="0"/>
        <w:spacing w:after="200" w:line="276" w:lineRule="auto"/>
        <w:ind w:left="709" w:hanging="425"/>
        <w:contextualSpacing/>
        <w:textAlignment w:val="baseline"/>
        <w:rPr>
          <w:rFonts w:ascii="Calibri" w:hAnsi="Calibri"/>
        </w:rPr>
      </w:pPr>
      <w:r>
        <w:t>gli incentivi fiscali a livello europeo per l'azionariato dei dipendenti promuoverebbero l'innovazione e la crescita.  I fondatori e le fondatrici di imprese dovrebbero inoltre beneficiare di una protezione dai rischi, con garanzie adeguate per i lavoratori dipendenti e i creditori, in linea con i quadri esistenti in materia di insolvenza.</w:t>
      </w:r>
    </w:p>
    <w:p w14:paraId="5C529301" w14:textId="77777777" w:rsidR="00336295" w:rsidRPr="00227AA1" w:rsidRDefault="00336295" w:rsidP="00E82CD4">
      <w:pPr>
        <w:overflowPunct w:val="0"/>
        <w:autoSpaceDE w:val="0"/>
        <w:autoSpaceDN w:val="0"/>
        <w:adjustRightInd w:val="0"/>
        <w:spacing w:after="200" w:line="276" w:lineRule="auto"/>
        <w:ind w:left="567"/>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27AA1" w:rsidRPr="00227AA1" w14:paraId="5F5314FB" w14:textId="77777777" w:rsidTr="002E7EFB">
        <w:tc>
          <w:tcPr>
            <w:tcW w:w="1418" w:type="dxa"/>
          </w:tcPr>
          <w:p w14:paraId="632E98AB" w14:textId="77777777" w:rsidR="00227AA1" w:rsidRPr="00227AA1" w:rsidRDefault="00227AA1" w:rsidP="007836E0">
            <w:pPr>
              <w:keepNext/>
              <w:keepLines/>
              <w:overflowPunct w:val="0"/>
              <w:autoSpaceDE w:val="0"/>
              <w:autoSpaceDN w:val="0"/>
              <w:adjustRightInd w:val="0"/>
              <w:spacing w:line="240" w:lineRule="auto"/>
              <w:textAlignment w:val="baseline"/>
              <w:rPr>
                <w:i/>
              </w:rPr>
            </w:pPr>
            <w:r>
              <w:rPr>
                <w:b/>
                <w:i/>
              </w:rPr>
              <w:lastRenderedPageBreak/>
              <w:t>Contatto</w:t>
            </w:r>
          </w:p>
        </w:tc>
        <w:tc>
          <w:tcPr>
            <w:tcW w:w="5670" w:type="dxa"/>
          </w:tcPr>
          <w:p w14:paraId="0DA3C898" w14:textId="77777777" w:rsidR="00227AA1" w:rsidRPr="00227AA1" w:rsidRDefault="00227AA1" w:rsidP="007836E0">
            <w:pPr>
              <w:keepNext/>
              <w:keepLines/>
              <w:overflowPunct w:val="0"/>
              <w:autoSpaceDE w:val="0"/>
              <w:autoSpaceDN w:val="0"/>
              <w:adjustRightInd w:val="0"/>
              <w:spacing w:line="240" w:lineRule="auto"/>
              <w:textAlignment w:val="baseline"/>
              <w:rPr>
                <w:i/>
              </w:rPr>
            </w:pPr>
            <w:r>
              <w:rPr>
                <w:i/>
              </w:rPr>
              <w:t>Jana VALANT</w:t>
            </w:r>
          </w:p>
        </w:tc>
      </w:tr>
      <w:tr w:rsidR="00227AA1" w:rsidRPr="00227AA1" w14:paraId="3B10A3F9" w14:textId="77777777" w:rsidTr="002E7EFB">
        <w:tc>
          <w:tcPr>
            <w:tcW w:w="1418" w:type="dxa"/>
          </w:tcPr>
          <w:p w14:paraId="1158D001" w14:textId="77777777" w:rsidR="00227AA1" w:rsidRPr="00227AA1" w:rsidRDefault="00227AA1" w:rsidP="007836E0">
            <w:pPr>
              <w:keepNext/>
              <w:keepLines/>
              <w:overflowPunct w:val="0"/>
              <w:autoSpaceDE w:val="0"/>
              <w:autoSpaceDN w:val="0"/>
              <w:adjustRightInd w:val="0"/>
              <w:spacing w:line="240" w:lineRule="auto"/>
              <w:textAlignment w:val="baseline"/>
              <w:rPr>
                <w:i/>
              </w:rPr>
            </w:pPr>
            <w:r>
              <w:rPr>
                <w:i/>
              </w:rPr>
              <w:t>Tel.</w:t>
            </w:r>
          </w:p>
        </w:tc>
        <w:tc>
          <w:tcPr>
            <w:tcW w:w="5670" w:type="dxa"/>
          </w:tcPr>
          <w:p w14:paraId="173082A5" w14:textId="52E4D874" w:rsidR="00227AA1" w:rsidRPr="00227AA1" w:rsidRDefault="00227AA1" w:rsidP="007836E0">
            <w:pPr>
              <w:keepNext/>
              <w:keepLines/>
              <w:overflowPunct w:val="0"/>
              <w:autoSpaceDE w:val="0"/>
              <w:autoSpaceDN w:val="0"/>
              <w:adjustRightInd w:val="0"/>
              <w:spacing w:line="240" w:lineRule="auto"/>
              <w:textAlignment w:val="baseline"/>
              <w:rPr>
                <w:i/>
              </w:rPr>
            </w:pPr>
            <w:r>
              <w:rPr>
                <w:i/>
              </w:rPr>
              <w:t>+32 25468924</w:t>
            </w:r>
          </w:p>
        </w:tc>
      </w:tr>
      <w:tr w:rsidR="00227AA1" w:rsidRPr="00227AA1" w14:paraId="06425715" w14:textId="77777777" w:rsidTr="002E7EFB">
        <w:tc>
          <w:tcPr>
            <w:tcW w:w="1418"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E-mail</w:t>
            </w:r>
          </w:p>
        </w:tc>
        <w:tc>
          <w:tcPr>
            <w:tcW w:w="5670" w:type="dxa"/>
          </w:tcPr>
          <w:p w14:paraId="30AFF7EB" w14:textId="3E04F5D8" w:rsidR="00227AA1" w:rsidRPr="00227AA1" w:rsidRDefault="00291C11" w:rsidP="00227AA1">
            <w:pPr>
              <w:overflowPunct w:val="0"/>
              <w:autoSpaceDE w:val="0"/>
              <w:autoSpaceDN w:val="0"/>
              <w:adjustRightInd w:val="0"/>
              <w:spacing w:line="240" w:lineRule="auto"/>
              <w:textAlignment w:val="baseline"/>
              <w:rPr>
                <w:i/>
              </w:rPr>
            </w:pPr>
            <w:hyperlink r:id="rId56" w:history="1">
              <w:r>
                <w:rPr>
                  <w:i/>
                  <w:color w:val="0000FF"/>
                  <w:u w:val="single"/>
                </w:rPr>
                <w:t>Jana.</w:t>
              </w:r>
              <w:r w:rsidR="00E82CD4">
                <w:rPr>
                  <w:i/>
                  <w:color w:val="0000FF"/>
                  <w:u w:val="single"/>
                </w:rPr>
                <w:t>VALANT</w:t>
              </w:r>
              <w:r>
                <w:rPr>
                  <w:i/>
                  <w:color w:val="0000FF"/>
                  <w:u w:val="single"/>
                </w:rPr>
                <w:t>@eesc.europa.eu</w:t>
              </w:r>
            </w:hyperlink>
          </w:p>
          <w:p w14:paraId="69C6AF5C" w14:textId="77777777" w:rsidR="00227AA1" w:rsidRPr="00227AA1" w:rsidRDefault="00227AA1" w:rsidP="00227AA1">
            <w:pPr>
              <w:overflowPunct w:val="0"/>
              <w:autoSpaceDE w:val="0"/>
              <w:autoSpaceDN w:val="0"/>
              <w:adjustRightInd w:val="0"/>
              <w:spacing w:line="240" w:lineRule="auto"/>
              <w:textAlignment w:val="baseline"/>
              <w:rPr>
                <w:i/>
              </w:rPr>
            </w:pPr>
          </w:p>
        </w:tc>
      </w:tr>
    </w:tbl>
    <w:p w14:paraId="4982DE1E" w14:textId="77777777" w:rsidR="004D7AC0" w:rsidRDefault="004D7AC0" w:rsidP="001766B2">
      <w:pPr>
        <w:jc w:val="left"/>
      </w:pPr>
      <w:r>
        <w:br w:type="page"/>
      </w:r>
    </w:p>
    <w:p w14:paraId="4982DE1F" w14:textId="1B0F62B5" w:rsidR="004D7AC0" w:rsidRDefault="004D7AC0" w:rsidP="004C6742">
      <w:pPr>
        <w:pStyle w:val="Heading2"/>
      </w:pPr>
      <w:bookmarkStart w:id="18" w:name="_Toc70322234"/>
      <w:bookmarkStart w:id="19" w:name="_Toc75527084"/>
      <w:bookmarkStart w:id="20" w:name="_Toc229405148"/>
      <w:r>
        <w:lastRenderedPageBreak/>
        <w:t>AGRICOLTURA, SVILUPPO RURALE E AMBIENTE</w:t>
      </w:r>
      <w:bookmarkEnd w:id="18"/>
      <w:bookmarkEnd w:id="19"/>
      <w:bookmarkEnd w:id="20"/>
    </w:p>
    <w:p w14:paraId="4982DE20" w14:textId="77777777" w:rsidR="004D7AC0" w:rsidRDefault="004D7AC0" w:rsidP="001766B2"/>
    <w:p w14:paraId="38C8A97D" w14:textId="164A9C64" w:rsidR="00341FC2" w:rsidRPr="004C6742" w:rsidRDefault="00341FC2" w:rsidP="004C6742">
      <w:pPr>
        <w:widowControl w:val="0"/>
        <w:numPr>
          <w:ilvl w:val="0"/>
          <w:numId w:val="4"/>
        </w:numPr>
        <w:overflowPunct w:val="0"/>
        <w:autoSpaceDE w:val="0"/>
        <w:autoSpaceDN w:val="0"/>
        <w:adjustRightInd w:val="0"/>
        <w:ind w:hanging="567"/>
        <w:textAlignment w:val="baseline"/>
        <w:rPr>
          <w:b/>
        </w:rPr>
      </w:pPr>
      <w:hyperlink r:id="rId57" w:history="1">
        <w:r>
          <w:rPr>
            <w:b/>
            <w:i/>
            <w:color w:val="0000FF"/>
            <w:sz w:val="28"/>
            <w:u w:val="single"/>
          </w:rPr>
          <w:t>Una strategia globale per i materiali biodegradabili basati sulla natura al fine di promuovere la circolarità e l'efficienza delle risorse, rafforzare il settore agroalimentare e potenziare la bioeconomia dell'UE</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Relatore</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r>
              <w:t xml:space="preserve">Stoyan TCHOUKANOV (Organizzazioni della società civile - BG)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Riferimento</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pPr>
            <w:r>
              <w:t>Parere d'iniziativa</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t>EESC-2025-04330-00-00-AC</w:t>
            </w:r>
          </w:p>
        </w:tc>
      </w:tr>
    </w:tbl>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Punti principali</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Il CESE:</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E82CD4">
      <w:pPr>
        <w:numPr>
          <w:ilvl w:val="1"/>
          <w:numId w:val="45"/>
        </w:numPr>
        <w:overflowPunct w:val="0"/>
        <w:autoSpaceDE w:val="0"/>
        <w:autoSpaceDN w:val="0"/>
        <w:adjustRightInd w:val="0"/>
        <w:ind w:left="709" w:hanging="425"/>
        <w:textAlignment w:val="baseline"/>
        <w:outlineLvl w:val="1"/>
        <w:rPr>
          <w:szCs w:val="20"/>
        </w:rPr>
      </w:pPr>
      <w:bookmarkStart w:id="21" w:name="_Toc228805432"/>
      <w:r>
        <w:t>ritiene che l'attuale momento offra all'UE un'opportunità favorevole per rafforzare la sua transizione verso una bioeconomia circolare che combini circolarità, riduzione dei materiali nel rispetto dei limiti del pianeta, uso sostenibile della biomassa e competitività industriale. Sulla base dell'imminente atto legislativo sull'economia circolare e della strategia aggiornata dell'UE per la bioeconomia, il Comitato chiede un'attuazione coerente e ambiziosa che traduca lo slancio politico in risultati concreti in termini di sviluppo industriale e regionale;</w:t>
      </w:r>
      <w:bookmarkEnd w:id="21"/>
    </w:p>
    <w:p w14:paraId="6A0A3863" w14:textId="77777777" w:rsidR="00341FC2" w:rsidRPr="00341FC2" w:rsidRDefault="00341FC2" w:rsidP="00E82CD4">
      <w:pPr>
        <w:numPr>
          <w:ilvl w:val="1"/>
          <w:numId w:val="45"/>
        </w:numPr>
        <w:overflowPunct w:val="0"/>
        <w:autoSpaceDE w:val="0"/>
        <w:autoSpaceDN w:val="0"/>
        <w:adjustRightInd w:val="0"/>
        <w:ind w:left="709" w:hanging="425"/>
        <w:textAlignment w:val="baseline"/>
        <w:outlineLvl w:val="1"/>
        <w:rPr>
          <w:szCs w:val="20"/>
        </w:rPr>
      </w:pPr>
      <w:bookmarkStart w:id="22" w:name="_Toc228805433"/>
      <w:r>
        <w:t>sottolinea che l'uso efficiente delle risorse ambientali richiede l'applicazione della gerarchia dei rifiuti conformemente alla direttiva quadro sui rifiuti, in un'ottica di ciclo di vita e del miglior risultato ambientale complessivo. Sostiene pertanto un approccio orientato ai risultati e tecnologicamente neutro che privilegi la prevenzione dei rifiuti, il riutilizzo e l'efficienza dei materiali, e riconosca i cicli sia tecnici che biologici attraverso percorsi circolari differenziati;</w:t>
      </w:r>
      <w:bookmarkEnd w:id="22"/>
    </w:p>
    <w:p w14:paraId="25220C00" w14:textId="77777777" w:rsidR="00341FC2" w:rsidRPr="00341FC2" w:rsidRDefault="00341FC2" w:rsidP="00E82CD4">
      <w:pPr>
        <w:numPr>
          <w:ilvl w:val="1"/>
          <w:numId w:val="45"/>
        </w:numPr>
        <w:overflowPunct w:val="0"/>
        <w:autoSpaceDE w:val="0"/>
        <w:autoSpaceDN w:val="0"/>
        <w:adjustRightInd w:val="0"/>
        <w:ind w:left="709" w:hanging="425"/>
        <w:textAlignment w:val="baseline"/>
        <w:outlineLvl w:val="1"/>
        <w:rPr>
          <w:szCs w:val="20"/>
        </w:rPr>
      </w:pPr>
      <w:bookmarkStart w:id="23" w:name="_Toc228805434"/>
      <w:r>
        <w:t>sottolinea che i materiali derivati da polimeri naturali chimicamente non modificati, giuridicamente riconosciuti come non plastici ai sensi della direttiva sulla plastica monouso e allineati al regolamento REACH, possono aiutare a prevenire l'inquinamento, anche riducendo la dispersione di microplastiche. Il loro ruolo dovrebbe essere valutato in linea con l'approccio "One Health", riconoscendo le interconnessioni tra l'integrità ambientale, la resilienza degli ecosistemi e la salute umana e animale;</w:t>
      </w:r>
      <w:bookmarkEnd w:id="23"/>
    </w:p>
    <w:p w14:paraId="26333444" w14:textId="77777777" w:rsidR="00341FC2" w:rsidRPr="00341FC2" w:rsidRDefault="00341FC2" w:rsidP="00E82CD4">
      <w:pPr>
        <w:numPr>
          <w:ilvl w:val="1"/>
          <w:numId w:val="45"/>
        </w:numPr>
        <w:overflowPunct w:val="0"/>
        <w:autoSpaceDE w:val="0"/>
        <w:autoSpaceDN w:val="0"/>
        <w:adjustRightInd w:val="0"/>
        <w:ind w:left="709" w:hanging="425"/>
        <w:textAlignment w:val="baseline"/>
        <w:outlineLvl w:val="1"/>
        <w:rPr>
          <w:szCs w:val="20"/>
        </w:rPr>
      </w:pPr>
      <w:bookmarkStart w:id="24" w:name="_Toc228805435"/>
      <w:r>
        <w:t>pone l'accento sul potenziale di tali materiali per rafforzare le economie rurali e costiere valorizzando la biomassa secondaria agricola e marina, rafforzando le catene del valore locali e regionali, sostenendo il ricambio generazionale nell'agricoltura e nella pesca e creando posti di lavoro di qualità, contribuendo in tal modo alla coesione sociale. Sottolinea che gli usi per l'alimentazione umana e animale nonché per la protezione del suolo devono rimanere prioritari, in tale ordine;</w:t>
      </w:r>
      <w:bookmarkEnd w:id="24"/>
    </w:p>
    <w:p w14:paraId="1568ED7F" w14:textId="77777777" w:rsidR="00341FC2" w:rsidRPr="00341FC2" w:rsidRDefault="00341FC2" w:rsidP="00E82CD4">
      <w:pPr>
        <w:numPr>
          <w:ilvl w:val="1"/>
          <w:numId w:val="45"/>
        </w:numPr>
        <w:overflowPunct w:val="0"/>
        <w:autoSpaceDE w:val="0"/>
        <w:autoSpaceDN w:val="0"/>
        <w:adjustRightInd w:val="0"/>
        <w:ind w:left="709" w:hanging="425"/>
        <w:textAlignment w:val="baseline"/>
        <w:outlineLvl w:val="1"/>
        <w:rPr>
          <w:szCs w:val="20"/>
        </w:rPr>
      </w:pPr>
      <w:bookmarkStart w:id="25" w:name="_Toc228805436"/>
      <w:r>
        <w:t>chiede una maggiore coerenza normativa della legislazione dell'UE in materia di prodotti, rifiuti e industria, garantendo un'attuazione operativa coerente della distinzione stabilita dalla legge tra plastica e polimeri naturali non modificati. La legislazione sugli imballaggi dovrebbe evitare ostacoli involontari o l'esclusione di fatto dal mercato e rispecchiare la circolarità sia tecnica che biologica, assicurando inoltre informazioni chiare e armonizzate per i consumatori e prevedibilità per gli operatori e le piccole imprese;</w:t>
      </w:r>
      <w:bookmarkEnd w:id="25"/>
    </w:p>
    <w:p w14:paraId="756BDDFA" w14:textId="77777777" w:rsidR="00341FC2" w:rsidRPr="00341FC2" w:rsidRDefault="00341FC2" w:rsidP="00E82CD4">
      <w:pPr>
        <w:numPr>
          <w:ilvl w:val="1"/>
          <w:numId w:val="45"/>
        </w:numPr>
        <w:overflowPunct w:val="0"/>
        <w:autoSpaceDE w:val="0"/>
        <w:autoSpaceDN w:val="0"/>
        <w:adjustRightInd w:val="0"/>
        <w:ind w:left="709" w:hanging="425"/>
        <w:textAlignment w:val="baseline"/>
        <w:outlineLvl w:val="1"/>
        <w:rPr>
          <w:szCs w:val="20"/>
        </w:rPr>
      </w:pPr>
      <w:bookmarkStart w:id="26" w:name="_Toc228805437"/>
      <w:r>
        <w:lastRenderedPageBreak/>
        <w:t>pone l'accento sul carattere prioritario dell'attuazione del regolamento sugli imballaggi e i rifiuti di imballaggio e avverte che gli imballaggi realizzati a partire da polimeri naturali chimicamente non modificati potrebbero essere esclusi se le norme in materia di riciclabilità consentissero solo il riciclaggio tecnico. Raccomanda pertanto alla Commissione di garantire che l'attuazione del suddetto regolamento riconosca il loro status di non plastica e consenta percorsi biologici di fine vita progettati biologicamente laddove ciò produca il miglior risultato ambientale complessivo;</w:t>
      </w:r>
      <w:bookmarkEnd w:id="26"/>
    </w:p>
    <w:p w14:paraId="462FAC8B" w14:textId="77777777" w:rsidR="00341FC2" w:rsidRPr="00341FC2" w:rsidRDefault="00341FC2" w:rsidP="00E82CD4">
      <w:pPr>
        <w:numPr>
          <w:ilvl w:val="1"/>
          <w:numId w:val="45"/>
        </w:numPr>
        <w:overflowPunct w:val="0"/>
        <w:autoSpaceDE w:val="0"/>
        <w:autoSpaceDN w:val="0"/>
        <w:adjustRightInd w:val="0"/>
        <w:ind w:left="709" w:hanging="425"/>
        <w:textAlignment w:val="baseline"/>
        <w:outlineLvl w:val="1"/>
        <w:rPr>
          <w:szCs w:val="20"/>
        </w:rPr>
      </w:pPr>
      <w:bookmarkStart w:id="27" w:name="_Toc228805438"/>
      <w:r>
        <w:t>invita la Commissione a garantire un'azione coordinata tra le politiche ambientali, industriali e agricole per diffondere su larga scala i materiali sostenibili, facilitarne l'applicazione industriale, rafforzare le catene del valore regionali e garantire la competitività globale dell'Europa nell'innovazione dei materiali sostenibili, incentivando nel contempo gli investimenti privati e l'espansione di soluzioni innovative.</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341FC2" w:rsidRPr="00341FC2" w14:paraId="7F4411DB" w14:textId="77777777" w:rsidTr="002E7EFB">
        <w:tc>
          <w:tcPr>
            <w:tcW w:w="1077" w:type="pct"/>
          </w:tcPr>
          <w:p w14:paraId="151013E3" w14:textId="77777777" w:rsidR="00341FC2" w:rsidRPr="00341FC2" w:rsidRDefault="00341FC2" w:rsidP="00341FC2">
            <w:pPr>
              <w:overflowPunct w:val="0"/>
              <w:autoSpaceDE w:val="0"/>
              <w:autoSpaceDN w:val="0"/>
              <w:adjustRightInd w:val="0"/>
              <w:textAlignment w:val="baseline"/>
              <w:rPr>
                <w:i/>
              </w:rPr>
            </w:pPr>
            <w:r>
              <w:rPr>
                <w:b/>
                <w:i/>
              </w:rPr>
              <w:t>Contatto</w:t>
            </w:r>
          </w:p>
        </w:tc>
        <w:tc>
          <w:tcPr>
            <w:tcW w:w="3923" w:type="pct"/>
          </w:tcPr>
          <w:p w14:paraId="24D7A0E4" w14:textId="1AB2E33E" w:rsidR="00341FC2" w:rsidRPr="00341FC2" w:rsidRDefault="00341FC2" w:rsidP="00341FC2">
            <w:pPr>
              <w:overflowPunct w:val="0"/>
              <w:autoSpaceDE w:val="0"/>
              <w:autoSpaceDN w:val="0"/>
              <w:adjustRightInd w:val="0"/>
              <w:textAlignment w:val="baseline"/>
              <w:rPr>
                <w:i/>
              </w:rPr>
            </w:pPr>
            <w:r>
              <w:rPr>
                <w:i/>
              </w:rPr>
              <w:t>Caroline VERHELST</w:t>
            </w:r>
          </w:p>
        </w:tc>
      </w:tr>
      <w:tr w:rsidR="00341FC2" w:rsidRPr="00341FC2" w14:paraId="1048C7FF" w14:textId="77777777" w:rsidTr="002E7EFB">
        <w:tc>
          <w:tcPr>
            <w:tcW w:w="1077" w:type="pct"/>
          </w:tcPr>
          <w:p w14:paraId="716E0640" w14:textId="77777777" w:rsidR="00341FC2" w:rsidRPr="00341FC2" w:rsidRDefault="00341FC2" w:rsidP="00341FC2">
            <w:pPr>
              <w:overflowPunct w:val="0"/>
              <w:autoSpaceDE w:val="0"/>
              <w:autoSpaceDN w:val="0"/>
              <w:adjustRightInd w:val="0"/>
              <w:textAlignment w:val="baseline"/>
              <w:rPr>
                <w:i/>
              </w:rPr>
            </w:pPr>
            <w:r>
              <w:rPr>
                <w:i/>
              </w:rPr>
              <w:t>Tel.</w:t>
            </w:r>
          </w:p>
        </w:tc>
        <w:tc>
          <w:tcPr>
            <w:tcW w:w="3923" w:type="pct"/>
          </w:tcPr>
          <w:p w14:paraId="24F2C3A8" w14:textId="77777777" w:rsidR="00341FC2" w:rsidRPr="00341FC2" w:rsidRDefault="00341FC2" w:rsidP="00341FC2">
            <w:pPr>
              <w:overflowPunct w:val="0"/>
              <w:autoSpaceDE w:val="0"/>
              <w:autoSpaceDN w:val="0"/>
              <w:adjustRightInd w:val="0"/>
              <w:textAlignment w:val="baseline"/>
              <w:rPr>
                <w:i/>
              </w:rPr>
            </w:pPr>
            <w:r>
              <w:rPr>
                <w:i/>
              </w:rPr>
              <w:t>+32 25469497</w:t>
            </w:r>
          </w:p>
        </w:tc>
      </w:tr>
      <w:tr w:rsidR="00341FC2" w:rsidRPr="00341FC2" w14:paraId="24B14DC0" w14:textId="77777777" w:rsidTr="002E7EFB">
        <w:tc>
          <w:tcPr>
            <w:tcW w:w="1077" w:type="pct"/>
          </w:tcPr>
          <w:p w14:paraId="532D2B72" w14:textId="77777777" w:rsidR="00341FC2" w:rsidRPr="00341FC2" w:rsidRDefault="00341FC2" w:rsidP="00341FC2">
            <w:pPr>
              <w:overflowPunct w:val="0"/>
              <w:autoSpaceDE w:val="0"/>
              <w:autoSpaceDN w:val="0"/>
              <w:adjustRightInd w:val="0"/>
              <w:textAlignment w:val="baseline"/>
              <w:rPr>
                <w:i/>
              </w:rPr>
            </w:pPr>
            <w:r>
              <w:rPr>
                <w:i/>
              </w:rPr>
              <w:t>E-mail</w:t>
            </w:r>
          </w:p>
        </w:tc>
        <w:tc>
          <w:tcPr>
            <w:tcW w:w="3923" w:type="pct"/>
          </w:tcPr>
          <w:p w14:paraId="06E89BE5" w14:textId="55F01EEC" w:rsidR="00341FC2" w:rsidRPr="00341FC2" w:rsidRDefault="00291C11" w:rsidP="00341FC2">
            <w:pPr>
              <w:overflowPunct w:val="0"/>
              <w:autoSpaceDE w:val="0"/>
              <w:autoSpaceDN w:val="0"/>
              <w:adjustRightInd w:val="0"/>
              <w:textAlignment w:val="baseline"/>
              <w:rPr>
                <w:i/>
              </w:rPr>
            </w:pPr>
            <w:hyperlink r:id="rId58" w:history="1">
              <w:r>
                <w:rPr>
                  <w:i/>
                  <w:color w:val="0000FF"/>
                  <w:u w:val="single"/>
                </w:rPr>
                <w:t>Caroline.</w:t>
              </w:r>
              <w:r w:rsidR="00E82CD4">
                <w:rPr>
                  <w:i/>
                  <w:color w:val="0000FF"/>
                  <w:u w:val="single"/>
                </w:rPr>
                <w:t>VERHELST</w:t>
              </w:r>
              <w:r>
                <w:rPr>
                  <w:i/>
                  <w:color w:val="0000FF"/>
                  <w:u w:val="single"/>
                </w:rPr>
                <w:t>@eesc.europa.eu</w:t>
              </w:r>
            </w:hyperlink>
            <w:r>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58866745" w:rsidR="000C5A16" w:rsidRPr="004C6742" w:rsidRDefault="000C5A16"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Pr>
            <w:b/>
            <w:i/>
            <w:color w:val="0000FF"/>
            <w:sz w:val="28"/>
            <w:u w:val="single"/>
          </w:rPr>
          <w:t>Strategia dell'UE per la bioeconomia: verso una bioeconomia circolare, rigenerativa e competitiva</w:t>
        </w:r>
      </w:hyperlink>
    </w:p>
    <w:p w14:paraId="191C8AF2" w14:textId="77777777" w:rsidR="0014411E" w:rsidRPr="004C6742" w:rsidRDefault="0014411E" w:rsidP="004C6742">
      <w:pPr>
        <w:overflowPunct w:val="0"/>
        <w:autoSpaceDE w:val="0"/>
        <w:autoSpaceDN w:val="0"/>
        <w:adjustRightInd w:val="0"/>
        <w:spacing w:after="200" w:line="276" w:lineRule="auto"/>
        <w:ind w:left="360"/>
        <w:contextualSpacing/>
        <w:textAlignment w:val="baseline"/>
        <w:rPr>
          <w:rFonts w:ascii="Calibri" w:hAnsi="Calibri"/>
          <w:b/>
          <w:bCs/>
          <w:i/>
          <w:iCs/>
          <w:sz w:val="20"/>
          <w:szCs w:val="20"/>
          <w:lang w:val="en-GB" w:eastAsia="zh-CN"/>
        </w:rPr>
      </w:pPr>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Relatore</w:t>
            </w:r>
          </w:p>
        </w:tc>
        <w:tc>
          <w:tcPr>
            <w:tcW w:w="7621" w:type="dxa"/>
          </w:tcPr>
          <w:p w14:paraId="5ECA4C39" w14:textId="528DF1F9"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r>
              <w:t>Arnaud SCHWARTZ (Organizzazioni della società civile -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Riferimento</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pPr>
            <w:r>
              <w:t>COM(2025) 960 final</w:t>
            </w:r>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r>
              <w:t>EESC-2025-03968-00-00-AC</w:t>
            </w:r>
          </w:p>
        </w:tc>
      </w:tr>
    </w:tbl>
    <w:p w14:paraId="06FD5121" w14:textId="624A6349" w:rsidR="0017309D" w:rsidRPr="0017309D" w:rsidRDefault="0017309D" w:rsidP="0017309D">
      <w:pPr>
        <w:overflowPunct w:val="0"/>
        <w:autoSpaceDE w:val="0"/>
        <w:autoSpaceDN w:val="0"/>
        <w:adjustRightInd w:val="0"/>
        <w:spacing w:line="276" w:lineRule="auto"/>
        <w:textAlignment w:val="baseline"/>
        <w:outlineLvl w:val="1"/>
        <w:rPr>
          <w:szCs w:val="20"/>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Punti principali</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Il CESE:</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77777777" w:rsidR="00944198" w:rsidRPr="00944198" w:rsidRDefault="00944198" w:rsidP="00854E09">
      <w:pPr>
        <w:numPr>
          <w:ilvl w:val="1"/>
          <w:numId w:val="72"/>
        </w:numPr>
        <w:overflowPunct w:val="0"/>
        <w:autoSpaceDE w:val="0"/>
        <w:autoSpaceDN w:val="0"/>
        <w:adjustRightInd w:val="0"/>
        <w:ind w:left="851" w:hanging="567"/>
        <w:textAlignment w:val="baseline"/>
        <w:outlineLvl w:val="1"/>
        <w:rPr>
          <w:szCs w:val="20"/>
        </w:rPr>
      </w:pPr>
      <w:r>
        <w:t>mette in rilievo che l'Europa è un continente con risorse limitate, che dipende fortemente dalle importazioni da paesi terzi, in particolare per quanto riguarda i combustibili fossili e le materie prime, e che si trova a fare i conti con una situazione geopolitica sempre più tesa. Nel contempo, lo sfruttamento eccessivo delle risorse naturali è una delle cause principali della continua perdita di biodiversità</w:t>
      </w:r>
      <w:r w:rsidRPr="00944198">
        <w:rPr>
          <w:sz w:val="24"/>
          <w:szCs w:val="20"/>
          <w:vertAlign w:val="superscript"/>
          <w:lang w:val="en-GB"/>
        </w:rPr>
        <w:footnoteReference w:id="1"/>
      </w:r>
      <w:r>
        <w:t xml:space="preserve">. In linea con gli obiettivi di sviluppo sostenibile, occorre garantire la coerenza tra i traguardi che l'UE persegue in materia di clima e biodiversità e l'economia circolare. Una </w:t>
      </w:r>
      <w:r>
        <w:rPr>
          <w:b/>
          <w:bCs/>
        </w:rPr>
        <w:t>strategia</w:t>
      </w:r>
      <w:r>
        <w:t xml:space="preserve"> solida e ben definita </w:t>
      </w:r>
      <w:r>
        <w:rPr>
          <w:b/>
        </w:rPr>
        <w:t>per la bioeconomia integrerà</w:t>
      </w:r>
      <w:r>
        <w:t xml:space="preserve"> i progressi compiuti in direzione di </w:t>
      </w:r>
      <w:r>
        <w:rPr>
          <w:b/>
        </w:rPr>
        <w:t>un'economia circolare e creerà le condizioni per la decarbonizzazione, per il benessere e per una competitività a lungo termine entro i limiti del pianeta</w:t>
      </w:r>
      <w:r>
        <w:t>;</w:t>
      </w:r>
    </w:p>
    <w:p w14:paraId="62E16178" w14:textId="77777777" w:rsidR="00944198" w:rsidRPr="00944198" w:rsidRDefault="00944198" w:rsidP="00854E09">
      <w:pPr>
        <w:numPr>
          <w:ilvl w:val="1"/>
          <w:numId w:val="72"/>
        </w:numPr>
        <w:overflowPunct w:val="0"/>
        <w:autoSpaceDE w:val="0"/>
        <w:autoSpaceDN w:val="0"/>
        <w:adjustRightInd w:val="0"/>
        <w:ind w:left="851" w:hanging="567"/>
        <w:textAlignment w:val="baseline"/>
        <w:outlineLvl w:val="1"/>
        <w:rPr>
          <w:szCs w:val="20"/>
        </w:rPr>
      </w:pPr>
      <w:r>
        <w:t xml:space="preserve">ricorda che l'UE sarà un leader globale soltanto se le sue istituzioni </w:t>
      </w:r>
      <w:r>
        <w:rPr>
          <w:b/>
          <w:bCs/>
        </w:rPr>
        <w:t xml:space="preserve">stabiliranno principi e garanzie rigorosi </w:t>
      </w:r>
      <w:r>
        <w:t xml:space="preserve">riguardo a ciò che può essere utilizzato come fattore produttivo per la bioeconomia, che si tratti di biomassa primaria o secondaria proveniente – ad esempio – dall'agricoltura, dall'acquacoltura o dalla silvicoltura, dalla natura stessa oppure ancora dai rifiuti urbani e/o industriali. La strategia dell'UE per la bioeconomia deve concentrarsi sulla trasformazione verde dell'economia tenendo conto degli aspetti ambientali e sociali. Una bioeconomia sostenibile e circolare rafforzerà l'economia e la competitività dell'UE, ridurrà la dipendenza dalle risorse fossili, contribuirà al conseguimento degli obiettivi climatici e alla creazione di nuovi posti di lavoro, oltre che di benefici ambientali e sociali. E, nel perseguire tale leadership, l'UE dovrebbe </w:t>
      </w:r>
      <w:r>
        <w:rPr>
          <w:b/>
          <w:bCs/>
        </w:rPr>
        <w:t>attribuire la priorità a posti di lavoro di qualità, specie nelle regioni rurali e remote</w:t>
      </w:r>
      <w:r>
        <w:t xml:space="preserve">. I principi sopraindicati dovrebbero essere quantificabili, fatti rispettare e monitorati lungo tutta la catena di approvvigionamento, nonché applicati in pari misura alle materie prime europee e a quelle importate. È inoltre importante sottolineare la necessità di </w:t>
      </w:r>
      <w:r>
        <w:rPr>
          <w:b/>
          <w:bCs/>
        </w:rPr>
        <w:t>contrastare</w:t>
      </w:r>
      <w:r>
        <w:t xml:space="preserve">, nel contesto mondiale, </w:t>
      </w:r>
      <w:r>
        <w:rPr>
          <w:b/>
        </w:rPr>
        <w:t>la concorrenza sleale da parte delle materie prime</w:t>
      </w:r>
      <w:r>
        <w:t xml:space="preserve"> </w:t>
      </w:r>
      <w:r>
        <w:rPr>
          <w:b/>
        </w:rPr>
        <w:t>fossili a prezzi eccessivamente bassi</w:t>
      </w:r>
      <w:r>
        <w:t xml:space="preserve"> (spesso sovvenzionati), che non tengono conto delle esternalità dell'attività estrattiva e dell'esaurimento delle riserve.</w:t>
      </w:r>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39093C" w14:paraId="15A4E0A1" w14:textId="77777777" w:rsidTr="00854068">
        <w:trPr>
          <w:trHeight w:val="300"/>
        </w:trPr>
        <w:tc>
          <w:tcPr>
            <w:tcW w:w="1755" w:type="dxa"/>
          </w:tcPr>
          <w:p w14:paraId="0B8186B8"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b/>
                <w:i/>
                <w:sz w:val="20"/>
              </w:rPr>
              <w:t>Contatto</w:t>
            </w:r>
          </w:p>
        </w:tc>
        <w:tc>
          <w:tcPr>
            <w:tcW w:w="7567" w:type="dxa"/>
          </w:tcPr>
          <w:p w14:paraId="0319F3A6" w14:textId="11113606"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sz w:val="20"/>
              </w:rPr>
              <w:t>Anna CAMERON</w:t>
            </w:r>
          </w:p>
        </w:tc>
      </w:tr>
      <w:tr w:rsidR="0039093C" w:rsidRPr="0039093C" w14:paraId="44DCA9C5" w14:textId="77777777" w:rsidTr="00854068">
        <w:trPr>
          <w:trHeight w:val="300"/>
        </w:trPr>
        <w:tc>
          <w:tcPr>
            <w:tcW w:w="1755" w:type="dxa"/>
          </w:tcPr>
          <w:p w14:paraId="714A323E"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Tel.</w:t>
            </w:r>
          </w:p>
        </w:tc>
        <w:tc>
          <w:tcPr>
            <w:tcW w:w="7567" w:type="dxa"/>
          </w:tcPr>
          <w:p w14:paraId="46765661"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i/>
                <w:sz w:val="20"/>
              </w:rPr>
              <w:t>+32 25468228</w:t>
            </w:r>
          </w:p>
        </w:tc>
      </w:tr>
      <w:tr w:rsidR="0039093C" w:rsidRPr="0039093C" w14:paraId="3E645883" w14:textId="77777777" w:rsidTr="00854068">
        <w:trPr>
          <w:trHeight w:val="300"/>
        </w:trPr>
        <w:tc>
          <w:tcPr>
            <w:tcW w:w="1755" w:type="dxa"/>
          </w:tcPr>
          <w:p w14:paraId="6069BEEF"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E-mail</w:t>
            </w:r>
          </w:p>
        </w:tc>
        <w:tc>
          <w:tcPr>
            <w:tcW w:w="7567" w:type="dxa"/>
          </w:tcPr>
          <w:p w14:paraId="53CEC4E5" w14:textId="46125232" w:rsidR="0039093C" w:rsidRPr="004C6742" w:rsidRDefault="0039093C" w:rsidP="004853F6">
            <w:pPr>
              <w:overflowPunct w:val="0"/>
              <w:autoSpaceDE w:val="0"/>
              <w:autoSpaceDN w:val="0"/>
              <w:adjustRightInd w:val="0"/>
              <w:spacing w:line="276" w:lineRule="auto"/>
              <w:textAlignment w:val="baseline"/>
              <w:outlineLvl w:val="1"/>
              <w:rPr>
                <w:i/>
                <w:iCs/>
                <w:sz w:val="20"/>
                <w:szCs w:val="20"/>
                <w:u w:val="single"/>
              </w:rPr>
            </w:pPr>
            <w:hyperlink r:id="rId60" w:history="1">
              <w:r>
                <w:rPr>
                  <w:rStyle w:val="Hyperlink"/>
                  <w:i/>
                  <w:sz w:val="20"/>
                </w:rPr>
                <w:t>Anna.</w:t>
              </w:r>
              <w:r w:rsidR="007836E0">
                <w:rPr>
                  <w:rStyle w:val="Hyperlink"/>
                  <w:i/>
                  <w:sz w:val="20"/>
                </w:rPr>
                <w:t>CAMERON</w:t>
              </w:r>
              <w:r>
                <w:rPr>
                  <w:rStyle w:val="Hyperlink"/>
                  <w:i/>
                  <w:sz w:val="20"/>
                </w:rPr>
                <w:t>@eesc.europa.eu</w:t>
              </w:r>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48D068B9" w14:textId="6CDE0812" w:rsidR="00403683" w:rsidRPr="004C6742" w:rsidRDefault="00A067F3" w:rsidP="004C6742">
      <w:pPr>
        <w:widowControl w:val="0"/>
        <w:numPr>
          <w:ilvl w:val="0"/>
          <w:numId w:val="4"/>
        </w:numPr>
        <w:overflowPunct w:val="0"/>
        <w:autoSpaceDE w:val="0"/>
        <w:autoSpaceDN w:val="0"/>
        <w:adjustRightInd w:val="0"/>
        <w:ind w:hanging="567"/>
        <w:textAlignment w:val="baseline"/>
        <w:rPr>
          <w:b/>
        </w:rPr>
      </w:pPr>
      <w:hyperlink r:id="rId61" w:history="1">
        <w:r>
          <w:rPr>
            <w:b/>
            <w:i/>
            <w:color w:val="0000FF"/>
            <w:sz w:val="28"/>
            <w:u w:val="single"/>
          </w:rPr>
          <w:t>Pacchetto omnibus di semplificazione riguardante gli alimenti e i mangimi</w:t>
        </w:r>
      </w:hyperlink>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Relatore</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Correlatore</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(Datori di lavoro - ES)</w:t>
            </w:r>
          </w:p>
          <w:p w14:paraId="3D560AB1" w14:textId="7A3E50CA" w:rsidR="00403683" w:rsidRDefault="00403683" w:rsidP="00403683">
            <w:pPr>
              <w:tabs>
                <w:tab w:val="center" w:pos="284"/>
              </w:tabs>
              <w:overflowPunct w:val="0"/>
              <w:autoSpaceDE w:val="0"/>
              <w:autoSpaceDN w:val="0"/>
              <w:adjustRightInd w:val="0"/>
              <w:ind w:left="266" w:right="-3091" w:hanging="266"/>
              <w:textAlignment w:val="baseline"/>
            </w:pPr>
            <w:r>
              <w:t>John COMER (Organizzazioni della società civile - IE)</w:t>
            </w: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Riferimento</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r>
              <w:t>COM(2025)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Punti principali</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Il CESE:</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28" w:name="_Toc228805442"/>
      <w:r>
        <w:t>accoglie con favore l'impostazione generale del pacchetto di semplificazione riguardante gli alimenti e i mangimi, che dovrebbe ridurre gli oneri amministrativi e i costi superflui, ma pone in evidenza che qualsiasi semplificazione non deve compromettere gli elevati standard dell'UE in materia di sicurezza degli alimenti e dei mangimi, protezione dell'ambiente e salute pubblica, e sottolinea che un'ulteriore semplificazione sarebbe stata utile;</w:t>
      </w:r>
      <w:bookmarkEnd w:id="28"/>
    </w:p>
    <w:p w14:paraId="03C81D74"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29" w:name="_Toc228805443"/>
      <w:r>
        <w:t>mette in rilievo l'importanza della qualità della regolamentazione e la necessità di consolidare il ruolo della società civile nel monitoraggio e nell'applicazione della legislazione;</w:t>
      </w:r>
      <w:bookmarkEnd w:id="29"/>
    </w:p>
    <w:p w14:paraId="2F1E934E"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30" w:name="_Toc228805444"/>
      <w:r>
        <w:t>accoglie con favore la proposta di agevolare un maggiore utilizzo dei droni per l'irrorazione dei pesticidi, sottolineando nel contempo la necessità di tutele e salvaguardie adeguate per proteggere la salute e l'ambiente dei residenti rurali non agricoltori e di tutti i lavoratori;</w:t>
      </w:r>
      <w:bookmarkEnd w:id="30"/>
    </w:p>
    <w:p w14:paraId="4305D899"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31" w:name="_Toc228805445"/>
      <w:r>
        <w:t>ritiene che l'Autorità europea per la sicurezza alimentare (EFSA) dovrebbe avere il diritto di lanciare l'allarme qualora siano necessarie rivalutazioni mirate delle sostanze attive con approvazione per un periodo illimitato, e dovrebbe essere invitata a formulare un parere sull'opportunità di qualsiasi particolare periodo di tolleranza;</w:t>
      </w:r>
      <w:bookmarkEnd w:id="31"/>
      <w:r>
        <w:t xml:space="preserve"> </w:t>
      </w:r>
    </w:p>
    <w:p w14:paraId="52534770" w14:textId="77777777" w:rsidR="00403683" w:rsidRPr="00403683" w:rsidRDefault="00403683" w:rsidP="00DE04DA">
      <w:pPr>
        <w:numPr>
          <w:ilvl w:val="1"/>
          <w:numId w:val="60"/>
        </w:numPr>
        <w:shd w:val="clear" w:color="auto" w:fill="FFFFFF" w:themeFill="background1"/>
        <w:overflowPunct w:val="0"/>
        <w:autoSpaceDE w:val="0"/>
        <w:autoSpaceDN w:val="0"/>
        <w:adjustRightInd w:val="0"/>
        <w:ind w:left="709" w:hanging="425"/>
        <w:textAlignment w:val="baseline"/>
        <w:outlineLvl w:val="1"/>
        <w:rPr>
          <w:szCs w:val="20"/>
        </w:rPr>
      </w:pPr>
      <w:bookmarkStart w:id="32" w:name="_Toc228805446"/>
      <w:r>
        <w:t>valuta positivamente l'accelerazione e la semplificazione dei processi di autorizzazione per i prodotti di controllo biologico;</w:t>
      </w:r>
      <w:bookmarkEnd w:id="32"/>
      <w:r>
        <w:t xml:space="preserve"> </w:t>
      </w:r>
    </w:p>
    <w:p w14:paraId="5FE87611" w14:textId="77777777" w:rsidR="00403683" w:rsidRPr="00403683" w:rsidRDefault="00403683" w:rsidP="00DE04DA">
      <w:pPr>
        <w:numPr>
          <w:ilvl w:val="1"/>
          <w:numId w:val="60"/>
        </w:numPr>
        <w:shd w:val="clear" w:color="auto" w:fill="FFFFFF" w:themeFill="background1"/>
        <w:overflowPunct w:val="0"/>
        <w:autoSpaceDE w:val="0"/>
        <w:autoSpaceDN w:val="0"/>
        <w:adjustRightInd w:val="0"/>
        <w:ind w:left="709" w:hanging="425"/>
        <w:textAlignment w:val="baseline"/>
        <w:outlineLvl w:val="1"/>
        <w:rPr>
          <w:szCs w:val="20"/>
        </w:rPr>
      </w:pPr>
      <w:bookmarkStart w:id="33" w:name="_Toc228805447"/>
      <w:r>
        <w:t>chiede che i periodi di tolleranza siano armonizzati al massimo livello di protezione in tutta l'UE e che i riconoscimenti reciproci siano agevolati;</w:t>
      </w:r>
      <w:bookmarkEnd w:id="33"/>
    </w:p>
    <w:p w14:paraId="740656F8" w14:textId="77777777" w:rsidR="00403683" w:rsidRPr="00403683" w:rsidRDefault="00403683" w:rsidP="00DE04DA">
      <w:pPr>
        <w:numPr>
          <w:ilvl w:val="1"/>
          <w:numId w:val="60"/>
        </w:numPr>
        <w:shd w:val="clear" w:color="auto" w:fill="FFFFFF" w:themeFill="background1"/>
        <w:overflowPunct w:val="0"/>
        <w:autoSpaceDE w:val="0"/>
        <w:autoSpaceDN w:val="0"/>
        <w:adjustRightInd w:val="0"/>
        <w:ind w:left="709" w:hanging="425"/>
        <w:textAlignment w:val="baseline"/>
        <w:outlineLvl w:val="1"/>
        <w:rPr>
          <w:szCs w:val="20"/>
        </w:rPr>
      </w:pPr>
      <w:bookmarkStart w:id="34" w:name="_Toc228805448"/>
      <w:r>
        <w:t>sostiene l'autorizzazione dei prodotti fitosanitari (PPP) contenenti sostanze attive approvate dall'UE per la concia delle sementi destinate all'esportazione, a condizione che tale uso sia conforme ai requisiti normativi del paese di destinazione;</w:t>
      </w:r>
      <w:bookmarkEnd w:id="34"/>
    </w:p>
    <w:p w14:paraId="32435E68"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35" w:name="_Toc228805449"/>
      <w:r>
        <w:t>propone che le analisi sanitarie e di certificazione private effettuate dalle imprese siano riconosciute come ufficiali per semplificare la procedura di esportazione dei prodotti fitosanitari verso paesi terzi, e che siano previsti controlli e sanzioni più rigorosi da parte delle autorità per consentire tale riconoscimento;</w:t>
      </w:r>
      <w:bookmarkEnd w:id="35"/>
    </w:p>
    <w:p w14:paraId="5D898E6D"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36" w:name="_Toc228805450"/>
      <w:r>
        <w:t>esprime preoccupazione per l'eliminazione delle tolleranze all'importazione per alcune sostanze non autorizzate nell'UE – pur riconoscendo l'importanza dell'equivalenza delle norme – e ritiene che una valutazione d'impatto sia essenziale per tali importanti modifiche, in linea con il principio di precauzione e tenendo conto delle potenziali implicazioni per tutti gli attori della filiera che dipendono fortemente dalle importazioni;</w:t>
      </w:r>
      <w:bookmarkEnd w:id="36"/>
    </w:p>
    <w:p w14:paraId="0129D2DA"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37" w:name="_Toc228805451"/>
      <w:r>
        <w:t>ritiene che le sostanze di controllo biologico dovrebbero poter contenere metalli pesanti come il rame, a condizione che siano garantite la salute umana, animale e del suolo nonché la biodiversità;</w:t>
      </w:r>
      <w:bookmarkEnd w:id="37"/>
    </w:p>
    <w:p w14:paraId="3C8AB436"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38" w:name="_Toc228805452"/>
      <w:r>
        <w:lastRenderedPageBreak/>
        <w:t>è dell'avviso che dovrebbe essere disponibile un'alternativa economicamente valida avente un livello equivalente di efficacia prima di ritirare una sostanza attiva candidata alla sostituzione;</w:t>
      </w:r>
      <w:bookmarkEnd w:id="38"/>
    </w:p>
    <w:p w14:paraId="30304C3E"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39" w:name="_Toc228805453"/>
      <w:r>
        <w:t>reputa che l'UE debba sostenere i più elevati standard di trasparenza e sicurezza nei nuovi prodotti alimentari e negli alimenti geneticamente modificati;</w:t>
      </w:r>
      <w:bookmarkEnd w:id="39"/>
    </w:p>
    <w:p w14:paraId="47E9B68C" w14:textId="77777777" w:rsidR="00403683" w:rsidRPr="00403683" w:rsidRDefault="00403683" w:rsidP="00DE04DA">
      <w:pPr>
        <w:numPr>
          <w:ilvl w:val="1"/>
          <w:numId w:val="60"/>
        </w:numPr>
        <w:overflowPunct w:val="0"/>
        <w:autoSpaceDE w:val="0"/>
        <w:autoSpaceDN w:val="0"/>
        <w:adjustRightInd w:val="0"/>
        <w:ind w:left="709" w:hanging="425"/>
        <w:textAlignment w:val="baseline"/>
        <w:outlineLvl w:val="1"/>
        <w:rPr>
          <w:szCs w:val="20"/>
        </w:rPr>
      </w:pPr>
      <w:bookmarkStart w:id="40" w:name="_Toc228805454"/>
      <w:r>
        <w:t>chiede che l'armonizzazione dell'etichettatura delle sementi includa misure precauzionali e di gestione del rischio pertinenti.</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403683" w:rsidRPr="00403683" w14:paraId="70675006" w14:textId="77777777" w:rsidTr="002E7EFB">
        <w:tc>
          <w:tcPr>
            <w:tcW w:w="1077" w:type="pct"/>
          </w:tcPr>
          <w:p w14:paraId="47BC0F37" w14:textId="77777777" w:rsidR="00403683" w:rsidRPr="00403683" w:rsidRDefault="00403683" w:rsidP="00403683">
            <w:pPr>
              <w:overflowPunct w:val="0"/>
              <w:autoSpaceDE w:val="0"/>
              <w:autoSpaceDN w:val="0"/>
              <w:adjustRightInd w:val="0"/>
              <w:textAlignment w:val="baseline"/>
              <w:rPr>
                <w:i/>
              </w:rPr>
            </w:pPr>
            <w:r>
              <w:rPr>
                <w:b/>
                <w:i/>
              </w:rPr>
              <w:t>Contatto</w:t>
            </w:r>
          </w:p>
        </w:tc>
        <w:tc>
          <w:tcPr>
            <w:tcW w:w="3923" w:type="pct"/>
          </w:tcPr>
          <w:p w14:paraId="14A09B02" w14:textId="54C774A1" w:rsidR="00403683" w:rsidRPr="00403683" w:rsidRDefault="00403683" w:rsidP="00403683">
            <w:pPr>
              <w:overflowPunct w:val="0"/>
              <w:autoSpaceDE w:val="0"/>
              <w:autoSpaceDN w:val="0"/>
              <w:adjustRightInd w:val="0"/>
              <w:textAlignment w:val="baseline"/>
              <w:rPr>
                <w:i/>
              </w:rPr>
            </w:pPr>
            <w:r>
              <w:rPr>
                <w:i/>
              </w:rPr>
              <w:t>Martine DELANOY</w:t>
            </w:r>
          </w:p>
        </w:tc>
      </w:tr>
      <w:tr w:rsidR="00403683" w:rsidRPr="00403683" w14:paraId="1A38B9B8" w14:textId="77777777" w:rsidTr="002E7EFB">
        <w:tc>
          <w:tcPr>
            <w:tcW w:w="1077" w:type="pct"/>
          </w:tcPr>
          <w:p w14:paraId="4675EE24" w14:textId="77777777" w:rsidR="00403683" w:rsidRPr="00403683" w:rsidRDefault="00403683" w:rsidP="00403683">
            <w:pPr>
              <w:overflowPunct w:val="0"/>
              <w:autoSpaceDE w:val="0"/>
              <w:autoSpaceDN w:val="0"/>
              <w:adjustRightInd w:val="0"/>
              <w:textAlignment w:val="baseline"/>
              <w:rPr>
                <w:i/>
              </w:rPr>
            </w:pPr>
            <w:r>
              <w:rPr>
                <w:i/>
              </w:rPr>
              <w:t>Tel.</w:t>
            </w:r>
          </w:p>
        </w:tc>
        <w:tc>
          <w:tcPr>
            <w:tcW w:w="3923" w:type="pct"/>
          </w:tcPr>
          <w:p w14:paraId="353DAD93" w14:textId="77777777" w:rsidR="00403683" w:rsidRPr="00403683" w:rsidRDefault="00403683" w:rsidP="00403683">
            <w:pPr>
              <w:overflowPunct w:val="0"/>
              <w:autoSpaceDE w:val="0"/>
              <w:autoSpaceDN w:val="0"/>
              <w:adjustRightInd w:val="0"/>
              <w:textAlignment w:val="baseline"/>
              <w:rPr>
                <w:i/>
              </w:rPr>
            </w:pPr>
            <w:r>
              <w:rPr>
                <w:i/>
              </w:rPr>
              <w:t>+32 25469802</w:t>
            </w:r>
          </w:p>
        </w:tc>
      </w:tr>
      <w:tr w:rsidR="00403683" w:rsidRPr="00403683" w14:paraId="7CCD1D63" w14:textId="77777777" w:rsidTr="002E7EFB">
        <w:tc>
          <w:tcPr>
            <w:tcW w:w="1077" w:type="pct"/>
          </w:tcPr>
          <w:p w14:paraId="0D398F1B" w14:textId="77777777" w:rsidR="00403683" w:rsidRPr="00403683" w:rsidRDefault="00403683" w:rsidP="00403683">
            <w:pPr>
              <w:overflowPunct w:val="0"/>
              <w:autoSpaceDE w:val="0"/>
              <w:autoSpaceDN w:val="0"/>
              <w:adjustRightInd w:val="0"/>
              <w:textAlignment w:val="baseline"/>
              <w:rPr>
                <w:i/>
              </w:rPr>
            </w:pPr>
            <w:r>
              <w:rPr>
                <w:i/>
              </w:rPr>
              <w:t>E-mail</w:t>
            </w:r>
          </w:p>
        </w:tc>
        <w:tc>
          <w:tcPr>
            <w:tcW w:w="3923" w:type="pct"/>
          </w:tcPr>
          <w:p w14:paraId="40D17F4B" w14:textId="320CD5A6" w:rsidR="00403683" w:rsidRDefault="00291C11" w:rsidP="00403683">
            <w:pPr>
              <w:overflowPunct w:val="0"/>
              <w:autoSpaceDE w:val="0"/>
              <w:autoSpaceDN w:val="0"/>
              <w:adjustRightInd w:val="0"/>
              <w:textAlignment w:val="baseline"/>
              <w:rPr>
                <w:i/>
              </w:rPr>
            </w:pPr>
            <w:hyperlink r:id="rId62" w:history="1">
              <w:r>
                <w:rPr>
                  <w:i/>
                  <w:color w:val="0000FF"/>
                  <w:u w:val="single"/>
                </w:rPr>
                <w:t>Martine.</w:t>
              </w:r>
              <w:r w:rsidR="00DE04DA">
                <w:rPr>
                  <w:i/>
                  <w:color w:val="0000FF"/>
                  <w:u w:val="single"/>
                </w:rPr>
                <w:t>DELANOY</w:t>
              </w:r>
              <w:r>
                <w:rPr>
                  <w:i/>
                  <w:color w:val="0000FF"/>
                  <w:u w:val="single"/>
                </w:rPr>
                <w:t>@eesc.europa.eu</w:t>
              </w:r>
            </w:hyperlink>
            <w:r>
              <w:rPr>
                <w:i/>
              </w:rPr>
              <w:t xml:space="preserve"> </w:t>
            </w:r>
          </w:p>
          <w:p w14:paraId="01C39410" w14:textId="77777777" w:rsidR="00CA6EC9" w:rsidRDefault="00CA6EC9" w:rsidP="00403683">
            <w:pPr>
              <w:overflowPunct w:val="0"/>
              <w:autoSpaceDE w:val="0"/>
              <w:autoSpaceDN w:val="0"/>
              <w:adjustRightInd w:val="0"/>
              <w:textAlignment w:val="baseline"/>
              <w:rPr>
                <w:i/>
              </w:rPr>
            </w:pPr>
          </w:p>
          <w:p w14:paraId="7433A851" w14:textId="77777777" w:rsidR="00CA6EC9" w:rsidRPr="00403683" w:rsidRDefault="00CA6EC9" w:rsidP="00403683">
            <w:pPr>
              <w:overflowPunct w:val="0"/>
              <w:autoSpaceDE w:val="0"/>
              <w:autoSpaceDN w:val="0"/>
              <w:adjustRightInd w:val="0"/>
              <w:textAlignment w:val="baseline"/>
              <w:rPr>
                <w:i/>
              </w:rPr>
            </w:pP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259468BA" w:rsidR="00A230F1" w:rsidRPr="007B6F06" w:rsidRDefault="007B6F06" w:rsidP="007836E0">
      <w:pPr>
        <w:pStyle w:val="ListParagraph"/>
        <w:numPr>
          <w:ilvl w:val="0"/>
          <w:numId w:val="14"/>
        </w:numPr>
        <w:spacing w:after="160" w:line="259" w:lineRule="auto"/>
        <w:ind w:left="567" w:hanging="567"/>
        <w:rPr>
          <w:b/>
          <w:bCs/>
          <w:szCs w:val="20"/>
        </w:rPr>
      </w:pPr>
      <w:r>
        <w:br w:type="page"/>
      </w:r>
      <w:hyperlink r:id="rId63" w:history="1">
        <w:r>
          <w:rPr>
            <w:b/>
            <w:i/>
            <w:color w:val="0000FF"/>
            <w:sz w:val="28"/>
            <w:u w:val="single"/>
          </w:rPr>
          <w:t>Equivalenza delle ispezioni in campo delle colture di sementi effettuate in paesi terzi ed equivalenza delle sementi prodotte in paesi terzi</w:t>
        </w:r>
      </w:hyperlink>
      <w:r>
        <w:rPr>
          <w:b/>
          <w:i/>
          <w:sz w:val="28"/>
        </w:rPr>
        <w:t xml:space="preserve"> </w:t>
      </w:r>
    </w:p>
    <w:p w14:paraId="32AB9036" w14:textId="77777777" w:rsidR="00A230F1" w:rsidRPr="00A230F1" w:rsidRDefault="00A230F1" w:rsidP="00A230F1">
      <w:pPr>
        <w:widowControl w:val="0"/>
        <w:overflowPunct w:val="0"/>
        <w:autoSpaceDE w:val="0"/>
        <w:autoSpaceDN w:val="0"/>
        <w:adjustRightInd w:val="0"/>
        <w:ind w:left="266"/>
        <w:textAlignment w:val="baseline"/>
        <w:rPr>
          <w:b/>
          <w:bCs/>
          <w:i/>
          <w:iCs/>
          <w:sz w:val="28"/>
          <w:szCs w:val="28"/>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Pr>
                <w:b/>
              </w:rPr>
              <w:t>Riferimento</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pPr>
            <w:r>
              <w:t>Parere di categoria C</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r>
              <w:t>COM(2026) 128 final</w:t>
            </w:r>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2BE004ED" w14:textId="77777777" w:rsidR="00A230F1" w:rsidRDefault="00A230F1" w:rsidP="00A230F1">
            <w:pPr>
              <w:tabs>
                <w:tab w:val="center" w:pos="284"/>
              </w:tabs>
              <w:overflowPunct w:val="0"/>
              <w:autoSpaceDE w:val="0"/>
              <w:autoSpaceDN w:val="0"/>
              <w:adjustRightInd w:val="0"/>
              <w:ind w:left="266" w:right="-3091" w:hanging="266"/>
              <w:textAlignment w:val="baseline"/>
            </w:pPr>
            <w:r>
              <w:t>EESC-2026-01152-00-00-AC</w:t>
            </w:r>
          </w:p>
          <w:p w14:paraId="70F0DEFB" w14:textId="77777777" w:rsidR="00BB22BB" w:rsidRPr="00A230F1" w:rsidRDefault="00BB22BB" w:rsidP="00A230F1">
            <w:pPr>
              <w:tabs>
                <w:tab w:val="center" w:pos="284"/>
              </w:tabs>
              <w:overflowPunct w:val="0"/>
              <w:autoSpaceDE w:val="0"/>
              <w:autoSpaceDN w:val="0"/>
              <w:adjustRightInd w:val="0"/>
              <w:ind w:left="266" w:right="-3091" w:hanging="266"/>
              <w:textAlignment w:val="baseline"/>
            </w:pPr>
          </w:p>
        </w:tc>
      </w:tr>
    </w:tbl>
    <w:p w14:paraId="60432935" w14:textId="77777777" w:rsidR="00BB22BB" w:rsidRPr="004E3027" w:rsidRDefault="00BB22BB" w:rsidP="00BB22BB">
      <w:pPr>
        <w:keepNext/>
        <w:keepLines/>
        <w:tabs>
          <w:tab w:val="center" w:pos="284"/>
        </w:tabs>
        <w:ind w:left="266" w:hanging="266"/>
        <w:rPr>
          <w:b/>
        </w:rPr>
      </w:pPr>
      <w:r w:rsidRPr="004E3027">
        <w:rPr>
          <w:b/>
        </w:rPr>
        <w:t>Punti principali</w:t>
      </w:r>
    </w:p>
    <w:p w14:paraId="0B90C095" w14:textId="77777777" w:rsidR="00BB22BB" w:rsidRPr="004E3027" w:rsidRDefault="00BB22BB" w:rsidP="00BB22BB">
      <w:pPr>
        <w:keepNext/>
        <w:keepLines/>
        <w:tabs>
          <w:tab w:val="center" w:pos="284"/>
        </w:tabs>
        <w:ind w:left="266" w:hanging="266"/>
        <w:rPr>
          <w:b/>
        </w:rPr>
      </w:pPr>
    </w:p>
    <w:p w14:paraId="4B38BDF0" w14:textId="77777777" w:rsidR="00BB22BB" w:rsidRPr="004E3027" w:rsidRDefault="00BB22BB" w:rsidP="00BB22BB">
      <w:pPr>
        <w:rPr>
          <w:bCs/>
          <w:iCs/>
        </w:rPr>
      </w:pPr>
      <w:r w:rsidRPr="004E3027">
        <w:t>Il CESE:</w:t>
      </w:r>
    </w:p>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73A42D68" w:rsidR="002B30F4" w:rsidRPr="002B30F4" w:rsidRDefault="00A230F1" w:rsidP="004C6742">
      <w:pPr>
        <w:pStyle w:val="Footer"/>
        <w:rPr>
          <w:bCs/>
          <w:iCs/>
        </w:rPr>
      </w:pPr>
      <w:r>
        <w:t>poiché si era già pronunciato sul contenuto della proposta in esame nei pareri EESC-2018-00043-00-00-AC-TRA, adottato il 14 febbraio 2018</w:t>
      </w:r>
      <w:r w:rsidR="002B30F4" w:rsidRPr="002B30F4">
        <w:rPr>
          <w:sz w:val="24"/>
          <w:vertAlign w:val="superscript"/>
          <w:lang w:val="en-GB"/>
        </w:rPr>
        <w:footnoteReference w:id="2"/>
      </w:r>
      <w:r>
        <w:t>, e EESC-2020-02029-00-00-AC-TRA-EN, adottato il 18</w:t>
      </w:r>
      <w:r w:rsidR="00BB22BB">
        <w:t> </w:t>
      </w:r>
      <w:r>
        <w:t>settembre 2020</w:t>
      </w:r>
      <w:r w:rsidR="002B30F4" w:rsidRPr="002B30F4">
        <w:rPr>
          <w:sz w:val="24"/>
          <w:vertAlign w:val="superscript"/>
          <w:lang w:val="en-GB"/>
        </w:rPr>
        <w:footnoteReference w:id="3"/>
      </w:r>
      <w:r>
        <w:t>, ha deciso di non procedere all'elaborazione di un nuovo parere in materia ma di rinviare alla posizione espressa nei documenti succitati.</w:t>
      </w:r>
    </w:p>
    <w:p w14:paraId="23AFABFB" w14:textId="193EFDF4" w:rsidR="00A230F1" w:rsidRDefault="00A230F1" w:rsidP="00A230F1">
      <w:pPr>
        <w:overflowPunct w:val="0"/>
        <w:autoSpaceDE w:val="0"/>
        <w:autoSpaceDN w:val="0"/>
        <w:adjustRightInd w:val="0"/>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A230F1" w:rsidRPr="00A230F1" w14:paraId="16CCD5A5" w14:textId="77777777" w:rsidTr="002E7EFB">
        <w:tc>
          <w:tcPr>
            <w:tcW w:w="1078" w:type="pct"/>
          </w:tcPr>
          <w:p w14:paraId="441CA2A8" w14:textId="77777777" w:rsidR="00A230F1" w:rsidRPr="00A230F1" w:rsidRDefault="00A230F1" w:rsidP="00A230F1">
            <w:pPr>
              <w:overflowPunct w:val="0"/>
              <w:autoSpaceDE w:val="0"/>
              <w:autoSpaceDN w:val="0"/>
              <w:adjustRightInd w:val="0"/>
              <w:textAlignment w:val="baseline"/>
              <w:rPr>
                <w:i/>
              </w:rPr>
            </w:pPr>
            <w:r>
              <w:rPr>
                <w:b/>
                <w:i/>
              </w:rPr>
              <w:t>Contatto</w:t>
            </w:r>
          </w:p>
        </w:tc>
        <w:tc>
          <w:tcPr>
            <w:tcW w:w="3922" w:type="pct"/>
          </w:tcPr>
          <w:p w14:paraId="1998D269" w14:textId="77777777" w:rsidR="00A230F1" w:rsidRPr="00A230F1" w:rsidRDefault="00A230F1" w:rsidP="00A230F1">
            <w:pPr>
              <w:overflowPunct w:val="0"/>
              <w:autoSpaceDE w:val="0"/>
              <w:autoSpaceDN w:val="0"/>
              <w:adjustRightInd w:val="0"/>
              <w:textAlignment w:val="baseline"/>
              <w:rPr>
                <w:i/>
              </w:rPr>
            </w:pPr>
            <w:r>
              <w:rPr>
                <w:i/>
              </w:rPr>
              <w:t>Arturo INIGUEZ YUSTE</w:t>
            </w:r>
          </w:p>
        </w:tc>
      </w:tr>
      <w:tr w:rsidR="00A230F1" w:rsidRPr="00A230F1" w14:paraId="7CBB3F89" w14:textId="77777777" w:rsidTr="002E7EFB">
        <w:tc>
          <w:tcPr>
            <w:tcW w:w="1078" w:type="pct"/>
          </w:tcPr>
          <w:p w14:paraId="4B2CEA11" w14:textId="77777777" w:rsidR="00A230F1" w:rsidRPr="00A230F1" w:rsidRDefault="00A230F1" w:rsidP="00A230F1">
            <w:pPr>
              <w:overflowPunct w:val="0"/>
              <w:autoSpaceDE w:val="0"/>
              <w:autoSpaceDN w:val="0"/>
              <w:adjustRightInd w:val="0"/>
              <w:textAlignment w:val="baseline"/>
              <w:rPr>
                <w:i/>
              </w:rPr>
            </w:pPr>
            <w:r>
              <w:rPr>
                <w:i/>
              </w:rPr>
              <w:t>Tel.</w:t>
            </w:r>
          </w:p>
        </w:tc>
        <w:tc>
          <w:tcPr>
            <w:tcW w:w="3922" w:type="pct"/>
          </w:tcPr>
          <w:p w14:paraId="151C60D3" w14:textId="77777777" w:rsidR="00A230F1" w:rsidRPr="00A230F1" w:rsidRDefault="00A230F1" w:rsidP="00A230F1">
            <w:pPr>
              <w:overflowPunct w:val="0"/>
              <w:autoSpaceDE w:val="0"/>
              <w:autoSpaceDN w:val="0"/>
              <w:adjustRightInd w:val="0"/>
              <w:textAlignment w:val="baseline"/>
              <w:rPr>
                <w:i/>
              </w:rPr>
            </w:pPr>
            <w:r>
              <w:rPr>
                <w:i/>
              </w:rPr>
              <w:t>+32 25468768</w:t>
            </w:r>
          </w:p>
        </w:tc>
      </w:tr>
      <w:tr w:rsidR="00A230F1" w:rsidRPr="00A230F1" w14:paraId="3090F269" w14:textId="77777777" w:rsidTr="002E7EFB">
        <w:tc>
          <w:tcPr>
            <w:tcW w:w="1078" w:type="pct"/>
          </w:tcPr>
          <w:p w14:paraId="36817683" w14:textId="77777777" w:rsidR="00A230F1" w:rsidRPr="00A230F1" w:rsidRDefault="00A230F1" w:rsidP="00A230F1">
            <w:pPr>
              <w:overflowPunct w:val="0"/>
              <w:autoSpaceDE w:val="0"/>
              <w:autoSpaceDN w:val="0"/>
              <w:adjustRightInd w:val="0"/>
              <w:textAlignment w:val="baseline"/>
              <w:rPr>
                <w:i/>
              </w:rPr>
            </w:pPr>
            <w:r>
              <w:rPr>
                <w:i/>
              </w:rPr>
              <w:t>E-mail</w:t>
            </w:r>
          </w:p>
        </w:tc>
        <w:tc>
          <w:tcPr>
            <w:tcW w:w="3922" w:type="pct"/>
          </w:tcPr>
          <w:p w14:paraId="1FAC504A" w14:textId="6EEE9FD1" w:rsidR="00A230F1" w:rsidRPr="00A230F1" w:rsidRDefault="00291C11" w:rsidP="00A230F1">
            <w:pPr>
              <w:overflowPunct w:val="0"/>
              <w:autoSpaceDE w:val="0"/>
              <w:autoSpaceDN w:val="0"/>
              <w:adjustRightInd w:val="0"/>
              <w:textAlignment w:val="baseline"/>
              <w:rPr>
                <w:i/>
                <w:iCs/>
              </w:rPr>
            </w:pPr>
            <w:hyperlink r:id="rId64" w:history="1">
              <w:r>
                <w:rPr>
                  <w:i/>
                  <w:color w:val="0000FF"/>
                  <w:u w:val="single"/>
                </w:rPr>
                <w:t>Arturo.</w:t>
              </w:r>
              <w:r w:rsidR="00073933">
                <w:rPr>
                  <w:i/>
                  <w:color w:val="0000FF"/>
                  <w:u w:val="single"/>
                </w:rPr>
                <w:t>INIGUEZ</w:t>
              </w:r>
              <w:r>
                <w:rPr>
                  <w:i/>
                  <w:color w:val="0000FF"/>
                  <w:u w:val="single"/>
                </w:rPr>
                <w:t>@eesc.europa.eu</w:t>
              </w:r>
            </w:hyperlink>
            <w:r>
              <w:rPr>
                <w:i/>
              </w:rPr>
              <w:t xml:space="preserve"> </w:t>
            </w:r>
          </w:p>
        </w:tc>
      </w:tr>
    </w:tbl>
    <w:p w14:paraId="60213BA5" w14:textId="23657EAA" w:rsidR="00A230F1" w:rsidRDefault="00A230F1" w:rsidP="001766B2">
      <w:pPr>
        <w:jc w:val="left"/>
      </w:pPr>
    </w:p>
    <w:p w14:paraId="4B9B21DA" w14:textId="77777777" w:rsidR="00553BE0" w:rsidRDefault="00553BE0" w:rsidP="001766B2">
      <w:pPr>
        <w:jc w:val="left"/>
      </w:pPr>
    </w:p>
    <w:p w14:paraId="272CD546" w14:textId="77777777" w:rsidR="00553BE0" w:rsidRDefault="00553BE0" w:rsidP="001766B2">
      <w:pPr>
        <w:jc w:val="left"/>
      </w:pPr>
    </w:p>
    <w:p w14:paraId="1CFD6392" w14:textId="77777777" w:rsidR="00553BE0" w:rsidRDefault="00553BE0" w:rsidP="001766B2">
      <w:pPr>
        <w:jc w:val="left"/>
      </w:pPr>
    </w:p>
    <w:p w14:paraId="2804502A" w14:textId="77777777" w:rsidR="00553BE0" w:rsidRDefault="00553BE0" w:rsidP="001766B2">
      <w:pPr>
        <w:jc w:val="left"/>
      </w:pPr>
    </w:p>
    <w:p w14:paraId="7224D954" w14:textId="77777777" w:rsidR="00553BE0" w:rsidRDefault="00553BE0"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6132CCFD" w:rsidR="00EC4D43" w:rsidRPr="00EC4D43" w:rsidRDefault="00A067F3" w:rsidP="004C6742">
      <w:pPr>
        <w:widowControl w:val="0"/>
        <w:numPr>
          <w:ilvl w:val="0"/>
          <w:numId w:val="4"/>
        </w:numPr>
        <w:overflowPunct w:val="0"/>
        <w:autoSpaceDE w:val="0"/>
        <w:autoSpaceDN w:val="0"/>
        <w:adjustRightInd w:val="0"/>
        <w:ind w:hanging="567"/>
        <w:textAlignment w:val="baseline"/>
        <w:rPr>
          <w:b/>
        </w:rPr>
      </w:pPr>
      <w:hyperlink r:id="rId65" w:history="1">
        <w:r>
          <w:rPr>
            <w:b/>
            <w:i/>
            <w:color w:val="0000FF"/>
            <w:sz w:val="28"/>
            <w:u w:val="single"/>
          </w:rPr>
          <w:t>Cessazione dell'invalidamento delle quote presenti nella riserva stabilizzatrice del mercato</w:t>
        </w:r>
      </w:hyperlink>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C4D43" w:rsidRPr="00EC4D43" w14:paraId="22D897E0" w14:textId="77777777" w:rsidTr="002E7EFB">
        <w:tc>
          <w:tcPr>
            <w:tcW w:w="107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Pr>
                <w:b/>
              </w:rPr>
              <w:t>Riferimento</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Parere di categoria C</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r>
              <w:t>COM(2026) 153 final</w:t>
            </w:r>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t>EESC-2026-01164-00-00-AC</w:t>
            </w:r>
          </w:p>
        </w:tc>
      </w:tr>
    </w:tbl>
    <w:p w14:paraId="0267DBC7" w14:textId="77777777" w:rsidR="00073933" w:rsidRPr="008E0187" w:rsidRDefault="00073933" w:rsidP="00073933">
      <w:pPr>
        <w:keepNext/>
        <w:keepLines/>
        <w:tabs>
          <w:tab w:val="center" w:pos="284"/>
        </w:tabs>
        <w:ind w:left="266" w:hanging="266"/>
        <w:rPr>
          <w:b/>
        </w:rPr>
      </w:pPr>
      <w:r w:rsidRPr="008E0187">
        <w:rPr>
          <w:b/>
        </w:rPr>
        <w:t>Punti principali</w:t>
      </w:r>
    </w:p>
    <w:p w14:paraId="656715AA" w14:textId="77777777" w:rsidR="00073933" w:rsidRPr="008E0187" w:rsidRDefault="00073933" w:rsidP="00073933">
      <w:pPr>
        <w:keepNext/>
        <w:keepLines/>
        <w:tabs>
          <w:tab w:val="center" w:pos="284"/>
        </w:tabs>
        <w:ind w:left="266" w:hanging="266"/>
        <w:rPr>
          <w:b/>
        </w:rPr>
      </w:pPr>
    </w:p>
    <w:p w14:paraId="0FC42288" w14:textId="3EB719B0" w:rsidR="00517E07" w:rsidRDefault="00073933" w:rsidP="00073933">
      <w:pPr>
        <w:tabs>
          <w:tab w:val="center" w:pos="284"/>
        </w:tabs>
        <w:overflowPunct w:val="0"/>
        <w:autoSpaceDE w:val="0"/>
        <w:autoSpaceDN w:val="0"/>
        <w:adjustRightInd w:val="0"/>
        <w:ind w:left="266" w:hanging="266"/>
        <w:textAlignment w:val="baseline"/>
      </w:pPr>
      <w:r w:rsidRPr="008E0187">
        <w:t>Il CESE:</w:t>
      </w:r>
    </w:p>
    <w:p w14:paraId="76087CB0" w14:textId="77777777" w:rsidR="00073933" w:rsidRPr="00EC4D43" w:rsidRDefault="00073933" w:rsidP="00073933">
      <w:pPr>
        <w:tabs>
          <w:tab w:val="center" w:pos="284"/>
        </w:tabs>
        <w:overflowPunct w:val="0"/>
        <w:autoSpaceDE w:val="0"/>
        <w:autoSpaceDN w:val="0"/>
        <w:adjustRightInd w:val="0"/>
        <w:ind w:left="266" w:hanging="266"/>
        <w:textAlignment w:val="baseline"/>
        <w:rPr>
          <w:b/>
          <w:lang w:val="en-GB"/>
        </w:rPr>
      </w:pPr>
    </w:p>
    <w:p w14:paraId="3ABFEF49" w14:textId="07FCFA8C" w:rsidR="008548EA" w:rsidRPr="008548EA" w:rsidRDefault="00073933" w:rsidP="004C6742">
      <w:pPr>
        <w:widowControl w:val="0"/>
        <w:overflowPunct w:val="0"/>
        <w:autoSpaceDE w:val="0"/>
        <w:autoSpaceDN w:val="0"/>
        <w:adjustRightInd w:val="0"/>
        <w:textAlignment w:val="baseline"/>
        <w:rPr>
          <w:bCs/>
          <w:iCs/>
        </w:rPr>
      </w:pPr>
      <w:r>
        <w:t>a</w:t>
      </w:r>
      <w:r w:rsidR="00EC4D43">
        <w:t>vendo concluso che il contenuto della proposta è soddisfacente ed essendosi già pronunciato al riguardo nel proprio parere EESC-2021-03918-00-00-AC-TRA, adottato l'8 dicembre 2021</w:t>
      </w:r>
      <w:r w:rsidR="008548EA" w:rsidRPr="008548EA">
        <w:rPr>
          <w:sz w:val="24"/>
          <w:szCs w:val="20"/>
          <w:vertAlign w:val="superscript"/>
          <w:lang w:val="en-GB"/>
        </w:rPr>
        <w:footnoteReference w:id="4"/>
      </w:r>
      <w:r w:rsidR="00EC4D43">
        <w:t>,</w:t>
      </w:r>
      <w:r>
        <w:t xml:space="preserve"> </w:t>
      </w:r>
      <w:r w:rsidR="00EC4D43">
        <w:t>ha deciso di esprimere parere favorevole al testo proposto e di rinviare alla posizione a suo tempo sostenuta nel documento citato.</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EC4D43" w:rsidRPr="00EC4D43" w14:paraId="2D162523" w14:textId="77777777" w:rsidTr="002E7EFB">
        <w:tc>
          <w:tcPr>
            <w:tcW w:w="1078" w:type="pct"/>
          </w:tcPr>
          <w:p w14:paraId="1CAD14A2" w14:textId="77777777" w:rsidR="00EC4D43" w:rsidRPr="00EC4D43" w:rsidRDefault="00EC4D43" w:rsidP="00EC4D43">
            <w:pPr>
              <w:overflowPunct w:val="0"/>
              <w:autoSpaceDE w:val="0"/>
              <w:autoSpaceDN w:val="0"/>
              <w:adjustRightInd w:val="0"/>
              <w:textAlignment w:val="baseline"/>
              <w:rPr>
                <w:i/>
              </w:rPr>
            </w:pPr>
            <w:r>
              <w:rPr>
                <w:b/>
                <w:i/>
              </w:rPr>
              <w:t>Contatto</w:t>
            </w:r>
          </w:p>
        </w:tc>
        <w:tc>
          <w:tcPr>
            <w:tcW w:w="3922" w:type="pct"/>
          </w:tcPr>
          <w:p w14:paraId="36FD4393" w14:textId="46A780E6" w:rsidR="00EC4D43" w:rsidRPr="00EC4D43" w:rsidRDefault="00EC4D43" w:rsidP="00EC4D43">
            <w:pPr>
              <w:overflowPunct w:val="0"/>
              <w:autoSpaceDE w:val="0"/>
              <w:autoSpaceDN w:val="0"/>
              <w:adjustRightInd w:val="0"/>
              <w:textAlignment w:val="baseline"/>
              <w:rPr>
                <w:i/>
              </w:rPr>
            </w:pPr>
            <w:r>
              <w:rPr>
                <w:i/>
                <w:iCs/>
              </w:rPr>
              <w:t>Gaizka MALO ELCORO-IRIBE</w:t>
            </w:r>
          </w:p>
        </w:tc>
      </w:tr>
      <w:tr w:rsidR="00EC4D43" w:rsidRPr="00EC4D43" w14:paraId="0DA2E11C" w14:textId="77777777" w:rsidTr="002E7EFB">
        <w:tc>
          <w:tcPr>
            <w:tcW w:w="1078" w:type="pct"/>
          </w:tcPr>
          <w:p w14:paraId="459B752C" w14:textId="77777777" w:rsidR="00EC4D43" w:rsidRPr="00EC4D43" w:rsidRDefault="00EC4D43" w:rsidP="00EC4D43">
            <w:pPr>
              <w:overflowPunct w:val="0"/>
              <w:autoSpaceDE w:val="0"/>
              <w:autoSpaceDN w:val="0"/>
              <w:adjustRightInd w:val="0"/>
              <w:textAlignment w:val="baseline"/>
              <w:rPr>
                <w:i/>
              </w:rPr>
            </w:pPr>
            <w:r>
              <w:rPr>
                <w:i/>
              </w:rPr>
              <w:t>Tel.</w:t>
            </w:r>
          </w:p>
        </w:tc>
        <w:tc>
          <w:tcPr>
            <w:tcW w:w="3922" w:type="pct"/>
          </w:tcPr>
          <w:p w14:paraId="77EB016E" w14:textId="77777777" w:rsidR="00EC4D43" w:rsidRPr="00EC4D43" w:rsidRDefault="00EC4D43" w:rsidP="00EC4D43">
            <w:pPr>
              <w:overflowPunct w:val="0"/>
              <w:autoSpaceDE w:val="0"/>
              <w:autoSpaceDN w:val="0"/>
              <w:adjustRightInd w:val="0"/>
              <w:textAlignment w:val="baseline"/>
              <w:rPr>
                <w:i/>
              </w:rPr>
            </w:pPr>
            <w:r>
              <w:rPr>
                <w:i/>
              </w:rPr>
              <w:t>+32 25468526</w:t>
            </w:r>
          </w:p>
        </w:tc>
      </w:tr>
      <w:tr w:rsidR="00EC4D43" w:rsidRPr="00EC4D43" w14:paraId="1581E8CF" w14:textId="77777777" w:rsidTr="002E7EFB">
        <w:tc>
          <w:tcPr>
            <w:tcW w:w="1078" w:type="pct"/>
          </w:tcPr>
          <w:p w14:paraId="3CA2A44C" w14:textId="77777777" w:rsidR="00EC4D43" w:rsidRPr="00EC4D43" w:rsidRDefault="00EC4D43" w:rsidP="00EC4D43">
            <w:pPr>
              <w:overflowPunct w:val="0"/>
              <w:autoSpaceDE w:val="0"/>
              <w:autoSpaceDN w:val="0"/>
              <w:adjustRightInd w:val="0"/>
              <w:textAlignment w:val="baseline"/>
              <w:rPr>
                <w:i/>
              </w:rPr>
            </w:pPr>
            <w:r>
              <w:rPr>
                <w:i/>
              </w:rPr>
              <w:t>E-mail</w:t>
            </w:r>
          </w:p>
        </w:tc>
        <w:tc>
          <w:tcPr>
            <w:tcW w:w="3922" w:type="pct"/>
          </w:tcPr>
          <w:p w14:paraId="4685C922" w14:textId="063F7636" w:rsidR="00EC4D43" w:rsidRPr="00EC4D43" w:rsidRDefault="00291C11" w:rsidP="00EC4D43">
            <w:pPr>
              <w:overflowPunct w:val="0"/>
              <w:autoSpaceDE w:val="0"/>
              <w:autoSpaceDN w:val="0"/>
              <w:adjustRightInd w:val="0"/>
              <w:textAlignment w:val="baseline"/>
              <w:rPr>
                <w:i/>
                <w:iCs/>
              </w:rPr>
            </w:pPr>
            <w:hyperlink r:id="rId66" w:history="1">
              <w:r>
                <w:rPr>
                  <w:i/>
                  <w:color w:val="0000FF"/>
                  <w:u w:val="single"/>
                </w:rPr>
                <w:t>Gaizka.</w:t>
              </w:r>
              <w:r w:rsidR="00073933">
                <w:rPr>
                  <w:i/>
                  <w:color w:val="0000FF"/>
                  <w:u w:val="single"/>
                </w:rPr>
                <w:t>MALOELCORO-IRIBE</w:t>
              </w:r>
              <w:r>
                <w:rPr>
                  <w:i/>
                  <w:color w:val="0000FF"/>
                  <w:u w:val="single"/>
                </w:rPr>
                <w:t>@eesc.europa.eu</w:t>
              </w:r>
            </w:hyperlink>
            <w:r>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14026A78" w14:textId="34519E14" w:rsidR="007F5784" w:rsidRDefault="007F5784" w:rsidP="004C6742">
      <w:pPr>
        <w:pStyle w:val="Heading2"/>
      </w:pPr>
      <w:bookmarkStart w:id="41" w:name="_Toc229405149"/>
      <w:r>
        <w:lastRenderedPageBreak/>
        <w:t>RELAZIONI ESTERNE</w:t>
      </w:r>
      <w:bookmarkEnd w:id="41"/>
    </w:p>
    <w:p w14:paraId="3BBB3E68" w14:textId="77777777" w:rsidR="007F5784" w:rsidRDefault="007F5784" w:rsidP="001766B2"/>
    <w:p w14:paraId="1A338A4C" w14:textId="60A35C57" w:rsidR="00D16830" w:rsidRPr="007836E0" w:rsidRDefault="00D16830" w:rsidP="00D16830">
      <w:pPr>
        <w:widowControl w:val="0"/>
        <w:numPr>
          <w:ilvl w:val="0"/>
          <w:numId w:val="4"/>
        </w:numPr>
        <w:overflowPunct w:val="0"/>
        <w:autoSpaceDE w:val="0"/>
        <w:autoSpaceDN w:val="0"/>
        <w:adjustRightInd w:val="0"/>
        <w:ind w:hanging="567"/>
        <w:textAlignment w:val="baseline"/>
        <w:rPr>
          <w:b/>
          <w:bCs/>
          <w:i/>
          <w:iCs/>
          <w:sz w:val="28"/>
          <w:szCs w:val="28"/>
        </w:rPr>
      </w:pPr>
      <w:hyperlink r:id="rId67" w:history="1">
        <w:r w:rsidRPr="007836E0">
          <w:rPr>
            <w:b/>
            <w:i/>
            <w:color w:val="0000FF"/>
            <w:sz w:val="28"/>
            <w:szCs w:val="28"/>
            <w:u w:val="single"/>
          </w:rPr>
          <w:t>Ruolo della società civile nel sostegno delle riforme nell'ambito dei piani di crescita per i Balcani occidentali e la Moldova e nel percorso di riforma dell'Ucraina</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D16830" w:rsidRPr="00D16830" w14:paraId="10A26714" w14:textId="77777777" w:rsidTr="004C6742">
        <w:tc>
          <w:tcPr>
            <w:tcW w:w="1701"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Relatore</w:t>
            </w:r>
          </w:p>
        </w:tc>
        <w:tc>
          <w:tcPr>
            <w:tcW w:w="6804" w:type="dxa"/>
          </w:tcPr>
          <w:p w14:paraId="61302FB0" w14:textId="2C902EF4" w:rsidR="00D16830" w:rsidRPr="00D16830" w:rsidRDefault="00D16830" w:rsidP="00D16830">
            <w:pPr>
              <w:tabs>
                <w:tab w:val="center" w:pos="284"/>
              </w:tabs>
              <w:overflowPunct w:val="0"/>
              <w:autoSpaceDE w:val="0"/>
              <w:autoSpaceDN w:val="0"/>
              <w:adjustRightInd w:val="0"/>
              <w:ind w:left="266" w:hanging="266"/>
              <w:textAlignment w:val="baseline"/>
            </w:pPr>
            <w:r>
              <w:t>Oleg ROIBU (Datori di lavoro - RO)</w:t>
            </w:r>
          </w:p>
        </w:tc>
      </w:tr>
      <w:tr w:rsidR="00D16830" w:rsidRPr="00D16830" w14:paraId="16FB2AA9" w14:textId="77777777" w:rsidTr="004C6742">
        <w:tc>
          <w:tcPr>
            <w:tcW w:w="1701" w:type="dxa"/>
          </w:tcPr>
          <w:p w14:paraId="41593292"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Correlatore</w:t>
            </w:r>
          </w:p>
        </w:tc>
        <w:tc>
          <w:tcPr>
            <w:tcW w:w="6804" w:type="dxa"/>
          </w:tcPr>
          <w:p w14:paraId="15F5EFBF" w14:textId="32660462" w:rsidR="00D16830" w:rsidRPr="00D16830" w:rsidRDefault="00D16830" w:rsidP="00D16830">
            <w:pPr>
              <w:tabs>
                <w:tab w:val="center" w:pos="284"/>
              </w:tabs>
              <w:overflowPunct w:val="0"/>
              <w:autoSpaceDE w:val="0"/>
              <w:autoSpaceDN w:val="0"/>
              <w:adjustRightInd w:val="0"/>
              <w:ind w:left="266" w:hanging="266"/>
              <w:textAlignment w:val="baseline"/>
            </w:pPr>
            <w:r>
              <w:t>Andrej ZORKO (Lavoratori - SI)</w:t>
            </w:r>
          </w:p>
        </w:tc>
      </w:tr>
      <w:tr w:rsidR="00D16830" w:rsidRPr="00D16830" w14:paraId="6E76E965" w14:textId="77777777" w:rsidTr="004C6742">
        <w:tc>
          <w:tcPr>
            <w:tcW w:w="8505" w:type="dxa"/>
            <w:gridSpan w:val="2"/>
          </w:tcPr>
          <w:p w14:paraId="3CA058AE" w14:textId="77777777" w:rsidR="00D16830" w:rsidRPr="00D16830"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D16830" w14:paraId="0673089E" w14:textId="77777777" w:rsidTr="004C6742">
        <w:tc>
          <w:tcPr>
            <w:tcW w:w="1701" w:type="dxa"/>
            <w:vMerge w:val="restart"/>
          </w:tcPr>
          <w:p w14:paraId="62E4ADE4"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Riferimento</w:t>
            </w:r>
          </w:p>
        </w:tc>
        <w:tc>
          <w:tcPr>
            <w:tcW w:w="6804" w:type="dxa"/>
          </w:tcPr>
          <w:p w14:paraId="7F3E1AFA" w14:textId="712E7546" w:rsidR="006717BA" w:rsidRDefault="006717BA" w:rsidP="00D16830">
            <w:pPr>
              <w:tabs>
                <w:tab w:val="center" w:pos="284"/>
              </w:tabs>
              <w:overflowPunct w:val="0"/>
              <w:autoSpaceDE w:val="0"/>
              <w:autoSpaceDN w:val="0"/>
              <w:adjustRightInd w:val="0"/>
              <w:ind w:left="266" w:hanging="266"/>
              <w:textAlignment w:val="baseline"/>
            </w:pPr>
            <w:r>
              <w:t>Parere esplorativo richiesto dalla presidenza cipriota del Consiglio dell'UE</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r>
              <w:t>EESC-2026-00143-00-00-AC</w:t>
            </w:r>
          </w:p>
        </w:tc>
      </w:tr>
      <w:tr w:rsidR="00D16830" w:rsidRPr="00D16830" w14:paraId="2A8B5342" w14:textId="77777777" w:rsidTr="004C6742">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Punti principali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Il CESE:</w:t>
      </w:r>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5657F4">
      <w:pPr>
        <w:widowControl w:val="0"/>
        <w:numPr>
          <w:ilvl w:val="0"/>
          <w:numId w:val="63"/>
        </w:numPr>
        <w:overflowPunct w:val="0"/>
        <w:autoSpaceDE w:val="0"/>
        <w:autoSpaceDN w:val="0"/>
        <w:adjustRightInd w:val="0"/>
        <w:ind w:left="709" w:hanging="425"/>
        <w:textAlignment w:val="baseline"/>
        <w:rPr>
          <w:bCs/>
          <w:iCs/>
        </w:rPr>
      </w:pPr>
      <w:r>
        <w:t xml:space="preserve">sottolinea che tutti e tre gli strumenti in esame – quello per i Balcani occidentali, quello per l'Ucraina e quello per la Moldova – </w:t>
      </w:r>
      <w:r>
        <w:rPr>
          <w:b/>
          <w:bCs/>
        </w:rPr>
        <w:t>devono tradurre in realtà concreta il coinvolgimento della società civile</w:t>
      </w:r>
      <w:r>
        <w:t xml:space="preserve">, in quanto condizione strutturale di governance alla base della </w:t>
      </w:r>
      <w:r>
        <w:rPr>
          <w:b/>
          <w:bCs/>
        </w:rPr>
        <w:t>sostenibilità del processo di allargamento</w:t>
      </w:r>
      <w:r>
        <w:t>;</w:t>
      </w:r>
    </w:p>
    <w:p w14:paraId="6CBB1B4B" w14:textId="77777777" w:rsidR="00D16830" w:rsidRPr="00D16830" w:rsidRDefault="00D16830" w:rsidP="005657F4">
      <w:pPr>
        <w:widowControl w:val="0"/>
        <w:numPr>
          <w:ilvl w:val="0"/>
          <w:numId w:val="63"/>
        </w:numPr>
        <w:overflowPunct w:val="0"/>
        <w:autoSpaceDE w:val="0"/>
        <w:autoSpaceDN w:val="0"/>
        <w:adjustRightInd w:val="0"/>
        <w:ind w:left="709" w:hanging="425"/>
        <w:textAlignment w:val="baseline"/>
        <w:rPr>
          <w:bCs/>
          <w:iCs/>
        </w:rPr>
      </w:pPr>
      <w:r>
        <w:t xml:space="preserve">evidenzia che, per garantire la titolarità, da parte della società civile, delle riforme sostenute dai suddetti strumenti, occorrerebbe </w:t>
      </w:r>
      <w:r>
        <w:rPr>
          <w:b/>
          <w:bCs/>
        </w:rPr>
        <w:t>attribuire un ruolo permanente, attivo e strutturato</w:t>
      </w:r>
      <w:r>
        <w:t xml:space="preserve"> </w:t>
      </w:r>
      <w:r>
        <w:rPr>
          <w:b/>
          <w:bCs/>
        </w:rPr>
        <w:t>– istituzionalizzato in modo formale – alle parti sociali e alle organizzazioni della società civile</w:t>
      </w:r>
      <w:r>
        <w:t>, accanto alle autorità nazionali;</w:t>
      </w:r>
    </w:p>
    <w:p w14:paraId="6112EC9A" w14:textId="77777777" w:rsidR="00D16830" w:rsidRPr="00D16830" w:rsidRDefault="00D16830" w:rsidP="005657F4">
      <w:pPr>
        <w:widowControl w:val="0"/>
        <w:numPr>
          <w:ilvl w:val="0"/>
          <w:numId w:val="63"/>
        </w:numPr>
        <w:overflowPunct w:val="0"/>
        <w:autoSpaceDE w:val="0"/>
        <w:autoSpaceDN w:val="0"/>
        <w:adjustRightInd w:val="0"/>
        <w:ind w:left="709" w:hanging="425"/>
        <w:textAlignment w:val="baseline"/>
        <w:rPr>
          <w:bCs/>
          <w:iCs/>
        </w:rPr>
      </w:pPr>
      <w:r>
        <w:t xml:space="preserve">mette in rilievo che </w:t>
      </w:r>
      <w:r>
        <w:rPr>
          <w:b/>
          <w:bCs/>
        </w:rPr>
        <w:t>i finanziamenti dovrebbero contribuire fattivamente a preparare i paesi in questione all'adesione all'UE</w:t>
      </w:r>
      <w:r>
        <w:t>, in linea con il modello sociale ed economico europeo, e non limitarsi a sostenerne l'integrazione nel mercato unico;</w:t>
      </w:r>
    </w:p>
    <w:p w14:paraId="2E0BC090" w14:textId="77777777" w:rsidR="00D16830" w:rsidRPr="00D16830" w:rsidRDefault="00D16830" w:rsidP="005657F4">
      <w:pPr>
        <w:widowControl w:val="0"/>
        <w:numPr>
          <w:ilvl w:val="0"/>
          <w:numId w:val="63"/>
        </w:numPr>
        <w:overflowPunct w:val="0"/>
        <w:autoSpaceDE w:val="0"/>
        <w:autoSpaceDN w:val="0"/>
        <w:adjustRightInd w:val="0"/>
        <w:ind w:left="709" w:hanging="425"/>
        <w:textAlignment w:val="baseline"/>
        <w:rPr>
          <w:szCs w:val="20"/>
        </w:rPr>
      </w:pPr>
      <w:r>
        <w:t xml:space="preserve">sottolinea che </w:t>
      </w:r>
      <w:r>
        <w:rPr>
          <w:b/>
        </w:rPr>
        <w:t>le scadenze stabilite non dovrebbero compromettere le procedure democratiche, il dibattito pubblico, la consultazione obbligatoria o il dialogo</w:t>
      </w:r>
      <w:r>
        <w:t xml:space="preserve"> con le parti sociali e le organizzazioni della società civile, né essere addotte come giustificazione per scorciatoie di emergenza nell'iter legislativo che escludano i suddetti attori;</w:t>
      </w:r>
    </w:p>
    <w:p w14:paraId="13E72E61" w14:textId="77777777" w:rsidR="00D16830" w:rsidRPr="00D16830" w:rsidRDefault="00D16830" w:rsidP="005657F4">
      <w:pPr>
        <w:widowControl w:val="0"/>
        <w:numPr>
          <w:ilvl w:val="0"/>
          <w:numId w:val="63"/>
        </w:numPr>
        <w:overflowPunct w:val="0"/>
        <w:autoSpaceDE w:val="0"/>
        <w:autoSpaceDN w:val="0"/>
        <w:adjustRightInd w:val="0"/>
        <w:ind w:left="709" w:hanging="425"/>
        <w:textAlignment w:val="baseline"/>
        <w:rPr>
          <w:bCs/>
          <w:iCs/>
        </w:rPr>
      </w:pPr>
      <w:r>
        <w:t xml:space="preserve">fa notare che i governi dovrebbero istituire </w:t>
      </w:r>
      <w:r>
        <w:rPr>
          <w:b/>
          <w:bCs/>
        </w:rPr>
        <w:t>un quadro strutturato per il dialogo sociale</w:t>
      </w:r>
      <w:r>
        <w:t xml:space="preserve"> che garantisca il coinvolgimento di un numero adeguato di rappresentanti di organizzazioni di datori di lavoro, di lavoratori e della società civile rappresentative a livello nazionale, sempre </w:t>
      </w:r>
      <w:r>
        <w:rPr>
          <w:b/>
          <w:bCs/>
        </w:rPr>
        <w:t>nel rispetto del ruolo specifico e dell'autonomia delle parti sociali</w:t>
      </w:r>
      <w:r>
        <w:t>;</w:t>
      </w:r>
    </w:p>
    <w:p w14:paraId="26EAFF74" w14:textId="77777777" w:rsidR="00D16830" w:rsidRPr="00D16830" w:rsidRDefault="00D16830" w:rsidP="005657F4">
      <w:pPr>
        <w:widowControl w:val="0"/>
        <w:numPr>
          <w:ilvl w:val="0"/>
          <w:numId w:val="63"/>
        </w:numPr>
        <w:overflowPunct w:val="0"/>
        <w:autoSpaceDE w:val="0"/>
        <w:autoSpaceDN w:val="0"/>
        <w:adjustRightInd w:val="0"/>
        <w:ind w:left="709" w:hanging="425"/>
        <w:textAlignment w:val="baseline"/>
        <w:rPr>
          <w:bCs/>
          <w:iCs/>
        </w:rPr>
      </w:pPr>
      <w:r>
        <w:t xml:space="preserve">raccomanda alla Commissione europea di fornire orientamenti, formulati in modo chiaro e resi di pubblico dominio, per valutare il pieno o parziale </w:t>
      </w:r>
      <w:r>
        <w:rPr>
          <w:b/>
          <w:bCs/>
        </w:rPr>
        <w:t>conseguimento degli indicatori di attuazione del programma di riforme</w:t>
      </w:r>
      <w:r>
        <w:t>, compresi standard di verifica e anche in relazione a eventuali passi indietro riguardo alle condizioni già soddisfatte;</w:t>
      </w:r>
    </w:p>
    <w:p w14:paraId="2056D22B" w14:textId="77777777" w:rsidR="00D16830" w:rsidRPr="00D16830" w:rsidRDefault="00D16830" w:rsidP="005657F4">
      <w:pPr>
        <w:widowControl w:val="0"/>
        <w:numPr>
          <w:ilvl w:val="0"/>
          <w:numId w:val="63"/>
        </w:numPr>
        <w:overflowPunct w:val="0"/>
        <w:autoSpaceDE w:val="0"/>
        <w:autoSpaceDN w:val="0"/>
        <w:adjustRightInd w:val="0"/>
        <w:ind w:left="709" w:hanging="425"/>
        <w:textAlignment w:val="baseline"/>
        <w:rPr>
          <w:bCs/>
          <w:iCs/>
        </w:rPr>
      </w:pPr>
      <w:r>
        <w:t xml:space="preserve">raccomanda di garantire </w:t>
      </w:r>
      <w:r>
        <w:rPr>
          <w:b/>
          <w:bCs/>
        </w:rPr>
        <w:t>un sostegno finanziario su misura, sostenibile e prevedibile alle organizzazioni della società civile e alle parti sociali</w:t>
      </w:r>
      <w:r>
        <w:t xml:space="preserve"> attraverso </w:t>
      </w:r>
      <w:r>
        <w:rPr>
          <w:b/>
          <w:bCs/>
        </w:rPr>
        <w:t>meccanismi di finanziamento pluriennali e trasparenti</w:t>
      </w:r>
      <w:r>
        <w:t>;</w:t>
      </w:r>
    </w:p>
    <w:p w14:paraId="3DC98AF8" w14:textId="77777777" w:rsidR="00D16830" w:rsidRPr="00D16830" w:rsidRDefault="00D16830" w:rsidP="005657F4">
      <w:pPr>
        <w:widowControl w:val="0"/>
        <w:numPr>
          <w:ilvl w:val="0"/>
          <w:numId w:val="63"/>
        </w:numPr>
        <w:overflowPunct w:val="0"/>
        <w:autoSpaceDE w:val="0"/>
        <w:autoSpaceDN w:val="0"/>
        <w:adjustRightInd w:val="0"/>
        <w:ind w:left="709" w:hanging="425"/>
        <w:textAlignment w:val="baseline"/>
        <w:rPr>
          <w:bCs/>
          <w:iCs/>
        </w:rPr>
      </w:pPr>
      <w:r>
        <w:t xml:space="preserve">invita la Commissione a </w:t>
      </w:r>
      <w:r>
        <w:rPr>
          <w:b/>
          <w:bCs/>
        </w:rPr>
        <w:t>basarsi sulle valutazioni intermedie</w:t>
      </w:r>
      <w:r>
        <w:t xml:space="preserve"> dei quadri di governance e attuazione degli strumenti attuali e a </w:t>
      </w:r>
      <w:r>
        <w:rPr>
          <w:b/>
          <w:bCs/>
        </w:rPr>
        <w:t>migliorare ulteriormente l'attuazione dei pertinenti strumenti di allargamento dell'UE, attuali e futuri, basati sulle prestazioni</w:t>
      </w:r>
      <w:r>
        <w:t>.</w:t>
      </w: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16830" w:rsidRPr="00D16830" w14:paraId="06D6E640" w14:textId="77777777" w:rsidTr="002E7EFB">
        <w:tc>
          <w:tcPr>
            <w:tcW w:w="1418" w:type="dxa"/>
          </w:tcPr>
          <w:p w14:paraId="29735154" w14:textId="77777777" w:rsidR="007836E0" w:rsidRDefault="007836E0" w:rsidP="00D16830">
            <w:pPr>
              <w:overflowPunct w:val="0"/>
              <w:autoSpaceDE w:val="0"/>
              <w:autoSpaceDN w:val="0"/>
              <w:adjustRightInd w:val="0"/>
              <w:spacing w:line="240" w:lineRule="auto"/>
              <w:textAlignment w:val="baseline"/>
              <w:rPr>
                <w:b/>
                <w:i/>
              </w:rPr>
            </w:pPr>
          </w:p>
          <w:p w14:paraId="2EFB1BD5" w14:textId="543251A7" w:rsidR="00D16830" w:rsidRPr="00D16830" w:rsidRDefault="00D16830" w:rsidP="00D16830">
            <w:pPr>
              <w:overflowPunct w:val="0"/>
              <w:autoSpaceDE w:val="0"/>
              <w:autoSpaceDN w:val="0"/>
              <w:adjustRightInd w:val="0"/>
              <w:spacing w:line="240" w:lineRule="auto"/>
              <w:textAlignment w:val="baseline"/>
              <w:rPr>
                <w:i/>
              </w:rPr>
            </w:pPr>
            <w:r>
              <w:rPr>
                <w:b/>
                <w:i/>
              </w:rPr>
              <w:lastRenderedPageBreak/>
              <w:t>Contatto</w:t>
            </w:r>
          </w:p>
        </w:tc>
        <w:tc>
          <w:tcPr>
            <w:tcW w:w="5670" w:type="dxa"/>
          </w:tcPr>
          <w:p w14:paraId="579A7A5E" w14:textId="77777777" w:rsidR="007836E0" w:rsidRDefault="007836E0" w:rsidP="00D16830">
            <w:pPr>
              <w:overflowPunct w:val="0"/>
              <w:autoSpaceDE w:val="0"/>
              <w:autoSpaceDN w:val="0"/>
              <w:adjustRightInd w:val="0"/>
              <w:spacing w:line="240" w:lineRule="auto"/>
              <w:textAlignment w:val="baseline"/>
              <w:rPr>
                <w:i/>
              </w:rPr>
            </w:pPr>
          </w:p>
          <w:p w14:paraId="72677A97" w14:textId="4803DF4D" w:rsidR="00D16830" w:rsidRPr="00D16830" w:rsidRDefault="00D16830" w:rsidP="00D16830">
            <w:pPr>
              <w:overflowPunct w:val="0"/>
              <w:autoSpaceDE w:val="0"/>
              <w:autoSpaceDN w:val="0"/>
              <w:adjustRightInd w:val="0"/>
              <w:spacing w:line="240" w:lineRule="auto"/>
              <w:textAlignment w:val="baseline"/>
              <w:rPr>
                <w:i/>
              </w:rPr>
            </w:pPr>
            <w:r>
              <w:rPr>
                <w:i/>
              </w:rPr>
              <w:lastRenderedPageBreak/>
              <w:t>David HOIĆ</w:t>
            </w:r>
          </w:p>
        </w:tc>
      </w:tr>
      <w:tr w:rsidR="00D16830" w:rsidRPr="00D16830" w14:paraId="3BA7205F" w14:textId="77777777" w:rsidTr="002E7EFB">
        <w:tc>
          <w:tcPr>
            <w:tcW w:w="1418"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Pr>
                <w:i/>
              </w:rPr>
              <w:lastRenderedPageBreak/>
              <w:t>Tel.</w:t>
            </w:r>
          </w:p>
        </w:tc>
        <w:tc>
          <w:tcPr>
            <w:tcW w:w="5670"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Pr>
                <w:i/>
              </w:rPr>
              <w:t>+32 25469069</w:t>
            </w:r>
          </w:p>
        </w:tc>
      </w:tr>
      <w:tr w:rsidR="00D16830" w:rsidRPr="00D16830" w14:paraId="06D43AB5" w14:textId="77777777" w:rsidTr="002E7EFB">
        <w:tc>
          <w:tcPr>
            <w:tcW w:w="1418"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Pr>
                <w:i/>
              </w:rPr>
              <w:t>E-mail</w:t>
            </w:r>
          </w:p>
        </w:tc>
        <w:tc>
          <w:tcPr>
            <w:tcW w:w="5670" w:type="dxa"/>
          </w:tcPr>
          <w:p w14:paraId="104A20AD" w14:textId="2BC85A66" w:rsidR="00D16830" w:rsidRPr="00D16830" w:rsidRDefault="00291C11" w:rsidP="00D16830">
            <w:pPr>
              <w:overflowPunct w:val="0"/>
              <w:autoSpaceDE w:val="0"/>
              <w:autoSpaceDN w:val="0"/>
              <w:adjustRightInd w:val="0"/>
              <w:spacing w:line="240" w:lineRule="auto"/>
              <w:textAlignment w:val="baseline"/>
              <w:rPr>
                <w:i/>
              </w:rPr>
            </w:pPr>
            <w:hyperlink r:id="rId68" w:history="1">
              <w:r>
                <w:rPr>
                  <w:i/>
                  <w:color w:val="0000FF"/>
                  <w:u w:val="single"/>
                </w:rPr>
                <w:t>David.</w:t>
              </w:r>
              <w:r w:rsidR="005657F4">
                <w:rPr>
                  <w:i/>
                  <w:color w:val="0000FF"/>
                  <w:u w:val="single"/>
                </w:rPr>
                <w:t>HOIC</w:t>
              </w:r>
              <w:r>
                <w:rPr>
                  <w:i/>
                  <w:color w:val="0000FF"/>
                  <w:u w:val="single"/>
                </w:rPr>
                <w:t>@eesc.europa.eu</w:t>
              </w:r>
            </w:hyperlink>
            <w:r>
              <w:rPr>
                <w:i/>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41D04A86" w14:textId="50C79CFE" w:rsidR="00297F0C" w:rsidRPr="00297F0C" w:rsidRDefault="00297F0C" w:rsidP="005657F4">
      <w:pPr>
        <w:widowControl w:val="0"/>
        <w:numPr>
          <w:ilvl w:val="0"/>
          <w:numId w:val="4"/>
        </w:numPr>
        <w:overflowPunct w:val="0"/>
        <w:autoSpaceDE w:val="0"/>
        <w:autoSpaceDN w:val="0"/>
        <w:adjustRightInd w:val="0"/>
        <w:ind w:hanging="567"/>
        <w:textAlignment w:val="baseline"/>
        <w:rPr>
          <w:sz w:val="20"/>
          <w:szCs w:val="20"/>
        </w:rPr>
      </w:pPr>
      <w:hyperlink r:id="rId69" w:history="1">
        <w:r>
          <w:rPr>
            <w:b/>
            <w:i/>
            <w:color w:val="0000FF"/>
            <w:sz w:val="28"/>
            <w:u w:val="single"/>
          </w:rPr>
          <w:t>Il ruolo del settore privato e della società civile nel rafforzamento della cooperazione economica nell'ambito del patto per il Mediterraneo</w:t>
        </w:r>
      </w:hyperlink>
    </w:p>
    <w:p w14:paraId="6EC7DE74" w14:textId="77777777" w:rsidR="00297F0C" w:rsidRPr="00297F0C" w:rsidRDefault="00297F0C" w:rsidP="00297F0C">
      <w:pPr>
        <w:widowControl w:val="0"/>
        <w:overflowPunct w:val="0"/>
        <w:autoSpaceDE w:val="0"/>
        <w:autoSpaceDN w:val="0"/>
        <w:adjustRightInd w:val="0"/>
        <w:ind w:left="567"/>
        <w:jc w:val="left"/>
        <w:textAlignment w:val="baseline"/>
        <w:rPr>
          <w:sz w:val="20"/>
          <w:szCs w:val="20"/>
          <w:lang w:val="en-GB"/>
        </w:rPr>
      </w:pPr>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297F0C" w:rsidRPr="00297F0C" w14:paraId="125788EB" w14:textId="77777777" w:rsidTr="002E7EFB">
        <w:trPr>
          <w:trHeight w:val="70"/>
        </w:trPr>
        <w:tc>
          <w:tcPr>
            <w:tcW w:w="107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Relatore</w:t>
            </w:r>
          </w:p>
        </w:tc>
        <w:tc>
          <w:tcPr>
            <w:tcW w:w="392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Thomas WAGNSONNER (Lavoratori - AT)</w:t>
            </w:r>
          </w:p>
        </w:tc>
      </w:tr>
      <w:tr w:rsidR="00297F0C" w:rsidRPr="00297F0C" w14:paraId="3290F704" w14:textId="77777777" w:rsidTr="002E7EFB">
        <w:tc>
          <w:tcPr>
            <w:tcW w:w="1077"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Correlatrice</w:t>
            </w:r>
          </w:p>
        </w:tc>
        <w:tc>
          <w:tcPr>
            <w:tcW w:w="3923"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r>
              <w:t>Lidija PAVIĆ-ROGOŠIĆ (Organizzazioni della società civile - HR)</w:t>
            </w:r>
          </w:p>
          <w:p w14:paraId="14EF11F7" w14:textId="77777777" w:rsidR="00F76EE7" w:rsidRPr="00297F0C" w:rsidRDefault="00F76EE7" w:rsidP="00297F0C">
            <w:pPr>
              <w:tabs>
                <w:tab w:val="center" w:pos="284"/>
              </w:tabs>
              <w:overflowPunct w:val="0"/>
              <w:autoSpaceDE w:val="0"/>
              <w:autoSpaceDN w:val="0"/>
              <w:adjustRightInd w:val="0"/>
              <w:ind w:left="266" w:right="-3091" w:hanging="266"/>
              <w:textAlignment w:val="baseline"/>
            </w:pPr>
          </w:p>
        </w:tc>
      </w:tr>
      <w:tr w:rsidR="00297F0C" w:rsidRPr="00297F0C" w14:paraId="54CCBB87" w14:textId="77777777" w:rsidTr="002E7EFB">
        <w:tc>
          <w:tcPr>
            <w:tcW w:w="1077"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Riferimento</w:t>
            </w:r>
          </w:p>
        </w:tc>
        <w:tc>
          <w:tcPr>
            <w:tcW w:w="3923" w:type="pct"/>
          </w:tcPr>
          <w:p w14:paraId="4F6E33CF" w14:textId="1323A011" w:rsidR="005D6457" w:rsidRDefault="005D6457" w:rsidP="00297F0C">
            <w:pPr>
              <w:tabs>
                <w:tab w:val="center" w:pos="284"/>
              </w:tabs>
              <w:overflowPunct w:val="0"/>
              <w:autoSpaceDE w:val="0"/>
              <w:autoSpaceDN w:val="0"/>
              <w:adjustRightInd w:val="0"/>
              <w:ind w:left="266" w:right="-3091" w:hanging="266"/>
              <w:textAlignment w:val="baseline"/>
            </w:pPr>
            <w:r>
              <w:t>Parere esplorativo richiesto dalla presidenza cipriota del Consiglio dell'UE</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Punti principali</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5657F4">
      <w:pPr>
        <w:overflowPunct w:val="0"/>
        <w:autoSpaceDE w:val="0"/>
        <w:autoSpaceDN w:val="0"/>
        <w:adjustRightInd w:val="0"/>
        <w:textAlignment w:val="baseline"/>
      </w:pPr>
      <w:r>
        <w:t>Il CESE:</w:t>
      </w:r>
    </w:p>
    <w:p w14:paraId="10513C98" w14:textId="77777777" w:rsidR="005657F4" w:rsidRDefault="005657F4" w:rsidP="005657F4">
      <w:pPr>
        <w:overflowPunct w:val="0"/>
        <w:autoSpaceDE w:val="0"/>
        <w:autoSpaceDN w:val="0"/>
        <w:adjustRightInd w:val="0"/>
        <w:textAlignment w:val="baseline"/>
        <w:rPr>
          <w:bCs/>
          <w:iCs/>
        </w:rPr>
      </w:pPr>
    </w:p>
    <w:p w14:paraId="26DA2862" w14:textId="77777777" w:rsidR="00297F0C" w:rsidRPr="00297F0C" w:rsidRDefault="00297F0C" w:rsidP="005657F4">
      <w:pPr>
        <w:numPr>
          <w:ilvl w:val="0"/>
          <w:numId w:val="64"/>
        </w:numPr>
        <w:overflowPunct w:val="0"/>
        <w:autoSpaceDE w:val="0"/>
        <w:autoSpaceDN w:val="0"/>
        <w:adjustRightInd w:val="0"/>
        <w:spacing w:line="276" w:lineRule="auto"/>
        <w:ind w:left="709" w:hanging="425"/>
        <w:textAlignment w:val="baseline"/>
      </w:pPr>
      <w:r>
        <w:t>è dell'avviso che il patto per il Mediterraneo possa avere successo solo attraverso un partenariato autentico ed equo tra l'UE, i suoi Stati membri e i paesi partner del Mediterraneo meridionale, con benefici visibili per i comuni cittadini e le comunità;</w:t>
      </w:r>
    </w:p>
    <w:p w14:paraId="1A4BF8CB" w14:textId="77777777" w:rsidR="00297F0C" w:rsidRPr="00297F0C" w:rsidRDefault="00297F0C" w:rsidP="005657F4">
      <w:pPr>
        <w:numPr>
          <w:ilvl w:val="0"/>
          <w:numId w:val="64"/>
        </w:numPr>
        <w:overflowPunct w:val="0"/>
        <w:autoSpaceDE w:val="0"/>
        <w:autoSpaceDN w:val="0"/>
        <w:adjustRightInd w:val="0"/>
        <w:spacing w:line="276" w:lineRule="auto"/>
        <w:ind w:left="709" w:hanging="425"/>
        <w:textAlignment w:val="baseline"/>
      </w:pPr>
      <w:r>
        <w:t>afferma che la società civile organizzata deve essere coinvolta in modo permanente e strutturato, non solo attraverso consultazioni occasionali, e che a tali consultazioni devono partecipare i sindacati, le associazioni dei datori di lavoro e le organizzazioni della società civile;</w:t>
      </w:r>
    </w:p>
    <w:p w14:paraId="6F943845" w14:textId="77777777" w:rsidR="00297F0C" w:rsidRPr="00297F0C" w:rsidRDefault="00297F0C" w:rsidP="005657F4">
      <w:pPr>
        <w:numPr>
          <w:ilvl w:val="0"/>
          <w:numId w:val="64"/>
        </w:numPr>
        <w:overflowPunct w:val="0"/>
        <w:autoSpaceDE w:val="0"/>
        <w:autoSpaceDN w:val="0"/>
        <w:adjustRightInd w:val="0"/>
        <w:spacing w:line="276" w:lineRule="auto"/>
        <w:ind w:left="709" w:hanging="425"/>
        <w:textAlignment w:val="baseline"/>
      </w:pPr>
      <w:r>
        <w:t>ritiene che, per rafforzare il settore privato (in particolare le MPMI), la regione mediterranea abbia bisogno di riforme che migliorino l'accesso ai finanziamenti e semplifichino le procedure, oltre a sostenere la digitalizzazione e la connettività, in modo che le imprese possano entrare a far parte delle catene del valore regionali;</w:t>
      </w:r>
    </w:p>
    <w:p w14:paraId="243F9592" w14:textId="77777777" w:rsidR="00297F0C" w:rsidRPr="00297F0C" w:rsidRDefault="00297F0C" w:rsidP="005657F4">
      <w:pPr>
        <w:numPr>
          <w:ilvl w:val="0"/>
          <w:numId w:val="64"/>
        </w:numPr>
        <w:overflowPunct w:val="0"/>
        <w:autoSpaceDE w:val="0"/>
        <w:autoSpaceDN w:val="0"/>
        <w:adjustRightInd w:val="0"/>
        <w:spacing w:line="276" w:lineRule="auto"/>
        <w:ind w:left="709" w:hanging="425"/>
        <w:textAlignment w:val="baseline"/>
      </w:pPr>
      <w:r>
        <w:t>reputa che gli accordi commerciali vigenti tra l'UE e molti paesi del Mediterraneo meridionale siano obsoleti e vadano quindi messi al passo coi tempi, prevedendo il contributo della società civile nel monitoraggio degli impegni assunti in materia di lavoro, ambiente e diritti umani;</w:t>
      </w:r>
    </w:p>
    <w:p w14:paraId="3659C819" w14:textId="77777777" w:rsidR="00297F0C" w:rsidRPr="00297F0C" w:rsidRDefault="00297F0C" w:rsidP="005657F4">
      <w:pPr>
        <w:numPr>
          <w:ilvl w:val="0"/>
          <w:numId w:val="64"/>
        </w:numPr>
        <w:overflowPunct w:val="0"/>
        <w:autoSpaceDE w:val="0"/>
        <w:autoSpaceDN w:val="0"/>
        <w:adjustRightInd w:val="0"/>
        <w:spacing w:line="276" w:lineRule="auto"/>
        <w:ind w:left="709" w:hanging="425"/>
        <w:textAlignment w:val="baseline"/>
      </w:pPr>
      <w:r>
        <w:t>ritiene che il commercio e gli investimenti debbano essere legati allo sviluppo sostenibile e al lavoro dignitoso, garantendo salari equi, condizioni di lavoro sicure, norme applicabili e investimenti in progetti regionali sostenibili;</w:t>
      </w:r>
    </w:p>
    <w:p w14:paraId="2D5E3A8E" w14:textId="77777777" w:rsidR="00297F0C" w:rsidRPr="00297F0C" w:rsidRDefault="00297F0C" w:rsidP="005657F4">
      <w:pPr>
        <w:numPr>
          <w:ilvl w:val="0"/>
          <w:numId w:val="64"/>
        </w:numPr>
        <w:overflowPunct w:val="0"/>
        <w:autoSpaceDE w:val="0"/>
        <w:autoSpaceDN w:val="0"/>
        <w:adjustRightInd w:val="0"/>
        <w:spacing w:line="276" w:lineRule="auto"/>
        <w:ind w:left="709" w:hanging="425"/>
        <w:textAlignment w:val="baseline"/>
      </w:pPr>
      <w:r>
        <w:t>sottolinea che la transizione dall'economia informale a quella formale dovrebbe seguire i principi enunciati nella raccomandazione n. 204 dell'OIL, cioè che dovrebbe essere graduale, inclusiva ed economicamente realistica invece che punitiva;</w:t>
      </w:r>
    </w:p>
    <w:p w14:paraId="12F91A67" w14:textId="77777777" w:rsidR="00297F0C" w:rsidRPr="00297F0C" w:rsidRDefault="00297F0C" w:rsidP="005657F4">
      <w:pPr>
        <w:numPr>
          <w:ilvl w:val="0"/>
          <w:numId w:val="64"/>
        </w:numPr>
        <w:overflowPunct w:val="0"/>
        <w:autoSpaceDE w:val="0"/>
        <w:autoSpaceDN w:val="0"/>
        <w:adjustRightInd w:val="0"/>
        <w:spacing w:line="276" w:lineRule="auto"/>
        <w:ind w:left="709" w:hanging="425"/>
        <w:textAlignment w:val="baseline"/>
      </w:pPr>
      <w:r>
        <w:t>reputa che il piano d'azione del patto debba garantire la protezione sociale, i diritti dei lavoratori e il rispetto delle convenzioni fondamentali dell'OIL, assicurando il tempestivo coinvolgimento delle parti sociali e della società civile nel Global Gateway e in altri grandi progetti;</w:t>
      </w:r>
    </w:p>
    <w:p w14:paraId="79769976" w14:textId="77777777" w:rsidR="00297F0C" w:rsidRPr="00297F0C" w:rsidRDefault="00297F0C" w:rsidP="005657F4">
      <w:pPr>
        <w:numPr>
          <w:ilvl w:val="0"/>
          <w:numId w:val="64"/>
        </w:numPr>
        <w:overflowPunct w:val="0"/>
        <w:autoSpaceDE w:val="0"/>
        <w:autoSpaceDN w:val="0"/>
        <w:adjustRightInd w:val="0"/>
        <w:spacing w:line="276" w:lineRule="auto"/>
        <w:ind w:left="709" w:hanging="425"/>
        <w:textAlignment w:val="baseline"/>
        <w:rPr>
          <w:b/>
          <w:bCs/>
        </w:rPr>
      </w:pPr>
      <w:r>
        <w:t>chiede che venga riservata un'attenzione speciale agli attori dell'economia sociale, alle donne e ai giovani, attraverso l'erogazione di finanziamenti, lo sviluppo di capacità, l'assistenza legale, programmi imprenditoriali e il coinvolgimento nella governance, tenendo presente che la mobilità dei lavoratori non deve pregiudicare il rispetto dei diritti umani e deve evitare la fuga di cervelli;</w:t>
      </w:r>
    </w:p>
    <w:p w14:paraId="55EA3EF9" w14:textId="6A17B226" w:rsidR="00297F0C" w:rsidRDefault="00297F0C" w:rsidP="005657F4">
      <w:pPr>
        <w:numPr>
          <w:ilvl w:val="0"/>
          <w:numId w:val="64"/>
        </w:numPr>
        <w:overflowPunct w:val="0"/>
        <w:autoSpaceDE w:val="0"/>
        <w:autoSpaceDN w:val="0"/>
        <w:adjustRightInd w:val="0"/>
        <w:spacing w:before="100" w:beforeAutospacing="1" w:line="276" w:lineRule="auto"/>
        <w:ind w:left="709" w:hanging="425"/>
        <w:textAlignment w:val="baseline"/>
      </w:pPr>
      <w:r>
        <w:t>ritiene che il coordinamento tra le istituzioni finanziarie internazionali e quelle finanziate dall'UE debba essere rafforzato per migliorare l'impatto, e che la creazione di una banca di sviluppo regionale – o di un meccanismo finanziario analogo – possa contribuire a finanziare le infrastrutture, le MPMI, le start-up e i progetti dell'economia sociale con un coinvolgimento trasparente della società civile.</w:t>
      </w: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297F0C" w:rsidRPr="00297F0C" w14:paraId="12ED4367" w14:textId="77777777" w:rsidTr="002E7EFB">
        <w:tc>
          <w:tcPr>
            <w:tcW w:w="1077" w:type="pct"/>
          </w:tcPr>
          <w:p w14:paraId="056D5A77" w14:textId="77777777" w:rsidR="005657F4" w:rsidRDefault="005657F4">
            <w:pPr>
              <w:overflowPunct w:val="0"/>
              <w:autoSpaceDE w:val="0"/>
              <w:autoSpaceDN w:val="0"/>
              <w:adjustRightInd w:val="0"/>
              <w:textAlignment w:val="baseline"/>
            </w:pPr>
          </w:p>
          <w:p w14:paraId="17C20851" w14:textId="473989EE" w:rsidR="00297F0C" w:rsidRPr="00297F0C" w:rsidRDefault="00297F0C">
            <w:pPr>
              <w:overflowPunct w:val="0"/>
              <w:autoSpaceDE w:val="0"/>
              <w:autoSpaceDN w:val="0"/>
              <w:adjustRightInd w:val="0"/>
              <w:textAlignment w:val="baseline"/>
              <w:rPr>
                <w:i/>
              </w:rPr>
            </w:pPr>
            <w:r>
              <w:lastRenderedPageBreak/>
              <w:br w:type="page"/>
            </w:r>
            <w:r>
              <w:rPr>
                <w:b/>
                <w:i/>
              </w:rPr>
              <w:t>Contatto</w:t>
            </w:r>
          </w:p>
        </w:tc>
        <w:tc>
          <w:tcPr>
            <w:tcW w:w="3923" w:type="pct"/>
          </w:tcPr>
          <w:p w14:paraId="75A7B815" w14:textId="77777777" w:rsidR="005657F4" w:rsidRDefault="005657F4" w:rsidP="00297F0C">
            <w:pPr>
              <w:overflowPunct w:val="0"/>
              <w:autoSpaceDE w:val="0"/>
              <w:autoSpaceDN w:val="0"/>
              <w:adjustRightInd w:val="0"/>
              <w:textAlignment w:val="baseline"/>
              <w:rPr>
                <w:i/>
              </w:rPr>
            </w:pPr>
          </w:p>
          <w:p w14:paraId="01CC3A82" w14:textId="3463D9CF" w:rsidR="00297F0C" w:rsidRPr="00297F0C" w:rsidRDefault="00297F0C" w:rsidP="00297F0C">
            <w:pPr>
              <w:overflowPunct w:val="0"/>
              <w:autoSpaceDE w:val="0"/>
              <w:autoSpaceDN w:val="0"/>
              <w:adjustRightInd w:val="0"/>
              <w:textAlignment w:val="baseline"/>
              <w:rPr>
                <w:i/>
              </w:rPr>
            </w:pPr>
            <w:r>
              <w:rPr>
                <w:i/>
              </w:rPr>
              <w:lastRenderedPageBreak/>
              <w:t>Andreas BERGER</w:t>
            </w:r>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Pr>
                <w:i/>
              </w:rPr>
              <w:lastRenderedPageBreak/>
              <w:t>Tel.</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Pr>
                <w:i/>
              </w:rPr>
              <w:t>+32 5469062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Pr>
                <w:i/>
              </w:rPr>
              <w:t>E-mail</w:t>
            </w:r>
          </w:p>
        </w:tc>
        <w:tc>
          <w:tcPr>
            <w:tcW w:w="3923" w:type="pct"/>
          </w:tcPr>
          <w:p w14:paraId="6FC2A286" w14:textId="1FE87882" w:rsidR="00297F0C" w:rsidRPr="00297F0C" w:rsidRDefault="00291C11" w:rsidP="00297F0C">
            <w:pPr>
              <w:overflowPunct w:val="0"/>
              <w:autoSpaceDE w:val="0"/>
              <w:autoSpaceDN w:val="0"/>
              <w:adjustRightInd w:val="0"/>
              <w:textAlignment w:val="baseline"/>
              <w:rPr>
                <w:i/>
              </w:rPr>
            </w:pPr>
            <w:hyperlink r:id="rId70" w:history="1">
              <w:r>
                <w:rPr>
                  <w:i/>
                  <w:color w:val="0000FF"/>
                  <w:u w:val="single"/>
                </w:rPr>
                <w:t>Andreas.</w:t>
              </w:r>
              <w:r w:rsidR="005657F4">
                <w:rPr>
                  <w:i/>
                  <w:color w:val="0000FF"/>
                  <w:u w:val="single"/>
                </w:rPr>
                <w:t>BERGER</w:t>
              </w:r>
              <w:r>
                <w:rPr>
                  <w:i/>
                  <w:color w:val="0000FF"/>
                  <w:u w:val="single"/>
                </w:rPr>
                <w:t>@eesc.europa.eu</w:t>
              </w:r>
            </w:hyperlink>
            <w:r>
              <w:rPr>
                <w:i/>
              </w:rPr>
              <w:t xml:space="preserve"> </w:t>
            </w:r>
          </w:p>
        </w:tc>
      </w:tr>
    </w:tbl>
    <w:p w14:paraId="12CF0795" w14:textId="1C00578F" w:rsidR="00A067F3" w:rsidRDefault="00A067F3" w:rsidP="0066696D">
      <w:pPr>
        <w:pStyle w:val="ListParagraph"/>
        <w:ind w:left="567" w:hanging="567"/>
        <w:jc w:val="left"/>
      </w:pPr>
    </w:p>
    <w:p w14:paraId="542BD5E6" w14:textId="77777777" w:rsidR="00A067F3" w:rsidRDefault="00A067F3">
      <w:pPr>
        <w:spacing w:after="160" w:line="259" w:lineRule="auto"/>
        <w:jc w:val="left"/>
      </w:pPr>
      <w:r>
        <w:br w:type="page"/>
      </w:r>
    </w:p>
    <w:p w14:paraId="528C73AA" w14:textId="46DE726B" w:rsidR="006D2C8A" w:rsidRPr="006D2C8A" w:rsidRDefault="006D2C8A" w:rsidP="004C6742">
      <w:pPr>
        <w:pStyle w:val="Heading2"/>
      </w:pPr>
      <w:bookmarkStart w:id="42" w:name="_Toc229140651"/>
      <w:bookmarkStart w:id="43" w:name="_Toc229140658"/>
      <w:bookmarkStart w:id="44" w:name="_Toc229405150"/>
      <w:bookmarkEnd w:id="42"/>
      <w:bookmarkEnd w:id="43"/>
      <w:r>
        <w:lastRenderedPageBreak/>
        <w:t>COMMISSIONE CONSULTIVA PER LE TRASFORMAZIONI INDUSTRIALI</w:t>
      </w:r>
      <w:bookmarkEnd w:id="44"/>
    </w:p>
    <w:p w14:paraId="713E272F" w14:textId="77777777" w:rsidR="006D2C8A" w:rsidRDefault="006D2C8A" w:rsidP="001766B2"/>
    <w:p w14:paraId="1B9F790A" w14:textId="5B23F370" w:rsidR="00814A54" w:rsidRPr="00814A54" w:rsidRDefault="00814A54" w:rsidP="005657F4">
      <w:pPr>
        <w:widowControl w:val="0"/>
        <w:numPr>
          <w:ilvl w:val="0"/>
          <w:numId w:val="19"/>
        </w:numPr>
        <w:spacing w:after="200" w:line="276" w:lineRule="auto"/>
        <w:ind w:left="567" w:hanging="567"/>
        <w:contextualSpacing/>
        <w:rPr>
          <w:sz w:val="28"/>
          <w:szCs w:val="28"/>
        </w:rPr>
      </w:pPr>
      <w:hyperlink r:id="rId71" w:history="1">
        <w:r>
          <w:rPr>
            <w:b/>
            <w:i/>
            <w:color w:val="0000FF"/>
            <w:sz w:val="28"/>
            <w:u w:val="single"/>
          </w:rPr>
          <w:t>Programma per un'innovazione rapida e agile nel settore della difesa - AGILE</w:t>
        </w:r>
      </w:hyperlink>
      <w:r>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814A54" w:rsidRPr="00814A54" w14:paraId="37988BA0" w14:textId="77777777" w:rsidTr="002E7EFB">
        <w:tc>
          <w:tcPr>
            <w:tcW w:w="1701" w:type="dxa"/>
          </w:tcPr>
          <w:p w14:paraId="44EB374B" w14:textId="77777777" w:rsidR="007173CF" w:rsidRPr="00814A54" w:rsidRDefault="007173CF" w:rsidP="00814A54">
            <w:pPr>
              <w:tabs>
                <w:tab w:val="center" w:pos="284"/>
              </w:tabs>
              <w:rPr>
                <w:b/>
              </w:rPr>
            </w:pPr>
          </w:p>
          <w:p w14:paraId="41B7C4EB" w14:textId="77777777" w:rsidR="00814A54" w:rsidRPr="00814A54" w:rsidRDefault="00814A54" w:rsidP="00814A54">
            <w:pPr>
              <w:tabs>
                <w:tab w:val="center" w:pos="284"/>
              </w:tabs>
              <w:ind w:left="266" w:hanging="266"/>
              <w:rPr>
                <w:b/>
              </w:rPr>
            </w:pPr>
            <w:r>
              <w:rPr>
                <w:b/>
              </w:rPr>
              <w:t>Relatrice</w:t>
            </w:r>
          </w:p>
        </w:tc>
        <w:tc>
          <w:tcPr>
            <w:tcW w:w="5670" w:type="dxa"/>
          </w:tcPr>
          <w:p w14:paraId="6883D11C" w14:textId="77777777" w:rsidR="007173CF" w:rsidRDefault="007173CF" w:rsidP="00814A54">
            <w:pPr>
              <w:tabs>
                <w:tab w:val="center" w:pos="284"/>
              </w:tabs>
              <w:ind w:left="266" w:hanging="266"/>
            </w:pPr>
          </w:p>
          <w:p w14:paraId="1D11312F" w14:textId="073C09C2" w:rsidR="00814A54" w:rsidRPr="00814A54" w:rsidRDefault="00814A54" w:rsidP="00814A54">
            <w:pPr>
              <w:tabs>
                <w:tab w:val="center" w:pos="284"/>
              </w:tabs>
              <w:ind w:left="266" w:hanging="266"/>
            </w:pPr>
            <w:r>
              <w:t>Monika SITÁROVÁ (Lavoratori - SK)</w:t>
            </w:r>
          </w:p>
        </w:tc>
      </w:tr>
      <w:tr w:rsidR="00814A54" w:rsidRPr="00814A54" w14:paraId="3DB16DB5" w14:textId="77777777" w:rsidTr="002E7EFB">
        <w:tc>
          <w:tcPr>
            <w:tcW w:w="1701" w:type="dxa"/>
          </w:tcPr>
          <w:p w14:paraId="723151C3" w14:textId="77777777" w:rsidR="00814A54" w:rsidRPr="00814A54" w:rsidRDefault="00814A54" w:rsidP="00814A54">
            <w:pPr>
              <w:tabs>
                <w:tab w:val="center" w:pos="284"/>
              </w:tabs>
              <w:ind w:left="266" w:hanging="266"/>
              <w:rPr>
                <w:b/>
              </w:rPr>
            </w:pPr>
            <w:r>
              <w:rPr>
                <w:b/>
              </w:rPr>
              <w:t>Correlatrice</w:t>
            </w:r>
          </w:p>
        </w:tc>
        <w:tc>
          <w:tcPr>
            <w:tcW w:w="5670" w:type="dxa"/>
          </w:tcPr>
          <w:p w14:paraId="691AA178" w14:textId="77BDBBFF" w:rsidR="00814A54" w:rsidRPr="00814A54" w:rsidRDefault="00814A54" w:rsidP="00814A54">
            <w:pPr>
              <w:tabs>
                <w:tab w:val="center" w:pos="284"/>
              </w:tabs>
              <w:ind w:left="266" w:hanging="266"/>
            </w:pPr>
            <w:r>
              <w:t>Srita HEIDE (Cat. 3-DE)</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vMerge w:val="restart"/>
          </w:tcPr>
          <w:p w14:paraId="69099993" w14:textId="77777777" w:rsidR="00814A54" w:rsidRPr="00814A54" w:rsidRDefault="00814A54" w:rsidP="00814A54">
            <w:pPr>
              <w:tabs>
                <w:tab w:val="center" w:pos="284"/>
              </w:tabs>
              <w:ind w:left="266" w:hanging="266"/>
              <w:rPr>
                <w:b/>
              </w:rPr>
            </w:pPr>
            <w:r>
              <w:rPr>
                <w:b/>
              </w:rPr>
              <w:t>Riferimento</w:t>
            </w:r>
          </w:p>
        </w:tc>
        <w:tc>
          <w:tcPr>
            <w:tcW w:w="5670" w:type="dxa"/>
          </w:tcPr>
          <w:p w14:paraId="699F0B48" w14:textId="3F25C095" w:rsidR="00BA2BB0" w:rsidRDefault="00BA2BB0" w:rsidP="00814A54">
            <w:pPr>
              <w:tabs>
                <w:tab w:val="center" w:pos="284"/>
              </w:tabs>
              <w:ind w:left="266" w:hanging="266"/>
            </w:pPr>
            <w:r>
              <w:t>COM(2026) 135 final</w:t>
            </w:r>
          </w:p>
          <w:p w14:paraId="30557EA2" w14:textId="294C27C9" w:rsidR="00814A54" w:rsidRPr="00814A54" w:rsidRDefault="00814A54" w:rsidP="00814A54">
            <w:pPr>
              <w:tabs>
                <w:tab w:val="center" w:pos="284"/>
              </w:tabs>
              <w:ind w:left="266" w:hanging="266"/>
            </w:pPr>
            <w:r>
              <w:t>EESC-2026-01126-00-00-AC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Punti principali</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Il CESE:</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5657F4">
      <w:pPr>
        <w:numPr>
          <w:ilvl w:val="1"/>
          <w:numId w:val="65"/>
        </w:numPr>
        <w:ind w:left="709" w:hanging="425"/>
        <w:outlineLvl w:val="1"/>
        <w:rPr>
          <w:b/>
          <w:bCs/>
          <w:color w:val="111111"/>
        </w:rPr>
      </w:pPr>
      <w:bookmarkStart w:id="45" w:name="_Toc228805457"/>
      <w:r>
        <w:t>sostiene gli sforzi volti a migliorare la velocità, la reattività e la capacità di innovazione della base industriale e tecnologica di difesa europea (EDTIB) alla luce dell'evoluzione del contesto di sicurezza, e accoglie pertanto con favore il quadro di difesa AGILE proposto dalla Commissione;</w:t>
      </w:r>
      <w:bookmarkEnd w:id="45"/>
    </w:p>
    <w:p w14:paraId="7C3494F3" w14:textId="77777777" w:rsidR="00814A54" w:rsidRPr="00814A54" w:rsidRDefault="00814A54" w:rsidP="005657F4">
      <w:pPr>
        <w:numPr>
          <w:ilvl w:val="1"/>
          <w:numId w:val="65"/>
        </w:numPr>
        <w:ind w:left="709" w:hanging="425"/>
        <w:outlineLvl w:val="1"/>
      </w:pPr>
      <w:bookmarkStart w:id="46" w:name="_Toc228805458"/>
      <w:r>
        <w:t>accoglie favorevolmente il programma AGILE in quanto rappresenta una piattaforma che consente alle PMI, alle start-up, nonché alle imprese e agli imprenditori del settore delle tecnologie civili, di fornire soluzioni rapide e di alta qualità per la prontezza dell'UE alla difesa. Il CESE sottolinea l'importante ruolo dei nuovi attori della difesa nella trasformazione dell'industria della difesa dell'UE;</w:t>
      </w:r>
      <w:bookmarkEnd w:id="46"/>
      <w:r>
        <w:t xml:space="preserve"> </w:t>
      </w:r>
    </w:p>
    <w:p w14:paraId="084337D9" w14:textId="77777777" w:rsidR="00814A54" w:rsidRPr="00814A54" w:rsidRDefault="00814A54" w:rsidP="005657F4">
      <w:pPr>
        <w:numPr>
          <w:ilvl w:val="1"/>
          <w:numId w:val="65"/>
        </w:numPr>
        <w:ind w:left="709" w:hanging="425"/>
        <w:outlineLvl w:val="1"/>
      </w:pPr>
      <w:bookmarkStart w:id="47" w:name="_Toc228805459"/>
      <w:r>
        <w:t>sottolinea che l'accelerazione non deve andare a scapito della trasparenza, dell'assunzione di responsabilità e del vaglio democratico, che rimangono essenziali per la legittimità e l'efficacia dell'azione dell'UE;</w:t>
      </w:r>
      <w:bookmarkEnd w:id="47"/>
    </w:p>
    <w:p w14:paraId="15C24631" w14:textId="77777777" w:rsidR="00814A54" w:rsidRPr="00814A54" w:rsidRDefault="00814A54" w:rsidP="005657F4">
      <w:pPr>
        <w:numPr>
          <w:ilvl w:val="1"/>
          <w:numId w:val="65"/>
        </w:numPr>
        <w:ind w:left="709" w:hanging="425"/>
        <w:outlineLvl w:val="1"/>
      </w:pPr>
      <w:bookmarkStart w:id="48" w:name="_Toc228805460"/>
      <w:r>
        <w:t>chiede che i fondi del programma AGILE siano aggiuntivi rispetto a quelli previsti dai programmi di difesa dell'UE esistenti. Il CESE esorta ad aumentare in modo sostanziale la dotazione finanziaria di questo strumento nel prossimo QFP, sulla base dei risultati che emergeranno dalla valutazione del programma pilota;</w:t>
      </w:r>
      <w:bookmarkEnd w:id="48"/>
      <w:r>
        <w:t xml:space="preserve"> </w:t>
      </w:r>
    </w:p>
    <w:p w14:paraId="590B8EC8" w14:textId="77777777" w:rsidR="00814A54" w:rsidRPr="00814A54" w:rsidRDefault="00814A54" w:rsidP="005657F4">
      <w:pPr>
        <w:numPr>
          <w:ilvl w:val="1"/>
          <w:numId w:val="65"/>
        </w:numPr>
        <w:ind w:left="709" w:hanging="425"/>
        <w:outlineLvl w:val="1"/>
      </w:pPr>
      <w:bookmarkStart w:id="49" w:name="_Toc228805461"/>
      <w:r>
        <w:t>raccomanda di inserire disposizioni volte a garantire che i processi di sensibilizzazione, selezione e valutazione legati al programma AGILE coinvolgano in modo proattivo PMI innovative, start-up e singole imprese di tutti gli Stati membri e di ogni settore, al fine di migliorare equilibrio geografico e inclusività in tutta l'Unione;</w:t>
      </w:r>
      <w:bookmarkEnd w:id="49"/>
    </w:p>
    <w:p w14:paraId="2B71655A" w14:textId="77777777" w:rsidR="00814A54" w:rsidRPr="00814A54" w:rsidRDefault="00814A54" w:rsidP="005657F4">
      <w:pPr>
        <w:numPr>
          <w:ilvl w:val="1"/>
          <w:numId w:val="65"/>
        </w:numPr>
        <w:ind w:left="709" w:hanging="425"/>
        <w:outlineLvl w:val="1"/>
      </w:pPr>
      <w:bookmarkStart w:id="50" w:name="_Toc228805462"/>
      <w:r>
        <w:t>raccomanda l'introduzione di misure solide e applicabili per garantire l'effettivo rispetto dell'articolo 9, paragrafo 5, sull'ammissibilità. Al fine di salvaguardare l'autonomia strategica e gli interessi di sicurezza dell'Unione, questo articolo dovrebbe chiarire esplicitamente i criteri di esclusione e renderli più rigidi;</w:t>
      </w:r>
      <w:bookmarkEnd w:id="50"/>
    </w:p>
    <w:p w14:paraId="3849E73E" w14:textId="77777777" w:rsidR="00814A54" w:rsidRPr="00814A54" w:rsidRDefault="00814A54" w:rsidP="005657F4">
      <w:pPr>
        <w:numPr>
          <w:ilvl w:val="1"/>
          <w:numId w:val="65"/>
        </w:numPr>
        <w:ind w:left="709" w:hanging="425"/>
        <w:outlineLvl w:val="1"/>
      </w:pPr>
      <w:bookmarkStart w:id="51" w:name="_Toc228805463"/>
      <w:r>
        <w:t>raccomanda che i progetti del programma AGILE siano saldamente impostati in funzione di prescrizioni riguardanti capacità di difesa chiaramente identificate, e che siano rigorosamente concepiti sulla base delle necessità degli utenti finali; sottolinea che i suddetti progetti dovrebbero avere a disposizione ambienti di prova reali, comprese esercitazioni militari e aree di collaudo, al fine di convalidare le soluzioni in condizioni operative e accelerarne la diffusione;</w:t>
      </w:r>
      <w:bookmarkEnd w:id="51"/>
    </w:p>
    <w:p w14:paraId="0638FC2F" w14:textId="77777777" w:rsidR="00814A54" w:rsidRPr="00814A54" w:rsidRDefault="00814A54" w:rsidP="005657F4">
      <w:pPr>
        <w:numPr>
          <w:ilvl w:val="1"/>
          <w:numId w:val="65"/>
        </w:numPr>
        <w:ind w:left="709" w:hanging="425"/>
        <w:outlineLvl w:val="1"/>
      </w:pPr>
      <w:bookmarkStart w:id="52" w:name="_Toc228805464"/>
      <w:r>
        <w:t xml:space="preserve">raccomanda altresì che il rispetto della legislazione sociale, ambientale e del lavoro dell'UE sia esplicitamente integrato nell'attuazione del programma AGILE. Il CESE sottolinea che la </w:t>
      </w:r>
      <w:r>
        <w:lastRenderedPageBreak/>
        <w:t>partecipazione a tale programma dovrebbe essere subordinata all'impegno a favore dello sviluppo delle competenze, dell'occupazione di qualità e del pieno rispetto dei diritti dei lavoratori, in linea con il modello sociale europeo.</w:t>
      </w:r>
      <w:bookmarkEnd w:id="52"/>
      <w:r>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14A54" w:rsidRPr="00814A54" w14:paraId="5B60E629" w14:textId="77777777" w:rsidTr="002E7EFB">
        <w:tc>
          <w:tcPr>
            <w:tcW w:w="1418" w:type="dxa"/>
          </w:tcPr>
          <w:p w14:paraId="59F261E2" w14:textId="77777777" w:rsidR="00814A54" w:rsidRPr="00814A54" w:rsidRDefault="00814A54" w:rsidP="00814A54">
            <w:pPr>
              <w:spacing w:line="240" w:lineRule="auto"/>
              <w:rPr>
                <w:i/>
              </w:rPr>
            </w:pPr>
            <w:r>
              <w:rPr>
                <w:b/>
                <w:i/>
              </w:rPr>
              <w:t>Contatto</w:t>
            </w:r>
          </w:p>
        </w:tc>
        <w:tc>
          <w:tcPr>
            <w:tcW w:w="5670" w:type="dxa"/>
          </w:tcPr>
          <w:p w14:paraId="42A1FC82" w14:textId="7A465A63" w:rsidR="00814A54" w:rsidRPr="004C6742" w:rsidRDefault="00814A54" w:rsidP="00814A54">
            <w:pPr>
              <w:spacing w:line="240" w:lineRule="auto"/>
              <w:rPr>
                <w:bCs/>
                <w:i/>
              </w:rPr>
            </w:pPr>
            <w:r>
              <w:rPr>
                <w:i/>
              </w:rPr>
              <w:t>Ioannis DIAMANTOPOULOS</w:t>
            </w:r>
          </w:p>
        </w:tc>
      </w:tr>
      <w:tr w:rsidR="00814A54" w:rsidRPr="00814A54" w14:paraId="7C2F36B8" w14:textId="77777777" w:rsidTr="002E7EFB">
        <w:tc>
          <w:tcPr>
            <w:tcW w:w="1418" w:type="dxa"/>
          </w:tcPr>
          <w:p w14:paraId="2F6A920E" w14:textId="77777777" w:rsidR="00814A54" w:rsidRPr="00814A54" w:rsidRDefault="00814A54" w:rsidP="00814A54">
            <w:pPr>
              <w:spacing w:line="240" w:lineRule="auto"/>
              <w:rPr>
                <w:i/>
              </w:rPr>
            </w:pPr>
            <w:r>
              <w:rPr>
                <w:i/>
              </w:rPr>
              <w:t>Tel.</w:t>
            </w:r>
          </w:p>
        </w:tc>
        <w:tc>
          <w:tcPr>
            <w:tcW w:w="5670" w:type="dxa"/>
          </w:tcPr>
          <w:p w14:paraId="2671F0CA" w14:textId="77777777" w:rsidR="00814A54" w:rsidRPr="00814A54" w:rsidRDefault="00814A54" w:rsidP="00814A54">
            <w:pPr>
              <w:spacing w:line="240" w:lineRule="auto"/>
              <w:rPr>
                <w:i/>
              </w:rPr>
            </w:pPr>
            <w:r>
              <w:rPr>
                <w:i/>
              </w:rPr>
              <w:t>+32 25469170</w:t>
            </w:r>
          </w:p>
        </w:tc>
      </w:tr>
      <w:tr w:rsidR="00814A54" w:rsidRPr="00814A54" w14:paraId="7A81BD47" w14:textId="77777777" w:rsidTr="002E7EFB">
        <w:trPr>
          <w:trHeight w:val="244"/>
        </w:trPr>
        <w:tc>
          <w:tcPr>
            <w:tcW w:w="1418" w:type="dxa"/>
          </w:tcPr>
          <w:p w14:paraId="3A5319AB" w14:textId="77777777" w:rsidR="00814A54" w:rsidRPr="00814A54" w:rsidRDefault="00814A54" w:rsidP="00814A54">
            <w:pPr>
              <w:spacing w:line="240" w:lineRule="auto"/>
              <w:rPr>
                <w:i/>
              </w:rPr>
            </w:pPr>
            <w:r>
              <w:rPr>
                <w:i/>
              </w:rPr>
              <w:t>E-mail</w:t>
            </w:r>
          </w:p>
        </w:tc>
        <w:tc>
          <w:tcPr>
            <w:tcW w:w="5670" w:type="dxa"/>
          </w:tcPr>
          <w:p w14:paraId="210C9375" w14:textId="2217C05A" w:rsidR="00814A54" w:rsidRPr="00814A54" w:rsidRDefault="00291C11" w:rsidP="00814A54">
            <w:pPr>
              <w:spacing w:line="240" w:lineRule="auto"/>
              <w:rPr>
                <w:i/>
              </w:rPr>
            </w:pPr>
            <w:hyperlink r:id="rId72" w:history="1">
              <w:r>
                <w:rPr>
                  <w:i/>
                  <w:color w:val="0000FF"/>
                  <w:u w:val="single"/>
                </w:rPr>
                <w:t>Ioannis.</w:t>
              </w:r>
              <w:r w:rsidR="005657F4">
                <w:rPr>
                  <w:i/>
                  <w:color w:val="0000FF"/>
                  <w:u w:val="single"/>
                </w:rPr>
                <w:t>DIAMANTOPOULOS</w:t>
              </w:r>
              <w:r>
                <w:rPr>
                  <w:i/>
                  <w:color w:val="0000FF"/>
                  <w:u w:val="single"/>
                </w:rPr>
                <w:t>@eesc.europa.eu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r w:rsidR="003734B1">
      <w:fldChar w:fldCharType="begin"/>
    </w:r>
    <w:r w:rsidR="003734B1">
      <w:instrText xml:space="preserve"> NUMPAGES </w:instrText>
    </w:r>
    <w:r w:rsidR="003734B1">
      <w:fldChar w:fldCharType="separate"/>
    </w:r>
    <w:r w:rsidR="0004480F">
      <w:t>1</w:t>
    </w:r>
    <w:r w:rsidR="003734B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r w:rsidR="003734B1">
      <w:fldChar w:fldCharType="begin"/>
    </w:r>
    <w:r w:rsidR="003734B1">
      <w:instrText xml:space="preserve"> NUMPAGES </w:instrText>
    </w:r>
    <w:r w:rsidR="003734B1">
      <w:fldChar w:fldCharType="separate"/>
    </w:r>
    <w:r>
      <w:t>33</w:t>
    </w:r>
    <w:r w:rsidR="003734B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7B651DAB" w14:textId="33E6951A" w:rsidR="00944198" w:rsidRPr="00BD72B3" w:rsidRDefault="00944198" w:rsidP="00944198">
      <w:pPr>
        <w:pStyle w:val="FootnoteText"/>
      </w:pPr>
      <w:r>
        <w:rPr>
          <w:rStyle w:val="FootnoteReference"/>
        </w:rPr>
        <w:footnoteRef/>
      </w:r>
      <w:r>
        <w:tab/>
        <w:t xml:space="preserve">GU C, C/2024/6880, 28.11.2024, ELI: </w:t>
      </w:r>
      <w:hyperlink r:id="rId1" w:history="1">
        <w:r>
          <w:rPr>
            <w:rStyle w:val="Hyperlink"/>
          </w:rPr>
          <w:t>https://eur-lex.europa.eu/eli/C/2024/6880/oj</w:t>
        </w:r>
      </w:hyperlink>
      <w:r>
        <w:t>.</w:t>
      </w:r>
    </w:p>
  </w:footnote>
  <w:footnote w:id="2">
    <w:p w14:paraId="6A5DF5FB" w14:textId="37301CD8" w:rsidR="002B30F4" w:rsidRDefault="002B30F4" w:rsidP="002B30F4">
      <w:pPr>
        <w:pStyle w:val="FootnoteText"/>
      </w:pPr>
      <w:r>
        <w:rPr>
          <w:rStyle w:val="FootnoteReference"/>
        </w:rPr>
        <w:footnoteRef/>
      </w:r>
      <w:r>
        <w:tab/>
        <w:t xml:space="preserve">Parere del CESE sul tema </w:t>
      </w:r>
      <w:hyperlink r:id="rId2" w:history="1">
        <w:r>
          <w:rPr>
            <w:rStyle w:val="Hyperlink"/>
            <w:i/>
            <w:iCs/>
          </w:rPr>
          <w:t>Equivalenza delle ispezioni - sementi del Brasile e della Moldova (modifica)</w:t>
        </w:r>
      </w:hyperlink>
      <w:r>
        <w:t xml:space="preserve">, </w:t>
      </w:r>
      <w:hyperlink r:id="rId3" w:history="1">
        <w:r>
          <w:rPr>
            <w:rStyle w:val="Hyperlink"/>
          </w:rPr>
          <w:t>GU C 227 del 28.6.2018, pagg. 76-77</w:t>
        </w:r>
      </w:hyperlink>
      <w:r>
        <w:t>.</w:t>
      </w:r>
    </w:p>
  </w:footnote>
  <w:footnote w:id="3">
    <w:p w14:paraId="31B28570" w14:textId="2FC6A1C5" w:rsidR="002B30F4" w:rsidRDefault="002B30F4" w:rsidP="002B30F4">
      <w:pPr>
        <w:pStyle w:val="FootnoteText"/>
      </w:pPr>
      <w:r>
        <w:rPr>
          <w:rStyle w:val="FootnoteReference"/>
        </w:rPr>
        <w:footnoteRef/>
      </w:r>
      <w:r>
        <w:tab/>
        <w:t xml:space="preserve">Parere del CESE sul tema </w:t>
      </w:r>
      <w:hyperlink r:id="rId4" w:history="1">
        <w:r>
          <w:rPr>
            <w:rStyle w:val="Hyperlink"/>
            <w:i/>
            <w:iCs/>
          </w:rPr>
          <w:t>Equivalenza delle sementi - Ucraina</w:t>
        </w:r>
      </w:hyperlink>
      <w:r>
        <w:t xml:space="preserve">, </w:t>
      </w:r>
      <w:hyperlink r:id="rId5" w:history="1">
        <w:r>
          <w:rPr>
            <w:rStyle w:val="Hyperlink"/>
          </w:rPr>
          <w:t>GU C 429 del 11.12.2020, pag. 276</w:t>
        </w:r>
      </w:hyperlink>
      <w:r>
        <w:t>.</w:t>
      </w:r>
    </w:p>
  </w:footnote>
  <w:footnote w:id="4">
    <w:p w14:paraId="704BA872" w14:textId="2ADFC3B2" w:rsidR="008548EA" w:rsidRDefault="008548EA" w:rsidP="008548EA">
      <w:pPr>
        <w:pStyle w:val="FootnoteText"/>
      </w:pPr>
      <w:r>
        <w:rPr>
          <w:rStyle w:val="FootnoteReference"/>
        </w:rPr>
        <w:footnoteRef/>
      </w:r>
      <w:r>
        <w:tab/>
        <w:t xml:space="preserve">Parere del CESE sul tema </w:t>
      </w:r>
      <w:hyperlink r:id="rId6">
        <w:r>
          <w:rPr>
            <w:rStyle w:val="Hyperlink"/>
            <w:i/>
          </w:rPr>
          <w:t>Revisione del sistema di scambio di quote di emissione dell'UE (ETS), compresi i trasporti marittimi e la riserva stabilizzatrice del mercato</w:t>
        </w:r>
      </w:hyperlink>
      <w:r>
        <w:t xml:space="preserve">, </w:t>
      </w:r>
      <w:hyperlink r:id="rId7">
        <w:r>
          <w:rPr>
            <w:rStyle w:val="Hyperlink"/>
          </w:rPr>
          <w:t>GU C 152 del 6.4.2022, pag.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4720745">
    <w:abstractNumId w:val="0"/>
  </w:num>
  <w:num w:numId="2" w16cid:durableId="2118208747">
    <w:abstractNumId w:val="61"/>
  </w:num>
  <w:num w:numId="3" w16cid:durableId="854004987">
    <w:abstractNumId w:val="68"/>
  </w:num>
  <w:num w:numId="4" w16cid:durableId="1944997421">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1272516144">
    <w:abstractNumId w:val="62"/>
  </w:num>
  <w:num w:numId="6" w16cid:durableId="302584648">
    <w:abstractNumId w:val="69"/>
  </w:num>
  <w:num w:numId="7" w16cid:durableId="90056784">
    <w:abstractNumId w:val="25"/>
  </w:num>
  <w:num w:numId="8" w16cid:durableId="1589000039">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16cid:durableId="2059472146">
    <w:abstractNumId w:val="56"/>
  </w:num>
  <w:num w:numId="10" w16cid:durableId="1480730905">
    <w:abstractNumId w:val="46"/>
  </w:num>
  <w:num w:numId="11" w16cid:durableId="929585764">
    <w:abstractNumId w:val="58"/>
  </w:num>
  <w:num w:numId="12" w16cid:durableId="1346905933">
    <w:abstractNumId w:val="47"/>
  </w:num>
  <w:num w:numId="13" w16cid:durableId="1340350362">
    <w:abstractNumId w:val="60"/>
  </w:num>
  <w:num w:numId="14" w16cid:durableId="1279332237">
    <w:abstractNumId w:val="54"/>
  </w:num>
  <w:num w:numId="15" w16cid:durableId="1562204999">
    <w:abstractNumId w:val="10"/>
  </w:num>
  <w:num w:numId="16" w16cid:durableId="678655705">
    <w:abstractNumId w:val="53"/>
  </w:num>
  <w:num w:numId="17" w16cid:durableId="1623029962">
    <w:abstractNumId w:val="32"/>
  </w:num>
  <w:num w:numId="18" w16cid:durableId="1607349616">
    <w:abstractNumId w:val="23"/>
  </w:num>
  <w:num w:numId="19" w16cid:durableId="852693618">
    <w:abstractNumId w:val="8"/>
  </w:num>
  <w:num w:numId="20" w16cid:durableId="164978733">
    <w:abstractNumId w:val="71"/>
  </w:num>
  <w:num w:numId="21" w16cid:durableId="1295528546">
    <w:abstractNumId w:val="51"/>
  </w:num>
  <w:num w:numId="22" w16cid:durableId="986932260">
    <w:abstractNumId w:val="3"/>
  </w:num>
  <w:num w:numId="23" w16cid:durableId="448283539">
    <w:abstractNumId w:val="39"/>
  </w:num>
  <w:num w:numId="24" w16cid:durableId="1939829602">
    <w:abstractNumId w:val="40"/>
  </w:num>
  <w:num w:numId="25" w16cid:durableId="1673222316">
    <w:abstractNumId w:val="55"/>
  </w:num>
  <w:num w:numId="26" w16cid:durableId="633752607">
    <w:abstractNumId w:val="14"/>
  </w:num>
  <w:num w:numId="27" w16cid:durableId="1289049534">
    <w:abstractNumId w:val="11"/>
  </w:num>
  <w:num w:numId="28" w16cid:durableId="1758791494">
    <w:abstractNumId w:val="37"/>
  </w:num>
  <w:num w:numId="29" w16cid:durableId="775096101">
    <w:abstractNumId w:val="38"/>
  </w:num>
  <w:num w:numId="30" w16cid:durableId="1616207857">
    <w:abstractNumId w:val="31"/>
  </w:num>
  <w:num w:numId="31" w16cid:durableId="587620455">
    <w:abstractNumId w:val="45"/>
  </w:num>
  <w:num w:numId="32" w16cid:durableId="1341002566">
    <w:abstractNumId w:val="7"/>
  </w:num>
  <w:num w:numId="33" w16cid:durableId="114091984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16cid:durableId="827132150">
    <w:abstractNumId w:val="19"/>
  </w:num>
  <w:num w:numId="35" w16cid:durableId="2083945283">
    <w:abstractNumId w:val="65"/>
  </w:num>
  <w:num w:numId="36" w16cid:durableId="126627867">
    <w:abstractNumId w:val="43"/>
  </w:num>
  <w:num w:numId="37" w16cid:durableId="796293311">
    <w:abstractNumId w:val="33"/>
  </w:num>
  <w:num w:numId="38" w16cid:durableId="1545410177">
    <w:abstractNumId w:val="36"/>
  </w:num>
  <w:num w:numId="39" w16cid:durableId="2037197814">
    <w:abstractNumId w:val="63"/>
  </w:num>
  <w:num w:numId="40" w16cid:durableId="199247633">
    <w:abstractNumId w:val="6"/>
  </w:num>
  <w:num w:numId="41" w16cid:durableId="43647078">
    <w:abstractNumId w:val="48"/>
  </w:num>
  <w:num w:numId="42" w16cid:durableId="1860654089">
    <w:abstractNumId w:val="67"/>
  </w:num>
  <w:num w:numId="43" w16cid:durableId="1164663101">
    <w:abstractNumId w:val="13"/>
  </w:num>
  <w:num w:numId="44" w16cid:durableId="1610966792">
    <w:abstractNumId w:val="18"/>
  </w:num>
  <w:num w:numId="45" w16cid:durableId="406734256">
    <w:abstractNumId w:val="4"/>
  </w:num>
  <w:num w:numId="46" w16cid:durableId="1828744328">
    <w:abstractNumId w:val="64"/>
  </w:num>
  <w:num w:numId="47" w16cid:durableId="1987976719">
    <w:abstractNumId w:val="41"/>
  </w:num>
  <w:num w:numId="48" w16cid:durableId="1112095788">
    <w:abstractNumId w:val="12"/>
  </w:num>
  <w:num w:numId="49" w16cid:durableId="1624311247">
    <w:abstractNumId w:val="57"/>
  </w:num>
  <w:num w:numId="50" w16cid:durableId="1981694182">
    <w:abstractNumId w:val="26"/>
  </w:num>
  <w:num w:numId="51" w16cid:durableId="854465916">
    <w:abstractNumId w:val="66"/>
  </w:num>
  <w:num w:numId="52" w16cid:durableId="468473720">
    <w:abstractNumId w:val="50"/>
  </w:num>
  <w:num w:numId="53" w16cid:durableId="759062031">
    <w:abstractNumId w:val="22"/>
  </w:num>
  <w:num w:numId="54" w16cid:durableId="1705863506">
    <w:abstractNumId w:val="5"/>
  </w:num>
  <w:num w:numId="55" w16cid:durableId="24598644">
    <w:abstractNumId w:val="52"/>
  </w:num>
  <w:num w:numId="56" w16cid:durableId="282229225">
    <w:abstractNumId w:val="9"/>
  </w:num>
  <w:num w:numId="57" w16cid:durableId="1009140098">
    <w:abstractNumId w:val="30"/>
  </w:num>
  <w:num w:numId="58" w16cid:durableId="1637489296">
    <w:abstractNumId w:val="44"/>
  </w:num>
  <w:num w:numId="59" w16cid:durableId="1637830857">
    <w:abstractNumId w:val="28"/>
  </w:num>
  <w:num w:numId="60" w16cid:durableId="1551530164">
    <w:abstractNumId w:val="27"/>
  </w:num>
  <w:num w:numId="61" w16cid:durableId="777723711">
    <w:abstractNumId w:val="20"/>
  </w:num>
  <w:num w:numId="62" w16cid:durableId="1736121002">
    <w:abstractNumId w:val="49"/>
  </w:num>
  <w:num w:numId="63" w16cid:durableId="798453712">
    <w:abstractNumId w:val="29"/>
  </w:num>
  <w:num w:numId="64" w16cid:durableId="1531990965">
    <w:abstractNumId w:val="21"/>
  </w:num>
  <w:num w:numId="65" w16cid:durableId="467355049">
    <w:abstractNumId w:val="35"/>
  </w:num>
  <w:num w:numId="66" w16cid:durableId="188757085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16cid:durableId="586227675">
    <w:abstractNumId w:val="24"/>
  </w:num>
  <w:num w:numId="68" w16cid:durableId="132377882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16cid:durableId="776484150">
    <w:abstractNumId w:val="17"/>
  </w:num>
  <w:num w:numId="70" w16cid:durableId="389959063">
    <w:abstractNumId w:val="34"/>
  </w:num>
  <w:num w:numId="71" w16cid:durableId="50203323">
    <w:abstractNumId w:val="2"/>
  </w:num>
  <w:num w:numId="72" w16cid:durableId="2026010070">
    <w:abstractNumId w:val="16"/>
  </w:num>
  <w:num w:numId="73" w16cid:durableId="1715497474">
    <w:abstractNumId w:val="59"/>
  </w:num>
  <w:num w:numId="74" w16cid:durableId="456339887">
    <w:abstractNumId w:val="72"/>
  </w:num>
  <w:num w:numId="75" w16cid:durableId="1221288982">
    <w:abstractNumId w:val="42"/>
  </w:num>
  <w:num w:numId="76" w16cid:durableId="959797814">
    <w:abstractNumId w:val="15"/>
  </w:num>
  <w:num w:numId="77" w16cid:durableId="1524902285">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73933"/>
    <w:rsid w:val="00092ACC"/>
    <w:rsid w:val="00096B93"/>
    <w:rsid w:val="000A2AF0"/>
    <w:rsid w:val="000A2B8D"/>
    <w:rsid w:val="000C5A16"/>
    <w:rsid w:val="000D0060"/>
    <w:rsid w:val="000D394D"/>
    <w:rsid w:val="000F4673"/>
    <w:rsid w:val="001110F2"/>
    <w:rsid w:val="00121D18"/>
    <w:rsid w:val="00125D6F"/>
    <w:rsid w:val="0012664E"/>
    <w:rsid w:val="00126E5E"/>
    <w:rsid w:val="0014411E"/>
    <w:rsid w:val="0014429D"/>
    <w:rsid w:val="00144D96"/>
    <w:rsid w:val="00150F26"/>
    <w:rsid w:val="001549EB"/>
    <w:rsid w:val="001723D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77E"/>
    <w:rsid w:val="00251ADD"/>
    <w:rsid w:val="002723A4"/>
    <w:rsid w:val="00272AC6"/>
    <w:rsid w:val="002753D7"/>
    <w:rsid w:val="00280166"/>
    <w:rsid w:val="00291C11"/>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57F4"/>
    <w:rsid w:val="00567A6B"/>
    <w:rsid w:val="00586B4B"/>
    <w:rsid w:val="00595D85"/>
    <w:rsid w:val="005A0BDA"/>
    <w:rsid w:val="005A5B33"/>
    <w:rsid w:val="005C032C"/>
    <w:rsid w:val="005C0987"/>
    <w:rsid w:val="005C3A8D"/>
    <w:rsid w:val="005C7B1D"/>
    <w:rsid w:val="005D0FED"/>
    <w:rsid w:val="005D1BBF"/>
    <w:rsid w:val="005D43B9"/>
    <w:rsid w:val="005D6457"/>
    <w:rsid w:val="005E01B5"/>
    <w:rsid w:val="005E73C3"/>
    <w:rsid w:val="005E7651"/>
    <w:rsid w:val="00610016"/>
    <w:rsid w:val="00613302"/>
    <w:rsid w:val="00617FD4"/>
    <w:rsid w:val="006206DB"/>
    <w:rsid w:val="00621FEB"/>
    <w:rsid w:val="00625CA3"/>
    <w:rsid w:val="0063486D"/>
    <w:rsid w:val="00641262"/>
    <w:rsid w:val="0064411A"/>
    <w:rsid w:val="00650BED"/>
    <w:rsid w:val="00651838"/>
    <w:rsid w:val="00665940"/>
    <w:rsid w:val="0066696D"/>
    <w:rsid w:val="006717BA"/>
    <w:rsid w:val="00674594"/>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1EC1"/>
    <w:rsid w:val="00747F87"/>
    <w:rsid w:val="00754027"/>
    <w:rsid w:val="00754882"/>
    <w:rsid w:val="00755E1E"/>
    <w:rsid w:val="007576D0"/>
    <w:rsid w:val="00757F74"/>
    <w:rsid w:val="00764CCB"/>
    <w:rsid w:val="00766B1A"/>
    <w:rsid w:val="0078198B"/>
    <w:rsid w:val="007836E0"/>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4E09"/>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3335"/>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22BB"/>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42654"/>
    <w:rsid w:val="00C53C36"/>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4DA"/>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66417"/>
    <w:rsid w:val="00E77899"/>
    <w:rsid w:val="00E82CD4"/>
    <w:rsid w:val="00E8783B"/>
    <w:rsid w:val="00E92C8E"/>
    <w:rsid w:val="00EB0AFC"/>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https://www.eesc.europa.eu/it/our-work/opinions-information-reports/opinions/eu-policy-agenda-liveable-cities"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it/our-work/opinions-information-reports/opinions/new-rules-drug-precursors" TargetMode="External"/><Relationship Id="rId63" Type="http://schemas.openxmlformats.org/officeDocument/2006/relationships/hyperlink" Target="https://www.eesc.europa.eu/it/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it/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it/our-work/opinions-information-reports/opinions/developing-european-centre-clinical-excellence-pharmaceuticals" TargetMode="External"/><Relationship Id="rId53" Type="http://schemas.openxmlformats.org/officeDocument/2006/relationships/hyperlink" Target="https://www.eesc.europa.eu/it/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eesc.europa.eu/it/our-work/opinions-information-reports/opinions/food-and-feed-safety-simplification-omnibus"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it/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it/our-work/opinions-information-reports/opinions/over-tourism-short-term-rentals-and-crowding-out-local-populations-finding-right-balance" TargetMode="External"/><Relationship Id="rId43" Type="http://schemas.openxmlformats.org/officeDocument/2006/relationships/hyperlink" Target="https://www.eesc.europa.eu/it/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it/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it/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it/our-work/opinions-information-reports/opinions/ban-conversion-practices-european-union" TargetMode="External"/><Relationship Id="rId33" Type="http://schemas.openxmlformats.org/officeDocument/2006/relationships/hyperlink" Target="https://www.eesc.europa.eu/it/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it/our-work/opinions-information-reports/opinions/eu-bioeconomy-strategy-towards-circular-regenerative-and-competitive-bioeconomy" TargetMode="External"/><Relationship Id="rId67" Type="http://schemas.openxmlformats.org/officeDocument/2006/relationships/hyperlink" Target="https://www.eesc.europa.eu/it/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it/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it/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it/our-work/opinions-information-reports/opinions/proposal-regulation-targeted-revision-eu-rules-medical-devices-and-vitro-diagnostics" TargetMode="External"/><Relationship Id="rId57" Type="http://schemas.openxmlformats.org/officeDocument/2006/relationships/hyperlink" Target="https://www.eesc.europa.eu/it/our-work/opinions-information-reports/opinions/comprehensive-strategy-nature-based-biodegradable-materials-foster-circularity-and-resource-efficiency-strengthen-agri" TargetMode="External"/><Relationship Id="rId10" Type="http://schemas.openxmlformats.org/officeDocument/2006/relationships/footnotes" Target="footnotes.xml"/><Relationship Id="rId31" Type="http://schemas.openxmlformats.org/officeDocument/2006/relationships/hyperlink" Target="https://www.eesc.europa.eu/it/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it/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it/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it/our-work/opinions-information-reports/information-reports/evaluation-regulation-eu-20191020-market-surveillance-and-compliance-products" TargetMode="External"/><Relationship Id="rId34" Type="http://schemas.openxmlformats.org/officeDocument/2006/relationships/hyperlink" Target="mailto:JeanMarie.Rogue@eesc.europa.eu"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it/our-work/opinions-information-reports/opinions/eu-startups-and-scale-strategy-focus-european-innovation-act"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it/our-work/opinions-information-reports/opinions/programme-agile-and-rapid-defence-innovation-agile" TargetMode="External"/><Relationship Id="rId2" Type="http://schemas.openxmlformats.org/officeDocument/2006/relationships/customXml" Target="../customXml/item2.xml"/><Relationship Id="rId29" Type="http://schemas.openxmlformats.org/officeDocument/2006/relationships/hyperlink" Target="https://www.eesc.europa.eu/it/our-work/opinions-information-reports/opinions/eu-competitiveness-and-youth-entrepreneu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IT/TXT/?uri=CELEX:52018AE0043" TargetMode="External"/><Relationship Id="rId7" Type="http://schemas.openxmlformats.org/officeDocument/2006/relationships/hyperlink" Target="https://eur-lex.europa.eu/legal-content/IT/TXT/?uri=uriserv%3AOJ.C_.2022.152.01.0175.01.ITA&amp;toc=OJ%3AC%3A2022%3A152%3ATOC" TargetMode="External"/><Relationship Id="rId2" Type="http://schemas.openxmlformats.org/officeDocument/2006/relationships/hyperlink" Target="https://www.eesc.europa.eu/it/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it/our-work/opinions-information-reports/opinions/revision-eu-emissions-trading-system-ets-including-maritime-transport-and-market-stability-reserve" TargetMode="External"/><Relationship Id="rId5" Type="http://schemas.openxmlformats.org/officeDocument/2006/relationships/hyperlink" Target="https://eur-lex.europa.eu/legal-content/IT/TXT/?uri=CELEX:52020AE2029" TargetMode="External"/><Relationship Id="rId4" Type="http://schemas.openxmlformats.org/officeDocument/2006/relationships/hyperlink" Target="https://www.eesc.europa.eu/it/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VP3JK3XSEPRV-2087481956-8497</_dlc_DocId>
    <_dlc_DocIdUrl xmlns="7d640e6d-779c-472f-a269-6b546787f1c9">
      <Url>http://dm/eesc/2026/_layouts/15/DocIdRedir.aspx?ID=VP3JK3XSEPRV-2087481956-8497</Url>
      <Description>VP3JK3XSEPRV-2087481956-8497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Ferro Federica</DisplayName>
        <AccountId>1544</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2.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E51AB625-B2C8-4505-A10F-FD6E1359DD4A}"/>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9983</Words>
  <Characters>62894</Characters>
  <Application>Microsoft Office Word</Application>
  <DocSecurity>0</DocSecurity>
  <Lines>1655</Lines>
  <Paragraphs>946</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71931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- 605ª sessione plenaria - aprile 2026</dc:title>
  <dc:subject>ADMIN</dc:subject>
  <dc:creator/>
  <cp:keywords>COR-EESC-2022-02583-00-00-ADMIN-TRA-EN</cp:keywords>
  <dc:description>Rapporteur:  - Original language: EN - Date of document: 20/05/2022 - Date of meeting:  - External documents:  - Administrator:  SUCIU Serban</dc:description>
  <cp:lastModifiedBy/>
  <cp:revision>14</cp:revision>
  <dcterms:created xsi:type="dcterms:W3CDTF">2026-05-11T10:08:00Z</dcterms:created>
  <dcterms:modified xsi:type="dcterms:W3CDTF">2026-05-12T07:26:00Z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c11d4fb3-59a5-47ac-95b3-3666ec230d45</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18;#TCD|cd9d6eb6-3f4f-424a-b2d1-57c9d450eaaf;#9;#TRA|150d2a88-1431-44e6-a8ca-0bb753ab8672;#59;#SPL-CES|32d8cb1f-c9ec-4365-95c7-8385a18618ac;#7;#Final|ea5e6674-7b27-4bac-b091-73adbb394efe;#4;#EN|f2175f21-25d7-44a3-96da-d6a61b075e1b;#19;#Unrestricted|826e22d7-d029-4ec0-a450-0c28ff673572;#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13;#IT|0774613c-01ed-4e5d-a25d-11d2388de825</vt:lpwstr>
  </property>
  <property fmtid="{D5CDD505-2E9C-101B-9397-08002B2CF9AE}" pid="33" name="AvailableTranslations_0">
    <vt:lpwstr>EN|f2175f21-25d7-44a3-96da-d6a61b075e1b</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