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DD4D" w14:textId="34454E5B" w:rsidR="004D7AC0" w:rsidRDefault="00C04C37" w:rsidP="001766B2">
      <w:pPr>
        <w:jc w:val="center"/>
      </w:pPr>
      <w:r>
        <w:rPr>
          <w:noProof/>
        </w:rPr>
        <w:drawing>
          <wp:inline distT="0" distB="0" distL="0" distR="0" wp14:anchorId="2231C0EA" wp14:editId="4861DCCC">
            <wp:extent cx="1792605" cy="1239520"/>
            <wp:effectExtent l="0" t="0" r="0" b="0"/>
            <wp:docPr id="89710648" name="Picture 2" title="EESCLogo_FR"/>
            <wp:cNvGraphicFramePr/>
            <a:graphic xmlns:a="http://schemas.openxmlformats.org/drawingml/2006/main">
              <a:graphicData uri="http://schemas.openxmlformats.org/drawingml/2006/picture">
                <pic:pic xmlns:pic="http://schemas.openxmlformats.org/drawingml/2006/picture">
                  <pic:nvPicPr>
                    <pic:cNvPr id="89710648" name="Picture 2" title="EESCLogo_F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7216" behindDoc="1" locked="0" layoutInCell="0" allowOverlap="1" wp14:anchorId="4982DE48" wp14:editId="61DBCD5A">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FR</w:t>
                      </w:r>
                    </w:p>
                  </w:txbxContent>
                </v:textbox>
                <w10:wrap anchorx="page" anchory="page"/>
              </v:shape>
            </w:pict>
          </mc:Fallback>
        </mc:AlternateContent>
      </w:r>
    </w:p>
    <w:p w14:paraId="4982DD4E" w14:textId="77777777" w:rsidR="004D7AC0" w:rsidRDefault="004D7AC0" w:rsidP="001766B2"/>
    <w:p w14:paraId="4982DD4F" w14:textId="1B0C2982" w:rsidR="004D7AC0" w:rsidRDefault="004D7AC0" w:rsidP="001766B2">
      <w:pPr>
        <w:jc w:val="right"/>
      </w:pPr>
      <w:r>
        <w:t>Bruxelles, le 22 mai 2026</w:t>
      </w:r>
    </w:p>
    <w:p w14:paraId="4982DD50" w14:textId="77777777" w:rsidR="004D7AC0" w:rsidRDefault="004D7AC0" w:rsidP="001766B2"/>
    <w:p w14:paraId="4982DD51" w14:textId="77777777" w:rsidR="004D7AC0" w:rsidRDefault="004D7AC0" w:rsidP="001766B2"/>
    <w:p w14:paraId="4982DD52" w14:textId="77777777" w:rsidR="004D7AC0" w:rsidRDefault="004D7AC0" w:rsidP="001766B2"/>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3CA13160" w:rsidR="003066BE" w:rsidRDefault="003E263E" w:rsidP="001766B2">
            <w:pPr>
              <w:snapToGrid w:val="0"/>
              <w:jc w:val="center"/>
              <w:rPr>
                <w:b/>
                <w:sz w:val="32"/>
                <w:szCs w:val="32"/>
              </w:rPr>
            </w:pPr>
            <w:r>
              <w:rPr>
                <w:b/>
                <w:sz w:val="32"/>
              </w:rPr>
              <w:t>605</w:t>
            </w:r>
            <w:r>
              <w:rPr>
                <w:b/>
                <w:sz w:val="32"/>
                <w:vertAlign w:val="superscript"/>
              </w:rPr>
              <w:t>e</w:t>
            </w:r>
            <w:r>
              <w:rPr>
                <w:b/>
                <w:sz w:val="32"/>
              </w:rPr>
              <w:t> SESSION PLÉNIÈRE</w:t>
            </w:r>
          </w:p>
          <w:p w14:paraId="4982DD54" w14:textId="77777777" w:rsidR="003066BE" w:rsidRDefault="003066BE" w:rsidP="001766B2">
            <w:pPr>
              <w:snapToGrid w:val="0"/>
              <w:jc w:val="center"/>
              <w:rPr>
                <w:b/>
                <w:sz w:val="32"/>
                <w:szCs w:val="32"/>
              </w:rPr>
            </w:pPr>
          </w:p>
          <w:p w14:paraId="4982DD55" w14:textId="0EEFFEDA" w:rsidR="003066BE" w:rsidRDefault="003E263E" w:rsidP="001766B2">
            <w:pPr>
              <w:snapToGrid w:val="0"/>
              <w:jc w:val="center"/>
              <w:rPr>
                <w:b/>
                <w:sz w:val="32"/>
                <w:szCs w:val="32"/>
              </w:rPr>
            </w:pPr>
            <w:r>
              <w:rPr>
                <w:b/>
                <w:sz w:val="32"/>
              </w:rPr>
              <w:t>29 et 30 avril 2026</w:t>
            </w:r>
          </w:p>
          <w:p w14:paraId="4982DD56" w14:textId="77777777" w:rsidR="003066BE" w:rsidRDefault="003066BE" w:rsidP="001766B2">
            <w:pPr>
              <w:snapToGrid w:val="0"/>
              <w:jc w:val="center"/>
              <w:rPr>
                <w:b/>
                <w:sz w:val="32"/>
                <w:szCs w:val="32"/>
              </w:rPr>
            </w:pPr>
          </w:p>
          <w:p w14:paraId="4982DD57" w14:textId="55BEDA55" w:rsidR="004D7AC0" w:rsidRPr="0081153B" w:rsidRDefault="00754027" w:rsidP="001766B2">
            <w:pPr>
              <w:snapToGrid w:val="0"/>
              <w:jc w:val="center"/>
              <w:rPr>
                <w:rFonts w:eastAsia="MS Mincho"/>
                <w:b/>
                <w:sz w:val="32"/>
                <w:szCs w:val="32"/>
              </w:rPr>
            </w:pPr>
            <w:r>
              <w:rPr>
                <w:b/>
                <w:sz w:val="32"/>
              </w:rPr>
              <w:t xml:space="preserve">SYNTHÈSE DES AVIS, RÉSOLUTIONS </w:t>
            </w:r>
            <w:r w:rsidR="006C0D5C">
              <w:rPr>
                <w:b/>
                <w:sz w:val="32"/>
              </w:rPr>
              <w:br/>
            </w:r>
            <w:r>
              <w:rPr>
                <w:b/>
                <w:sz w:val="32"/>
              </w:rPr>
              <w:t>ET RAPPORTS D’INFORMATION/D’ÉVALUATION ADOPTÉS</w:t>
            </w:r>
          </w:p>
          <w:p w14:paraId="4982DD58" w14:textId="77777777" w:rsidR="004D7AC0" w:rsidRDefault="004D7AC0" w:rsidP="001766B2">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5833E7A" w:rsidR="004D7AC0" w:rsidRPr="0081153B" w:rsidRDefault="004D7AC0" w:rsidP="001766B2">
            <w:pPr>
              <w:snapToGrid w:val="0"/>
              <w:jc w:val="center"/>
            </w:pPr>
            <w:r>
              <w:t>Ce document est disponible dans toutes les langues officielles de l’Union européenne</w:t>
            </w:r>
            <w:r>
              <w:br/>
              <w:t xml:space="preserve">sur le site internet du CESE à l’adresse </w:t>
            </w:r>
            <w:proofErr w:type="gramStart"/>
            <w:r>
              <w:t>suivante:</w:t>
            </w:r>
            <w:proofErr w:type="gramEnd"/>
            <w:r>
              <w:br/>
            </w:r>
            <w:r>
              <w:br/>
            </w:r>
            <w:hyperlink r:id="rId13" w:history="1">
              <w:r>
                <w:rPr>
                  <w:rStyle w:val="Hyperlink"/>
                </w:rPr>
                <w:t>https://www.eesc.europa.eu/fr/our-work/opinions-information-reports/plenary-session-summaries</w:t>
              </w:r>
            </w:hyperlink>
          </w:p>
          <w:p w14:paraId="4982DD5B" w14:textId="77777777" w:rsidR="004D7AC0" w:rsidRPr="0081153B" w:rsidRDefault="004D7AC0" w:rsidP="001766B2">
            <w:pPr>
              <w:snapToGrid w:val="0"/>
              <w:jc w:val="center"/>
            </w:pPr>
          </w:p>
          <w:p w14:paraId="4982DD5C" w14:textId="77777777" w:rsidR="004D7AC0" w:rsidRPr="0081153B" w:rsidRDefault="004D7AC0" w:rsidP="001766B2">
            <w:pPr>
              <w:snapToGrid w:val="0"/>
              <w:jc w:val="center"/>
              <w:rPr>
                <w:rFonts w:eastAsia="SimSun"/>
              </w:rPr>
            </w:pPr>
          </w:p>
          <w:p w14:paraId="4982DD5D" w14:textId="09CAFD6C" w:rsidR="004D7AC0" w:rsidRPr="00044561" w:rsidRDefault="004D7AC0" w:rsidP="001766B2">
            <w:pPr>
              <w:snapToGrid w:val="0"/>
              <w:jc w:val="center"/>
            </w:pPr>
            <w:r>
              <w:t xml:space="preserve">Les avis mentionnés peuvent être consultés en ligne au moyen du moteur de recherche du </w:t>
            </w:r>
            <w:proofErr w:type="gramStart"/>
            <w:r>
              <w:t>CESE:</w:t>
            </w:r>
            <w:proofErr w:type="gramEnd"/>
            <w:r>
              <w:br/>
            </w:r>
            <w:r>
              <w:br/>
            </w:r>
            <w:hyperlink r:id="rId14" w:history="1">
              <w:r>
                <w:rPr>
                  <w:rStyle w:val="Hyperlink"/>
                </w:rPr>
                <w:t>https://dmsearch.eesc.europa.eu/search/opinion</w:t>
              </w:r>
            </w:hyperlink>
          </w:p>
          <w:p w14:paraId="4982DD5E" w14:textId="77777777" w:rsidR="004D7AC0" w:rsidRPr="00044561" w:rsidRDefault="004D7AC0" w:rsidP="001766B2">
            <w:pPr>
              <w:snapToGrid w:val="0"/>
              <w:jc w:val="center"/>
            </w:pPr>
          </w:p>
        </w:tc>
      </w:tr>
    </w:tbl>
    <w:p w14:paraId="4982DD60" w14:textId="77777777" w:rsidR="004D7AC0" w:rsidRDefault="004D7AC0" w:rsidP="001766B2"/>
    <w:p w14:paraId="4982DD61" w14:textId="77777777" w:rsidR="004D7AC0" w:rsidRDefault="004D7AC0" w:rsidP="001766B2"/>
    <w:p w14:paraId="4982DD62" w14:textId="77777777" w:rsidR="004D7AC0" w:rsidRDefault="004D7AC0" w:rsidP="001766B2">
      <w:pPr>
        <w:sectPr w:rsidR="004D7AC0" w:rsidSect="00A067F3">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14:paraId="59BDC117" w14:textId="77777777" w:rsidR="00480EA8" w:rsidRPr="00A81AFE" w:rsidRDefault="00480EA8" w:rsidP="00480EA8">
      <w:pPr>
        <w:rPr>
          <w:b/>
        </w:rPr>
      </w:pPr>
      <w:r>
        <w:rPr>
          <w:b/>
        </w:rPr>
        <w:lastRenderedPageBreak/>
        <w:t>Table des matières</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5FA56B97" w14:textId="77777777" w:rsidR="00480EA8" w:rsidRPr="00A81AFE" w:rsidRDefault="00480EA8" w:rsidP="00480EA8">
          <w:pPr>
            <w:pStyle w:val="TOCHeading"/>
            <w:rPr>
              <w:rFonts w:ascii="Times New Roman" w:hAnsi="Times New Roman" w:cs="Times New Roman"/>
              <w:color w:val="auto"/>
              <w:sz w:val="22"/>
              <w:szCs w:val="22"/>
            </w:rPr>
          </w:pPr>
        </w:p>
        <w:p w14:paraId="2D3EC381" w14:textId="3EE51210" w:rsidR="00D0491D" w:rsidRDefault="00FB7469">
          <w:pPr>
            <w:pStyle w:val="TOC1"/>
            <w:tabs>
              <w:tab w:val="left" w:pos="480"/>
              <w:tab w:val="right" w:leader="dot" w:pos="9063"/>
            </w:tabs>
            <w:rPr>
              <w:rFonts w:asciiTheme="minorHAnsi" w:eastAsiaTheme="minorEastAsia" w:hAnsiTheme="minorHAnsi" w:cstheme="minorBidi"/>
              <w:noProof/>
              <w:kern w:val="2"/>
              <w:sz w:val="24"/>
              <w:szCs w:val="24"/>
              <w:lang w:val="fr-BE" w:eastAsia="fr-BE"/>
              <w14:ligatures w14:val="standardContextual"/>
            </w:rPr>
          </w:pPr>
          <w:r>
            <w:fldChar w:fldCharType="begin"/>
          </w:r>
          <w:r>
            <w:instrText xml:space="preserve"> TOC \o "1-1" \h \z \u </w:instrText>
          </w:r>
          <w:r>
            <w:fldChar w:fldCharType="separate"/>
          </w:r>
          <w:hyperlink w:anchor="_Toc230357595" w:history="1">
            <w:r w:rsidR="00D0491D" w:rsidRPr="005117DE">
              <w:rPr>
                <w:rStyle w:val="Hyperlink"/>
                <w:bCs/>
                <w:noProof/>
              </w:rPr>
              <w:t>1.</w:t>
            </w:r>
            <w:r w:rsidR="00D0491D">
              <w:rPr>
                <w:rFonts w:asciiTheme="minorHAnsi" w:eastAsiaTheme="minorEastAsia" w:hAnsiTheme="minorHAnsi" w:cstheme="minorBidi"/>
                <w:noProof/>
                <w:kern w:val="2"/>
                <w:sz w:val="24"/>
                <w:szCs w:val="24"/>
                <w:lang w:val="fr-BE" w:eastAsia="fr-BE"/>
                <w14:ligatures w14:val="standardContextual"/>
              </w:rPr>
              <w:tab/>
            </w:r>
            <w:r w:rsidR="00D0491D" w:rsidRPr="005117DE">
              <w:rPr>
                <w:rStyle w:val="Hyperlink"/>
                <w:b/>
                <w:bCs/>
                <w:noProof/>
              </w:rPr>
              <w:t>UNION ÉCONOMIQUE ET MONÉTAIRE ET COHÉSION ÉCONOMIQUE ET SOCIALE</w:t>
            </w:r>
            <w:r w:rsidR="00D0491D">
              <w:rPr>
                <w:noProof/>
                <w:webHidden/>
              </w:rPr>
              <w:tab/>
            </w:r>
            <w:r w:rsidR="00D0491D">
              <w:rPr>
                <w:noProof/>
                <w:webHidden/>
              </w:rPr>
              <w:fldChar w:fldCharType="begin"/>
            </w:r>
            <w:r w:rsidR="00D0491D">
              <w:rPr>
                <w:noProof/>
                <w:webHidden/>
              </w:rPr>
              <w:instrText xml:space="preserve"> PAGEREF _Toc230357595 \h </w:instrText>
            </w:r>
            <w:r w:rsidR="00D0491D">
              <w:rPr>
                <w:noProof/>
                <w:webHidden/>
              </w:rPr>
            </w:r>
            <w:r w:rsidR="00D0491D">
              <w:rPr>
                <w:noProof/>
                <w:webHidden/>
              </w:rPr>
              <w:fldChar w:fldCharType="separate"/>
            </w:r>
            <w:r w:rsidR="00D0491D">
              <w:rPr>
                <w:noProof/>
                <w:webHidden/>
              </w:rPr>
              <w:t>3</w:t>
            </w:r>
            <w:r w:rsidR="00D0491D">
              <w:rPr>
                <w:noProof/>
                <w:webHidden/>
              </w:rPr>
              <w:fldChar w:fldCharType="end"/>
            </w:r>
          </w:hyperlink>
        </w:p>
        <w:p w14:paraId="5BDF08C6" w14:textId="1F5D324B" w:rsidR="00D0491D" w:rsidRDefault="00D0491D">
          <w:pPr>
            <w:pStyle w:val="TOC1"/>
            <w:tabs>
              <w:tab w:val="left" w:pos="480"/>
              <w:tab w:val="right" w:leader="dot" w:pos="9063"/>
            </w:tabs>
            <w:rPr>
              <w:rFonts w:asciiTheme="minorHAnsi" w:eastAsiaTheme="minorEastAsia" w:hAnsiTheme="minorHAnsi" w:cstheme="minorBidi"/>
              <w:noProof/>
              <w:kern w:val="2"/>
              <w:sz w:val="24"/>
              <w:szCs w:val="24"/>
              <w:lang w:val="fr-BE" w:eastAsia="fr-BE"/>
              <w14:ligatures w14:val="standardContextual"/>
            </w:rPr>
          </w:pPr>
          <w:hyperlink w:anchor="_Toc230357596" w:history="1">
            <w:r w:rsidRPr="005117DE">
              <w:rPr>
                <w:rStyle w:val="Hyperlink"/>
                <w:bCs/>
                <w:noProof/>
              </w:rPr>
              <w:t>2.</w:t>
            </w:r>
            <w:r>
              <w:rPr>
                <w:rFonts w:asciiTheme="minorHAnsi" w:eastAsiaTheme="minorEastAsia" w:hAnsiTheme="minorHAnsi" w:cstheme="minorBidi"/>
                <w:noProof/>
                <w:kern w:val="2"/>
                <w:sz w:val="24"/>
                <w:szCs w:val="24"/>
                <w:lang w:val="fr-BE" w:eastAsia="fr-BE"/>
                <w14:ligatures w14:val="standardContextual"/>
              </w:rPr>
              <w:tab/>
            </w:r>
            <w:r w:rsidRPr="005117DE">
              <w:rPr>
                <w:rStyle w:val="Hyperlink"/>
                <w:b/>
                <w:noProof/>
              </w:rPr>
              <w:t>EMPLOI, AFFAIRES SOCIALES ET CITOYENNETÉ</w:t>
            </w:r>
            <w:r>
              <w:rPr>
                <w:noProof/>
                <w:webHidden/>
              </w:rPr>
              <w:tab/>
            </w:r>
            <w:r>
              <w:rPr>
                <w:noProof/>
                <w:webHidden/>
              </w:rPr>
              <w:fldChar w:fldCharType="begin"/>
            </w:r>
            <w:r>
              <w:rPr>
                <w:noProof/>
                <w:webHidden/>
              </w:rPr>
              <w:instrText xml:space="preserve"> PAGEREF _Toc230357596 \h </w:instrText>
            </w:r>
            <w:r>
              <w:rPr>
                <w:noProof/>
                <w:webHidden/>
              </w:rPr>
            </w:r>
            <w:r>
              <w:rPr>
                <w:noProof/>
                <w:webHidden/>
              </w:rPr>
              <w:fldChar w:fldCharType="separate"/>
            </w:r>
            <w:r>
              <w:rPr>
                <w:noProof/>
                <w:webHidden/>
              </w:rPr>
              <w:t>7</w:t>
            </w:r>
            <w:r>
              <w:rPr>
                <w:noProof/>
                <w:webHidden/>
              </w:rPr>
              <w:fldChar w:fldCharType="end"/>
            </w:r>
          </w:hyperlink>
        </w:p>
        <w:p w14:paraId="166076C3" w14:textId="3ECFE304" w:rsidR="00D0491D" w:rsidRDefault="00D0491D">
          <w:pPr>
            <w:pStyle w:val="TOC1"/>
            <w:tabs>
              <w:tab w:val="left" w:pos="480"/>
              <w:tab w:val="right" w:leader="dot" w:pos="9063"/>
            </w:tabs>
            <w:rPr>
              <w:rFonts w:asciiTheme="minorHAnsi" w:eastAsiaTheme="minorEastAsia" w:hAnsiTheme="minorHAnsi" w:cstheme="minorBidi"/>
              <w:noProof/>
              <w:kern w:val="2"/>
              <w:sz w:val="24"/>
              <w:szCs w:val="24"/>
              <w:lang w:val="fr-BE" w:eastAsia="fr-BE"/>
              <w14:ligatures w14:val="standardContextual"/>
            </w:rPr>
          </w:pPr>
          <w:hyperlink w:anchor="_Toc230357597" w:history="1">
            <w:r w:rsidRPr="005117DE">
              <w:rPr>
                <w:rStyle w:val="Hyperlink"/>
                <w:bCs/>
                <w:noProof/>
              </w:rPr>
              <w:t>3.</w:t>
            </w:r>
            <w:r>
              <w:rPr>
                <w:rFonts w:asciiTheme="minorHAnsi" w:eastAsiaTheme="minorEastAsia" w:hAnsiTheme="minorHAnsi" w:cstheme="minorBidi"/>
                <w:noProof/>
                <w:kern w:val="2"/>
                <w:sz w:val="24"/>
                <w:szCs w:val="24"/>
                <w:lang w:val="fr-BE" w:eastAsia="fr-BE"/>
                <w14:ligatures w14:val="standardContextual"/>
              </w:rPr>
              <w:tab/>
            </w:r>
            <w:r w:rsidRPr="005117DE">
              <w:rPr>
                <w:rStyle w:val="Hyperlink"/>
                <w:b/>
                <w:bCs/>
                <w:noProof/>
              </w:rPr>
              <w:t>MARCHÉ UNIQUE, PRODUCTION ET CONSOMMATION</w:t>
            </w:r>
            <w:r>
              <w:rPr>
                <w:noProof/>
                <w:webHidden/>
              </w:rPr>
              <w:tab/>
            </w:r>
            <w:r>
              <w:rPr>
                <w:noProof/>
                <w:webHidden/>
              </w:rPr>
              <w:fldChar w:fldCharType="begin"/>
            </w:r>
            <w:r>
              <w:rPr>
                <w:noProof/>
                <w:webHidden/>
              </w:rPr>
              <w:instrText xml:space="preserve"> PAGEREF _Toc230357597 \h </w:instrText>
            </w:r>
            <w:r>
              <w:rPr>
                <w:noProof/>
                <w:webHidden/>
              </w:rPr>
            </w:r>
            <w:r>
              <w:rPr>
                <w:noProof/>
                <w:webHidden/>
              </w:rPr>
              <w:fldChar w:fldCharType="separate"/>
            </w:r>
            <w:r>
              <w:rPr>
                <w:noProof/>
                <w:webHidden/>
              </w:rPr>
              <w:t>13</w:t>
            </w:r>
            <w:r>
              <w:rPr>
                <w:noProof/>
                <w:webHidden/>
              </w:rPr>
              <w:fldChar w:fldCharType="end"/>
            </w:r>
          </w:hyperlink>
        </w:p>
        <w:p w14:paraId="0DB8E0B9" w14:textId="1402F1C5" w:rsidR="00D0491D" w:rsidRDefault="00D0491D">
          <w:pPr>
            <w:pStyle w:val="TOC1"/>
            <w:tabs>
              <w:tab w:val="left" w:pos="480"/>
              <w:tab w:val="right" w:leader="dot" w:pos="9063"/>
            </w:tabs>
            <w:rPr>
              <w:rFonts w:asciiTheme="minorHAnsi" w:eastAsiaTheme="minorEastAsia" w:hAnsiTheme="minorHAnsi" w:cstheme="minorBidi"/>
              <w:noProof/>
              <w:kern w:val="2"/>
              <w:sz w:val="24"/>
              <w:szCs w:val="24"/>
              <w:lang w:val="fr-BE" w:eastAsia="fr-BE"/>
              <w14:ligatures w14:val="standardContextual"/>
            </w:rPr>
          </w:pPr>
          <w:hyperlink w:anchor="_Toc230357598" w:history="1">
            <w:r w:rsidRPr="005117DE">
              <w:rPr>
                <w:rStyle w:val="Hyperlink"/>
                <w:bCs/>
                <w:noProof/>
              </w:rPr>
              <w:t>4.</w:t>
            </w:r>
            <w:r>
              <w:rPr>
                <w:rFonts w:asciiTheme="minorHAnsi" w:eastAsiaTheme="minorEastAsia" w:hAnsiTheme="minorHAnsi" w:cstheme="minorBidi"/>
                <w:noProof/>
                <w:kern w:val="2"/>
                <w:sz w:val="24"/>
                <w:szCs w:val="24"/>
                <w:lang w:val="fr-BE" w:eastAsia="fr-BE"/>
                <w14:ligatures w14:val="standardContextual"/>
              </w:rPr>
              <w:tab/>
            </w:r>
            <w:r w:rsidRPr="005117DE">
              <w:rPr>
                <w:rStyle w:val="Hyperlink"/>
                <w:b/>
                <w:bCs/>
                <w:noProof/>
              </w:rPr>
              <w:t>AGRICULTURE, DÉVELOPPEMENT RURAL ET ENVIRONNEMENT</w:t>
            </w:r>
            <w:r>
              <w:rPr>
                <w:noProof/>
                <w:webHidden/>
              </w:rPr>
              <w:tab/>
            </w:r>
            <w:r>
              <w:rPr>
                <w:noProof/>
                <w:webHidden/>
              </w:rPr>
              <w:fldChar w:fldCharType="begin"/>
            </w:r>
            <w:r>
              <w:rPr>
                <w:noProof/>
                <w:webHidden/>
              </w:rPr>
              <w:instrText xml:space="preserve"> PAGEREF _Toc230357598 \h </w:instrText>
            </w:r>
            <w:r>
              <w:rPr>
                <w:noProof/>
                <w:webHidden/>
              </w:rPr>
            </w:r>
            <w:r>
              <w:rPr>
                <w:noProof/>
                <w:webHidden/>
              </w:rPr>
              <w:fldChar w:fldCharType="separate"/>
            </w:r>
            <w:r>
              <w:rPr>
                <w:noProof/>
                <w:webHidden/>
              </w:rPr>
              <w:t>25</w:t>
            </w:r>
            <w:r>
              <w:rPr>
                <w:noProof/>
                <w:webHidden/>
              </w:rPr>
              <w:fldChar w:fldCharType="end"/>
            </w:r>
          </w:hyperlink>
        </w:p>
        <w:p w14:paraId="0891D06F" w14:textId="70A9D38F" w:rsidR="00D0491D" w:rsidRDefault="00D0491D">
          <w:pPr>
            <w:pStyle w:val="TOC1"/>
            <w:tabs>
              <w:tab w:val="left" w:pos="480"/>
              <w:tab w:val="right" w:leader="dot" w:pos="9063"/>
            </w:tabs>
            <w:rPr>
              <w:rFonts w:asciiTheme="minorHAnsi" w:eastAsiaTheme="minorEastAsia" w:hAnsiTheme="minorHAnsi" w:cstheme="minorBidi"/>
              <w:noProof/>
              <w:kern w:val="2"/>
              <w:sz w:val="24"/>
              <w:szCs w:val="24"/>
              <w:lang w:val="fr-BE" w:eastAsia="fr-BE"/>
              <w14:ligatures w14:val="standardContextual"/>
            </w:rPr>
          </w:pPr>
          <w:hyperlink w:anchor="_Toc230357599" w:history="1">
            <w:r w:rsidRPr="005117DE">
              <w:rPr>
                <w:rStyle w:val="Hyperlink"/>
                <w:bCs/>
                <w:noProof/>
              </w:rPr>
              <w:t>5.</w:t>
            </w:r>
            <w:r>
              <w:rPr>
                <w:rFonts w:asciiTheme="minorHAnsi" w:eastAsiaTheme="minorEastAsia" w:hAnsiTheme="minorHAnsi" w:cstheme="minorBidi"/>
                <w:noProof/>
                <w:kern w:val="2"/>
                <w:sz w:val="24"/>
                <w:szCs w:val="24"/>
                <w:lang w:val="fr-BE" w:eastAsia="fr-BE"/>
                <w14:ligatures w14:val="standardContextual"/>
              </w:rPr>
              <w:tab/>
            </w:r>
            <w:r w:rsidRPr="005117DE">
              <w:rPr>
                <w:rStyle w:val="Hyperlink"/>
                <w:b/>
                <w:bCs/>
                <w:noProof/>
              </w:rPr>
              <w:t>RELATIONS EXTÉRIEURES</w:t>
            </w:r>
            <w:r>
              <w:rPr>
                <w:noProof/>
                <w:webHidden/>
              </w:rPr>
              <w:tab/>
            </w:r>
            <w:r>
              <w:rPr>
                <w:noProof/>
                <w:webHidden/>
              </w:rPr>
              <w:fldChar w:fldCharType="begin"/>
            </w:r>
            <w:r>
              <w:rPr>
                <w:noProof/>
                <w:webHidden/>
              </w:rPr>
              <w:instrText xml:space="preserve"> PAGEREF _Toc230357599 \h </w:instrText>
            </w:r>
            <w:r>
              <w:rPr>
                <w:noProof/>
                <w:webHidden/>
              </w:rPr>
            </w:r>
            <w:r>
              <w:rPr>
                <w:noProof/>
                <w:webHidden/>
              </w:rPr>
              <w:fldChar w:fldCharType="separate"/>
            </w:r>
            <w:r>
              <w:rPr>
                <w:noProof/>
                <w:webHidden/>
              </w:rPr>
              <w:t>30</w:t>
            </w:r>
            <w:r>
              <w:rPr>
                <w:noProof/>
                <w:webHidden/>
              </w:rPr>
              <w:fldChar w:fldCharType="end"/>
            </w:r>
          </w:hyperlink>
        </w:p>
        <w:p w14:paraId="5CF5E0C7" w14:textId="55BB8E47" w:rsidR="00D0491D" w:rsidRDefault="00D0491D">
          <w:pPr>
            <w:pStyle w:val="TOC1"/>
            <w:tabs>
              <w:tab w:val="left" w:pos="480"/>
              <w:tab w:val="right" w:leader="dot" w:pos="9063"/>
            </w:tabs>
            <w:rPr>
              <w:rFonts w:asciiTheme="minorHAnsi" w:eastAsiaTheme="minorEastAsia" w:hAnsiTheme="minorHAnsi" w:cstheme="minorBidi"/>
              <w:noProof/>
              <w:kern w:val="2"/>
              <w:sz w:val="24"/>
              <w:szCs w:val="24"/>
              <w:lang w:val="fr-BE" w:eastAsia="fr-BE"/>
              <w14:ligatures w14:val="standardContextual"/>
            </w:rPr>
          </w:pPr>
          <w:hyperlink w:anchor="_Toc230357600" w:history="1">
            <w:r w:rsidRPr="005117DE">
              <w:rPr>
                <w:rStyle w:val="Hyperlink"/>
                <w:bCs/>
                <w:noProof/>
              </w:rPr>
              <w:t>6.</w:t>
            </w:r>
            <w:r>
              <w:rPr>
                <w:rFonts w:asciiTheme="minorHAnsi" w:eastAsiaTheme="minorEastAsia" w:hAnsiTheme="minorHAnsi" w:cstheme="minorBidi"/>
                <w:noProof/>
                <w:kern w:val="2"/>
                <w:sz w:val="24"/>
                <w:szCs w:val="24"/>
                <w:lang w:val="fr-BE" w:eastAsia="fr-BE"/>
                <w14:ligatures w14:val="standardContextual"/>
              </w:rPr>
              <w:tab/>
            </w:r>
            <w:r w:rsidRPr="005117DE">
              <w:rPr>
                <w:rStyle w:val="Hyperlink"/>
                <w:b/>
                <w:bCs/>
                <w:noProof/>
              </w:rPr>
              <w:t>COMMISSION CONSULTATIVE DES MUTATIONS INDUSTRIELLES</w:t>
            </w:r>
            <w:r>
              <w:rPr>
                <w:noProof/>
                <w:webHidden/>
              </w:rPr>
              <w:tab/>
            </w:r>
            <w:r>
              <w:rPr>
                <w:noProof/>
                <w:webHidden/>
              </w:rPr>
              <w:fldChar w:fldCharType="begin"/>
            </w:r>
            <w:r>
              <w:rPr>
                <w:noProof/>
                <w:webHidden/>
              </w:rPr>
              <w:instrText xml:space="preserve"> PAGEREF _Toc230357600 \h </w:instrText>
            </w:r>
            <w:r>
              <w:rPr>
                <w:noProof/>
                <w:webHidden/>
              </w:rPr>
            </w:r>
            <w:r>
              <w:rPr>
                <w:noProof/>
                <w:webHidden/>
              </w:rPr>
              <w:fldChar w:fldCharType="separate"/>
            </w:r>
            <w:r>
              <w:rPr>
                <w:noProof/>
                <w:webHidden/>
              </w:rPr>
              <w:t>33</w:t>
            </w:r>
            <w:r>
              <w:rPr>
                <w:noProof/>
                <w:webHidden/>
              </w:rPr>
              <w:fldChar w:fldCharType="end"/>
            </w:r>
          </w:hyperlink>
        </w:p>
        <w:p w14:paraId="4982DD6B" w14:textId="5FBD23CF" w:rsidR="004D7AC0" w:rsidRDefault="00FB7469" w:rsidP="001766B2">
          <w:r>
            <w:fldChar w:fldCharType="end"/>
          </w:r>
        </w:p>
      </w:sdtContent>
    </w:sdt>
    <w:p w14:paraId="4982DD6C" w14:textId="77777777" w:rsidR="004D7AC0" w:rsidRDefault="004D7AC0" w:rsidP="001766B2">
      <w:pPr>
        <w:jc w:val="left"/>
      </w:pPr>
      <w:r>
        <w:br w:type="page"/>
      </w:r>
    </w:p>
    <w:p w14:paraId="6E01220F" w14:textId="27D3E410" w:rsidR="00480EA8" w:rsidRPr="00480EA8" w:rsidRDefault="00480EA8" w:rsidP="00480EA8">
      <w:pPr>
        <w:pStyle w:val="Heading1"/>
        <w:rPr>
          <w:b/>
          <w:bCs/>
        </w:rPr>
      </w:pPr>
      <w:bookmarkStart w:id="0" w:name="_Toc229140653"/>
      <w:bookmarkStart w:id="1" w:name="_Toc230357595"/>
      <w:r w:rsidRPr="00480EA8">
        <w:rPr>
          <w:b/>
          <w:bCs/>
        </w:rPr>
        <w:lastRenderedPageBreak/>
        <w:t>UNION ÉCONOMIQUE ET MONÉTAIRE ET COHÉSION ÉCONOMIQUE ET SOCIALE</w:t>
      </w:r>
      <w:bookmarkEnd w:id="0"/>
      <w:bookmarkEnd w:id="1"/>
    </w:p>
    <w:p w14:paraId="4982DD6E" w14:textId="77777777" w:rsidR="004D7AC0" w:rsidRDefault="004D7AC0" w:rsidP="00634494">
      <w:pPr>
        <w:overflowPunct w:val="0"/>
        <w:autoSpaceDE w:val="0"/>
        <w:autoSpaceDN w:val="0"/>
        <w:adjustRightInd w:val="0"/>
        <w:textAlignment w:val="baseline"/>
      </w:pPr>
    </w:p>
    <w:p w14:paraId="258C871E" w14:textId="56A70A65" w:rsidR="00F37962" w:rsidRPr="004C6742" w:rsidRDefault="00E44636" w:rsidP="00F37962">
      <w:pPr>
        <w:widowControl w:val="0"/>
        <w:numPr>
          <w:ilvl w:val="0"/>
          <w:numId w:val="4"/>
        </w:numPr>
        <w:overflowPunct w:val="0"/>
        <w:autoSpaceDE w:val="0"/>
        <w:autoSpaceDN w:val="0"/>
        <w:adjustRightInd w:val="0"/>
        <w:spacing w:after="120"/>
        <w:ind w:hanging="567"/>
        <w:textAlignment w:val="baseline"/>
        <w:rPr>
          <w:b/>
          <w:i/>
          <w:iCs/>
          <w:sz w:val="28"/>
          <w:szCs w:val="28"/>
        </w:rPr>
      </w:pPr>
      <w:hyperlink r:id="rId21" w:history="1">
        <w:r>
          <w:rPr>
            <w:b/>
            <w:i/>
            <w:color w:val="0000FF"/>
            <w:sz w:val="28"/>
            <w:u w:val="single"/>
          </w:rPr>
          <w:t>Programme stratégique de l’UE en faveur de villes agréables à vivre</w:t>
        </w:r>
      </w:hyperlink>
    </w:p>
    <w:p w14:paraId="050FF4D0" w14:textId="77777777" w:rsidR="00435FF5" w:rsidRPr="00C30BC0" w:rsidRDefault="00435FF5" w:rsidP="00634494">
      <w:pPr>
        <w:overflowPunct w:val="0"/>
        <w:autoSpaceDE w:val="0"/>
        <w:autoSpaceDN w:val="0"/>
        <w:adjustRightInd w:val="0"/>
        <w:ind w:left="284" w:hanging="284"/>
        <w:textAlignment w:val="baseline"/>
        <w:rPr>
          <w:bCs/>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F37962" w:rsidRPr="00480EA8" w14:paraId="60D343A5" w14:textId="77777777" w:rsidTr="002E7EFB">
        <w:tc>
          <w:tcPr>
            <w:tcW w:w="1701" w:type="dxa"/>
          </w:tcPr>
          <w:p w14:paraId="1B284A7D" w14:textId="77777777" w:rsidR="00F37962" w:rsidRPr="00480EA8" w:rsidRDefault="00F37962" w:rsidP="002E7EFB">
            <w:pPr>
              <w:tabs>
                <w:tab w:val="center" w:pos="284"/>
              </w:tabs>
              <w:overflowPunct w:val="0"/>
              <w:autoSpaceDE w:val="0"/>
              <w:autoSpaceDN w:val="0"/>
              <w:adjustRightInd w:val="0"/>
              <w:ind w:left="266" w:hanging="266"/>
              <w:textAlignment w:val="baseline"/>
              <w:rPr>
                <w:b/>
                <w:sz w:val="22"/>
                <w:szCs w:val="22"/>
              </w:rPr>
            </w:pPr>
            <w:r w:rsidRPr="00480EA8">
              <w:rPr>
                <w:b/>
                <w:sz w:val="22"/>
                <w:szCs w:val="22"/>
              </w:rPr>
              <w:t>Rapporteur</w:t>
            </w:r>
          </w:p>
          <w:p w14:paraId="73BE66E9" w14:textId="77777777" w:rsidR="00F37962" w:rsidRPr="00480EA8" w:rsidRDefault="00F37962" w:rsidP="002E7EFB">
            <w:pPr>
              <w:tabs>
                <w:tab w:val="center" w:pos="284"/>
              </w:tabs>
              <w:overflowPunct w:val="0"/>
              <w:autoSpaceDE w:val="0"/>
              <w:autoSpaceDN w:val="0"/>
              <w:adjustRightInd w:val="0"/>
              <w:ind w:left="266" w:hanging="266"/>
              <w:textAlignment w:val="baseline"/>
              <w:rPr>
                <w:b/>
                <w:bCs/>
                <w:sz w:val="22"/>
                <w:szCs w:val="22"/>
              </w:rPr>
            </w:pPr>
            <w:r w:rsidRPr="00480EA8">
              <w:rPr>
                <w:b/>
                <w:sz w:val="22"/>
                <w:szCs w:val="22"/>
              </w:rPr>
              <w:t>Corapporteur</w:t>
            </w:r>
          </w:p>
        </w:tc>
        <w:tc>
          <w:tcPr>
            <w:tcW w:w="7621" w:type="dxa"/>
          </w:tcPr>
          <w:p w14:paraId="6A7F001D" w14:textId="5F7AE198" w:rsidR="00F37962" w:rsidRPr="00480EA8" w:rsidRDefault="00F37962" w:rsidP="006C0D5C">
            <w:pPr>
              <w:overflowPunct w:val="0"/>
              <w:autoSpaceDE w:val="0"/>
              <w:autoSpaceDN w:val="0"/>
              <w:adjustRightInd w:val="0"/>
              <w:textAlignment w:val="baseline"/>
              <w:rPr>
                <w:sz w:val="22"/>
                <w:szCs w:val="22"/>
              </w:rPr>
            </w:pPr>
            <w:r w:rsidRPr="00480EA8">
              <w:rPr>
                <w:sz w:val="22"/>
                <w:szCs w:val="22"/>
              </w:rPr>
              <w:t>Florian MARIN (groupe des travailleurs — Roumanie)</w:t>
            </w:r>
          </w:p>
          <w:p w14:paraId="5228A3F8" w14:textId="082D71FE" w:rsidR="00F37962" w:rsidRPr="00480EA8" w:rsidRDefault="00F37962" w:rsidP="006C0D5C">
            <w:pPr>
              <w:overflowPunct w:val="0"/>
              <w:autoSpaceDE w:val="0"/>
              <w:autoSpaceDN w:val="0"/>
              <w:adjustRightInd w:val="0"/>
              <w:textAlignment w:val="baseline"/>
              <w:rPr>
                <w:sz w:val="22"/>
                <w:szCs w:val="22"/>
              </w:rPr>
            </w:pPr>
            <w:r w:rsidRPr="00480EA8">
              <w:rPr>
                <w:sz w:val="22"/>
                <w:szCs w:val="22"/>
              </w:rPr>
              <w:t>Roman HAKEN (groupe des organisations de la société civile — Tchéquie)</w:t>
            </w:r>
          </w:p>
          <w:p w14:paraId="253441F6" w14:textId="77777777" w:rsidR="00D923C9" w:rsidRPr="00480EA8" w:rsidRDefault="00D923C9" w:rsidP="00634494">
            <w:pPr>
              <w:tabs>
                <w:tab w:val="center" w:pos="284"/>
              </w:tabs>
              <w:overflowPunct w:val="0"/>
              <w:autoSpaceDE w:val="0"/>
              <w:autoSpaceDN w:val="0"/>
              <w:adjustRightInd w:val="0"/>
              <w:ind w:left="266" w:hanging="266"/>
              <w:textAlignment w:val="baseline"/>
              <w:rPr>
                <w:bCs/>
                <w:sz w:val="22"/>
                <w:szCs w:val="22"/>
              </w:rPr>
            </w:pPr>
          </w:p>
        </w:tc>
      </w:tr>
      <w:tr w:rsidR="00F37962" w:rsidRPr="00480EA8" w14:paraId="5EE50BD3" w14:textId="77777777" w:rsidTr="002E7EFB">
        <w:tc>
          <w:tcPr>
            <w:tcW w:w="1701" w:type="dxa"/>
          </w:tcPr>
          <w:p w14:paraId="23D70382" w14:textId="77777777" w:rsidR="00F37962" w:rsidRPr="00480EA8" w:rsidRDefault="00F37962" w:rsidP="002E7EFB">
            <w:pPr>
              <w:tabs>
                <w:tab w:val="center" w:pos="284"/>
              </w:tabs>
              <w:overflowPunct w:val="0"/>
              <w:autoSpaceDE w:val="0"/>
              <w:autoSpaceDN w:val="0"/>
              <w:adjustRightInd w:val="0"/>
              <w:ind w:left="266" w:hanging="266"/>
              <w:textAlignment w:val="baseline"/>
              <w:rPr>
                <w:b/>
                <w:sz w:val="22"/>
                <w:szCs w:val="22"/>
              </w:rPr>
            </w:pPr>
            <w:r w:rsidRPr="00480EA8">
              <w:rPr>
                <w:b/>
                <w:sz w:val="22"/>
                <w:szCs w:val="22"/>
              </w:rPr>
              <w:t>Références</w:t>
            </w:r>
          </w:p>
        </w:tc>
        <w:tc>
          <w:tcPr>
            <w:tcW w:w="7621" w:type="dxa"/>
          </w:tcPr>
          <w:p w14:paraId="5B4DE008" w14:textId="77777777" w:rsidR="00D923C9" w:rsidRPr="00480EA8" w:rsidRDefault="00F37962" w:rsidP="002E7EFB">
            <w:pPr>
              <w:tabs>
                <w:tab w:val="center" w:pos="284"/>
              </w:tabs>
              <w:overflowPunct w:val="0"/>
              <w:autoSpaceDE w:val="0"/>
              <w:autoSpaceDN w:val="0"/>
              <w:adjustRightInd w:val="0"/>
              <w:ind w:left="266" w:hanging="266"/>
              <w:textAlignment w:val="baseline"/>
              <w:rPr>
                <w:sz w:val="22"/>
                <w:szCs w:val="22"/>
              </w:rPr>
            </w:pPr>
            <w:proofErr w:type="gramStart"/>
            <w:r w:rsidRPr="00480EA8">
              <w:rPr>
                <w:sz w:val="22"/>
                <w:szCs w:val="22"/>
              </w:rPr>
              <w:t>COM(</w:t>
            </w:r>
            <w:proofErr w:type="gramEnd"/>
            <w:r w:rsidRPr="00480EA8">
              <w:rPr>
                <w:sz w:val="22"/>
                <w:szCs w:val="22"/>
              </w:rPr>
              <w:t>2025) 552 final</w:t>
            </w:r>
          </w:p>
          <w:p w14:paraId="0AAE61A7" w14:textId="18341FD5" w:rsidR="00F37962" w:rsidRPr="00480EA8" w:rsidRDefault="00F37962" w:rsidP="002E7EFB">
            <w:pPr>
              <w:tabs>
                <w:tab w:val="center" w:pos="284"/>
              </w:tabs>
              <w:overflowPunct w:val="0"/>
              <w:autoSpaceDE w:val="0"/>
              <w:autoSpaceDN w:val="0"/>
              <w:adjustRightInd w:val="0"/>
              <w:ind w:left="266" w:hanging="266"/>
              <w:textAlignment w:val="baseline"/>
              <w:rPr>
                <w:sz w:val="22"/>
                <w:szCs w:val="22"/>
              </w:rPr>
            </w:pPr>
            <w:r w:rsidRPr="00480EA8">
              <w:rPr>
                <w:sz w:val="22"/>
                <w:szCs w:val="22"/>
              </w:rPr>
              <w:t>EESC-2025-04288-00-00-AC</w:t>
            </w:r>
          </w:p>
        </w:tc>
      </w:tr>
    </w:tbl>
    <w:p w14:paraId="19B935A1" w14:textId="77777777" w:rsidR="00634494" w:rsidRPr="00634494" w:rsidRDefault="00634494" w:rsidP="00634494">
      <w:pPr>
        <w:keepNext/>
        <w:keepLines/>
        <w:overflowPunct w:val="0"/>
        <w:autoSpaceDE w:val="0"/>
        <w:autoSpaceDN w:val="0"/>
        <w:adjustRightInd w:val="0"/>
        <w:textAlignment w:val="baseline"/>
        <w:rPr>
          <w:bCs/>
        </w:rPr>
      </w:pPr>
    </w:p>
    <w:p w14:paraId="1403746C" w14:textId="105EA3A9" w:rsidR="00F37962" w:rsidRPr="00E129EB" w:rsidRDefault="00F37962" w:rsidP="00634494">
      <w:pPr>
        <w:keepNext/>
        <w:keepLines/>
        <w:overflowPunct w:val="0"/>
        <w:autoSpaceDE w:val="0"/>
        <w:autoSpaceDN w:val="0"/>
        <w:adjustRightInd w:val="0"/>
        <w:textAlignment w:val="baseline"/>
        <w:rPr>
          <w:b/>
        </w:rPr>
      </w:pPr>
      <w:r>
        <w:rPr>
          <w:b/>
        </w:rPr>
        <w:t>Points clés</w:t>
      </w:r>
    </w:p>
    <w:p w14:paraId="639613BF" w14:textId="77777777" w:rsidR="00F37962" w:rsidRPr="00C30BC0" w:rsidRDefault="00F37962" w:rsidP="00634494">
      <w:pPr>
        <w:keepNext/>
        <w:keepLines/>
        <w:tabs>
          <w:tab w:val="center" w:pos="284"/>
        </w:tabs>
        <w:overflowPunct w:val="0"/>
        <w:autoSpaceDE w:val="0"/>
        <w:autoSpaceDN w:val="0"/>
        <w:adjustRightInd w:val="0"/>
        <w:ind w:left="266" w:hanging="266"/>
        <w:textAlignment w:val="baseline"/>
        <w:rPr>
          <w:bCs/>
          <w:lang w:val="en-GB"/>
        </w:rPr>
      </w:pPr>
    </w:p>
    <w:p w14:paraId="0F806F4A" w14:textId="77777777" w:rsidR="00F37962" w:rsidRDefault="00F37962" w:rsidP="00634494">
      <w:pPr>
        <w:overflowPunct w:val="0"/>
        <w:autoSpaceDE w:val="0"/>
        <w:autoSpaceDN w:val="0"/>
        <w:adjustRightInd w:val="0"/>
        <w:textAlignment w:val="baseline"/>
        <w:rPr>
          <w:bCs/>
          <w:iCs/>
        </w:rPr>
      </w:pPr>
      <w:r>
        <w:t xml:space="preserve">Le </w:t>
      </w:r>
      <w:proofErr w:type="gramStart"/>
      <w:r>
        <w:t>CESE:</w:t>
      </w:r>
      <w:proofErr w:type="gramEnd"/>
    </w:p>
    <w:p w14:paraId="49864E90" w14:textId="77777777" w:rsidR="00ED1C2B" w:rsidRPr="00E129EB" w:rsidRDefault="00ED1C2B" w:rsidP="00634494">
      <w:pPr>
        <w:overflowPunct w:val="0"/>
        <w:autoSpaceDE w:val="0"/>
        <w:autoSpaceDN w:val="0"/>
        <w:adjustRightInd w:val="0"/>
        <w:textAlignment w:val="baseline"/>
        <w:rPr>
          <w:bCs/>
          <w:iCs/>
          <w:lang w:val="en-GB"/>
        </w:rPr>
      </w:pPr>
    </w:p>
    <w:p w14:paraId="4D3A28BF" w14:textId="77777777" w:rsidR="00F37962" w:rsidRPr="00E129EB" w:rsidRDefault="00F37962" w:rsidP="00480EA8">
      <w:pPr>
        <w:numPr>
          <w:ilvl w:val="0"/>
          <w:numId w:val="20"/>
        </w:numPr>
        <w:overflowPunct w:val="0"/>
        <w:autoSpaceDE w:val="0"/>
        <w:autoSpaceDN w:val="0"/>
        <w:adjustRightInd w:val="0"/>
        <w:ind w:left="567" w:hanging="567"/>
        <w:contextualSpacing/>
        <w:textAlignment w:val="baseline"/>
        <w:rPr>
          <w:szCs w:val="20"/>
        </w:rPr>
      </w:pPr>
      <w:proofErr w:type="gramStart"/>
      <w:r>
        <w:t>considère</w:t>
      </w:r>
      <w:proofErr w:type="gramEnd"/>
      <w:r>
        <w:t xml:space="preserve"> que les villes constituent l’épine dorsale du développement économique, social et territorial de l’Union européenne. Elles sont des espaces essentiels pour la transformation sociale, écologique et économique, où l’innovation devrait être axée sur l’amélioration de la qualité de </w:t>
      </w:r>
      <w:proofErr w:type="gramStart"/>
      <w:r>
        <w:t>vie;</w:t>
      </w:r>
      <w:proofErr w:type="gramEnd"/>
    </w:p>
    <w:p w14:paraId="4B3A1070" w14:textId="77777777" w:rsidR="00F37962" w:rsidRPr="00E129EB" w:rsidRDefault="00F37962" w:rsidP="00480EA8">
      <w:pPr>
        <w:numPr>
          <w:ilvl w:val="0"/>
          <w:numId w:val="20"/>
        </w:numPr>
        <w:overflowPunct w:val="0"/>
        <w:autoSpaceDE w:val="0"/>
        <w:autoSpaceDN w:val="0"/>
        <w:adjustRightInd w:val="0"/>
        <w:ind w:left="567" w:hanging="567"/>
        <w:contextualSpacing/>
        <w:textAlignment w:val="baseline"/>
        <w:rPr>
          <w:szCs w:val="20"/>
        </w:rPr>
      </w:pPr>
      <w:proofErr w:type="gramStart"/>
      <w:r>
        <w:t>porte</w:t>
      </w:r>
      <w:proofErr w:type="gramEnd"/>
      <w:r>
        <w:t xml:space="preserve"> un regard favorable sur l’approche complexe adoptée par la Commission, et sur sa volonté de renforcer le programme de l’Union pour les villes et la vision générale qu’il développe pour des villes prospères, agréables à vivre et inclusives, mais n’en estime pas moins que le programme qui est proposé n’est pas encore à la hauteur des ambitions </w:t>
      </w:r>
      <w:proofErr w:type="gramStart"/>
      <w:r>
        <w:t>affichées;</w:t>
      </w:r>
      <w:proofErr w:type="gramEnd"/>
      <w:r>
        <w:t xml:space="preserve"> </w:t>
      </w:r>
    </w:p>
    <w:p w14:paraId="0D95657E" w14:textId="77777777" w:rsidR="00F37962" w:rsidRPr="00E129EB" w:rsidRDefault="00F37962" w:rsidP="00480EA8">
      <w:pPr>
        <w:numPr>
          <w:ilvl w:val="0"/>
          <w:numId w:val="20"/>
        </w:numPr>
        <w:overflowPunct w:val="0"/>
        <w:autoSpaceDE w:val="0"/>
        <w:autoSpaceDN w:val="0"/>
        <w:adjustRightInd w:val="0"/>
        <w:ind w:left="567" w:hanging="567"/>
        <w:contextualSpacing/>
        <w:textAlignment w:val="baseline"/>
        <w:rPr>
          <w:szCs w:val="20"/>
        </w:rPr>
      </w:pPr>
      <w:proofErr w:type="gramStart"/>
      <w:r>
        <w:t>demande</w:t>
      </w:r>
      <w:proofErr w:type="gramEnd"/>
      <w:r>
        <w:t xml:space="preserve"> à être formellement inclus dans le programme de l’Union pour les villes qui est proposé, aux côtés du Comité des régions, en reconnaissance du rôle formel qu’il joue dans l’accord de Ljubljana et dans le pacte d’Amsterdam, mais aussi de sa participation active dans tous les domaines du programme </w:t>
      </w:r>
      <w:proofErr w:type="gramStart"/>
      <w:r>
        <w:t>urbain;</w:t>
      </w:r>
      <w:proofErr w:type="gramEnd"/>
      <w:r>
        <w:t xml:space="preserve"> </w:t>
      </w:r>
    </w:p>
    <w:p w14:paraId="37634D38" w14:textId="77777777" w:rsidR="00F37962" w:rsidRPr="00E129EB" w:rsidRDefault="00F37962" w:rsidP="00480EA8">
      <w:pPr>
        <w:numPr>
          <w:ilvl w:val="0"/>
          <w:numId w:val="20"/>
        </w:numPr>
        <w:overflowPunct w:val="0"/>
        <w:autoSpaceDE w:val="0"/>
        <w:autoSpaceDN w:val="0"/>
        <w:adjustRightInd w:val="0"/>
        <w:ind w:left="567" w:hanging="567"/>
        <w:contextualSpacing/>
        <w:textAlignment w:val="baseline"/>
        <w:rPr>
          <w:szCs w:val="20"/>
        </w:rPr>
      </w:pPr>
      <w:proofErr w:type="gramStart"/>
      <w:r>
        <w:t>propose</w:t>
      </w:r>
      <w:proofErr w:type="gramEnd"/>
      <w:r>
        <w:t xml:space="preserve"> que le programme de l’Union pour les villes soit fermement ancré dans une gouvernance à plusieurs niveaux, le principe de partenariat et une approche territorialisée. Il doit garantir un développement territorial équilibré et renforcer le dialogue avec les partenaires sociaux et la société </w:t>
      </w:r>
      <w:proofErr w:type="gramStart"/>
      <w:r>
        <w:t>civile;</w:t>
      </w:r>
      <w:proofErr w:type="gramEnd"/>
    </w:p>
    <w:p w14:paraId="77962AE4" w14:textId="77777777" w:rsidR="00F37962" w:rsidRPr="00E129EB" w:rsidRDefault="00F37962" w:rsidP="00480EA8">
      <w:pPr>
        <w:numPr>
          <w:ilvl w:val="0"/>
          <w:numId w:val="20"/>
        </w:numPr>
        <w:overflowPunct w:val="0"/>
        <w:autoSpaceDE w:val="0"/>
        <w:autoSpaceDN w:val="0"/>
        <w:adjustRightInd w:val="0"/>
        <w:ind w:left="567" w:hanging="567"/>
        <w:contextualSpacing/>
        <w:textAlignment w:val="baseline"/>
        <w:rPr>
          <w:szCs w:val="20"/>
        </w:rPr>
      </w:pPr>
      <w:proofErr w:type="gramStart"/>
      <w:r>
        <w:t>par</w:t>
      </w:r>
      <w:proofErr w:type="gramEnd"/>
      <w:r>
        <w:t xml:space="preserve"> conséquent, invite la Commission européenne </w:t>
      </w:r>
      <w:proofErr w:type="gramStart"/>
      <w:r>
        <w:t>à:</w:t>
      </w:r>
      <w:proofErr w:type="gramEnd"/>
    </w:p>
    <w:p w14:paraId="56F86CF4" w14:textId="22B5EA19" w:rsidR="00F37962" w:rsidRPr="00E129EB" w:rsidRDefault="00F37962" w:rsidP="00480EA8">
      <w:pPr>
        <w:numPr>
          <w:ilvl w:val="0"/>
          <w:numId w:val="6"/>
        </w:numPr>
        <w:overflowPunct w:val="0"/>
        <w:autoSpaceDE w:val="0"/>
        <w:autoSpaceDN w:val="0"/>
        <w:adjustRightInd w:val="0"/>
        <w:ind w:left="851" w:hanging="284"/>
        <w:contextualSpacing/>
        <w:textAlignment w:val="baseline"/>
        <w:rPr>
          <w:szCs w:val="20"/>
        </w:rPr>
      </w:pPr>
      <w:proofErr w:type="gramStart"/>
      <w:r>
        <w:t>reconnaître</w:t>
      </w:r>
      <w:proofErr w:type="gramEnd"/>
      <w:r>
        <w:t xml:space="preserve"> formellement le CESE ainsi que les villes comme des partenaires égaux dans l’élaboration des politiques européennes qui touchent à la ville, et non pas seulement comme des acteurs de leur mise en œuvre, en mettant en place des dispositifs permanents et structurés de gouvernance à plusieurs </w:t>
      </w:r>
      <w:proofErr w:type="gramStart"/>
      <w:r>
        <w:t>niveaux;</w:t>
      </w:r>
      <w:proofErr w:type="gramEnd"/>
    </w:p>
    <w:p w14:paraId="1378BDDC" w14:textId="37E29201" w:rsidR="00F37962" w:rsidRPr="00E129EB" w:rsidRDefault="00F37962" w:rsidP="00480EA8">
      <w:pPr>
        <w:numPr>
          <w:ilvl w:val="0"/>
          <w:numId w:val="6"/>
        </w:numPr>
        <w:overflowPunct w:val="0"/>
        <w:autoSpaceDE w:val="0"/>
        <w:autoSpaceDN w:val="0"/>
        <w:adjustRightInd w:val="0"/>
        <w:ind w:left="851" w:hanging="284"/>
        <w:contextualSpacing/>
        <w:textAlignment w:val="baseline"/>
        <w:rPr>
          <w:szCs w:val="20"/>
        </w:rPr>
      </w:pPr>
      <w:proofErr w:type="gramStart"/>
      <w:r>
        <w:t>renforcer</w:t>
      </w:r>
      <w:proofErr w:type="gramEnd"/>
      <w:r>
        <w:t xml:space="preserve"> le principe de partenariat en garantissant une participation systématique et constructive de la société civile organisée et des partenaires sociaux tout au long du cycle d’élaboration des politiques menées au titre du programme de l’Union pour les </w:t>
      </w:r>
      <w:proofErr w:type="gramStart"/>
      <w:r>
        <w:t>villes;</w:t>
      </w:r>
      <w:proofErr w:type="gramEnd"/>
    </w:p>
    <w:p w14:paraId="1A186602" w14:textId="0A0810CD" w:rsidR="00F37962" w:rsidRPr="00E129EB" w:rsidRDefault="00F37962" w:rsidP="00480EA8">
      <w:pPr>
        <w:numPr>
          <w:ilvl w:val="0"/>
          <w:numId w:val="6"/>
        </w:numPr>
        <w:overflowPunct w:val="0"/>
        <w:autoSpaceDE w:val="0"/>
        <w:autoSpaceDN w:val="0"/>
        <w:adjustRightInd w:val="0"/>
        <w:ind w:left="851" w:hanging="284"/>
        <w:contextualSpacing/>
        <w:textAlignment w:val="baseline"/>
        <w:rPr>
          <w:szCs w:val="20"/>
        </w:rPr>
      </w:pPr>
      <w:proofErr w:type="gramStart"/>
      <w:r>
        <w:t>doter</w:t>
      </w:r>
      <w:proofErr w:type="gramEnd"/>
      <w:r>
        <w:t xml:space="preserve"> le programme de l’Union pour les villes d’un cadre d’action concret et opérationnel prévoyant notamment un découpage clair des responsabilités, des échéances et des indicateurs mesurables, en introduisant également des analyses d’impact territorial systématiques pour évaluer les effets de la législation de l’Union sur les villes et les </w:t>
      </w:r>
      <w:proofErr w:type="gramStart"/>
      <w:r>
        <w:t>communes;</w:t>
      </w:r>
      <w:proofErr w:type="gramEnd"/>
    </w:p>
    <w:p w14:paraId="350E2056" w14:textId="7279332E" w:rsidR="00F37962" w:rsidRPr="00E129EB" w:rsidRDefault="00F37962" w:rsidP="00480EA8">
      <w:pPr>
        <w:numPr>
          <w:ilvl w:val="0"/>
          <w:numId w:val="6"/>
        </w:numPr>
        <w:overflowPunct w:val="0"/>
        <w:autoSpaceDE w:val="0"/>
        <w:autoSpaceDN w:val="0"/>
        <w:adjustRightInd w:val="0"/>
        <w:ind w:left="851" w:hanging="284"/>
        <w:contextualSpacing/>
        <w:textAlignment w:val="baseline"/>
        <w:rPr>
          <w:szCs w:val="20"/>
        </w:rPr>
      </w:pPr>
      <w:proofErr w:type="gramStart"/>
      <w:r>
        <w:lastRenderedPageBreak/>
        <w:t>garantir</w:t>
      </w:r>
      <w:proofErr w:type="gramEnd"/>
      <w:r>
        <w:t xml:space="preserve"> un financement suffisant, prévisible et accessible du développement urbain, grâce notamment à un accès direct des villes aux financements de </w:t>
      </w:r>
      <w:proofErr w:type="gramStart"/>
      <w:r>
        <w:t>l’Union;</w:t>
      </w:r>
      <w:proofErr w:type="gramEnd"/>
    </w:p>
    <w:p w14:paraId="79FB5343" w14:textId="2EAD5A15" w:rsidR="00F37962" w:rsidRPr="00E129EB" w:rsidRDefault="00F37962" w:rsidP="00480EA8">
      <w:pPr>
        <w:numPr>
          <w:ilvl w:val="0"/>
          <w:numId w:val="6"/>
        </w:numPr>
        <w:overflowPunct w:val="0"/>
        <w:autoSpaceDE w:val="0"/>
        <w:autoSpaceDN w:val="0"/>
        <w:adjustRightInd w:val="0"/>
        <w:ind w:left="851" w:hanging="284"/>
        <w:contextualSpacing/>
        <w:textAlignment w:val="baseline"/>
        <w:rPr>
          <w:szCs w:val="20"/>
        </w:rPr>
      </w:pPr>
      <w:proofErr w:type="gramStart"/>
      <w:r>
        <w:t>promouvoir</w:t>
      </w:r>
      <w:proofErr w:type="gramEnd"/>
      <w:r>
        <w:t xml:space="preserve"> une approche de la cohésion territoriale qui soit intégrée, tournée vers les projets et territorialisée, qui renforce explicitement la complémentarité entre les villes et les zones </w:t>
      </w:r>
      <w:proofErr w:type="gramStart"/>
      <w:r>
        <w:t>rurales;</w:t>
      </w:r>
      <w:proofErr w:type="gramEnd"/>
    </w:p>
    <w:p w14:paraId="39B6313E" w14:textId="4B65A089" w:rsidR="00F37962" w:rsidRPr="00E129EB" w:rsidRDefault="00F37962" w:rsidP="00480EA8">
      <w:pPr>
        <w:numPr>
          <w:ilvl w:val="0"/>
          <w:numId w:val="6"/>
        </w:numPr>
        <w:overflowPunct w:val="0"/>
        <w:autoSpaceDE w:val="0"/>
        <w:autoSpaceDN w:val="0"/>
        <w:adjustRightInd w:val="0"/>
        <w:ind w:left="851" w:hanging="284"/>
        <w:contextualSpacing/>
        <w:textAlignment w:val="baseline"/>
        <w:rPr>
          <w:szCs w:val="20"/>
        </w:rPr>
      </w:pPr>
      <w:proofErr w:type="gramStart"/>
      <w:r>
        <w:t>développer</w:t>
      </w:r>
      <w:proofErr w:type="gramEnd"/>
      <w:r>
        <w:t xml:space="preserve"> un dialogue urbain au niveau de l’Union au sein de la plateforme des villes de l’Union visant à mettre en lumière l’importance du rôle que joue le dialogue avec les partenaires sociaux et la société civile en ce qui concerne les questions liées à </w:t>
      </w:r>
      <w:proofErr w:type="gramStart"/>
      <w:r>
        <w:t>l’emploi;</w:t>
      </w:r>
      <w:proofErr w:type="gramEnd"/>
    </w:p>
    <w:p w14:paraId="1D8BF3C3" w14:textId="14CC777F" w:rsidR="00F37962" w:rsidRPr="00E129EB" w:rsidRDefault="00F37962" w:rsidP="00480EA8">
      <w:pPr>
        <w:numPr>
          <w:ilvl w:val="0"/>
          <w:numId w:val="6"/>
        </w:numPr>
        <w:overflowPunct w:val="0"/>
        <w:autoSpaceDE w:val="0"/>
        <w:autoSpaceDN w:val="0"/>
        <w:adjustRightInd w:val="0"/>
        <w:ind w:left="851" w:hanging="284"/>
        <w:contextualSpacing/>
        <w:textAlignment w:val="baseline"/>
        <w:rPr>
          <w:szCs w:val="20"/>
        </w:rPr>
      </w:pPr>
      <w:proofErr w:type="gramStart"/>
      <w:r>
        <w:t>augmenter</w:t>
      </w:r>
      <w:proofErr w:type="gramEnd"/>
      <w:r>
        <w:t xml:space="preserve"> les fonds d’assistance technique destinés aux villes et mettre en place une initiative européenne spécifique pour les projets urbains ou bien un fonds qui leur serait directement </w:t>
      </w:r>
      <w:proofErr w:type="gramStart"/>
      <w:r>
        <w:t>consacré;</w:t>
      </w:r>
      <w:proofErr w:type="gramEnd"/>
    </w:p>
    <w:p w14:paraId="1D134A52" w14:textId="77777777" w:rsidR="00F37962" w:rsidRPr="00E129EB" w:rsidRDefault="00F37962" w:rsidP="00480EA8">
      <w:pPr>
        <w:numPr>
          <w:ilvl w:val="0"/>
          <w:numId w:val="6"/>
        </w:numPr>
        <w:overflowPunct w:val="0"/>
        <w:autoSpaceDE w:val="0"/>
        <w:autoSpaceDN w:val="0"/>
        <w:adjustRightInd w:val="0"/>
        <w:ind w:left="851" w:hanging="284"/>
        <w:contextualSpacing/>
        <w:textAlignment w:val="baseline"/>
        <w:rPr>
          <w:szCs w:val="20"/>
        </w:rPr>
      </w:pPr>
      <w:proofErr w:type="gramStart"/>
      <w:r>
        <w:t>proposer</w:t>
      </w:r>
      <w:proofErr w:type="gramEnd"/>
      <w:r>
        <w:t xml:space="preserve"> des normes claires en matière de consultations afin de garantir une participation constructive, représentative et en temps utile des partenaires sociaux et de la société civile à tous les </w:t>
      </w:r>
      <w:proofErr w:type="gramStart"/>
      <w:r>
        <w:t>niveaux;</w:t>
      </w:r>
      <w:proofErr w:type="gramEnd"/>
      <w:r>
        <w:t xml:space="preserve"> </w:t>
      </w:r>
    </w:p>
    <w:p w14:paraId="0816F466" w14:textId="77777777" w:rsidR="00F37962" w:rsidRPr="00E129EB" w:rsidRDefault="00F37962" w:rsidP="00480EA8">
      <w:pPr>
        <w:numPr>
          <w:ilvl w:val="0"/>
          <w:numId w:val="6"/>
        </w:numPr>
        <w:overflowPunct w:val="0"/>
        <w:autoSpaceDE w:val="0"/>
        <w:autoSpaceDN w:val="0"/>
        <w:adjustRightInd w:val="0"/>
        <w:ind w:left="851" w:hanging="284"/>
        <w:contextualSpacing/>
        <w:textAlignment w:val="baseline"/>
        <w:rPr>
          <w:szCs w:val="20"/>
        </w:rPr>
      </w:pPr>
      <w:proofErr w:type="gramStart"/>
      <w:r>
        <w:t>établir</w:t>
      </w:r>
      <w:proofErr w:type="gramEnd"/>
      <w:r>
        <w:t xml:space="preserve"> un cadre unifié au niveau de l’Union pour recueillir et communiquer des données urbaines, afin de garantir la comparabilité des indicateurs et l’efficacité du suivi dans l’ensemble des États </w:t>
      </w:r>
      <w:proofErr w:type="gramStart"/>
      <w:r>
        <w:t>membres;</w:t>
      </w:r>
      <w:proofErr w:type="gramEnd"/>
    </w:p>
    <w:p w14:paraId="73AAA0E7" w14:textId="031100CF" w:rsidR="00F37962" w:rsidRPr="00E129EB" w:rsidRDefault="00F37962" w:rsidP="00480EA8">
      <w:pPr>
        <w:numPr>
          <w:ilvl w:val="0"/>
          <w:numId w:val="6"/>
        </w:numPr>
        <w:overflowPunct w:val="0"/>
        <w:autoSpaceDE w:val="0"/>
        <w:autoSpaceDN w:val="0"/>
        <w:adjustRightInd w:val="0"/>
        <w:ind w:left="851" w:hanging="284"/>
        <w:contextualSpacing/>
        <w:textAlignment w:val="baseline"/>
        <w:rPr>
          <w:szCs w:val="20"/>
        </w:rPr>
      </w:pPr>
      <w:proofErr w:type="gramStart"/>
      <w:r>
        <w:t>reconnaître</w:t>
      </w:r>
      <w:proofErr w:type="gramEnd"/>
      <w:r>
        <w:t xml:space="preserve"> le logement comme une question sociale et économique structurelle plutôt que comme un résultat du marché, et demander un cadre de l’Union qui garantisse l’accès à un logement </w:t>
      </w:r>
      <w:proofErr w:type="gramStart"/>
      <w:r>
        <w:t>abordable;</w:t>
      </w:r>
      <w:proofErr w:type="gramEnd"/>
    </w:p>
    <w:p w14:paraId="73EBB26E" w14:textId="77777777" w:rsidR="00F37962" w:rsidRPr="00E129EB" w:rsidRDefault="00F37962" w:rsidP="00480EA8">
      <w:pPr>
        <w:numPr>
          <w:ilvl w:val="0"/>
          <w:numId w:val="21"/>
        </w:numPr>
        <w:overflowPunct w:val="0"/>
        <w:autoSpaceDE w:val="0"/>
        <w:autoSpaceDN w:val="0"/>
        <w:adjustRightInd w:val="0"/>
        <w:ind w:left="567" w:hanging="567"/>
        <w:contextualSpacing/>
        <w:textAlignment w:val="baseline"/>
        <w:rPr>
          <w:szCs w:val="20"/>
        </w:rPr>
      </w:pPr>
      <w:proofErr w:type="gramStart"/>
      <w:r>
        <w:t>considère</w:t>
      </w:r>
      <w:proofErr w:type="gramEnd"/>
      <w:r>
        <w:t xml:space="preserve"> que le développement local mené par les acteurs locaux (CLLD) est le principal mécanisme par lequel les financements au titre de la politique européenne de cohésion sont mis en œuvre de manière intégrée et territorialisée. Dans les villes et les zones urbaines, il faut sortir l’approche du CLLD-U de la phase pilote dans laquelle elle se trouve et reconnaître qu’il s’agit de l’un des instruments les plus efficaces pour mobiliser les populations locales, créer de l’emploi, renforcer l’économie sociale et associer les parties </w:t>
      </w:r>
      <w:proofErr w:type="gramStart"/>
      <w:r>
        <w:t>prenantes;</w:t>
      </w:r>
      <w:proofErr w:type="gramEnd"/>
    </w:p>
    <w:p w14:paraId="3429112F" w14:textId="77777777" w:rsidR="00F37962" w:rsidRPr="00E129EB" w:rsidRDefault="00F37962" w:rsidP="00480EA8">
      <w:pPr>
        <w:numPr>
          <w:ilvl w:val="0"/>
          <w:numId w:val="21"/>
        </w:numPr>
        <w:overflowPunct w:val="0"/>
        <w:autoSpaceDE w:val="0"/>
        <w:autoSpaceDN w:val="0"/>
        <w:adjustRightInd w:val="0"/>
        <w:ind w:left="567" w:hanging="567"/>
        <w:contextualSpacing/>
        <w:textAlignment w:val="baseline"/>
        <w:rPr>
          <w:szCs w:val="20"/>
        </w:rPr>
      </w:pPr>
      <w:proofErr w:type="gramStart"/>
      <w:r>
        <w:t>estime</w:t>
      </w:r>
      <w:proofErr w:type="gramEnd"/>
      <w:r>
        <w:t xml:space="preserve"> qu’une action spécifique devrait être mise en place pour consolider le CLLD-U à l’avenir et garantir son inclusion formelle dans les processus décisionnels de l’Union européenne et dans les consultations techniques ciblées auprès d’experts. </w:t>
      </w:r>
    </w:p>
    <w:p w14:paraId="26850F38" w14:textId="77777777" w:rsidR="00F37962" w:rsidRPr="00E129EB" w:rsidRDefault="00F37962" w:rsidP="00F37962">
      <w:pPr>
        <w:overflowPunct w:val="0"/>
        <w:autoSpaceDE w:val="0"/>
        <w:autoSpaceDN w:val="0"/>
        <w:adjustRightInd w:val="0"/>
        <w:ind w:left="360"/>
        <w:contextualSpacing/>
        <w:textAlignment w:val="baseline"/>
        <w:rPr>
          <w:szCs w:val="20"/>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7781"/>
      </w:tblGrid>
      <w:tr w:rsidR="00F37962" w:rsidRPr="00480EA8" w14:paraId="51E81DDF" w14:textId="77777777" w:rsidTr="002E7EFB">
        <w:tc>
          <w:tcPr>
            <w:tcW w:w="1418" w:type="dxa"/>
          </w:tcPr>
          <w:p w14:paraId="59A59456" w14:textId="77777777" w:rsidR="00F37962" w:rsidRPr="00480EA8" w:rsidRDefault="00F37962" w:rsidP="002E7EFB">
            <w:pPr>
              <w:overflowPunct w:val="0"/>
              <w:autoSpaceDE w:val="0"/>
              <w:autoSpaceDN w:val="0"/>
              <w:adjustRightInd w:val="0"/>
              <w:textAlignment w:val="baseline"/>
              <w:rPr>
                <w:i/>
                <w:sz w:val="22"/>
                <w:szCs w:val="22"/>
              </w:rPr>
            </w:pPr>
            <w:r w:rsidRPr="00480EA8">
              <w:rPr>
                <w:b/>
                <w:i/>
                <w:sz w:val="22"/>
                <w:szCs w:val="22"/>
              </w:rPr>
              <w:t>Contact</w:t>
            </w:r>
          </w:p>
        </w:tc>
        <w:tc>
          <w:tcPr>
            <w:tcW w:w="7904" w:type="dxa"/>
          </w:tcPr>
          <w:p w14:paraId="40387B89" w14:textId="50D56D72" w:rsidR="00F37962" w:rsidRPr="00480EA8" w:rsidRDefault="00F37962" w:rsidP="002E7EFB">
            <w:pPr>
              <w:overflowPunct w:val="0"/>
              <w:autoSpaceDE w:val="0"/>
              <w:autoSpaceDN w:val="0"/>
              <w:adjustRightInd w:val="0"/>
              <w:textAlignment w:val="baseline"/>
              <w:rPr>
                <w:i/>
                <w:sz w:val="22"/>
                <w:szCs w:val="22"/>
              </w:rPr>
            </w:pPr>
            <w:r w:rsidRPr="00480EA8">
              <w:rPr>
                <w:i/>
                <w:sz w:val="22"/>
                <w:szCs w:val="22"/>
              </w:rPr>
              <w:t>Georgios Meleas</w:t>
            </w:r>
          </w:p>
        </w:tc>
      </w:tr>
      <w:tr w:rsidR="00F37962" w:rsidRPr="00480EA8" w14:paraId="0506E28A" w14:textId="77777777" w:rsidTr="002E7EFB">
        <w:tc>
          <w:tcPr>
            <w:tcW w:w="1418" w:type="dxa"/>
          </w:tcPr>
          <w:p w14:paraId="50CECB74" w14:textId="77777777" w:rsidR="00F37962" w:rsidRPr="00480EA8" w:rsidRDefault="00F37962" w:rsidP="00634494">
            <w:pPr>
              <w:overflowPunct w:val="0"/>
              <w:autoSpaceDE w:val="0"/>
              <w:autoSpaceDN w:val="0"/>
              <w:adjustRightInd w:val="0"/>
              <w:ind w:left="567"/>
              <w:textAlignment w:val="baseline"/>
              <w:rPr>
                <w:i/>
                <w:sz w:val="22"/>
                <w:szCs w:val="22"/>
              </w:rPr>
            </w:pPr>
            <w:r w:rsidRPr="00480EA8">
              <w:rPr>
                <w:i/>
                <w:sz w:val="22"/>
                <w:szCs w:val="22"/>
              </w:rPr>
              <w:t>Tél.</w:t>
            </w:r>
          </w:p>
        </w:tc>
        <w:tc>
          <w:tcPr>
            <w:tcW w:w="7904" w:type="dxa"/>
          </w:tcPr>
          <w:p w14:paraId="285FFA02" w14:textId="69C35846" w:rsidR="00F37962" w:rsidRPr="00480EA8" w:rsidRDefault="00F37962" w:rsidP="002E7EFB">
            <w:pPr>
              <w:overflowPunct w:val="0"/>
              <w:autoSpaceDE w:val="0"/>
              <w:autoSpaceDN w:val="0"/>
              <w:adjustRightInd w:val="0"/>
              <w:textAlignment w:val="baseline"/>
              <w:rPr>
                <w:i/>
                <w:sz w:val="22"/>
                <w:szCs w:val="22"/>
              </w:rPr>
            </w:pPr>
            <w:r w:rsidRPr="00480EA8">
              <w:rPr>
                <w:i/>
                <w:sz w:val="22"/>
                <w:szCs w:val="22"/>
              </w:rPr>
              <w:t>+32 2 546 9795</w:t>
            </w:r>
          </w:p>
        </w:tc>
      </w:tr>
      <w:tr w:rsidR="00F37962" w:rsidRPr="00480EA8" w14:paraId="436042E5" w14:textId="77777777" w:rsidTr="002E7EFB">
        <w:tc>
          <w:tcPr>
            <w:tcW w:w="1418" w:type="dxa"/>
          </w:tcPr>
          <w:p w14:paraId="742D8A5E" w14:textId="77777777" w:rsidR="00F37962" w:rsidRPr="00480EA8" w:rsidRDefault="00F37962" w:rsidP="00634494">
            <w:pPr>
              <w:overflowPunct w:val="0"/>
              <w:autoSpaceDE w:val="0"/>
              <w:autoSpaceDN w:val="0"/>
              <w:adjustRightInd w:val="0"/>
              <w:ind w:left="567"/>
              <w:textAlignment w:val="baseline"/>
              <w:rPr>
                <w:i/>
                <w:sz w:val="22"/>
                <w:szCs w:val="22"/>
              </w:rPr>
            </w:pPr>
            <w:r w:rsidRPr="00480EA8">
              <w:rPr>
                <w:i/>
                <w:sz w:val="22"/>
                <w:szCs w:val="22"/>
              </w:rPr>
              <w:t>Courriel</w:t>
            </w:r>
          </w:p>
        </w:tc>
        <w:tc>
          <w:tcPr>
            <w:tcW w:w="7904" w:type="dxa"/>
          </w:tcPr>
          <w:p w14:paraId="122227DF" w14:textId="6F44E1AB" w:rsidR="00F37962" w:rsidRPr="00480EA8" w:rsidRDefault="00E44636" w:rsidP="002E7EFB">
            <w:pPr>
              <w:overflowPunct w:val="0"/>
              <w:autoSpaceDE w:val="0"/>
              <w:autoSpaceDN w:val="0"/>
              <w:adjustRightInd w:val="0"/>
              <w:textAlignment w:val="baseline"/>
              <w:rPr>
                <w:i/>
                <w:iCs/>
                <w:sz w:val="22"/>
                <w:szCs w:val="22"/>
              </w:rPr>
            </w:pPr>
            <w:hyperlink r:id="rId22" w:history="1">
              <w:r w:rsidRPr="00480EA8">
                <w:rPr>
                  <w:i/>
                  <w:color w:val="0000FF"/>
                  <w:sz w:val="22"/>
                  <w:szCs w:val="22"/>
                  <w:u w:val="single"/>
                </w:rPr>
                <w:t>Georgios.Meleas@eesc.europa.eu</w:t>
              </w:r>
            </w:hyperlink>
          </w:p>
        </w:tc>
      </w:tr>
    </w:tbl>
    <w:p w14:paraId="5EF31D76" w14:textId="20B5A01D" w:rsidR="005D1BBF" w:rsidRDefault="005D1BBF" w:rsidP="00F37962"/>
    <w:p w14:paraId="461B4F15" w14:textId="4775491B" w:rsidR="00F37962" w:rsidRDefault="00A067F3" w:rsidP="00634494">
      <w:pPr>
        <w:pStyle w:val="ListParagraph"/>
        <w:keepNext/>
        <w:numPr>
          <w:ilvl w:val="0"/>
          <w:numId w:val="76"/>
        </w:numPr>
      </w:pPr>
      <w:hyperlink r:id="rId23" w:history="1">
        <w:r>
          <w:rPr>
            <w:b/>
            <w:i/>
            <w:color w:val="0000FF"/>
            <w:sz w:val="28"/>
            <w:u w:val="single"/>
          </w:rPr>
          <w:t xml:space="preserve">Train de mesures sur les retraites </w:t>
        </w:r>
        <w:proofErr w:type="gramStart"/>
        <w:r>
          <w:rPr>
            <w:b/>
            <w:i/>
            <w:color w:val="0000FF"/>
            <w:sz w:val="28"/>
            <w:u w:val="single"/>
          </w:rPr>
          <w:t>complémentaires:</w:t>
        </w:r>
        <w:proofErr w:type="gramEnd"/>
        <w:r>
          <w:rPr>
            <w:b/>
            <w:i/>
            <w:color w:val="0000FF"/>
            <w:sz w:val="28"/>
            <w:u w:val="single"/>
          </w:rPr>
          <w:t xml:space="preserve"> PEPP et IRP</w:t>
        </w:r>
      </w:hyperlink>
    </w:p>
    <w:p w14:paraId="3E579047" w14:textId="77777777" w:rsidR="00F37962" w:rsidRPr="00C30BC0" w:rsidRDefault="00F37962" w:rsidP="00634494">
      <w:pPr>
        <w:keepNext/>
        <w:tabs>
          <w:tab w:val="center" w:pos="284"/>
        </w:tabs>
        <w:overflowPunct w:val="0"/>
        <w:autoSpaceDE w:val="0"/>
        <w:autoSpaceDN w:val="0"/>
        <w:adjustRightInd w:val="0"/>
        <w:ind w:left="266" w:hanging="266"/>
        <w:textAlignment w:val="baseline"/>
        <w:rPr>
          <w:bCs/>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F37962" w:rsidRPr="00634494" w14:paraId="0DA0566E" w14:textId="77777777" w:rsidTr="002E7EFB">
        <w:tc>
          <w:tcPr>
            <w:tcW w:w="1077" w:type="pct"/>
          </w:tcPr>
          <w:p w14:paraId="4046C9F6" w14:textId="77777777" w:rsidR="00F37962" w:rsidRPr="00634494" w:rsidRDefault="00F37962" w:rsidP="00634494">
            <w:pPr>
              <w:keepNext/>
              <w:tabs>
                <w:tab w:val="center" w:pos="284"/>
              </w:tabs>
              <w:overflowPunct w:val="0"/>
              <w:autoSpaceDE w:val="0"/>
              <w:autoSpaceDN w:val="0"/>
              <w:adjustRightInd w:val="0"/>
              <w:spacing w:line="240" w:lineRule="auto"/>
              <w:ind w:left="266" w:hanging="266"/>
              <w:textAlignment w:val="baseline"/>
              <w:rPr>
                <w:b/>
                <w:sz w:val="22"/>
                <w:szCs w:val="22"/>
              </w:rPr>
            </w:pPr>
            <w:r w:rsidRPr="00634494">
              <w:rPr>
                <w:b/>
                <w:sz w:val="22"/>
                <w:szCs w:val="22"/>
              </w:rPr>
              <w:t>Rapporteure</w:t>
            </w:r>
          </w:p>
        </w:tc>
        <w:tc>
          <w:tcPr>
            <w:tcW w:w="3923" w:type="pct"/>
          </w:tcPr>
          <w:p w14:paraId="76BEB7DB" w14:textId="53F5F0D5" w:rsidR="00F37962" w:rsidRPr="00634494" w:rsidRDefault="00F37962" w:rsidP="006C0D5C">
            <w:pPr>
              <w:keepNext/>
              <w:overflowPunct w:val="0"/>
              <w:autoSpaceDE w:val="0"/>
              <w:autoSpaceDN w:val="0"/>
              <w:adjustRightInd w:val="0"/>
              <w:spacing w:line="240" w:lineRule="auto"/>
              <w:textAlignment w:val="baseline"/>
              <w:rPr>
                <w:sz w:val="22"/>
                <w:szCs w:val="22"/>
              </w:rPr>
            </w:pPr>
            <w:r w:rsidRPr="00634494">
              <w:rPr>
                <w:sz w:val="22"/>
                <w:szCs w:val="22"/>
              </w:rPr>
              <w:t xml:space="preserve">María </w:t>
            </w:r>
            <w:proofErr w:type="spellStart"/>
            <w:r w:rsidRPr="00634494">
              <w:rPr>
                <w:sz w:val="22"/>
                <w:szCs w:val="22"/>
              </w:rPr>
              <w:t>del</w:t>
            </w:r>
            <w:proofErr w:type="spellEnd"/>
            <w:r w:rsidRPr="00634494">
              <w:rPr>
                <w:sz w:val="22"/>
                <w:szCs w:val="22"/>
              </w:rPr>
              <w:t xml:space="preserve"> Carmen BARRERA CHAMORRO (groupe des travailleurs — Espagne)</w:t>
            </w:r>
          </w:p>
        </w:tc>
      </w:tr>
      <w:tr w:rsidR="00F37962" w:rsidRPr="00634494" w14:paraId="68747D90" w14:textId="77777777" w:rsidTr="002E7EFB">
        <w:tc>
          <w:tcPr>
            <w:tcW w:w="1077" w:type="pct"/>
          </w:tcPr>
          <w:p w14:paraId="5B2075D4" w14:textId="77777777" w:rsidR="00F37962" w:rsidRPr="00634494" w:rsidRDefault="00F37962" w:rsidP="00634494">
            <w:pPr>
              <w:keepNext/>
              <w:tabs>
                <w:tab w:val="center" w:pos="284"/>
              </w:tabs>
              <w:overflowPunct w:val="0"/>
              <w:autoSpaceDE w:val="0"/>
              <w:autoSpaceDN w:val="0"/>
              <w:adjustRightInd w:val="0"/>
              <w:spacing w:line="240" w:lineRule="auto"/>
              <w:ind w:left="266" w:hanging="266"/>
              <w:textAlignment w:val="baseline"/>
              <w:rPr>
                <w:b/>
                <w:sz w:val="22"/>
                <w:szCs w:val="22"/>
                <w:lang w:val="es-ES"/>
              </w:rPr>
            </w:pPr>
          </w:p>
        </w:tc>
        <w:tc>
          <w:tcPr>
            <w:tcW w:w="3923" w:type="pct"/>
          </w:tcPr>
          <w:p w14:paraId="075524E1" w14:textId="77777777" w:rsidR="00F37962" w:rsidRPr="00634494" w:rsidRDefault="00F37962" w:rsidP="00634494">
            <w:pPr>
              <w:keepNext/>
              <w:tabs>
                <w:tab w:val="center" w:pos="284"/>
              </w:tabs>
              <w:overflowPunct w:val="0"/>
              <w:autoSpaceDE w:val="0"/>
              <w:autoSpaceDN w:val="0"/>
              <w:adjustRightInd w:val="0"/>
              <w:spacing w:line="240" w:lineRule="auto"/>
              <w:ind w:left="266" w:right="-3091" w:hanging="266"/>
              <w:textAlignment w:val="baseline"/>
              <w:rPr>
                <w:sz w:val="22"/>
                <w:szCs w:val="22"/>
                <w:lang w:val="es-ES"/>
              </w:rPr>
            </w:pPr>
          </w:p>
        </w:tc>
      </w:tr>
      <w:tr w:rsidR="00F37962" w:rsidRPr="00634494" w14:paraId="5E5AA138" w14:textId="77777777" w:rsidTr="002E7EFB">
        <w:tc>
          <w:tcPr>
            <w:tcW w:w="1077" w:type="pct"/>
          </w:tcPr>
          <w:p w14:paraId="5801F57F" w14:textId="77777777" w:rsidR="00F37962" w:rsidRPr="00634494" w:rsidRDefault="00F37962" w:rsidP="00634494">
            <w:pPr>
              <w:keepNext/>
              <w:tabs>
                <w:tab w:val="center" w:pos="284"/>
              </w:tabs>
              <w:overflowPunct w:val="0"/>
              <w:autoSpaceDE w:val="0"/>
              <w:autoSpaceDN w:val="0"/>
              <w:adjustRightInd w:val="0"/>
              <w:spacing w:line="240" w:lineRule="auto"/>
              <w:ind w:left="266" w:hanging="266"/>
              <w:textAlignment w:val="baseline"/>
              <w:rPr>
                <w:b/>
                <w:sz w:val="22"/>
                <w:szCs w:val="22"/>
              </w:rPr>
            </w:pPr>
            <w:r w:rsidRPr="00634494">
              <w:rPr>
                <w:b/>
                <w:sz w:val="22"/>
                <w:szCs w:val="22"/>
              </w:rPr>
              <w:t>Références</w:t>
            </w:r>
          </w:p>
        </w:tc>
        <w:tc>
          <w:tcPr>
            <w:tcW w:w="3923" w:type="pct"/>
          </w:tcPr>
          <w:p w14:paraId="5E33F076" w14:textId="77777777" w:rsidR="00F37962" w:rsidRPr="00634494" w:rsidRDefault="00F37962" w:rsidP="006C0D5C">
            <w:pPr>
              <w:keepNext/>
              <w:overflowPunct w:val="0"/>
              <w:autoSpaceDE w:val="0"/>
              <w:autoSpaceDN w:val="0"/>
              <w:adjustRightInd w:val="0"/>
              <w:spacing w:line="240" w:lineRule="auto"/>
              <w:ind w:right="-3091" w:hanging="2"/>
              <w:textAlignment w:val="baseline"/>
              <w:rPr>
                <w:sz w:val="22"/>
                <w:szCs w:val="22"/>
              </w:rPr>
            </w:pPr>
            <w:proofErr w:type="gramStart"/>
            <w:r w:rsidRPr="00634494">
              <w:rPr>
                <w:sz w:val="22"/>
                <w:szCs w:val="22"/>
              </w:rPr>
              <w:t>COM(</w:t>
            </w:r>
            <w:proofErr w:type="gramEnd"/>
            <w:r w:rsidRPr="00634494">
              <w:rPr>
                <w:sz w:val="22"/>
                <w:szCs w:val="22"/>
              </w:rPr>
              <w:t xml:space="preserve">2025) 839 final </w:t>
            </w:r>
          </w:p>
          <w:p w14:paraId="099CCB38" w14:textId="1D24FF1C" w:rsidR="00F37962" w:rsidRPr="00634494" w:rsidRDefault="00F37962" w:rsidP="006C0D5C">
            <w:pPr>
              <w:keepNext/>
              <w:overflowPunct w:val="0"/>
              <w:autoSpaceDE w:val="0"/>
              <w:autoSpaceDN w:val="0"/>
              <w:adjustRightInd w:val="0"/>
              <w:spacing w:line="240" w:lineRule="auto"/>
              <w:ind w:right="-3091" w:hanging="2"/>
              <w:textAlignment w:val="baseline"/>
              <w:rPr>
                <w:sz w:val="22"/>
                <w:szCs w:val="22"/>
              </w:rPr>
            </w:pPr>
            <w:proofErr w:type="gramStart"/>
            <w:r w:rsidRPr="00634494">
              <w:rPr>
                <w:sz w:val="22"/>
                <w:szCs w:val="22"/>
              </w:rPr>
              <w:t>COM(</w:t>
            </w:r>
            <w:proofErr w:type="gramEnd"/>
            <w:r w:rsidRPr="00634494">
              <w:rPr>
                <w:sz w:val="22"/>
                <w:szCs w:val="22"/>
              </w:rPr>
              <w:t xml:space="preserve">2025) 840 final </w:t>
            </w:r>
          </w:p>
          <w:p w14:paraId="5F2CC97B" w14:textId="2F5BA5F2" w:rsidR="00F37962" w:rsidRPr="00634494" w:rsidRDefault="00F37962" w:rsidP="006C0D5C">
            <w:pPr>
              <w:keepNext/>
              <w:overflowPunct w:val="0"/>
              <w:autoSpaceDE w:val="0"/>
              <w:autoSpaceDN w:val="0"/>
              <w:adjustRightInd w:val="0"/>
              <w:spacing w:line="240" w:lineRule="auto"/>
              <w:ind w:right="-3091" w:hanging="2"/>
              <w:textAlignment w:val="baseline"/>
              <w:rPr>
                <w:sz w:val="22"/>
                <w:szCs w:val="22"/>
              </w:rPr>
            </w:pPr>
            <w:proofErr w:type="gramStart"/>
            <w:r w:rsidRPr="00634494">
              <w:rPr>
                <w:sz w:val="22"/>
                <w:szCs w:val="22"/>
              </w:rPr>
              <w:t>COM(</w:t>
            </w:r>
            <w:proofErr w:type="gramEnd"/>
            <w:r w:rsidRPr="00634494">
              <w:rPr>
                <w:sz w:val="22"/>
                <w:szCs w:val="22"/>
              </w:rPr>
              <w:t>2025) 842 final</w:t>
            </w:r>
          </w:p>
          <w:p w14:paraId="543A5EFB" w14:textId="77777777" w:rsidR="00F37962" w:rsidRPr="00634494" w:rsidRDefault="00F37962" w:rsidP="006C0D5C">
            <w:pPr>
              <w:keepNext/>
              <w:overflowPunct w:val="0"/>
              <w:autoSpaceDE w:val="0"/>
              <w:autoSpaceDN w:val="0"/>
              <w:adjustRightInd w:val="0"/>
              <w:spacing w:line="240" w:lineRule="auto"/>
              <w:ind w:right="-3091" w:hanging="2"/>
              <w:textAlignment w:val="baseline"/>
              <w:rPr>
                <w:sz w:val="22"/>
                <w:szCs w:val="22"/>
              </w:rPr>
            </w:pPr>
            <w:r w:rsidRPr="00634494">
              <w:rPr>
                <w:sz w:val="22"/>
                <w:szCs w:val="22"/>
              </w:rPr>
              <w:t>EESC-2025-04204-00-00-AC</w:t>
            </w:r>
          </w:p>
        </w:tc>
      </w:tr>
    </w:tbl>
    <w:p w14:paraId="55E7B99C" w14:textId="2C46A19E" w:rsidR="00F37962" w:rsidRPr="00C30BC0" w:rsidRDefault="00F37962" w:rsidP="00634494">
      <w:pPr>
        <w:keepNext/>
        <w:tabs>
          <w:tab w:val="center" w:pos="284"/>
        </w:tabs>
        <w:overflowPunct w:val="0"/>
        <w:autoSpaceDE w:val="0"/>
        <w:autoSpaceDN w:val="0"/>
        <w:adjustRightInd w:val="0"/>
        <w:ind w:left="266" w:hanging="266"/>
        <w:textAlignment w:val="baseline"/>
        <w:rPr>
          <w:bCs/>
          <w:lang w:val="pt-PT"/>
        </w:rPr>
      </w:pPr>
    </w:p>
    <w:p w14:paraId="35C86E76" w14:textId="77777777" w:rsidR="00F37962" w:rsidRPr="009360D7" w:rsidRDefault="00F37962" w:rsidP="00634494">
      <w:pPr>
        <w:keepNext/>
        <w:keepLines/>
        <w:tabs>
          <w:tab w:val="center" w:pos="284"/>
        </w:tabs>
        <w:overflowPunct w:val="0"/>
        <w:autoSpaceDE w:val="0"/>
        <w:autoSpaceDN w:val="0"/>
        <w:adjustRightInd w:val="0"/>
        <w:ind w:left="266" w:hanging="266"/>
        <w:textAlignment w:val="baseline"/>
        <w:rPr>
          <w:b/>
        </w:rPr>
      </w:pPr>
      <w:r>
        <w:rPr>
          <w:b/>
        </w:rPr>
        <w:t>Points clés</w:t>
      </w:r>
    </w:p>
    <w:p w14:paraId="65428812" w14:textId="77777777" w:rsidR="00F37962" w:rsidRPr="00C30BC0" w:rsidRDefault="00F37962" w:rsidP="00634494">
      <w:pPr>
        <w:keepNext/>
        <w:keepLines/>
        <w:tabs>
          <w:tab w:val="center" w:pos="284"/>
        </w:tabs>
        <w:overflowPunct w:val="0"/>
        <w:autoSpaceDE w:val="0"/>
        <w:autoSpaceDN w:val="0"/>
        <w:adjustRightInd w:val="0"/>
        <w:ind w:left="266" w:hanging="266"/>
        <w:textAlignment w:val="baseline"/>
        <w:rPr>
          <w:bCs/>
          <w:lang w:val="en-GB"/>
        </w:rPr>
      </w:pPr>
    </w:p>
    <w:p w14:paraId="446B0743" w14:textId="77777777" w:rsidR="00F37962" w:rsidRDefault="00F37962" w:rsidP="00634494">
      <w:pPr>
        <w:keepNext/>
        <w:overflowPunct w:val="0"/>
        <w:autoSpaceDE w:val="0"/>
        <w:autoSpaceDN w:val="0"/>
        <w:adjustRightInd w:val="0"/>
        <w:textAlignment w:val="baseline"/>
      </w:pPr>
      <w:r>
        <w:t xml:space="preserve">Le </w:t>
      </w:r>
      <w:proofErr w:type="gramStart"/>
      <w:r>
        <w:t>CESE:</w:t>
      </w:r>
      <w:proofErr w:type="gramEnd"/>
    </w:p>
    <w:p w14:paraId="209CD89B" w14:textId="77777777" w:rsidR="00634494" w:rsidRDefault="00634494" w:rsidP="00634494">
      <w:pPr>
        <w:keepNext/>
        <w:overflowPunct w:val="0"/>
        <w:autoSpaceDE w:val="0"/>
        <w:autoSpaceDN w:val="0"/>
        <w:adjustRightInd w:val="0"/>
        <w:textAlignment w:val="baseline"/>
        <w:rPr>
          <w:bCs/>
          <w:iCs/>
        </w:rPr>
      </w:pPr>
    </w:p>
    <w:p w14:paraId="3B37DD9F" w14:textId="77777777" w:rsidR="00A40127" w:rsidRPr="0041766F" w:rsidRDefault="00A40127" w:rsidP="0041766F">
      <w:pPr>
        <w:pStyle w:val="ListParagraph"/>
        <w:numPr>
          <w:ilvl w:val="0"/>
          <w:numId w:val="78"/>
        </w:numPr>
        <w:ind w:left="567" w:hanging="567"/>
        <w:rPr>
          <w:szCs w:val="20"/>
        </w:rPr>
      </w:pPr>
      <w:proofErr w:type="gramStart"/>
      <w:r w:rsidRPr="0041766F">
        <w:rPr>
          <w:b/>
          <w:bCs/>
        </w:rPr>
        <w:t>reconnaît</w:t>
      </w:r>
      <w:proofErr w:type="gramEnd"/>
      <w:r>
        <w:t xml:space="preserve"> les avantages d’un </w:t>
      </w:r>
      <w:r w:rsidRPr="0041766F">
        <w:rPr>
          <w:b/>
          <w:bCs/>
        </w:rPr>
        <w:t>système de retraite à plusieurs piliers</w:t>
      </w:r>
      <w:r>
        <w:t xml:space="preserve">, mais estime que l’existence de régimes de retraite complémentaire ne saurait servir de justification à un affaiblissement des retraites publiques, qui offrent à tous les citoyens la garantie qu’ils pourront, partout dans l’Union européenne, jouir de leur retraite dans la dignité et la sécurité, en disposant d’un revenu adéquat. </w:t>
      </w:r>
      <w:r w:rsidRPr="0041766F">
        <w:rPr>
          <w:b/>
          <w:bCs/>
        </w:rPr>
        <w:t>Il est nécessaire d’adopter une approche globale</w:t>
      </w:r>
      <w:r>
        <w:t xml:space="preserve"> au niveau approprié — national ou européen — qui devrait notamment consister à améliorer à la fois le marché du travail et les régimes de retraite </w:t>
      </w:r>
      <w:proofErr w:type="gramStart"/>
      <w:r>
        <w:t>complémentaire;</w:t>
      </w:r>
      <w:proofErr w:type="gramEnd"/>
    </w:p>
    <w:p w14:paraId="1614759F" w14:textId="32A7D304" w:rsidR="0041766F" w:rsidRPr="0041766F" w:rsidRDefault="0041766F" w:rsidP="0041766F">
      <w:pPr>
        <w:pStyle w:val="ListParagraph"/>
        <w:numPr>
          <w:ilvl w:val="0"/>
          <w:numId w:val="78"/>
        </w:numPr>
        <w:ind w:left="567" w:hanging="567"/>
        <w:rPr>
          <w:szCs w:val="20"/>
        </w:rPr>
      </w:pPr>
      <w:proofErr w:type="gramStart"/>
      <w:r>
        <w:rPr>
          <w:b/>
          <w:bCs/>
        </w:rPr>
        <w:t>recommande</w:t>
      </w:r>
      <w:proofErr w:type="gramEnd"/>
      <w:r>
        <w:t xml:space="preserve"> de prendre des mesures adéquates pour </w:t>
      </w:r>
      <w:r>
        <w:rPr>
          <w:b/>
          <w:bCs/>
        </w:rPr>
        <w:t>renforcer la gouvernance participative</w:t>
      </w:r>
      <w:r>
        <w:t xml:space="preserve"> et encourager la participation des partenaires sociaux, dans le respect de la liberté de négocier qui leur revient et de la diversité des systèmes au sein de </w:t>
      </w:r>
      <w:proofErr w:type="gramStart"/>
      <w:r>
        <w:t>l’Union;</w:t>
      </w:r>
      <w:proofErr w:type="gramEnd"/>
    </w:p>
    <w:p w14:paraId="07C0BF1C" w14:textId="076AE8EE" w:rsidR="0041766F" w:rsidRPr="0041766F" w:rsidRDefault="0041766F" w:rsidP="0041766F">
      <w:pPr>
        <w:pStyle w:val="ListParagraph"/>
        <w:numPr>
          <w:ilvl w:val="0"/>
          <w:numId w:val="78"/>
        </w:numPr>
        <w:ind w:left="567" w:hanging="567"/>
        <w:rPr>
          <w:szCs w:val="20"/>
        </w:rPr>
      </w:pPr>
      <w:proofErr w:type="gramStart"/>
      <w:r>
        <w:rPr>
          <w:b/>
          <w:bCs/>
        </w:rPr>
        <w:t>recommande</w:t>
      </w:r>
      <w:proofErr w:type="gramEnd"/>
      <w:r>
        <w:t xml:space="preserve"> d’apporter certaines modifications à la </w:t>
      </w:r>
      <w:r>
        <w:rPr>
          <w:b/>
          <w:bCs/>
        </w:rPr>
        <w:t>directive IRP</w:t>
      </w:r>
      <w:r>
        <w:t xml:space="preserve"> afin de réduire la fragmentation, d’accroître la comparabilité et la transparence, et de susciter la confiance chez les </w:t>
      </w:r>
      <w:proofErr w:type="gramStart"/>
      <w:r>
        <w:t>affiliés;</w:t>
      </w:r>
      <w:proofErr w:type="gramEnd"/>
    </w:p>
    <w:p w14:paraId="7F28181E" w14:textId="099240D9" w:rsidR="0041766F" w:rsidRPr="0041766F" w:rsidRDefault="0041766F" w:rsidP="0041766F">
      <w:pPr>
        <w:pStyle w:val="ListParagraph"/>
        <w:numPr>
          <w:ilvl w:val="0"/>
          <w:numId w:val="78"/>
        </w:numPr>
        <w:ind w:left="567" w:hanging="567"/>
        <w:rPr>
          <w:szCs w:val="20"/>
        </w:rPr>
      </w:pPr>
      <w:proofErr w:type="gramStart"/>
      <w:r>
        <w:rPr>
          <w:b/>
          <w:bCs/>
        </w:rPr>
        <w:t>recommande</w:t>
      </w:r>
      <w:proofErr w:type="gramEnd"/>
      <w:r>
        <w:t xml:space="preserve"> d’apporter certaines modifications au </w:t>
      </w:r>
      <w:r>
        <w:rPr>
          <w:b/>
          <w:bCs/>
        </w:rPr>
        <w:t>règlement PEPP</w:t>
      </w:r>
      <w:r>
        <w:t xml:space="preserve">, notamment en ce qui concerne l’information et le conseil, le rôle de l’AEAPP et les transferts </w:t>
      </w:r>
      <w:proofErr w:type="gramStart"/>
      <w:r>
        <w:t>transfrontières;</w:t>
      </w:r>
      <w:proofErr w:type="gramEnd"/>
    </w:p>
    <w:p w14:paraId="6FA4EC74" w14:textId="34F9DB67" w:rsidR="0041766F" w:rsidRPr="0041766F" w:rsidRDefault="0041766F" w:rsidP="0041766F">
      <w:pPr>
        <w:pStyle w:val="ListParagraph"/>
        <w:numPr>
          <w:ilvl w:val="0"/>
          <w:numId w:val="78"/>
        </w:numPr>
        <w:ind w:left="567" w:hanging="567"/>
        <w:rPr>
          <w:szCs w:val="20"/>
        </w:rPr>
      </w:pPr>
      <w:proofErr w:type="gramStart"/>
      <w:r>
        <w:rPr>
          <w:b/>
          <w:bCs/>
        </w:rPr>
        <w:t>recommande</w:t>
      </w:r>
      <w:proofErr w:type="gramEnd"/>
      <w:r>
        <w:t xml:space="preserve"> que des mesures soient prises pour parvenir à un meilleur </w:t>
      </w:r>
      <w:r>
        <w:rPr>
          <w:b/>
          <w:bCs/>
        </w:rPr>
        <w:t>équilibre entre hommes et femmes</w:t>
      </w:r>
      <w:r>
        <w:t xml:space="preserve"> et pour </w:t>
      </w:r>
      <w:r>
        <w:rPr>
          <w:b/>
          <w:bCs/>
        </w:rPr>
        <w:t>renforcer la confiance du public</w:t>
      </w:r>
      <w:r>
        <w:t xml:space="preserve"> dans les produits d’épargne-retraite, et que </w:t>
      </w:r>
      <w:r>
        <w:rPr>
          <w:b/>
          <w:bCs/>
        </w:rPr>
        <w:t>les PEPP restent des produits individuels</w:t>
      </w:r>
      <w:r>
        <w:t xml:space="preserve">, c’est-à-dire que la souscription collective de PEPP ne soit pas </w:t>
      </w:r>
      <w:proofErr w:type="gramStart"/>
      <w:r>
        <w:t>autorisée;</w:t>
      </w:r>
      <w:proofErr w:type="gramEnd"/>
    </w:p>
    <w:p w14:paraId="1B234CBF" w14:textId="1BFDE720" w:rsidR="0041766F" w:rsidRPr="0041766F" w:rsidRDefault="0041766F" w:rsidP="0041766F">
      <w:pPr>
        <w:pStyle w:val="ListParagraph"/>
        <w:numPr>
          <w:ilvl w:val="0"/>
          <w:numId w:val="78"/>
        </w:numPr>
        <w:ind w:left="567" w:hanging="567"/>
        <w:rPr>
          <w:szCs w:val="20"/>
        </w:rPr>
      </w:pPr>
      <w:proofErr w:type="gramStart"/>
      <w:r>
        <w:rPr>
          <w:b/>
          <w:bCs/>
        </w:rPr>
        <w:t>invite</w:t>
      </w:r>
      <w:proofErr w:type="gramEnd"/>
      <w:r>
        <w:t xml:space="preserve"> les colégislateurs à envisager de </w:t>
      </w:r>
      <w:r>
        <w:rPr>
          <w:b/>
          <w:bCs/>
        </w:rPr>
        <w:t>reformuler le principe de prudence</w:t>
      </w:r>
      <w:r>
        <w:t xml:space="preserve"> énoncé dans la directive IRP, afin de </w:t>
      </w:r>
      <w:r>
        <w:rPr>
          <w:b/>
          <w:bCs/>
        </w:rPr>
        <w:t>trouver le bon équilibre</w:t>
      </w:r>
      <w:r>
        <w:t xml:space="preserve"> entre le risque d’investissement et la garantie des cotisations versées aux </w:t>
      </w:r>
      <w:proofErr w:type="gramStart"/>
      <w:r>
        <w:t>plans;</w:t>
      </w:r>
      <w:proofErr w:type="gramEnd"/>
    </w:p>
    <w:p w14:paraId="54E282CD" w14:textId="60D78CEC" w:rsidR="0041766F" w:rsidRPr="0041766F" w:rsidRDefault="0041766F" w:rsidP="0041766F">
      <w:pPr>
        <w:pStyle w:val="ListParagraph"/>
        <w:numPr>
          <w:ilvl w:val="0"/>
          <w:numId w:val="78"/>
        </w:numPr>
        <w:ind w:left="567" w:hanging="567"/>
        <w:rPr>
          <w:szCs w:val="20"/>
        </w:rPr>
      </w:pPr>
      <w:proofErr w:type="gramStart"/>
      <w:r>
        <w:rPr>
          <w:b/>
          <w:bCs/>
        </w:rPr>
        <w:t>recommande</w:t>
      </w:r>
      <w:proofErr w:type="gramEnd"/>
      <w:r>
        <w:t xml:space="preserve"> que </w:t>
      </w:r>
      <w:r>
        <w:rPr>
          <w:b/>
          <w:bCs/>
        </w:rPr>
        <w:t>l’affiliation automatique</w:t>
      </w:r>
      <w:r>
        <w:t xml:space="preserve"> soit, le cas échéant, le fruit d’un renforcement du </w:t>
      </w:r>
      <w:r>
        <w:rPr>
          <w:b/>
          <w:bCs/>
        </w:rPr>
        <w:t>dialogue social</w:t>
      </w:r>
      <w:r>
        <w:t xml:space="preserve"> et de la négociation collective, afin de préserver la liberté des partenaires sociaux de la négocier, de la concevoir et d’en </w:t>
      </w:r>
      <w:proofErr w:type="gramStart"/>
      <w:r>
        <w:t>décider;</w:t>
      </w:r>
      <w:proofErr w:type="gramEnd"/>
    </w:p>
    <w:p w14:paraId="446C746F" w14:textId="16CEAB87" w:rsidR="0041766F" w:rsidRPr="0041766F" w:rsidRDefault="0041766F" w:rsidP="0041766F">
      <w:pPr>
        <w:pStyle w:val="ListParagraph"/>
        <w:numPr>
          <w:ilvl w:val="0"/>
          <w:numId w:val="78"/>
        </w:numPr>
        <w:ind w:left="567" w:hanging="567"/>
        <w:rPr>
          <w:szCs w:val="20"/>
        </w:rPr>
      </w:pPr>
      <w:proofErr w:type="gramStart"/>
      <w:r>
        <w:rPr>
          <w:b/>
          <w:bCs/>
        </w:rPr>
        <w:t>préconise</w:t>
      </w:r>
      <w:proofErr w:type="gramEnd"/>
      <w:r>
        <w:t xml:space="preserve"> la mise en place par la Commission européenne d’un </w:t>
      </w:r>
      <w:r>
        <w:rPr>
          <w:b/>
          <w:bCs/>
        </w:rPr>
        <w:t>comité de suivi</w:t>
      </w:r>
      <w:r>
        <w:t xml:space="preserve"> afin de pouvoir effectuer </w:t>
      </w:r>
      <w:r>
        <w:rPr>
          <w:b/>
          <w:bCs/>
        </w:rPr>
        <w:t>un suivi efficace de l’avancement des retraites complémentaires</w:t>
      </w:r>
      <w:r>
        <w:t>. Ce comité devrait associer les pouvoirs publics, les partenaires sociaux et les organisations de la société civile. Ses travaux devraient permettre d’</w:t>
      </w:r>
      <w:r>
        <w:rPr>
          <w:b/>
          <w:bCs/>
        </w:rPr>
        <w:t>éclairer</w:t>
      </w:r>
      <w:r>
        <w:t xml:space="preserve"> les futures modifications réglementaires et contribuer au processus du Semestre européen et à l’action du </w:t>
      </w:r>
      <w:proofErr w:type="gramStart"/>
      <w:r>
        <w:t>Conseil;</w:t>
      </w:r>
      <w:proofErr w:type="gramEnd"/>
    </w:p>
    <w:p w14:paraId="69FD03D9" w14:textId="5CDEA76C" w:rsidR="0041766F" w:rsidRPr="0041766F" w:rsidRDefault="0041766F" w:rsidP="0041766F">
      <w:pPr>
        <w:pStyle w:val="ListParagraph"/>
        <w:numPr>
          <w:ilvl w:val="0"/>
          <w:numId w:val="78"/>
        </w:numPr>
        <w:ind w:left="567" w:hanging="567"/>
        <w:rPr>
          <w:szCs w:val="20"/>
        </w:rPr>
      </w:pPr>
      <w:proofErr w:type="gramStart"/>
      <w:r>
        <w:rPr>
          <w:b/>
          <w:bCs/>
        </w:rPr>
        <w:t>recommande</w:t>
      </w:r>
      <w:proofErr w:type="gramEnd"/>
      <w:r>
        <w:rPr>
          <w:b/>
          <w:bCs/>
        </w:rPr>
        <w:t xml:space="preserve"> de prendre des mesures</w:t>
      </w:r>
      <w:r>
        <w:t xml:space="preserve"> pour </w:t>
      </w:r>
      <w:r>
        <w:rPr>
          <w:b/>
          <w:bCs/>
        </w:rPr>
        <w:t>atténuer</w:t>
      </w:r>
      <w:r>
        <w:t xml:space="preserve"> les répercussions possibles sur la </w:t>
      </w:r>
      <w:r>
        <w:rPr>
          <w:b/>
          <w:bCs/>
        </w:rPr>
        <w:t>viabilité</w:t>
      </w:r>
      <w:r>
        <w:t xml:space="preserve"> des retraites et sur la </w:t>
      </w:r>
      <w:r>
        <w:rPr>
          <w:b/>
          <w:bCs/>
        </w:rPr>
        <w:t>pauvreté</w:t>
      </w:r>
      <w:r>
        <w:t xml:space="preserve"> et les </w:t>
      </w:r>
      <w:proofErr w:type="gramStart"/>
      <w:r>
        <w:rPr>
          <w:b/>
          <w:bCs/>
        </w:rPr>
        <w:t>inégalités</w:t>
      </w:r>
      <w:r>
        <w:t>;</w:t>
      </w:r>
      <w:proofErr w:type="gramEnd"/>
    </w:p>
    <w:p w14:paraId="2A589FB4" w14:textId="024B82ED" w:rsidR="0041766F" w:rsidRPr="0041766F" w:rsidRDefault="0041766F" w:rsidP="0041766F">
      <w:pPr>
        <w:pStyle w:val="ListParagraph"/>
        <w:numPr>
          <w:ilvl w:val="0"/>
          <w:numId w:val="78"/>
        </w:numPr>
        <w:ind w:left="567" w:hanging="567"/>
        <w:rPr>
          <w:szCs w:val="20"/>
        </w:rPr>
      </w:pPr>
      <w:proofErr w:type="gramStart"/>
      <w:r>
        <w:rPr>
          <w:b/>
          <w:bCs/>
        </w:rPr>
        <w:lastRenderedPageBreak/>
        <w:t>recommande</w:t>
      </w:r>
      <w:proofErr w:type="gramEnd"/>
      <w:r>
        <w:t xml:space="preserve"> de parachever le travail de coordination réalisé autour de </w:t>
      </w:r>
      <w:r>
        <w:rPr>
          <w:b/>
          <w:bCs/>
        </w:rPr>
        <w:t xml:space="preserve">la numérisation des systèmes européens de sécurité </w:t>
      </w:r>
      <w:proofErr w:type="gramStart"/>
      <w:r>
        <w:rPr>
          <w:b/>
          <w:bCs/>
        </w:rPr>
        <w:t>sociale</w:t>
      </w:r>
      <w:r>
        <w:t>;</w:t>
      </w:r>
      <w:proofErr w:type="gramEnd"/>
    </w:p>
    <w:p w14:paraId="2C4DBA83" w14:textId="020B2F35" w:rsidR="0041766F" w:rsidRPr="0041766F" w:rsidRDefault="0041766F" w:rsidP="0041766F">
      <w:pPr>
        <w:pStyle w:val="ListParagraph"/>
        <w:numPr>
          <w:ilvl w:val="0"/>
          <w:numId w:val="78"/>
        </w:numPr>
        <w:ind w:left="567" w:hanging="567"/>
        <w:rPr>
          <w:szCs w:val="20"/>
        </w:rPr>
      </w:pPr>
      <w:proofErr w:type="gramStart"/>
      <w:r>
        <w:rPr>
          <w:b/>
          <w:bCs/>
        </w:rPr>
        <w:t>souligne</w:t>
      </w:r>
      <w:proofErr w:type="gramEnd"/>
      <w:r>
        <w:t xml:space="preserve"> qu’il est important d’assurer l’</w:t>
      </w:r>
      <w:r>
        <w:rPr>
          <w:b/>
          <w:bCs/>
        </w:rPr>
        <w:t>éducation financière</w:t>
      </w:r>
      <w:r>
        <w:t xml:space="preserve"> en s’aidant d’</w:t>
      </w:r>
      <w:r>
        <w:rPr>
          <w:b/>
          <w:bCs/>
        </w:rPr>
        <w:t>outils de suivi</w:t>
      </w:r>
      <w:r>
        <w:t xml:space="preserve"> simples d’utilisation ainsi que de pouvoir accéder à </w:t>
      </w:r>
      <w:r>
        <w:rPr>
          <w:b/>
          <w:bCs/>
        </w:rPr>
        <w:t>une orientation et des conseils</w:t>
      </w:r>
      <w:r>
        <w:t xml:space="preserve"> au moment de prendre des décisions.</w:t>
      </w:r>
    </w:p>
    <w:p w14:paraId="029BFBEF" w14:textId="77777777" w:rsidR="00613302" w:rsidRPr="009360D7" w:rsidRDefault="00613302" w:rsidP="00F37962">
      <w:pPr>
        <w:widowControl w:val="0"/>
        <w:overflowPunct w:val="0"/>
        <w:autoSpaceDE w:val="0"/>
        <w:autoSpaceDN w:val="0"/>
        <w:adjustRightInd w:val="0"/>
        <w:ind w:left="709"/>
        <w:textAlignment w:val="baseline"/>
        <w:rPr>
          <w:szCs w:val="20"/>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F37962" w:rsidRPr="00480EA8" w14:paraId="2F150675" w14:textId="77777777" w:rsidTr="002E7EFB">
        <w:tc>
          <w:tcPr>
            <w:tcW w:w="1077" w:type="pct"/>
          </w:tcPr>
          <w:p w14:paraId="0E22D454" w14:textId="77777777" w:rsidR="00F37962" w:rsidRPr="00480EA8" w:rsidRDefault="00F37962" w:rsidP="002E7EFB">
            <w:pPr>
              <w:overflowPunct w:val="0"/>
              <w:autoSpaceDE w:val="0"/>
              <w:autoSpaceDN w:val="0"/>
              <w:adjustRightInd w:val="0"/>
              <w:textAlignment w:val="baseline"/>
              <w:rPr>
                <w:i/>
                <w:sz w:val="22"/>
                <w:szCs w:val="22"/>
              </w:rPr>
            </w:pPr>
            <w:r w:rsidRPr="00480EA8">
              <w:rPr>
                <w:b/>
                <w:i/>
                <w:sz w:val="22"/>
                <w:szCs w:val="22"/>
              </w:rPr>
              <w:t>Contact</w:t>
            </w:r>
          </w:p>
        </w:tc>
        <w:tc>
          <w:tcPr>
            <w:tcW w:w="3923" w:type="pct"/>
          </w:tcPr>
          <w:p w14:paraId="69384752" w14:textId="77777777" w:rsidR="00F37962" w:rsidRPr="00480EA8" w:rsidRDefault="00F37962" w:rsidP="002E7EFB">
            <w:pPr>
              <w:overflowPunct w:val="0"/>
              <w:autoSpaceDE w:val="0"/>
              <w:autoSpaceDN w:val="0"/>
              <w:adjustRightInd w:val="0"/>
              <w:textAlignment w:val="baseline"/>
              <w:rPr>
                <w:i/>
                <w:sz w:val="22"/>
                <w:szCs w:val="22"/>
              </w:rPr>
            </w:pPr>
            <w:r w:rsidRPr="00480EA8">
              <w:rPr>
                <w:i/>
                <w:sz w:val="22"/>
                <w:szCs w:val="22"/>
              </w:rPr>
              <w:t>Sergio Lorencio Matallana</w:t>
            </w:r>
          </w:p>
        </w:tc>
      </w:tr>
      <w:tr w:rsidR="00F37962" w:rsidRPr="00480EA8" w14:paraId="6F824D39" w14:textId="77777777" w:rsidTr="002E7EFB">
        <w:tc>
          <w:tcPr>
            <w:tcW w:w="1077" w:type="pct"/>
          </w:tcPr>
          <w:p w14:paraId="54A57F09" w14:textId="77777777" w:rsidR="00F37962" w:rsidRPr="00480EA8" w:rsidRDefault="00F37962" w:rsidP="00634494">
            <w:pPr>
              <w:overflowPunct w:val="0"/>
              <w:autoSpaceDE w:val="0"/>
              <w:autoSpaceDN w:val="0"/>
              <w:adjustRightInd w:val="0"/>
              <w:ind w:left="567"/>
              <w:textAlignment w:val="baseline"/>
              <w:rPr>
                <w:i/>
                <w:sz w:val="22"/>
                <w:szCs w:val="22"/>
              </w:rPr>
            </w:pPr>
            <w:r w:rsidRPr="00480EA8">
              <w:rPr>
                <w:i/>
                <w:sz w:val="22"/>
                <w:szCs w:val="22"/>
              </w:rPr>
              <w:t>Tél.</w:t>
            </w:r>
          </w:p>
        </w:tc>
        <w:tc>
          <w:tcPr>
            <w:tcW w:w="3923" w:type="pct"/>
          </w:tcPr>
          <w:p w14:paraId="6C074F83" w14:textId="77777777" w:rsidR="00F37962" w:rsidRPr="00480EA8" w:rsidRDefault="00F37962" w:rsidP="002E7EFB">
            <w:pPr>
              <w:overflowPunct w:val="0"/>
              <w:autoSpaceDE w:val="0"/>
              <w:autoSpaceDN w:val="0"/>
              <w:adjustRightInd w:val="0"/>
              <w:textAlignment w:val="baseline"/>
              <w:rPr>
                <w:i/>
                <w:sz w:val="22"/>
                <w:szCs w:val="22"/>
              </w:rPr>
            </w:pPr>
            <w:r w:rsidRPr="00480EA8">
              <w:rPr>
                <w:i/>
                <w:sz w:val="22"/>
                <w:szCs w:val="22"/>
              </w:rPr>
              <w:t>+32 2 546 9240</w:t>
            </w:r>
          </w:p>
        </w:tc>
      </w:tr>
      <w:tr w:rsidR="00F37962" w:rsidRPr="00480EA8" w14:paraId="4CBC8AD0" w14:textId="77777777" w:rsidTr="002E7EFB">
        <w:tc>
          <w:tcPr>
            <w:tcW w:w="1077" w:type="pct"/>
          </w:tcPr>
          <w:p w14:paraId="74D96EA0" w14:textId="77777777" w:rsidR="00F37962" w:rsidRPr="00480EA8" w:rsidRDefault="00F37962" w:rsidP="00634494">
            <w:pPr>
              <w:overflowPunct w:val="0"/>
              <w:autoSpaceDE w:val="0"/>
              <w:autoSpaceDN w:val="0"/>
              <w:adjustRightInd w:val="0"/>
              <w:ind w:left="567"/>
              <w:textAlignment w:val="baseline"/>
              <w:rPr>
                <w:i/>
                <w:sz w:val="22"/>
                <w:szCs w:val="22"/>
              </w:rPr>
            </w:pPr>
            <w:r w:rsidRPr="00480EA8">
              <w:rPr>
                <w:i/>
                <w:sz w:val="22"/>
                <w:szCs w:val="22"/>
              </w:rPr>
              <w:t>Courriel</w:t>
            </w:r>
          </w:p>
        </w:tc>
        <w:tc>
          <w:tcPr>
            <w:tcW w:w="3923" w:type="pct"/>
          </w:tcPr>
          <w:p w14:paraId="5475F81E" w14:textId="1D72BAC3" w:rsidR="00F37962" w:rsidRPr="00480EA8" w:rsidRDefault="00E44636" w:rsidP="002E7EFB">
            <w:pPr>
              <w:overflowPunct w:val="0"/>
              <w:autoSpaceDE w:val="0"/>
              <w:autoSpaceDN w:val="0"/>
              <w:adjustRightInd w:val="0"/>
              <w:textAlignment w:val="baseline"/>
              <w:rPr>
                <w:i/>
                <w:sz w:val="22"/>
                <w:szCs w:val="22"/>
              </w:rPr>
            </w:pPr>
            <w:hyperlink r:id="rId24" w:history="1">
              <w:r w:rsidRPr="00480EA8">
                <w:rPr>
                  <w:i/>
                  <w:color w:val="0000FF"/>
                  <w:sz w:val="22"/>
                  <w:szCs w:val="22"/>
                  <w:u w:val="single"/>
                </w:rPr>
                <w:t>Sergio.LorencioMatallana@eesc.europa.eu</w:t>
              </w:r>
            </w:hyperlink>
          </w:p>
        </w:tc>
      </w:tr>
    </w:tbl>
    <w:p w14:paraId="78262753" w14:textId="248BD617" w:rsidR="00A067F3" w:rsidRDefault="00A067F3" w:rsidP="001766B2">
      <w:pPr>
        <w:jc w:val="left"/>
      </w:pPr>
    </w:p>
    <w:p w14:paraId="2D4F9CF4" w14:textId="624510DC" w:rsidR="00480EA8" w:rsidRDefault="00480EA8">
      <w:pPr>
        <w:spacing w:after="160" w:line="259" w:lineRule="auto"/>
        <w:jc w:val="left"/>
      </w:pPr>
      <w:r>
        <w:br w:type="page"/>
      </w:r>
    </w:p>
    <w:p w14:paraId="07BFA137" w14:textId="77777777" w:rsidR="00480EA8" w:rsidRDefault="00480EA8" w:rsidP="00480EA8">
      <w:pPr>
        <w:pStyle w:val="Heading1"/>
        <w:rPr>
          <w:b/>
        </w:rPr>
      </w:pPr>
      <w:bookmarkStart w:id="2" w:name="_Toc230357596"/>
      <w:r>
        <w:rPr>
          <w:b/>
        </w:rPr>
        <w:lastRenderedPageBreak/>
        <w:t>EMPLOI, AFFAIRES SOCIALES ET CITOYENNETÉ</w:t>
      </w:r>
      <w:bookmarkEnd w:id="2"/>
    </w:p>
    <w:p w14:paraId="4982DD9A" w14:textId="77777777" w:rsidR="004D7AC0" w:rsidRDefault="004D7AC0" w:rsidP="001766B2"/>
    <w:p w14:paraId="0FBA9E33" w14:textId="4B00F841" w:rsidR="00943240" w:rsidRPr="00943240" w:rsidRDefault="00943240" w:rsidP="00943240">
      <w:pPr>
        <w:widowControl w:val="0"/>
        <w:numPr>
          <w:ilvl w:val="0"/>
          <w:numId w:val="8"/>
        </w:numPr>
        <w:overflowPunct w:val="0"/>
        <w:autoSpaceDE w:val="0"/>
        <w:autoSpaceDN w:val="0"/>
        <w:adjustRightInd w:val="0"/>
        <w:ind w:left="567" w:hanging="567"/>
        <w:textAlignment w:val="baseline"/>
        <w:rPr>
          <w:b/>
        </w:rPr>
      </w:pPr>
      <w:hyperlink r:id="rId25" w:history="1">
        <w:r>
          <w:rPr>
            <w:b/>
            <w:i/>
            <w:color w:val="0000FF"/>
            <w:sz w:val="28"/>
            <w:u w:val="single"/>
          </w:rPr>
          <w:t>Interdiction des pratiques de conversion dans l’Union européenne</w:t>
        </w:r>
      </w:hyperlink>
    </w:p>
    <w:p w14:paraId="0DD8BE16" w14:textId="77777777" w:rsidR="00537B03" w:rsidRPr="00C30BC0" w:rsidRDefault="00537B03" w:rsidP="00943240">
      <w:pPr>
        <w:tabs>
          <w:tab w:val="center" w:pos="284"/>
        </w:tabs>
        <w:overflowPunct w:val="0"/>
        <w:autoSpaceDE w:val="0"/>
        <w:autoSpaceDN w:val="0"/>
        <w:adjustRightInd w:val="0"/>
        <w:ind w:left="567" w:hanging="567"/>
        <w:textAlignment w:val="baseline"/>
        <w:rPr>
          <w:lang w:val="en-IE"/>
        </w:rPr>
      </w:pPr>
    </w:p>
    <w:tbl>
      <w:tblPr>
        <w:tblStyle w:val="TableGrid3"/>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943240" w:rsidRPr="00480EA8" w14:paraId="4E8345CE" w14:textId="77777777" w:rsidTr="00480EA8">
        <w:tc>
          <w:tcPr>
            <w:tcW w:w="1701" w:type="dxa"/>
          </w:tcPr>
          <w:p w14:paraId="7A3C8C0E" w14:textId="77777777" w:rsidR="00943240" w:rsidRPr="00480EA8" w:rsidRDefault="00943240" w:rsidP="00943240">
            <w:pPr>
              <w:tabs>
                <w:tab w:val="center" w:pos="284"/>
              </w:tabs>
              <w:overflowPunct w:val="0"/>
              <w:autoSpaceDE w:val="0"/>
              <w:autoSpaceDN w:val="0"/>
              <w:adjustRightInd w:val="0"/>
              <w:ind w:left="567" w:hanging="567"/>
              <w:textAlignment w:val="baseline"/>
              <w:rPr>
                <w:b/>
                <w:sz w:val="22"/>
                <w:szCs w:val="22"/>
              </w:rPr>
            </w:pPr>
            <w:r w:rsidRPr="00480EA8">
              <w:rPr>
                <w:b/>
                <w:sz w:val="22"/>
                <w:szCs w:val="22"/>
              </w:rPr>
              <w:t>Rapporteur</w:t>
            </w:r>
          </w:p>
        </w:tc>
        <w:tc>
          <w:tcPr>
            <w:tcW w:w="7621" w:type="dxa"/>
          </w:tcPr>
          <w:p w14:paraId="7FD5F775" w14:textId="77777777" w:rsidR="00943240" w:rsidRPr="00480EA8" w:rsidRDefault="00943240" w:rsidP="00943240">
            <w:pPr>
              <w:overflowPunct w:val="0"/>
              <w:autoSpaceDE w:val="0"/>
              <w:autoSpaceDN w:val="0"/>
              <w:adjustRightInd w:val="0"/>
              <w:ind w:left="567" w:hanging="567"/>
              <w:textAlignment w:val="baseline"/>
              <w:rPr>
                <w:sz w:val="22"/>
                <w:szCs w:val="22"/>
              </w:rPr>
            </w:pPr>
            <w:r w:rsidRPr="00480EA8">
              <w:rPr>
                <w:sz w:val="22"/>
                <w:szCs w:val="22"/>
              </w:rPr>
              <w:t>Pascal DEBAY (groupe de travailleurs — France)</w:t>
            </w:r>
          </w:p>
        </w:tc>
      </w:tr>
      <w:tr w:rsidR="00943240" w:rsidRPr="00480EA8" w14:paraId="007125B5" w14:textId="77777777" w:rsidTr="00480EA8">
        <w:tc>
          <w:tcPr>
            <w:tcW w:w="1701" w:type="dxa"/>
          </w:tcPr>
          <w:p w14:paraId="1D19C4E2" w14:textId="77777777" w:rsidR="00943240" w:rsidRPr="00480EA8" w:rsidRDefault="00943240" w:rsidP="00943240">
            <w:pPr>
              <w:tabs>
                <w:tab w:val="center" w:pos="284"/>
              </w:tabs>
              <w:overflowPunct w:val="0"/>
              <w:autoSpaceDE w:val="0"/>
              <w:autoSpaceDN w:val="0"/>
              <w:adjustRightInd w:val="0"/>
              <w:ind w:left="567" w:hanging="567"/>
              <w:textAlignment w:val="baseline"/>
              <w:rPr>
                <w:b/>
                <w:sz w:val="22"/>
                <w:szCs w:val="22"/>
              </w:rPr>
            </w:pPr>
            <w:r w:rsidRPr="00480EA8">
              <w:rPr>
                <w:b/>
                <w:sz w:val="22"/>
                <w:szCs w:val="22"/>
              </w:rPr>
              <w:t>Corapporteur</w:t>
            </w:r>
          </w:p>
        </w:tc>
        <w:tc>
          <w:tcPr>
            <w:tcW w:w="7621" w:type="dxa"/>
          </w:tcPr>
          <w:p w14:paraId="00A2CBCD" w14:textId="77777777" w:rsidR="00943240" w:rsidRPr="00480EA8" w:rsidRDefault="00943240" w:rsidP="006C0D5C">
            <w:pPr>
              <w:overflowPunct w:val="0"/>
              <w:autoSpaceDE w:val="0"/>
              <w:autoSpaceDN w:val="0"/>
              <w:adjustRightInd w:val="0"/>
              <w:textAlignment w:val="baseline"/>
              <w:rPr>
                <w:sz w:val="22"/>
                <w:szCs w:val="22"/>
              </w:rPr>
            </w:pPr>
            <w:r w:rsidRPr="00480EA8">
              <w:rPr>
                <w:sz w:val="22"/>
                <w:szCs w:val="22"/>
              </w:rPr>
              <w:t>Ionuț SIBIAN (groupe des organisations de la société civile — Roumanie)</w:t>
            </w:r>
          </w:p>
        </w:tc>
      </w:tr>
      <w:tr w:rsidR="00943240" w:rsidRPr="00480EA8" w14:paraId="2715214D" w14:textId="77777777" w:rsidTr="00480EA8">
        <w:tc>
          <w:tcPr>
            <w:tcW w:w="1701" w:type="dxa"/>
          </w:tcPr>
          <w:p w14:paraId="0FC04702" w14:textId="77777777" w:rsidR="00943240" w:rsidRPr="00480EA8" w:rsidRDefault="00943240" w:rsidP="00943240">
            <w:pPr>
              <w:tabs>
                <w:tab w:val="center" w:pos="284"/>
              </w:tabs>
              <w:overflowPunct w:val="0"/>
              <w:autoSpaceDE w:val="0"/>
              <w:autoSpaceDN w:val="0"/>
              <w:adjustRightInd w:val="0"/>
              <w:ind w:left="567" w:hanging="567"/>
              <w:textAlignment w:val="baseline"/>
              <w:rPr>
                <w:b/>
                <w:sz w:val="22"/>
                <w:szCs w:val="22"/>
                <w:lang w:val="en-IE"/>
              </w:rPr>
            </w:pPr>
          </w:p>
        </w:tc>
        <w:tc>
          <w:tcPr>
            <w:tcW w:w="7621" w:type="dxa"/>
          </w:tcPr>
          <w:p w14:paraId="5E70C3D1" w14:textId="77777777" w:rsidR="00943240" w:rsidRPr="00480EA8" w:rsidRDefault="00943240" w:rsidP="00943240">
            <w:pPr>
              <w:overflowPunct w:val="0"/>
              <w:autoSpaceDE w:val="0"/>
              <w:autoSpaceDN w:val="0"/>
              <w:adjustRightInd w:val="0"/>
              <w:ind w:left="567" w:hanging="567"/>
              <w:textAlignment w:val="baseline"/>
              <w:rPr>
                <w:sz w:val="22"/>
                <w:szCs w:val="22"/>
                <w:lang w:val="en-IE"/>
              </w:rPr>
            </w:pPr>
          </w:p>
        </w:tc>
      </w:tr>
      <w:tr w:rsidR="00943240" w:rsidRPr="00480EA8" w14:paraId="65C847A0" w14:textId="77777777" w:rsidTr="00480EA8">
        <w:tc>
          <w:tcPr>
            <w:tcW w:w="1701" w:type="dxa"/>
            <w:vMerge w:val="restart"/>
          </w:tcPr>
          <w:p w14:paraId="70AB4636" w14:textId="77777777" w:rsidR="00943240" w:rsidRPr="00480EA8" w:rsidRDefault="00943240" w:rsidP="00943240">
            <w:pPr>
              <w:tabs>
                <w:tab w:val="center" w:pos="284"/>
              </w:tabs>
              <w:overflowPunct w:val="0"/>
              <w:autoSpaceDE w:val="0"/>
              <w:autoSpaceDN w:val="0"/>
              <w:adjustRightInd w:val="0"/>
              <w:ind w:left="567" w:hanging="567"/>
              <w:textAlignment w:val="baseline"/>
              <w:rPr>
                <w:b/>
                <w:sz w:val="22"/>
                <w:szCs w:val="22"/>
              </w:rPr>
            </w:pPr>
            <w:r w:rsidRPr="00480EA8">
              <w:rPr>
                <w:b/>
                <w:sz w:val="22"/>
                <w:szCs w:val="22"/>
              </w:rPr>
              <w:t>Références</w:t>
            </w:r>
          </w:p>
        </w:tc>
        <w:tc>
          <w:tcPr>
            <w:tcW w:w="7621" w:type="dxa"/>
          </w:tcPr>
          <w:p w14:paraId="75B16B24" w14:textId="77777777" w:rsidR="00943240" w:rsidRPr="00480EA8" w:rsidRDefault="00943240" w:rsidP="00943240">
            <w:pPr>
              <w:tabs>
                <w:tab w:val="center" w:pos="284"/>
              </w:tabs>
              <w:overflowPunct w:val="0"/>
              <w:autoSpaceDE w:val="0"/>
              <w:autoSpaceDN w:val="0"/>
              <w:adjustRightInd w:val="0"/>
              <w:ind w:left="567" w:hanging="567"/>
              <w:textAlignment w:val="baseline"/>
              <w:rPr>
                <w:sz w:val="22"/>
                <w:szCs w:val="22"/>
              </w:rPr>
            </w:pPr>
            <w:r w:rsidRPr="00480EA8">
              <w:rPr>
                <w:sz w:val="22"/>
                <w:szCs w:val="22"/>
              </w:rPr>
              <w:t>Avis d’initiative</w:t>
            </w:r>
          </w:p>
          <w:p w14:paraId="32684914" w14:textId="77777777" w:rsidR="00943240" w:rsidRPr="00480EA8" w:rsidRDefault="00943240" w:rsidP="00943240">
            <w:pPr>
              <w:tabs>
                <w:tab w:val="center" w:pos="284"/>
              </w:tabs>
              <w:overflowPunct w:val="0"/>
              <w:autoSpaceDE w:val="0"/>
              <w:autoSpaceDN w:val="0"/>
              <w:adjustRightInd w:val="0"/>
              <w:ind w:left="567" w:hanging="567"/>
              <w:textAlignment w:val="baseline"/>
              <w:rPr>
                <w:sz w:val="22"/>
                <w:szCs w:val="22"/>
              </w:rPr>
            </w:pPr>
            <w:r w:rsidRPr="00480EA8">
              <w:rPr>
                <w:sz w:val="22"/>
                <w:szCs w:val="22"/>
              </w:rPr>
              <w:t>EESC-2025-04295-00-00-AC</w:t>
            </w:r>
          </w:p>
        </w:tc>
      </w:tr>
      <w:tr w:rsidR="00943240" w:rsidRPr="00943240" w14:paraId="536F2D4C" w14:textId="77777777" w:rsidTr="00480EA8">
        <w:tc>
          <w:tcPr>
            <w:tcW w:w="1701" w:type="dxa"/>
            <w:vMerge/>
          </w:tcPr>
          <w:p w14:paraId="4F70AA47" w14:textId="77777777" w:rsidR="00943240" w:rsidRPr="00943240" w:rsidRDefault="00943240" w:rsidP="00943240">
            <w:pPr>
              <w:tabs>
                <w:tab w:val="center" w:pos="284"/>
              </w:tabs>
              <w:overflowPunct w:val="0"/>
              <w:autoSpaceDE w:val="0"/>
              <w:autoSpaceDN w:val="0"/>
              <w:adjustRightInd w:val="0"/>
              <w:ind w:left="266" w:hanging="266"/>
              <w:textAlignment w:val="baseline"/>
              <w:rPr>
                <w:b/>
                <w:lang w:val="en-IE"/>
              </w:rPr>
            </w:pPr>
          </w:p>
        </w:tc>
        <w:tc>
          <w:tcPr>
            <w:tcW w:w="7621" w:type="dxa"/>
          </w:tcPr>
          <w:p w14:paraId="304147E0" w14:textId="77777777" w:rsidR="00943240" w:rsidRPr="00943240" w:rsidRDefault="00943240" w:rsidP="00943240">
            <w:pPr>
              <w:tabs>
                <w:tab w:val="center" w:pos="284"/>
              </w:tabs>
              <w:overflowPunct w:val="0"/>
              <w:autoSpaceDE w:val="0"/>
              <w:autoSpaceDN w:val="0"/>
              <w:adjustRightInd w:val="0"/>
              <w:ind w:left="266" w:hanging="266"/>
              <w:textAlignment w:val="baseline"/>
              <w:rPr>
                <w:sz w:val="16"/>
                <w:szCs w:val="16"/>
                <w:lang w:val="en-IE"/>
              </w:rPr>
            </w:pPr>
          </w:p>
        </w:tc>
      </w:tr>
    </w:tbl>
    <w:p w14:paraId="6B299D0A" w14:textId="77777777" w:rsidR="00943240" w:rsidRPr="00943240" w:rsidRDefault="00943240" w:rsidP="00943240">
      <w:pPr>
        <w:keepNext/>
        <w:keepLines/>
        <w:tabs>
          <w:tab w:val="center" w:pos="284"/>
        </w:tabs>
        <w:overflowPunct w:val="0"/>
        <w:autoSpaceDE w:val="0"/>
        <w:autoSpaceDN w:val="0"/>
        <w:adjustRightInd w:val="0"/>
        <w:ind w:left="266" w:hanging="266"/>
        <w:textAlignment w:val="baseline"/>
        <w:rPr>
          <w:b/>
        </w:rPr>
      </w:pPr>
      <w:r>
        <w:rPr>
          <w:b/>
        </w:rPr>
        <w:t>Points clés</w:t>
      </w:r>
    </w:p>
    <w:p w14:paraId="5C818530" w14:textId="77777777" w:rsidR="006C0D5C" w:rsidRDefault="006C0D5C" w:rsidP="00C30BC0">
      <w:pPr>
        <w:jc w:val="left"/>
      </w:pPr>
    </w:p>
    <w:p w14:paraId="367A8012" w14:textId="423DEB88" w:rsidR="00943240" w:rsidRDefault="00943240" w:rsidP="00C30BC0">
      <w:pPr>
        <w:jc w:val="left"/>
      </w:pPr>
      <w:r>
        <w:t xml:space="preserve">Le </w:t>
      </w:r>
      <w:proofErr w:type="gramStart"/>
      <w:r>
        <w:t>CESE:</w:t>
      </w:r>
      <w:proofErr w:type="gramEnd"/>
    </w:p>
    <w:p w14:paraId="30D0BF85" w14:textId="77777777" w:rsidR="00C30BC0" w:rsidRPr="006C0D5C" w:rsidRDefault="00C30BC0" w:rsidP="00C30BC0">
      <w:pPr>
        <w:jc w:val="left"/>
      </w:pPr>
    </w:p>
    <w:p w14:paraId="15038CE6" w14:textId="27B13D2C" w:rsidR="0041766F" w:rsidRPr="0041766F" w:rsidRDefault="0041766F" w:rsidP="0041766F">
      <w:pPr>
        <w:pStyle w:val="ListParagraph"/>
        <w:numPr>
          <w:ilvl w:val="0"/>
          <w:numId w:val="78"/>
        </w:numPr>
        <w:ind w:left="567" w:hanging="567"/>
        <w:rPr>
          <w:szCs w:val="20"/>
        </w:rPr>
      </w:pPr>
      <w:bookmarkStart w:id="3" w:name="_Toc228805417"/>
      <w:proofErr w:type="gramStart"/>
      <w:r>
        <w:t>condamne</w:t>
      </w:r>
      <w:proofErr w:type="gramEnd"/>
      <w:r>
        <w:t xml:space="preserve"> fermement toutes les formes de pratiques de conversion qui visent à modifier, supprimer ou effacer l’orientation sexuelle, l’identité de genre ou l’expression de genre d’une personne, et considère qu’elles constituent une violation de l’interdiction absolue de la torture et des peines ou traitements inhumains ou </w:t>
      </w:r>
      <w:proofErr w:type="gramStart"/>
      <w:r>
        <w:t>dégradants;</w:t>
      </w:r>
      <w:bookmarkEnd w:id="3"/>
      <w:proofErr w:type="gramEnd"/>
    </w:p>
    <w:p w14:paraId="2308265B" w14:textId="565D236D" w:rsidR="0041766F" w:rsidRPr="0041766F" w:rsidRDefault="0041766F" w:rsidP="0041766F">
      <w:pPr>
        <w:pStyle w:val="ListParagraph"/>
        <w:numPr>
          <w:ilvl w:val="0"/>
          <w:numId w:val="78"/>
        </w:numPr>
        <w:ind w:left="567" w:hanging="567"/>
        <w:rPr>
          <w:szCs w:val="20"/>
        </w:rPr>
      </w:pPr>
      <w:bookmarkStart w:id="4" w:name="_Toc228805418"/>
      <w:proofErr w:type="gramStart"/>
      <w:r>
        <w:t>rappelle</w:t>
      </w:r>
      <w:proofErr w:type="gramEnd"/>
      <w:r>
        <w:t xml:space="preserve"> que la discrimination, la violence et la torture visant des personnes LGBTIQ+ sur le territoire de l’Union sont incompatibles avec les valeurs et les droits fondamentaux de celle-</w:t>
      </w:r>
      <w:proofErr w:type="gramStart"/>
      <w:r>
        <w:t>ci;</w:t>
      </w:r>
      <w:bookmarkEnd w:id="4"/>
      <w:proofErr w:type="gramEnd"/>
    </w:p>
    <w:p w14:paraId="0785C0CC" w14:textId="08FDDA5D" w:rsidR="0041766F" w:rsidRPr="0041766F" w:rsidRDefault="0041766F" w:rsidP="0041766F">
      <w:pPr>
        <w:pStyle w:val="ListParagraph"/>
        <w:numPr>
          <w:ilvl w:val="0"/>
          <w:numId w:val="78"/>
        </w:numPr>
        <w:ind w:left="567" w:hanging="567"/>
        <w:rPr>
          <w:szCs w:val="20"/>
        </w:rPr>
      </w:pPr>
      <w:bookmarkStart w:id="5" w:name="_Toc228805419"/>
      <w:proofErr w:type="gramStart"/>
      <w:r>
        <w:t>invite</w:t>
      </w:r>
      <w:proofErr w:type="gramEnd"/>
      <w:r>
        <w:t xml:space="preserve"> la Commission européenne à proposer une interdiction juridiquement contraignante des pratiques de conversion à l’échelle de l’UE, couvrant à la fois la mise en œuvre et la publicité de ces activités, en incluant les pratiques de conversion parmi les</w:t>
      </w:r>
      <w:proofErr w:type="gramStart"/>
      <w:r>
        <w:t xml:space="preserve"> «infractions</w:t>
      </w:r>
      <w:proofErr w:type="gramEnd"/>
      <w:r>
        <w:t xml:space="preserve"> de </w:t>
      </w:r>
      <w:proofErr w:type="gramStart"/>
      <w:r>
        <w:t>l’Union»</w:t>
      </w:r>
      <w:proofErr w:type="gramEnd"/>
      <w:r>
        <w:t xml:space="preserve"> et à les reconnaître comme des crimes de haine afin de garantir un niveau uniforme de protection sur tout le territoire de cette </w:t>
      </w:r>
      <w:proofErr w:type="gramStart"/>
      <w:r>
        <w:t>dernière;</w:t>
      </w:r>
      <w:bookmarkEnd w:id="5"/>
      <w:proofErr w:type="gramEnd"/>
    </w:p>
    <w:p w14:paraId="59886D7F" w14:textId="72EF7D5F" w:rsidR="0041766F" w:rsidRPr="0041766F" w:rsidRDefault="0041766F" w:rsidP="0041766F">
      <w:pPr>
        <w:pStyle w:val="ListParagraph"/>
        <w:numPr>
          <w:ilvl w:val="0"/>
          <w:numId w:val="78"/>
        </w:numPr>
        <w:ind w:left="567" w:hanging="567"/>
        <w:rPr>
          <w:szCs w:val="20"/>
        </w:rPr>
      </w:pPr>
      <w:bookmarkStart w:id="6" w:name="_Toc228805420"/>
      <w:proofErr w:type="gramStart"/>
      <w:r>
        <w:t>préconise</w:t>
      </w:r>
      <w:proofErr w:type="gramEnd"/>
      <w:r>
        <w:t xml:space="preserve"> que l’interdiction soit complète et définie avec précision, qu’elle s’applique tant aux enfants qu’aux adultes, qu’elle couvre l’ensemble des acteurs publics et privés (professionnels et non professionnels) et qu’elle garantisse que la responsabilité pénale ou civile des survivants ne puisse en aucun cas être </w:t>
      </w:r>
      <w:proofErr w:type="gramStart"/>
      <w:r>
        <w:t>engagée;</w:t>
      </w:r>
      <w:bookmarkEnd w:id="6"/>
      <w:proofErr w:type="gramEnd"/>
    </w:p>
    <w:p w14:paraId="1C17C159" w14:textId="2AE04CC9" w:rsidR="0041766F" w:rsidRPr="0041766F" w:rsidRDefault="0041766F" w:rsidP="0041766F">
      <w:pPr>
        <w:pStyle w:val="ListParagraph"/>
        <w:numPr>
          <w:ilvl w:val="0"/>
          <w:numId w:val="78"/>
        </w:numPr>
        <w:ind w:left="567" w:hanging="567"/>
        <w:rPr>
          <w:szCs w:val="20"/>
        </w:rPr>
      </w:pPr>
      <w:bookmarkStart w:id="7" w:name="_Toc228805421"/>
      <w:proofErr w:type="gramStart"/>
      <w:r>
        <w:t>insiste</w:t>
      </w:r>
      <w:proofErr w:type="gramEnd"/>
      <w:r>
        <w:t xml:space="preserve"> pour que l’interdiction comprenne des sanctions effectives, proportionnées et dissuasives reflétant le préjudice grave causé par les pratiques de </w:t>
      </w:r>
      <w:proofErr w:type="gramStart"/>
      <w:r>
        <w:t>conversion;</w:t>
      </w:r>
      <w:bookmarkEnd w:id="7"/>
      <w:proofErr w:type="gramEnd"/>
    </w:p>
    <w:p w14:paraId="4F30C058" w14:textId="76A7F3B2" w:rsidR="0041766F" w:rsidRPr="0041766F" w:rsidRDefault="0041766F" w:rsidP="0041766F">
      <w:pPr>
        <w:pStyle w:val="ListParagraph"/>
        <w:numPr>
          <w:ilvl w:val="0"/>
          <w:numId w:val="78"/>
        </w:numPr>
        <w:ind w:left="567" w:hanging="567"/>
        <w:rPr>
          <w:szCs w:val="20"/>
        </w:rPr>
      </w:pPr>
      <w:bookmarkStart w:id="8" w:name="_Toc228805422"/>
      <w:proofErr w:type="gramStart"/>
      <w:r>
        <w:t>demande</w:t>
      </w:r>
      <w:proofErr w:type="gramEnd"/>
      <w:r>
        <w:t xml:space="preserve"> l’inclusion explicite des caractéristiques sexuelles dans le champ d’application de l’interdiction afin de protéger les personnes intersexuées contre les interventions non thérapeutiques et non consenties visant une binarité forcée des identités de </w:t>
      </w:r>
      <w:proofErr w:type="gramStart"/>
      <w:r>
        <w:t>genre;</w:t>
      </w:r>
      <w:bookmarkEnd w:id="8"/>
      <w:proofErr w:type="gramEnd"/>
    </w:p>
    <w:p w14:paraId="1B3DC212" w14:textId="38E4AD3D" w:rsidR="0041766F" w:rsidRPr="0041766F" w:rsidRDefault="0041766F" w:rsidP="0041766F">
      <w:pPr>
        <w:pStyle w:val="ListParagraph"/>
        <w:numPr>
          <w:ilvl w:val="0"/>
          <w:numId w:val="78"/>
        </w:numPr>
        <w:ind w:left="567" w:hanging="567"/>
        <w:rPr>
          <w:szCs w:val="20"/>
        </w:rPr>
      </w:pPr>
      <w:bookmarkStart w:id="9" w:name="_Toc228805423"/>
      <w:proofErr w:type="gramStart"/>
      <w:r>
        <w:t>recommande</w:t>
      </w:r>
      <w:proofErr w:type="gramEnd"/>
      <w:r>
        <w:t xml:space="preserve"> des mesures de mise en œuvre fortes dans le cadre de la stratégie en faveur de l’égalité de traitement à l’égard des personnes LGBTIQ+ pour la période 2026-2030. Celles-ci devraient inclure un suivi annuel réalisé en consultation avec la société civile organisée, un financement spécifique pour la formation professionnelle et les organisations de défense de l’égalité, ainsi que des initiatives d’éducation et de sensibilisation du public soutenues par l’UE, qui sont indispensables pour recenser et éliminer ces pratiques.</w:t>
      </w:r>
      <w:bookmarkEnd w:id="9"/>
    </w:p>
    <w:p w14:paraId="0B408DE2" w14:textId="77777777" w:rsidR="00943240" w:rsidRPr="00943240" w:rsidRDefault="00943240" w:rsidP="00943240">
      <w:pPr>
        <w:overflowPunct w:val="0"/>
        <w:autoSpaceDE w:val="0"/>
        <w:autoSpaceDN w:val="0"/>
        <w:adjustRightInd w:val="0"/>
        <w:textAlignment w:val="baseline"/>
        <w:rPr>
          <w:szCs w:val="20"/>
          <w:lang w:val="en-I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4493"/>
      </w:tblGrid>
      <w:tr w:rsidR="00943240" w:rsidRPr="00480EA8" w14:paraId="4E107AFC" w14:textId="77777777" w:rsidTr="002E7EFB">
        <w:tc>
          <w:tcPr>
            <w:tcW w:w="1210" w:type="dxa"/>
          </w:tcPr>
          <w:p w14:paraId="468FD01F" w14:textId="77777777" w:rsidR="00943240" w:rsidRPr="00480EA8" w:rsidRDefault="00943240" w:rsidP="00943240">
            <w:pPr>
              <w:overflowPunct w:val="0"/>
              <w:autoSpaceDE w:val="0"/>
              <w:autoSpaceDN w:val="0"/>
              <w:adjustRightInd w:val="0"/>
              <w:spacing w:line="240" w:lineRule="auto"/>
              <w:textAlignment w:val="baseline"/>
              <w:rPr>
                <w:i/>
                <w:sz w:val="22"/>
                <w:szCs w:val="22"/>
              </w:rPr>
            </w:pPr>
            <w:r w:rsidRPr="00480EA8">
              <w:rPr>
                <w:b/>
                <w:i/>
                <w:sz w:val="22"/>
                <w:szCs w:val="22"/>
              </w:rPr>
              <w:t>Contact</w:t>
            </w:r>
          </w:p>
        </w:tc>
        <w:tc>
          <w:tcPr>
            <w:tcW w:w="4493" w:type="dxa"/>
          </w:tcPr>
          <w:p w14:paraId="163017DF" w14:textId="63CCAD3A" w:rsidR="00943240" w:rsidRPr="00480EA8" w:rsidRDefault="00943240" w:rsidP="00943240">
            <w:pPr>
              <w:overflowPunct w:val="0"/>
              <w:autoSpaceDE w:val="0"/>
              <w:autoSpaceDN w:val="0"/>
              <w:adjustRightInd w:val="0"/>
              <w:spacing w:line="240" w:lineRule="auto"/>
              <w:ind w:hanging="12"/>
              <w:textAlignment w:val="baseline"/>
              <w:rPr>
                <w:i/>
                <w:sz w:val="22"/>
                <w:szCs w:val="22"/>
              </w:rPr>
            </w:pPr>
            <w:r w:rsidRPr="00480EA8">
              <w:rPr>
                <w:i/>
                <w:sz w:val="22"/>
                <w:szCs w:val="22"/>
              </w:rPr>
              <w:t>Bartek Bednarowicz</w:t>
            </w:r>
          </w:p>
        </w:tc>
      </w:tr>
      <w:tr w:rsidR="00943240" w:rsidRPr="00480EA8" w14:paraId="7B668718" w14:textId="77777777" w:rsidTr="002E7EFB">
        <w:tc>
          <w:tcPr>
            <w:tcW w:w="1210" w:type="dxa"/>
          </w:tcPr>
          <w:p w14:paraId="694AFF7E" w14:textId="77777777" w:rsidR="00943240" w:rsidRPr="00480EA8" w:rsidRDefault="00943240" w:rsidP="00634494">
            <w:pPr>
              <w:overflowPunct w:val="0"/>
              <w:autoSpaceDE w:val="0"/>
              <w:autoSpaceDN w:val="0"/>
              <w:adjustRightInd w:val="0"/>
              <w:spacing w:line="240" w:lineRule="auto"/>
              <w:ind w:left="567"/>
              <w:textAlignment w:val="baseline"/>
              <w:rPr>
                <w:i/>
                <w:sz w:val="22"/>
                <w:szCs w:val="22"/>
              </w:rPr>
            </w:pPr>
            <w:r w:rsidRPr="00480EA8">
              <w:rPr>
                <w:i/>
                <w:sz w:val="22"/>
                <w:szCs w:val="22"/>
              </w:rPr>
              <w:t>Tél.</w:t>
            </w:r>
          </w:p>
        </w:tc>
        <w:tc>
          <w:tcPr>
            <w:tcW w:w="4493" w:type="dxa"/>
          </w:tcPr>
          <w:p w14:paraId="7D387ED4" w14:textId="77777777" w:rsidR="00943240" w:rsidRPr="00480EA8" w:rsidRDefault="00943240" w:rsidP="00943240">
            <w:pPr>
              <w:overflowPunct w:val="0"/>
              <w:autoSpaceDE w:val="0"/>
              <w:autoSpaceDN w:val="0"/>
              <w:adjustRightInd w:val="0"/>
              <w:spacing w:line="240" w:lineRule="auto"/>
              <w:textAlignment w:val="baseline"/>
              <w:rPr>
                <w:i/>
                <w:sz w:val="22"/>
                <w:szCs w:val="22"/>
              </w:rPr>
            </w:pPr>
            <w:r w:rsidRPr="00480EA8">
              <w:rPr>
                <w:i/>
                <w:sz w:val="22"/>
                <w:szCs w:val="22"/>
              </w:rPr>
              <w:t>+32 2 546 9229</w:t>
            </w:r>
          </w:p>
        </w:tc>
      </w:tr>
      <w:tr w:rsidR="00943240" w:rsidRPr="00480EA8" w14:paraId="65C7A403" w14:textId="77777777" w:rsidTr="002E7EFB">
        <w:tc>
          <w:tcPr>
            <w:tcW w:w="1210" w:type="dxa"/>
          </w:tcPr>
          <w:p w14:paraId="27599C21" w14:textId="77777777" w:rsidR="00943240" w:rsidRPr="00480EA8" w:rsidRDefault="00943240" w:rsidP="00634494">
            <w:pPr>
              <w:overflowPunct w:val="0"/>
              <w:autoSpaceDE w:val="0"/>
              <w:autoSpaceDN w:val="0"/>
              <w:adjustRightInd w:val="0"/>
              <w:spacing w:line="240" w:lineRule="auto"/>
              <w:ind w:left="567"/>
              <w:textAlignment w:val="baseline"/>
              <w:rPr>
                <w:i/>
                <w:sz w:val="22"/>
                <w:szCs w:val="22"/>
              </w:rPr>
            </w:pPr>
            <w:r w:rsidRPr="00480EA8">
              <w:rPr>
                <w:i/>
                <w:sz w:val="22"/>
                <w:szCs w:val="22"/>
              </w:rPr>
              <w:t>Courriel</w:t>
            </w:r>
          </w:p>
        </w:tc>
        <w:tc>
          <w:tcPr>
            <w:tcW w:w="4493" w:type="dxa"/>
          </w:tcPr>
          <w:p w14:paraId="05B7586B" w14:textId="7311E972" w:rsidR="00943240" w:rsidRPr="00480EA8" w:rsidRDefault="00E44636" w:rsidP="00943240">
            <w:pPr>
              <w:overflowPunct w:val="0"/>
              <w:autoSpaceDE w:val="0"/>
              <w:autoSpaceDN w:val="0"/>
              <w:adjustRightInd w:val="0"/>
              <w:spacing w:line="240" w:lineRule="auto"/>
              <w:textAlignment w:val="baseline"/>
              <w:rPr>
                <w:i/>
                <w:iCs/>
                <w:sz w:val="22"/>
                <w:szCs w:val="22"/>
              </w:rPr>
            </w:pPr>
            <w:hyperlink r:id="rId26" w:history="1">
              <w:r w:rsidRPr="00480EA8">
                <w:rPr>
                  <w:i/>
                  <w:color w:val="0000FF"/>
                  <w:sz w:val="22"/>
                  <w:szCs w:val="22"/>
                  <w:u w:val="single"/>
                </w:rPr>
                <w:t>Bartek.Bednarowicz@eesc.europa.eu</w:t>
              </w:r>
            </w:hyperlink>
          </w:p>
        </w:tc>
      </w:tr>
    </w:tbl>
    <w:p w14:paraId="78E447C3" w14:textId="176CF351" w:rsidR="004F74E4" w:rsidRDefault="004F74E4" w:rsidP="001766B2"/>
    <w:p w14:paraId="37568C0D" w14:textId="6EE8E1C0" w:rsidR="00354B98" w:rsidRPr="00354B98" w:rsidRDefault="00E44636" w:rsidP="0012608E">
      <w:pPr>
        <w:keepNext/>
        <w:keepLines/>
        <w:numPr>
          <w:ilvl w:val="0"/>
          <w:numId w:val="10"/>
        </w:numPr>
        <w:overflowPunct w:val="0"/>
        <w:autoSpaceDE w:val="0"/>
        <w:autoSpaceDN w:val="0"/>
        <w:adjustRightInd w:val="0"/>
        <w:ind w:left="567" w:hanging="567"/>
        <w:contextualSpacing/>
        <w:jc w:val="left"/>
        <w:textAlignment w:val="baseline"/>
        <w:rPr>
          <w:b/>
          <w:i/>
          <w:sz w:val="28"/>
          <w:szCs w:val="28"/>
        </w:rPr>
      </w:pPr>
      <w:hyperlink r:id="rId27" w:history="1">
        <w:r>
          <w:rPr>
            <w:b/>
            <w:i/>
            <w:color w:val="0000FF"/>
            <w:sz w:val="28"/>
            <w:u w:val="single"/>
          </w:rPr>
          <w:t xml:space="preserve">Union de </w:t>
        </w:r>
        <w:proofErr w:type="gramStart"/>
        <w:r>
          <w:rPr>
            <w:b/>
            <w:i/>
            <w:color w:val="0000FF"/>
            <w:sz w:val="28"/>
            <w:u w:val="single"/>
          </w:rPr>
          <w:t>l’égalité:</w:t>
        </w:r>
        <w:proofErr w:type="gramEnd"/>
        <w:r>
          <w:rPr>
            <w:b/>
            <w:i/>
            <w:color w:val="0000FF"/>
            <w:sz w:val="28"/>
            <w:u w:val="single"/>
          </w:rPr>
          <w:t xml:space="preserve"> stratégie en faveur de l’égalité de traitement à l’égard des personnes LGBTIQ+ pour la période 2026-2030</w:t>
        </w:r>
      </w:hyperlink>
    </w:p>
    <w:p w14:paraId="0E47B1B5" w14:textId="2D9E1616" w:rsidR="00354B98" w:rsidRPr="00C30BC0" w:rsidRDefault="00354B98" w:rsidP="004C6742">
      <w:pPr>
        <w:widowControl w:val="0"/>
        <w:overflowPunct w:val="0"/>
        <w:autoSpaceDE w:val="0"/>
        <w:autoSpaceDN w:val="0"/>
        <w:adjustRightInd w:val="0"/>
        <w:jc w:val="left"/>
        <w:textAlignment w:val="baseline"/>
        <w:rPr>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38"/>
      </w:tblGrid>
      <w:tr w:rsidR="00354B98" w:rsidRPr="00480EA8" w14:paraId="5A523F39" w14:textId="77777777" w:rsidTr="00C30BC0">
        <w:tc>
          <w:tcPr>
            <w:tcW w:w="1701" w:type="dxa"/>
          </w:tcPr>
          <w:p w14:paraId="6F791E34" w14:textId="77777777" w:rsidR="00354B98" w:rsidRPr="00480EA8" w:rsidRDefault="00354B98" w:rsidP="00354B98">
            <w:pPr>
              <w:tabs>
                <w:tab w:val="center" w:pos="284"/>
              </w:tabs>
              <w:overflowPunct w:val="0"/>
              <w:autoSpaceDE w:val="0"/>
              <w:autoSpaceDN w:val="0"/>
              <w:adjustRightInd w:val="0"/>
              <w:ind w:left="266" w:hanging="266"/>
              <w:textAlignment w:val="baseline"/>
              <w:rPr>
                <w:b/>
                <w:sz w:val="22"/>
                <w:szCs w:val="22"/>
              </w:rPr>
            </w:pPr>
            <w:r w:rsidRPr="00480EA8">
              <w:rPr>
                <w:b/>
                <w:sz w:val="22"/>
                <w:szCs w:val="22"/>
              </w:rPr>
              <w:t>Rapporteure</w:t>
            </w:r>
          </w:p>
        </w:tc>
        <w:tc>
          <w:tcPr>
            <w:tcW w:w="7338" w:type="dxa"/>
          </w:tcPr>
          <w:p w14:paraId="1488AC9A" w14:textId="16EE367D" w:rsidR="00354B98" w:rsidRPr="00480EA8" w:rsidRDefault="00354B98" w:rsidP="006C0D5C">
            <w:pPr>
              <w:overflowPunct w:val="0"/>
              <w:autoSpaceDE w:val="0"/>
              <w:autoSpaceDN w:val="0"/>
              <w:adjustRightInd w:val="0"/>
              <w:textAlignment w:val="baseline"/>
              <w:rPr>
                <w:sz w:val="22"/>
                <w:szCs w:val="22"/>
              </w:rPr>
            </w:pPr>
            <w:r w:rsidRPr="00480EA8">
              <w:rPr>
                <w:sz w:val="22"/>
                <w:szCs w:val="22"/>
              </w:rPr>
              <w:t>Juliane Marie NEIIENDAM (groupe des organisations de la société civile — Danemark)</w:t>
            </w:r>
          </w:p>
        </w:tc>
      </w:tr>
      <w:tr w:rsidR="00354B98" w:rsidRPr="00480EA8" w14:paraId="4E110D3A" w14:textId="77777777" w:rsidTr="00C30BC0">
        <w:tc>
          <w:tcPr>
            <w:tcW w:w="9039" w:type="dxa"/>
            <w:gridSpan w:val="2"/>
          </w:tcPr>
          <w:p w14:paraId="46EEB135" w14:textId="77777777" w:rsidR="00354B98" w:rsidRPr="00480EA8" w:rsidRDefault="00354B98" w:rsidP="00354B98">
            <w:pPr>
              <w:tabs>
                <w:tab w:val="center" w:pos="284"/>
              </w:tabs>
              <w:overflowPunct w:val="0"/>
              <w:autoSpaceDE w:val="0"/>
              <w:autoSpaceDN w:val="0"/>
              <w:adjustRightInd w:val="0"/>
              <w:spacing w:line="160" w:lineRule="exact"/>
              <w:ind w:left="266" w:hanging="266"/>
              <w:textAlignment w:val="baseline"/>
              <w:rPr>
                <w:sz w:val="22"/>
                <w:szCs w:val="22"/>
              </w:rPr>
            </w:pPr>
          </w:p>
        </w:tc>
      </w:tr>
      <w:tr w:rsidR="00354B98" w:rsidRPr="00480EA8" w14:paraId="54E406AB" w14:textId="77777777" w:rsidTr="00C30BC0">
        <w:tc>
          <w:tcPr>
            <w:tcW w:w="1701" w:type="dxa"/>
            <w:vMerge w:val="restart"/>
          </w:tcPr>
          <w:p w14:paraId="7F355524" w14:textId="77777777" w:rsidR="00354B98" w:rsidRPr="00480EA8" w:rsidRDefault="00354B98" w:rsidP="00354B98">
            <w:pPr>
              <w:tabs>
                <w:tab w:val="center" w:pos="284"/>
              </w:tabs>
              <w:overflowPunct w:val="0"/>
              <w:autoSpaceDE w:val="0"/>
              <w:autoSpaceDN w:val="0"/>
              <w:adjustRightInd w:val="0"/>
              <w:ind w:left="266" w:hanging="266"/>
              <w:textAlignment w:val="baseline"/>
              <w:rPr>
                <w:b/>
                <w:sz w:val="22"/>
                <w:szCs w:val="22"/>
              </w:rPr>
            </w:pPr>
            <w:r w:rsidRPr="00480EA8">
              <w:rPr>
                <w:b/>
                <w:sz w:val="22"/>
                <w:szCs w:val="22"/>
              </w:rPr>
              <w:t xml:space="preserve">Références </w:t>
            </w:r>
          </w:p>
        </w:tc>
        <w:tc>
          <w:tcPr>
            <w:tcW w:w="7338" w:type="dxa"/>
          </w:tcPr>
          <w:p w14:paraId="3C103592" w14:textId="4ABCDC27" w:rsidR="00354B98" w:rsidRPr="00480EA8" w:rsidRDefault="00354B98" w:rsidP="00354B98">
            <w:pPr>
              <w:tabs>
                <w:tab w:val="center" w:pos="284"/>
              </w:tabs>
              <w:overflowPunct w:val="0"/>
              <w:autoSpaceDE w:val="0"/>
              <w:autoSpaceDN w:val="0"/>
              <w:adjustRightInd w:val="0"/>
              <w:ind w:left="266" w:hanging="266"/>
              <w:textAlignment w:val="baseline"/>
              <w:rPr>
                <w:sz w:val="22"/>
                <w:szCs w:val="22"/>
              </w:rPr>
            </w:pPr>
            <w:proofErr w:type="gramStart"/>
            <w:r w:rsidRPr="00480EA8">
              <w:rPr>
                <w:sz w:val="22"/>
                <w:szCs w:val="22"/>
              </w:rPr>
              <w:t>COM(</w:t>
            </w:r>
            <w:proofErr w:type="gramEnd"/>
            <w:r w:rsidRPr="00480EA8">
              <w:rPr>
                <w:sz w:val="22"/>
                <w:szCs w:val="22"/>
              </w:rPr>
              <w:t>2025) 725 final</w:t>
            </w:r>
          </w:p>
        </w:tc>
      </w:tr>
      <w:tr w:rsidR="00354B98" w:rsidRPr="00480EA8" w14:paraId="1CC90C32" w14:textId="77777777" w:rsidTr="00C30BC0">
        <w:tc>
          <w:tcPr>
            <w:tcW w:w="1701" w:type="dxa"/>
            <w:vMerge/>
          </w:tcPr>
          <w:p w14:paraId="4AE0A5C9" w14:textId="77777777" w:rsidR="00354B98" w:rsidRPr="00480EA8" w:rsidRDefault="00354B98" w:rsidP="00354B98">
            <w:pPr>
              <w:tabs>
                <w:tab w:val="center" w:pos="284"/>
              </w:tabs>
              <w:overflowPunct w:val="0"/>
              <w:autoSpaceDE w:val="0"/>
              <w:autoSpaceDN w:val="0"/>
              <w:adjustRightInd w:val="0"/>
              <w:ind w:left="266" w:hanging="266"/>
              <w:textAlignment w:val="baseline"/>
              <w:rPr>
                <w:b/>
                <w:sz w:val="22"/>
                <w:szCs w:val="22"/>
                <w:lang w:val="en-GB"/>
              </w:rPr>
            </w:pPr>
          </w:p>
        </w:tc>
        <w:tc>
          <w:tcPr>
            <w:tcW w:w="7338" w:type="dxa"/>
          </w:tcPr>
          <w:p w14:paraId="2744FDCB" w14:textId="4A569384" w:rsidR="00354B98" w:rsidRPr="00480EA8" w:rsidRDefault="00354B98" w:rsidP="00354B98">
            <w:pPr>
              <w:tabs>
                <w:tab w:val="center" w:pos="284"/>
              </w:tabs>
              <w:overflowPunct w:val="0"/>
              <w:autoSpaceDE w:val="0"/>
              <w:autoSpaceDN w:val="0"/>
              <w:adjustRightInd w:val="0"/>
              <w:ind w:left="266" w:hanging="266"/>
              <w:textAlignment w:val="baseline"/>
              <w:rPr>
                <w:sz w:val="22"/>
                <w:szCs w:val="22"/>
              </w:rPr>
            </w:pPr>
            <w:r w:rsidRPr="00480EA8">
              <w:rPr>
                <w:sz w:val="22"/>
                <w:szCs w:val="22"/>
              </w:rPr>
              <w:t>EESC-2025-03887-00-00-AC</w:t>
            </w:r>
          </w:p>
        </w:tc>
      </w:tr>
    </w:tbl>
    <w:p w14:paraId="67E59D86" w14:textId="77777777" w:rsidR="00354B98" w:rsidRPr="00354B98" w:rsidRDefault="00354B98" w:rsidP="00354B98">
      <w:pPr>
        <w:tabs>
          <w:tab w:val="center" w:pos="284"/>
        </w:tabs>
        <w:overflowPunct w:val="0"/>
        <w:autoSpaceDE w:val="0"/>
        <w:autoSpaceDN w:val="0"/>
        <w:adjustRightInd w:val="0"/>
        <w:ind w:left="266" w:hanging="266"/>
        <w:textAlignment w:val="baseline"/>
        <w:rPr>
          <w:lang w:val="en-GB"/>
        </w:rPr>
      </w:pPr>
    </w:p>
    <w:p w14:paraId="6ED902D5"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rPr>
      </w:pPr>
      <w:r>
        <w:rPr>
          <w:b/>
        </w:rPr>
        <w:t>Points clés</w:t>
      </w:r>
    </w:p>
    <w:p w14:paraId="164E8777"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lang w:val="en-GB"/>
        </w:rPr>
      </w:pPr>
    </w:p>
    <w:p w14:paraId="5DAF8ADD" w14:textId="77777777" w:rsidR="00354B98" w:rsidRDefault="00354B98" w:rsidP="00354B98">
      <w:pPr>
        <w:overflowPunct w:val="0"/>
        <w:autoSpaceDE w:val="0"/>
        <w:autoSpaceDN w:val="0"/>
        <w:adjustRightInd w:val="0"/>
        <w:textAlignment w:val="baseline"/>
        <w:rPr>
          <w:bCs/>
          <w:iCs/>
        </w:rPr>
      </w:pPr>
      <w:r>
        <w:t xml:space="preserve">Le </w:t>
      </w:r>
      <w:proofErr w:type="gramStart"/>
      <w:r>
        <w:t>CESE:</w:t>
      </w:r>
      <w:proofErr w:type="gramEnd"/>
    </w:p>
    <w:p w14:paraId="62497E7D" w14:textId="77777777" w:rsidR="00755E1E" w:rsidRPr="00354B98" w:rsidRDefault="00755E1E" w:rsidP="00354B98">
      <w:pPr>
        <w:overflowPunct w:val="0"/>
        <w:autoSpaceDE w:val="0"/>
        <w:autoSpaceDN w:val="0"/>
        <w:adjustRightInd w:val="0"/>
        <w:textAlignment w:val="baseline"/>
        <w:rPr>
          <w:bCs/>
          <w:iCs/>
          <w:lang w:val="en-GB"/>
        </w:rPr>
      </w:pPr>
    </w:p>
    <w:p w14:paraId="326F27B0" w14:textId="77777777" w:rsidR="00354B98" w:rsidRPr="00354B98" w:rsidRDefault="00354B98" w:rsidP="00C30BC0">
      <w:pPr>
        <w:widowControl w:val="0"/>
        <w:numPr>
          <w:ilvl w:val="0"/>
          <w:numId w:val="24"/>
        </w:numPr>
        <w:overflowPunct w:val="0"/>
        <w:autoSpaceDE w:val="0"/>
        <w:autoSpaceDN w:val="0"/>
        <w:adjustRightInd w:val="0"/>
        <w:ind w:left="567" w:hanging="567"/>
        <w:textAlignment w:val="baseline"/>
        <w:rPr>
          <w:szCs w:val="20"/>
        </w:rPr>
      </w:pPr>
      <w:proofErr w:type="gramStart"/>
      <w:r>
        <w:t>accueille</w:t>
      </w:r>
      <w:proofErr w:type="gramEnd"/>
      <w:r>
        <w:t xml:space="preserve"> favorablement la stratégie 2026-2030 en faveur de l’égalité de traitement à l’égard des personnes LGBTIQ+, tout en appelant de ses vœux un renforcement des mesures, étant donné que la discrimination, la violence, le harcèlement et l’exclusion persistants, qui touchent en particulier les personnes transgenres, non binaires et intersexuées, nécessitent une action politique plus </w:t>
      </w:r>
      <w:proofErr w:type="gramStart"/>
      <w:r>
        <w:t>déterminée;</w:t>
      </w:r>
      <w:proofErr w:type="gramEnd"/>
      <w:r>
        <w:t xml:space="preserve"> </w:t>
      </w:r>
    </w:p>
    <w:p w14:paraId="6D5257E3" w14:textId="77777777" w:rsidR="00354B98" w:rsidRPr="00354B98" w:rsidRDefault="00354B98" w:rsidP="00C30BC0">
      <w:pPr>
        <w:widowControl w:val="0"/>
        <w:numPr>
          <w:ilvl w:val="0"/>
          <w:numId w:val="24"/>
        </w:numPr>
        <w:overflowPunct w:val="0"/>
        <w:autoSpaceDE w:val="0"/>
        <w:autoSpaceDN w:val="0"/>
        <w:adjustRightInd w:val="0"/>
        <w:ind w:left="567" w:hanging="567"/>
        <w:textAlignment w:val="baseline"/>
        <w:rPr>
          <w:szCs w:val="20"/>
        </w:rPr>
      </w:pPr>
      <w:proofErr w:type="gramStart"/>
      <w:r>
        <w:t>exige</w:t>
      </w:r>
      <w:proofErr w:type="gramEnd"/>
      <w:r>
        <w:t xml:space="preserve"> un renforcement de l’application et des responsabilités au moyen de critères de référence contraignants, de procédures d’infraction systématiques, de la conditionnalité liée à l’état de droit et de la mise en œuvre des stratégies nationales en faveur des personnes LGBTIQ</w:t>
      </w:r>
      <w:proofErr w:type="gramStart"/>
      <w:r>
        <w:t>+;</w:t>
      </w:r>
      <w:proofErr w:type="gramEnd"/>
      <w:r>
        <w:t xml:space="preserve"> </w:t>
      </w:r>
    </w:p>
    <w:p w14:paraId="0B028E36" w14:textId="77777777" w:rsidR="00354B98" w:rsidRPr="00354B98" w:rsidRDefault="00354B98" w:rsidP="00C30BC0">
      <w:pPr>
        <w:widowControl w:val="0"/>
        <w:numPr>
          <w:ilvl w:val="0"/>
          <w:numId w:val="24"/>
        </w:numPr>
        <w:overflowPunct w:val="0"/>
        <w:autoSpaceDE w:val="0"/>
        <w:autoSpaceDN w:val="0"/>
        <w:adjustRightInd w:val="0"/>
        <w:ind w:left="567" w:hanging="567"/>
        <w:textAlignment w:val="baseline"/>
        <w:rPr>
          <w:szCs w:val="20"/>
        </w:rPr>
      </w:pPr>
      <w:proofErr w:type="gramStart"/>
      <w:r>
        <w:t>demande</w:t>
      </w:r>
      <w:proofErr w:type="gramEnd"/>
      <w:r>
        <w:t xml:space="preserve"> que des mesures décisives soient prises pour protéger les droits fondamentaux et l’espace civique en luttant contre les réactions hostiles, la désinformation et les discours de haine, et en garantissant un soutien durable à la société </w:t>
      </w:r>
      <w:proofErr w:type="gramStart"/>
      <w:r>
        <w:t>civile;</w:t>
      </w:r>
      <w:proofErr w:type="gramEnd"/>
      <w:r>
        <w:t xml:space="preserve"> </w:t>
      </w:r>
    </w:p>
    <w:p w14:paraId="7C167313" w14:textId="77777777" w:rsidR="00354B98" w:rsidRPr="00354B98" w:rsidRDefault="00354B98" w:rsidP="00C30BC0">
      <w:pPr>
        <w:widowControl w:val="0"/>
        <w:numPr>
          <w:ilvl w:val="0"/>
          <w:numId w:val="24"/>
        </w:numPr>
        <w:overflowPunct w:val="0"/>
        <w:autoSpaceDE w:val="0"/>
        <w:autoSpaceDN w:val="0"/>
        <w:adjustRightInd w:val="0"/>
        <w:ind w:left="567" w:hanging="567"/>
        <w:textAlignment w:val="baseline"/>
        <w:rPr>
          <w:szCs w:val="20"/>
        </w:rPr>
      </w:pPr>
      <w:proofErr w:type="gramStart"/>
      <w:r>
        <w:t>appelle</w:t>
      </w:r>
      <w:proofErr w:type="gramEnd"/>
      <w:r>
        <w:t xml:space="preserve"> de ses vœux avec force la pleine égalité dans la vie quotidienne en garantissant un accès inclusif aux soins de santé, à l’éducation et à l’emploi par le renforcement de l’inclusion sur le lieu de </w:t>
      </w:r>
      <w:proofErr w:type="gramStart"/>
      <w:r>
        <w:t>travail;</w:t>
      </w:r>
      <w:proofErr w:type="gramEnd"/>
    </w:p>
    <w:p w14:paraId="0449885B" w14:textId="77777777" w:rsidR="00354B98" w:rsidRPr="00354B98" w:rsidRDefault="00354B98" w:rsidP="00C30BC0">
      <w:pPr>
        <w:widowControl w:val="0"/>
        <w:numPr>
          <w:ilvl w:val="0"/>
          <w:numId w:val="24"/>
        </w:numPr>
        <w:overflowPunct w:val="0"/>
        <w:autoSpaceDE w:val="0"/>
        <w:autoSpaceDN w:val="0"/>
        <w:adjustRightInd w:val="0"/>
        <w:ind w:left="567" w:hanging="567"/>
        <w:textAlignment w:val="baseline"/>
        <w:rPr>
          <w:szCs w:val="20"/>
        </w:rPr>
      </w:pPr>
      <w:proofErr w:type="gramStart"/>
      <w:r>
        <w:t>invite</w:t>
      </w:r>
      <w:proofErr w:type="gramEnd"/>
      <w:r>
        <w:t xml:space="preserve"> la Commission européenne à proposer une interdiction juridiquement contraignante des pratiques de conversion à l’échelle de l’UE, couvrant à la fois la mise en œuvre et la publicité de ces activités, en incluant les pratiques de conversion parmi les</w:t>
      </w:r>
      <w:proofErr w:type="gramStart"/>
      <w:r>
        <w:t xml:space="preserve"> «infractions</w:t>
      </w:r>
      <w:proofErr w:type="gramEnd"/>
      <w:r>
        <w:t xml:space="preserve"> de </w:t>
      </w:r>
      <w:proofErr w:type="gramStart"/>
      <w:r>
        <w:t>l’Union»</w:t>
      </w:r>
      <w:proofErr w:type="gramEnd"/>
      <w:r>
        <w:t xml:space="preserve"> et à les reconnaître comme des crimes de haine afin de garantir un niveau uniforme de protection sur tout le territoire de cette </w:t>
      </w:r>
      <w:proofErr w:type="gramStart"/>
      <w:r>
        <w:t>dernière;</w:t>
      </w:r>
      <w:proofErr w:type="gramEnd"/>
    </w:p>
    <w:p w14:paraId="1400C6A1" w14:textId="77777777" w:rsidR="00354B98" w:rsidRPr="00354B98" w:rsidRDefault="00354B98" w:rsidP="00C30BC0">
      <w:pPr>
        <w:widowControl w:val="0"/>
        <w:numPr>
          <w:ilvl w:val="0"/>
          <w:numId w:val="24"/>
        </w:numPr>
        <w:overflowPunct w:val="0"/>
        <w:autoSpaceDE w:val="0"/>
        <w:autoSpaceDN w:val="0"/>
        <w:adjustRightInd w:val="0"/>
        <w:ind w:left="567" w:hanging="567"/>
        <w:textAlignment w:val="baseline"/>
        <w:rPr>
          <w:szCs w:val="20"/>
        </w:rPr>
      </w:pPr>
      <w:proofErr w:type="gramStart"/>
      <w:r>
        <w:t>préconise</w:t>
      </w:r>
      <w:proofErr w:type="gramEnd"/>
      <w:r>
        <w:t xml:space="preserve"> de lutter contre les inégalités structurelles en intégrant l’égalité de traitement à l’égard des personnes LGBTIQ+ dans les politiques en matière d’inclusion sociale, de logement et de lutte contre la pauvreté, ainsi qu’en apportant un soutien ciblé aux victimes de discrimination </w:t>
      </w:r>
      <w:proofErr w:type="gramStart"/>
      <w:r>
        <w:t>intersectionnelle;</w:t>
      </w:r>
      <w:proofErr w:type="gramEnd"/>
    </w:p>
    <w:p w14:paraId="7CD0D179" w14:textId="77777777" w:rsidR="00354B98" w:rsidRPr="00354B98" w:rsidRDefault="00354B98" w:rsidP="00C30BC0">
      <w:pPr>
        <w:widowControl w:val="0"/>
        <w:numPr>
          <w:ilvl w:val="0"/>
          <w:numId w:val="24"/>
        </w:numPr>
        <w:overflowPunct w:val="0"/>
        <w:autoSpaceDE w:val="0"/>
        <w:autoSpaceDN w:val="0"/>
        <w:adjustRightInd w:val="0"/>
        <w:ind w:left="567" w:hanging="567"/>
        <w:textAlignment w:val="baseline"/>
        <w:rPr>
          <w:rFonts w:asciiTheme="minorHAnsi" w:hAnsiTheme="minorHAnsi"/>
          <w:szCs w:val="20"/>
        </w:rPr>
      </w:pPr>
      <w:proofErr w:type="gramStart"/>
      <w:r>
        <w:t>réclame</w:t>
      </w:r>
      <w:proofErr w:type="gramEnd"/>
      <w:r>
        <w:t xml:space="preserve"> des cadres à l’épreuve du temps et fondés sur les droits, élaborés en comblant les lacunes juridiques, en garantissant une reconnaissance du genre fondée sur l’autodétermination, en renforçant l’accès à la justice, en assurant un financement adéquat des organisations de la société civile, en améliorant les données intersectionnelles et en préservant l’égalité dans les technologies numériques et l’IA.</w:t>
      </w:r>
    </w:p>
    <w:p w14:paraId="7200F7A1" w14:textId="77777777" w:rsidR="00354B98" w:rsidRPr="00354B98" w:rsidRDefault="00354B98" w:rsidP="00755E1E">
      <w:pPr>
        <w:widowControl w:val="0"/>
        <w:overflowPunct w:val="0"/>
        <w:autoSpaceDE w:val="0"/>
        <w:autoSpaceDN w:val="0"/>
        <w:adjustRightInd w:val="0"/>
        <w:ind w:left="284" w:hanging="284"/>
        <w:textAlignment w:val="baseline"/>
        <w:rPr>
          <w:szCs w:val="20"/>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5670"/>
      </w:tblGrid>
      <w:tr w:rsidR="00354B98" w:rsidRPr="00480EA8" w14:paraId="3184797F" w14:textId="77777777" w:rsidTr="002E7EFB">
        <w:tc>
          <w:tcPr>
            <w:tcW w:w="1418" w:type="dxa"/>
          </w:tcPr>
          <w:p w14:paraId="2A28D240" w14:textId="77777777" w:rsidR="00354B98" w:rsidRPr="00480EA8" w:rsidRDefault="00354B98" w:rsidP="00354B98">
            <w:pPr>
              <w:overflowPunct w:val="0"/>
              <w:autoSpaceDE w:val="0"/>
              <w:autoSpaceDN w:val="0"/>
              <w:adjustRightInd w:val="0"/>
              <w:spacing w:line="240" w:lineRule="auto"/>
              <w:textAlignment w:val="baseline"/>
              <w:rPr>
                <w:i/>
                <w:sz w:val="22"/>
                <w:szCs w:val="22"/>
              </w:rPr>
            </w:pPr>
            <w:r w:rsidRPr="00480EA8">
              <w:rPr>
                <w:b/>
                <w:i/>
                <w:sz w:val="22"/>
                <w:szCs w:val="22"/>
              </w:rPr>
              <w:t>Contact</w:t>
            </w:r>
          </w:p>
        </w:tc>
        <w:tc>
          <w:tcPr>
            <w:tcW w:w="5670" w:type="dxa"/>
          </w:tcPr>
          <w:p w14:paraId="7B16B757" w14:textId="08FB7356" w:rsidR="00354B98" w:rsidRPr="00480EA8" w:rsidRDefault="00354B98" w:rsidP="00354B98">
            <w:pPr>
              <w:overflowPunct w:val="0"/>
              <w:autoSpaceDE w:val="0"/>
              <w:autoSpaceDN w:val="0"/>
              <w:adjustRightInd w:val="0"/>
              <w:spacing w:line="240" w:lineRule="auto"/>
              <w:textAlignment w:val="baseline"/>
              <w:rPr>
                <w:i/>
                <w:sz w:val="22"/>
                <w:szCs w:val="22"/>
              </w:rPr>
            </w:pPr>
            <w:r w:rsidRPr="00480EA8">
              <w:rPr>
                <w:i/>
                <w:sz w:val="22"/>
                <w:szCs w:val="22"/>
              </w:rPr>
              <w:t>Bartek Bednarowicz</w:t>
            </w:r>
          </w:p>
        </w:tc>
      </w:tr>
      <w:tr w:rsidR="00354B98" w:rsidRPr="00480EA8" w14:paraId="0E1F3D07" w14:textId="77777777" w:rsidTr="002E7EFB">
        <w:tc>
          <w:tcPr>
            <w:tcW w:w="1418" w:type="dxa"/>
          </w:tcPr>
          <w:p w14:paraId="4235BE66" w14:textId="77777777" w:rsidR="00354B98" w:rsidRPr="00480EA8" w:rsidRDefault="00354B98" w:rsidP="00634494">
            <w:pPr>
              <w:overflowPunct w:val="0"/>
              <w:autoSpaceDE w:val="0"/>
              <w:autoSpaceDN w:val="0"/>
              <w:adjustRightInd w:val="0"/>
              <w:spacing w:line="240" w:lineRule="auto"/>
              <w:ind w:left="567"/>
              <w:textAlignment w:val="baseline"/>
              <w:rPr>
                <w:i/>
                <w:sz w:val="22"/>
                <w:szCs w:val="22"/>
              </w:rPr>
            </w:pPr>
            <w:r w:rsidRPr="00480EA8">
              <w:rPr>
                <w:i/>
                <w:sz w:val="22"/>
                <w:szCs w:val="22"/>
              </w:rPr>
              <w:t>Tél.</w:t>
            </w:r>
          </w:p>
        </w:tc>
        <w:tc>
          <w:tcPr>
            <w:tcW w:w="5670" w:type="dxa"/>
          </w:tcPr>
          <w:p w14:paraId="22D630EA" w14:textId="77777777" w:rsidR="00354B98" w:rsidRPr="00480EA8" w:rsidRDefault="00354B98" w:rsidP="00354B98">
            <w:pPr>
              <w:overflowPunct w:val="0"/>
              <w:autoSpaceDE w:val="0"/>
              <w:autoSpaceDN w:val="0"/>
              <w:adjustRightInd w:val="0"/>
              <w:spacing w:line="240" w:lineRule="auto"/>
              <w:textAlignment w:val="baseline"/>
              <w:rPr>
                <w:i/>
                <w:sz w:val="22"/>
                <w:szCs w:val="22"/>
              </w:rPr>
            </w:pPr>
            <w:r w:rsidRPr="00480EA8">
              <w:rPr>
                <w:i/>
                <w:sz w:val="22"/>
                <w:szCs w:val="22"/>
              </w:rPr>
              <w:t>+32 2 546 9229</w:t>
            </w:r>
          </w:p>
        </w:tc>
      </w:tr>
      <w:tr w:rsidR="00354B98" w:rsidRPr="00480EA8" w14:paraId="07F9D924" w14:textId="77777777" w:rsidTr="002E7EFB">
        <w:tc>
          <w:tcPr>
            <w:tcW w:w="1418" w:type="dxa"/>
          </w:tcPr>
          <w:p w14:paraId="5F74FBF9" w14:textId="76661680" w:rsidR="00354B98" w:rsidRPr="00480EA8" w:rsidRDefault="00755E1E" w:rsidP="00634494">
            <w:pPr>
              <w:overflowPunct w:val="0"/>
              <w:autoSpaceDE w:val="0"/>
              <w:autoSpaceDN w:val="0"/>
              <w:adjustRightInd w:val="0"/>
              <w:spacing w:line="240" w:lineRule="auto"/>
              <w:ind w:left="567"/>
              <w:textAlignment w:val="baseline"/>
              <w:rPr>
                <w:i/>
                <w:sz w:val="22"/>
                <w:szCs w:val="22"/>
              </w:rPr>
            </w:pPr>
            <w:r w:rsidRPr="00480EA8">
              <w:rPr>
                <w:i/>
                <w:sz w:val="22"/>
                <w:szCs w:val="22"/>
              </w:rPr>
              <w:t>Courriel</w:t>
            </w:r>
          </w:p>
        </w:tc>
        <w:tc>
          <w:tcPr>
            <w:tcW w:w="5670" w:type="dxa"/>
          </w:tcPr>
          <w:p w14:paraId="25F375C5" w14:textId="0A1F4F9B" w:rsidR="00354B98" w:rsidRPr="00480EA8" w:rsidRDefault="00E44636" w:rsidP="00354B98">
            <w:pPr>
              <w:overflowPunct w:val="0"/>
              <w:autoSpaceDE w:val="0"/>
              <w:autoSpaceDN w:val="0"/>
              <w:adjustRightInd w:val="0"/>
              <w:spacing w:line="240" w:lineRule="auto"/>
              <w:textAlignment w:val="baseline"/>
              <w:rPr>
                <w:i/>
                <w:iCs/>
                <w:sz w:val="22"/>
                <w:szCs w:val="22"/>
              </w:rPr>
            </w:pPr>
            <w:hyperlink r:id="rId28" w:history="1">
              <w:r w:rsidRPr="00480EA8">
                <w:rPr>
                  <w:i/>
                  <w:color w:val="0000FF"/>
                  <w:sz w:val="22"/>
                  <w:szCs w:val="22"/>
                  <w:u w:val="single"/>
                </w:rPr>
                <w:t xml:space="preserve">Bartek.Bednarowicz@eesc.europa.eu </w:t>
              </w:r>
            </w:hyperlink>
          </w:p>
        </w:tc>
      </w:tr>
    </w:tbl>
    <w:p w14:paraId="14FBB575" w14:textId="299B192B" w:rsidR="00C82A9F" w:rsidRDefault="00C82A9F">
      <w:pPr>
        <w:spacing w:after="160" w:line="259" w:lineRule="auto"/>
        <w:jc w:val="left"/>
      </w:pPr>
    </w:p>
    <w:p w14:paraId="7477FCDA" w14:textId="4BA4A3D5" w:rsidR="005D43B9" w:rsidRPr="005D43B9" w:rsidRDefault="00E44636" w:rsidP="005D43B9">
      <w:pPr>
        <w:widowControl w:val="0"/>
        <w:numPr>
          <w:ilvl w:val="0"/>
          <w:numId w:val="8"/>
        </w:numPr>
        <w:overflowPunct w:val="0"/>
        <w:autoSpaceDE w:val="0"/>
        <w:autoSpaceDN w:val="0"/>
        <w:adjustRightInd w:val="0"/>
        <w:ind w:left="567" w:hanging="567"/>
        <w:textAlignment w:val="baseline"/>
        <w:rPr>
          <w:sz w:val="16"/>
          <w:szCs w:val="16"/>
        </w:rPr>
      </w:pPr>
      <w:hyperlink r:id="rId29" w:history="1">
        <w:r>
          <w:rPr>
            <w:b/>
            <w:i/>
            <w:color w:val="0000FF"/>
            <w:sz w:val="28"/>
            <w:u w:val="single"/>
          </w:rPr>
          <w:t>Compétitivité de l’UE et entrepreneuriat des jeunes</w:t>
        </w:r>
      </w:hyperlink>
    </w:p>
    <w:p w14:paraId="3A2C24D1" w14:textId="77777777" w:rsidR="005D43B9" w:rsidRPr="005D43B9" w:rsidRDefault="005D43B9" w:rsidP="004C6742">
      <w:pPr>
        <w:widowControl w:val="0"/>
        <w:overflowPunct w:val="0"/>
        <w:autoSpaceDE w:val="0"/>
        <w:autoSpaceDN w:val="0"/>
        <w:adjustRightInd w:val="0"/>
        <w:jc w:val="left"/>
        <w:textAlignment w:val="baseline"/>
        <w:rPr>
          <w:bCs/>
          <w:iCs/>
          <w:lang w:val="en-G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479"/>
      </w:tblGrid>
      <w:tr w:rsidR="005D43B9" w:rsidRPr="00480EA8" w14:paraId="2FF33FAA" w14:textId="77777777" w:rsidTr="006C0D5C">
        <w:tc>
          <w:tcPr>
            <w:tcW w:w="1701" w:type="dxa"/>
          </w:tcPr>
          <w:p w14:paraId="4A8D35E0" w14:textId="77777777" w:rsidR="005D43B9" w:rsidRPr="00480EA8" w:rsidRDefault="005D43B9" w:rsidP="005D43B9">
            <w:pPr>
              <w:tabs>
                <w:tab w:val="center" w:pos="284"/>
              </w:tabs>
              <w:overflowPunct w:val="0"/>
              <w:autoSpaceDE w:val="0"/>
              <w:autoSpaceDN w:val="0"/>
              <w:adjustRightInd w:val="0"/>
              <w:spacing w:line="240" w:lineRule="auto"/>
              <w:ind w:left="567" w:hanging="567"/>
              <w:textAlignment w:val="baseline"/>
              <w:rPr>
                <w:b/>
                <w:sz w:val="22"/>
                <w:szCs w:val="22"/>
              </w:rPr>
            </w:pPr>
            <w:r w:rsidRPr="00480EA8">
              <w:rPr>
                <w:b/>
                <w:sz w:val="22"/>
                <w:szCs w:val="22"/>
              </w:rPr>
              <w:t>Rapporteur</w:t>
            </w:r>
          </w:p>
          <w:p w14:paraId="2658A4F3" w14:textId="77777777" w:rsidR="005D43B9" w:rsidRPr="00480EA8" w:rsidRDefault="005D43B9" w:rsidP="005D43B9">
            <w:pPr>
              <w:tabs>
                <w:tab w:val="center" w:pos="284"/>
              </w:tabs>
              <w:overflowPunct w:val="0"/>
              <w:autoSpaceDE w:val="0"/>
              <w:autoSpaceDN w:val="0"/>
              <w:adjustRightInd w:val="0"/>
              <w:spacing w:line="240" w:lineRule="auto"/>
              <w:ind w:left="567" w:hanging="567"/>
              <w:textAlignment w:val="baseline"/>
              <w:rPr>
                <w:b/>
                <w:sz w:val="22"/>
                <w:szCs w:val="22"/>
              </w:rPr>
            </w:pPr>
          </w:p>
        </w:tc>
        <w:tc>
          <w:tcPr>
            <w:tcW w:w="7479" w:type="dxa"/>
          </w:tcPr>
          <w:p w14:paraId="31BCB833" w14:textId="7B3A0553" w:rsidR="005D43B9" w:rsidRPr="00480EA8" w:rsidRDefault="005D43B9" w:rsidP="005D43B9">
            <w:pPr>
              <w:overflowPunct w:val="0"/>
              <w:autoSpaceDE w:val="0"/>
              <w:autoSpaceDN w:val="0"/>
              <w:adjustRightInd w:val="0"/>
              <w:spacing w:line="240" w:lineRule="auto"/>
              <w:ind w:left="567" w:hanging="567"/>
              <w:textAlignment w:val="baseline"/>
              <w:rPr>
                <w:sz w:val="22"/>
                <w:szCs w:val="22"/>
              </w:rPr>
            </w:pPr>
            <w:r w:rsidRPr="00480EA8">
              <w:rPr>
                <w:sz w:val="22"/>
                <w:szCs w:val="22"/>
              </w:rPr>
              <w:t>Giuseppe GUERINI (groupe des organisations de la société civile — Italie)</w:t>
            </w:r>
          </w:p>
        </w:tc>
      </w:tr>
      <w:tr w:rsidR="005D43B9" w:rsidRPr="00480EA8" w14:paraId="118E6E00" w14:textId="77777777" w:rsidTr="006C0D5C">
        <w:tc>
          <w:tcPr>
            <w:tcW w:w="1701" w:type="dxa"/>
            <w:vMerge w:val="restart"/>
          </w:tcPr>
          <w:p w14:paraId="21DE2D02" w14:textId="77777777" w:rsidR="005D43B9" w:rsidRPr="00480EA8" w:rsidRDefault="005D43B9" w:rsidP="005D43B9">
            <w:pPr>
              <w:tabs>
                <w:tab w:val="center" w:pos="284"/>
              </w:tabs>
              <w:overflowPunct w:val="0"/>
              <w:autoSpaceDE w:val="0"/>
              <w:autoSpaceDN w:val="0"/>
              <w:adjustRightInd w:val="0"/>
              <w:spacing w:line="240" w:lineRule="auto"/>
              <w:ind w:left="567" w:hanging="567"/>
              <w:textAlignment w:val="baseline"/>
              <w:rPr>
                <w:b/>
                <w:sz w:val="22"/>
                <w:szCs w:val="22"/>
              </w:rPr>
            </w:pPr>
            <w:r w:rsidRPr="00480EA8">
              <w:rPr>
                <w:b/>
                <w:sz w:val="22"/>
                <w:szCs w:val="22"/>
              </w:rPr>
              <w:t>Références</w:t>
            </w:r>
          </w:p>
        </w:tc>
        <w:tc>
          <w:tcPr>
            <w:tcW w:w="7479" w:type="dxa"/>
          </w:tcPr>
          <w:p w14:paraId="2EF0047D" w14:textId="66FB81B3" w:rsidR="004A4B18" w:rsidRPr="00480EA8" w:rsidRDefault="005E01B5" w:rsidP="006C0D5C">
            <w:pPr>
              <w:overflowPunct w:val="0"/>
              <w:autoSpaceDE w:val="0"/>
              <w:autoSpaceDN w:val="0"/>
              <w:adjustRightInd w:val="0"/>
              <w:spacing w:line="240" w:lineRule="auto"/>
              <w:textAlignment w:val="baseline"/>
              <w:rPr>
                <w:sz w:val="22"/>
                <w:szCs w:val="22"/>
              </w:rPr>
            </w:pPr>
            <w:r w:rsidRPr="00480EA8">
              <w:rPr>
                <w:sz w:val="22"/>
                <w:szCs w:val="22"/>
              </w:rPr>
              <w:t>Avis exploratoire à la demande de la présidence chypriote du Conseil de l’Union européenne</w:t>
            </w:r>
          </w:p>
          <w:p w14:paraId="63716DCE" w14:textId="39FCB672" w:rsidR="005D43B9" w:rsidRPr="00480EA8" w:rsidRDefault="005D43B9" w:rsidP="005D43B9">
            <w:pPr>
              <w:tabs>
                <w:tab w:val="center" w:pos="284"/>
              </w:tabs>
              <w:overflowPunct w:val="0"/>
              <w:autoSpaceDE w:val="0"/>
              <w:autoSpaceDN w:val="0"/>
              <w:adjustRightInd w:val="0"/>
              <w:spacing w:line="240" w:lineRule="auto"/>
              <w:ind w:left="567" w:hanging="567"/>
              <w:textAlignment w:val="baseline"/>
              <w:rPr>
                <w:sz w:val="22"/>
                <w:szCs w:val="22"/>
              </w:rPr>
            </w:pPr>
            <w:r w:rsidRPr="00480EA8">
              <w:rPr>
                <w:sz w:val="22"/>
                <w:szCs w:val="22"/>
              </w:rPr>
              <w:t>EESC-2025-04305-00-00-AC</w:t>
            </w:r>
          </w:p>
        </w:tc>
      </w:tr>
      <w:tr w:rsidR="005D43B9" w:rsidRPr="005D43B9" w14:paraId="2A0968A0" w14:textId="77777777" w:rsidTr="006C0D5C">
        <w:tc>
          <w:tcPr>
            <w:tcW w:w="1701" w:type="dxa"/>
            <w:vMerge/>
          </w:tcPr>
          <w:p w14:paraId="201EBAA3" w14:textId="77777777" w:rsidR="005D43B9" w:rsidRPr="005D43B9" w:rsidRDefault="005D43B9" w:rsidP="005D43B9">
            <w:pPr>
              <w:tabs>
                <w:tab w:val="center" w:pos="284"/>
              </w:tabs>
              <w:overflowPunct w:val="0"/>
              <w:autoSpaceDE w:val="0"/>
              <w:autoSpaceDN w:val="0"/>
              <w:adjustRightInd w:val="0"/>
              <w:spacing w:line="240" w:lineRule="auto"/>
              <w:ind w:left="266" w:hanging="266"/>
              <w:textAlignment w:val="baseline"/>
              <w:rPr>
                <w:b/>
                <w:lang w:val="pt-PT"/>
              </w:rPr>
            </w:pPr>
          </w:p>
        </w:tc>
        <w:tc>
          <w:tcPr>
            <w:tcW w:w="7479" w:type="dxa"/>
          </w:tcPr>
          <w:p w14:paraId="55EAC160" w14:textId="77777777" w:rsidR="005D43B9" w:rsidRPr="005D43B9" w:rsidRDefault="005D43B9" w:rsidP="005D43B9">
            <w:pPr>
              <w:tabs>
                <w:tab w:val="center" w:pos="284"/>
              </w:tabs>
              <w:overflowPunct w:val="0"/>
              <w:autoSpaceDE w:val="0"/>
              <w:autoSpaceDN w:val="0"/>
              <w:adjustRightInd w:val="0"/>
              <w:spacing w:line="240" w:lineRule="auto"/>
              <w:ind w:left="266" w:hanging="266"/>
              <w:textAlignment w:val="baseline"/>
              <w:rPr>
                <w:sz w:val="16"/>
                <w:szCs w:val="16"/>
                <w:lang w:val="pt-PT"/>
              </w:rPr>
            </w:pPr>
          </w:p>
        </w:tc>
      </w:tr>
    </w:tbl>
    <w:p w14:paraId="45FF996B" w14:textId="77777777" w:rsidR="005D43B9" w:rsidRPr="005D43B9" w:rsidRDefault="005D43B9" w:rsidP="00C30BC0">
      <w:pPr>
        <w:keepNext/>
        <w:keepLines/>
        <w:tabs>
          <w:tab w:val="center" w:pos="284"/>
        </w:tabs>
        <w:overflowPunct w:val="0"/>
        <w:autoSpaceDE w:val="0"/>
        <w:autoSpaceDN w:val="0"/>
        <w:adjustRightInd w:val="0"/>
        <w:ind w:left="266" w:hanging="266"/>
        <w:textAlignment w:val="baseline"/>
        <w:rPr>
          <w:b/>
        </w:rPr>
      </w:pPr>
      <w:r>
        <w:rPr>
          <w:b/>
        </w:rPr>
        <w:t>Points clés</w:t>
      </w:r>
    </w:p>
    <w:p w14:paraId="28902840" w14:textId="77777777" w:rsidR="00C30BC0" w:rsidRDefault="00C30BC0" w:rsidP="00C30BC0">
      <w:pPr>
        <w:rPr>
          <w:sz w:val="24"/>
        </w:rPr>
      </w:pPr>
    </w:p>
    <w:p w14:paraId="79AD68CC" w14:textId="57DBDBE8" w:rsidR="005D43B9" w:rsidRDefault="005D43B9" w:rsidP="00C30BC0">
      <w:pPr>
        <w:rPr>
          <w:sz w:val="24"/>
        </w:rPr>
      </w:pPr>
      <w:r>
        <w:rPr>
          <w:sz w:val="24"/>
        </w:rPr>
        <w:t xml:space="preserve">Le </w:t>
      </w:r>
      <w:proofErr w:type="gramStart"/>
      <w:r>
        <w:rPr>
          <w:sz w:val="24"/>
        </w:rPr>
        <w:t>CESE:</w:t>
      </w:r>
      <w:proofErr w:type="gramEnd"/>
    </w:p>
    <w:p w14:paraId="6597FA52" w14:textId="77777777" w:rsidR="00C30BC0" w:rsidRDefault="00C30BC0" w:rsidP="00C30BC0">
      <w:pPr>
        <w:rPr>
          <w:sz w:val="24"/>
          <w:szCs w:val="24"/>
        </w:rPr>
      </w:pPr>
    </w:p>
    <w:p w14:paraId="540BE654" w14:textId="2CEFB07C" w:rsidR="0041766F" w:rsidRDefault="0041766F" w:rsidP="0041766F">
      <w:pPr>
        <w:pStyle w:val="ListParagraph"/>
        <w:numPr>
          <w:ilvl w:val="0"/>
          <w:numId w:val="78"/>
        </w:numPr>
        <w:ind w:left="567" w:hanging="567"/>
        <w:rPr>
          <w:szCs w:val="20"/>
        </w:rPr>
      </w:pPr>
      <w:bookmarkStart w:id="10" w:name="_Toc228805424"/>
      <w:proofErr w:type="gramStart"/>
      <w:r>
        <w:t>demande</w:t>
      </w:r>
      <w:proofErr w:type="gramEnd"/>
      <w:r>
        <w:t xml:space="preserve"> que l’Union et les États membres adoptent une stratégie globale et coordonnée visant à fournir un train de mesures de soutien intégré aux jeunes entrepreneurs, combinant financement accessible, formation sur mesure, mentorat, accompagnement, incubation d’entreprises et écosystèmes locaux solides, afin de maximiser la création d’entreprises et leur </w:t>
      </w:r>
      <w:proofErr w:type="gramStart"/>
      <w:r>
        <w:t>durabilité;</w:t>
      </w:r>
      <w:bookmarkEnd w:id="10"/>
      <w:proofErr w:type="gramEnd"/>
    </w:p>
    <w:p w14:paraId="0760FE7F" w14:textId="74707AD8" w:rsidR="0041766F" w:rsidRDefault="0041766F" w:rsidP="0041766F">
      <w:pPr>
        <w:pStyle w:val="ListParagraph"/>
        <w:numPr>
          <w:ilvl w:val="0"/>
          <w:numId w:val="78"/>
        </w:numPr>
        <w:ind w:left="567" w:hanging="567"/>
        <w:rPr>
          <w:szCs w:val="20"/>
        </w:rPr>
      </w:pPr>
      <w:bookmarkStart w:id="11" w:name="_Toc228805425"/>
      <w:proofErr w:type="gramStart"/>
      <w:r>
        <w:t>demande</w:t>
      </w:r>
      <w:proofErr w:type="gramEnd"/>
      <w:r>
        <w:t xml:space="preserve"> que l’on procède à un changement radical dans l’accès au financement, en élargissant les instruments de financement adaptés aux jeunes, au-delà des prêts bancaires traditionnels, en favorisant notamment le microfinancement, les capitaux alternatifs et le soutien ciblé aux entreprises de l’économie sociale et à d’autres modèles orientés sur </w:t>
      </w:r>
      <w:proofErr w:type="gramStart"/>
      <w:r>
        <w:t>l’impact;</w:t>
      </w:r>
      <w:bookmarkEnd w:id="11"/>
      <w:proofErr w:type="gramEnd"/>
    </w:p>
    <w:p w14:paraId="00F6A2BD" w14:textId="337DE380" w:rsidR="0041766F" w:rsidRDefault="0041766F" w:rsidP="0041766F">
      <w:pPr>
        <w:pStyle w:val="ListParagraph"/>
        <w:numPr>
          <w:ilvl w:val="0"/>
          <w:numId w:val="78"/>
        </w:numPr>
        <w:ind w:left="567" w:hanging="567"/>
        <w:rPr>
          <w:szCs w:val="20"/>
        </w:rPr>
      </w:pPr>
      <w:bookmarkStart w:id="12" w:name="_Toc228805426"/>
      <w:proofErr w:type="gramStart"/>
      <w:r>
        <w:t>demande</w:t>
      </w:r>
      <w:proofErr w:type="gramEnd"/>
      <w:r>
        <w:t xml:space="preserve"> instamment une simplification décisive des cadres administratifs et réglementaires aux niveaux européen, national et local afin de réduire les formalités administratives, de diminuer les coûts de mise en conformité et de créer un environnement stable et favorable aux entreprises pour les jeunes </w:t>
      </w:r>
      <w:proofErr w:type="gramStart"/>
      <w:r>
        <w:t>entrepreneurs;</w:t>
      </w:r>
      <w:bookmarkEnd w:id="12"/>
      <w:proofErr w:type="gramEnd"/>
    </w:p>
    <w:p w14:paraId="4FA7B4DD" w14:textId="5A390392" w:rsidR="0041766F" w:rsidRPr="0041766F" w:rsidRDefault="0041766F" w:rsidP="0041766F">
      <w:pPr>
        <w:pStyle w:val="ListParagraph"/>
        <w:numPr>
          <w:ilvl w:val="0"/>
          <w:numId w:val="78"/>
        </w:numPr>
        <w:ind w:left="567" w:hanging="567"/>
        <w:rPr>
          <w:szCs w:val="20"/>
        </w:rPr>
      </w:pPr>
      <w:bookmarkStart w:id="13" w:name="_Toc228805427"/>
      <w:proofErr w:type="gramStart"/>
      <w:r>
        <w:t>recommande</w:t>
      </w:r>
      <w:proofErr w:type="gramEnd"/>
      <w:r>
        <w:t xml:space="preserve"> d’intégrer l’éducation à l’entrepreneuriat, la culture financière et l’esprit d’entreprise dans tous les systèmes d’éducation et de formation, en particulier les parcours professionnels et en alternance, tout en renforçant les compétences numériques et avancées, y compris en matière d’IA, afin de préparer les jeunes aux futurs </w:t>
      </w:r>
      <w:proofErr w:type="gramStart"/>
      <w:r>
        <w:t>marchés;</w:t>
      </w:r>
      <w:bookmarkEnd w:id="13"/>
      <w:proofErr w:type="gramEnd"/>
    </w:p>
    <w:p w14:paraId="49C711E2" w14:textId="48E97026" w:rsidR="0041766F" w:rsidRPr="0041766F" w:rsidRDefault="0041766F" w:rsidP="0041766F">
      <w:pPr>
        <w:pStyle w:val="ListParagraph"/>
        <w:numPr>
          <w:ilvl w:val="0"/>
          <w:numId w:val="78"/>
        </w:numPr>
        <w:ind w:left="567" w:hanging="567"/>
        <w:rPr>
          <w:szCs w:val="20"/>
        </w:rPr>
      </w:pPr>
      <w:bookmarkStart w:id="14" w:name="_Toc228805428"/>
      <w:proofErr w:type="gramStart"/>
      <w:r>
        <w:t>demande</w:t>
      </w:r>
      <w:proofErr w:type="gramEnd"/>
      <w:r>
        <w:t xml:space="preserve"> un renforcement des écosystèmes de soutien, en développant les possibilités de mentorat, de parrainage, de mise en réseau et d’internationalisation, y compris des programmes de mobilité et l’accès aux marchés transfrontières, afin de renforcer l’innovation, l’évolutivité et la </w:t>
      </w:r>
      <w:proofErr w:type="gramStart"/>
      <w:r>
        <w:t>compétitivité;</w:t>
      </w:r>
      <w:bookmarkEnd w:id="14"/>
      <w:proofErr w:type="gramEnd"/>
    </w:p>
    <w:p w14:paraId="57634749" w14:textId="54E89129" w:rsidR="0041766F" w:rsidRDefault="0041766F" w:rsidP="0041766F">
      <w:pPr>
        <w:pStyle w:val="ListParagraph"/>
        <w:numPr>
          <w:ilvl w:val="0"/>
          <w:numId w:val="78"/>
        </w:numPr>
        <w:ind w:left="567" w:hanging="567"/>
        <w:rPr>
          <w:szCs w:val="20"/>
        </w:rPr>
      </w:pPr>
      <w:bookmarkStart w:id="15" w:name="_Toc228805429"/>
      <w:proofErr w:type="gramStart"/>
      <w:r>
        <w:t>demande</w:t>
      </w:r>
      <w:proofErr w:type="gramEnd"/>
      <w:r>
        <w:t xml:space="preserve"> instamment la mise en place de politiques d’entrepreneuriat inclusives et durables qui comblent les écarts pour les groupes sous-représentés, promeuvent une culture de la</w:t>
      </w:r>
      <w:proofErr w:type="gramStart"/>
      <w:r>
        <w:t xml:space="preserve"> «seconde</w:t>
      </w:r>
      <w:proofErr w:type="gramEnd"/>
      <w:r>
        <w:t xml:space="preserve"> </w:t>
      </w:r>
      <w:proofErr w:type="gramStart"/>
      <w:r>
        <w:t>chance»</w:t>
      </w:r>
      <w:proofErr w:type="gramEnd"/>
      <w:r>
        <w:t>, garantissent une protection sociale adéquate et positionnent l’entrepreneuriat des jeunes comme une voie volontaire mais stratégique pour des marchés du travail résilients et pour la compétitivité à long terme de l’Union.</w:t>
      </w:r>
      <w:bookmarkEnd w:id="15"/>
    </w:p>
    <w:p w14:paraId="2AD1F760" w14:textId="77777777" w:rsidR="0041766F" w:rsidRPr="005D43B9" w:rsidRDefault="0041766F" w:rsidP="00C30BC0">
      <w:pPr>
        <w:rPr>
          <w:sz w:val="24"/>
          <w:szCs w:val="24"/>
        </w:rPr>
      </w:pPr>
    </w:p>
    <w:tbl>
      <w:tblPr>
        <w:tblStyle w:val="TableGrid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71"/>
      </w:tblGrid>
      <w:tr w:rsidR="005D43B9" w:rsidRPr="00480EA8" w14:paraId="3AEDDC10" w14:textId="77777777" w:rsidTr="002E7EFB">
        <w:tc>
          <w:tcPr>
            <w:tcW w:w="2263" w:type="dxa"/>
          </w:tcPr>
          <w:p w14:paraId="0448BC47" w14:textId="77777777" w:rsidR="005D43B9" w:rsidRPr="00480EA8" w:rsidRDefault="005D43B9" w:rsidP="005D43B9">
            <w:pPr>
              <w:overflowPunct w:val="0"/>
              <w:autoSpaceDE w:val="0"/>
              <w:autoSpaceDN w:val="0"/>
              <w:adjustRightInd w:val="0"/>
              <w:textAlignment w:val="baseline"/>
              <w:rPr>
                <w:i/>
                <w:iCs/>
                <w:sz w:val="22"/>
                <w:szCs w:val="22"/>
              </w:rPr>
            </w:pPr>
            <w:r w:rsidRPr="00480EA8">
              <w:rPr>
                <w:i/>
                <w:sz w:val="22"/>
                <w:szCs w:val="22"/>
              </w:rPr>
              <w:t>Contact</w:t>
            </w:r>
          </w:p>
        </w:tc>
        <w:tc>
          <w:tcPr>
            <w:tcW w:w="7371" w:type="dxa"/>
          </w:tcPr>
          <w:p w14:paraId="756B92DB" w14:textId="77777777" w:rsidR="005D43B9" w:rsidRPr="00480EA8" w:rsidRDefault="005D43B9" w:rsidP="005D43B9">
            <w:pPr>
              <w:overflowPunct w:val="0"/>
              <w:autoSpaceDE w:val="0"/>
              <w:autoSpaceDN w:val="0"/>
              <w:adjustRightInd w:val="0"/>
              <w:textAlignment w:val="baseline"/>
              <w:rPr>
                <w:i/>
                <w:iCs/>
                <w:sz w:val="22"/>
                <w:szCs w:val="22"/>
              </w:rPr>
            </w:pPr>
            <w:r w:rsidRPr="00480EA8">
              <w:rPr>
                <w:i/>
                <w:sz w:val="22"/>
                <w:szCs w:val="22"/>
              </w:rPr>
              <w:t>Bartek Bednarowicz</w:t>
            </w:r>
          </w:p>
        </w:tc>
      </w:tr>
      <w:tr w:rsidR="005D43B9" w:rsidRPr="00480EA8" w14:paraId="11B3891D" w14:textId="77777777" w:rsidTr="002E7EFB">
        <w:tc>
          <w:tcPr>
            <w:tcW w:w="2263" w:type="dxa"/>
          </w:tcPr>
          <w:p w14:paraId="52201912" w14:textId="77777777" w:rsidR="005D43B9" w:rsidRPr="00480EA8" w:rsidRDefault="005D43B9" w:rsidP="00634494">
            <w:pPr>
              <w:overflowPunct w:val="0"/>
              <w:autoSpaceDE w:val="0"/>
              <w:autoSpaceDN w:val="0"/>
              <w:adjustRightInd w:val="0"/>
              <w:ind w:left="567"/>
              <w:textAlignment w:val="baseline"/>
              <w:rPr>
                <w:i/>
                <w:iCs/>
                <w:sz w:val="22"/>
                <w:szCs w:val="22"/>
              </w:rPr>
            </w:pPr>
            <w:r w:rsidRPr="00480EA8">
              <w:rPr>
                <w:i/>
                <w:sz w:val="22"/>
                <w:szCs w:val="22"/>
              </w:rPr>
              <w:t>Tél.</w:t>
            </w:r>
          </w:p>
        </w:tc>
        <w:tc>
          <w:tcPr>
            <w:tcW w:w="7371" w:type="dxa"/>
          </w:tcPr>
          <w:p w14:paraId="346E976A" w14:textId="77777777" w:rsidR="005D43B9" w:rsidRPr="00480EA8" w:rsidRDefault="005D43B9" w:rsidP="005D43B9">
            <w:pPr>
              <w:overflowPunct w:val="0"/>
              <w:autoSpaceDE w:val="0"/>
              <w:autoSpaceDN w:val="0"/>
              <w:adjustRightInd w:val="0"/>
              <w:textAlignment w:val="baseline"/>
              <w:rPr>
                <w:i/>
                <w:iCs/>
                <w:sz w:val="22"/>
                <w:szCs w:val="22"/>
              </w:rPr>
            </w:pPr>
            <w:r w:rsidRPr="00480EA8">
              <w:rPr>
                <w:i/>
                <w:sz w:val="22"/>
                <w:szCs w:val="22"/>
              </w:rPr>
              <w:t>+32 2 546 9229</w:t>
            </w:r>
          </w:p>
        </w:tc>
      </w:tr>
      <w:tr w:rsidR="005D43B9" w:rsidRPr="00480EA8" w14:paraId="74A431CF" w14:textId="77777777" w:rsidTr="002E7EFB">
        <w:tc>
          <w:tcPr>
            <w:tcW w:w="2263" w:type="dxa"/>
          </w:tcPr>
          <w:p w14:paraId="2F9FDB94" w14:textId="77777777" w:rsidR="005D43B9" w:rsidRPr="00480EA8" w:rsidRDefault="005D43B9" w:rsidP="00634494">
            <w:pPr>
              <w:overflowPunct w:val="0"/>
              <w:autoSpaceDE w:val="0"/>
              <w:autoSpaceDN w:val="0"/>
              <w:adjustRightInd w:val="0"/>
              <w:ind w:left="567"/>
              <w:textAlignment w:val="baseline"/>
              <w:rPr>
                <w:i/>
                <w:iCs/>
                <w:sz w:val="22"/>
                <w:szCs w:val="22"/>
              </w:rPr>
            </w:pPr>
            <w:r w:rsidRPr="00480EA8">
              <w:rPr>
                <w:i/>
                <w:sz w:val="22"/>
                <w:szCs w:val="22"/>
              </w:rPr>
              <w:t>Courriel</w:t>
            </w:r>
          </w:p>
        </w:tc>
        <w:tc>
          <w:tcPr>
            <w:tcW w:w="7371" w:type="dxa"/>
          </w:tcPr>
          <w:p w14:paraId="22B77F87" w14:textId="2C90C942" w:rsidR="005D43B9" w:rsidRPr="00480EA8" w:rsidRDefault="00E44636" w:rsidP="005D43B9">
            <w:pPr>
              <w:overflowPunct w:val="0"/>
              <w:autoSpaceDE w:val="0"/>
              <w:autoSpaceDN w:val="0"/>
              <w:adjustRightInd w:val="0"/>
              <w:textAlignment w:val="baseline"/>
              <w:rPr>
                <w:i/>
                <w:iCs/>
                <w:sz w:val="22"/>
                <w:szCs w:val="22"/>
              </w:rPr>
            </w:pPr>
            <w:hyperlink r:id="rId30" w:history="1">
              <w:r w:rsidRPr="00480EA8">
                <w:rPr>
                  <w:i/>
                  <w:color w:val="0000FF"/>
                  <w:sz w:val="22"/>
                  <w:szCs w:val="22"/>
                  <w:u w:val="single"/>
                </w:rPr>
                <w:t>Bartek.Bednarowicz@eesc.europa.eu</w:t>
              </w:r>
            </w:hyperlink>
          </w:p>
        </w:tc>
      </w:tr>
    </w:tbl>
    <w:p w14:paraId="2180EF54" w14:textId="6B9FAAB4" w:rsidR="005D43B9" w:rsidRDefault="005D43B9" w:rsidP="001766B2"/>
    <w:p w14:paraId="05853DC0" w14:textId="2B955D57" w:rsidR="001A42F8" w:rsidRPr="001A42F8" w:rsidRDefault="00E44636" w:rsidP="0012608E">
      <w:pPr>
        <w:keepNext/>
        <w:widowControl w:val="0"/>
        <w:numPr>
          <w:ilvl w:val="0"/>
          <w:numId w:val="8"/>
        </w:numPr>
        <w:overflowPunct w:val="0"/>
        <w:autoSpaceDE w:val="0"/>
        <w:autoSpaceDN w:val="0"/>
        <w:adjustRightInd w:val="0"/>
        <w:ind w:left="567" w:hanging="567"/>
        <w:textAlignment w:val="baseline"/>
        <w:rPr>
          <w:sz w:val="16"/>
          <w:szCs w:val="16"/>
        </w:rPr>
      </w:pPr>
      <w:hyperlink r:id="rId31" w:history="1">
        <w:r>
          <w:rPr>
            <w:b/>
            <w:i/>
            <w:color w:val="0000FF"/>
            <w:sz w:val="28"/>
            <w:u w:val="single"/>
          </w:rPr>
          <w:t>Stratégie de l’UE en matière de drogue</w:t>
        </w:r>
      </w:hyperlink>
    </w:p>
    <w:tbl>
      <w:tblPr>
        <w:tblStyle w:val="TableGrid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046"/>
      </w:tblGrid>
      <w:tr w:rsidR="001A42F8" w:rsidRPr="00B3204A" w14:paraId="662136A7" w14:textId="77777777" w:rsidTr="00B3204A">
        <w:tc>
          <w:tcPr>
            <w:tcW w:w="1701" w:type="dxa"/>
          </w:tcPr>
          <w:p w14:paraId="639EA8AB" w14:textId="77777777" w:rsidR="001A42F8" w:rsidRPr="00B3204A" w:rsidRDefault="001A42F8" w:rsidP="0012608E">
            <w:pPr>
              <w:keepNext/>
              <w:tabs>
                <w:tab w:val="center" w:pos="284"/>
              </w:tabs>
              <w:overflowPunct w:val="0"/>
              <w:autoSpaceDE w:val="0"/>
              <w:autoSpaceDN w:val="0"/>
              <w:adjustRightInd w:val="0"/>
              <w:ind w:left="567" w:hanging="567"/>
              <w:textAlignment w:val="baseline"/>
              <w:rPr>
                <w:b/>
                <w:sz w:val="22"/>
                <w:szCs w:val="22"/>
              </w:rPr>
            </w:pPr>
          </w:p>
          <w:p w14:paraId="58B9919E" w14:textId="77777777" w:rsidR="001A42F8" w:rsidRPr="00B3204A" w:rsidRDefault="001A42F8" w:rsidP="0012608E">
            <w:pPr>
              <w:keepNext/>
              <w:tabs>
                <w:tab w:val="center" w:pos="284"/>
              </w:tabs>
              <w:overflowPunct w:val="0"/>
              <w:autoSpaceDE w:val="0"/>
              <w:autoSpaceDN w:val="0"/>
              <w:adjustRightInd w:val="0"/>
              <w:ind w:left="567" w:hanging="567"/>
              <w:textAlignment w:val="baseline"/>
              <w:rPr>
                <w:b/>
                <w:sz w:val="22"/>
                <w:szCs w:val="22"/>
              </w:rPr>
            </w:pPr>
            <w:r w:rsidRPr="00B3204A">
              <w:rPr>
                <w:b/>
                <w:sz w:val="22"/>
                <w:szCs w:val="22"/>
              </w:rPr>
              <w:t>Rapporteur</w:t>
            </w:r>
          </w:p>
          <w:p w14:paraId="62145102" w14:textId="77777777" w:rsidR="001A42F8" w:rsidRPr="00B3204A" w:rsidRDefault="001A42F8" w:rsidP="0012608E">
            <w:pPr>
              <w:keepNext/>
              <w:tabs>
                <w:tab w:val="center" w:pos="284"/>
              </w:tabs>
              <w:overflowPunct w:val="0"/>
              <w:autoSpaceDE w:val="0"/>
              <w:autoSpaceDN w:val="0"/>
              <w:adjustRightInd w:val="0"/>
              <w:ind w:left="567" w:hanging="567"/>
              <w:textAlignment w:val="baseline"/>
              <w:rPr>
                <w:b/>
                <w:sz w:val="22"/>
                <w:szCs w:val="22"/>
              </w:rPr>
            </w:pPr>
          </w:p>
        </w:tc>
        <w:tc>
          <w:tcPr>
            <w:tcW w:w="8046" w:type="dxa"/>
          </w:tcPr>
          <w:p w14:paraId="4074A82C" w14:textId="77777777" w:rsidR="001A42F8" w:rsidRPr="00B3204A" w:rsidRDefault="001A42F8" w:rsidP="0012608E">
            <w:pPr>
              <w:keepNext/>
              <w:overflowPunct w:val="0"/>
              <w:autoSpaceDE w:val="0"/>
              <w:autoSpaceDN w:val="0"/>
              <w:adjustRightInd w:val="0"/>
              <w:ind w:left="567" w:hanging="567"/>
              <w:jc w:val="left"/>
              <w:textAlignment w:val="baseline"/>
              <w:rPr>
                <w:sz w:val="22"/>
                <w:szCs w:val="22"/>
              </w:rPr>
            </w:pPr>
          </w:p>
          <w:p w14:paraId="56646FC8" w14:textId="63FDEAFD" w:rsidR="001A42F8" w:rsidRPr="00B3204A" w:rsidRDefault="001A42F8" w:rsidP="0012608E">
            <w:pPr>
              <w:keepNext/>
              <w:overflowPunct w:val="0"/>
              <w:autoSpaceDE w:val="0"/>
              <w:autoSpaceDN w:val="0"/>
              <w:adjustRightInd w:val="0"/>
              <w:textAlignment w:val="baseline"/>
              <w:rPr>
                <w:sz w:val="22"/>
                <w:szCs w:val="22"/>
              </w:rPr>
            </w:pPr>
            <w:r w:rsidRPr="00B3204A">
              <w:rPr>
                <w:sz w:val="22"/>
                <w:szCs w:val="22"/>
              </w:rPr>
              <w:t>Diego DUTTO (groupe des organisations de la société civile — Italie)</w:t>
            </w:r>
          </w:p>
        </w:tc>
      </w:tr>
      <w:tr w:rsidR="001A42F8" w:rsidRPr="00B3204A" w14:paraId="090EED85" w14:textId="77777777" w:rsidTr="00B3204A">
        <w:tc>
          <w:tcPr>
            <w:tcW w:w="1701" w:type="dxa"/>
            <w:vMerge w:val="restart"/>
          </w:tcPr>
          <w:p w14:paraId="233A8D32" w14:textId="77777777" w:rsidR="001A42F8" w:rsidRPr="00B3204A" w:rsidRDefault="001A42F8" w:rsidP="001A42F8">
            <w:pPr>
              <w:tabs>
                <w:tab w:val="center" w:pos="284"/>
              </w:tabs>
              <w:overflowPunct w:val="0"/>
              <w:autoSpaceDE w:val="0"/>
              <w:autoSpaceDN w:val="0"/>
              <w:adjustRightInd w:val="0"/>
              <w:ind w:left="567" w:hanging="567"/>
              <w:textAlignment w:val="baseline"/>
              <w:rPr>
                <w:b/>
                <w:sz w:val="22"/>
                <w:szCs w:val="22"/>
              </w:rPr>
            </w:pPr>
            <w:r w:rsidRPr="00B3204A">
              <w:rPr>
                <w:b/>
                <w:sz w:val="22"/>
                <w:szCs w:val="22"/>
              </w:rPr>
              <w:t>Références</w:t>
            </w:r>
          </w:p>
        </w:tc>
        <w:tc>
          <w:tcPr>
            <w:tcW w:w="8046" w:type="dxa"/>
          </w:tcPr>
          <w:p w14:paraId="5D489118" w14:textId="0B2B133B" w:rsidR="00E8783B" w:rsidRPr="00B3204A" w:rsidRDefault="002C3C5F" w:rsidP="001A42F8">
            <w:pPr>
              <w:tabs>
                <w:tab w:val="center" w:pos="284"/>
              </w:tabs>
              <w:overflowPunct w:val="0"/>
              <w:autoSpaceDE w:val="0"/>
              <w:autoSpaceDN w:val="0"/>
              <w:adjustRightInd w:val="0"/>
              <w:ind w:left="567" w:hanging="567"/>
              <w:textAlignment w:val="baseline"/>
              <w:rPr>
                <w:sz w:val="22"/>
                <w:szCs w:val="22"/>
              </w:rPr>
            </w:pPr>
            <w:proofErr w:type="gramStart"/>
            <w:r w:rsidRPr="00B3204A">
              <w:rPr>
                <w:sz w:val="22"/>
                <w:szCs w:val="22"/>
              </w:rPr>
              <w:t>COM(</w:t>
            </w:r>
            <w:proofErr w:type="gramEnd"/>
            <w:r w:rsidRPr="00B3204A">
              <w:rPr>
                <w:sz w:val="22"/>
                <w:szCs w:val="22"/>
              </w:rPr>
              <w:t>2025) 743 final</w:t>
            </w:r>
          </w:p>
          <w:p w14:paraId="04484E34" w14:textId="756ABE61" w:rsidR="002C3C5F" w:rsidRPr="00B3204A" w:rsidRDefault="002C3C5F" w:rsidP="001A42F8">
            <w:pPr>
              <w:tabs>
                <w:tab w:val="center" w:pos="284"/>
              </w:tabs>
              <w:overflowPunct w:val="0"/>
              <w:autoSpaceDE w:val="0"/>
              <w:autoSpaceDN w:val="0"/>
              <w:adjustRightInd w:val="0"/>
              <w:ind w:left="567" w:hanging="567"/>
              <w:textAlignment w:val="baseline"/>
              <w:rPr>
                <w:sz w:val="22"/>
                <w:szCs w:val="22"/>
              </w:rPr>
            </w:pPr>
            <w:proofErr w:type="gramStart"/>
            <w:r w:rsidRPr="00B3204A">
              <w:rPr>
                <w:sz w:val="22"/>
                <w:szCs w:val="22"/>
              </w:rPr>
              <w:t>COM(</w:t>
            </w:r>
            <w:proofErr w:type="gramEnd"/>
            <w:r w:rsidRPr="00B3204A">
              <w:rPr>
                <w:sz w:val="22"/>
                <w:szCs w:val="22"/>
              </w:rPr>
              <w:t>2025 744 final</w:t>
            </w:r>
          </w:p>
          <w:p w14:paraId="1847798E" w14:textId="37891D3B" w:rsidR="001A42F8" w:rsidRPr="00B3204A" w:rsidRDefault="001A42F8" w:rsidP="001A42F8">
            <w:pPr>
              <w:tabs>
                <w:tab w:val="center" w:pos="284"/>
              </w:tabs>
              <w:overflowPunct w:val="0"/>
              <w:autoSpaceDE w:val="0"/>
              <w:autoSpaceDN w:val="0"/>
              <w:adjustRightInd w:val="0"/>
              <w:ind w:left="567" w:hanging="567"/>
              <w:textAlignment w:val="baseline"/>
              <w:rPr>
                <w:sz w:val="22"/>
                <w:szCs w:val="22"/>
              </w:rPr>
            </w:pPr>
            <w:r w:rsidRPr="00B3204A">
              <w:rPr>
                <w:sz w:val="22"/>
                <w:szCs w:val="22"/>
              </w:rPr>
              <w:t>EESC-2026-00238-00-00-AC</w:t>
            </w:r>
          </w:p>
        </w:tc>
      </w:tr>
      <w:tr w:rsidR="001A42F8" w:rsidRPr="001A42F8" w14:paraId="5C11C504" w14:textId="77777777" w:rsidTr="00B3204A">
        <w:tc>
          <w:tcPr>
            <w:tcW w:w="1701" w:type="dxa"/>
            <w:vMerge/>
          </w:tcPr>
          <w:p w14:paraId="1CBAABE2" w14:textId="77777777" w:rsidR="001A42F8" w:rsidRPr="001A42F8" w:rsidRDefault="001A42F8" w:rsidP="001A42F8">
            <w:pPr>
              <w:tabs>
                <w:tab w:val="center" w:pos="284"/>
              </w:tabs>
              <w:overflowPunct w:val="0"/>
              <w:autoSpaceDE w:val="0"/>
              <w:autoSpaceDN w:val="0"/>
              <w:adjustRightInd w:val="0"/>
              <w:ind w:left="266" w:hanging="266"/>
              <w:textAlignment w:val="baseline"/>
              <w:rPr>
                <w:b/>
                <w:lang w:val="pt-PT"/>
              </w:rPr>
            </w:pPr>
          </w:p>
        </w:tc>
        <w:tc>
          <w:tcPr>
            <w:tcW w:w="8046" w:type="dxa"/>
          </w:tcPr>
          <w:p w14:paraId="4060C927" w14:textId="77777777" w:rsidR="001A42F8" w:rsidRPr="001A42F8" w:rsidRDefault="001A42F8" w:rsidP="001A42F8">
            <w:pPr>
              <w:tabs>
                <w:tab w:val="center" w:pos="284"/>
              </w:tabs>
              <w:overflowPunct w:val="0"/>
              <w:autoSpaceDE w:val="0"/>
              <w:autoSpaceDN w:val="0"/>
              <w:adjustRightInd w:val="0"/>
              <w:ind w:left="266" w:hanging="266"/>
              <w:textAlignment w:val="baseline"/>
              <w:rPr>
                <w:sz w:val="16"/>
                <w:szCs w:val="16"/>
                <w:lang w:val="pt-PT"/>
              </w:rPr>
            </w:pPr>
          </w:p>
        </w:tc>
      </w:tr>
    </w:tbl>
    <w:p w14:paraId="30C02137" w14:textId="77777777" w:rsidR="001A42F8" w:rsidRPr="001A42F8" w:rsidRDefault="001A42F8" w:rsidP="00C30BC0">
      <w:pPr>
        <w:keepNext/>
        <w:keepLines/>
        <w:tabs>
          <w:tab w:val="center" w:pos="284"/>
        </w:tabs>
        <w:overflowPunct w:val="0"/>
        <w:autoSpaceDE w:val="0"/>
        <w:autoSpaceDN w:val="0"/>
        <w:adjustRightInd w:val="0"/>
        <w:ind w:left="266" w:hanging="266"/>
        <w:textAlignment w:val="baseline"/>
        <w:rPr>
          <w:b/>
        </w:rPr>
      </w:pPr>
      <w:r>
        <w:rPr>
          <w:b/>
        </w:rPr>
        <w:t>Points clés</w:t>
      </w:r>
    </w:p>
    <w:p w14:paraId="55C710FF" w14:textId="77777777" w:rsidR="001A42F8" w:rsidRPr="001A42F8" w:rsidRDefault="001A42F8" w:rsidP="00C30BC0">
      <w:pPr>
        <w:overflowPunct w:val="0"/>
        <w:autoSpaceDE w:val="0"/>
        <w:autoSpaceDN w:val="0"/>
        <w:adjustRightInd w:val="0"/>
        <w:textAlignment w:val="baseline"/>
        <w:rPr>
          <w:szCs w:val="20"/>
          <w:lang w:val="en-GB"/>
        </w:rPr>
      </w:pPr>
    </w:p>
    <w:p w14:paraId="50E3F48E" w14:textId="77777777" w:rsidR="001A42F8" w:rsidRPr="004C6742" w:rsidRDefault="001A42F8" w:rsidP="00C30BC0">
      <w:r>
        <w:t xml:space="preserve">Le </w:t>
      </w:r>
      <w:proofErr w:type="gramStart"/>
      <w:r>
        <w:t>CESE:</w:t>
      </w:r>
      <w:proofErr w:type="gramEnd"/>
    </w:p>
    <w:p w14:paraId="5429D755" w14:textId="77777777" w:rsidR="001A42F8" w:rsidRPr="001A42F8" w:rsidRDefault="001A42F8" w:rsidP="00C30BC0">
      <w:pPr>
        <w:ind w:left="1134" w:hanging="1134"/>
        <w:rPr>
          <w:lang w:val="en-GB" w:eastAsia="fr-BE"/>
        </w:rPr>
      </w:pPr>
    </w:p>
    <w:p w14:paraId="6436B95C" w14:textId="77777777" w:rsidR="001A42F8" w:rsidRPr="001A42F8" w:rsidRDefault="001A42F8" w:rsidP="00C30BC0">
      <w:pPr>
        <w:numPr>
          <w:ilvl w:val="0"/>
          <w:numId w:val="26"/>
        </w:numPr>
        <w:tabs>
          <w:tab w:val="clear" w:pos="720"/>
        </w:tabs>
        <w:overflowPunct w:val="0"/>
        <w:autoSpaceDE w:val="0"/>
        <w:autoSpaceDN w:val="0"/>
        <w:adjustRightInd w:val="0"/>
        <w:ind w:left="567" w:hanging="567"/>
        <w:textAlignment w:val="baseline"/>
      </w:pPr>
      <w:proofErr w:type="gramStart"/>
      <w:r>
        <w:t>soutient</w:t>
      </w:r>
      <w:proofErr w:type="gramEnd"/>
      <w:r>
        <w:t xml:space="preserve"> que l’efficacité de la stratégie de l’Union dépendra de sa capacité à anticiper les tendances. Il recommande à la Commission d’aller au-delà des indicateurs réactifs (saisies et décès liés à la drogue) et de prévoir un soutien structurel et obligatoire pour des systèmes de surveillance normalisés.</w:t>
      </w:r>
    </w:p>
    <w:p w14:paraId="2271E454" w14:textId="77777777" w:rsidR="001A42F8" w:rsidRPr="001A42F8" w:rsidRDefault="001A42F8" w:rsidP="00C30BC0">
      <w:pPr>
        <w:numPr>
          <w:ilvl w:val="0"/>
          <w:numId w:val="26"/>
        </w:numPr>
        <w:tabs>
          <w:tab w:val="clear" w:pos="720"/>
        </w:tabs>
        <w:overflowPunct w:val="0"/>
        <w:autoSpaceDE w:val="0"/>
        <w:autoSpaceDN w:val="0"/>
        <w:adjustRightInd w:val="0"/>
        <w:ind w:left="567" w:hanging="567"/>
        <w:textAlignment w:val="baseline"/>
      </w:pPr>
      <w:proofErr w:type="gramStart"/>
      <w:r>
        <w:t>constate</w:t>
      </w:r>
      <w:proofErr w:type="gramEnd"/>
      <w:r>
        <w:t xml:space="preserve"> avec inquiétude que la stratégie se trouve quelque peu biaisée par l’attention qu’elle focalise sur les substances illicites traditionnelles. Les jeunes se tournent vers une utilisation hors résumé des caractéristiques du produit (RCP) de drogues licites. Le Comité préconise dès lors d’élaborer des orientations de l’UE destinées à surveiller la prescription de médicaments et à mener des campagnes de sensibilisation ciblant le risque de dépendance aux substances psychoactives </w:t>
      </w:r>
      <w:proofErr w:type="gramStart"/>
      <w:r>
        <w:t>licites;</w:t>
      </w:r>
      <w:proofErr w:type="gramEnd"/>
    </w:p>
    <w:p w14:paraId="06511F32" w14:textId="77777777" w:rsidR="001A42F8" w:rsidRPr="001A42F8" w:rsidRDefault="001A42F8" w:rsidP="00C30BC0">
      <w:pPr>
        <w:numPr>
          <w:ilvl w:val="0"/>
          <w:numId w:val="26"/>
        </w:numPr>
        <w:tabs>
          <w:tab w:val="clear" w:pos="720"/>
        </w:tabs>
        <w:overflowPunct w:val="0"/>
        <w:autoSpaceDE w:val="0"/>
        <w:autoSpaceDN w:val="0"/>
        <w:adjustRightInd w:val="0"/>
        <w:ind w:left="567" w:hanging="567"/>
        <w:textAlignment w:val="baseline"/>
      </w:pPr>
      <w:proofErr w:type="gramStart"/>
      <w:r>
        <w:t>recommande</w:t>
      </w:r>
      <w:proofErr w:type="gramEnd"/>
      <w:r>
        <w:t xml:space="preserve"> un suivi rigoureux de la prévalence de la consommation d’analgésiques opioïdes. Des mesures s’imposent pour éviter qu’une partie de la société — a priori non exposée au risque — ne développe une dépendance à de telles substances obtenues par des voies </w:t>
      </w:r>
      <w:proofErr w:type="gramStart"/>
      <w:r>
        <w:t>légales;</w:t>
      </w:r>
      <w:proofErr w:type="gramEnd"/>
    </w:p>
    <w:p w14:paraId="712668E0" w14:textId="77777777" w:rsidR="001A42F8" w:rsidRPr="001A42F8" w:rsidRDefault="001A42F8" w:rsidP="00C30BC0">
      <w:pPr>
        <w:numPr>
          <w:ilvl w:val="0"/>
          <w:numId w:val="26"/>
        </w:numPr>
        <w:tabs>
          <w:tab w:val="clear" w:pos="720"/>
        </w:tabs>
        <w:overflowPunct w:val="0"/>
        <w:autoSpaceDE w:val="0"/>
        <w:autoSpaceDN w:val="0"/>
        <w:adjustRightInd w:val="0"/>
        <w:ind w:left="567" w:hanging="567"/>
        <w:textAlignment w:val="baseline"/>
      </w:pPr>
      <w:proofErr w:type="gramStart"/>
      <w:r>
        <w:t>relève</w:t>
      </w:r>
      <w:proofErr w:type="gramEnd"/>
      <w:r>
        <w:t xml:space="preserve"> que l’Union européenne devrait mettre en place des protocoles d’intervention précoce afin d’aider les services sociaux et de santé à détecter les nouveaux usagers à un stade précoce de leur consommation de </w:t>
      </w:r>
      <w:proofErr w:type="gramStart"/>
      <w:r>
        <w:t>drogue;</w:t>
      </w:r>
      <w:proofErr w:type="gramEnd"/>
    </w:p>
    <w:p w14:paraId="69923D8D" w14:textId="77777777" w:rsidR="001A42F8" w:rsidRPr="001A42F8" w:rsidRDefault="001A42F8" w:rsidP="00C30BC0">
      <w:pPr>
        <w:numPr>
          <w:ilvl w:val="0"/>
          <w:numId w:val="26"/>
        </w:numPr>
        <w:tabs>
          <w:tab w:val="clear" w:pos="720"/>
        </w:tabs>
        <w:overflowPunct w:val="0"/>
        <w:autoSpaceDE w:val="0"/>
        <w:autoSpaceDN w:val="0"/>
        <w:adjustRightInd w:val="0"/>
        <w:ind w:left="567" w:hanging="567"/>
        <w:textAlignment w:val="baseline"/>
      </w:pPr>
      <w:proofErr w:type="gramStart"/>
      <w:r>
        <w:t>recommande</w:t>
      </w:r>
      <w:proofErr w:type="gramEnd"/>
      <w:r>
        <w:t xml:space="preserve"> d’introduire des indicateurs clés de performance (ICP) spécifiques dans le but d’évaluer l’efficacité des politiques de prévention, mesurant ainsi les succès engrangés non pas du seul point de vue des saisies de drogues, mais aussi au regard de la diminution du nombre de nouvelles addictions et de l’efficacité des parcours de </w:t>
      </w:r>
      <w:proofErr w:type="gramStart"/>
      <w:r>
        <w:t>réinsertion;</w:t>
      </w:r>
      <w:proofErr w:type="gramEnd"/>
    </w:p>
    <w:p w14:paraId="2A5044E2" w14:textId="77777777" w:rsidR="001A42F8" w:rsidRPr="001A42F8" w:rsidRDefault="001A42F8" w:rsidP="00C30BC0">
      <w:pPr>
        <w:numPr>
          <w:ilvl w:val="0"/>
          <w:numId w:val="26"/>
        </w:numPr>
        <w:tabs>
          <w:tab w:val="clear" w:pos="720"/>
        </w:tabs>
        <w:overflowPunct w:val="0"/>
        <w:autoSpaceDE w:val="0"/>
        <w:autoSpaceDN w:val="0"/>
        <w:adjustRightInd w:val="0"/>
        <w:ind w:left="567" w:hanging="567"/>
        <w:textAlignment w:val="baseline"/>
      </w:pPr>
      <w:proofErr w:type="gramStart"/>
      <w:r>
        <w:t>rappelle</w:t>
      </w:r>
      <w:proofErr w:type="gramEnd"/>
      <w:r>
        <w:t xml:space="preserve"> que la lutte contre le trafic de drogue ne peut être dissociée d’une politique solide en matière de santé </w:t>
      </w:r>
      <w:proofErr w:type="gramStart"/>
      <w:r>
        <w:t>publique;</w:t>
      </w:r>
      <w:proofErr w:type="gramEnd"/>
    </w:p>
    <w:p w14:paraId="646F52D6" w14:textId="77777777" w:rsidR="001A42F8" w:rsidRPr="001A42F8" w:rsidRDefault="001A42F8" w:rsidP="00C30BC0">
      <w:pPr>
        <w:numPr>
          <w:ilvl w:val="0"/>
          <w:numId w:val="26"/>
        </w:numPr>
        <w:tabs>
          <w:tab w:val="clear" w:pos="720"/>
        </w:tabs>
        <w:overflowPunct w:val="0"/>
        <w:autoSpaceDE w:val="0"/>
        <w:autoSpaceDN w:val="0"/>
        <w:adjustRightInd w:val="0"/>
        <w:ind w:left="567" w:hanging="567"/>
        <w:textAlignment w:val="baseline"/>
      </w:pPr>
      <w:proofErr w:type="gramStart"/>
      <w:r>
        <w:t>note</w:t>
      </w:r>
      <w:proofErr w:type="gramEnd"/>
      <w:r>
        <w:t xml:space="preserve"> que le plan d’action se concentre presque exclusivement sur la sécurisation des infrastructures physiques (ports, centres logistiques) et numériques, en négligeant la dimension de </w:t>
      </w:r>
      <w:proofErr w:type="gramStart"/>
      <w:r>
        <w:t>proximité;</w:t>
      </w:r>
      <w:proofErr w:type="gramEnd"/>
    </w:p>
    <w:p w14:paraId="1DC9D98D" w14:textId="77777777" w:rsidR="001A42F8" w:rsidRPr="001A42F8" w:rsidRDefault="001A42F8" w:rsidP="00C30BC0">
      <w:pPr>
        <w:numPr>
          <w:ilvl w:val="0"/>
          <w:numId w:val="26"/>
        </w:numPr>
        <w:tabs>
          <w:tab w:val="clear" w:pos="720"/>
        </w:tabs>
        <w:overflowPunct w:val="0"/>
        <w:autoSpaceDE w:val="0"/>
        <w:autoSpaceDN w:val="0"/>
        <w:adjustRightInd w:val="0"/>
        <w:ind w:left="567" w:hanging="567"/>
        <w:textAlignment w:val="baseline"/>
      </w:pPr>
      <w:proofErr w:type="gramStart"/>
      <w:r>
        <w:t>souligne</w:t>
      </w:r>
      <w:proofErr w:type="gramEnd"/>
      <w:r>
        <w:t xml:space="preserve"> que le plan d’action ne fournit pas suffisamment d’orientations aux États membres concernant les politiques publiques nécessaires pour réduire la prolifération de la consommation de drogue.</w:t>
      </w:r>
    </w:p>
    <w:p w14:paraId="7CC45175" w14:textId="77777777" w:rsidR="001A42F8" w:rsidRPr="001A42F8" w:rsidRDefault="001A42F8" w:rsidP="001A42F8">
      <w:pPr>
        <w:overflowPunct w:val="0"/>
        <w:autoSpaceDE w:val="0"/>
        <w:autoSpaceDN w:val="0"/>
        <w:adjustRightInd w:val="0"/>
        <w:textAlignment w:val="baseline"/>
        <w:rPr>
          <w:szCs w:val="20"/>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4493"/>
      </w:tblGrid>
      <w:tr w:rsidR="001A42F8" w:rsidRPr="00C30BC0" w14:paraId="6F6F0875" w14:textId="77777777" w:rsidTr="002E7EFB">
        <w:tc>
          <w:tcPr>
            <w:tcW w:w="1210" w:type="dxa"/>
          </w:tcPr>
          <w:p w14:paraId="1275EF0A" w14:textId="77777777" w:rsidR="001A42F8" w:rsidRPr="00C30BC0" w:rsidRDefault="001A42F8" w:rsidP="001A42F8">
            <w:pPr>
              <w:overflowPunct w:val="0"/>
              <w:autoSpaceDE w:val="0"/>
              <w:autoSpaceDN w:val="0"/>
              <w:adjustRightInd w:val="0"/>
              <w:spacing w:line="240" w:lineRule="auto"/>
              <w:textAlignment w:val="baseline"/>
              <w:rPr>
                <w:i/>
                <w:sz w:val="22"/>
                <w:szCs w:val="22"/>
              </w:rPr>
            </w:pPr>
            <w:r w:rsidRPr="00C30BC0">
              <w:rPr>
                <w:b/>
                <w:i/>
                <w:sz w:val="22"/>
                <w:szCs w:val="22"/>
              </w:rPr>
              <w:t>Contact</w:t>
            </w:r>
          </w:p>
        </w:tc>
        <w:tc>
          <w:tcPr>
            <w:tcW w:w="4493" w:type="dxa"/>
          </w:tcPr>
          <w:p w14:paraId="51601E16" w14:textId="77777777" w:rsidR="001A42F8" w:rsidRPr="00C30BC0" w:rsidRDefault="001A42F8" w:rsidP="001A42F8">
            <w:pPr>
              <w:overflowPunct w:val="0"/>
              <w:autoSpaceDE w:val="0"/>
              <w:autoSpaceDN w:val="0"/>
              <w:adjustRightInd w:val="0"/>
              <w:spacing w:line="240" w:lineRule="auto"/>
              <w:ind w:hanging="12"/>
              <w:textAlignment w:val="baseline"/>
              <w:rPr>
                <w:i/>
                <w:sz w:val="22"/>
                <w:szCs w:val="22"/>
              </w:rPr>
            </w:pPr>
            <w:r w:rsidRPr="00C30BC0">
              <w:rPr>
                <w:i/>
                <w:sz w:val="22"/>
                <w:szCs w:val="22"/>
              </w:rPr>
              <w:t>Gemma Amran</w:t>
            </w:r>
          </w:p>
        </w:tc>
      </w:tr>
      <w:tr w:rsidR="001A42F8" w:rsidRPr="00C30BC0" w14:paraId="6CBEA581" w14:textId="77777777" w:rsidTr="002E7EFB">
        <w:tc>
          <w:tcPr>
            <w:tcW w:w="1210" w:type="dxa"/>
          </w:tcPr>
          <w:p w14:paraId="11A461E0" w14:textId="77777777" w:rsidR="001A42F8" w:rsidRPr="00C30BC0" w:rsidRDefault="001A42F8" w:rsidP="00634494">
            <w:pPr>
              <w:overflowPunct w:val="0"/>
              <w:autoSpaceDE w:val="0"/>
              <w:autoSpaceDN w:val="0"/>
              <w:adjustRightInd w:val="0"/>
              <w:spacing w:line="240" w:lineRule="auto"/>
              <w:ind w:left="567"/>
              <w:textAlignment w:val="baseline"/>
              <w:rPr>
                <w:i/>
                <w:sz w:val="22"/>
                <w:szCs w:val="22"/>
              </w:rPr>
            </w:pPr>
            <w:r w:rsidRPr="00C30BC0">
              <w:rPr>
                <w:i/>
                <w:sz w:val="22"/>
                <w:szCs w:val="22"/>
              </w:rPr>
              <w:t>Tél.</w:t>
            </w:r>
          </w:p>
        </w:tc>
        <w:tc>
          <w:tcPr>
            <w:tcW w:w="4493" w:type="dxa"/>
          </w:tcPr>
          <w:p w14:paraId="6A4B7B1B" w14:textId="77777777" w:rsidR="001A42F8" w:rsidRPr="00C30BC0" w:rsidRDefault="001A42F8" w:rsidP="001A42F8">
            <w:pPr>
              <w:overflowPunct w:val="0"/>
              <w:autoSpaceDE w:val="0"/>
              <w:autoSpaceDN w:val="0"/>
              <w:adjustRightInd w:val="0"/>
              <w:spacing w:line="240" w:lineRule="auto"/>
              <w:textAlignment w:val="baseline"/>
              <w:rPr>
                <w:i/>
                <w:sz w:val="22"/>
                <w:szCs w:val="22"/>
              </w:rPr>
            </w:pPr>
            <w:r w:rsidRPr="00C30BC0">
              <w:rPr>
                <w:i/>
                <w:iCs/>
                <w:sz w:val="22"/>
                <w:szCs w:val="22"/>
              </w:rPr>
              <w:t>+32 2 546 9415</w:t>
            </w:r>
          </w:p>
        </w:tc>
      </w:tr>
      <w:tr w:rsidR="001A42F8" w:rsidRPr="00C30BC0" w14:paraId="0CEF3057" w14:textId="77777777" w:rsidTr="002E7EFB">
        <w:tc>
          <w:tcPr>
            <w:tcW w:w="1210" w:type="dxa"/>
          </w:tcPr>
          <w:p w14:paraId="68E038E0" w14:textId="77777777" w:rsidR="001A42F8" w:rsidRPr="00C30BC0" w:rsidRDefault="001A42F8" w:rsidP="00634494">
            <w:pPr>
              <w:overflowPunct w:val="0"/>
              <w:autoSpaceDE w:val="0"/>
              <w:autoSpaceDN w:val="0"/>
              <w:adjustRightInd w:val="0"/>
              <w:spacing w:line="240" w:lineRule="auto"/>
              <w:ind w:left="567"/>
              <w:textAlignment w:val="baseline"/>
              <w:rPr>
                <w:i/>
                <w:sz w:val="22"/>
                <w:szCs w:val="22"/>
              </w:rPr>
            </w:pPr>
            <w:r w:rsidRPr="00C30BC0">
              <w:rPr>
                <w:i/>
                <w:sz w:val="22"/>
                <w:szCs w:val="22"/>
              </w:rPr>
              <w:t>Courriel</w:t>
            </w:r>
          </w:p>
        </w:tc>
        <w:tc>
          <w:tcPr>
            <w:tcW w:w="4493" w:type="dxa"/>
          </w:tcPr>
          <w:p w14:paraId="7CF2E2AE" w14:textId="2AD8F217" w:rsidR="001A42F8" w:rsidRPr="00C30BC0" w:rsidRDefault="00E44636" w:rsidP="001A42F8">
            <w:pPr>
              <w:overflowPunct w:val="0"/>
              <w:autoSpaceDE w:val="0"/>
              <w:autoSpaceDN w:val="0"/>
              <w:adjustRightInd w:val="0"/>
              <w:spacing w:line="240" w:lineRule="auto"/>
              <w:textAlignment w:val="baseline"/>
              <w:rPr>
                <w:i/>
                <w:iCs/>
                <w:sz w:val="22"/>
                <w:szCs w:val="22"/>
              </w:rPr>
            </w:pPr>
            <w:hyperlink r:id="rId32" w:history="1">
              <w:r w:rsidRPr="00C30BC0">
                <w:rPr>
                  <w:i/>
                  <w:color w:val="0000FF"/>
                  <w:sz w:val="22"/>
                  <w:szCs w:val="22"/>
                  <w:u w:val="single"/>
                </w:rPr>
                <w:t>Gemma.Amran@eesc.europa.eu</w:t>
              </w:r>
            </w:hyperlink>
          </w:p>
        </w:tc>
      </w:tr>
    </w:tbl>
    <w:p w14:paraId="6961E51E" w14:textId="5180950B" w:rsidR="001A42F8" w:rsidRDefault="001A42F8" w:rsidP="001766B2"/>
    <w:p w14:paraId="6E89C215" w14:textId="351D524F" w:rsidR="00C53E67" w:rsidRPr="00C53E67" w:rsidRDefault="00A067F3" w:rsidP="0012608E">
      <w:pPr>
        <w:keepNext/>
        <w:numPr>
          <w:ilvl w:val="0"/>
          <w:numId w:val="4"/>
        </w:numPr>
        <w:overflowPunct w:val="0"/>
        <w:autoSpaceDE w:val="0"/>
        <w:autoSpaceDN w:val="0"/>
        <w:adjustRightInd w:val="0"/>
        <w:ind w:hanging="567"/>
        <w:textAlignment w:val="baseline"/>
        <w:rPr>
          <w:b/>
        </w:rPr>
      </w:pPr>
      <w:hyperlink r:id="rId33" w:history="1">
        <w:r>
          <w:rPr>
            <w:b/>
            <w:i/>
            <w:color w:val="0000FF"/>
            <w:sz w:val="28"/>
            <w:u w:val="single"/>
          </w:rPr>
          <w:t>Une boussole culturelle pour l’Europe</w:t>
        </w:r>
      </w:hyperlink>
    </w:p>
    <w:p w14:paraId="35E79844" w14:textId="77777777" w:rsidR="00C53E67" w:rsidRDefault="00C53E67" w:rsidP="00C53E67">
      <w:pPr>
        <w:widowControl w:val="0"/>
        <w:overflowPunct w:val="0"/>
        <w:autoSpaceDE w:val="0"/>
        <w:autoSpaceDN w:val="0"/>
        <w:adjustRightInd w:val="0"/>
        <w:ind w:left="266"/>
        <w:textAlignment w:val="baseline"/>
        <w:rPr>
          <w:b/>
          <w:sz w:val="18"/>
          <w:szCs w:val="18"/>
          <w:lang w:val="en-GB"/>
        </w:rPr>
      </w:pPr>
    </w:p>
    <w:tbl>
      <w:tblPr>
        <w:tblStyle w:val="TableGrid7"/>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7147"/>
      </w:tblGrid>
      <w:tr w:rsidR="00C53E67" w:rsidRPr="00B3204A" w14:paraId="2091F211" w14:textId="77777777" w:rsidTr="00B3204A">
        <w:tc>
          <w:tcPr>
            <w:tcW w:w="1107" w:type="pct"/>
          </w:tcPr>
          <w:p w14:paraId="10C92D44" w14:textId="77777777" w:rsidR="00C53E67" w:rsidRPr="00B3204A" w:rsidRDefault="00C53E67" w:rsidP="00C53E67">
            <w:pPr>
              <w:overflowPunct w:val="0"/>
              <w:autoSpaceDE w:val="0"/>
              <w:autoSpaceDN w:val="0"/>
              <w:adjustRightInd w:val="0"/>
              <w:ind w:left="-113"/>
              <w:textAlignment w:val="baseline"/>
              <w:rPr>
                <w:b/>
                <w:sz w:val="22"/>
                <w:szCs w:val="22"/>
              </w:rPr>
            </w:pPr>
            <w:r w:rsidRPr="00B3204A">
              <w:rPr>
                <w:b/>
                <w:sz w:val="22"/>
                <w:szCs w:val="22"/>
              </w:rPr>
              <w:t xml:space="preserve">Rapporteur </w:t>
            </w:r>
          </w:p>
        </w:tc>
        <w:tc>
          <w:tcPr>
            <w:tcW w:w="3893" w:type="pct"/>
          </w:tcPr>
          <w:p w14:paraId="10DA44E6" w14:textId="77777777" w:rsidR="00C53E67" w:rsidRPr="00B3204A" w:rsidRDefault="00C53E67" w:rsidP="00C53E67">
            <w:pPr>
              <w:overflowPunct w:val="0"/>
              <w:autoSpaceDE w:val="0"/>
              <w:autoSpaceDN w:val="0"/>
              <w:adjustRightInd w:val="0"/>
              <w:ind w:left="-113"/>
              <w:textAlignment w:val="baseline"/>
              <w:rPr>
                <w:sz w:val="22"/>
                <w:szCs w:val="22"/>
              </w:rPr>
            </w:pPr>
            <w:r w:rsidRPr="00B3204A">
              <w:rPr>
                <w:sz w:val="22"/>
                <w:szCs w:val="22"/>
              </w:rPr>
              <w:t>Luca JAHIER (groupe des organisations de la société civile — Italie)</w:t>
            </w:r>
          </w:p>
        </w:tc>
      </w:tr>
      <w:tr w:rsidR="00C53E67" w:rsidRPr="00B3204A" w14:paraId="12DAA263" w14:textId="77777777" w:rsidTr="00B3204A">
        <w:tc>
          <w:tcPr>
            <w:tcW w:w="5000" w:type="pct"/>
            <w:gridSpan w:val="2"/>
          </w:tcPr>
          <w:p w14:paraId="1A0026BB" w14:textId="77777777" w:rsidR="00C53E67" w:rsidRPr="00B3204A" w:rsidRDefault="00C53E67" w:rsidP="00C53E67">
            <w:pPr>
              <w:overflowPunct w:val="0"/>
              <w:autoSpaceDE w:val="0"/>
              <w:autoSpaceDN w:val="0"/>
              <w:adjustRightInd w:val="0"/>
              <w:spacing w:line="160" w:lineRule="exact"/>
              <w:ind w:left="-113"/>
              <w:textAlignment w:val="baseline"/>
              <w:rPr>
                <w:sz w:val="22"/>
                <w:szCs w:val="22"/>
              </w:rPr>
            </w:pPr>
          </w:p>
        </w:tc>
      </w:tr>
      <w:tr w:rsidR="00C53E67" w:rsidRPr="00B3204A" w14:paraId="1917B1A6" w14:textId="77777777" w:rsidTr="00B3204A">
        <w:tc>
          <w:tcPr>
            <w:tcW w:w="1107" w:type="pct"/>
          </w:tcPr>
          <w:p w14:paraId="68946A42" w14:textId="77777777" w:rsidR="00C53E67" w:rsidRPr="00B3204A" w:rsidRDefault="00C53E67" w:rsidP="00C53E67">
            <w:pPr>
              <w:overflowPunct w:val="0"/>
              <w:autoSpaceDE w:val="0"/>
              <w:autoSpaceDN w:val="0"/>
              <w:adjustRightInd w:val="0"/>
              <w:ind w:left="-113"/>
              <w:textAlignment w:val="baseline"/>
              <w:rPr>
                <w:b/>
                <w:sz w:val="22"/>
                <w:szCs w:val="22"/>
              </w:rPr>
            </w:pPr>
            <w:r w:rsidRPr="00B3204A">
              <w:rPr>
                <w:b/>
                <w:sz w:val="22"/>
                <w:szCs w:val="22"/>
              </w:rPr>
              <w:t>Références</w:t>
            </w:r>
          </w:p>
        </w:tc>
        <w:tc>
          <w:tcPr>
            <w:tcW w:w="3893" w:type="pct"/>
          </w:tcPr>
          <w:p w14:paraId="3649F935" w14:textId="5EC0AA86" w:rsidR="00DE1BF7" w:rsidRPr="00B3204A" w:rsidRDefault="00DE1BF7" w:rsidP="00C53E67">
            <w:pPr>
              <w:overflowPunct w:val="0"/>
              <w:autoSpaceDE w:val="0"/>
              <w:autoSpaceDN w:val="0"/>
              <w:adjustRightInd w:val="0"/>
              <w:ind w:left="-113"/>
              <w:textAlignment w:val="baseline"/>
              <w:rPr>
                <w:sz w:val="22"/>
                <w:szCs w:val="22"/>
              </w:rPr>
            </w:pPr>
            <w:proofErr w:type="gramStart"/>
            <w:r w:rsidRPr="00B3204A">
              <w:rPr>
                <w:sz w:val="22"/>
                <w:szCs w:val="22"/>
              </w:rPr>
              <w:t>COM(</w:t>
            </w:r>
            <w:proofErr w:type="gramEnd"/>
            <w:r w:rsidRPr="00B3204A">
              <w:rPr>
                <w:sz w:val="22"/>
                <w:szCs w:val="22"/>
              </w:rPr>
              <w:t>2025) 785 final</w:t>
            </w:r>
          </w:p>
          <w:p w14:paraId="72ADC23E" w14:textId="431F11BB" w:rsidR="00DE1BF7" w:rsidRPr="00B3204A" w:rsidRDefault="00DE1BF7" w:rsidP="00C53E67">
            <w:pPr>
              <w:overflowPunct w:val="0"/>
              <w:autoSpaceDE w:val="0"/>
              <w:autoSpaceDN w:val="0"/>
              <w:adjustRightInd w:val="0"/>
              <w:ind w:left="-113"/>
              <w:textAlignment w:val="baseline"/>
              <w:rPr>
                <w:sz w:val="22"/>
                <w:szCs w:val="22"/>
              </w:rPr>
            </w:pPr>
            <w:proofErr w:type="gramStart"/>
            <w:r w:rsidRPr="00B3204A">
              <w:rPr>
                <w:sz w:val="22"/>
                <w:szCs w:val="22"/>
              </w:rPr>
              <w:t>COM(</w:t>
            </w:r>
            <w:proofErr w:type="gramEnd"/>
            <w:r w:rsidRPr="00B3204A">
              <w:rPr>
                <w:sz w:val="22"/>
                <w:szCs w:val="22"/>
              </w:rPr>
              <w:t>2025) 786 final</w:t>
            </w:r>
          </w:p>
          <w:p w14:paraId="20BD4BF5" w14:textId="0E4CE06A" w:rsidR="00C53E67" w:rsidRPr="00B3204A" w:rsidRDefault="00C53E67" w:rsidP="00C53E67">
            <w:pPr>
              <w:overflowPunct w:val="0"/>
              <w:autoSpaceDE w:val="0"/>
              <w:autoSpaceDN w:val="0"/>
              <w:adjustRightInd w:val="0"/>
              <w:ind w:left="-113"/>
              <w:textAlignment w:val="baseline"/>
              <w:rPr>
                <w:sz w:val="22"/>
                <w:szCs w:val="22"/>
              </w:rPr>
            </w:pPr>
            <w:r w:rsidRPr="00B3204A">
              <w:rPr>
                <w:sz w:val="22"/>
                <w:szCs w:val="22"/>
              </w:rPr>
              <w:t>EESC-2025-04241-00-00-AC</w:t>
            </w:r>
          </w:p>
        </w:tc>
      </w:tr>
    </w:tbl>
    <w:p w14:paraId="3D06F742" w14:textId="77777777" w:rsidR="00C53E67" w:rsidRPr="00C53E67" w:rsidRDefault="00C53E67" w:rsidP="00C53E67">
      <w:pPr>
        <w:keepNext/>
        <w:keepLines/>
        <w:tabs>
          <w:tab w:val="center" w:pos="284"/>
        </w:tabs>
        <w:overflowPunct w:val="0"/>
        <w:autoSpaceDE w:val="0"/>
        <w:autoSpaceDN w:val="0"/>
        <w:adjustRightInd w:val="0"/>
        <w:ind w:left="266" w:hanging="266"/>
        <w:textAlignment w:val="baseline"/>
        <w:rPr>
          <w:b/>
          <w:sz w:val="18"/>
          <w:szCs w:val="18"/>
          <w:lang w:val="en-GB"/>
        </w:rPr>
      </w:pPr>
    </w:p>
    <w:p w14:paraId="4F488388" w14:textId="77777777" w:rsidR="00C53E67" w:rsidRPr="00C53E67" w:rsidRDefault="00C53E67" w:rsidP="00C53E67">
      <w:pPr>
        <w:keepNext/>
        <w:keepLines/>
        <w:tabs>
          <w:tab w:val="center" w:pos="284"/>
        </w:tabs>
        <w:overflowPunct w:val="0"/>
        <w:autoSpaceDE w:val="0"/>
        <w:autoSpaceDN w:val="0"/>
        <w:adjustRightInd w:val="0"/>
        <w:ind w:left="266" w:hanging="266"/>
        <w:textAlignment w:val="baseline"/>
        <w:rPr>
          <w:b/>
        </w:rPr>
      </w:pPr>
      <w:r>
        <w:rPr>
          <w:b/>
        </w:rPr>
        <w:t>Points clés</w:t>
      </w:r>
    </w:p>
    <w:p w14:paraId="2BEAC91B" w14:textId="77777777" w:rsidR="00C53E67" w:rsidRPr="00C53E67" w:rsidRDefault="00C53E67" w:rsidP="00C53E67">
      <w:pPr>
        <w:keepNext/>
        <w:keepLines/>
        <w:tabs>
          <w:tab w:val="center" w:pos="284"/>
        </w:tabs>
        <w:overflowPunct w:val="0"/>
        <w:autoSpaceDE w:val="0"/>
        <w:autoSpaceDN w:val="0"/>
        <w:adjustRightInd w:val="0"/>
        <w:ind w:left="266" w:hanging="266"/>
        <w:textAlignment w:val="baseline"/>
        <w:rPr>
          <w:b/>
          <w:sz w:val="16"/>
          <w:szCs w:val="16"/>
          <w:lang w:val="en-GB"/>
        </w:rPr>
      </w:pPr>
    </w:p>
    <w:p w14:paraId="6931DC56" w14:textId="77777777" w:rsidR="00C53E67" w:rsidRDefault="00C53E67" w:rsidP="00C53E67">
      <w:pPr>
        <w:overflowPunct w:val="0"/>
        <w:autoSpaceDE w:val="0"/>
        <w:autoSpaceDN w:val="0"/>
        <w:adjustRightInd w:val="0"/>
        <w:spacing w:line="240" w:lineRule="auto"/>
        <w:contextualSpacing/>
        <w:textAlignment w:val="baseline"/>
      </w:pPr>
      <w:r>
        <w:t xml:space="preserve">Le </w:t>
      </w:r>
      <w:proofErr w:type="gramStart"/>
      <w:r>
        <w:t>CESE:</w:t>
      </w:r>
      <w:proofErr w:type="gramEnd"/>
    </w:p>
    <w:p w14:paraId="103B7FAD" w14:textId="77777777" w:rsidR="00C30BC0" w:rsidRDefault="00C30BC0" w:rsidP="00C53E67">
      <w:pPr>
        <w:overflowPunct w:val="0"/>
        <w:autoSpaceDE w:val="0"/>
        <w:autoSpaceDN w:val="0"/>
        <w:adjustRightInd w:val="0"/>
        <w:spacing w:line="240" w:lineRule="auto"/>
        <w:contextualSpacing/>
        <w:textAlignment w:val="baseline"/>
        <w:rPr>
          <w:bCs/>
          <w:iCs/>
        </w:rPr>
      </w:pPr>
    </w:p>
    <w:p w14:paraId="38DEACAE" w14:textId="77777777" w:rsidR="00C53E67" w:rsidRPr="00C53E67" w:rsidRDefault="00C53E67" w:rsidP="00C30BC0">
      <w:pPr>
        <w:numPr>
          <w:ilvl w:val="0"/>
          <w:numId w:val="27"/>
        </w:numPr>
        <w:overflowPunct w:val="0"/>
        <w:autoSpaceDE w:val="0"/>
        <w:autoSpaceDN w:val="0"/>
        <w:adjustRightInd w:val="0"/>
        <w:spacing w:line="276" w:lineRule="auto"/>
        <w:ind w:left="567" w:hanging="567"/>
        <w:textAlignment w:val="baseline"/>
      </w:pPr>
      <w:proofErr w:type="gramStart"/>
      <w:r>
        <w:rPr>
          <w:b/>
          <w:bCs/>
        </w:rPr>
        <w:t>apporte</w:t>
      </w:r>
      <w:proofErr w:type="gramEnd"/>
      <w:r>
        <w:rPr>
          <w:b/>
          <w:bCs/>
        </w:rPr>
        <w:t xml:space="preserve"> son plein soutien à la boussole culturelle pour l’Europe</w:t>
      </w:r>
      <w:r>
        <w:t xml:space="preserve">, en ce qu’elle constitue une stratégie transversale importante qui arrive à point nommé pour promouvoir la culture et les valeurs de l’Europe et pour veiller au dynamisme du secteur </w:t>
      </w:r>
      <w:proofErr w:type="gramStart"/>
      <w:r>
        <w:t>culturel;</w:t>
      </w:r>
      <w:proofErr w:type="gramEnd"/>
    </w:p>
    <w:p w14:paraId="51935618" w14:textId="77777777" w:rsidR="00C53E67" w:rsidRPr="00C53E67" w:rsidRDefault="00C53E67" w:rsidP="00C30BC0">
      <w:pPr>
        <w:numPr>
          <w:ilvl w:val="0"/>
          <w:numId w:val="27"/>
        </w:numPr>
        <w:overflowPunct w:val="0"/>
        <w:autoSpaceDE w:val="0"/>
        <w:autoSpaceDN w:val="0"/>
        <w:adjustRightInd w:val="0"/>
        <w:spacing w:before="100" w:beforeAutospacing="1" w:after="100" w:afterAutospacing="1" w:line="276" w:lineRule="auto"/>
        <w:ind w:left="567" w:hanging="567"/>
        <w:textAlignment w:val="baseline"/>
      </w:pPr>
      <w:proofErr w:type="gramStart"/>
      <w:r>
        <w:t>fait</w:t>
      </w:r>
      <w:proofErr w:type="gramEnd"/>
      <w:r>
        <w:t xml:space="preserve"> valoir </w:t>
      </w:r>
      <w:r>
        <w:rPr>
          <w:b/>
          <w:bCs/>
        </w:rPr>
        <w:t>le rôle de la culture pour ce qui est de renforcer la démocratie</w:t>
      </w:r>
      <w:r>
        <w:t xml:space="preserve">, de faire échec aux discours populistes et autoritaires et de favoriser la cohésion sociale, la préparation et le développement </w:t>
      </w:r>
      <w:proofErr w:type="gramStart"/>
      <w:r>
        <w:t>durable;</w:t>
      </w:r>
      <w:proofErr w:type="gramEnd"/>
    </w:p>
    <w:p w14:paraId="1C5AAA1E" w14:textId="77777777" w:rsidR="00C53E67" w:rsidRPr="00C53E67" w:rsidRDefault="00C53E67" w:rsidP="00C30BC0">
      <w:pPr>
        <w:numPr>
          <w:ilvl w:val="0"/>
          <w:numId w:val="27"/>
        </w:numPr>
        <w:overflowPunct w:val="0"/>
        <w:autoSpaceDE w:val="0"/>
        <w:autoSpaceDN w:val="0"/>
        <w:adjustRightInd w:val="0"/>
        <w:spacing w:before="100" w:beforeAutospacing="1" w:after="100" w:afterAutospacing="1" w:line="276" w:lineRule="auto"/>
        <w:ind w:left="567" w:hanging="567"/>
        <w:textAlignment w:val="baseline"/>
      </w:pPr>
      <w:proofErr w:type="gramStart"/>
      <w:r>
        <w:t>recommande</w:t>
      </w:r>
      <w:proofErr w:type="gramEnd"/>
      <w:r>
        <w:t xml:space="preserve"> de </w:t>
      </w:r>
      <w:r>
        <w:rPr>
          <w:b/>
          <w:bCs/>
        </w:rPr>
        <w:t>dégager des synergies</w:t>
      </w:r>
      <w:r>
        <w:t xml:space="preserve"> entre la boussole culturelle et des initiatives telles que le bouclier européen de la démocratie, en particulier dans le domaine </w:t>
      </w:r>
      <w:proofErr w:type="gramStart"/>
      <w:r>
        <w:t>numérique;</w:t>
      </w:r>
      <w:proofErr w:type="gramEnd"/>
    </w:p>
    <w:p w14:paraId="5D3CFABE" w14:textId="77777777" w:rsidR="00C53E67" w:rsidRPr="00C53E67" w:rsidRDefault="00C53E67" w:rsidP="00C30BC0">
      <w:pPr>
        <w:numPr>
          <w:ilvl w:val="0"/>
          <w:numId w:val="27"/>
        </w:numPr>
        <w:overflowPunct w:val="0"/>
        <w:autoSpaceDE w:val="0"/>
        <w:autoSpaceDN w:val="0"/>
        <w:adjustRightInd w:val="0"/>
        <w:spacing w:before="100" w:beforeAutospacing="1" w:after="100" w:afterAutospacing="1" w:line="276" w:lineRule="auto"/>
        <w:ind w:left="567" w:hanging="567"/>
        <w:textAlignment w:val="baseline"/>
      </w:pPr>
      <w:proofErr w:type="gramStart"/>
      <w:r>
        <w:t>insiste</w:t>
      </w:r>
      <w:proofErr w:type="gramEnd"/>
      <w:r>
        <w:t xml:space="preserve"> sur la nécessité d’</w:t>
      </w:r>
      <w:r>
        <w:rPr>
          <w:b/>
          <w:bCs/>
        </w:rPr>
        <w:t>une stratégie spécifique en matière d’intelligence artificielle qui soit propre aux secteurs de la culture et de la création</w:t>
      </w:r>
      <w:r>
        <w:t xml:space="preserve">, englobant par exemple la protection de la propriété créative, la création d’un marché pour l’octroi de licences et des lignes directrices au titre du règlement sur l’intelligence </w:t>
      </w:r>
      <w:proofErr w:type="gramStart"/>
      <w:r>
        <w:t>artificielle;</w:t>
      </w:r>
      <w:proofErr w:type="gramEnd"/>
    </w:p>
    <w:p w14:paraId="076C2D8F" w14:textId="77777777" w:rsidR="00C53E67" w:rsidRPr="00C53E67" w:rsidRDefault="00C53E67" w:rsidP="00C30BC0">
      <w:pPr>
        <w:numPr>
          <w:ilvl w:val="0"/>
          <w:numId w:val="27"/>
        </w:numPr>
        <w:overflowPunct w:val="0"/>
        <w:autoSpaceDE w:val="0"/>
        <w:autoSpaceDN w:val="0"/>
        <w:adjustRightInd w:val="0"/>
        <w:spacing w:before="100" w:beforeAutospacing="1" w:after="100" w:afterAutospacing="1" w:line="276" w:lineRule="auto"/>
        <w:ind w:left="567" w:hanging="567"/>
        <w:textAlignment w:val="baseline"/>
      </w:pPr>
      <w:proofErr w:type="gramStart"/>
      <w:r>
        <w:t>réclame</w:t>
      </w:r>
      <w:proofErr w:type="gramEnd"/>
      <w:r>
        <w:t xml:space="preserve"> </w:t>
      </w:r>
      <w:r>
        <w:rPr>
          <w:b/>
          <w:bCs/>
        </w:rPr>
        <w:t>un soutien financier substantiel et transversal au titre du prochain cadre financier pluriannuel (2028-2034)</w:t>
      </w:r>
      <w:r>
        <w:t xml:space="preserve">, consistant entre autres à allouer 2 % du budget de l’UE à la culture et à veiller à ce que celle-ci soit intégrée dans les principaux programmes de </w:t>
      </w:r>
      <w:proofErr w:type="gramStart"/>
      <w:r>
        <w:t>l’Union;</w:t>
      </w:r>
      <w:proofErr w:type="gramEnd"/>
    </w:p>
    <w:p w14:paraId="5C1C74F4" w14:textId="77777777" w:rsidR="00C53E67" w:rsidRPr="00C53E67" w:rsidRDefault="00C53E67" w:rsidP="00C30BC0">
      <w:pPr>
        <w:numPr>
          <w:ilvl w:val="0"/>
          <w:numId w:val="27"/>
        </w:numPr>
        <w:overflowPunct w:val="0"/>
        <w:autoSpaceDE w:val="0"/>
        <w:autoSpaceDN w:val="0"/>
        <w:adjustRightInd w:val="0"/>
        <w:spacing w:before="100" w:beforeAutospacing="1" w:after="100" w:afterAutospacing="1" w:line="276" w:lineRule="auto"/>
        <w:ind w:left="567" w:hanging="567"/>
        <w:textAlignment w:val="baseline"/>
      </w:pPr>
      <w:proofErr w:type="gramStart"/>
      <w:r>
        <w:t>demande</w:t>
      </w:r>
      <w:proofErr w:type="gramEnd"/>
      <w:r>
        <w:t xml:space="preserve"> que </w:t>
      </w:r>
      <w:r>
        <w:rPr>
          <w:b/>
          <w:bCs/>
        </w:rPr>
        <w:t>la boussole culturelle fasse l’objet d’une mise en œuvre solide et ciblée, fondée sur un plan d’action clair</w:t>
      </w:r>
      <w:r>
        <w:t xml:space="preserve">, des capacités administratives adéquates et une continuité politique à long </w:t>
      </w:r>
      <w:proofErr w:type="gramStart"/>
      <w:r>
        <w:t>terme;</w:t>
      </w:r>
      <w:proofErr w:type="gramEnd"/>
    </w:p>
    <w:p w14:paraId="4ABFA2B6" w14:textId="77777777" w:rsidR="00C53E67" w:rsidRPr="00C53E67" w:rsidRDefault="00C53E67" w:rsidP="00C30BC0">
      <w:pPr>
        <w:numPr>
          <w:ilvl w:val="0"/>
          <w:numId w:val="27"/>
        </w:numPr>
        <w:overflowPunct w:val="0"/>
        <w:autoSpaceDE w:val="0"/>
        <w:autoSpaceDN w:val="0"/>
        <w:adjustRightInd w:val="0"/>
        <w:spacing w:before="100" w:beforeAutospacing="1" w:after="100" w:afterAutospacing="1" w:line="276" w:lineRule="auto"/>
        <w:ind w:left="567" w:hanging="567"/>
        <w:textAlignment w:val="baseline"/>
      </w:pPr>
      <w:proofErr w:type="gramStart"/>
      <w:r>
        <w:t>recommande</w:t>
      </w:r>
      <w:proofErr w:type="gramEnd"/>
      <w:r>
        <w:t xml:space="preserve"> </w:t>
      </w:r>
      <w:r>
        <w:rPr>
          <w:b/>
          <w:bCs/>
        </w:rPr>
        <w:t>une participation systématique, à un stade précoce, des acteurs culturels et non culturels</w:t>
      </w:r>
      <w:r>
        <w:t xml:space="preserve">, y compris les autorités locales, les PME et les secteurs de la culture et de la création, afin de renforcer l’appropriation et </w:t>
      </w:r>
      <w:proofErr w:type="gramStart"/>
      <w:r>
        <w:t>l’incidence;</w:t>
      </w:r>
      <w:proofErr w:type="gramEnd"/>
    </w:p>
    <w:p w14:paraId="34D1F370" w14:textId="77777777" w:rsidR="00C53E67" w:rsidRPr="00C53E67" w:rsidRDefault="00C53E67" w:rsidP="00C30BC0">
      <w:pPr>
        <w:numPr>
          <w:ilvl w:val="0"/>
          <w:numId w:val="27"/>
        </w:numPr>
        <w:overflowPunct w:val="0"/>
        <w:autoSpaceDE w:val="0"/>
        <w:autoSpaceDN w:val="0"/>
        <w:adjustRightInd w:val="0"/>
        <w:spacing w:before="100" w:beforeAutospacing="1" w:after="100" w:afterAutospacing="1" w:line="276" w:lineRule="auto"/>
        <w:ind w:left="567" w:hanging="567"/>
        <w:textAlignment w:val="baseline"/>
      </w:pPr>
      <w:proofErr w:type="gramStart"/>
      <w:r>
        <w:t>réclame</w:t>
      </w:r>
      <w:proofErr w:type="gramEnd"/>
      <w:r>
        <w:t xml:space="preserve"> </w:t>
      </w:r>
      <w:r>
        <w:rPr>
          <w:b/>
          <w:bCs/>
        </w:rPr>
        <w:t>une meilleure intégration des acteurs de l’économie sociale</w:t>
      </w:r>
      <w:r>
        <w:t xml:space="preserve"> et des initiatives culturelles de proximité dans les politiques publiques, grâce notamment à des instruments fiscaux et financiers </w:t>
      </w:r>
      <w:proofErr w:type="gramStart"/>
      <w:r>
        <w:t>adaptés;</w:t>
      </w:r>
      <w:proofErr w:type="gramEnd"/>
    </w:p>
    <w:p w14:paraId="7574E8ED" w14:textId="77777777" w:rsidR="00C53E67" w:rsidRPr="00C53E67" w:rsidRDefault="00C53E67" w:rsidP="00C30BC0">
      <w:pPr>
        <w:numPr>
          <w:ilvl w:val="0"/>
          <w:numId w:val="27"/>
        </w:numPr>
        <w:overflowPunct w:val="0"/>
        <w:autoSpaceDE w:val="0"/>
        <w:autoSpaceDN w:val="0"/>
        <w:adjustRightInd w:val="0"/>
        <w:spacing w:before="100" w:beforeAutospacing="1" w:after="100" w:afterAutospacing="1" w:line="276" w:lineRule="auto"/>
        <w:ind w:left="567" w:hanging="567"/>
        <w:textAlignment w:val="baseline"/>
      </w:pPr>
      <w:proofErr w:type="gramStart"/>
      <w:r>
        <w:rPr>
          <w:b/>
          <w:bCs/>
        </w:rPr>
        <w:t>se</w:t>
      </w:r>
      <w:proofErr w:type="gramEnd"/>
      <w:r>
        <w:rPr>
          <w:b/>
          <w:bCs/>
        </w:rPr>
        <w:t xml:space="preserve"> félicite de la proposition de tenir un dialogue structuré de l’UE avec les parties prenantes</w:t>
      </w:r>
      <w:r>
        <w:t xml:space="preserve"> et se propose de jouer le rôle de partenaire clé pour faciliter les échanges avec les acteurs institutionnels et </w:t>
      </w:r>
      <w:proofErr w:type="gramStart"/>
      <w:r>
        <w:t>sectoriels;</w:t>
      </w:r>
      <w:proofErr w:type="gramEnd"/>
    </w:p>
    <w:p w14:paraId="2118B2C0" w14:textId="77777777" w:rsidR="00C53E67" w:rsidRPr="00C53E67" w:rsidRDefault="00C53E67" w:rsidP="00C30BC0">
      <w:pPr>
        <w:numPr>
          <w:ilvl w:val="0"/>
          <w:numId w:val="27"/>
        </w:numPr>
        <w:overflowPunct w:val="0"/>
        <w:autoSpaceDE w:val="0"/>
        <w:autoSpaceDN w:val="0"/>
        <w:adjustRightInd w:val="0"/>
        <w:spacing w:before="100" w:beforeAutospacing="1" w:after="100" w:afterAutospacing="1" w:line="276" w:lineRule="auto"/>
        <w:ind w:left="567" w:hanging="567"/>
        <w:textAlignment w:val="baseline"/>
      </w:pPr>
      <w:proofErr w:type="gramStart"/>
      <w:r>
        <w:t>souligne</w:t>
      </w:r>
      <w:proofErr w:type="gramEnd"/>
      <w:r>
        <w:t xml:space="preserve"> que les secteurs de la culture et de la création constituent </w:t>
      </w:r>
      <w:r>
        <w:rPr>
          <w:b/>
          <w:bCs/>
        </w:rPr>
        <w:t>un écosystème économique stratégique</w:t>
      </w:r>
      <w:r>
        <w:t xml:space="preserve"> et demande que les industries clés que constituent par exemple le jeu, le cinéma, la musique et la mode soient mieux intégrées dans la </w:t>
      </w:r>
      <w:proofErr w:type="gramStart"/>
      <w:r>
        <w:t>boussole;</w:t>
      </w:r>
      <w:proofErr w:type="gramEnd"/>
    </w:p>
    <w:p w14:paraId="4B8E43E5" w14:textId="77777777" w:rsidR="00C53E67" w:rsidRPr="00C53E67" w:rsidRDefault="00C53E67" w:rsidP="00C30BC0">
      <w:pPr>
        <w:numPr>
          <w:ilvl w:val="0"/>
          <w:numId w:val="27"/>
        </w:numPr>
        <w:overflowPunct w:val="0"/>
        <w:autoSpaceDE w:val="0"/>
        <w:autoSpaceDN w:val="0"/>
        <w:adjustRightInd w:val="0"/>
        <w:spacing w:before="100" w:beforeAutospacing="1" w:after="100" w:afterAutospacing="1" w:line="276" w:lineRule="auto"/>
        <w:ind w:left="567" w:hanging="567"/>
        <w:textAlignment w:val="baseline"/>
      </w:pPr>
      <w:proofErr w:type="gramStart"/>
      <w:r>
        <w:t>soutient</w:t>
      </w:r>
      <w:proofErr w:type="gramEnd"/>
      <w:r>
        <w:t xml:space="preserve"> l’</w:t>
      </w:r>
      <w:r>
        <w:rPr>
          <w:b/>
          <w:bCs/>
        </w:rPr>
        <w:t>éducation culturelle et le développement des compétences</w:t>
      </w:r>
      <w:r>
        <w:t xml:space="preserve">, et plaide en faveur d’un accès inclusif, d’un financement spécifique et de liens plus étroits avec les programmes de l’UE tels qu’Erasmus+ et la politique de </w:t>
      </w:r>
      <w:proofErr w:type="gramStart"/>
      <w:r>
        <w:t>cohésion;</w:t>
      </w:r>
      <w:proofErr w:type="gramEnd"/>
    </w:p>
    <w:p w14:paraId="2BCF815C" w14:textId="77777777" w:rsidR="00C53E67" w:rsidRPr="00C53E67" w:rsidRDefault="00C53E67" w:rsidP="00C30BC0">
      <w:pPr>
        <w:numPr>
          <w:ilvl w:val="0"/>
          <w:numId w:val="27"/>
        </w:numPr>
        <w:overflowPunct w:val="0"/>
        <w:autoSpaceDE w:val="0"/>
        <w:autoSpaceDN w:val="0"/>
        <w:adjustRightInd w:val="0"/>
        <w:spacing w:before="100" w:beforeAutospacing="1" w:after="100" w:afterAutospacing="1" w:line="276" w:lineRule="auto"/>
        <w:ind w:left="567" w:hanging="567"/>
        <w:textAlignment w:val="baseline"/>
      </w:pPr>
      <w:proofErr w:type="gramStart"/>
      <w:r>
        <w:rPr>
          <w:b/>
          <w:bCs/>
        </w:rPr>
        <w:t>approuve</w:t>
      </w:r>
      <w:proofErr w:type="gramEnd"/>
      <w:r>
        <w:rPr>
          <w:b/>
          <w:bCs/>
        </w:rPr>
        <w:t xml:space="preserve"> l’élaboration d’une charte des artistes de l’Union</w:t>
      </w:r>
      <w:r>
        <w:t xml:space="preserve"> visant à garantir des conditions de travail équitables, une protection sociale renforcée et une convergence des financements de l’UE avec les normes relatives à la qualité de </w:t>
      </w:r>
      <w:proofErr w:type="gramStart"/>
      <w:r>
        <w:t>l’emploi;</w:t>
      </w:r>
      <w:proofErr w:type="gramEnd"/>
    </w:p>
    <w:p w14:paraId="52A25FBE" w14:textId="77777777" w:rsidR="00C53E67" w:rsidRPr="00C53E67" w:rsidRDefault="00C53E67" w:rsidP="00C30BC0">
      <w:pPr>
        <w:numPr>
          <w:ilvl w:val="0"/>
          <w:numId w:val="27"/>
        </w:numPr>
        <w:overflowPunct w:val="0"/>
        <w:autoSpaceDE w:val="0"/>
        <w:autoSpaceDN w:val="0"/>
        <w:adjustRightInd w:val="0"/>
        <w:spacing w:before="100" w:beforeAutospacing="1" w:after="100" w:afterAutospacing="1" w:line="276" w:lineRule="auto"/>
        <w:ind w:left="567" w:hanging="567"/>
        <w:textAlignment w:val="baseline"/>
        <w:rPr>
          <w:sz w:val="24"/>
          <w:szCs w:val="24"/>
        </w:rPr>
      </w:pPr>
      <w:proofErr w:type="gramStart"/>
      <w:r>
        <w:lastRenderedPageBreak/>
        <w:t>souligne</w:t>
      </w:r>
      <w:proofErr w:type="gramEnd"/>
      <w:r>
        <w:t xml:space="preserve"> </w:t>
      </w:r>
      <w:r>
        <w:rPr>
          <w:b/>
          <w:bCs/>
        </w:rPr>
        <w:t>l’importance d’investissements publics soutenus</w:t>
      </w:r>
      <w:r>
        <w:t xml:space="preserve"> dans les secteurs de la culture et de la création, tout en encourageant un meilleur accès au financement pour les PME grâce à une mobilisation accrue des instruments de la banque européenne d’investissement et du Fonds européen d’investissement, parallèlement à la mise en place de cadres complémentaires pour le soutien </w:t>
      </w:r>
      <w:proofErr w:type="gramStart"/>
      <w:r>
        <w:t>privé;</w:t>
      </w:r>
      <w:proofErr w:type="gramEnd"/>
    </w:p>
    <w:p w14:paraId="3A3FD424" w14:textId="77777777" w:rsidR="00C53E67" w:rsidRPr="00C53E67" w:rsidRDefault="00C53E67" w:rsidP="00C30BC0">
      <w:pPr>
        <w:numPr>
          <w:ilvl w:val="0"/>
          <w:numId w:val="27"/>
        </w:numPr>
        <w:overflowPunct w:val="0"/>
        <w:autoSpaceDE w:val="0"/>
        <w:autoSpaceDN w:val="0"/>
        <w:adjustRightInd w:val="0"/>
        <w:spacing w:before="100" w:beforeAutospacing="1" w:after="100" w:afterAutospacing="1" w:line="276" w:lineRule="auto"/>
        <w:ind w:left="567" w:hanging="567"/>
        <w:textAlignment w:val="baseline"/>
      </w:pPr>
      <w:proofErr w:type="gramStart"/>
      <w:r>
        <w:t>est</w:t>
      </w:r>
      <w:proofErr w:type="gramEnd"/>
      <w:r>
        <w:t xml:space="preserve"> favorable à ce que </w:t>
      </w:r>
      <w:r>
        <w:rPr>
          <w:b/>
          <w:bCs/>
        </w:rPr>
        <w:t>la déclaration conjointe bénéficie d’un soutien institutionnel</w:t>
      </w:r>
      <w:r>
        <w:t xml:space="preserve"> de la part des institutions européennes (y compris le CESE et le Comité des régions) ainsi que des parties prenantes, afin de garantir une adhésion généralisée et une légitimité </w:t>
      </w:r>
      <w:proofErr w:type="gramStart"/>
      <w:r>
        <w:t>accrue;</w:t>
      </w:r>
      <w:proofErr w:type="gramEnd"/>
    </w:p>
    <w:p w14:paraId="3DBA33EF" w14:textId="77777777" w:rsidR="00C53E67" w:rsidRPr="004C6742" w:rsidRDefault="00C53E67" w:rsidP="00C30BC0">
      <w:pPr>
        <w:numPr>
          <w:ilvl w:val="0"/>
          <w:numId w:val="27"/>
        </w:numPr>
        <w:overflowPunct w:val="0"/>
        <w:autoSpaceDE w:val="0"/>
        <w:autoSpaceDN w:val="0"/>
        <w:adjustRightInd w:val="0"/>
        <w:spacing w:line="276" w:lineRule="auto"/>
        <w:ind w:left="567" w:hanging="567"/>
        <w:textAlignment w:val="baseline"/>
        <w:rPr>
          <w:sz w:val="24"/>
          <w:szCs w:val="24"/>
        </w:rPr>
      </w:pPr>
      <w:proofErr w:type="gramStart"/>
      <w:r>
        <w:t>souligne</w:t>
      </w:r>
      <w:proofErr w:type="gramEnd"/>
      <w:r>
        <w:t xml:space="preserve"> </w:t>
      </w:r>
      <w:r>
        <w:rPr>
          <w:b/>
          <w:bCs/>
        </w:rPr>
        <w:t>l’importance que revêt la dimension internationale de la culture</w:t>
      </w:r>
      <w:r>
        <w:t xml:space="preserve"> et demande que celle-ci soit réintégrée sans réserve dans la déclaration conjointe, parallèlement à l’élaboration d’un plan d’action complet reposant sur la stratégie de l’UE dans le domaine des relations culturelles internationales.</w:t>
      </w:r>
    </w:p>
    <w:p w14:paraId="481BD40E" w14:textId="77777777" w:rsidR="008F6AA0" w:rsidRPr="00480EA8" w:rsidRDefault="008F6AA0" w:rsidP="004C6742">
      <w:pPr>
        <w:overflowPunct w:val="0"/>
        <w:autoSpaceDE w:val="0"/>
        <w:autoSpaceDN w:val="0"/>
        <w:adjustRightInd w:val="0"/>
        <w:spacing w:line="276" w:lineRule="auto"/>
        <w:textAlignment w:val="baseline"/>
        <w:rPr>
          <w:lang w:val="en-GB"/>
        </w:rPr>
      </w:pPr>
    </w:p>
    <w:tbl>
      <w:tblPr>
        <w:tblStyle w:val="TableGrid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C53E67" w:rsidRPr="00480EA8" w14:paraId="272A79A3" w14:textId="77777777" w:rsidTr="002E7EFB">
        <w:tc>
          <w:tcPr>
            <w:tcW w:w="1556" w:type="pct"/>
          </w:tcPr>
          <w:p w14:paraId="2B671CE9" w14:textId="77777777" w:rsidR="00C53E67" w:rsidRPr="00480EA8" w:rsidRDefault="00C53E67" w:rsidP="00C53E67">
            <w:pPr>
              <w:overflowPunct w:val="0"/>
              <w:autoSpaceDE w:val="0"/>
              <w:autoSpaceDN w:val="0"/>
              <w:adjustRightInd w:val="0"/>
              <w:spacing w:line="240" w:lineRule="auto"/>
              <w:textAlignment w:val="baseline"/>
              <w:rPr>
                <w:i/>
                <w:sz w:val="22"/>
                <w:szCs w:val="22"/>
              </w:rPr>
            </w:pPr>
            <w:r w:rsidRPr="00480EA8">
              <w:rPr>
                <w:b/>
                <w:i/>
                <w:sz w:val="22"/>
                <w:szCs w:val="22"/>
              </w:rPr>
              <w:t>Contact</w:t>
            </w:r>
          </w:p>
        </w:tc>
        <w:tc>
          <w:tcPr>
            <w:tcW w:w="3444" w:type="pct"/>
          </w:tcPr>
          <w:p w14:paraId="2DCCDC41" w14:textId="3A36641B" w:rsidR="00C53E67" w:rsidRPr="00480EA8" w:rsidRDefault="00C53E67" w:rsidP="00C53E67">
            <w:pPr>
              <w:overflowPunct w:val="0"/>
              <w:autoSpaceDE w:val="0"/>
              <w:autoSpaceDN w:val="0"/>
              <w:adjustRightInd w:val="0"/>
              <w:spacing w:line="240" w:lineRule="auto"/>
              <w:textAlignment w:val="baseline"/>
              <w:rPr>
                <w:i/>
                <w:sz w:val="22"/>
                <w:szCs w:val="22"/>
              </w:rPr>
            </w:pPr>
            <w:r w:rsidRPr="00480EA8">
              <w:rPr>
                <w:i/>
                <w:sz w:val="22"/>
                <w:szCs w:val="22"/>
              </w:rPr>
              <w:t>Jean Marie Rogue</w:t>
            </w:r>
          </w:p>
        </w:tc>
      </w:tr>
      <w:tr w:rsidR="00C53E67" w:rsidRPr="00480EA8" w14:paraId="6943624D" w14:textId="77777777" w:rsidTr="002E7EFB">
        <w:tc>
          <w:tcPr>
            <w:tcW w:w="1556" w:type="pct"/>
          </w:tcPr>
          <w:p w14:paraId="23893BC2" w14:textId="77777777" w:rsidR="00C53E67" w:rsidRPr="00480EA8" w:rsidRDefault="00C53E67" w:rsidP="00634494">
            <w:pPr>
              <w:overflowPunct w:val="0"/>
              <w:autoSpaceDE w:val="0"/>
              <w:autoSpaceDN w:val="0"/>
              <w:adjustRightInd w:val="0"/>
              <w:spacing w:line="240" w:lineRule="auto"/>
              <w:ind w:left="567"/>
              <w:textAlignment w:val="baseline"/>
              <w:rPr>
                <w:i/>
                <w:sz w:val="22"/>
                <w:szCs w:val="22"/>
              </w:rPr>
            </w:pPr>
            <w:r w:rsidRPr="00480EA8">
              <w:rPr>
                <w:i/>
                <w:sz w:val="22"/>
                <w:szCs w:val="22"/>
              </w:rPr>
              <w:t>Tél.</w:t>
            </w:r>
          </w:p>
        </w:tc>
        <w:tc>
          <w:tcPr>
            <w:tcW w:w="3444" w:type="pct"/>
          </w:tcPr>
          <w:p w14:paraId="62C63746" w14:textId="77777777" w:rsidR="00C53E67" w:rsidRPr="00480EA8" w:rsidRDefault="00C53E67" w:rsidP="00C53E67">
            <w:pPr>
              <w:overflowPunct w:val="0"/>
              <w:autoSpaceDE w:val="0"/>
              <w:autoSpaceDN w:val="0"/>
              <w:adjustRightInd w:val="0"/>
              <w:spacing w:line="240" w:lineRule="auto"/>
              <w:textAlignment w:val="baseline"/>
              <w:rPr>
                <w:i/>
                <w:sz w:val="22"/>
                <w:szCs w:val="22"/>
              </w:rPr>
            </w:pPr>
            <w:r w:rsidRPr="00480EA8">
              <w:rPr>
                <w:i/>
                <w:sz w:val="22"/>
                <w:szCs w:val="22"/>
              </w:rPr>
              <w:t>+32 2 546 8909</w:t>
            </w:r>
          </w:p>
        </w:tc>
      </w:tr>
      <w:tr w:rsidR="00C53E67" w:rsidRPr="00480EA8" w14:paraId="496DCA57" w14:textId="77777777" w:rsidTr="002E7EFB">
        <w:tc>
          <w:tcPr>
            <w:tcW w:w="1556" w:type="pct"/>
          </w:tcPr>
          <w:p w14:paraId="591F1710" w14:textId="77777777" w:rsidR="00C53E67" w:rsidRPr="00480EA8" w:rsidRDefault="00C53E67" w:rsidP="00634494">
            <w:pPr>
              <w:overflowPunct w:val="0"/>
              <w:autoSpaceDE w:val="0"/>
              <w:autoSpaceDN w:val="0"/>
              <w:adjustRightInd w:val="0"/>
              <w:spacing w:line="240" w:lineRule="auto"/>
              <w:ind w:left="567"/>
              <w:textAlignment w:val="baseline"/>
              <w:rPr>
                <w:i/>
                <w:sz w:val="22"/>
                <w:szCs w:val="22"/>
              </w:rPr>
            </w:pPr>
            <w:r w:rsidRPr="00480EA8">
              <w:rPr>
                <w:i/>
                <w:sz w:val="22"/>
                <w:szCs w:val="22"/>
              </w:rPr>
              <w:t>Courriel</w:t>
            </w:r>
          </w:p>
        </w:tc>
        <w:tc>
          <w:tcPr>
            <w:tcW w:w="3444" w:type="pct"/>
          </w:tcPr>
          <w:p w14:paraId="18C49AA7" w14:textId="20A70166" w:rsidR="00C53E67" w:rsidRPr="00480EA8" w:rsidRDefault="00E44636" w:rsidP="00C53E67">
            <w:pPr>
              <w:overflowPunct w:val="0"/>
              <w:autoSpaceDE w:val="0"/>
              <w:autoSpaceDN w:val="0"/>
              <w:adjustRightInd w:val="0"/>
              <w:spacing w:line="240" w:lineRule="auto"/>
              <w:textAlignment w:val="baseline"/>
              <w:rPr>
                <w:i/>
                <w:sz w:val="22"/>
                <w:szCs w:val="22"/>
              </w:rPr>
            </w:pPr>
            <w:hyperlink r:id="rId34" w:history="1">
              <w:r w:rsidRPr="00480EA8">
                <w:rPr>
                  <w:i/>
                  <w:color w:val="0000FF"/>
                  <w:sz w:val="22"/>
                  <w:szCs w:val="22"/>
                  <w:u w:val="single"/>
                </w:rPr>
                <w:t>JeanMarie.Rogue@eesc.europa.eu</w:t>
              </w:r>
            </w:hyperlink>
          </w:p>
        </w:tc>
      </w:tr>
    </w:tbl>
    <w:p w14:paraId="3887EC4A" w14:textId="660A26B1" w:rsidR="00A067F3" w:rsidRPr="00480EA8" w:rsidRDefault="00A067F3" w:rsidP="001766B2">
      <w:pPr>
        <w:jc w:val="left"/>
      </w:pPr>
    </w:p>
    <w:p w14:paraId="65D80955" w14:textId="08A859C7" w:rsidR="00480EA8" w:rsidRDefault="00480EA8">
      <w:pPr>
        <w:spacing w:after="160" w:line="259" w:lineRule="auto"/>
        <w:jc w:val="left"/>
      </w:pPr>
      <w:r>
        <w:br w:type="page"/>
      </w:r>
    </w:p>
    <w:p w14:paraId="3C2785CB" w14:textId="37B68DE3" w:rsidR="00480EA8" w:rsidRPr="00480EA8" w:rsidRDefault="00480EA8" w:rsidP="00480EA8">
      <w:pPr>
        <w:pStyle w:val="Heading1"/>
        <w:rPr>
          <w:b/>
          <w:bCs/>
        </w:rPr>
      </w:pPr>
      <w:bookmarkStart w:id="16" w:name="_Toc75527083"/>
      <w:bookmarkStart w:id="17" w:name="_Toc229140655"/>
      <w:bookmarkStart w:id="18" w:name="_Toc230357597"/>
      <w:r w:rsidRPr="00480EA8">
        <w:rPr>
          <w:b/>
          <w:bCs/>
        </w:rPr>
        <w:lastRenderedPageBreak/>
        <w:t>MARCHÉ UNIQUE, PRODUCTION ET CONSOMMATION</w:t>
      </w:r>
      <w:bookmarkEnd w:id="16"/>
      <w:bookmarkEnd w:id="17"/>
      <w:bookmarkEnd w:id="18"/>
    </w:p>
    <w:p w14:paraId="4982DDF4" w14:textId="77777777" w:rsidR="004D7AC0" w:rsidRDefault="004D7AC0" w:rsidP="001766B2"/>
    <w:p w14:paraId="566598A4" w14:textId="4C8D25AD" w:rsidR="00392AE5" w:rsidRPr="00C30BC0" w:rsidRDefault="00392AE5" w:rsidP="00392AE5">
      <w:pPr>
        <w:widowControl w:val="0"/>
        <w:numPr>
          <w:ilvl w:val="0"/>
          <w:numId w:val="4"/>
        </w:numPr>
        <w:tabs>
          <w:tab w:val="left" w:pos="2127"/>
        </w:tabs>
        <w:overflowPunct w:val="0"/>
        <w:autoSpaceDE w:val="0"/>
        <w:autoSpaceDN w:val="0"/>
        <w:adjustRightInd w:val="0"/>
        <w:ind w:hanging="567"/>
        <w:textAlignment w:val="baseline"/>
        <w:rPr>
          <w:b/>
          <w:bCs/>
          <w:i/>
          <w:iCs/>
          <w:sz w:val="28"/>
          <w:szCs w:val="28"/>
          <w:u w:val="single"/>
        </w:rPr>
      </w:pPr>
      <w:hyperlink r:id="rId35" w:history="1">
        <w:r w:rsidRPr="00C30BC0">
          <w:rPr>
            <w:b/>
            <w:bCs/>
            <w:i/>
            <w:iCs/>
            <w:color w:val="0000FF"/>
            <w:sz w:val="28"/>
            <w:szCs w:val="28"/>
            <w:u w:val="single"/>
          </w:rPr>
          <w:t>Surtourisme, locations de courte durée et éviction des populations locales — trouver le juste équilibre</w:t>
        </w:r>
      </w:hyperlink>
    </w:p>
    <w:p w14:paraId="129DAC63" w14:textId="77777777" w:rsidR="00392AE5" w:rsidRPr="00C30BC0" w:rsidRDefault="00392AE5" w:rsidP="00392AE5">
      <w:pPr>
        <w:tabs>
          <w:tab w:val="center" w:pos="284"/>
        </w:tabs>
        <w:overflowPunct w:val="0"/>
        <w:autoSpaceDE w:val="0"/>
        <w:autoSpaceDN w:val="0"/>
        <w:adjustRightInd w:val="0"/>
        <w:ind w:left="266" w:hanging="266"/>
        <w:textAlignment w:val="baseline"/>
        <w:rPr>
          <w:bCs/>
          <w:lang w:val="en-GB"/>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92AE5" w:rsidRPr="00C30BC0" w14:paraId="6A67318C" w14:textId="77777777" w:rsidTr="002E7EFB">
        <w:tc>
          <w:tcPr>
            <w:tcW w:w="1077" w:type="pct"/>
          </w:tcPr>
          <w:p w14:paraId="45EB1F84" w14:textId="77777777" w:rsidR="00392AE5" w:rsidRPr="00C30BC0" w:rsidRDefault="00392AE5" w:rsidP="00392AE5">
            <w:pPr>
              <w:tabs>
                <w:tab w:val="center" w:pos="284"/>
              </w:tabs>
              <w:overflowPunct w:val="0"/>
              <w:autoSpaceDE w:val="0"/>
              <w:autoSpaceDN w:val="0"/>
              <w:adjustRightInd w:val="0"/>
              <w:ind w:left="266" w:hanging="266"/>
              <w:textAlignment w:val="baseline"/>
              <w:rPr>
                <w:b/>
                <w:sz w:val="22"/>
                <w:szCs w:val="22"/>
              </w:rPr>
            </w:pPr>
            <w:r w:rsidRPr="00C30BC0">
              <w:rPr>
                <w:b/>
                <w:sz w:val="22"/>
                <w:szCs w:val="22"/>
              </w:rPr>
              <w:t>Rapporteur</w:t>
            </w:r>
          </w:p>
        </w:tc>
        <w:tc>
          <w:tcPr>
            <w:tcW w:w="3923" w:type="pct"/>
          </w:tcPr>
          <w:p w14:paraId="4123F63B" w14:textId="58C6E72D" w:rsidR="00392AE5" w:rsidRPr="00C30BC0" w:rsidRDefault="00392AE5" w:rsidP="00392AE5">
            <w:pPr>
              <w:tabs>
                <w:tab w:val="center" w:pos="284"/>
              </w:tabs>
              <w:overflowPunct w:val="0"/>
              <w:autoSpaceDE w:val="0"/>
              <w:autoSpaceDN w:val="0"/>
              <w:adjustRightInd w:val="0"/>
              <w:ind w:left="266" w:right="-3091" w:hanging="266"/>
              <w:textAlignment w:val="baseline"/>
              <w:rPr>
                <w:sz w:val="22"/>
                <w:szCs w:val="22"/>
              </w:rPr>
            </w:pPr>
            <w:r w:rsidRPr="00C30BC0">
              <w:rPr>
                <w:sz w:val="22"/>
                <w:szCs w:val="22"/>
              </w:rPr>
              <w:t>Marinel Dănuț MURESAN (groupe des employeurs — Roumanie)</w:t>
            </w:r>
          </w:p>
          <w:p w14:paraId="6824E4B7" w14:textId="3A5073A7" w:rsidR="003F20DF" w:rsidRPr="00C30BC0" w:rsidRDefault="003F20DF" w:rsidP="00392AE5">
            <w:pPr>
              <w:tabs>
                <w:tab w:val="center" w:pos="284"/>
              </w:tabs>
              <w:overflowPunct w:val="0"/>
              <w:autoSpaceDE w:val="0"/>
              <w:autoSpaceDN w:val="0"/>
              <w:adjustRightInd w:val="0"/>
              <w:ind w:left="266" w:right="-3091" w:hanging="266"/>
              <w:textAlignment w:val="baseline"/>
              <w:rPr>
                <w:bCs/>
                <w:sz w:val="22"/>
                <w:szCs w:val="22"/>
              </w:rPr>
            </w:pPr>
          </w:p>
        </w:tc>
      </w:tr>
      <w:tr w:rsidR="00392AE5" w:rsidRPr="00C30BC0" w14:paraId="241C9609" w14:textId="77777777" w:rsidTr="002E7EFB">
        <w:tc>
          <w:tcPr>
            <w:tcW w:w="1077" w:type="pct"/>
          </w:tcPr>
          <w:p w14:paraId="13E4A55F" w14:textId="77777777" w:rsidR="00392AE5" w:rsidRPr="00C30BC0" w:rsidRDefault="00392AE5" w:rsidP="00392AE5">
            <w:pPr>
              <w:tabs>
                <w:tab w:val="center" w:pos="284"/>
              </w:tabs>
              <w:overflowPunct w:val="0"/>
              <w:autoSpaceDE w:val="0"/>
              <w:autoSpaceDN w:val="0"/>
              <w:adjustRightInd w:val="0"/>
              <w:ind w:left="266" w:hanging="266"/>
              <w:textAlignment w:val="baseline"/>
              <w:rPr>
                <w:b/>
                <w:sz w:val="22"/>
                <w:szCs w:val="22"/>
              </w:rPr>
            </w:pPr>
            <w:r w:rsidRPr="00C30BC0">
              <w:rPr>
                <w:b/>
                <w:sz w:val="22"/>
                <w:szCs w:val="22"/>
              </w:rPr>
              <w:t>Références</w:t>
            </w:r>
          </w:p>
        </w:tc>
        <w:tc>
          <w:tcPr>
            <w:tcW w:w="3923" w:type="pct"/>
          </w:tcPr>
          <w:p w14:paraId="45A8FB5D" w14:textId="281DE309" w:rsidR="00392AE5" w:rsidRPr="00C30BC0" w:rsidRDefault="00392AE5" w:rsidP="00B3204A">
            <w:pPr>
              <w:overflowPunct w:val="0"/>
              <w:autoSpaceDE w:val="0"/>
              <w:autoSpaceDN w:val="0"/>
              <w:adjustRightInd w:val="0"/>
              <w:textAlignment w:val="baseline"/>
              <w:rPr>
                <w:sz w:val="22"/>
                <w:szCs w:val="22"/>
              </w:rPr>
            </w:pPr>
            <w:r w:rsidRPr="00C30BC0">
              <w:rPr>
                <w:sz w:val="22"/>
                <w:szCs w:val="22"/>
              </w:rPr>
              <w:t>Avis exploratoire à la demande de la présidence chypriote du Conseil de l’Union européenne</w:t>
            </w:r>
          </w:p>
          <w:p w14:paraId="7EBFEE0E" w14:textId="619F9385" w:rsidR="00392AE5" w:rsidRPr="00C30BC0" w:rsidRDefault="00392AE5" w:rsidP="00392AE5">
            <w:pPr>
              <w:tabs>
                <w:tab w:val="center" w:pos="284"/>
              </w:tabs>
              <w:overflowPunct w:val="0"/>
              <w:autoSpaceDE w:val="0"/>
              <w:autoSpaceDN w:val="0"/>
              <w:adjustRightInd w:val="0"/>
              <w:ind w:left="266" w:right="-3091" w:hanging="266"/>
              <w:textAlignment w:val="baseline"/>
              <w:rPr>
                <w:sz w:val="22"/>
                <w:szCs w:val="22"/>
              </w:rPr>
            </w:pPr>
            <w:r w:rsidRPr="00C30BC0">
              <w:rPr>
                <w:sz w:val="22"/>
                <w:szCs w:val="22"/>
              </w:rPr>
              <w:t>EESC-2025-03939-00-00-AC</w:t>
            </w:r>
          </w:p>
        </w:tc>
      </w:tr>
    </w:tbl>
    <w:p w14:paraId="77B48FFD" w14:textId="77777777" w:rsidR="00392AE5" w:rsidRPr="00392AE5" w:rsidRDefault="00392AE5" w:rsidP="00392AE5">
      <w:pPr>
        <w:tabs>
          <w:tab w:val="center" w:pos="284"/>
        </w:tabs>
        <w:overflowPunct w:val="0"/>
        <w:autoSpaceDE w:val="0"/>
        <w:autoSpaceDN w:val="0"/>
        <w:adjustRightInd w:val="0"/>
        <w:ind w:left="266" w:hanging="266"/>
        <w:textAlignment w:val="baseline"/>
        <w:rPr>
          <w:b/>
          <w:lang w:val="en-GB"/>
        </w:rPr>
      </w:pPr>
    </w:p>
    <w:p w14:paraId="6504CA01" w14:textId="77777777" w:rsidR="00392AE5" w:rsidRPr="00392AE5" w:rsidRDefault="00392AE5" w:rsidP="00392AE5">
      <w:pPr>
        <w:keepNext/>
        <w:keepLines/>
        <w:tabs>
          <w:tab w:val="center" w:pos="284"/>
        </w:tabs>
        <w:overflowPunct w:val="0"/>
        <w:autoSpaceDE w:val="0"/>
        <w:autoSpaceDN w:val="0"/>
        <w:adjustRightInd w:val="0"/>
        <w:ind w:left="266" w:hanging="266"/>
        <w:textAlignment w:val="baseline"/>
        <w:rPr>
          <w:b/>
        </w:rPr>
      </w:pPr>
      <w:r>
        <w:rPr>
          <w:b/>
        </w:rPr>
        <w:t>Points clés</w:t>
      </w:r>
    </w:p>
    <w:p w14:paraId="03C67430" w14:textId="77777777" w:rsidR="00392AE5" w:rsidRPr="00392AE5" w:rsidRDefault="00392AE5" w:rsidP="00392AE5">
      <w:pPr>
        <w:keepNext/>
        <w:keepLines/>
        <w:tabs>
          <w:tab w:val="center" w:pos="284"/>
        </w:tabs>
        <w:overflowPunct w:val="0"/>
        <w:autoSpaceDE w:val="0"/>
        <w:autoSpaceDN w:val="0"/>
        <w:adjustRightInd w:val="0"/>
        <w:ind w:left="266" w:hanging="266"/>
        <w:textAlignment w:val="baseline"/>
        <w:rPr>
          <w:b/>
          <w:lang w:val="en-GB"/>
        </w:rPr>
      </w:pPr>
    </w:p>
    <w:p w14:paraId="6F641786" w14:textId="77777777" w:rsidR="00392AE5" w:rsidRPr="00392AE5" w:rsidRDefault="00392AE5" w:rsidP="00392AE5">
      <w:pPr>
        <w:overflowPunct w:val="0"/>
        <w:autoSpaceDE w:val="0"/>
        <w:autoSpaceDN w:val="0"/>
        <w:adjustRightInd w:val="0"/>
        <w:textAlignment w:val="baseline"/>
        <w:rPr>
          <w:bCs/>
          <w:iCs/>
        </w:rPr>
      </w:pPr>
      <w:r>
        <w:t xml:space="preserve">Le </w:t>
      </w:r>
      <w:proofErr w:type="gramStart"/>
      <w:r>
        <w:t>CESE:</w:t>
      </w:r>
      <w:proofErr w:type="gramEnd"/>
    </w:p>
    <w:p w14:paraId="6DE75175" w14:textId="77777777" w:rsidR="00392AE5" w:rsidRPr="00392AE5" w:rsidRDefault="00392AE5" w:rsidP="00392AE5">
      <w:pPr>
        <w:overflowPunct w:val="0"/>
        <w:autoSpaceDE w:val="0"/>
        <w:autoSpaceDN w:val="0"/>
        <w:adjustRightInd w:val="0"/>
        <w:textAlignment w:val="baseline"/>
        <w:rPr>
          <w:bCs/>
          <w:iCs/>
          <w:lang w:val="en-GB"/>
        </w:rPr>
      </w:pPr>
    </w:p>
    <w:p w14:paraId="5E2CF75A" w14:textId="77777777" w:rsidR="00392AE5" w:rsidRPr="00392AE5" w:rsidRDefault="00392AE5" w:rsidP="00C30BC0">
      <w:pPr>
        <w:numPr>
          <w:ilvl w:val="0"/>
          <w:numId w:val="28"/>
        </w:numPr>
        <w:overflowPunct w:val="0"/>
        <w:autoSpaceDE w:val="0"/>
        <w:autoSpaceDN w:val="0"/>
        <w:adjustRightInd w:val="0"/>
        <w:spacing w:line="276" w:lineRule="auto"/>
        <w:ind w:left="567" w:hanging="567"/>
        <w:textAlignment w:val="baseline"/>
        <w:rPr>
          <w:szCs w:val="20"/>
        </w:rPr>
      </w:pPr>
      <w:proofErr w:type="gramStart"/>
      <w:r>
        <w:t>souligne</w:t>
      </w:r>
      <w:proofErr w:type="gramEnd"/>
      <w:r>
        <w:t xml:space="preserve"> que le tourisme constitue un écosystème stratégique pour l’Union, en tant que moteur de la croissance, de l’emploi et du développement social, et appelle de ses vœux une transition vers un modèle plus durable, équilibré et compétitif qui préserve la qualité de vie des communautés </w:t>
      </w:r>
      <w:proofErr w:type="gramStart"/>
      <w:r>
        <w:t>locales;</w:t>
      </w:r>
      <w:proofErr w:type="gramEnd"/>
      <w:r>
        <w:t xml:space="preserve"> </w:t>
      </w:r>
    </w:p>
    <w:p w14:paraId="7E1A2FA7" w14:textId="77777777" w:rsidR="00392AE5" w:rsidRPr="00392AE5" w:rsidRDefault="00392AE5" w:rsidP="00C30BC0">
      <w:pPr>
        <w:numPr>
          <w:ilvl w:val="0"/>
          <w:numId w:val="28"/>
        </w:numPr>
        <w:overflowPunct w:val="0"/>
        <w:autoSpaceDE w:val="0"/>
        <w:autoSpaceDN w:val="0"/>
        <w:adjustRightInd w:val="0"/>
        <w:spacing w:line="276" w:lineRule="auto"/>
        <w:ind w:left="567" w:hanging="567"/>
        <w:textAlignment w:val="baseline"/>
        <w:rPr>
          <w:szCs w:val="20"/>
        </w:rPr>
      </w:pPr>
      <w:proofErr w:type="gramStart"/>
      <w:r>
        <w:t>met</w:t>
      </w:r>
      <w:proofErr w:type="gramEnd"/>
      <w:r>
        <w:t xml:space="preserve"> en garde contre les pressions croissantes exercées par le surtourisme et les locations de courte durée dans certaines destinations, et </w:t>
      </w:r>
      <w:r>
        <w:rPr>
          <w:b/>
          <w:bCs/>
        </w:rPr>
        <w:t>appelle à une action coordonnée de l’Union</w:t>
      </w:r>
      <w:r>
        <w:t xml:space="preserve"> pour aider les États membres à élaborer des solutions proportionnées, territorialisées et fondées sur des données </w:t>
      </w:r>
      <w:proofErr w:type="gramStart"/>
      <w:r>
        <w:t>probantes;</w:t>
      </w:r>
      <w:proofErr w:type="gramEnd"/>
      <w:r>
        <w:t xml:space="preserve"> </w:t>
      </w:r>
    </w:p>
    <w:p w14:paraId="4DA31274" w14:textId="77777777" w:rsidR="00392AE5" w:rsidRPr="00392AE5" w:rsidRDefault="00392AE5" w:rsidP="00C30BC0">
      <w:pPr>
        <w:numPr>
          <w:ilvl w:val="0"/>
          <w:numId w:val="28"/>
        </w:numPr>
        <w:overflowPunct w:val="0"/>
        <w:autoSpaceDE w:val="0"/>
        <w:autoSpaceDN w:val="0"/>
        <w:adjustRightInd w:val="0"/>
        <w:spacing w:line="276" w:lineRule="auto"/>
        <w:ind w:left="567" w:hanging="567"/>
        <w:textAlignment w:val="baseline"/>
        <w:rPr>
          <w:szCs w:val="20"/>
        </w:rPr>
      </w:pPr>
      <w:proofErr w:type="gramStart"/>
      <w:r>
        <w:t>propose</w:t>
      </w:r>
      <w:proofErr w:type="gramEnd"/>
      <w:r>
        <w:t xml:space="preserve"> que l’on recoure, pour mieux gérer les flux touristiques, à des outils et des stratégies soutenus par l’Union, notamment à des systèmes de suivi numérique, à une diversification des destinations et des saisons, et à un renforcement des liens entre le tourisme et les économies, la culture et l’artisanat traditionnel </w:t>
      </w:r>
      <w:proofErr w:type="gramStart"/>
      <w:r>
        <w:t>locaux;</w:t>
      </w:r>
      <w:proofErr w:type="gramEnd"/>
      <w:r>
        <w:t xml:space="preserve"> </w:t>
      </w:r>
    </w:p>
    <w:p w14:paraId="0407BE7E" w14:textId="77777777" w:rsidR="00392AE5" w:rsidRPr="00392AE5" w:rsidRDefault="00392AE5" w:rsidP="00C30BC0">
      <w:pPr>
        <w:numPr>
          <w:ilvl w:val="0"/>
          <w:numId w:val="28"/>
        </w:numPr>
        <w:overflowPunct w:val="0"/>
        <w:autoSpaceDE w:val="0"/>
        <w:autoSpaceDN w:val="0"/>
        <w:adjustRightInd w:val="0"/>
        <w:spacing w:line="276" w:lineRule="auto"/>
        <w:ind w:left="567" w:hanging="567"/>
        <w:textAlignment w:val="baseline"/>
        <w:rPr>
          <w:szCs w:val="20"/>
        </w:rPr>
      </w:pPr>
      <w:proofErr w:type="gramStart"/>
      <w:r>
        <w:t>plaide</w:t>
      </w:r>
      <w:proofErr w:type="gramEnd"/>
      <w:r>
        <w:t xml:space="preserve"> en faveur de modèles innovants de gouvernance et de financement, combinant investissements publics et privés, pour soutenir le tourisme durable, le logement abordable et les écosystèmes d’entreprises locales, avec un rôle important accordé aux PME et aux communautés </w:t>
      </w:r>
      <w:proofErr w:type="gramStart"/>
      <w:r>
        <w:t>locales;</w:t>
      </w:r>
      <w:proofErr w:type="gramEnd"/>
      <w:r>
        <w:t xml:space="preserve"> </w:t>
      </w:r>
    </w:p>
    <w:p w14:paraId="38238CCA" w14:textId="77777777" w:rsidR="00392AE5" w:rsidRPr="00392AE5" w:rsidRDefault="00392AE5" w:rsidP="00C30BC0">
      <w:pPr>
        <w:widowControl w:val="0"/>
        <w:numPr>
          <w:ilvl w:val="0"/>
          <w:numId w:val="28"/>
        </w:numPr>
        <w:overflowPunct w:val="0"/>
        <w:autoSpaceDE w:val="0"/>
        <w:autoSpaceDN w:val="0"/>
        <w:adjustRightInd w:val="0"/>
        <w:spacing w:line="276" w:lineRule="auto"/>
        <w:ind w:left="567" w:hanging="567"/>
        <w:textAlignment w:val="baseline"/>
        <w:rPr>
          <w:bCs/>
          <w:iCs/>
        </w:rPr>
      </w:pPr>
      <w:proofErr w:type="gramStart"/>
      <w:r>
        <w:t>recommande</w:t>
      </w:r>
      <w:proofErr w:type="gramEnd"/>
      <w:r>
        <w:t xml:space="preserve"> de renforcer les compétences, la formation et la participation des jeunes, et demande la création d’un </w:t>
      </w:r>
      <w:r>
        <w:rPr>
          <w:b/>
          <w:bCs/>
        </w:rPr>
        <w:t>centre européen pour l’artisanat et les métiers traditionnels</w:t>
      </w:r>
      <w:r>
        <w:t xml:space="preserve"> afin de soutenir les économies locales et la durabilité culturelle dans l’ensemble de l’Union.</w:t>
      </w:r>
    </w:p>
    <w:p w14:paraId="46DCF0E2" w14:textId="77777777" w:rsidR="00392AE5" w:rsidRPr="00392AE5" w:rsidRDefault="00392AE5" w:rsidP="00392AE5">
      <w:pPr>
        <w:widowControl w:val="0"/>
        <w:overflowPunct w:val="0"/>
        <w:autoSpaceDE w:val="0"/>
        <w:autoSpaceDN w:val="0"/>
        <w:adjustRightInd w:val="0"/>
        <w:ind w:left="709"/>
        <w:textAlignment w:val="baseline"/>
        <w:rPr>
          <w:szCs w:val="20"/>
          <w:lang w:val="en-GB"/>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92AE5" w:rsidRPr="00B3204A" w14:paraId="519A6FBB" w14:textId="77777777" w:rsidTr="002E7EFB">
        <w:tc>
          <w:tcPr>
            <w:tcW w:w="1077" w:type="pct"/>
          </w:tcPr>
          <w:p w14:paraId="2511DD3A" w14:textId="77777777" w:rsidR="00392AE5" w:rsidRPr="00B3204A" w:rsidRDefault="00392AE5" w:rsidP="00392AE5">
            <w:pPr>
              <w:overflowPunct w:val="0"/>
              <w:autoSpaceDE w:val="0"/>
              <w:autoSpaceDN w:val="0"/>
              <w:adjustRightInd w:val="0"/>
              <w:textAlignment w:val="baseline"/>
              <w:rPr>
                <w:i/>
                <w:sz w:val="22"/>
                <w:szCs w:val="22"/>
              </w:rPr>
            </w:pPr>
            <w:r w:rsidRPr="00B3204A">
              <w:rPr>
                <w:b/>
                <w:i/>
                <w:sz w:val="22"/>
                <w:szCs w:val="22"/>
              </w:rPr>
              <w:t>Contact</w:t>
            </w:r>
          </w:p>
        </w:tc>
        <w:tc>
          <w:tcPr>
            <w:tcW w:w="3923" w:type="pct"/>
          </w:tcPr>
          <w:p w14:paraId="3960CCB8" w14:textId="77777777" w:rsidR="00392AE5" w:rsidRPr="00B3204A" w:rsidRDefault="00392AE5" w:rsidP="00392AE5">
            <w:pPr>
              <w:overflowPunct w:val="0"/>
              <w:autoSpaceDE w:val="0"/>
              <w:autoSpaceDN w:val="0"/>
              <w:adjustRightInd w:val="0"/>
              <w:textAlignment w:val="baseline"/>
              <w:rPr>
                <w:i/>
                <w:sz w:val="22"/>
                <w:szCs w:val="22"/>
              </w:rPr>
            </w:pPr>
            <w:r w:rsidRPr="00B3204A">
              <w:rPr>
                <w:i/>
                <w:sz w:val="22"/>
                <w:szCs w:val="22"/>
              </w:rPr>
              <w:t>Silvia Staffa</w:t>
            </w:r>
          </w:p>
        </w:tc>
      </w:tr>
      <w:tr w:rsidR="00392AE5" w:rsidRPr="00B3204A" w14:paraId="3AF34B7F" w14:textId="77777777" w:rsidTr="002E7EFB">
        <w:tc>
          <w:tcPr>
            <w:tcW w:w="1077" w:type="pct"/>
          </w:tcPr>
          <w:p w14:paraId="2CBD3E50" w14:textId="77777777" w:rsidR="00392AE5" w:rsidRPr="00B3204A" w:rsidRDefault="00392AE5" w:rsidP="00634494">
            <w:pPr>
              <w:overflowPunct w:val="0"/>
              <w:autoSpaceDE w:val="0"/>
              <w:autoSpaceDN w:val="0"/>
              <w:adjustRightInd w:val="0"/>
              <w:ind w:left="567"/>
              <w:textAlignment w:val="baseline"/>
              <w:rPr>
                <w:i/>
                <w:sz w:val="22"/>
                <w:szCs w:val="22"/>
              </w:rPr>
            </w:pPr>
            <w:r w:rsidRPr="00B3204A">
              <w:rPr>
                <w:i/>
                <w:sz w:val="22"/>
                <w:szCs w:val="22"/>
              </w:rPr>
              <w:t>Tél.</w:t>
            </w:r>
          </w:p>
        </w:tc>
        <w:tc>
          <w:tcPr>
            <w:tcW w:w="3923" w:type="pct"/>
          </w:tcPr>
          <w:p w14:paraId="730C53AF" w14:textId="77777777" w:rsidR="00392AE5" w:rsidRPr="00B3204A" w:rsidRDefault="00392AE5" w:rsidP="00392AE5">
            <w:pPr>
              <w:overflowPunct w:val="0"/>
              <w:autoSpaceDE w:val="0"/>
              <w:autoSpaceDN w:val="0"/>
              <w:adjustRightInd w:val="0"/>
              <w:textAlignment w:val="baseline"/>
              <w:rPr>
                <w:i/>
                <w:sz w:val="22"/>
                <w:szCs w:val="22"/>
              </w:rPr>
            </w:pPr>
            <w:r w:rsidRPr="00B3204A">
              <w:rPr>
                <w:i/>
                <w:sz w:val="22"/>
                <w:szCs w:val="22"/>
              </w:rPr>
              <w:t>+32 2 546 8378</w:t>
            </w:r>
          </w:p>
        </w:tc>
      </w:tr>
      <w:tr w:rsidR="00392AE5" w:rsidRPr="00B3204A" w14:paraId="7E2C07CA" w14:textId="77777777" w:rsidTr="002E7EFB">
        <w:tc>
          <w:tcPr>
            <w:tcW w:w="1077" w:type="pct"/>
          </w:tcPr>
          <w:p w14:paraId="22A428C5" w14:textId="77777777" w:rsidR="00392AE5" w:rsidRPr="00B3204A" w:rsidRDefault="00392AE5" w:rsidP="00634494">
            <w:pPr>
              <w:overflowPunct w:val="0"/>
              <w:autoSpaceDE w:val="0"/>
              <w:autoSpaceDN w:val="0"/>
              <w:adjustRightInd w:val="0"/>
              <w:ind w:left="567"/>
              <w:textAlignment w:val="baseline"/>
              <w:rPr>
                <w:i/>
                <w:sz w:val="22"/>
                <w:szCs w:val="22"/>
              </w:rPr>
            </w:pPr>
            <w:r w:rsidRPr="00B3204A">
              <w:rPr>
                <w:i/>
                <w:sz w:val="22"/>
                <w:szCs w:val="22"/>
              </w:rPr>
              <w:t>Courriel</w:t>
            </w:r>
          </w:p>
        </w:tc>
        <w:tc>
          <w:tcPr>
            <w:tcW w:w="3923" w:type="pct"/>
          </w:tcPr>
          <w:p w14:paraId="0EBCDB0C" w14:textId="26259132" w:rsidR="00392AE5" w:rsidRPr="00B3204A" w:rsidRDefault="00E44636" w:rsidP="00392AE5">
            <w:pPr>
              <w:overflowPunct w:val="0"/>
              <w:autoSpaceDE w:val="0"/>
              <w:autoSpaceDN w:val="0"/>
              <w:adjustRightInd w:val="0"/>
              <w:spacing w:line="240" w:lineRule="auto"/>
              <w:textAlignment w:val="baseline"/>
              <w:rPr>
                <w:i/>
                <w:sz w:val="22"/>
                <w:szCs w:val="22"/>
              </w:rPr>
            </w:pPr>
            <w:hyperlink r:id="rId36" w:history="1">
              <w:r w:rsidRPr="00B3204A">
                <w:rPr>
                  <w:i/>
                  <w:color w:val="0000FF"/>
                  <w:sz w:val="22"/>
                  <w:szCs w:val="22"/>
                  <w:u w:val="single"/>
                </w:rPr>
                <w:t>Silvia.Staffa@eesc.europa.eu</w:t>
              </w:r>
            </w:hyperlink>
          </w:p>
        </w:tc>
      </w:tr>
    </w:tbl>
    <w:p w14:paraId="4982DE1D" w14:textId="4077BBDD" w:rsidR="00A456BF" w:rsidRDefault="00A456BF" w:rsidP="001766B2">
      <w:pPr>
        <w:pStyle w:val="ListParagraph"/>
        <w:ind w:left="0"/>
      </w:pPr>
    </w:p>
    <w:p w14:paraId="6B9F0C27" w14:textId="50893D06" w:rsidR="008E331E" w:rsidRPr="008E331E" w:rsidRDefault="00E44636" w:rsidP="0012608E">
      <w:pPr>
        <w:keepNext/>
        <w:widowControl w:val="0"/>
        <w:numPr>
          <w:ilvl w:val="0"/>
          <w:numId w:val="4"/>
        </w:numPr>
        <w:overflowPunct w:val="0"/>
        <w:autoSpaceDE w:val="0"/>
        <w:autoSpaceDN w:val="0"/>
        <w:adjustRightInd w:val="0"/>
        <w:ind w:hanging="567"/>
        <w:textAlignment w:val="baseline"/>
        <w:rPr>
          <w:sz w:val="20"/>
          <w:szCs w:val="20"/>
        </w:rPr>
      </w:pPr>
      <w:hyperlink r:id="rId37" w:tgtFrame="_blank" w:history="1">
        <w:r>
          <w:rPr>
            <w:b/>
            <w:i/>
            <w:color w:val="0000FF"/>
            <w:sz w:val="28"/>
            <w:u w:val="single"/>
          </w:rPr>
          <w:t>Révision des normes en matière d’émissions de CO</w:t>
        </w:r>
        <w:r>
          <w:rPr>
            <w:b/>
            <w:i/>
            <w:color w:val="0000FF"/>
            <w:sz w:val="28"/>
            <w:u w:val="single"/>
            <w:vertAlign w:val="subscript"/>
          </w:rPr>
          <w:t>2</w:t>
        </w:r>
        <w:r>
          <w:rPr>
            <w:b/>
            <w:i/>
            <w:color w:val="0000FF"/>
            <w:sz w:val="28"/>
            <w:u w:val="single"/>
          </w:rPr>
          <w:t xml:space="preserve"> pour les voitures et les camionnettes</w:t>
        </w:r>
      </w:hyperlink>
    </w:p>
    <w:p w14:paraId="4FA234D2" w14:textId="77777777" w:rsidR="008E331E" w:rsidRPr="00C30BC0" w:rsidRDefault="008E331E" w:rsidP="0012608E">
      <w:pPr>
        <w:keepNext/>
        <w:tabs>
          <w:tab w:val="center" w:pos="284"/>
        </w:tabs>
        <w:overflowPunct w:val="0"/>
        <w:autoSpaceDE w:val="0"/>
        <w:autoSpaceDN w:val="0"/>
        <w:adjustRightInd w:val="0"/>
        <w:ind w:left="266" w:hanging="266"/>
        <w:textAlignment w:val="baseline"/>
        <w:rPr>
          <w:bCs/>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479"/>
      </w:tblGrid>
      <w:tr w:rsidR="008E331E" w:rsidRPr="00B3204A" w14:paraId="3544A5AD" w14:textId="77777777" w:rsidTr="00B3204A">
        <w:tc>
          <w:tcPr>
            <w:tcW w:w="1701" w:type="dxa"/>
          </w:tcPr>
          <w:p w14:paraId="1CD1317C" w14:textId="77777777" w:rsidR="008E331E" w:rsidRPr="00B3204A" w:rsidRDefault="008E331E" w:rsidP="0012608E">
            <w:pPr>
              <w:keepNext/>
              <w:tabs>
                <w:tab w:val="center" w:pos="284"/>
              </w:tabs>
              <w:overflowPunct w:val="0"/>
              <w:autoSpaceDE w:val="0"/>
              <w:autoSpaceDN w:val="0"/>
              <w:adjustRightInd w:val="0"/>
              <w:ind w:left="266" w:hanging="266"/>
              <w:textAlignment w:val="baseline"/>
              <w:rPr>
                <w:b/>
                <w:sz w:val="22"/>
                <w:szCs w:val="22"/>
              </w:rPr>
            </w:pPr>
            <w:r w:rsidRPr="00B3204A">
              <w:rPr>
                <w:b/>
                <w:sz w:val="22"/>
                <w:szCs w:val="22"/>
              </w:rPr>
              <w:t>Rapporteur</w:t>
            </w:r>
          </w:p>
        </w:tc>
        <w:tc>
          <w:tcPr>
            <w:tcW w:w="7479" w:type="dxa"/>
          </w:tcPr>
          <w:p w14:paraId="3D9FC490" w14:textId="14D26501" w:rsidR="008E331E" w:rsidRPr="00B3204A" w:rsidRDefault="008E331E" w:rsidP="0012608E">
            <w:pPr>
              <w:keepNext/>
              <w:overflowPunct w:val="0"/>
              <w:autoSpaceDE w:val="0"/>
              <w:autoSpaceDN w:val="0"/>
              <w:adjustRightInd w:val="0"/>
              <w:textAlignment w:val="baseline"/>
              <w:rPr>
                <w:sz w:val="22"/>
                <w:szCs w:val="22"/>
              </w:rPr>
            </w:pPr>
            <w:r w:rsidRPr="00B3204A">
              <w:rPr>
                <w:sz w:val="22"/>
                <w:szCs w:val="22"/>
              </w:rPr>
              <w:t>Matteo Carlo BORSANI (groupe des employeurs — Italie)</w:t>
            </w:r>
          </w:p>
        </w:tc>
      </w:tr>
      <w:tr w:rsidR="008E331E" w:rsidRPr="00B3204A" w14:paraId="5175195B" w14:textId="77777777" w:rsidTr="00B3204A">
        <w:tc>
          <w:tcPr>
            <w:tcW w:w="9180" w:type="dxa"/>
            <w:gridSpan w:val="2"/>
          </w:tcPr>
          <w:p w14:paraId="25949DC3" w14:textId="77777777" w:rsidR="008E331E" w:rsidRPr="00B3204A" w:rsidRDefault="008E331E" w:rsidP="0012608E">
            <w:pPr>
              <w:keepNext/>
              <w:tabs>
                <w:tab w:val="center" w:pos="284"/>
              </w:tabs>
              <w:overflowPunct w:val="0"/>
              <w:autoSpaceDE w:val="0"/>
              <w:autoSpaceDN w:val="0"/>
              <w:adjustRightInd w:val="0"/>
              <w:spacing w:line="160" w:lineRule="exact"/>
              <w:ind w:left="266" w:hanging="266"/>
              <w:textAlignment w:val="baseline"/>
              <w:rPr>
                <w:sz w:val="22"/>
                <w:szCs w:val="22"/>
              </w:rPr>
            </w:pPr>
          </w:p>
        </w:tc>
      </w:tr>
      <w:tr w:rsidR="008E331E" w:rsidRPr="00B3204A" w14:paraId="0E58D564" w14:textId="77777777" w:rsidTr="00B3204A">
        <w:tc>
          <w:tcPr>
            <w:tcW w:w="1701" w:type="dxa"/>
          </w:tcPr>
          <w:p w14:paraId="145A97E5" w14:textId="77777777" w:rsidR="008E331E" w:rsidRPr="00B3204A" w:rsidRDefault="008E331E" w:rsidP="0012608E">
            <w:pPr>
              <w:keepNext/>
              <w:tabs>
                <w:tab w:val="center" w:pos="284"/>
              </w:tabs>
              <w:overflowPunct w:val="0"/>
              <w:autoSpaceDE w:val="0"/>
              <w:autoSpaceDN w:val="0"/>
              <w:adjustRightInd w:val="0"/>
              <w:ind w:left="266" w:hanging="266"/>
              <w:textAlignment w:val="baseline"/>
              <w:rPr>
                <w:b/>
                <w:sz w:val="22"/>
                <w:szCs w:val="22"/>
              </w:rPr>
            </w:pPr>
            <w:r w:rsidRPr="00B3204A">
              <w:rPr>
                <w:b/>
                <w:sz w:val="22"/>
                <w:szCs w:val="22"/>
              </w:rPr>
              <w:t>Références</w:t>
            </w:r>
          </w:p>
        </w:tc>
        <w:tc>
          <w:tcPr>
            <w:tcW w:w="7479" w:type="dxa"/>
          </w:tcPr>
          <w:p w14:paraId="7281EBE1" w14:textId="0C5497BF" w:rsidR="008E331E" w:rsidRPr="00B3204A" w:rsidRDefault="008E331E" w:rsidP="0012608E">
            <w:pPr>
              <w:keepNext/>
              <w:tabs>
                <w:tab w:val="center" w:pos="284"/>
              </w:tabs>
              <w:overflowPunct w:val="0"/>
              <w:autoSpaceDE w:val="0"/>
              <w:autoSpaceDN w:val="0"/>
              <w:adjustRightInd w:val="0"/>
              <w:ind w:left="266" w:hanging="266"/>
              <w:textAlignment w:val="baseline"/>
              <w:rPr>
                <w:sz w:val="22"/>
                <w:szCs w:val="22"/>
              </w:rPr>
            </w:pPr>
            <w:proofErr w:type="gramStart"/>
            <w:r w:rsidRPr="00B3204A">
              <w:rPr>
                <w:sz w:val="22"/>
                <w:szCs w:val="22"/>
              </w:rPr>
              <w:t>COM(</w:t>
            </w:r>
            <w:proofErr w:type="gramEnd"/>
            <w:r w:rsidRPr="00B3204A">
              <w:rPr>
                <w:sz w:val="22"/>
                <w:szCs w:val="22"/>
              </w:rPr>
              <w:t xml:space="preserve">2025) 995 final </w:t>
            </w:r>
          </w:p>
          <w:p w14:paraId="7D42FFB6" w14:textId="77777777" w:rsidR="008E331E" w:rsidRPr="00B3204A" w:rsidRDefault="008E331E" w:rsidP="0012608E">
            <w:pPr>
              <w:keepNext/>
              <w:tabs>
                <w:tab w:val="center" w:pos="284"/>
              </w:tabs>
              <w:overflowPunct w:val="0"/>
              <w:autoSpaceDE w:val="0"/>
              <w:autoSpaceDN w:val="0"/>
              <w:adjustRightInd w:val="0"/>
              <w:ind w:left="266" w:hanging="266"/>
              <w:textAlignment w:val="baseline"/>
              <w:rPr>
                <w:sz w:val="22"/>
                <w:szCs w:val="22"/>
              </w:rPr>
            </w:pPr>
            <w:r w:rsidRPr="00B3204A">
              <w:rPr>
                <w:sz w:val="22"/>
                <w:szCs w:val="22"/>
              </w:rPr>
              <w:t>EESC-2025-04308-00-00-AC</w:t>
            </w:r>
          </w:p>
        </w:tc>
      </w:tr>
    </w:tbl>
    <w:p w14:paraId="40375C28" w14:textId="77777777" w:rsidR="008E331E" w:rsidRPr="008E331E" w:rsidRDefault="008E331E" w:rsidP="008E331E">
      <w:pPr>
        <w:tabs>
          <w:tab w:val="center" w:pos="284"/>
        </w:tabs>
        <w:overflowPunct w:val="0"/>
        <w:autoSpaceDE w:val="0"/>
        <w:autoSpaceDN w:val="0"/>
        <w:adjustRightInd w:val="0"/>
        <w:ind w:left="266" w:hanging="266"/>
        <w:textAlignment w:val="baseline"/>
        <w:rPr>
          <w:lang w:val="pt-PT"/>
        </w:rPr>
      </w:pPr>
    </w:p>
    <w:p w14:paraId="26D74C64"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rPr>
      </w:pPr>
      <w:r>
        <w:rPr>
          <w:b/>
        </w:rPr>
        <w:t>Points clés</w:t>
      </w:r>
    </w:p>
    <w:p w14:paraId="2C9A5459"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lang w:val="en-GB"/>
        </w:rPr>
      </w:pPr>
    </w:p>
    <w:p w14:paraId="37A2A0C4" w14:textId="77777777" w:rsidR="008E331E" w:rsidRPr="008E331E" w:rsidRDefault="008E331E" w:rsidP="008E331E">
      <w:pPr>
        <w:overflowPunct w:val="0"/>
        <w:autoSpaceDE w:val="0"/>
        <w:autoSpaceDN w:val="0"/>
        <w:adjustRightInd w:val="0"/>
        <w:textAlignment w:val="baseline"/>
        <w:rPr>
          <w:bCs/>
          <w:iCs/>
        </w:rPr>
      </w:pPr>
      <w:r>
        <w:t xml:space="preserve">Le </w:t>
      </w:r>
      <w:proofErr w:type="gramStart"/>
      <w:r>
        <w:t>CESE:</w:t>
      </w:r>
      <w:proofErr w:type="gramEnd"/>
    </w:p>
    <w:p w14:paraId="74FE4F26" w14:textId="77777777" w:rsidR="008E331E" w:rsidRPr="008E331E" w:rsidRDefault="008E331E" w:rsidP="008E331E">
      <w:pPr>
        <w:overflowPunct w:val="0"/>
        <w:autoSpaceDE w:val="0"/>
        <w:autoSpaceDN w:val="0"/>
        <w:adjustRightInd w:val="0"/>
        <w:textAlignment w:val="baseline"/>
        <w:rPr>
          <w:bCs/>
          <w:iCs/>
          <w:lang w:val="en-GB"/>
        </w:rPr>
      </w:pPr>
    </w:p>
    <w:p w14:paraId="5B2F5DBD" w14:textId="77777777" w:rsidR="008E331E" w:rsidRPr="008E331E" w:rsidRDefault="008E331E" w:rsidP="00C30BC0">
      <w:pPr>
        <w:numPr>
          <w:ilvl w:val="0"/>
          <w:numId w:val="29"/>
        </w:numPr>
        <w:overflowPunct w:val="0"/>
        <w:autoSpaceDE w:val="0"/>
        <w:autoSpaceDN w:val="0"/>
        <w:adjustRightInd w:val="0"/>
        <w:spacing w:after="200" w:line="276" w:lineRule="auto"/>
        <w:ind w:left="567" w:hanging="567"/>
        <w:contextualSpacing/>
        <w:textAlignment w:val="baseline"/>
      </w:pPr>
      <w:proofErr w:type="gramStart"/>
      <w:r>
        <w:rPr>
          <w:b/>
          <w:bCs/>
        </w:rPr>
        <w:t>demande</w:t>
      </w:r>
      <w:proofErr w:type="gramEnd"/>
      <w:r>
        <w:rPr>
          <w:b/>
          <w:bCs/>
        </w:rPr>
        <w:t xml:space="preserve"> que l’Union européenne mette en place un cadre équilibré et cohérent</w:t>
      </w:r>
      <w:r>
        <w:t xml:space="preserve"> pour la transition de l’industrie automobile, qui prévoie à la fois de stimuler fortement une mobilité dont les émissions sont nulles ou réduites tout en respectant la neutralité technologique, de renforcer la chaîne de valeur du</w:t>
      </w:r>
      <w:proofErr w:type="gramStart"/>
      <w:r>
        <w:t xml:space="preserve"> «fabriqué</w:t>
      </w:r>
      <w:proofErr w:type="gramEnd"/>
      <w:r>
        <w:t xml:space="preserve"> dans </w:t>
      </w:r>
      <w:proofErr w:type="gramStart"/>
      <w:r>
        <w:t>l’UE»</w:t>
      </w:r>
      <w:proofErr w:type="gramEnd"/>
      <w:r>
        <w:t xml:space="preserve"> et de protéger les emplois de qualité, les capacités industrielles et </w:t>
      </w:r>
      <w:proofErr w:type="gramStart"/>
      <w:r>
        <w:t>l’innovation;</w:t>
      </w:r>
      <w:proofErr w:type="gramEnd"/>
    </w:p>
    <w:p w14:paraId="432BFC18" w14:textId="77777777" w:rsidR="008E331E" w:rsidRPr="008E331E" w:rsidRDefault="008E331E" w:rsidP="00C30BC0">
      <w:pPr>
        <w:numPr>
          <w:ilvl w:val="0"/>
          <w:numId w:val="29"/>
        </w:numPr>
        <w:overflowPunct w:val="0"/>
        <w:autoSpaceDE w:val="0"/>
        <w:autoSpaceDN w:val="0"/>
        <w:adjustRightInd w:val="0"/>
        <w:spacing w:after="200" w:line="276" w:lineRule="auto"/>
        <w:ind w:left="567" w:hanging="567"/>
        <w:contextualSpacing/>
        <w:textAlignment w:val="baseline"/>
      </w:pPr>
      <w:proofErr w:type="gramStart"/>
      <w:r>
        <w:rPr>
          <w:b/>
          <w:bCs/>
        </w:rPr>
        <w:t>presse</w:t>
      </w:r>
      <w:proofErr w:type="gramEnd"/>
      <w:r>
        <w:rPr>
          <w:b/>
          <w:bCs/>
        </w:rPr>
        <w:t xml:space="preserve"> de faire preuve de pragmatisme pour réviser les normes en matière d’émissions de CO</w:t>
      </w:r>
      <w:r>
        <w:rPr>
          <w:b/>
          <w:bCs/>
          <w:vertAlign w:val="subscript"/>
        </w:rPr>
        <w:t>2</w:t>
      </w:r>
      <w:r>
        <w:t xml:space="preserve"> pour les voitures et les camionnettes, de sorte à tenir compte des réalités du marché et des objectifs climatiques, afin de rétablir la compétitivité tout en maintenant la trajectoire de décarbonation à long </w:t>
      </w:r>
      <w:proofErr w:type="gramStart"/>
      <w:r>
        <w:t>terme;</w:t>
      </w:r>
      <w:proofErr w:type="gramEnd"/>
    </w:p>
    <w:p w14:paraId="0972F5CB" w14:textId="77777777" w:rsidR="008E331E" w:rsidRPr="008E331E" w:rsidRDefault="008E331E" w:rsidP="00C30BC0">
      <w:pPr>
        <w:numPr>
          <w:ilvl w:val="0"/>
          <w:numId w:val="29"/>
        </w:numPr>
        <w:overflowPunct w:val="0"/>
        <w:autoSpaceDE w:val="0"/>
        <w:autoSpaceDN w:val="0"/>
        <w:adjustRightInd w:val="0"/>
        <w:spacing w:after="200" w:line="276" w:lineRule="auto"/>
        <w:ind w:left="567" w:hanging="567"/>
        <w:contextualSpacing/>
        <w:textAlignment w:val="baseline"/>
      </w:pPr>
      <w:proofErr w:type="gramStart"/>
      <w:r>
        <w:rPr>
          <w:b/>
          <w:bCs/>
        </w:rPr>
        <w:t>défend</w:t>
      </w:r>
      <w:proofErr w:type="gramEnd"/>
      <w:r>
        <w:rPr>
          <w:b/>
          <w:bCs/>
        </w:rPr>
        <w:t xml:space="preserve"> l’idée de conférer un rôle plus important aux technologies de transition</w:t>
      </w:r>
      <w:r>
        <w:t xml:space="preserve">, notamment les véhicules hybrides, les carburants renouvelables durables et les matériaux à faibles émissions, et demande que l’on ne se fie plus que dans une moindre mesure au seul critère des émissions à l’échappement afin de permettre une transition plus réaliste et socialement </w:t>
      </w:r>
      <w:proofErr w:type="gramStart"/>
      <w:r>
        <w:t>équilibrée;</w:t>
      </w:r>
      <w:proofErr w:type="gramEnd"/>
    </w:p>
    <w:p w14:paraId="1A4C34C1" w14:textId="77777777" w:rsidR="008E331E" w:rsidRPr="008E331E" w:rsidRDefault="008E331E" w:rsidP="00C30BC0">
      <w:pPr>
        <w:numPr>
          <w:ilvl w:val="0"/>
          <w:numId w:val="29"/>
        </w:numPr>
        <w:overflowPunct w:val="0"/>
        <w:autoSpaceDE w:val="0"/>
        <w:autoSpaceDN w:val="0"/>
        <w:adjustRightInd w:val="0"/>
        <w:spacing w:after="200" w:line="276" w:lineRule="auto"/>
        <w:ind w:left="567" w:hanging="567"/>
        <w:contextualSpacing/>
        <w:textAlignment w:val="baseline"/>
      </w:pPr>
      <w:proofErr w:type="gramStart"/>
      <w:r>
        <w:rPr>
          <w:b/>
          <w:bCs/>
        </w:rPr>
        <w:t>se</w:t>
      </w:r>
      <w:proofErr w:type="gramEnd"/>
      <w:r>
        <w:rPr>
          <w:b/>
          <w:bCs/>
        </w:rPr>
        <w:t xml:space="preserve"> félicite d’une plus grande flexibilité en vue des objectifs à l’horizon 2030</w:t>
      </w:r>
      <w:r>
        <w:t xml:space="preserve">, y compris de la conformité pluriannuelle, et demande un soutien ciblé en vue de déployer les infrastructures de recharge, d’électrifier le parc automobile des entreprises et les véhicules utilitaires légers, pour lesquels l’adoption par le marché reste </w:t>
      </w:r>
      <w:proofErr w:type="gramStart"/>
      <w:r>
        <w:t>limitée;</w:t>
      </w:r>
      <w:proofErr w:type="gramEnd"/>
    </w:p>
    <w:p w14:paraId="789098F1" w14:textId="77777777" w:rsidR="008E331E" w:rsidRPr="008E331E" w:rsidRDefault="008E331E" w:rsidP="00C30BC0">
      <w:pPr>
        <w:numPr>
          <w:ilvl w:val="0"/>
          <w:numId w:val="29"/>
        </w:numPr>
        <w:overflowPunct w:val="0"/>
        <w:autoSpaceDE w:val="0"/>
        <w:autoSpaceDN w:val="0"/>
        <w:adjustRightInd w:val="0"/>
        <w:spacing w:after="200" w:line="276" w:lineRule="auto"/>
        <w:ind w:left="567" w:hanging="567"/>
        <w:contextualSpacing/>
        <w:textAlignment w:val="baseline"/>
      </w:pPr>
      <w:proofErr w:type="gramStart"/>
      <w:r>
        <w:rPr>
          <w:b/>
          <w:bCs/>
        </w:rPr>
        <w:t>recommande</w:t>
      </w:r>
      <w:proofErr w:type="gramEnd"/>
      <w:r>
        <w:rPr>
          <w:b/>
          <w:bCs/>
        </w:rPr>
        <w:t xml:space="preserve"> de renforcer la primauté industrielle de l’Union</w:t>
      </w:r>
      <w:r>
        <w:t xml:space="preserve"> et pour ce faire, de recourir à des incitations telles que la part de composants</w:t>
      </w:r>
      <w:proofErr w:type="gramStart"/>
      <w:r>
        <w:t xml:space="preserve"> «fabriqués</w:t>
      </w:r>
      <w:proofErr w:type="gramEnd"/>
      <w:r>
        <w:t xml:space="preserve"> dans </w:t>
      </w:r>
      <w:proofErr w:type="gramStart"/>
      <w:r>
        <w:t>l’UE»</w:t>
      </w:r>
      <w:proofErr w:type="gramEnd"/>
      <w:r>
        <w:t>, de soutenir l’acier bas carbone, d’étendre les bonifications pour les véhicules électriques, ainsi que d’adopter une méthode plus complète de mesure des émissions et de s’assurer que la transition demeure abordable, inclusive et pourvoyeuse de nombreux emplois.</w:t>
      </w:r>
    </w:p>
    <w:p w14:paraId="5E4844AB" w14:textId="77777777" w:rsidR="008E331E" w:rsidRPr="008E331E" w:rsidRDefault="008E331E" w:rsidP="004C6742">
      <w:pPr>
        <w:widowControl w:val="0"/>
        <w:overflowPunct w:val="0"/>
        <w:autoSpaceDE w:val="0"/>
        <w:autoSpaceDN w:val="0"/>
        <w:adjustRightInd w:val="0"/>
        <w:spacing w:line="276" w:lineRule="auto"/>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5670"/>
      </w:tblGrid>
      <w:tr w:rsidR="008E331E" w:rsidRPr="00B3204A" w14:paraId="1B085562" w14:textId="77777777" w:rsidTr="00B3204A">
        <w:tc>
          <w:tcPr>
            <w:tcW w:w="1472" w:type="dxa"/>
          </w:tcPr>
          <w:p w14:paraId="68F7AC07" w14:textId="77777777" w:rsidR="008E331E" w:rsidRPr="00B3204A" w:rsidRDefault="008E331E" w:rsidP="008E331E">
            <w:pPr>
              <w:overflowPunct w:val="0"/>
              <w:autoSpaceDE w:val="0"/>
              <w:autoSpaceDN w:val="0"/>
              <w:adjustRightInd w:val="0"/>
              <w:spacing w:line="240" w:lineRule="auto"/>
              <w:textAlignment w:val="baseline"/>
              <w:rPr>
                <w:i/>
                <w:sz w:val="22"/>
                <w:szCs w:val="22"/>
              </w:rPr>
            </w:pPr>
            <w:r w:rsidRPr="00B3204A">
              <w:rPr>
                <w:b/>
                <w:i/>
                <w:sz w:val="22"/>
                <w:szCs w:val="22"/>
              </w:rPr>
              <w:t>Contact</w:t>
            </w:r>
          </w:p>
        </w:tc>
        <w:tc>
          <w:tcPr>
            <w:tcW w:w="5670" w:type="dxa"/>
          </w:tcPr>
          <w:p w14:paraId="008F7857" w14:textId="5A00880C" w:rsidR="008E331E" w:rsidRPr="00B3204A" w:rsidRDefault="008E331E" w:rsidP="008E331E">
            <w:pPr>
              <w:overflowPunct w:val="0"/>
              <w:autoSpaceDE w:val="0"/>
              <w:autoSpaceDN w:val="0"/>
              <w:adjustRightInd w:val="0"/>
              <w:spacing w:line="240" w:lineRule="auto"/>
              <w:textAlignment w:val="baseline"/>
              <w:rPr>
                <w:i/>
                <w:sz w:val="22"/>
                <w:szCs w:val="22"/>
              </w:rPr>
            </w:pPr>
            <w:r w:rsidRPr="00B3204A">
              <w:rPr>
                <w:i/>
                <w:sz w:val="22"/>
                <w:szCs w:val="22"/>
              </w:rPr>
              <w:t>Silvia Staffa</w:t>
            </w:r>
          </w:p>
        </w:tc>
      </w:tr>
      <w:tr w:rsidR="008E331E" w:rsidRPr="00B3204A" w14:paraId="0B08C9F9" w14:textId="77777777" w:rsidTr="00B3204A">
        <w:tc>
          <w:tcPr>
            <w:tcW w:w="1472" w:type="dxa"/>
          </w:tcPr>
          <w:p w14:paraId="29C057C9" w14:textId="77777777" w:rsidR="008E331E" w:rsidRPr="00B3204A" w:rsidRDefault="008E331E" w:rsidP="00634494">
            <w:pPr>
              <w:overflowPunct w:val="0"/>
              <w:autoSpaceDE w:val="0"/>
              <w:autoSpaceDN w:val="0"/>
              <w:adjustRightInd w:val="0"/>
              <w:spacing w:line="240" w:lineRule="auto"/>
              <w:ind w:left="567"/>
              <w:textAlignment w:val="baseline"/>
              <w:rPr>
                <w:i/>
                <w:sz w:val="22"/>
                <w:szCs w:val="22"/>
              </w:rPr>
            </w:pPr>
            <w:r w:rsidRPr="00B3204A">
              <w:rPr>
                <w:i/>
                <w:sz w:val="22"/>
                <w:szCs w:val="22"/>
              </w:rPr>
              <w:t>Tél.</w:t>
            </w:r>
          </w:p>
        </w:tc>
        <w:tc>
          <w:tcPr>
            <w:tcW w:w="5670" w:type="dxa"/>
          </w:tcPr>
          <w:p w14:paraId="52F48E6D" w14:textId="77777777" w:rsidR="008E331E" w:rsidRPr="00B3204A" w:rsidRDefault="008E331E" w:rsidP="008E331E">
            <w:pPr>
              <w:overflowPunct w:val="0"/>
              <w:autoSpaceDE w:val="0"/>
              <w:autoSpaceDN w:val="0"/>
              <w:adjustRightInd w:val="0"/>
              <w:spacing w:line="240" w:lineRule="auto"/>
              <w:textAlignment w:val="baseline"/>
              <w:rPr>
                <w:i/>
                <w:sz w:val="22"/>
                <w:szCs w:val="22"/>
              </w:rPr>
            </w:pPr>
            <w:r w:rsidRPr="00B3204A">
              <w:rPr>
                <w:i/>
                <w:sz w:val="22"/>
                <w:szCs w:val="22"/>
              </w:rPr>
              <w:t>+ 32 2 546 8378</w:t>
            </w:r>
          </w:p>
        </w:tc>
      </w:tr>
      <w:tr w:rsidR="008E331E" w:rsidRPr="00B3204A" w14:paraId="5F4D2CBA" w14:textId="77777777" w:rsidTr="00B3204A">
        <w:tc>
          <w:tcPr>
            <w:tcW w:w="1472" w:type="dxa"/>
          </w:tcPr>
          <w:p w14:paraId="6B39137F" w14:textId="244E1F7A" w:rsidR="008E331E" w:rsidRPr="00B3204A" w:rsidRDefault="00C32E41" w:rsidP="00634494">
            <w:pPr>
              <w:overflowPunct w:val="0"/>
              <w:autoSpaceDE w:val="0"/>
              <w:autoSpaceDN w:val="0"/>
              <w:adjustRightInd w:val="0"/>
              <w:spacing w:line="240" w:lineRule="auto"/>
              <w:ind w:left="567"/>
              <w:textAlignment w:val="baseline"/>
              <w:rPr>
                <w:i/>
                <w:sz w:val="22"/>
                <w:szCs w:val="22"/>
              </w:rPr>
            </w:pPr>
            <w:r w:rsidRPr="00B3204A">
              <w:rPr>
                <w:i/>
                <w:sz w:val="22"/>
                <w:szCs w:val="22"/>
              </w:rPr>
              <w:t>Courriel</w:t>
            </w:r>
          </w:p>
        </w:tc>
        <w:tc>
          <w:tcPr>
            <w:tcW w:w="5670" w:type="dxa"/>
          </w:tcPr>
          <w:p w14:paraId="334E5630" w14:textId="65F6D03F" w:rsidR="008E331E" w:rsidRPr="00B3204A" w:rsidRDefault="00E44636" w:rsidP="00C30BC0">
            <w:pPr>
              <w:overflowPunct w:val="0"/>
              <w:autoSpaceDE w:val="0"/>
              <w:autoSpaceDN w:val="0"/>
              <w:adjustRightInd w:val="0"/>
              <w:spacing w:line="240" w:lineRule="auto"/>
              <w:textAlignment w:val="baseline"/>
              <w:rPr>
                <w:i/>
                <w:sz w:val="22"/>
                <w:szCs w:val="22"/>
              </w:rPr>
            </w:pPr>
            <w:hyperlink r:id="rId38" w:history="1">
              <w:r w:rsidRPr="00B3204A">
                <w:rPr>
                  <w:i/>
                  <w:color w:val="0000FF"/>
                  <w:sz w:val="22"/>
                  <w:szCs w:val="22"/>
                  <w:u w:val="single"/>
                </w:rPr>
                <w:t>Silvia.Staffa@eesc.europa.eu</w:t>
              </w:r>
            </w:hyperlink>
          </w:p>
        </w:tc>
      </w:tr>
    </w:tbl>
    <w:p w14:paraId="05023353" w14:textId="7CA572C4" w:rsidR="008E331E" w:rsidRDefault="008E331E" w:rsidP="001766B2">
      <w:pPr>
        <w:pStyle w:val="ListParagraph"/>
        <w:ind w:left="0"/>
      </w:pPr>
    </w:p>
    <w:p w14:paraId="70CF40EF" w14:textId="5566428A" w:rsidR="00882D0D" w:rsidRPr="004C6742" w:rsidRDefault="00882D0D" w:rsidP="0012608E">
      <w:pPr>
        <w:keepNext/>
        <w:widowControl w:val="0"/>
        <w:numPr>
          <w:ilvl w:val="0"/>
          <w:numId w:val="15"/>
        </w:numPr>
        <w:overflowPunct w:val="0"/>
        <w:autoSpaceDE w:val="0"/>
        <w:autoSpaceDN w:val="0"/>
        <w:adjustRightInd w:val="0"/>
        <w:spacing w:line="276" w:lineRule="auto"/>
        <w:ind w:left="426" w:hanging="568"/>
        <w:textAlignment w:val="baseline"/>
        <w:rPr>
          <w:b/>
          <w:i/>
          <w:sz w:val="32"/>
          <w:szCs w:val="32"/>
        </w:rPr>
      </w:pPr>
      <w:hyperlink r:id="rId39" w:tgtFrame="_blank" w:history="1">
        <w:r>
          <w:rPr>
            <w:b/>
            <w:i/>
            <w:color w:val="0000FF"/>
            <w:sz w:val="32"/>
            <w:u w:val="single"/>
          </w:rPr>
          <w:t>Évaluation du règlement relatif à la surveillance du marché</w:t>
        </w:r>
      </w:hyperlink>
    </w:p>
    <w:p w14:paraId="3DC7A7FA" w14:textId="77777777" w:rsidR="002A0F5D" w:rsidRPr="00C30BC0" w:rsidRDefault="002A0F5D" w:rsidP="0012608E">
      <w:pPr>
        <w:keepNext/>
        <w:widowControl w:val="0"/>
        <w:overflowPunct w:val="0"/>
        <w:autoSpaceDE w:val="0"/>
        <w:autoSpaceDN w:val="0"/>
        <w:adjustRightInd w:val="0"/>
        <w:spacing w:line="276" w:lineRule="auto"/>
        <w:ind w:left="360"/>
        <w:textAlignment w:val="baseline"/>
        <w:rPr>
          <w:bCs/>
          <w:iCs/>
          <w:lang w:val="en-GB" w:eastAsia="zh-CN"/>
        </w:rPr>
      </w:pPr>
    </w:p>
    <w:tbl>
      <w:tblPr>
        <w:tblStyle w:val="TableGrid10"/>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882D0D" w:rsidRPr="00C30BC0" w14:paraId="5D4233BC" w14:textId="77777777" w:rsidTr="002E7EFB">
        <w:tc>
          <w:tcPr>
            <w:tcW w:w="1148" w:type="pct"/>
          </w:tcPr>
          <w:p w14:paraId="59FB1452" w14:textId="77777777" w:rsidR="00882D0D" w:rsidRPr="00C30BC0" w:rsidRDefault="00882D0D" w:rsidP="0012608E">
            <w:pPr>
              <w:keepNext/>
              <w:tabs>
                <w:tab w:val="center" w:pos="284"/>
              </w:tabs>
              <w:overflowPunct w:val="0"/>
              <w:autoSpaceDE w:val="0"/>
              <w:autoSpaceDN w:val="0"/>
              <w:adjustRightInd w:val="0"/>
              <w:ind w:left="266" w:hanging="376"/>
              <w:textAlignment w:val="baseline"/>
              <w:rPr>
                <w:b/>
                <w:sz w:val="22"/>
                <w:szCs w:val="22"/>
              </w:rPr>
            </w:pPr>
            <w:r w:rsidRPr="00C30BC0">
              <w:rPr>
                <w:b/>
                <w:sz w:val="22"/>
                <w:szCs w:val="22"/>
              </w:rPr>
              <w:t>Rapporteure</w:t>
            </w:r>
          </w:p>
          <w:p w14:paraId="1047859A" w14:textId="77777777" w:rsidR="00882D0D" w:rsidRPr="00C30BC0" w:rsidRDefault="00882D0D" w:rsidP="0012608E">
            <w:pPr>
              <w:keepNext/>
              <w:tabs>
                <w:tab w:val="center" w:pos="284"/>
              </w:tabs>
              <w:overflowPunct w:val="0"/>
              <w:autoSpaceDE w:val="0"/>
              <w:autoSpaceDN w:val="0"/>
              <w:adjustRightInd w:val="0"/>
              <w:ind w:left="266" w:hanging="376"/>
              <w:textAlignment w:val="baseline"/>
              <w:rPr>
                <w:b/>
                <w:sz w:val="22"/>
                <w:szCs w:val="22"/>
              </w:rPr>
            </w:pPr>
            <w:r w:rsidRPr="00C30BC0">
              <w:rPr>
                <w:b/>
                <w:sz w:val="22"/>
                <w:szCs w:val="22"/>
              </w:rPr>
              <w:t>Corapporteur</w:t>
            </w:r>
          </w:p>
        </w:tc>
        <w:tc>
          <w:tcPr>
            <w:tcW w:w="3852" w:type="pct"/>
          </w:tcPr>
          <w:p w14:paraId="22DD296F" w14:textId="5FEE8890" w:rsidR="00882D0D" w:rsidRPr="00C30BC0" w:rsidRDefault="00882D0D" w:rsidP="0012608E">
            <w:pPr>
              <w:keepNext/>
              <w:tabs>
                <w:tab w:val="center" w:pos="284"/>
              </w:tabs>
              <w:overflowPunct w:val="0"/>
              <w:autoSpaceDE w:val="0"/>
              <w:autoSpaceDN w:val="0"/>
              <w:adjustRightInd w:val="0"/>
              <w:ind w:left="266" w:hanging="266"/>
              <w:textAlignment w:val="baseline"/>
              <w:rPr>
                <w:sz w:val="22"/>
                <w:szCs w:val="22"/>
              </w:rPr>
            </w:pPr>
            <w:r w:rsidRPr="00C30BC0">
              <w:rPr>
                <w:sz w:val="22"/>
                <w:szCs w:val="22"/>
              </w:rPr>
              <w:t>Antje GERSTEIN (groupe des employeurs — Allemagne)</w:t>
            </w:r>
          </w:p>
          <w:p w14:paraId="198B3B8D" w14:textId="1C9D367D" w:rsidR="00882D0D" w:rsidRPr="00C30BC0" w:rsidRDefault="00882D0D" w:rsidP="0012608E">
            <w:pPr>
              <w:keepNext/>
              <w:overflowPunct w:val="0"/>
              <w:autoSpaceDE w:val="0"/>
              <w:autoSpaceDN w:val="0"/>
              <w:adjustRightInd w:val="0"/>
              <w:textAlignment w:val="baseline"/>
              <w:rPr>
                <w:sz w:val="22"/>
                <w:szCs w:val="22"/>
              </w:rPr>
            </w:pPr>
            <w:proofErr w:type="spellStart"/>
            <w:r w:rsidRPr="00C30BC0">
              <w:rPr>
                <w:sz w:val="22"/>
                <w:szCs w:val="22"/>
              </w:rPr>
              <w:t>Anastasis</w:t>
            </w:r>
            <w:proofErr w:type="spellEnd"/>
            <w:r w:rsidRPr="00C30BC0">
              <w:rPr>
                <w:sz w:val="22"/>
                <w:szCs w:val="22"/>
              </w:rPr>
              <w:t> YIAPANIS (groupe des organisations de la société civile — Chypre)</w:t>
            </w:r>
          </w:p>
          <w:p w14:paraId="0D785ADB" w14:textId="77777777" w:rsidR="00882D0D" w:rsidRPr="00C30BC0" w:rsidRDefault="00882D0D" w:rsidP="0012608E">
            <w:pPr>
              <w:keepNext/>
              <w:tabs>
                <w:tab w:val="center" w:pos="284"/>
              </w:tabs>
              <w:overflowPunct w:val="0"/>
              <w:autoSpaceDE w:val="0"/>
              <w:autoSpaceDN w:val="0"/>
              <w:adjustRightInd w:val="0"/>
              <w:ind w:left="266" w:hanging="266"/>
              <w:textAlignment w:val="baseline"/>
              <w:rPr>
                <w:sz w:val="22"/>
                <w:szCs w:val="22"/>
                <w:lang w:val="fr-BE"/>
              </w:rPr>
            </w:pPr>
          </w:p>
        </w:tc>
      </w:tr>
      <w:tr w:rsidR="00882D0D" w:rsidRPr="00C30BC0" w14:paraId="1AC48DDB" w14:textId="77777777" w:rsidTr="002E7EFB">
        <w:tc>
          <w:tcPr>
            <w:tcW w:w="1148" w:type="pct"/>
            <w:vMerge w:val="restart"/>
          </w:tcPr>
          <w:p w14:paraId="4FC7ABA2" w14:textId="77777777" w:rsidR="00882D0D" w:rsidRPr="00C30BC0" w:rsidRDefault="00882D0D" w:rsidP="00882D0D">
            <w:pPr>
              <w:tabs>
                <w:tab w:val="center" w:pos="284"/>
              </w:tabs>
              <w:overflowPunct w:val="0"/>
              <w:autoSpaceDE w:val="0"/>
              <w:autoSpaceDN w:val="0"/>
              <w:adjustRightInd w:val="0"/>
              <w:ind w:left="266" w:hanging="376"/>
              <w:textAlignment w:val="baseline"/>
              <w:rPr>
                <w:b/>
                <w:sz w:val="22"/>
                <w:szCs w:val="22"/>
              </w:rPr>
            </w:pPr>
            <w:r w:rsidRPr="00C30BC0">
              <w:rPr>
                <w:b/>
                <w:sz w:val="22"/>
                <w:szCs w:val="22"/>
              </w:rPr>
              <w:t>Références</w:t>
            </w:r>
          </w:p>
        </w:tc>
        <w:tc>
          <w:tcPr>
            <w:tcW w:w="3852" w:type="pct"/>
          </w:tcPr>
          <w:p w14:paraId="15CC71FE" w14:textId="0F11AA03" w:rsidR="00E43713" w:rsidRPr="00C30BC0" w:rsidRDefault="00E43713" w:rsidP="00882D0D">
            <w:pPr>
              <w:tabs>
                <w:tab w:val="center" w:pos="284"/>
              </w:tabs>
              <w:overflowPunct w:val="0"/>
              <w:autoSpaceDE w:val="0"/>
              <w:autoSpaceDN w:val="0"/>
              <w:adjustRightInd w:val="0"/>
              <w:ind w:left="266" w:hanging="266"/>
              <w:textAlignment w:val="baseline"/>
              <w:rPr>
                <w:sz w:val="22"/>
                <w:szCs w:val="22"/>
              </w:rPr>
            </w:pPr>
            <w:r w:rsidRPr="00C30BC0">
              <w:rPr>
                <w:sz w:val="22"/>
                <w:szCs w:val="22"/>
              </w:rPr>
              <w:t>Rapport d’évaluation</w:t>
            </w:r>
          </w:p>
          <w:p w14:paraId="3A1034C0" w14:textId="47DA1E62" w:rsidR="00882D0D" w:rsidRPr="00C30BC0" w:rsidRDefault="00882D0D" w:rsidP="00882D0D">
            <w:pPr>
              <w:tabs>
                <w:tab w:val="center" w:pos="284"/>
              </w:tabs>
              <w:overflowPunct w:val="0"/>
              <w:autoSpaceDE w:val="0"/>
              <w:autoSpaceDN w:val="0"/>
              <w:adjustRightInd w:val="0"/>
              <w:ind w:left="266" w:hanging="266"/>
              <w:textAlignment w:val="baseline"/>
              <w:rPr>
                <w:sz w:val="22"/>
                <w:szCs w:val="22"/>
              </w:rPr>
            </w:pPr>
            <w:proofErr w:type="gramStart"/>
            <w:r w:rsidRPr="00C30BC0">
              <w:rPr>
                <w:sz w:val="22"/>
                <w:szCs w:val="22"/>
              </w:rPr>
              <w:t>COM(</w:t>
            </w:r>
            <w:proofErr w:type="gramEnd"/>
            <w:r w:rsidRPr="00C30BC0">
              <w:rPr>
                <w:sz w:val="22"/>
                <w:szCs w:val="22"/>
              </w:rPr>
              <w:t>2025) 63 final</w:t>
            </w:r>
          </w:p>
        </w:tc>
      </w:tr>
      <w:tr w:rsidR="00882D0D" w:rsidRPr="00C30BC0" w14:paraId="301DB155" w14:textId="77777777" w:rsidTr="002E7EFB">
        <w:tc>
          <w:tcPr>
            <w:tcW w:w="1148" w:type="pct"/>
            <w:vMerge/>
          </w:tcPr>
          <w:p w14:paraId="0182D7D0" w14:textId="77777777" w:rsidR="00882D0D" w:rsidRPr="00C30BC0" w:rsidRDefault="00882D0D" w:rsidP="00882D0D">
            <w:pPr>
              <w:tabs>
                <w:tab w:val="center" w:pos="284"/>
              </w:tabs>
              <w:overflowPunct w:val="0"/>
              <w:autoSpaceDE w:val="0"/>
              <w:autoSpaceDN w:val="0"/>
              <w:adjustRightInd w:val="0"/>
              <w:ind w:left="266" w:hanging="266"/>
              <w:textAlignment w:val="baseline"/>
              <w:rPr>
                <w:b/>
                <w:sz w:val="22"/>
                <w:szCs w:val="22"/>
              </w:rPr>
            </w:pPr>
          </w:p>
        </w:tc>
        <w:tc>
          <w:tcPr>
            <w:tcW w:w="3852" w:type="pct"/>
          </w:tcPr>
          <w:p w14:paraId="139E0475" w14:textId="23675999" w:rsidR="00882D0D" w:rsidRPr="00C30BC0" w:rsidRDefault="00882D0D" w:rsidP="00882D0D">
            <w:pPr>
              <w:tabs>
                <w:tab w:val="center" w:pos="284"/>
              </w:tabs>
              <w:overflowPunct w:val="0"/>
              <w:autoSpaceDE w:val="0"/>
              <w:autoSpaceDN w:val="0"/>
              <w:adjustRightInd w:val="0"/>
              <w:ind w:left="266" w:hanging="266"/>
              <w:textAlignment w:val="baseline"/>
              <w:rPr>
                <w:sz w:val="22"/>
                <w:szCs w:val="22"/>
              </w:rPr>
            </w:pPr>
            <w:r w:rsidRPr="00C30BC0">
              <w:rPr>
                <w:sz w:val="22"/>
                <w:szCs w:val="22"/>
              </w:rPr>
              <w:t>EESC-2025-003345-00-00-RE</w:t>
            </w:r>
          </w:p>
        </w:tc>
      </w:tr>
    </w:tbl>
    <w:p w14:paraId="37F89ED9" w14:textId="77777777" w:rsidR="00C30BC0" w:rsidRDefault="00C30BC0" w:rsidP="00882D0D">
      <w:pPr>
        <w:keepNext/>
        <w:keepLines/>
        <w:tabs>
          <w:tab w:val="center" w:pos="284"/>
        </w:tabs>
        <w:overflowPunct w:val="0"/>
        <w:autoSpaceDE w:val="0"/>
        <w:autoSpaceDN w:val="0"/>
        <w:adjustRightInd w:val="0"/>
        <w:ind w:left="266" w:hanging="266"/>
        <w:textAlignment w:val="baseline"/>
        <w:rPr>
          <w:bCs/>
        </w:rPr>
      </w:pPr>
    </w:p>
    <w:p w14:paraId="7E28CB07" w14:textId="489FDD46" w:rsidR="00882D0D" w:rsidRPr="00882D0D" w:rsidRDefault="00882D0D" w:rsidP="00882D0D">
      <w:pPr>
        <w:keepNext/>
        <w:keepLines/>
        <w:tabs>
          <w:tab w:val="center" w:pos="284"/>
        </w:tabs>
        <w:overflowPunct w:val="0"/>
        <w:autoSpaceDE w:val="0"/>
        <w:autoSpaceDN w:val="0"/>
        <w:adjustRightInd w:val="0"/>
        <w:ind w:left="266" w:hanging="266"/>
        <w:textAlignment w:val="baseline"/>
        <w:rPr>
          <w:b/>
        </w:rPr>
      </w:pPr>
      <w:r>
        <w:rPr>
          <w:b/>
        </w:rPr>
        <w:t>Points clés</w:t>
      </w:r>
    </w:p>
    <w:p w14:paraId="7E01B620" w14:textId="77777777" w:rsidR="00882D0D" w:rsidRPr="00C30BC0" w:rsidRDefault="00882D0D" w:rsidP="00882D0D">
      <w:pPr>
        <w:keepNext/>
        <w:keepLines/>
        <w:tabs>
          <w:tab w:val="center" w:pos="284"/>
        </w:tabs>
        <w:overflowPunct w:val="0"/>
        <w:autoSpaceDE w:val="0"/>
        <w:autoSpaceDN w:val="0"/>
        <w:adjustRightInd w:val="0"/>
        <w:ind w:left="266" w:hanging="266"/>
        <w:textAlignment w:val="baseline"/>
        <w:rPr>
          <w:bCs/>
          <w:lang w:val="en-GB"/>
        </w:rPr>
      </w:pPr>
    </w:p>
    <w:p w14:paraId="22B4E57C" w14:textId="77777777" w:rsidR="00882D0D" w:rsidRPr="00882D0D" w:rsidRDefault="00882D0D" w:rsidP="00882D0D">
      <w:pPr>
        <w:overflowPunct w:val="0"/>
        <w:autoSpaceDE w:val="0"/>
        <w:autoSpaceDN w:val="0"/>
        <w:adjustRightInd w:val="0"/>
        <w:textAlignment w:val="baseline"/>
        <w:rPr>
          <w:bCs/>
          <w:iCs/>
        </w:rPr>
      </w:pPr>
      <w:r>
        <w:t xml:space="preserve">Le CESE </w:t>
      </w:r>
      <w:proofErr w:type="gramStart"/>
      <w:r>
        <w:t>recommande:</w:t>
      </w:r>
      <w:proofErr w:type="gramEnd"/>
    </w:p>
    <w:p w14:paraId="10D48344" w14:textId="77777777" w:rsidR="00882D0D" w:rsidRPr="00882D0D" w:rsidRDefault="00882D0D" w:rsidP="00882D0D">
      <w:pPr>
        <w:overflowPunct w:val="0"/>
        <w:autoSpaceDE w:val="0"/>
        <w:autoSpaceDN w:val="0"/>
        <w:adjustRightInd w:val="0"/>
        <w:textAlignment w:val="baseline"/>
        <w:rPr>
          <w:bCs/>
          <w:iCs/>
          <w:lang w:val="en-GB"/>
        </w:rPr>
      </w:pPr>
    </w:p>
    <w:p w14:paraId="43BC8A8A" w14:textId="77777777" w:rsidR="00882D0D" w:rsidRPr="00882D0D" w:rsidRDefault="00882D0D" w:rsidP="00C30BC0">
      <w:pPr>
        <w:widowControl w:val="0"/>
        <w:numPr>
          <w:ilvl w:val="0"/>
          <w:numId w:val="30"/>
        </w:numPr>
        <w:overflowPunct w:val="0"/>
        <w:autoSpaceDE w:val="0"/>
        <w:autoSpaceDN w:val="0"/>
        <w:adjustRightInd w:val="0"/>
        <w:ind w:left="567" w:hanging="567"/>
        <w:textAlignment w:val="baseline"/>
        <w:rPr>
          <w:szCs w:val="20"/>
        </w:rPr>
      </w:pPr>
      <w:proofErr w:type="gramStart"/>
      <w:r>
        <w:t>de</w:t>
      </w:r>
      <w:proofErr w:type="gramEnd"/>
      <w:r>
        <w:t xml:space="preserve"> promouvoir l’adoption d’un acte législatif européen consolidé sur les </w:t>
      </w:r>
      <w:proofErr w:type="gramStart"/>
      <w:r>
        <w:t>produits;</w:t>
      </w:r>
      <w:proofErr w:type="gramEnd"/>
    </w:p>
    <w:p w14:paraId="331BAADF" w14:textId="77777777" w:rsidR="00882D0D" w:rsidRPr="00882D0D" w:rsidRDefault="00882D0D" w:rsidP="00C30BC0">
      <w:pPr>
        <w:widowControl w:val="0"/>
        <w:numPr>
          <w:ilvl w:val="0"/>
          <w:numId w:val="30"/>
        </w:numPr>
        <w:overflowPunct w:val="0"/>
        <w:autoSpaceDE w:val="0"/>
        <w:autoSpaceDN w:val="0"/>
        <w:adjustRightInd w:val="0"/>
        <w:ind w:left="567" w:hanging="567"/>
        <w:textAlignment w:val="baseline"/>
        <w:rPr>
          <w:szCs w:val="20"/>
        </w:rPr>
      </w:pPr>
      <w:proofErr w:type="gramStart"/>
      <w:r>
        <w:t>de</w:t>
      </w:r>
      <w:proofErr w:type="gramEnd"/>
      <w:r>
        <w:t xml:space="preserve"> veiller à la cohérence entre le règlement relatif à la surveillance du marché (RSM), le règlement relatif à la sécurité générale des produits (RSGP), la législation sectorielle et le code des douanes de </w:t>
      </w:r>
      <w:proofErr w:type="gramStart"/>
      <w:r>
        <w:t>l’Union;</w:t>
      </w:r>
      <w:proofErr w:type="gramEnd"/>
    </w:p>
    <w:p w14:paraId="47770594" w14:textId="77777777" w:rsidR="00882D0D" w:rsidRPr="00882D0D" w:rsidRDefault="00882D0D" w:rsidP="00C30BC0">
      <w:pPr>
        <w:widowControl w:val="0"/>
        <w:numPr>
          <w:ilvl w:val="0"/>
          <w:numId w:val="30"/>
        </w:numPr>
        <w:overflowPunct w:val="0"/>
        <w:autoSpaceDE w:val="0"/>
        <w:autoSpaceDN w:val="0"/>
        <w:adjustRightInd w:val="0"/>
        <w:ind w:left="567" w:hanging="567"/>
        <w:textAlignment w:val="baseline"/>
        <w:rPr>
          <w:szCs w:val="20"/>
        </w:rPr>
      </w:pPr>
      <w:proofErr w:type="gramStart"/>
      <w:r>
        <w:t>de</w:t>
      </w:r>
      <w:proofErr w:type="gramEnd"/>
      <w:r>
        <w:t xml:space="preserve"> renforcer la coopération structurée entre les autorités douanières et les autorités de surveillance du </w:t>
      </w:r>
      <w:proofErr w:type="gramStart"/>
      <w:r>
        <w:t>marché;</w:t>
      </w:r>
      <w:proofErr w:type="gramEnd"/>
    </w:p>
    <w:p w14:paraId="3C1DCD11" w14:textId="77777777" w:rsidR="00882D0D" w:rsidRPr="00882D0D" w:rsidRDefault="00882D0D" w:rsidP="00C30BC0">
      <w:pPr>
        <w:widowControl w:val="0"/>
        <w:numPr>
          <w:ilvl w:val="0"/>
          <w:numId w:val="30"/>
        </w:numPr>
        <w:overflowPunct w:val="0"/>
        <w:autoSpaceDE w:val="0"/>
        <w:autoSpaceDN w:val="0"/>
        <w:adjustRightInd w:val="0"/>
        <w:ind w:left="567" w:hanging="567"/>
        <w:textAlignment w:val="baseline"/>
        <w:rPr>
          <w:szCs w:val="20"/>
        </w:rPr>
      </w:pPr>
      <w:proofErr w:type="gramStart"/>
      <w:r>
        <w:t>de</w:t>
      </w:r>
      <w:proofErr w:type="gramEnd"/>
      <w:r>
        <w:t xml:space="preserve"> garantir que les prochaines révisions du RSM tiennent compte des caractéristiques spécifiques de l’intelligence artificielle et d’autres technologies </w:t>
      </w:r>
      <w:proofErr w:type="gramStart"/>
      <w:r>
        <w:t>numériques;</w:t>
      </w:r>
      <w:proofErr w:type="gramEnd"/>
    </w:p>
    <w:p w14:paraId="5E50D7E5" w14:textId="77777777" w:rsidR="00882D0D" w:rsidRPr="00882D0D" w:rsidRDefault="00882D0D" w:rsidP="00C30BC0">
      <w:pPr>
        <w:widowControl w:val="0"/>
        <w:numPr>
          <w:ilvl w:val="0"/>
          <w:numId w:val="30"/>
        </w:numPr>
        <w:overflowPunct w:val="0"/>
        <w:autoSpaceDE w:val="0"/>
        <w:autoSpaceDN w:val="0"/>
        <w:adjustRightInd w:val="0"/>
        <w:ind w:left="567" w:hanging="567"/>
        <w:textAlignment w:val="baseline"/>
        <w:rPr>
          <w:szCs w:val="20"/>
        </w:rPr>
      </w:pPr>
      <w:proofErr w:type="gramStart"/>
      <w:r>
        <w:t>de</w:t>
      </w:r>
      <w:proofErr w:type="gramEnd"/>
      <w:r>
        <w:t xml:space="preserve"> s’assurer que les autorités de surveillance du marché et les autorités douanières disposent de ressources humaines et financières adéquates, prévisibles et fondées sur la performance, assorties d’indicateurs de mise en œuvre </w:t>
      </w:r>
      <w:proofErr w:type="gramStart"/>
      <w:r>
        <w:t>mesurables;</w:t>
      </w:r>
      <w:proofErr w:type="gramEnd"/>
    </w:p>
    <w:p w14:paraId="5E775A69" w14:textId="77777777" w:rsidR="00882D0D" w:rsidRPr="00882D0D" w:rsidRDefault="00882D0D" w:rsidP="00C30BC0">
      <w:pPr>
        <w:widowControl w:val="0"/>
        <w:numPr>
          <w:ilvl w:val="0"/>
          <w:numId w:val="30"/>
        </w:numPr>
        <w:overflowPunct w:val="0"/>
        <w:autoSpaceDE w:val="0"/>
        <w:autoSpaceDN w:val="0"/>
        <w:adjustRightInd w:val="0"/>
        <w:ind w:left="567" w:hanging="567"/>
        <w:textAlignment w:val="baseline"/>
        <w:rPr>
          <w:szCs w:val="20"/>
        </w:rPr>
      </w:pPr>
      <w:proofErr w:type="gramStart"/>
      <w:r>
        <w:t>de</w:t>
      </w:r>
      <w:proofErr w:type="gramEnd"/>
      <w:r>
        <w:t xml:space="preserve"> doter les autorités nationales d’outils de mise en œuvre efficaces, proportionnés et </w:t>
      </w:r>
      <w:proofErr w:type="gramStart"/>
      <w:r>
        <w:t>dissuasifs;</w:t>
      </w:r>
      <w:proofErr w:type="gramEnd"/>
    </w:p>
    <w:p w14:paraId="23D44F67" w14:textId="77777777" w:rsidR="00882D0D" w:rsidRPr="00882D0D" w:rsidRDefault="00882D0D" w:rsidP="00C30BC0">
      <w:pPr>
        <w:widowControl w:val="0"/>
        <w:numPr>
          <w:ilvl w:val="0"/>
          <w:numId w:val="30"/>
        </w:numPr>
        <w:overflowPunct w:val="0"/>
        <w:autoSpaceDE w:val="0"/>
        <w:autoSpaceDN w:val="0"/>
        <w:adjustRightInd w:val="0"/>
        <w:ind w:left="567" w:hanging="567"/>
        <w:textAlignment w:val="baseline"/>
        <w:rPr>
          <w:szCs w:val="20"/>
        </w:rPr>
      </w:pPr>
      <w:proofErr w:type="gramStart"/>
      <w:r>
        <w:t>de</w:t>
      </w:r>
      <w:proofErr w:type="gramEnd"/>
      <w:r>
        <w:t xml:space="preserve"> mettre en place une capacité européenne renforcée en matière d’application de la législation, capable de faire face aux risques transfrontières systémiques et à des flux commerciaux numériques à grande </w:t>
      </w:r>
      <w:proofErr w:type="gramStart"/>
      <w:r>
        <w:t>échelle;</w:t>
      </w:r>
      <w:proofErr w:type="gramEnd"/>
      <w:r>
        <w:t xml:space="preserve"> </w:t>
      </w:r>
    </w:p>
    <w:p w14:paraId="22F6F36B" w14:textId="77777777" w:rsidR="00882D0D" w:rsidRPr="00882D0D" w:rsidRDefault="00882D0D" w:rsidP="00C30BC0">
      <w:pPr>
        <w:widowControl w:val="0"/>
        <w:numPr>
          <w:ilvl w:val="0"/>
          <w:numId w:val="30"/>
        </w:numPr>
        <w:overflowPunct w:val="0"/>
        <w:autoSpaceDE w:val="0"/>
        <w:autoSpaceDN w:val="0"/>
        <w:adjustRightInd w:val="0"/>
        <w:ind w:left="567" w:hanging="567"/>
        <w:textAlignment w:val="baseline"/>
        <w:rPr>
          <w:szCs w:val="20"/>
        </w:rPr>
      </w:pPr>
      <w:proofErr w:type="gramStart"/>
      <w:r>
        <w:t>d’adopter</w:t>
      </w:r>
      <w:proofErr w:type="gramEnd"/>
      <w:r>
        <w:t xml:space="preserve"> un cadre d’application clair et fondé sur les </w:t>
      </w:r>
      <w:proofErr w:type="gramStart"/>
      <w:r>
        <w:t>risques;</w:t>
      </w:r>
      <w:proofErr w:type="gramEnd"/>
    </w:p>
    <w:p w14:paraId="76E510E8" w14:textId="77777777" w:rsidR="00882D0D" w:rsidRPr="00882D0D" w:rsidRDefault="00882D0D" w:rsidP="00C30BC0">
      <w:pPr>
        <w:widowControl w:val="0"/>
        <w:numPr>
          <w:ilvl w:val="0"/>
          <w:numId w:val="30"/>
        </w:numPr>
        <w:overflowPunct w:val="0"/>
        <w:autoSpaceDE w:val="0"/>
        <w:autoSpaceDN w:val="0"/>
        <w:adjustRightInd w:val="0"/>
        <w:ind w:left="567" w:hanging="567"/>
        <w:textAlignment w:val="baseline"/>
        <w:rPr>
          <w:szCs w:val="20"/>
        </w:rPr>
      </w:pPr>
      <w:proofErr w:type="gramStart"/>
      <w:r>
        <w:t>d’harmoniser</w:t>
      </w:r>
      <w:proofErr w:type="gramEnd"/>
      <w:r>
        <w:t xml:space="preserve"> le cadre d’application du RSM avec la logique établie dans le règlement sur les services numériques en introduisant des responsabilités supplémentaires proportionnées pour les acteurs dont la taille entraîne des risques systémiques en matière de </w:t>
      </w:r>
      <w:proofErr w:type="gramStart"/>
      <w:r>
        <w:t>conformité;</w:t>
      </w:r>
      <w:proofErr w:type="gramEnd"/>
    </w:p>
    <w:p w14:paraId="4CC68798" w14:textId="77777777" w:rsidR="00882D0D" w:rsidRPr="00882D0D" w:rsidRDefault="00882D0D" w:rsidP="00C30BC0">
      <w:pPr>
        <w:widowControl w:val="0"/>
        <w:numPr>
          <w:ilvl w:val="0"/>
          <w:numId w:val="30"/>
        </w:numPr>
        <w:overflowPunct w:val="0"/>
        <w:autoSpaceDE w:val="0"/>
        <w:autoSpaceDN w:val="0"/>
        <w:adjustRightInd w:val="0"/>
        <w:ind w:left="567" w:hanging="567"/>
        <w:textAlignment w:val="baseline"/>
        <w:rPr>
          <w:szCs w:val="20"/>
        </w:rPr>
      </w:pPr>
      <w:proofErr w:type="gramStart"/>
      <w:r>
        <w:t>d’élaborer</w:t>
      </w:r>
      <w:proofErr w:type="gramEnd"/>
      <w:r>
        <w:t xml:space="preserve"> un cadre structuré de partenariat en matière de conformité qui permette aux autorités d’adopter une démarche proactive vis-à-vis des acteurs </w:t>
      </w:r>
      <w:proofErr w:type="gramStart"/>
      <w:r>
        <w:t>économiques;</w:t>
      </w:r>
      <w:proofErr w:type="gramEnd"/>
    </w:p>
    <w:p w14:paraId="774CC109" w14:textId="77777777" w:rsidR="00882D0D" w:rsidRPr="00882D0D" w:rsidRDefault="00882D0D" w:rsidP="00C30BC0">
      <w:pPr>
        <w:widowControl w:val="0"/>
        <w:numPr>
          <w:ilvl w:val="0"/>
          <w:numId w:val="30"/>
        </w:numPr>
        <w:overflowPunct w:val="0"/>
        <w:autoSpaceDE w:val="0"/>
        <w:autoSpaceDN w:val="0"/>
        <w:adjustRightInd w:val="0"/>
        <w:ind w:left="567" w:hanging="567"/>
        <w:textAlignment w:val="baseline"/>
        <w:rPr>
          <w:szCs w:val="20"/>
        </w:rPr>
      </w:pPr>
      <w:proofErr w:type="gramStart"/>
      <w:r>
        <w:t>de</w:t>
      </w:r>
      <w:proofErr w:type="gramEnd"/>
      <w:r>
        <w:t xml:space="preserve"> rendre le RSM plus proportionné et plus accessible pour les PME et les </w:t>
      </w:r>
      <w:proofErr w:type="gramStart"/>
      <w:r>
        <w:t>microentreprises;</w:t>
      </w:r>
      <w:proofErr w:type="gramEnd"/>
    </w:p>
    <w:p w14:paraId="569668E9" w14:textId="77777777" w:rsidR="00882D0D" w:rsidRPr="00882D0D" w:rsidRDefault="00882D0D" w:rsidP="00C30BC0">
      <w:pPr>
        <w:widowControl w:val="0"/>
        <w:numPr>
          <w:ilvl w:val="0"/>
          <w:numId w:val="30"/>
        </w:numPr>
        <w:overflowPunct w:val="0"/>
        <w:autoSpaceDE w:val="0"/>
        <w:autoSpaceDN w:val="0"/>
        <w:adjustRightInd w:val="0"/>
        <w:ind w:left="567" w:hanging="567"/>
        <w:textAlignment w:val="baseline"/>
        <w:rPr>
          <w:szCs w:val="20"/>
        </w:rPr>
      </w:pPr>
      <w:proofErr w:type="gramStart"/>
      <w:r>
        <w:t>de</w:t>
      </w:r>
      <w:proofErr w:type="gramEnd"/>
      <w:r>
        <w:t xml:space="preserve"> créer un observatoire européen des produits non </w:t>
      </w:r>
      <w:proofErr w:type="gramStart"/>
      <w:r>
        <w:t>conformes;</w:t>
      </w:r>
      <w:proofErr w:type="gramEnd"/>
    </w:p>
    <w:p w14:paraId="6343892F" w14:textId="77777777" w:rsidR="00882D0D" w:rsidRPr="00882D0D" w:rsidRDefault="00882D0D" w:rsidP="00C30BC0">
      <w:pPr>
        <w:widowControl w:val="0"/>
        <w:numPr>
          <w:ilvl w:val="0"/>
          <w:numId w:val="30"/>
        </w:numPr>
        <w:overflowPunct w:val="0"/>
        <w:autoSpaceDE w:val="0"/>
        <w:autoSpaceDN w:val="0"/>
        <w:adjustRightInd w:val="0"/>
        <w:ind w:left="567" w:hanging="567"/>
        <w:textAlignment w:val="baseline"/>
        <w:rPr>
          <w:szCs w:val="20"/>
        </w:rPr>
      </w:pPr>
      <w:proofErr w:type="gramStart"/>
      <w:r>
        <w:t>de</w:t>
      </w:r>
      <w:proofErr w:type="gramEnd"/>
      <w:r>
        <w:t xml:space="preserve"> clarifier la chaîne de responsabilité et de la rendre fonctionnelle en introduisant des critères minimaux de qualité pour les </w:t>
      </w:r>
      <w:proofErr w:type="gramStart"/>
      <w:r>
        <w:t>mandataires;</w:t>
      </w:r>
      <w:proofErr w:type="gramEnd"/>
    </w:p>
    <w:p w14:paraId="30F2C869" w14:textId="77777777" w:rsidR="00882D0D" w:rsidRPr="00882D0D" w:rsidRDefault="00882D0D" w:rsidP="00C30BC0">
      <w:pPr>
        <w:widowControl w:val="0"/>
        <w:numPr>
          <w:ilvl w:val="0"/>
          <w:numId w:val="30"/>
        </w:numPr>
        <w:overflowPunct w:val="0"/>
        <w:autoSpaceDE w:val="0"/>
        <w:autoSpaceDN w:val="0"/>
        <w:adjustRightInd w:val="0"/>
        <w:ind w:left="567" w:hanging="567"/>
        <w:textAlignment w:val="baseline"/>
        <w:rPr>
          <w:szCs w:val="20"/>
        </w:rPr>
      </w:pPr>
      <w:proofErr w:type="gramStart"/>
      <w:r>
        <w:t>d’améliorer</w:t>
      </w:r>
      <w:proofErr w:type="gramEnd"/>
      <w:r>
        <w:t xml:space="preserve"> l’interopérabilité entre le système d’information et de communication pour la surveillance des marchés (ICSMS), le portail </w:t>
      </w:r>
      <w:proofErr w:type="spellStart"/>
      <w:r>
        <w:t>Safety</w:t>
      </w:r>
      <w:proofErr w:type="spellEnd"/>
      <w:r>
        <w:t xml:space="preserve"> </w:t>
      </w:r>
      <w:proofErr w:type="spellStart"/>
      <w:r>
        <w:t>Gate</w:t>
      </w:r>
      <w:proofErr w:type="spellEnd"/>
      <w:r>
        <w:t xml:space="preserve">, les bases de données douanières et les autres systèmes </w:t>
      </w:r>
      <w:proofErr w:type="gramStart"/>
      <w:r>
        <w:t>pertinents;</w:t>
      </w:r>
      <w:proofErr w:type="gramEnd"/>
    </w:p>
    <w:p w14:paraId="6CFF330B" w14:textId="77777777" w:rsidR="00882D0D" w:rsidRPr="00882D0D" w:rsidRDefault="00882D0D" w:rsidP="00C30BC0">
      <w:pPr>
        <w:widowControl w:val="0"/>
        <w:numPr>
          <w:ilvl w:val="0"/>
          <w:numId w:val="30"/>
        </w:numPr>
        <w:overflowPunct w:val="0"/>
        <w:autoSpaceDE w:val="0"/>
        <w:autoSpaceDN w:val="0"/>
        <w:adjustRightInd w:val="0"/>
        <w:ind w:left="567" w:hanging="567"/>
        <w:textAlignment w:val="baseline"/>
        <w:rPr>
          <w:szCs w:val="20"/>
        </w:rPr>
      </w:pPr>
      <w:proofErr w:type="gramStart"/>
      <w:r>
        <w:t>de</w:t>
      </w:r>
      <w:proofErr w:type="gramEnd"/>
      <w:r>
        <w:t xml:space="preserve"> publier et diffuser de manière régulière les résultats obtenus en matière d’application de la </w:t>
      </w:r>
      <w:proofErr w:type="gramStart"/>
      <w:r>
        <w:t>législation;</w:t>
      </w:r>
      <w:proofErr w:type="gramEnd"/>
    </w:p>
    <w:p w14:paraId="1556111A" w14:textId="77777777" w:rsidR="00882D0D" w:rsidRPr="00882D0D" w:rsidRDefault="00882D0D" w:rsidP="0012608E">
      <w:pPr>
        <w:keepNext/>
        <w:numPr>
          <w:ilvl w:val="0"/>
          <w:numId w:val="30"/>
        </w:numPr>
        <w:overflowPunct w:val="0"/>
        <w:autoSpaceDE w:val="0"/>
        <w:autoSpaceDN w:val="0"/>
        <w:adjustRightInd w:val="0"/>
        <w:ind w:left="567" w:hanging="567"/>
        <w:textAlignment w:val="baseline"/>
        <w:rPr>
          <w:szCs w:val="20"/>
        </w:rPr>
      </w:pPr>
      <w:proofErr w:type="gramStart"/>
      <w:r>
        <w:lastRenderedPageBreak/>
        <w:t>de</w:t>
      </w:r>
      <w:proofErr w:type="gramEnd"/>
      <w:r>
        <w:t xml:space="preserve"> renforcer la participation structurée de la société civile et des partenaires sociaux (mécanismes de consultation formels, plateformes permanentes de dialogue, participation précoce aux processus législatifs et accès plus aisé aux informations et à des interfaces numériques permettant d’interagir avec les autorités</w:t>
      </w:r>
      <w:proofErr w:type="gramStart"/>
      <w:r>
        <w:t>);</w:t>
      </w:r>
      <w:proofErr w:type="gramEnd"/>
    </w:p>
    <w:p w14:paraId="21DADFB3" w14:textId="77777777" w:rsidR="00882D0D" w:rsidRPr="00882D0D" w:rsidRDefault="00882D0D" w:rsidP="00C30BC0">
      <w:pPr>
        <w:widowControl w:val="0"/>
        <w:numPr>
          <w:ilvl w:val="0"/>
          <w:numId w:val="30"/>
        </w:numPr>
        <w:overflowPunct w:val="0"/>
        <w:autoSpaceDE w:val="0"/>
        <w:autoSpaceDN w:val="0"/>
        <w:adjustRightInd w:val="0"/>
        <w:ind w:left="567" w:hanging="567"/>
        <w:textAlignment w:val="baseline"/>
        <w:rPr>
          <w:szCs w:val="20"/>
        </w:rPr>
      </w:pPr>
      <w:proofErr w:type="gramStart"/>
      <w:r>
        <w:t>de</w:t>
      </w:r>
      <w:proofErr w:type="gramEnd"/>
      <w:r>
        <w:t xml:space="preserve"> soutenir le renforcement des capacités et la formation ciblée des autorités et des acteurs de la société </w:t>
      </w:r>
      <w:proofErr w:type="gramStart"/>
      <w:r>
        <w:t>civile;</w:t>
      </w:r>
      <w:proofErr w:type="gramEnd"/>
    </w:p>
    <w:p w14:paraId="64C493EB" w14:textId="77777777" w:rsidR="00882D0D" w:rsidRPr="00882D0D" w:rsidRDefault="00882D0D" w:rsidP="00C30BC0">
      <w:pPr>
        <w:widowControl w:val="0"/>
        <w:numPr>
          <w:ilvl w:val="0"/>
          <w:numId w:val="30"/>
        </w:numPr>
        <w:overflowPunct w:val="0"/>
        <w:autoSpaceDE w:val="0"/>
        <w:autoSpaceDN w:val="0"/>
        <w:adjustRightInd w:val="0"/>
        <w:ind w:left="567" w:hanging="567"/>
        <w:textAlignment w:val="baseline"/>
        <w:rPr>
          <w:szCs w:val="20"/>
        </w:rPr>
      </w:pPr>
      <w:proofErr w:type="gramStart"/>
      <w:r>
        <w:t>de</w:t>
      </w:r>
      <w:proofErr w:type="gramEnd"/>
      <w:r>
        <w:t xml:space="preserve"> proposer des outils simples et efficaces de signalement des publicités frauduleuses.</w:t>
      </w:r>
    </w:p>
    <w:p w14:paraId="646B798F" w14:textId="77777777" w:rsidR="00882D0D" w:rsidRPr="00882D0D" w:rsidRDefault="00882D0D" w:rsidP="00B37567">
      <w:pPr>
        <w:widowControl w:val="0"/>
        <w:overflowPunct w:val="0"/>
        <w:autoSpaceDE w:val="0"/>
        <w:autoSpaceDN w:val="0"/>
        <w:adjustRightInd w:val="0"/>
        <w:ind w:left="567"/>
        <w:textAlignment w:val="baseline"/>
        <w:rPr>
          <w:szCs w:val="20"/>
          <w:lang w:val="en-GB"/>
        </w:rPr>
      </w:pPr>
    </w:p>
    <w:tbl>
      <w:tblPr>
        <w:tblStyle w:val="TableGrid10"/>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882D0D" w:rsidRPr="00B3204A" w14:paraId="027E516E" w14:textId="77777777" w:rsidTr="002E7EFB">
        <w:tc>
          <w:tcPr>
            <w:tcW w:w="1556" w:type="pct"/>
          </w:tcPr>
          <w:p w14:paraId="05333F4F" w14:textId="77777777" w:rsidR="00882D0D" w:rsidRPr="00B3204A" w:rsidRDefault="00882D0D" w:rsidP="00882D0D">
            <w:pPr>
              <w:overflowPunct w:val="0"/>
              <w:autoSpaceDE w:val="0"/>
              <w:autoSpaceDN w:val="0"/>
              <w:adjustRightInd w:val="0"/>
              <w:spacing w:line="240" w:lineRule="auto"/>
              <w:textAlignment w:val="baseline"/>
              <w:rPr>
                <w:i/>
                <w:sz w:val="22"/>
                <w:szCs w:val="22"/>
              </w:rPr>
            </w:pPr>
            <w:r w:rsidRPr="00B3204A">
              <w:rPr>
                <w:b/>
                <w:i/>
                <w:sz w:val="22"/>
                <w:szCs w:val="22"/>
              </w:rPr>
              <w:t>Contact</w:t>
            </w:r>
          </w:p>
        </w:tc>
        <w:tc>
          <w:tcPr>
            <w:tcW w:w="3444" w:type="pct"/>
          </w:tcPr>
          <w:p w14:paraId="1A10684F" w14:textId="77777777" w:rsidR="00882D0D" w:rsidRPr="00B3204A" w:rsidRDefault="00882D0D" w:rsidP="00882D0D">
            <w:pPr>
              <w:overflowPunct w:val="0"/>
              <w:autoSpaceDE w:val="0"/>
              <w:autoSpaceDN w:val="0"/>
              <w:adjustRightInd w:val="0"/>
              <w:spacing w:line="240" w:lineRule="auto"/>
              <w:textAlignment w:val="baseline"/>
              <w:rPr>
                <w:i/>
                <w:sz w:val="22"/>
                <w:szCs w:val="22"/>
              </w:rPr>
            </w:pPr>
            <w:r w:rsidRPr="00B3204A">
              <w:rPr>
                <w:i/>
                <w:sz w:val="22"/>
                <w:szCs w:val="22"/>
              </w:rPr>
              <w:t>Annalisa Tessarolo</w:t>
            </w:r>
          </w:p>
        </w:tc>
      </w:tr>
      <w:tr w:rsidR="00882D0D" w:rsidRPr="00B3204A" w14:paraId="48F3F374" w14:textId="77777777" w:rsidTr="002E7EFB">
        <w:tc>
          <w:tcPr>
            <w:tcW w:w="1556" w:type="pct"/>
          </w:tcPr>
          <w:p w14:paraId="43069B50" w14:textId="77777777" w:rsidR="00882D0D" w:rsidRPr="00B3204A" w:rsidRDefault="00882D0D" w:rsidP="00634494">
            <w:pPr>
              <w:overflowPunct w:val="0"/>
              <w:autoSpaceDE w:val="0"/>
              <w:autoSpaceDN w:val="0"/>
              <w:adjustRightInd w:val="0"/>
              <w:spacing w:line="240" w:lineRule="auto"/>
              <w:ind w:left="567"/>
              <w:textAlignment w:val="baseline"/>
              <w:rPr>
                <w:i/>
                <w:sz w:val="22"/>
                <w:szCs w:val="22"/>
              </w:rPr>
            </w:pPr>
            <w:r w:rsidRPr="00B3204A">
              <w:rPr>
                <w:i/>
                <w:sz w:val="22"/>
                <w:szCs w:val="22"/>
              </w:rPr>
              <w:t>Tél.</w:t>
            </w:r>
          </w:p>
        </w:tc>
        <w:tc>
          <w:tcPr>
            <w:tcW w:w="3444" w:type="pct"/>
          </w:tcPr>
          <w:p w14:paraId="6F81284D" w14:textId="77777777" w:rsidR="00882D0D" w:rsidRPr="00B3204A" w:rsidRDefault="00882D0D" w:rsidP="00882D0D">
            <w:pPr>
              <w:overflowPunct w:val="0"/>
              <w:autoSpaceDE w:val="0"/>
              <w:autoSpaceDN w:val="0"/>
              <w:adjustRightInd w:val="0"/>
              <w:spacing w:line="240" w:lineRule="auto"/>
              <w:textAlignment w:val="baseline"/>
              <w:rPr>
                <w:i/>
                <w:sz w:val="22"/>
                <w:szCs w:val="22"/>
              </w:rPr>
            </w:pPr>
            <w:r w:rsidRPr="00B3204A">
              <w:rPr>
                <w:i/>
                <w:sz w:val="22"/>
                <w:szCs w:val="22"/>
              </w:rPr>
              <w:t>+32 2 546 9732</w:t>
            </w:r>
          </w:p>
        </w:tc>
      </w:tr>
      <w:tr w:rsidR="00882D0D" w:rsidRPr="00B3204A" w14:paraId="2E49B53D" w14:textId="77777777" w:rsidTr="002E7EFB">
        <w:tc>
          <w:tcPr>
            <w:tcW w:w="1556" w:type="pct"/>
          </w:tcPr>
          <w:p w14:paraId="51CF8F1E" w14:textId="7C3F724C" w:rsidR="00882D0D" w:rsidRPr="00B3204A" w:rsidRDefault="00B37567" w:rsidP="00634494">
            <w:pPr>
              <w:overflowPunct w:val="0"/>
              <w:autoSpaceDE w:val="0"/>
              <w:autoSpaceDN w:val="0"/>
              <w:adjustRightInd w:val="0"/>
              <w:spacing w:line="240" w:lineRule="auto"/>
              <w:ind w:left="567"/>
              <w:textAlignment w:val="baseline"/>
              <w:rPr>
                <w:i/>
                <w:sz w:val="22"/>
                <w:szCs w:val="22"/>
              </w:rPr>
            </w:pPr>
            <w:r w:rsidRPr="00B3204A">
              <w:rPr>
                <w:i/>
                <w:sz w:val="22"/>
                <w:szCs w:val="22"/>
              </w:rPr>
              <w:t>Courriel</w:t>
            </w:r>
          </w:p>
        </w:tc>
        <w:tc>
          <w:tcPr>
            <w:tcW w:w="3444" w:type="pct"/>
          </w:tcPr>
          <w:p w14:paraId="22B253E8" w14:textId="3D9E5A67" w:rsidR="00882D0D" w:rsidRPr="00B3204A" w:rsidRDefault="00E44636" w:rsidP="00882D0D">
            <w:pPr>
              <w:overflowPunct w:val="0"/>
              <w:autoSpaceDE w:val="0"/>
              <w:autoSpaceDN w:val="0"/>
              <w:adjustRightInd w:val="0"/>
              <w:spacing w:line="240" w:lineRule="auto"/>
              <w:textAlignment w:val="baseline"/>
              <w:rPr>
                <w:i/>
                <w:iCs/>
                <w:sz w:val="22"/>
                <w:szCs w:val="22"/>
              </w:rPr>
            </w:pPr>
            <w:hyperlink r:id="rId40" w:history="1">
              <w:r w:rsidRPr="00B3204A">
                <w:rPr>
                  <w:i/>
                  <w:color w:val="0000FF"/>
                  <w:sz w:val="22"/>
                  <w:szCs w:val="22"/>
                  <w:u w:val="single"/>
                </w:rPr>
                <w:t>Annalisa.Tessarolo@eesc.europa.eu</w:t>
              </w:r>
            </w:hyperlink>
          </w:p>
        </w:tc>
      </w:tr>
    </w:tbl>
    <w:p w14:paraId="5CBAA359" w14:textId="1C551085" w:rsidR="00A067F3" w:rsidRDefault="00A067F3">
      <w:pPr>
        <w:spacing w:after="160" w:line="259" w:lineRule="auto"/>
        <w:jc w:val="left"/>
        <w:rPr>
          <w:szCs w:val="20"/>
          <w:lang w:val="nl-BE"/>
        </w:rPr>
      </w:pPr>
    </w:p>
    <w:p w14:paraId="58C55E8F" w14:textId="13FD470D" w:rsidR="00426604" w:rsidRPr="00426604" w:rsidRDefault="00E44636" w:rsidP="00426604">
      <w:pPr>
        <w:widowControl w:val="0"/>
        <w:numPr>
          <w:ilvl w:val="0"/>
          <w:numId w:val="4"/>
        </w:numPr>
        <w:overflowPunct w:val="0"/>
        <w:autoSpaceDE w:val="0"/>
        <w:autoSpaceDN w:val="0"/>
        <w:adjustRightInd w:val="0"/>
        <w:ind w:hanging="567"/>
        <w:textAlignment w:val="baseline"/>
        <w:rPr>
          <w:sz w:val="20"/>
          <w:szCs w:val="20"/>
        </w:rPr>
      </w:pPr>
      <w:hyperlink r:id="rId41" w:history="1">
        <w:r>
          <w:rPr>
            <w:b/>
            <w:i/>
            <w:color w:val="0000FF"/>
            <w:sz w:val="28"/>
            <w:u w:val="single"/>
          </w:rPr>
          <w:t>Agenda du consommateur 2030</w:t>
        </w:r>
      </w:hyperlink>
    </w:p>
    <w:p w14:paraId="26C97129" w14:textId="77777777" w:rsidR="00426604" w:rsidRPr="00C30BC0" w:rsidRDefault="00426604" w:rsidP="00426604">
      <w:pPr>
        <w:tabs>
          <w:tab w:val="center" w:pos="284"/>
        </w:tabs>
        <w:overflowPunct w:val="0"/>
        <w:autoSpaceDE w:val="0"/>
        <w:autoSpaceDN w:val="0"/>
        <w:adjustRightInd w:val="0"/>
        <w:ind w:left="266" w:hanging="266"/>
        <w:textAlignment w:val="baseline"/>
        <w:rPr>
          <w:bCs/>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38"/>
      </w:tblGrid>
      <w:tr w:rsidR="00426604" w:rsidRPr="00C30BC0" w14:paraId="7FCA49AB" w14:textId="77777777" w:rsidTr="00C30BC0">
        <w:tc>
          <w:tcPr>
            <w:tcW w:w="1701" w:type="dxa"/>
          </w:tcPr>
          <w:p w14:paraId="19070A3D" w14:textId="77777777" w:rsidR="00426604" w:rsidRPr="00C30BC0" w:rsidRDefault="00426604" w:rsidP="00426604">
            <w:pPr>
              <w:tabs>
                <w:tab w:val="center" w:pos="284"/>
              </w:tabs>
              <w:overflowPunct w:val="0"/>
              <w:autoSpaceDE w:val="0"/>
              <w:autoSpaceDN w:val="0"/>
              <w:adjustRightInd w:val="0"/>
              <w:ind w:left="266" w:hanging="266"/>
              <w:textAlignment w:val="baseline"/>
              <w:rPr>
                <w:b/>
                <w:sz w:val="22"/>
                <w:szCs w:val="22"/>
              </w:rPr>
            </w:pPr>
            <w:r w:rsidRPr="00C30BC0">
              <w:rPr>
                <w:b/>
                <w:sz w:val="22"/>
                <w:szCs w:val="22"/>
              </w:rPr>
              <w:t>Rapporteur</w:t>
            </w:r>
          </w:p>
        </w:tc>
        <w:tc>
          <w:tcPr>
            <w:tcW w:w="7338" w:type="dxa"/>
          </w:tcPr>
          <w:p w14:paraId="3E207F8E" w14:textId="63147845" w:rsidR="00426604" w:rsidRPr="00C30BC0" w:rsidRDefault="00426604" w:rsidP="00426604">
            <w:pPr>
              <w:tabs>
                <w:tab w:val="center" w:pos="284"/>
              </w:tabs>
              <w:overflowPunct w:val="0"/>
              <w:autoSpaceDE w:val="0"/>
              <w:autoSpaceDN w:val="0"/>
              <w:adjustRightInd w:val="0"/>
              <w:ind w:left="266" w:hanging="266"/>
              <w:textAlignment w:val="baseline"/>
              <w:rPr>
                <w:sz w:val="22"/>
                <w:szCs w:val="22"/>
              </w:rPr>
            </w:pPr>
            <w:r w:rsidRPr="00C30BC0">
              <w:rPr>
                <w:sz w:val="22"/>
                <w:szCs w:val="22"/>
              </w:rPr>
              <w:t>Thierry LIBAERT (groupe des organisations de la société civile — France)</w:t>
            </w:r>
          </w:p>
        </w:tc>
      </w:tr>
      <w:tr w:rsidR="00426604" w:rsidRPr="00C30BC0" w14:paraId="55BCB3CD" w14:textId="77777777" w:rsidTr="00C30BC0">
        <w:tc>
          <w:tcPr>
            <w:tcW w:w="9039" w:type="dxa"/>
            <w:gridSpan w:val="2"/>
          </w:tcPr>
          <w:p w14:paraId="0E791238" w14:textId="77777777" w:rsidR="00426604" w:rsidRPr="00C30BC0" w:rsidRDefault="00426604" w:rsidP="00426604">
            <w:pPr>
              <w:tabs>
                <w:tab w:val="center" w:pos="284"/>
              </w:tabs>
              <w:overflowPunct w:val="0"/>
              <w:autoSpaceDE w:val="0"/>
              <w:autoSpaceDN w:val="0"/>
              <w:adjustRightInd w:val="0"/>
              <w:spacing w:line="160" w:lineRule="exact"/>
              <w:ind w:left="266" w:hanging="266"/>
              <w:textAlignment w:val="baseline"/>
              <w:rPr>
                <w:sz w:val="22"/>
                <w:szCs w:val="22"/>
              </w:rPr>
            </w:pPr>
          </w:p>
        </w:tc>
      </w:tr>
      <w:tr w:rsidR="00426604" w:rsidRPr="00C30BC0" w14:paraId="0E79D1B5" w14:textId="77777777" w:rsidTr="00C30BC0">
        <w:tc>
          <w:tcPr>
            <w:tcW w:w="1701" w:type="dxa"/>
          </w:tcPr>
          <w:p w14:paraId="434AA7EC" w14:textId="77777777" w:rsidR="00426604" w:rsidRPr="00C30BC0" w:rsidRDefault="00426604" w:rsidP="00426604">
            <w:pPr>
              <w:tabs>
                <w:tab w:val="center" w:pos="284"/>
              </w:tabs>
              <w:overflowPunct w:val="0"/>
              <w:autoSpaceDE w:val="0"/>
              <w:autoSpaceDN w:val="0"/>
              <w:adjustRightInd w:val="0"/>
              <w:ind w:left="266" w:hanging="266"/>
              <w:textAlignment w:val="baseline"/>
              <w:rPr>
                <w:b/>
                <w:sz w:val="22"/>
                <w:szCs w:val="22"/>
              </w:rPr>
            </w:pPr>
            <w:r w:rsidRPr="00C30BC0">
              <w:rPr>
                <w:b/>
                <w:sz w:val="22"/>
                <w:szCs w:val="22"/>
              </w:rPr>
              <w:t>Références</w:t>
            </w:r>
          </w:p>
        </w:tc>
        <w:tc>
          <w:tcPr>
            <w:tcW w:w="7338" w:type="dxa"/>
          </w:tcPr>
          <w:p w14:paraId="2218EA85" w14:textId="77777777" w:rsidR="00426604" w:rsidRPr="00C30BC0" w:rsidRDefault="00426604" w:rsidP="00426604">
            <w:pPr>
              <w:tabs>
                <w:tab w:val="center" w:pos="284"/>
              </w:tabs>
              <w:overflowPunct w:val="0"/>
              <w:autoSpaceDE w:val="0"/>
              <w:autoSpaceDN w:val="0"/>
              <w:adjustRightInd w:val="0"/>
              <w:ind w:left="266" w:hanging="266"/>
              <w:textAlignment w:val="baseline"/>
              <w:rPr>
                <w:sz w:val="22"/>
                <w:szCs w:val="22"/>
              </w:rPr>
            </w:pPr>
            <w:proofErr w:type="gramStart"/>
            <w:r w:rsidRPr="00C30BC0">
              <w:rPr>
                <w:sz w:val="22"/>
                <w:szCs w:val="22"/>
              </w:rPr>
              <w:t>COM(</w:t>
            </w:r>
            <w:proofErr w:type="gramEnd"/>
            <w:r w:rsidRPr="00C30BC0">
              <w:rPr>
                <w:sz w:val="22"/>
                <w:szCs w:val="22"/>
              </w:rPr>
              <w:t>2025) 848 final</w:t>
            </w:r>
          </w:p>
          <w:p w14:paraId="30E9A55E" w14:textId="77777777" w:rsidR="00426604" w:rsidRPr="00C30BC0" w:rsidRDefault="00426604" w:rsidP="00426604">
            <w:pPr>
              <w:tabs>
                <w:tab w:val="center" w:pos="284"/>
              </w:tabs>
              <w:overflowPunct w:val="0"/>
              <w:autoSpaceDE w:val="0"/>
              <w:autoSpaceDN w:val="0"/>
              <w:adjustRightInd w:val="0"/>
              <w:ind w:left="266" w:hanging="266"/>
              <w:textAlignment w:val="baseline"/>
              <w:rPr>
                <w:sz w:val="22"/>
                <w:szCs w:val="22"/>
              </w:rPr>
            </w:pPr>
            <w:r w:rsidRPr="00C30BC0">
              <w:rPr>
                <w:sz w:val="22"/>
                <w:szCs w:val="22"/>
              </w:rPr>
              <w:t>EESC-2025-03969-00-00-AC</w:t>
            </w:r>
          </w:p>
        </w:tc>
      </w:tr>
    </w:tbl>
    <w:p w14:paraId="095208D9" w14:textId="77777777" w:rsidR="00426604" w:rsidRPr="00426604" w:rsidRDefault="00426604" w:rsidP="00426604">
      <w:pPr>
        <w:tabs>
          <w:tab w:val="center" w:pos="284"/>
        </w:tabs>
        <w:overflowPunct w:val="0"/>
        <w:autoSpaceDE w:val="0"/>
        <w:autoSpaceDN w:val="0"/>
        <w:adjustRightInd w:val="0"/>
        <w:ind w:left="266" w:hanging="266"/>
        <w:textAlignment w:val="baseline"/>
        <w:rPr>
          <w:lang w:val="pt-PT"/>
        </w:rPr>
      </w:pPr>
    </w:p>
    <w:p w14:paraId="2B2A243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rPr>
      </w:pPr>
      <w:r>
        <w:rPr>
          <w:b/>
        </w:rPr>
        <w:t>Points clés</w:t>
      </w:r>
    </w:p>
    <w:p w14:paraId="0ABBD8A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lang w:val="en-GB"/>
        </w:rPr>
      </w:pPr>
    </w:p>
    <w:p w14:paraId="6372DC89" w14:textId="77777777" w:rsidR="00426604" w:rsidRPr="00426604" w:rsidRDefault="00426604" w:rsidP="00426604">
      <w:pPr>
        <w:overflowPunct w:val="0"/>
        <w:autoSpaceDE w:val="0"/>
        <w:autoSpaceDN w:val="0"/>
        <w:adjustRightInd w:val="0"/>
        <w:textAlignment w:val="baseline"/>
        <w:rPr>
          <w:bCs/>
          <w:iCs/>
        </w:rPr>
      </w:pPr>
      <w:r>
        <w:t xml:space="preserve">Le </w:t>
      </w:r>
      <w:proofErr w:type="gramStart"/>
      <w:r>
        <w:t>CESE:</w:t>
      </w:r>
      <w:proofErr w:type="gramEnd"/>
    </w:p>
    <w:p w14:paraId="48836ADE" w14:textId="77777777" w:rsidR="00426604" w:rsidRPr="00426604" w:rsidRDefault="00426604" w:rsidP="00426604">
      <w:pPr>
        <w:overflowPunct w:val="0"/>
        <w:autoSpaceDE w:val="0"/>
        <w:autoSpaceDN w:val="0"/>
        <w:adjustRightInd w:val="0"/>
        <w:textAlignment w:val="baseline"/>
        <w:rPr>
          <w:bCs/>
          <w:iCs/>
          <w:lang w:val="en-GB"/>
        </w:rPr>
      </w:pPr>
    </w:p>
    <w:p w14:paraId="74A7A8CD" w14:textId="77777777" w:rsidR="00426604" w:rsidRPr="00426604" w:rsidRDefault="00426604" w:rsidP="00C30BC0">
      <w:pPr>
        <w:widowControl w:val="0"/>
        <w:numPr>
          <w:ilvl w:val="0"/>
          <w:numId w:val="31"/>
        </w:numPr>
        <w:overflowPunct w:val="0"/>
        <w:autoSpaceDE w:val="0"/>
        <w:autoSpaceDN w:val="0"/>
        <w:adjustRightInd w:val="0"/>
        <w:ind w:left="567" w:hanging="567"/>
        <w:textAlignment w:val="baseline"/>
        <w:rPr>
          <w:bCs/>
          <w:iCs/>
        </w:rPr>
      </w:pPr>
      <w:proofErr w:type="gramStart"/>
      <w:r>
        <w:t>salue</w:t>
      </w:r>
      <w:proofErr w:type="gramEnd"/>
      <w:r>
        <w:t xml:space="preserve"> l’agenda du consommateur 2025-2030, en ce qu’il s’agit, tant sur la forme que sur le contenu, d’un excellent texte de cadrage en matière de protection des consommateurs pour les années à </w:t>
      </w:r>
      <w:proofErr w:type="gramStart"/>
      <w:r>
        <w:t>venir;</w:t>
      </w:r>
      <w:proofErr w:type="gramEnd"/>
    </w:p>
    <w:p w14:paraId="5F03BEBA" w14:textId="77777777" w:rsidR="00426604" w:rsidRPr="00426604" w:rsidRDefault="00426604" w:rsidP="00C30BC0">
      <w:pPr>
        <w:widowControl w:val="0"/>
        <w:numPr>
          <w:ilvl w:val="0"/>
          <w:numId w:val="31"/>
        </w:numPr>
        <w:overflowPunct w:val="0"/>
        <w:autoSpaceDE w:val="0"/>
        <w:autoSpaceDN w:val="0"/>
        <w:adjustRightInd w:val="0"/>
        <w:ind w:left="567" w:hanging="567"/>
        <w:textAlignment w:val="baseline"/>
        <w:rPr>
          <w:bCs/>
          <w:iCs/>
        </w:rPr>
      </w:pPr>
      <w:proofErr w:type="gramStart"/>
      <w:r>
        <w:t>souhaite</w:t>
      </w:r>
      <w:proofErr w:type="gramEnd"/>
      <w:r>
        <w:t xml:space="preserve"> que la Commission puisse proposer une vision plus globale du consommateur qui ne se réduise pas à une question de </w:t>
      </w:r>
      <w:proofErr w:type="gramStart"/>
      <w:r>
        <w:t>droits;</w:t>
      </w:r>
      <w:proofErr w:type="gramEnd"/>
    </w:p>
    <w:p w14:paraId="2DB8C1F5" w14:textId="77777777" w:rsidR="00426604" w:rsidRPr="00426604" w:rsidRDefault="00426604" w:rsidP="00C30BC0">
      <w:pPr>
        <w:widowControl w:val="0"/>
        <w:numPr>
          <w:ilvl w:val="0"/>
          <w:numId w:val="31"/>
        </w:numPr>
        <w:overflowPunct w:val="0"/>
        <w:autoSpaceDE w:val="0"/>
        <w:autoSpaceDN w:val="0"/>
        <w:adjustRightInd w:val="0"/>
        <w:ind w:left="567" w:hanging="567"/>
        <w:textAlignment w:val="baseline"/>
        <w:rPr>
          <w:bCs/>
          <w:iCs/>
        </w:rPr>
      </w:pPr>
      <w:proofErr w:type="gramStart"/>
      <w:r>
        <w:t>apprécierait</w:t>
      </w:r>
      <w:proofErr w:type="gramEnd"/>
      <w:r>
        <w:t xml:space="preserve"> de pouvoir disposer d’un bilan structuré, détaillé et chiffré de l’agenda précédent pour procéder à une évaluation plus </w:t>
      </w:r>
      <w:proofErr w:type="gramStart"/>
      <w:r>
        <w:t>exhaustive;</w:t>
      </w:r>
      <w:proofErr w:type="gramEnd"/>
    </w:p>
    <w:p w14:paraId="23F5AC6C" w14:textId="77777777" w:rsidR="00426604" w:rsidRPr="00426604" w:rsidRDefault="00426604" w:rsidP="00C30BC0">
      <w:pPr>
        <w:widowControl w:val="0"/>
        <w:numPr>
          <w:ilvl w:val="0"/>
          <w:numId w:val="31"/>
        </w:numPr>
        <w:overflowPunct w:val="0"/>
        <w:autoSpaceDE w:val="0"/>
        <w:autoSpaceDN w:val="0"/>
        <w:adjustRightInd w:val="0"/>
        <w:ind w:left="567" w:hanging="567"/>
        <w:textAlignment w:val="baseline"/>
      </w:pPr>
      <w:proofErr w:type="gramStart"/>
      <w:r>
        <w:t>est</w:t>
      </w:r>
      <w:proofErr w:type="gramEnd"/>
      <w:r>
        <w:t xml:space="preserve"> favorable aux mesures de simplification, mais insiste sur le fait qu’aucune de celles-ci ne pourra avoir pour effet de réduire la protection du </w:t>
      </w:r>
      <w:proofErr w:type="gramStart"/>
      <w:r>
        <w:t>consommateur;</w:t>
      </w:r>
      <w:proofErr w:type="gramEnd"/>
    </w:p>
    <w:p w14:paraId="22E46B9A" w14:textId="77777777" w:rsidR="00426604" w:rsidRPr="00426604" w:rsidRDefault="00426604" w:rsidP="00C30BC0">
      <w:pPr>
        <w:widowControl w:val="0"/>
        <w:numPr>
          <w:ilvl w:val="0"/>
          <w:numId w:val="31"/>
        </w:numPr>
        <w:overflowPunct w:val="0"/>
        <w:autoSpaceDE w:val="0"/>
        <w:autoSpaceDN w:val="0"/>
        <w:adjustRightInd w:val="0"/>
        <w:ind w:left="567" w:hanging="567"/>
        <w:textAlignment w:val="baseline"/>
        <w:rPr>
          <w:rFonts w:asciiTheme="minorHAnsi" w:hAnsiTheme="minorHAnsi"/>
          <w:szCs w:val="20"/>
        </w:rPr>
      </w:pPr>
      <w:proofErr w:type="gramStart"/>
      <w:r>
        <w:t>estime</w:t>
      </w:r>
      <w:proofErr w:type="gramEnd"/>
      <w:r>
        <w:t xml:space="preserve"> que la protection du consommateur doit nécessairement prendre en compte la diversité des situations, notamment en ce qui concerne les déserts commerciaux et la vulnérabilité de certains types de </w:t>
      </w:r>
      <w:proofErr w:type="gramStart"/>
      <w:r>
        <w:t>consommateurs;</w:t>
      </w:r>
      <w:proofErr w:type="gramEnd"/>
    </w:p>
    <w:p w14:paraId="3000A78C" w14:textId="77777777" w:rsidR="00426604" w:rsidRPr="00426604" w:rsidRDefault="00426604" w:rsidP="00C30BC0">
      <w:pPr>
        <w:widowControl w:val="0"/>
        <w:numPr>
          <w:ilvl w:val="0"/>
          <w:numId w:val="31"/>
        </w:numPr>
        <w:overflowPunct w:val="0"/>
        <w:autoSpaceDE w:val="0"/>
        <w:autoSpaceDN w:val="0"/>
        <w:adjustRightInd w:val="0"/>
        <w:ind w:left="567" w:hanging="567"/>
        <w:textAlignment w:val="baseline"/>
        <w:rPr>
          <w:rFonts w:asciiTheme="minorHAnsi" w:hAnsiTheme="minorHAnsi"/>
          <w:szCs w:val="20"/>
        </w:rPr>
      </w:pPr>
      <w:proofErr w:type="gramStart"/>
      <w:r>
        <w:t>souhaite</w:t>
      </w:r>
      <w:proofErr w:type="gramEnd"/>
      <w:r>
        <w:t xml:space="preserve"> un approfondissement en matière de rapidité et d’intensité pour le contrôle de la dangerosité des produits importés, notamment par l’intermédiaire des plateformes de commerce en ligne situées en dehors de l’Union </w:t>
      </w:r>
      <w:proofErr w:type="gramStart"/>
      <w:r>
        <w:t>européenne;</w:t>
      </w:r>
      <w:proofErr w:type="gramEnd"/>
    </w:p>
    <w:p w14:paraId="24286CF8" w14:textId="77777777" w:rsidR="00426604" w:rsidRPr="00426604" w:rsidRDefault="00426604" w:rsidP="00C30BC0">
      <w:pPr>
        <w:widowControl w:val="0"/>
        <w:numPr>
          <w:ilvl w:val="0"/>
          <w:numId w:val="31"/>
        </w:numPr>
        <w:overflowPunct w:val="0"/>
        <w:autoSpaceDE w:val="0"/>
        <w:autoSpaceDN w:val="0"/>
        <w:adjustRightInd w:val="0"/>
        <w:ind w:left="567" w:hanging="567"/>
        <w:textAlignment w:val="baseline"/>
        <w:rPr>
          <w:rFonts w:asciiTheme="minorHAnsi" w:hAnsiTheme="minorHAnsi"/>
          <w:szCs w:val="20"/>
        </w:rPr>
      </w:pPr>
      <w:proofErr w:type="gramStart"/>
      <w:r>
        <w:t>préconise</w:t>
      </w:r>
      <w:proofErr w:type="gramEnd"/>
      <w:r>
        <w:t xml:space="preserve"> une attention plus soutenue envers les pratiques de </w:t>
      </w:r>
      <w:proofErr w:type="spellStart"/>
      <w:r>
        <w:t>microjustice</w:t>
      </w:r>
      <w:proofErr w:type="spellEnd"/>
      <w:r>
        <w:t xml:space="preserve"> afin de régler les litiges portant sur de petites </w:t>
      </w:r>
      <w:proofErr w:type="gramStart"/>
      <w:r>
        <w:t>sommes;</w:t>
      </w:r>
      <w:proofErr w:type="gramEnd"/>
    </w:p>
    <w:p w14:paraId="3DE92808" w14:textId="77777777" w:rsidR="00426604" w:rsidRPr="00426604" w:rsidRDefault="00426604" w:rsidP="00C30BC0">
      <w:pPr>
        <w:widowControl w:val="0"/>
        <w:numPr>
          <w:ilvl w:val="0"/>
          <w:numId w:val="31"/>
        </w:numPr>
        <w:overflowPunct w:val="0"/>
        <w:autoSpaceDE w:val="0"/>
        <w:autoSpaceDN w:val="0"/>
        <w:adjustRightInd w:val="0"/>
        <w:ind w:left="567" w:hanging="567"/>
        <w:textAlignment w:val="baseline"/>
        <w:rPr>
          <w:rFonts w:asciiTheme="minorHAnsi" w:hAnsiTheme="minorHAnsi"/>
          <w:szCs w:val="20"/>
        </w:rPr>
      </w:pPr>
      <w:proofErr w:type="gramStart"/>
      <w:r>
        <w:t>soutient</w:t>
      </w:r>
      <w:proofErr w:type="gramEnd"/>
      <w:r>
        <w:t xml:space="preserve"> les mesures de numérisation, mais demande que, pour toute réclamation, le consommateur puisse toujours disposer en dernier recours d’un interlocuteur humain pour répondre à ses </w:t>
      </w:r>
      <w:proofErr w:type="gramStart"/>
      <w:r>
        <w:t>interrogations;</w:t>
      </w:r>
      <w:proofErr w:type="gramEnd"/>
    </w:p>
    <w:p w14:paraId="34B18EC1" w14:textId="77777777" w:rsidR="00426604" w:rsidRPr="00426604" w:rsidRDefault="00426604" w:rsidP="00C30BC0">
      <w:pPr>
        <w:widowControl w:val="0"/>
        <w:numPr>
          <w:ilvl w:val="0"/>
          <w:numId w:val="31"/>
        </w:numPr>
        <w:overflowPunct w:val="0"/>
        <w:autoSpaceDE w:val="0"/>
        <w:autoSpaceDN w:val="0"/>
        <w:adjustRightInd w:val="0"/>
        <w:ind w:left="567" w:hanging="567"/>
        <w:textAlignment w:val="baseline"/>
        <w:rPr>
          <w:rFonts w:asciiTheme="minorHAnsi" w:hAnsiTheme="minorHAnsi"/>
          <w:szCs w:val="20"/>
        </w:rPr>
      </w:pPr>
      <w:proofErr w:type="gramStart"/>
      <w:r>
        <w:t>demande</w:t>
      </w:r>
      <w:proofErr w:type="gramEnd"/>
      <w:r>
        <w:t xml:space="preserve"> à la Commission de relever son niveau d’intérêt en matière de circularité et de durabilité des </w:t>
      </w:r>
      <w:proofErr w:type="gramStart"/>
      <w:r>
        <w:t>produits;</w:t>
      </w:r>
      <w:proofErr w:type="gramEnd"/>
    </w:p>
    <w:p w14:paraId="1ABE3F68" w14:textId="77777777" w:rsidR="00426604" w:rsidRPr="00426604" w:rsidRDefault="00426604" w:rsidP="00C30BC0">
      <w:pPr>
        <w:widowControl w:val="0"/>
        <w:numPr>
          <w:ilvl w:val="0"/>
          <w:numId w:val="31"/>
        </w:numPr>
        <w:overflowPunct w:val="0"/>
        <w:autoSpaceDE w:val="0"/>
        <w:autoSpaceDN w:val="0"/>
        <w:adjustRightInd w:val="0"/>
        <w:ind w:left="567" w:hanging="567"/>
        <w:textAlignment w:val="baseline"/>
        <w:rPr>
          <w:rFonts w:asciiTheme="minorHAnsi" w:hAnsiTheme="minorHAnsi"/>
          <w:szCs w:val="20"/>
        </w:rPr>
      </w:pPr>
      <w:proofErr w:type="gramStart"/>
      <w:r>
        <w:lastRenderedPageBreak/>
        <w:t>recommande</w:t>
      </w:r>
      <w:proofErr w:type="gramEnd"/>
      <w:r>
        <w:t xml:space="preserve"> de mettre en place une politique forte de protection des consommateurs contre les messages commerciaux émanant d’influenceurs, notamment lorsqu’ils sont adressés à des </w:t>
      </w:r>
      <w:proofErr w:type="gramStart"/>
      <w:r>
        <w:t>enfants;</w:t>
      </w:r>
      <w:proofErr w:type="gramEnd"/>
    </w:p>
    <w:p w14:paraId="0F934297" w14:textId="77777777" w:rsidR="00426604" w:rsidRPr="00426604" w:rsidRDefault="00426604" w:rsidP="00C30BC0">
      <w:pPr>
        <w:widowControl w:val="0"/>
        <w:numPr>
          <w:ilvl w:val="0"/>
          <w:numId w:val="31"/>
        </w:numPr>
        <w:overflowPunct w:val="0"/>
        <w:autoSpaceDE w:val="0"/>
        <w:autoSpaceDN w:val="0"/>
        <w:adjustRightInd w:val="0"/>
        <w:ind w:left="567" w:hanging="567"/>
        <w:textAlignment w:val="baseline"/>
        <w:rPr>
          <w:rFonts w:asciiTheme="minorHAnsi" w:hAnsiTheme="minorHAnsi"/>
          <w:szCs w:val="20"/>
        </w:rPr>
      </w:pPr>
      <w:proofErr w:type="gramStart"/>
      <w:r>
        <w:t>encourage</w:t>
      </w:r>
      <w:proofErr w:type="gramEnd"/>
      <w:r>
        <w:t xml:space="preserve"> les États membres à soutenir les associations de consommateurs.</w:t>
      </w:r>
    </w:p>
    <w:p w14:paraId="1F6E4B1D" w14:textId="77777777" w:rsidR="00426604" w:rsidRPr="00426604" w:rsidRDefault="00426604" w:rsidP="00426604">
      <w:pPr>
        <w:widowControl w:val="0"/>
        <w:overflowPunct w:val="0"/>
        <w:autoSpaceDE w:val="0"/>
        <w:autoSpaceDN w:val="0"/>
        <w:adjustRightInd w:val="0"/>
        <w:ind w:left="709"/>
        <w:textAlignment w:val="baseline"/>
        <w:rPr>
          <w:szCs w:val="20"/>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5670"/>
      </w:tblGrid>
      <w:tr w:rsidR="00426604" w:rsidRPr="00C30BC0" w14:paraId="1EC4B28B" w14:textId="77777777" w:rsidTr="002E7EFB">
        <w:tc>
          <w:tcPr>
            <w:tcW w:w="1418" w:type="dxa"/>
          </w:tcPr>
          <w:p w14:paraId="65444A1C" w14:textId="77777777" w:rsidR="00426604" w:rsidRPr="00C30BC0" w:rsidRDefault="00426604" w:rsidP="00426604">
            <w:pPr>
              <w:overflowPunct w:val="0"/>
              <w:autoSpaceDE w:val="0"/>
              <w:autoSpaceDN w:val="0"/>
              <w:adjustRightInd w:val="0"/>
              <w:spacing w:line="240" w:lineRule="auto"/>
              <w:textAlignment w:val="baseline"/>
              <w:rPr>
                <w:i/>
                <w:sz w:val="22"/>
                <w:szCs w:val="22"/>
              </w:rPr>
            </w:pPr>
            <w:r w:rsidRPr="00C30BC0">
              <w:rPr>
                <w:b/>
                <w:i/>
                <w:sz w:val="22"/>
                <w:szCs w:val="22"/>
              </w:rPr>
              <w:t>Contact</w:t>
            </w:r>
          </w:p>
        </w:tc>
        <w:tc>
          <w:tcPr>
            <w:tcW w:w="5670" w:type="dxa"/>
          </w:tcPr>
          <w:p w14:paraId="07DC0551" w14:textId="77777777" w:rsidR="00426604" w:rsidRPr="00C30BC0" w:rsidRDefault="00426604" w:rsidP="00426604">
            <w:pPr>
              <w:overflowPunct w:val="0"/>
              <w:autoSpaceDE w:val="0"/>
              <w:autoSpaceDN w:val="0"/>
              <w:adjustRightInd w:val="0"/>
              <w:spacing w:line="240" w:lineRule="auto"/>
              <w:textAlignment w:val="baseline"/>
              <w:rPr>
                <w:i/>
                <w:sz w:val="22"/>
                <w:szCs w:val="22"/>
              </w:rPr>
            </w:pPr>
            <w:r w:rsidRPr="00C30BC0">
              <w:rPr>
                <w:i/>
                <w:sz w:val="22"/>
                <w:szCs w:val="22"/>
              </w:rPr>
              <w:t>Radoslava Stefankova</w:t>
            </w:r>
          </w:p>
        </w:tc>
      </w:tr>
      <w:tr w:rsidR="00426604" w:rsidRPr="00C30BC0" w14:paraId="1EEA77FB" w14:textId="77777777" w:rsidTr="002E7EFB">
        <w:tc>
          <w:tcPr>
            <w:tcW w:w="1418" w:type="dxa"/>
          </w:tcPr>
          <w:p w14:paraId="7B024839" w14:textId="77777777" w:rsidR="00426604" w:rsidRPr="00C30BC0" w:rsidRDefault="00426604" w:rsidP="00634494">
            <w:pPr>
              <w:overflowPunct w:val="0"/>
              <w:autoSpaceDE w:val="0"/>
              <w:autoSpaceDN w:val="0"/>
              <w:adjustRightInd w:val="0"/>
              <w:spacing w:line="240" w:lineRule="auto"/>
              <w:ind w:left="567"/>
              <w:textAlignment w:val="baseline"/>
              <w:rPr>
                <w:i/>
                <w:sz w:val="22"/>
                <w:szCs w:val="22"/>
              </w:rPr>
            </w:pPr>
            <w:r w:rsidRPr="00C30BC0">
              <w:rPr>
                <w:i/>
                <w:sz w:val="22"/>
                <w:szCs w:val="22"/>
              </w:rPr>
              <w:t>Tél.</w:t>
            </w:r>
          </w:p>
        </w:tc>
        <w:tc>
          <w:tcPr>
            <w:tcW w:w="5670" w:type="dxa"/>
          </w:tcPr>
          <w:p w14:paraId="2199A8B9" w14:textId="77777777" w:rsidR="00426604" w:rsidRPr="00C30BC0" w:rsidRDefault="00426604" w:rsidP="00426604">
            <w:pPr>
              <w:overflowPunct w:val="0"/>
              <w:autoSpaceDE w:val="0"/>
              <w:autoSpaceDN w:val="0"/>
              <w:adjustRightInd w:val="0"/>
              <w:spacing w:line="240" w:lineRule="auto"/>
              <w:textAlignment w:val="baseline"/>
              <w:rPr>
                <w:i/>
                <w:sz w:val="22"/>
                <w:szCs w:val="22"/>
              </w:rPr>
            </w:pPr>
            <w:r w:rsidRPr="00C30BC0">
              <w:rPr>
                <w:i/>
                <w:sz w:val="22"/>
                <w:szCs w:val="22"/>
              </w:rPr>
              <w:t>+32 2 546 8188</w:t>
            </w:r>
          </w:p>
        </w:tc>
      </w:tr>
      <w:tr w:rsidR="00426604" w:rsidRPr="00C30BC0" w14:paraId="2BB4FECE" w14:textId="77777777" w:rsidTr="002E7EFB">
        <w:tc>
          <w:tcPr>
            <w:tcW w:w="1418" w:type="dxa"/>
          </w:tcPr>
          <w:p w14:paraId="2409A98F" w14:textId="77777777" w:rsidR="00426604" w:rsidRPr="00C30BC0" w:rsidRDefault="00426604" w:rsidP="00634494">
            <w:pPr>
              <w:overflowPunct w:val="0"/>
              <w:autoSpaceDE w:val="0"/>
              <w:autoSpaceDN w:val="0"/>
              <w:adjustRightInd w:val="0"/>
              <w:spacing w:line="240" w:lineRule="auto"/>
              <w:ind w:left="567"/>
              <w:textAlignment w:val="baseline"/>
              <w:rPr>
                <w:i/>
                <w:sz w:val="22"/>
                <w:szCs w:val="22"/>
              </w:rPr>
            </w:pPr>
            <w:r w:rsidRPr="00C30BC0">
              <w:rPr>
                <w:i/>
                <w:sz w:val="22"/>
                <w:szCs w:val="22"/>
              </w:rPr>
              <w:t>Courriel</w:t>
            </w:r>
          </w:p>
        </w:tc>
        <w:tc>
          <w:tcPr>
            <w:tcW w:w="5670" w:type="dxa"/>
          </w:tcPr>
          <w:p w14:paraId="0D4503F1" w14:textId="1C83D357" w:rsidR="00426604" w:rsidRPr="00C30BC0" w:rsidRDefault="00E44636" w:rsidP="00C30BC0">
            <w:pPr>
              <w:overflowPunct w:val="0"/>
              <w:autoSpaceDE w:val="0"/>
              <w:autoSpaceDN w:val="0"/>
              <w:adjustRightInd w:val="0"/>
              <w:spacing w:line="240" w:lineRule="auto"/>
              <w:textAlignment w:val="baseline"/>
              <w:rPr>
                <w:i/>
                <w:sz w:val="22"/>
                <w:szCs w:val="22"/>
              </w:rPr>
            </w:pPr>
            <w:hyperlink r:id="rId42" w:history="1">
              <w:r w:rsidRPr="00C30BC0">
                <w:rPr>
                  <w:i/>
                  <w:color w:val="0000FF"/>
                  <w:sz w:val="22"/>
                  <w:szCs w:val="22"/>
                  <w:u w:val="single"/>
                </w:rPr>
                <w:t>Radoslava.Stefankova@eesc.europa.eu</w:t>
              </w:r>
            </w:hyperlink>
          </w:p>
        </w:tc>
      </w:tr>
    </w:tbl>
    <w:p w14:paraId="45F867FE" w14:textId="6F56A0E6" w:rsidR="00426604" w:rsidRDefault="00426604" w:rsidP="001766B2">
      <w:pPr>
        <w:pStyle w:val="ListParagraph"/>
        <w:ind w:left="0"/>
      </w:pPr>
    </w:p>
    <w:p w14:paraId="1F8A3A37" w14:textId="7E8F43BB" w:rsidR="00A83352" w:rsidRPr="00A83352" w:rsidRDefault="00E44636" w:rsidP="00A83352">
      <w:pPr>
        <w:widowControl w:val="0"/>
        <w:numPr>
          <w:ilvl w:val="0"/>
          <w:numId w:val="4"/>
        </w:numPr>
        <w:overflowPunct w:val="0"/>
        <w:autoSpaceDE w:val="0"/>
        <w:autoSpaceDN w:val="0"/>
        <w:adjustRightInd w:val="0"/>
        <w:ind w:hanging="567"/>
        <w:textAlignment w:val="baseline"/>
        <w:rPr>
          <w:sz w:val="20"/>
          <w:szCs w:val="20"/>
        </w:rPr>
      </w:pPr>
      <w:hyperlink r:id="rId43" w:history="1">
        <w:r>
          <w:rPr>
            <w:b/>
            <w:i/>
            <w:color w:val="0000FF"/>
            <w:sz w:val="28"/>
            <w:u w:val="single"/>
          </w:rPr>
          <w:t>Règlement sur la cybersécurité</w:t>
        </w:r>
      </w:hyperlink>
    </w:p>
    <w:p w14:paraId="14E814B1" w14:textId="77777777" w:rsidR="00A83352" w:rsidRPr="00B3204A" w:rsidRDefault="00A83352" w:rsidP="00A83352">
      <w:pPr>
        <w:tabs>
          <w:tab w:val="center" w:pos="284"/>
        </w:tabs>
        <w:overflowPunct w:val="0"/>
        <w:autoSpaceDE w:val="0"/>
        <w:autoSpaceDN w:val="0"/>
        <w:adjustRightInd w:val="0"/>
        <w:ind w:left="266" w:hanging="266"/>
        <w:textAlignment w:val="baseline"/>
        <w:rPr>
          <w:b/>
          <w:lang w:val="en-GB"/>
        </w:rPr>
      </w:pPr>
    </w:p>
    <w:tbl>
      <w:tblPr>
        <w:tblStyle w:val="TableGrid27"/>
        <w:tblpPr w:leftFromText="141" w:rightFromText="141" w:vertAnchor="text" w:tblpX="142"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946"/>
      </w:tblGrid>
      <w:tr w:rsidR="007A3096" w:rsidRPr="00B3204A" w14:paraId="73A340D2" w14:textId="77777777" w:rsidTr="00B56575">
        <w:tc>
          <w:tcPr>
            <w:tcW w:w="1701" w:type="dxa"/>
          </w:tcPr>
          <w:p w14:paraId="189AB4BF" w14:textId="77777777" w:rsidR="007A3096" w:rsidRPr="00B3204A" w:rsidRDefault="007A3096" w:rsidP="00B56575">
            <w:pPr>
              <w:tabs>
                <w:tab w:val="center" w:pos="284"/>
              </w:tabs>
              <w:overflowPunct w:val="0"/>
              <w:autoSpaceDE w:val="0"/>
              <w:autoSpaceDN w:val="0"/>
              <w:adjustRightInd w:val="0"/>
              <w:ind w:left="266" w:hanging="266"/>
              <w:textAlignment w:val="baseline"/>
              <w:rPr>
                <w:b/>
                <w:sz w:val="22"/>
                <w:szCs w:val="22"/>
              </w:rPr>
            </w:pPr>
            <w:r w:rsidRPr="00B3204A">
              <w:rPr>
                <w:b/>
                <w:sz w:val="22"/>
                <w:szCs w:val="22"/>
              </w:rPr>
              <w:t>Rapporteur</w:t>
            </w:r>
          </w:p>
        </w:tc>
        <w:tc>
          <w:tcPr>
            <w:tcW w:w="6946" w:type="dxa"/>
          </w:tcPr>
          <w:p w14:paraId="0214D104" w14:textId="5371BD6F" w:rsidR="007A3096" w:rsidRPr="00B3204A" w:rsidRDefault="007A3096" w:rsidP="00B56575">
            <w:pPr>
              <w:tabs>
                <w:tab w:val="center" w:pos="284"/>
              </w:tabs>
              <w:overflowPunct w:val="0"/>
              <w:autoSpaceDE w:val="0"/>
              <w:autoSpaceDN w:val="0"/>
              <w:adjustRightInd w:val="0"/>
              <w:ind w:left="266" w:hanging="266"/>
              <w:textAlignment w:val="baseline"/>
              <w:rPr>
                <w:sz w:val="22"/>
                <w:szCs w:val="22"/>
              </w:rPr>
            </w:pPr>
            <w:r w:rsidRPr="00B3204A">
              <w:rPr>
                <w:sz w:val="22"/>
                <w:szCs w:val="22"/>
              </w:rPr>
              <w:t>Miroslav HAJNOŠ (groupe des travailleurs — Slovaquie)</w:t>
            </w:r>
          </w:p>
        </w:tc>
      </w:tr>
      <w:tr w:rsidR="007A3096" w:rsidRPr="00B3204A" w14:paraId="22A1E3C3" w14:textId="77777777" w:rsidTr="00B56575">
        <w:tc>
          <w:tcPr>
            <w:tcW w:w="8645" w:type="dxa"/>
            <w:gridSpan w:val="2"/>
          </w:tcPr>
          <w:p w14:paraId="58FAA53C" w14:textId="77777777" w:rsidR="007A3096" w:rsidRPr="00B3204A" w:rsidRDefault="007A3096" w:rsidP="00B56575">
            <w:pPr>
              <w:tabs>
                <w:tab w:val="center" w:pos="284"/>
              </w:tabs>
              <w:overflowPunct w:val="0"/>
              <w:autoSpaceDE w:val="0"/>
              <w:autoSpaceDN w:val="0"/>
              <w:adjustRightInd w:val="0"/>
              <w:spacing w:line="160" w:lineRule="exact"/>
              <w:ind w:left="266" w:hanging="266"/>
              <w:textAlignment w:val="baseline"/>
              <w:rPr>
                <w:sz w:val="22"/>
                <w:szCs w:val="22"/>
              </w:rPr>
            </w:pPr>
          </w:p>
        </w:tc>
      </w:tr>
      <w:tr w:rsidR="007A3096" w:rsidRPr="00B3204A" w14:paraId="5EDF0409" w14:textId="77777777" w:rsidTr="00B56575">
        <w:tc>
          <w:tcPr>
            <w:tcW w:w="1701" w:type="dxa"/>
            <w:vMerge w:val="restart"/>
          </w:tcPr>
          <w:p w14:paraId="37AB7812" w14:textId="77777777" w:rsidR="007A3096" w:rsidRPr="00B3204A" w:rsidRDefault="007A3096" w:rsidP="00B56575">
            <w:pPr>
              <w:tabs>
                <w:tab w:val="center" w:pos="284"/>
              </w:tabs>
              <w:overflowPunct w:val="0"/>
              <w:autoSpaceDE w:val="0"/>
              <w:autoSpaceDN w:val="0"/>
              <w:adjustRightInd w:val="0"/>
              <w:ind w:left="266" w:hanging="266"/>
              <w:textAlignment w:val="baseline"/>
              <w:rPr>
                <w:b/>
                <w:sz w:val="22"/>
                <w:szCs w:val="22"/>
              </w:rPr>
            </w:pPr>
            <w:r w:rsidRPr="00B3204A">
              <w:rPr>
                <w:b/>
                <w:sz w:val="22"/>
                <w:szCs w:val="22"/>
              </w:rPr>
              <w:t>Références</w:t>
            </w:r>
          </w:p>
        </w:tc>
        <w:tc>
          <w:tcPr>
            <w:tcW w:w="6946" w:type="dxa"/>
          </w:tcPr>
          <w:p w14:paraId="482A2846" w14:textId="4D7D3A98" w:rsidR="007A3096" w:rsidRPr="00B3204A" w:rsidRDefault="007A3096" w:rsidP="00B56575">
            <w:pPr>
              <w:tabs>
                <w:tab w:val="center" w:pos="284"/>
              </w:tabs>
              <w:overflowPunct w:val="0"/>
              <w:autoSpaceDE w:val="0"/>
              <w:autoSpaceDN w:val="0"/>
              <w:adjustRightInd w:val="0"/>
              <w:ind w:left="266" w:hanging="266"/>
              <w:textAlignment w:val="baseline"/>
              <w:rPr>
                <w:sz w:val="22"/>
                <w:szCs w:val="22"/>
              </w:rPr>
            </w:pPr>
            <w:proofErr w:type="gramStart"/>
            <w:r w:rsidRPr="00B3204A">
              <w:rPr>
                <w:sz w:val="22"/>
                <w:szCs w:val="22"/>
              </w:rPr>
              <w:t>COM(</w:t>
            </w:r>
            <w:proofErr w:type="gramEnd"/>
            <w:r w:rsidRPr="00B3204A">
              <w:rPr>
                <w:sz w:val="22"/>
                <w:szCs w:val="22"/>
              </w:rPr>
              <w:t xml:space="preserve">2026) 11 final </w:t>
            </w:r>
          </w:p>
          <w:p w14:paraId="1457E830" w14:textId="583DA8F1" w:rsidR="007A3096" w:rsidRPr="00B3204A" w:rsidRDefault="007A3096" w:rsidP="00B56575">
            <w:pPr>
              <w:tabs>
                <w:tab w:val="center" w:pos="284"/>
              </w:tabs>
              <w:overflowPunct w:val="0"/>
              <w:autoSpaceDE w:val="0"/>
              <w:autoSpaceDN w:val="0"/>
              <w:adjustRightInd w:val="0"/>
              <w:ind w:left="266" w:right="1458" w:hanging="266"/>
              <w:textAlignment w:val="baseline"/>
              <w:rPr>
                <w:sz w:val="22"/>
                <w:szCs w:val="22"/>
              </w:rPr>
            </w:pPr>
            <w:proofErr w:type="gramStart"/>
            <w:r w:rsidRPr="00B3204A">
              <w:rPr>
                <w:sz w:val="22"/>
                <w:szCs w:val="22"/>
              </w:rPr>
              <w:t>COM(</w:t>
            </w:r>
            <w:proofErr w:type="gramEnd"/>
            <w:r w:rsidRPr="00B3204A">
              <w:rPr>
                <w:sz w:val="22"/>
                <w:szCs w:val="22"/>
              </w:rPr>
              <w:t xml:space="preserve">2026) 13 final </w:t>
            </w:r>
          </w:p>
          <w:p w14:paraId="0B733C5A" w14:textId="31E11106" w:rsidR="004D2D6F" w:rsidRPr="00B3204A" w:rsidRDefault="007A3096" w:rsidP="00C30BC0">
            <w:pPr>
              <w:tabs>
                <w:tab w:val="center" w:pos="284"/>
              </w:tabs>
              <w:overflowPunct w:val="0"/>
              <w:autoSpaceDE w:val="0"/>
              <w:autoSpaceDN w:val="0"/>
              <w:adjustRightInd w:val="0"/>
              <w:ind w:left="266" w:hanging="266"/>
              <w:textAlignment w:val="baseline"/>
              <w:rPr>
                <w:sz w:val="22"/>
                <w:szCs w:val="22"/>
                <w:lang w:val="pt-PT"/>
              </w:rPr>
            </w:pPr>
            <w:r w:rsidRPr="00B3204A">
              <w:rPr>
                <w:sz w:val="22"/>
                <w:szCs w:val="22"/>
              </w:rPr>
              <w:t>EESC-2026-00075-00-00-A</w:t>
            </w:r>
            <w:r w:rsidR="00C30BC0" w:rsidRPr="00B3204A">
              <w:rPr>
                <w:sz w:val="22"/>
                <w:szCs w:val="22"/>
              </w:rPr>
              <w:t>C</w:t>
            </w:r>
          </w:p>
        </w:tc>
      </w:tr>
      <w:tr w:rsidR="007A3096" w:rsidRPr="007A3096" w14:paraId="281B6DC0" w14:textId="77777777" w:rsidTr="00B56575">
        <w:tc>
          <w:tcPr>
            <w:tcW w:w="1701" w:type="dxa"/>
            <w:vMerge/>
          </w:tcPr>
          <w:p w14:paraId="2CAAC814" w14:textId="77777777" w:rsidR="007A3096" w:rsidRPr="007A3096" w:rsidRDefault="007A3096" w:rsidP="00B56575">
            <w:pPr>
              <w:tabs>
                <w:tab w:val="center" w:pos="284"/>
              </w:tabs>
              <w:overflowPunct w:val="0"/>
              <w:autoSpaceDE w:val="0"/>
              <w:autoSpaceDN w:val="0"/>
              <w:adjustRightInd w:val="0"/>
              <w:ind w:left="266" w:hanging="266"/>
              <w:textAlignment w:val="baseline"/>
              <w:rPr>
                <w:b/>
                <w:lang w:val="pt-PT"/>
              </w:rPr>
            </w:pPr>
          </w:p>
        </w:tc>
        <w:tc>
          <w:tcPr>
            <w:tcW w:w="6946" w:type="dxa"/>
          </w:tcPr>
          <w:p w14:paraId="2ECA75F1" w14:textId="77777777" w:rsidR="00B56575" w:rsidRPr="007A3096" w:rsidRDefault="00B56575" w:rsidP="00B56575">
            <w:pPr>
              <w:tabs>
                <w:tab w:val="center" w:pos="284"/>
              </w:tabs>
              <w:overflowPunct w:val="0"/>
              <w:autoSpaceDE w:val="0"/>
              <w:autoSpaceDN w:val="0"/>
              <w:adjustRightInd w:val="0"/>
              <w:ind w:left="266" w:hanging="2218"/>
              <w:textAlignment w:val="baseline"/>
              <w:rPr>
                <w:lang w:val="pt-PT"/>
              </w:rPr>
            </w:pPr>
          </w:p>
        </w:tc>
      </w:tr>
    </w:tbl>
    <w:p w14:paraId="5A2D7504" w14:textId="2256DAE3" w:rsidR="008676ED" w:rsidRPr="00C95C7D" w:rsidRDefault="008676ED" w:rsidP="00C95C7D">
      <w:pPr>
        <w:widowControl w:val="0"/>
        <w:overflowPunct w:val="0"/>
        <w:autoSpaceDE w:val="0"/>
        <w:autoSpaceDN w:val="0"/>
        <w:adjustRightInd w:val="0"/>
        <w:textAlignment w:val="baseline"/>
        <w:rPr>
          <w:b/>
          <w:iCs/>
        </w:rPr>
      </w:pPr>
      <w:r>
        <w:rPr>
          <w:b/>
        </w:rPr>
        <w:t>Points clés</w:t>
      </w:r>
    </w:p>
    <w:p w14:paraId="4EE32F42" w14:textId="77777777" w:rsidR="00C95C7D" w:rsidRDefault="00C95C7D" w:rsidP="00C95C7D">
      <w:pPr>
        <w:widowControl w:val="0"/>
        <w:overflowPunct w:val="0"/>
        <w:autoSpaceDE w:val="0"/>
        <w:autoSpaceDN w:val="0"/>
        <w:adjustRightInd w:val="0"/>
        <w:textAlignment w:val="baseline"/>
        <w:rPr>
          <w:bCs/>
          <w:iCs/>
          <w:lang w:val="en-GB"/>
        </w:rPr>
      </w:pPr>
    </w:p>
    <w:p w14:paraId="34C0B99D" w14:textId="66F2EA90" w:rsidR="008676ED" w:rsidRDefault="008676ED" w:rsidP="008676ED">
      <w:pPr>
        <w:widowControl w:val="0"/>
        <w:overflowPunct w:val="0"/>
        <w:autoSpaceDE w:val="0"/>
        <w:autoSpaceDN w:val="0"/>
        <w:adjustRightInd w:val="0"/>
        <w:textAlignment w:val="baseline"/>
        <w:rPr>
          <w:bCs/>
          <w:iCs/>
        </w:rPr>
      </w:pPr>
      <w:r>
        <w:t xml:space="preserve">Le </w:t>
      </w:r>
      <w:proofErr w:type="gramStart"/>
      <w:r>
        <w:t>CESE:</w:t>
      </w:r>
      <w:proofErr w:type="gramEnd"/>
      <w:r>
        <w:t xml:space="preserve"> </w:t>
      </w:r>
    </w:p>
    <w:p w14:paraId="484C3E18" w14:textId="77777777" w:rsidR="008676ED" w:rsidRDefault="008676ED" w:rsidP="00C95C7D">
      <w:pPr>
        <w:widowControl w:val="0"/>
        <w:overflowPunct w:val="0"/>
        <w:autoSpaceDE w:val="0"/>
        <w:autoSpaceDN w:val="0"/>
        <w:adjustRightInd w:val="0"/>
        <w:ind w:left="284"/>
        <w:textAlignment w:val="baseline"/>
        <w:rPr>
          <w:bCs/>
          <w:iCs/>
          <w:lang w:val="en-GB"/>
        </w:rPr>
      </w:pPr>
    </w:p>
    <w:p w14:paraId="5EC47414" w14:textId="04B90046" w:rsidR="007A3096" w:rsidRPr="007A3096" w:rsidRDefault="008A47F4" w:rsidP="00C30BC0">
      <w:pPr>
        <w:widowControl w:val="0"/>
        <w:numPr>
          <w:ilvl w:val="0"/>
          <w:numId w:val="37"/>
        </w:numPr>
        <w:overflowPunct w:val="0"/>
        <w:autoSpaceDE w:val="0"/>
        <w:autoSpaceDN w:val="0"/>
        <w:adjustRightInd w:val="0"/>
        <w:ind w:left="567" w:hanging="567"/>
        <w:textAlignment w:val="baseline"/>
        <w:rPr>
          <w:bCs/>
          <w:iCs/>
        </w:rPr>
      </w:pPr>
      <w:proofErr w:type="gramStart"/>
      <w:r>
        <w:t>se</w:t>
      </w:r>
      <w:proofErr w:type="gramEnd"/>
      <w:r>
        <w:t xml:space="preserve"> félicite de la révision du règlement sur la cybersécurité et des mises à jour apportées à la directive sur la sécurité des réseaux et de l’information 2, et fait valoir la nécessité de traiter la cybersécurité comme d’une </w:t>
      </w:r>
      <w:r>
        <w:rPr>
          <w:b/>
          <w:bCs/>
        </w:rPr>
        <w:t>question essentielle de sûreté économique et de résilience géopolitique</w:t>
      </w:r>
      <w:r>
        <w:t xml:space="preserve">, et dans le même temps, de simplifier les règles et de réduire les charges administratives pour les </w:t>
      </w:r>
      <w:proofErr w:type="gramStart"/>
      <w:r>
        <w:t>entreprises;</w:t>
      </w:r>
      <w:proofErr w:type="gramEnd"/>
    </w:p>
    <w:p w14:paraId="31A5FE88" w14:textId="77777777" w:rsidR="007A3096" w:rsidRPr="007A3096" w:rsidRDefault="007A3096" w:rsidP="00C30BC0">
      <w:pPr>
        <w:widowControl w:val="0"/>
        <w:numPr>
          <w:ilvl w:val="0"/>
          <w:numId w:val="37"/>
        </w:numPr>
        <w:overflowPunct w:val="0"/>
        <w:autoSpaceDE w:val="0"/>
        <w:autoSpaceDN w:val="0"/>
        <w:adjustRightInd w:val="0"/>
        <w:ind w:left="567" w:hanging="567"/>
        <w:textAlignment w:val="baseline"/>
        <w:rPr>
          <w:bCs/>
          <w:iCs/>
        </w:rPr>
      </w:pPr>
      <w:proofErr w:type="gramStart"/>
      <w:r>
        <w:t>demande</w:t>
      </w:r>
      <w:proofErr w:type="gramEnd"/>
      <w:r>
        <w:t xml:space="preserve"> de </w:t>
      </w:r>
      <w:r>
        <w:rPr>
          <w:b/>
          <w:bCs/>
        </w:rPr>
        <w:t>renforcer l’ENISA et de mieux la doter en ressources</w:t>
      </w:r>
      <w:r>
        <w:t xml:space="preserve">, grâce à un mandat clair et consolidé et à des moyens financiers et humains suffisants pour donner un tour concret et efficace à ses responsabilités élargies, notamment en matière de développement et de certification des </w:t>
      </w:r>
      <w:proofErr w:type="gramStart"/>
      <w:r>
        <w:t>compétences;</w:t>
      </w:r>
      <w:proofErr w:type="gramEnd"/>
    </w:p>
    <w:p w14:paraId="48226406" w14:textId="77777777" w:rsidR="007A3096" w:rsidRPr="007A3096" w:rsidRDefault="007A3096" w:rsidP="00C30BC0">
      <w:pPr>
        <w:widowControl w:val="0"/>
        <w:numPr>
          <w:ilvl w:val="0"/>
          <w:numId w:val="37"/>
        </w:numPr>
        <w:overflowPunct w:val="0"/>
        <w:autoSpaceDE w:val="0"/>
        <w:autoSpaceDN w:val="0"/>
        <w:adjustRightInd w:val="0"/>
        <w:ind w:left="567" w:hanging="567"/>
        <w:textAlignment w:val="baseline"/>
        <w:rPr>
          <w:bCs/>
          <w:iCs/>
        </w:rPr>
      </w:pPr>
      <w:proofErr w:type="gramStart"/>
      <w:r>
        <w:t>souligne</w:t>
      </w:r>
      <w:proofErr w:type="gramEnd"/>
      <w:r>
        <w:t xml:space="preserve"> le rôle déterminant que jouent </w:t>
      </w:r>
      <w:r>
        <w:rPr>
          <w:b/>
          <w:bCs/>
        </w:rPr>
        <w:t>les compétences du personnel et sa formation</w:t>
      </w:r>
      <w:r>
        <w:t xml:space="preserve"> pour garantir la résilience en matière de cybersécurité et pour étayer les cadres des compétences et les schémas de certification à l’échelle de l’Union, tout en veillant à ce que ceux-ci restent pratiques, coordonnés et accessibles dans tous les États </w:t>
      </w:r>
      <w:proofErr w:type="gramStart"/>
      <w:r>
        <w:t>membres;</w:t>
      </w:r>
      <w:proofErr w:type="gramEnd"/>
    </w:p>
    <w:p w14:paraId="6A6411FE" w14:textId="77777777" w:rsidR="007A3096" w:rsidRPr="007A3096" w:rsidRDefault="007A3096" w:rsidP="00C30BC0">
      <w:pPr>
        <w:widowControl w:val="0"/>
        <w:numPr>
          <w:ilvl w:val="0"/>
          <w:numId w:val="37"/>
        </w:numPr>
        <w:overflowPunct w:val="0"/>
        <w:autoSpaceDE w:val="0"/>
        <w:autoSpaceDN w:val="0"/>
        <w:adjustRightInd w:val="0"/>
        <w:ind w:left="567" w:hanging="567"/>
        <w:textAlignment w:val="baseline"/>
        <w:rPr>
          <w:bCs/>
          <w:iCs/>
        </w:rPr>
      </w:pPr>
      <w:proofErr w:type="gramStart"/>
      <w:r>
        <w:t>met</w:t>
      </w:r>
      <w:proofErr w:type="gramEnd"/>
      <w:r>
        <w:t xml:space="preserve"> en lumière l’importance croissante de la cybersécurité pour la </w:t>
      </w:r>
      <w:r>
        <w:rPr>
          <w:b/>
          <w:bCs/>
        </w:rPr>
        <w:t>résilience démocratique</w:t>
      </w:r>
      <w:r>
        <w:t xml:space="preserve">, et réclame instamment une </w:t>
      </w:r>
      <w:r>
        <w:rPr>
          <w:b/>
          <w:bCs/>
        </w:rPr>
        <w:t>coordination renforcée à l’échelon de l’Union</w:t>
      </w:r>
      <w:r>
        <w:t xml:space="preserve"> afin de protéger les élections et les infrastructures critiques contre les cyberattaques, la désinformation et les ingérences </w:t>
      </w:r>
      <w:proofErr w:type="gramStart"/>
      <w:r>
        <w:t>étrangères;</w:t>
      </w:r>
      <w:proofErr w:type="gramEnd"/>
    </w:p>
    <w:p w14:paraId="1C1338FC" w14:textId="77777777" w:rsidR="007A3096" w:rsidRPr="007A3096" w:rsidRDefault="007A3096" w:rsidP="00C30BC0">
      <w:pPr>
        <w:widowControl w:val="0"/>
        <w:numPr>
          <w:ilvl w:val="0"/>
          <w:numId w:val="37"/>
        </w:numPr>
        <w:overflowPunct w:val="0"/>
        <w:autoSpaceDE w:val="0"/>
        <w:autoSpaceDN w:val="0"/>
        <w:adjustRightInd w:val="0"/>
        <w:ind w:left="567" w:hanging="567"/>
        <w:textAlignment w:val="baseline"/>
        <w:rPr>
          <w:bCs/>
          <w:iCs/>
        </w:rPr>
      </w:pPr>
      <w:proofErr w:type="gramStart"/>
      <w:r>
        <w:t>est</w:t>
      </w:r>
      <w:proofErr w:type="gramEnd"/>
      <w:r>
        <w:t xml:space="preserve"> favorable à un </w:t>
      </w:r>
      <w:r>
        <w:rPr>
          <w:b/>
          <w:bCs/>
        </w:rPr>
        <w:t>cadre de certification rationalisé et efficace</w:t>
      </w:r>
      <w:r>
        <w:t>, qui se fonde sur l’approche</w:t>
      </w:r>
      <w:proofErr w:type="gramStart"/>
      <w:r>
        <w:t xml:space="preserve"> «certifier</w:t>
      </w:r>
      <w:proofErr w:type="gramEnd"/>
      <w:r>
        <w:t xml:space="preserve"> une fois, certifier </w:t>
      </w:r>
      <w:proofErr w:type="gramStart"/>
      <w:r>
        <w:t>partout»</w:t>
      </w:r>
      <w:proofErr w:type="gramEnd"/>
      <w:r>
        <w:t xml:space="preserve"> et garantit ainsi la clarté juridique, la transparence et la proportionnalité, notamment à l’intention des PME et des opérateurs </w:t>
      </w:r>
      <w:proofErr w:type="gramStart"/>
      <w:r>
        <w:t>transfrontières;</w:t>
      </w:r>
      <w:proofErr w:type="gramEnd"/>
    </w:p>
    <w:p w14:paraId="287DCAC1" w14:textId="77777777" w:rsidR="007A3096" w:rsidRPr="007A3096" w:rsidRDefault="007A3096" w:rsidP="0012608E">
      <w:pPr>
        <w:keepNext/>
        <w:numPr>
          <w:ilvl w:val="0"/>
          <w:numId w:val="37"/>
        </w:numPr>
        <w:overflowPunct w:val="0"/>
        <w:autoSpaceDE w:val="0"/>
        <w:autoSpaceDN w:val="0"/>
        <w:adjustRightInd w:val="0"/>
        <w:ind w:left="567" w:hanging="567"/>
        <w:textAlignment w:val="baseline"/>
        <w:rPr>
          <w:bCs/>
          <w:iCs/>
        </w:rPr>
      </w:pPr>
      <w:proofErr w:type="gramStart"/>
      <w:r>
        <w:lastRenderedPageBreak/>
        <w:t>demande</w:t>
      </w:r>
      <w:proofErr w:type="gramEnd"/>
      <w:r>
        <w:t xml:space="preserve"> instamment d’adopter une </w:t>
      </w:r>
      <w:r>
        <w:rPr>
          <w:b/>
          <w:bCs/>
        </w:rPr>
        <w:t>approche équilibrée à l’égard de la sécurité de la chaîne d’approvisionnement des TIC</w:t>
      </w:r>
      <w:r>
        <w:t>, assortie de mesures transparentes et fondées sur les risques et d’une évaluation complète des incidences économiques, opérationnelles et sociales, ainsi que, dans le même temps, d’éviter des charges excessives de mise en conformité et d’assurer une forte participation des partenaires sociaux et des parties prenantes.</w:t>
      </w:r>
    </w:p>
    <w:p w14:paraId="0CA060C5" w14:textId="77777777" w:rsidR="00251ADD" w:rsidRPr="00A83352" w:rsidRDefault="00251ADD" w:rsidP="00212AD9">
      <w:pPr>
        <w:widowControl w:val="0"/>
        <w:overflowPunct w:val="0"/>
        <w:autoSpaceDE w:val="0"/>
        <w:autoSpaceDN w:val="0"/>
        <w:adjustRightInd w:val="0"/>
        <w:ind w:left="709" w:hanging="567"/>
        <w:textAlignment w:val="baseline"/>
        <w:rPr>
          <w:szCs w:val="20"/>
          <w:lang w:val="en-GB"/>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5670"/>
      </w:tblGrid>
      <w:tr w:rsidR="00A83352" w:rsidRPr="00C30BC0" w14:paraId="6378B503" w14:textId="77777777" w:rsidTr="002E7EFB">
        <w:tc>
          <w:tcPr>
            <w:tcW w:w="1418" w:type="dxa"/>
          </w:tcPr>
          <w:p w14:paraId="76B1935C" w14:textId="77777777" w:rsidR="00A83352" w:rsidRPr="00C30BC0" w:rsidRDefault="00A83352" w:rsidP="00A83352">
            <w:pPr>
              <w:overflowPunct w:val="0"/>
              <w:autoSpaceDE w:val="0"/>
              <w:autoSpaceDN w:val="0"/>
              <w:adjustRightInd w:val="0"/>
              <w:spacing w:line="240" w:lineRule="auto"/>
              <w:textAlignment w:val="baseline"/>
              <w:rPr>
                <w:i/>
                <w:sz w:val="22"/>
                <w:szCs w:val="22"/>
              </w:rPr>
            </w:pPr>
            <w:r w:rsidRPr="00C30BC0">
              <w:rPr>
                <w:b/>
                <w:i/>
                <w:sz w:val="22"/>
                <w:szCs w:val="22"/>
              </w:rPr>
              <w:t>Contact</w:t>
            </w:r>
          </w:p>
        </w:tc>
        <w:tc>
          <w:tcPr>
            <w:tcW w:w="5670" w:type="dxa"/>
          </w:tcPr>
          <w:p w14:paraId="156F2204" w14:textId="77777777" w:rsidR="00A83352" w:rsidRPr="00C30BC0" w:rsidRDefault="00A83352" w:rsidP="00A83352">
            <w:pPr>
              <w:overflowPunct w:val="0"/>
              <w:autoSpaceDE w:val="0"/>
              <w:autoSpaceDN w:val="0"/>
              <w:adjustRightInd w:val="0"/>
              <w:spacing w:line="240" w:lineRule="auto"/>
              <w:textAlignment w:val="baseline"/>
              <w:rPr>
                <w:i/>
                <w:sz w:val="22"/>
                <w:szCs w:val="22"/>
              </w:rPr>
            </w:pPr>
            <w:r w:rsidRPr="00C30BC0">
              <w:rPr>
                <w:i/>
                <w:sz w:val="22"/>
                <w:szCs w:val="22"/>
              </w:rPr>
              <w:t>Silvia Staffa</w:t>
            </w:r>
          </w:p>
        </w:tc>
      </w:tr>
      <w:tr w:rsidR="00A83352" w:rsidRPr="00C30BC0" w14:paraId="3427545F" w14:textId="77777777" w:rsidTr="002E7EFB">
        <w:tc>
          <w:tcPr>
            <w:tcW w:w="1418" w:type="dxa"/>
          </w:tcPr>
          <w:p w14:paraId="28C531D2" w14:textId="77777777" w:rsidR="00A83352" w:rsidRPr="00C30BC0" w:rsidRDefault="00A83352" w:rsidP="00634494">
            <w:pPr>
              <w:overflowPunct w:val="0"/>
              <w:autoSpaceDE w:val="0"/>
              <w:autoSpaceDN w:val="0"/>
              <w:adjustRightInd w:val="0"/>
              <w:spacing w:line="240" w:lineRule="auto"/>
              <w:ind w:left="567"/>
              <w:textAlignment w:val="baseline"/>
              <w:rPr>
                <w:i/>
                <w:sz w:val="22"/>
                <w:szCs w:val="22"/>
              </w:rPr>
            </w:pPr>
            <w:r w:rsidRPr="00C30BC0">
              <w:rPr>
                <w:i/>
                <w:sz w:val="22"/>
                <w:szCs w:val="22"/>
              </w:rPr>
              <w:t>Tél.</w:t>
            </w:r>
          </w:p>
        </w:tc>
        <w:tc>
          <w:tcPr>
            <w:tcW w:w="5670" w:type="dxa"/>
          </w:tcPr>
          <w:p w14:paraId="30151730" w14:textId="77777777" w:rsidR="00A83352" w:rsidRPr="00C30BC0" w:rsidRDefault="00A83352" w:rsidP="00A83352">
            <w:pPr>
              <w:overflowPunct w:val="0"/>
              <w:autoSpaceDE w:val="0"/>
              <w:autoSpaceDN w:val="0"/>
              <w:adjustRightInd w:val="0"/>
              <w:spacing w:line="240" w:lineRule="auto"/>
              <w:textAlignment w:val="baseline"/>
              <w:rPr>
                <w:i/>
                <w:sz w:val="22"/>
                <w:szCs w:val="22"/>
              </w:rPr>
            </w:pPr>
            <w:r w:rsidRPr="00C30BC0">
              <w:rPr>
                <w:i/>
                <w:sz w:val="22"/>
                <w:szCs w:val="22"/>
              </w:rPr>
              <w:t>+32 2 546 8378</w:t>
            </w:r>
          </w:p>
        </w:tc>
      </w:tr>
      <w:tr w:rsidR="00A83352" w:rsidRPr="00C30BC0" w14:paraId="72DC4E78" w14:textId="77777777" w:rsidTr="002E7EFB">
        <w:tc>
          <w:tcPr>
            <w:tcW w:w="1418" w:type="dxa"/>
          </w:tcPr>
          <w:p w14:paraId="63DC825F" w14:textId="77777777" w:rsidR="00A83352" w:rsidRPr="00C30BC0" w:rsidRDefault="00A83352" w:rsidP="00634494">
            <w:pPr>
              <w:overflowPunct w:val="0"/>
              <w:autoSpaceDE w:val="0"/>
              <w:autoSpaceDN w:val="0"/>
              <w:adjustRightInd w:val="0"/>
              <w:spacing w:line="240" w:lineRule="auto"/>
              <w:ind w:left="567"/>
              <w:textAlignment w:val="baseline"/>
              <w:rPr>
                <w:i/>
                <w:sz w:val="22"/>
                <w:szCs w:val="22"/>
              </w:rPr>
            </w:pPr>
            <w:r w:rsidRPr="00C30BC0">
              <w:rPr>
                <w:i/>
                <w:sz w:val="22"/>
                <w:szCs w:val="22"/>
              </w:rPr>
              <w:t>Courriel</w:t>
            </w:r>
          </w:p>
        </w:tc>
        <w:tc>
          <w:tcPr>
            <w:tcW w:w="5670" w:type="dxa"/>
          </w:tcPr>
          <w:p w14:paraId="2F1FD287" w14:textId="4BEE2EE0" w:rsidR="00A83352" w:rsidRPr="00C30BC0" w:rsidRDefault="00E44636" w:rsidP="00C30BC0">
            <w:pPr>
              <w:overflowPunct w:val="0"/>
              <w:autoSpaceDE w:val="0"/>
              <w:autoSpaceDN w:val="0"/>
              <w:adjustRightInd w:val="0"/>
              <w:spacing w:line="240" w:lineRule="auto"/>
              <w:textAlignment w:val="baseline"/>
              <w:rPr>
                <w:i/>
                <w:sz w:val="22"/>
                <w:szCs w:val="22"/>
              </w:rPr>
            </w:pPr>
            <w:hyperlink r:id="rId44" w:history="1">
              <w:r w:rsidRPr="00C30BC0">
                <w:rPr>
                  <w:i/>
                  <w:color w:val="0000FF"/>
                  <w:sz w:val="22"/>
                  <w:szCs w:val="22"/>
                  <w:u w:val="single"/>
                </w:rPr>
                <w:t>Silvia.Staffa@eesc.europa.eu</w:t>
              </w:r>
            </w:hyperlink>
          </w:p>
        </w:tc>
      </w:tr>
    </w:tbl>
    <w:p w14:paraId="1735359E" w14:textId="7BC358BF" w:rsidR="00A83352" w:rsidRDefault="00A83352" w:rsidP="001766B2">
      <w:pPr>
        <w:pStyle w:val="ListParagraph"/>
        <w:ind w:left="0"/>
      </w:pPr>
    </w:p>
    <w:p w14:paraId="67EB829A" w14:textId="41D4AD26" w:rsidR="00665940" w:rsidRPr="00665940" w:rsidRDefault="00E44636" w:rsidP="00665940">
      <w:pPr>
        <w:widowControl w:val="0"/>
        <w:numPr>
          <w:ilvl w:val="0"/>
          <w:numId w:val="4"/>
        </w:numPr>
        <w:overflowPunct w:val="0"/>
        <w:autoSpaceDE w:val="0"/>
        <w:autoSpaceDN w:val="0"/>
        <w:adjustRightInd w:val="0"/>
        <w:ind w:hanging="567"/>
        <w:textAlignment w:val="baseline"/>
        <w:rPr>
          <w:sz w:val="20"/>
          <w:szCs w:val="20"/>
        </w:rPr>
      </w:pPr>
      <w:hyperlink r:id="rId45" w:history="1">
        <w:r>
          <w:rPr>
            <w:b/>
            <w:i/>
            <w:color w:val="0000FF"/>
            <w:sz w:val="28"/>
            <w:u w:val="single"/>
          </w:rPr>
          <w:t>Créer un Centre européen d’excellence clinique pour les produits pharmaceutiques</w:t>
        </w:r>
      </w:hyperlink>
    </w:p>
    <w:p w14:paraId="50FE4DFF" w14:textId="77777777" w:rsidR="00665940" w:rsidRPr="00C30BC0" w:rsidRDefault="00665940" w:rsidP="00665940">
      <w:pPr>
        <w:tabs>
          <w:tab w:val="center" w:pos="284"/>
        </w:tabs>
        <w:overflowPunct w:val="0"/>
        <w:autoSpaceDE w:val="0"/>
        <w:autoSpaceDN w:val="0"/>
        <w:adjustRightInd w:val="0"/>
        <w:ind w:left="266" w:hanging="266"/>
        <w:textAlignment w:val="baseline"/>
        <w:rPr>
          <w:bCs/>
          <w:lang w:val="en-GB"/>
        </w:rPr>
      </w:pPr>
    </w:p>
    <w:tbl>
      <w:tblPr>
        <w:tblStyle w:val="TableGrid13"/>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665940" w:rsidRPr="00C30BC0" w14:paraId="42EBD1F0" w14:textId="77777777" w:rsidTr="00C30BC0">
        <w:tc>
          <w:tcPr>
            <w:tcW w:w="1701" w:type="dxa"/>
          </w:tcPr>
          <w:p w14:paraId="470319BC" w14:textId="77777777" w:rsidR="00665940" w:rsidRPr="00C30BC0" w:rsidRDefault="00665940" w:rsidP="00665940">
            <w:pPr>
              <w:tabs>
                <w:tab w:val="center" w:pos="284"/>
              </w:tabs>
              <w:overflowPunct w:val="0"/>
              <w:autoSpaceDE w:val="0"/>
              <w:autoSpaceDN w:val="0"/>
              <w:adjustRightInd w:val="0"/>
              <w:ind w:left="266" w:hanging="266"/>
              <w:textAlignment w:val="baseline"/>
              <w:rPr>
                <w:b/>
                <w:sz w:val="22"/>
                <w:szCs w:val="22"/>
              </w:rPr>
            </w:pPr>
            <w:r w:rsidRPr="00C30BC0">
              <w:rPr>
                <w:b/>
                <w:sz w:val="22"/>
                <w:szCs w:val="22"/>
              </w:rPr>
              <w:t>Rapporteur</w:t>
            </w:r>
          </w:p>
        </w:tc>
        <w:tc>
          <w:tcPr>
            <w:tcW w:w="7621" w:type="dxa"/>
          </w:tcPr>
          <w:p w14:paraId="5CFF22ED" w14:textId="4F642785" w:rsidR="00665940" w:rsidRPr="00C30BC0" w:rsidRDefault="00665940" w:rsidP="00665940">
            <w:pPr>
              <w:tabs>
                <w:tab w:val="center" w:pos="284"/>
              </w:tabs>
              <w:overflowPunct w:val="0"/>
              <w:autoSpaceDE w:val="0"/>
              <w:autoSpaceDN w:val="0"/>
              <w:adjustRightInd w:val="0"/>
              <w:ind w:left="266" w:hanging="266"/>
              <w:textAlignment w:val="baseline"/>
              <w:rPr>
                <w:sz w:val="22"/>
                <w:szCs w:val="22"/>
              </w:rPr>
            </w:pPr>
            <w:r w:rsidRPr="00C30BC0">
              <w:rPr>
                <w:sz w:val="22"/>
                <w:szCs w:val="22"/>
              </w:rPr>
              <w:t>Veselin MITOV (groupe des travailleurs — Bulgarie)</w:t>
            </w:r>
          </w:p>
        </w:tc>
      </w:tr>
      <w:tr w:rsidR="00665940" w:rsidRPr="00C30BC0" w14:paraId="4D35B05F" w14:textId="77777777" w:rsidTr="00C30BC0">
        <w:tc>
          <w:tcPr>
            <w:tcW w:w="9322" w:type="dxa"/>
            <w:gridSpan w:val="2"/>
          </w:tcPr>
          <w:p w14:paraId="6BE1B6FB" w14:textId="77777777" w:rsidR="00665940" w:rsidRPr="00C30BC0" w:rsidRDefault="00665940" w:rsidP="00665940">
            <w:pPr>
              <w:tabs>
                <w:tab w:val="center" w:pos="284"/>
              </w:tabs>
              <w:overflowPunct w:val="0"/>
              <w:autoSpaceDE w:val="0"/>
              <w:autoSpaceDN w:val="0"/>
              <w:adjustRightInd w:val="0"/>
              <w:spacing w:line="160" w:lineRule="exact"/>
              <w:ind w:left="266" w:hanging="266"/>
              <w:textAlignment w:val="baseline"/>
              <w:rPr>
                <w:sz w:val="22"/>
                <w:szCs w:val="22"/>
              </w:rPr>
            </w:pPr>
          </w:p>
        </w:tc>
      </w:tr>
      <w:tr w:rsidR="00665940" w:rsidRPr="00C30BC0" w14:paraId="5F1B7447" w14:textId="77777777" w:rsidTr="00C30BC0">
        <w:trPr>
          <w:trHeight w:val="404"/>
        </w:trPr>
        <w:tc>
          <w:tcPr>
            <w:tcW w:w="1701" w:type="dxa"/>
          </w:tcPr>
          <w:p w14:paraId="1FBC09A6" w14:textId="77777777" w:rsidR="00665940" w:rsidRPr="00C30BC0" w:rsidRDefault="00665940" w:rsidP="00665940">
            <w:pPr>
              <w:tabs>
                <w:tab w:val="center" w:pos="284"/>
              </w:tabs>
              <w:overflowPunct w:val="0"/>
              <w:autoSpaceDE w:val="0"/>
              <w:autoSpaceDN w:val="0"/>
              <w:adjustRightInd w:val="0"/>
              <w:ind w:left="266" w:hanging="266"/>
              <w:textAlignment w:val="baseline"/>
              <w:rPr>
                <w:b/>
                <w:sz w:val="22"/>
                <w:szCs w:val="22"/>
              </w:rPr>
            </w:pPr>
            <w:r w:rsidRPr="00C30BC0">
              <w:rPr>
                <w:b/>
                <w:sz w:val="22"/>
                <w:szCs w:val="22"/>
              </w:rPr>
              <w:t>Références</w:t>
            </w:r>
          </w:p>
        </w:tc>
        <w:tc>
          <w:tcPr>
            <w:tcW w:w="7621" w:type="dxa"/>
          </w:tcPr>
          <w:p w14:paraId="0BCAF6AE" w14:textId="03E7889E" w:rsidR="00665940" w:rsidRPr="00C30BC0" w:rsidRDefault="00665940" w:rsidP="00B3204A">
            <w:pPr>
              <w:overflowPunct w:val="0"/>
              <w:autoSpaceDE w:val="0"/>
              <w:autoSpaceDN w:val="0"/>
              <w:adjustRightInd w:val="0"/>
              <w:ind w:right="-70"/>
              <w:textAlignment w:val="baseline"/>
              <w:rPr>
                <w:sz w:val="22"/>
                <w:szCs w:val="22"/>
              </w:rPr>
            </w:pPr>
            <w:r w:rsidRPr="00C30BC0">
              <w:rPr>
                <w:sz w:val="22"/>
                <w:szCs w:val="22"/>
              </w:rPr>
              <w:t>Avis exploratoire à la demande de la présidence chypriote du Conseil de l’Union européenne</w:t>
            </w:r>
          </w:p>
          <w:p w14:paraId="04662EBB" w14:textId="504CF421" w:rsidR="00665940" w:rsidRPr="00C30BC0" w:rsidRDefault="00665940" w:rsidP="00665940">
            <w:pPr>
              <w:tabs>
                <w:tab w:val="center" w:pos="284"/>
              </w:tabs>
              <w:overflowPunct w:val="0"/>
              <w:autoSpaceDE w:val="0"/>
              <w:autoSpaceDN w:val="0"/>
              <w:adjustRightInd w:val="0"/>
              <w:ind w:left="266" w:hanging="266"/>
              <w:textAlignment w:val="baseline"/>
              <w:rPr>
                <w:sz w:val="22"/>
                <w:szCs w:val="22"/>
              </w:rPr>
            </w:pPr>
            <w:r w:rsidRPr="00C30BC0">
              <w:rPr>
                <w:sz w:val="22"/>
                <w:szCs w:val="22"/>
              </w:rPr>
              <w:t>EESC-2025-03937-00-00-AC</w:t>
            </w:r>
          </w:p>
        </w:tc>
      </w:tr>
    </w:tbl>
    <w:p w14:paraId="3B48B869" w14:textId="77777777" w:rsidR="00665940" w:rsidRPr="00665940" w:rsidRDefault="00665940" w:rsidP="00665940">
      <w:pPr>
        <w:tabs>
          <w:tab w:val="center" w:pos="284"/>
        </w:tabs>
        <w:overflowPunct w:val="0"/>
        <w:autoSpaceDE w:val="0"/>
        <w:autoSpaceDN w:val="0"/>
        <w:adjustRightInd w:val="0"/>
        <w:ind w:left="266" w:hanging="266"/>
        <w:textAlignment w:val="baseline"/>
      </w:pPr>
    </w:p>
    <w:p w14:paraId="6FD76E3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rPr>
      </w:pPr>
      <w:r>
        <w:rPr>
          <w:b/>
        </w:rPr>
        <w:t>Points clés</w:t>
      </w:r>
    </w:p>
    <w:p w14:paraId="36ABCDD5" w14:textId="77777777" w:rsidR="00665940" w:rsidRPr="00C30BC0" w:rsidRDefault="00665940" w:rsidP="00665940">
      <w:pPr>
        <w:keepNext/>
        <w:keepLines/>
        <w:tabs>
          <w:tab w:val="center" w:pos="284"/>
        </w:tabs>
        <w:overflowPunct w:val="0"/>
        <w:autoSpaceDE w:val="0"/>
        <w:autoSpaceDN w:val="0"/>
        <w:adjustRightInd w:val="0"/>
        <w:ind w:left="266" w:hanging="266"/>
        <w:textAlignment w:val="baseline"/>
        <w:rPr>
          <w:bCs/>
          <w:lang w:val="en-GB"/>
        </w:rPr>
      </w:pPr>
    </w:p>
    <w:p w14:paraId="7804317A" w14:textId="77777777" w:rsidR="00665940" w:rsidRPr="00665940" w:rsidRDefault="00665940" w:rsidP="00665940">
      <w:pPr>
        <w:overflowPunct w:val="0"/>
        <w:autoSpaceDE w:val="0"/>
        <w:autoSpaceDN w:val="0"/>
        <w:adjustRightInd w:val="0"/>
        <w:textAlignment w:val="baseline"/>
        <w:rPr>
          <w:bCs/>
          <w:iCs/>
        </w:rPr>
      </w:pPr>
      <w:r>
        <w:t xml:space="preserve">Le </w:t>
      </w:r>
      <w:proofErr w:type="gramStart"/>
      <w:r>
        <w:t>CESE:</w:t>
      </w:r>
      <w:proofErr w:type="gramEnd"/>
    </w:p>
    <w:p w14:paraId="53EB1200" w14:textId="77777777" w:rsidR="00665940" w:rsidRPr="00665940" w:rsidRDefault="00665940" w:rsidP="00665940">
      <w:pPr>
        <w:overflowPunct w:val="0"/>
        <w:autoSpaceDE w:val="0"/>
        <w:autoSpaceDN w:val="0"/>
        <w:adjustRightInd w:val="0"/>
        <w:textAlignment w:val="baseline"/>
        <w:rPr>
          <w:bCs/>
          <w:iCs/>
          <w:lang w:val="en-GB"/>
        </w:rPr>
      </w:pPr>
    </w:p>
    <w:p w14:paraId="7C1E6D6D"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proofErr w:type="gramStart"/>
      <w:r>
        <w:t>recommande</w:t>
      </w:r>
      <w:proofErr w:type="gramEnd"/>
      <w:r>
        <w:t xml:space="preserve"> d’établir un Centre européen d’excellence clinique, conçu comme un organisme européen de référence non contraignant, chargé de traduire les données scientifiques en orientations cliniques de qualité, dans le plein respect des principes de subsidiarité et de proportionnalité, afin de promouvoir un accès équitable à des soins de qualité partout dans l’Union.</w:t>
      </w:r>
    </w:p>
    <w:p w14:paraId="3658F039"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proofErr w:type="gramStart"/>
      <w:r>
        <w:t>fait</w:t>
      </w:r>
      <w:proofErr w:type="gramEnd"/>
      <w:r>
        <w:t xml:space="preserve"> valoir que la création du Centre européen d’excellence clinique devrait s’inscrire dans une stratégie européenne plus large de résilience en matière de santé, en vue de stimuler la coopération scientifique, l’adoption de l’innovation et l’autonomie stratégique de </w:t>
      </w:r>
      <w:proofErr w:type="gramStart"/>
      <w:r>
        <w:t>l’Union;</w:t>
      </w:r>
      <w:proofErr w:type="gramEnd"/>
    </w:p>
    <w:p w14:paraId="0D049DD7"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proofErr w:type="gramStart"/>
      <w:r>
        <w:t>estime</w:t>
      </w:r>
      <w:proofErr w:type="gramEnd"/>
      <w:r>
        <w:t xml:space="preserve"> que le Centre européen d’excellence clinique n’a pas vocation à remplacer les structures existantes de l’Union et des États membres, mais plutôt à les compléter, en jouant le rôle de point de référence scientifique commun, doté d’un cadre de gouvernance </w:t>
      </w:r>
      <w:proofErr w:type="gramStart"/>
      <w:r>
        <w:t>solide;</w:t>
      </w:r>
      <w:proofErr w:type="gramEnd"/>
    </w:p>
    <w:p w14:paraId="05280080"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proofErr w:type="gramStart"/>
      <w:r>
        <w:t>est</w:t>
      </w:r>
      <w:proofErr w:type="gramEnd"/>
      <w:r>
        <w:t xml:space="preserve"> d’avis que le mandat du Centre européen d’excellence clinique devrait être clairement défini et centré sur l’excellence scientifique, la transparence et la pertinence pratique, et se concentrer sur l’analyse et la synthèse systématiques des données cliniques, y compris les évaluations cliniques communes et les données probantes de terrain. Ce centre devrait avoir pour mission d’élaborer des recommandations non contraignantes en matière de pharmacothérapie ainsi que des protocoles cliniques reposant sur des données probantes, destinés à étayer la prise de décision au niveau national.</w:t>
      </w:r>
    </w:p>
    <w:p w14:paraId="6AA7D53C"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pPr>
      <w:proofErr w:type="gramStart"/>
      <w:r>
        <w:t>recommande</w:t>
      </w:r>
      <w:proofErr w:type="gramEnd"/>
      <w:r>
        <w:t xml:space="preserve"> de concevoir le Centre européen d’excellence clinique comme un nouvel organe décentralisé de l’UE, pour mieux en garantir la cohérence scientifique, la continuité institutionnelle et l’indépendance, moyennant un modèle de gouvernance à plusieurs niveaux qui soit équilibré et fasse intervenir à la fois les États membres, la Commission européenne et la société civile organisée.</w:t>
      </w:r>
    </w:p>
    <w:p w14:paraId="43AC5B7A"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rFonts w:asciiTheme="minorHAnsi" w:hAnsiTheme="minorHAnsi"/>
          <w:szCs w:val="20"/>
        </w:rPr>
      </w:pPr>
      <w:proofErr w:type="gramStart"/>
      <w:r>
        <w:lastRenderedPageBreak/>
        <w:t>considère</w:t>
      </w:r>
      <w:proofErr w:type="gramEnd"/>
      <w:r>
        <w:t xml:space="preserve"> qu’un financement stable, adéquat et prévisible issu du budget de l’UE est une condition incontournable de la crédibilité, de l’indépendance et de l’efficacité à long terme du Centre européen d’excellence clinique. Tout financement complémentaire doit être strictement réglementé et parfaitement transparent, de sorte que les résultats scientifiques ne subissent aucune influence indue.</w:t>
      </w:r>
    </w:p>
    <w:p w14:paraId="457BFD9C" w14:textId="77777777" w:rsidR="001D292C" w:rsidRPr="00665940" w:rsidRDefault="001D292C" w:rsidP="00665940">
      <w:pPr>
        <w:widowControl w:val="0"/>
        <w:overflowPunct w:val="0"/>
        <w:autoSpaceDE w:val="0"/>
        <w:autoSpaceDN w:val="0"/>
        <w:adjustRightInd w:val="0"/>
        <w:ind w:left="709"/>
        <w:textAlignment w:val="baseline"/>
        <w:rPr>
          <w:szCs w:val="20"/>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5670"/>
      </w:tblGrid>
      <w:tr w:rsidR="00665940" w:rsidRPr="00B3204A" w14:paraId="62BF535A" w14:textId="77777777" w:rsidTr="002E7EFB">
        <w:tc>
          <w:tcPr>
            <w:tcW w:w="1418" w:type="dxa"/>
          </w:tcPr>
          <w:p w14:paraId="5C60B303" w14:textId="77777777" w:rsidR="00665940" w:rsidRPr="00B3204A" w:rsidRDefault="00665940" w:rsidP="00665940">
            <w:pPr>
              <w:overflowPunct w:val="0"/>
              <w:autoSpaceDE w:val="0"/>
              <w:autoSpaceDN w:val="0"/>
              <w:adjustRightInd w:val="0"/>
              <w:spacing w:line="240" w:lineRule="auto"/>
              <w:textAlignment w:val="baseline"/>
              <w:rPr>
                <w:i/>
                <w:sz w:val="22"/>
                <w:szCs w:val="22"/>
              </w:rPr>
            </w:pPr>
            <w:r w:rsidRPr="00B3204A">
              <w:rPr>
                <w:b/>
                <w:i/>
                <w:sz w:val="22"/>
                <w:szCs w:val="22"/>
              </w:rPr>
              <w:t>Contact</w:t>
            </w:r>
          </w:p>
        </w:tc>
        <w:tc>
          <w:tcPr>
            <w:tcW w:w="5670" w:type="dxa"/>
          </w:tcPr>
          <w:p w14:paraId="04C05D13" w14:textId="77777777" w:rsidR="00665940" w:rsidRPr="00B3204A" w:rsidRDefault="00665940" w:rsidP="00665940">
            <w:pPr>
              <w:overflowPunct w:val="0"/>
              <w:autoSpaceDE w:val="0"/>
              <w:autoSpaceDN w:val="0"/>
              <w:adjustRightInd w:val="0"/>
              <w:spacing w:line="240" w:lineRule="auto"/>
              <w:textAlignment w:val="baseline"/>
              <w:rPr>
                <w:i/>
                <w:sz w:val="22"/>
                <w:szCs w:val="22"/>
              </w:rPr>
            </w:pPr>
            <w:r w:rsidRPr="00B3204A">
              <w:rPr>
                <w:i/>
                <w:sz w:val="22"/>
                <w:szCs w:val="22"/>
              </w:rPr>
              <w:t>Radoslava Stefankova</w:t>
            </w:r>
          </w:p>
        </w:tc>
      </w:tr>
      <w:tr w:rsidR="00665940" w:rsidRPr="00B3204A" w14:paraId="50843905" w14:textId="77777777" w:rsidTr="002E7EFB">
        <w:tc>
          <w:tcPr>
            <w:tcW w:w="1418" w:type="dxa"/>
          </w:tcPr>
          <w:p w14:paraId="60ED9F66" w14:textId="77777777" w:rsidR="00665940" w:rsidRPr="00B3204A" w:rsidRDefault="00665940" w:rsidP="00634494">
            <w:pPr>
              <w:overflowPunct w:val="0"/>
              <w:autoSpaceDE w:val="0"/>
              <w:autoSpaceDN w:val="0"/>
              <w:adjustRightInd w:val="0"/>
              <w:spacing w:line="240" w:lineRule="auto"/>
              <w:ind w:left="567"/>
              <w:textAlignment w:val="baseline"/>
              <w:rPr>
                <w:i/>
                <w:sz w:val="22"/>
                <w:szCs w:val="22"/>
              </w:rPr>
            </w:pPr>
            <w:r w:rsidRPr="00B3204A">
              <w:rPr>
                <w:i/>
                <w:sz w:val="22"/>
                <w:szCs w:val="22"/>
              </w:rPr>
              <w:t>Tél.</w:t>
            </w:r>
          </w:p>
        </w:tc>
        <w:tc>
          <w:tcPr>
            <w:tcW w:w="5670" w:type="dxa"/>
          </w:tcPr>
          <w:p w14:paraId="170907FD" w14:textId="77777777" w:rsidR="00665940" w:rsidRPr="00B3204A" w:rsidRDefault="00665940" w:rsidP="00665940">
            <w:pPr>
              <w:overflowPunct w:val="0"/>
              <w:autoSpaceDE w:val="0"/>
              <w:autoSpaceDN w:val="0"/>
              <w:adjustRightInd w:val="0"/>
              <w:spacing w:line="240" w:lineRule="auto"/>
              <w:textAlignment w:val="baseline"/>
              <w:rPr>
                <w:i/>
                <w:sz w:val="22"/>
                <w:szCs w:val="22"/>
              </w:rPr>
            </w:pPr>
            <w:r w:rsidRPr="00B3204A">
              <w:rPr>
                <w:i/>
                <w:sz w:val="22"/>
                <w:szCs w:val="22"/>
              </w:rPr>
              <w:t>+32 2 546 8188</w:t>
            </w:r>
          </w:p>
        </w:tc>
      </w:tr>
      <w:tr w:rsidR="00665940" w:rsidRPr="00B3204A" w14:paraId="7215EA9F" w14:textId="77777777" w:rsidTr="002E7EFB">
        <w:tc>
          <w:tcPr>
            <w:tcW w:w="1418" w:type="dxa"/>
          </w:tcPr>
          <w:p w14:paraId="7B8C52EC" w14:textId="333E7586" w:rsidR="00665940" w:rsidRPr="00B3204A" w:rsidRDefault="0019037A" w:rsidP="00634494">
            <w:pPr>
              <w:overflowPunct w:val="0"/>
              <w:autoSpaceDE w:val="0"/>
              <w:autoSpaceDN w:val="0"/>
              <w:adjustRightInd w:val="0"/>
              <w:spacing w:line="240" w:lineRule="auto"/>
              <w:ind w:left="567"/>
              <w:textAlignment w:val="baseline"/>
              <w:rPr>
                <w:i/>
                <w:sz w:val="22"/>
                <w:szCs w:val="22"/>
              </w:rPr>
            </w:pPr>
            <w:r w:rsidRPr="00B3204A">
              <w:rPr>
                <w:i/>
                <w:sz w:val="22"/>
                <w:szCs w:val="22"/>
              </w:rPr>
              <w:t>Courriel</w:t>
            </w:r>
          </w:p>
        </w:tc>
        <w:tc>
          <w:tcPr>
            <w:tcW w:w="5670" w:type="dxa"/>
          </w:tcPr>
          <w:p w14:paraId="51562D55" w14:textId="75B21CB5" w:rsidR="00665940" w:rsidRPr="00B3204A" w:rsidRDefault="00E44636" w:rsidP="00665940">
            <w:pPr>
              <w:overflowPunct w:val="0"/>
              <w:autoSpaceDE w:val="0"/>
              <w:autoSpaceDN w:val="0"/>
              <w:adjustRightInd w:val="0"/>
              <w:spacing w:line="240" w:lineRule="auto"/>
              <w:textAlignment w:val="baseline"/>
              <w:rPr>
                <w:i/>
                <w:sz w:val="22"/>
                <w:szCs w:val="22"/>
              </w:rPr>
            </w:pPr>
            <w:hyperlink r:id="rId46" w:history="1">
              <w:r w:rsidRPr="00B3204A">
                <w:rPr>
                  <w:i/>
                  <w:color w:val="0000FF"/>
                  <w:sz w:val="22"/>
                  <w:szCs w:val="22"/>
                  <w:u w:val="single"/>
                </w:rPr>
                <w:t>Radoslava.Stefankova@eesc.europa.eu</w:t>
              </w:r>
            </w:hyperlink>
          </w:p>
        </w:tc>
      </w:tr>
    </w:tbl>
    <w:p w14:paraId="57693FD9" w14:textId="6D060F2B" w:rsidR="00665940" w:rsidRDefault="00665940" w:rsidP="001766B2">
      <w:pPr>
        <w:pStyle w:val="ListParagraph"/>
        <w:ind w:left="0"/>
      </w:pPr>
    </w:p>
    <w:p w14:paraId="38DDDDCE" w14:textId="39CB9D33" w:rsidR="00445258" w:rsidRPr="00445258" w:rsidRDefault="00445258" w:rsidP="004C6742">
      <w:pPr>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rPr>
      </w:pPr>
      <w:hyperlink r:id="rId47" w:tgtFrame="_blank" w:history="1">
        <w:r>
          <w:rPr>
            <w:b/>
            <w:i/>
            <w:color w:val="0000FF"/>
            <w:sz w:val="28"/>
            <w:u w:val="single"/>
          </w:rPr>
          <w:t>Précurseurs de drogues</w:t>
        </w:r>
      </w:hyperlink>
    </w:p>
    <w:tbl>
      <w:tblPr>
        <w:tblStyle w:val="TableGrid14"/>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445258" w:rsidRPr="00C30BC0" w14:paraId="7E507868" w14:textId="77777777" w:rsidTr="002E7EFB">
        <w:tc>
          <w:tcPr>
            <w:tcW w:w="1148" w:type="pct"/>
          </w:tcPr>
          <w:p w14:paraId="3292FCF5" w14:textId="77777777" w:rsidR="00445258" w:rsidRPr="00C30BC0" w:rsidRDefault="00445258" w:rsidP="00445258">
            <w:pPr>
              <w:tabs>
                <w:tab w:val="center" w:pos="284"/>
              </w:tabs>
              <w:overflowPunct w:val="0"/>
              <w:autoSpaceDE w:val="0"/>
              <w:autoSpaceDN w:val="0"/>
              <w:adjustRightInd w:val="0"/>
              <w:ind w:left="266" w:hanging="266"/>
              <w:textAlignment w:val="baseline"/>
              <w:rPr>
                <w:b/>
                <w:sz w:val="22"/>
                <w:szCs w:val="22"/>
              </w:rPr>
            </w:pPr>
          </w:p>
          <w:p w14:paraId="4BFF03AB" w14:textId="77777777" w:rsidR="00445258" w:rsidRPr="00C30BC0" w:rsidRDefault="00445258" w:rsidP="00445258">
            <w:pPr>
              <w:tabs>
                <w:tab w:val="center" w:pos="284"/>
              </w:tabs>
              <w:overflowPunct w:val="0"/>
              <w:autoSpaceDE w:val="0"/>
              <w:autoSpaceDN w:val="0"/>
              <w:adjustRightInd w:val="0"/>
              <w:ind w:left="266" w:hanging="376"/>
              <w:textAlignment w:val="baseline"/>
              <w:rPr>
                <w:b/>
                <w:sz w:val="22"/>
                <w:szCs w:val="22"/>
              </w:rPr>
            </w:pPr>
            <w:r w:rsidRPr="00C30BC0">
              <w:rPr>
                <w:b/>
                <w:sz w:val="22"/>
                <w:szCs w:val="22"/>
              </w:rPr>
              <w:t>Rapporteur</w:t>
            </w:r>
          </w:p>
          <w:p w14:paraId="113C8799" w14:textId="77777777" w:rsidR="00445258" w:rsidRPr="00C30BC0" w:rsidRDefault="00445258" w:rsidP="00445258">
            <w:pPr>
              <w:tabs>
                <w:tab w:val="center" w:pos="284"/>
              </w:tabs>
              <w:overflowPunct w:val="0"/>
              <w:autoSpaceDE w:val="0"/>
              <w:autoSpaceDN w:val="0"/>
              <w:adjustRightInd w:val="0"/>
              <w:ind w:left="266" w:hanging="376"/>
              <w:textAlignment w:val="baseline"/>
              <w:rPr>
                <w:b/>
                <w:sz w:val="22"/>
                <w:szCs w:val="22"/>
              </w:rPr>
            </w:pPr>
          </w:p>
        </w:tc>
        <w:tc>
          <w:tcPr>
            <w:tcW w:w="3852" w:type="pct"/>
          </w:tcPr>
          <w:p w14:paraId="5A2AAF34" w14:textId="77777777" w:rsidR="00445258" w:rsidRPr="00C30BC0" w:rsidRDefault="00445258" w:rsidP="00445258">
            <w:pPr>
              <w:tabs>
                <w:tab w:val="center" w:pos="284"/>
              </w:tabs>
              <w:overflowPunct w:val="0"/>
              <w:autoSpaceDE w:val="0"/>
              <w:autoSpaceDN w:val="0"/>
              <w:adjustRightInd w:val="0"/>
              <w:ind w:left="266" w:hanging="266"/>
              <w:textAlignment w:val="baseline"/>
              <w:rPr>
                <w:sz w:val="22"/>
                <w:szCs w:val="22"/>
              </w:rPr>
            </w:pPr>
          </w:p>
          <w:p w14:paraId="329047B1" w14:textId="723B0F81" w:rsidR="00445258" w:rsidRPr="00C30BC0" w:rsidRDefault="00445258" w:rsidP="00445258">
            <w:pPr>
              <w:tabs>
                <w:tab w:val="center" w:pos="284"/>
              </w:tabs>
              <w:overflowPunct w:val="0"/>
              <w:autoSpaceDE w:val="0"/>
              <w:autoSpaceDN w:val="0"/>
              <w:adjustRightInd w:val="0"/>
              <w:ind w:left="266" w:hanging="266"/>
              <w:textAlignment w:val="baseline"/>
              <w:rPr>
                <w:sz w:val="22"/>
                <w:szCs w:val="22"/>
              </w:rPr>
            </w:pPr>
            <w:r w:rsidRPr="00C30BC0">
              <w:rPr>
                <w:sz w:val="22"/>
                <w:szCs w:val="22"/>
              </w:rPr>
              <w:t>Diego DUTTO (groupe des organisations de la société civile — Italie)</w:t>
            </w:r>
          </w:p>
          <w:p w14:paraId="641B170F" w14:textId="77777777" w:rsidR="00445258" w:rsidRPr="00C30BC0" w:rsidRDefault="00445258" w:rsidP="00445258">
            <w:pPr>
              <w:tabs>
                <w:tab w:val="center" w:pos="284"/>
              </w:tabs>
              <w:overflowPunct w:val="0"/>
              <w:autoSpaceDE w:val="0"/>
              <w:autoSpaceDN w:val="0"/>
              <w:adjustRightInd w:val="0"/>
              <w:ind w:left="266" w:hanging="266"/>
              <w:textAlignment w:val="baseline"/>
              <w:rPr>
                <w:sz w:val="22"/>
                <w:szCs w:val="22"/>
                <w:lang w:val="en-GB"/>
              </w:rPr>
            </w:pPr>
          </w:p>
        </w:tc>
      </w:tr>
      <w:tr w:rsidR="00445258" w:rsidRPr="00C30BC0" w14:paraId="2EFF6C25" w14:textId="77777777" w:rsidTr="002E7EFB">
        <w:tc>
          <w:tcPr>
            <w:tcW w:w="1148" w:type="pct"/>
            <w:vMerge w:val="restart"/>
          </w:tcPr>
          <w:p w14:paraId="70282570" w14:textId="77777777" w:rsidR="00445258" w:rsidRPr="00C30BC0" w:rsidRDefault="00445258" w:rsidP="00445258">
            <w:pPr>
              <w:tabs>
                <w:tab w:val="center" w:pos="284"/>
              </w:tabs>
              <w:overflowPunct w:val="0"/>
              <w:autoSpaceDE w:val="0"/>
              <w:autoSpaceDN w:val="0"/>
              <w:adjustRightInd w:val="0"/>
              <w:ind w:left="266" w:hanging="376"/>
              <w:textAlignment w:val="baseline"/>
              <w:rPr>
                <w:b/>
                <w:sz w:val="22"/>
                <w:szCs w:val="22"/>
              </w:rPr>
            </w:pPr>
            <w:r w:rsidRPr="00C30BC0">
              <w:rPr>
                <w:b/>
                <w:sz w:val="22"/>
                <w:szCs w:val="22"/>
              </w:rPr>
              <w:t>Références</w:t>
            </w:r>
          </w:p>
        </w:tc>
        <w:tc>
          <w:tcPr>
            <w:tcW w:w="3852" w:type="pct"/>
          </w:tcPr>
          <w:p w14:paraId="4F313D09" w14:textId="3A34F015" w:rsidR="00445258" w:rsidRPr="00C30BC0" w:rsidRDefault="00445258" w:rsidP="00445258">
            <w:pPr>
              <w:tabs>
                <w:tab w:val="center" w:pos="284"/>
              </w:tabs>
              <w:overflowPunct w:val="0"/>
              <w:autoSpaceDE w:val="0"/>
              <w:autoSpaceDN w:val="0"/>
              <w:adjustRightInd w:val="0"/>
              <w:ind w:left="266" w:hanging="266"/>
              <w:textAlignment w:val="baseline"/>
              <w:rPr>
                <w:sz w:val="22"/>
                <w:szCs w:val="22"/>
              </w:rPr>
            </w:pPr>
            <w:proofErr w:type="gramStart"/>
            <w:r w:rsidRPr="00C30BC0">
              <w:rPr>
                <w:sz w:val="22"/>
                <w:szCs w:val="22"/>
              </w:rPr>
              <w:t>COM(</w:t>
            </w:r>
            <w:proofErr w:type="gramEnd"/>
            <w:r w:rsidRPr="00C30BC0">
              <w:rPr>
                <w:sz w:val="22"/>
                <w:szCs w:val="22"/>
              </w:rPr>
              <w:t xml:space="preserve">2025) 747 final </w:t>
            </w:r>
          </w:p>
        </w:tc>
      </w:tr>
      <w:tr w:rsidR="00445258" w:rsidRPr="00C30BC0" w14:paraId="3DFEF38A" w14:textId="77777777" w:rsidTr="002E7EFB">
        <w:tc>
          <w:tcPr>
            <w:tcW w:w="1148" w:type="pct"/>
            <w:vMerge/>
          </w:tcPr>
          <w:p w14:paraId="17E4942C" w14:textId="77777777" w:rsidR="00445258" w:rsidRPr="00C30BC0" w:rsidRDefault="00445258" w:rsidP="00445258">
            <w:pPr>
              <w:tabs>
                <w:tab w:val="center" w:pos="284"/>
              </w:tabs>
              <w:overflowPunct w:val="0"/>
              <w:autoSpaceDE w:val="0"/>
              <w:autoSpaceDN w:val="0"/>
              <w:adjustRightInd w:val="0"/>
              <w:ind w:left="266" w:hanging="266"/>
              <w:textAlignment w:val="baseline"/>
              <w:rPr>
                <w:b/>
                <w:sz w:val="22"/>
                <w:szCs w:val="22"/>
              </w:rPr>
            </w:pPr>
          </w:p>
        </w:tc>
        <w:tc>
          <w:tcPr>
            <w:tcW w:w="3852" w:type="pct"/>
          </w:tcPr>
          <w:p w14:paraId="37150F76" w14:textId="77777777" w:rsidR="00445258" w:rsidRPr="00C30BC0" w:rsidRDefault="00445258" w:rsidP="00445258">
            <w:pPr>
              <w:tabs>
                <w:tab w:val="center" w:pos="284"/>
              </w:tabs>
              <w:overflowPunct w:val="0"/>
              <w:autoSpaceDE w:val="0"/>
              <w:autoSpaceDN w:val="0"/>
              <w:adjustRightInd w:val="0"/>
              <w:ind w:left="266" w:hanging="266"/>
              <w:textAlignment w:val="baseline"/>
              <w:rPr>
                <w:sz w:val="22"/>
                <w:szCs w:val="22"/>
              </w:rPr>
            </w:pPr>
            <w:r w:rsidRPr="00C30BC0">
              <w:rPr>
                <w:sz w:val="22"/>
                <w:szCs w:val="22"/>
              </w:rPr>
              <w:t>EESC-2025-04277-00-00-AC</w:t>
            </w:r>
          </w:p>
        </w:tc>
      </w:tr>
    </w:tbl>
    <w:p w14:paraId="78D1CE85"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p>
    <w:p w14:paraId="23ECB8E8"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rPr>
      </w:pPr>
      <w:r>
        <w:rPr>
          <w:b/>
        </w:rPr>
        <w:t>Points clés</w:t>
      </w:r>
    </w:p>
    <w:p w14:paraId="4B7E6809"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p>
    <w:p w14:paraId="4B69ED3F" w14:textId="77777777" w:rsidR="00445258" w:rsidRPr="00445258" w:rsidRDefault="00445258" w:rsidP="00445258">
      <w:pPr>
        <w:overflowPunct w:val="0"/>
        <w:autoSpaceDE w:val="0"/>
        <w:autoSpaceDN w:val="0"/>
        <w:adjustRightInd w:val="0"/>
        <w:textAlignment w:val="baseline"/>
        <w:rPr>
          <w:bCs/>
          <w:iCs/>
        </w:rPr>
      </w:pPr>
      <w:r>
        <w:t xml:space="preserve">Le CESE </w:t>
      </w:r>
      <w:proofErr w:type="gramStart"/>
      <w:r>
        <w:t>recommande:</w:t>
      </w:r>
      <w:proofErr w:type="gramEnd"/>
    </w:p>
    <w:p w14:paraId="39BF6AC5" w14:textId="77777777" w:rsidR="00445258" w:rsidRPr="00445258" w:rsidRDefault="00445258" w:rsidP="00445258">
      <w:pPr>
        <w:overflowPunct w:val="0"/>
        <w:autoSpaceDE w:val="0"/>
        <w:autoSpaceDN w:val="0"/>
        <w:adjustRightInd w:val="0"/>
        <w:textAlignment w:val="baseline"/>
        <w:rPr>
          <w:bCs/>
          <w:iCs/>
          <w:lang w:val="en-GB"/>
        </w:rPr>
      </w:pPr>
    </w:p>
    <w:p w14:paraId="7F6FDC15" w14:textId="77777777" w:rsidR="00445258" w:rsidRPr="00445258" w:rsidRDefault="00445258" w:rsidP="00C30BC0">
      <w:pPr>
        <w:widowControl w:val="0"/>
        <w:numPr>
          <w:ilvl w:val="0"/>
          <w:numId w:val="40"/>
        </w:numPr>
        <w:overflowPunct w:val="0"/>
        <w:autoSpaceDE w:val="0"/>
        <w:autoSpaceDN w:val="0"/>
        <w:adjustRightInd w:val="0"/>
        <w:spacing w:line="276" w:lineRule="auto"/>
        <w:ind w:left="567" w:hanging="567"/>
        <w:textAlignment w:val="baseline"/>
        <w:rPr>
          <w:szCs w:val="20"/>
        </w:rPr>
      </w:pPr>
      <w:proofErr w:type="gramStart"/>
      <w:r>
        <w:t>de</w:t>
      </w:r>
      <w:proofErr w:type="gramEnd"/>
      <w:r>
        <w:t xml:space="preserve"> veiller à ce que l’accès au</w:t>
      </w:r>
      <w:proofErr w:type="gramStart"/>
      <w:r>
        <w:t xml:space="preserve"> «répertoire</w:t>
      </w:r>
      <w:proofErr w:type="gramEnd"/>
      <w:r>
        <w:t xml:space="preserve"> d’informations sur les précurseurs de </w:t>
      </w:r>
      <w:proofErr w:type="gramStart"/>
      <w:r>
        <w:t>drogues»</w:t>
      </w:r>
      <w:proofErr w:type="gramEnd"/>
      <w:r>
        <w:t xml:space="preserve"> soit entièrement </w:t>
      </w:r>
      <w:proofErr w:type="gramStart"/>
      <w:r>
        <w:t>gratuit;</w:t>
      </w:r>
      <w:proofErr w:type="gramEnd"/>
    </w:p>
    <w:p w14:paraId="015B0DA4" w14:textId="77777777" w:rsidR="00445258" w:rsidRPr="00445258" w:rsidRDefault="00445258" w:rsidP="00C30BC0">
      <w:pPr>
        <w:widowControl w:val="0"/>
        <w:numPr>
          <w:ilvl w:val="0"/>
          <w:numId w:val="40"/>
        </w:numPr>
        <w:overflowPunct w:val="0"/>
        <w:autoSpaceDE w:val="0"/>
        <w:autoSpaceDN w:val="0"/>
        <w:adjustRightInd w:val="0"/>
        <w:spacing w:line="276" w:lineRule="auto"/>
        <w:ind w:left="567" w:hanging="567"/>
        <w:textAlignment w:val="baseline"/>
        <w:rPr>
          <w:szCs w:val="20"/>
        </w:rPr>
      </w:pPr>
      <w:proofErr w:type="gramStart"/>
      <w:r>
        <w:t>de</w:t>
      </w:r>
      <w:proofErr w:type="gramEnd"/>
      <w:r>
        <w:t xml:space="preserve"> prévoir des exemptions totales ou des réductions importantes des droits de délivrance des agréments pour les universités, les instituts de recherche et les organisations </w:t>
      </w:r>
      <w:proofErr w:type="gramStart"/>
      <w:r>
        <w:t>philanthropiques;</w:t>
      </w:r>
      <w:proofErr w:type="gramEnd"/>
    </w:p>
    <w:p w14:paraId="1D26F15F" w14:textId="77777777" w:rsidR="00445258" w:rsidRPr="00445258" w:rsidRDefault="00445258" w:rsidP="00C30BC0">
      <w:pPr>
        <w:widowControl w:val="0"/>
        <w:numPr>
          <w:ilvl w:val="0"/>
          <w:numId w:val="40"/>
        </w:numPr>
        <w:overflowPunct w:val="0"/>
        <w:autoSpaceDE w:val="0"/>
        <w:autoSpaceDN w:val="0"/>
        <w:adjustRightInd w:val="0"/>
        <w:spacing w:line="276" w:lineRule="auto"/>
        <w:ind w:left="567" w:hanging="567"/>
        <w:textAlignment w:val="baseline"/>
        <w:rPr>
          <w:szCs w:val="20"/>
        </w:rPr>
      </w:pPr>
      <w:proofErr w:type="gramStart"/>
      <w:r>
        <w:t>de</w:t>
      </w:r>
      <w:proofErr w:type="gramEnd"/>
      <w:r>
        <w:t xml:space="preserve"> rationaliser les procédures de notification préalable pour l’utilisation de petites quantités de précurseurs</w:t>
      </w:r>
      <w:proofErr w:type="gramStart"/>
      <w:r>
        <w:t xml:space="preserve"> «sur</w:t>
      </w:r>
      <w:proofErr w:type="gramEnd"/>
      <w:r>
        <w:t xml:space="preserve"> </w:t>
      </w:r>
      <w:proofErr w:type="gramStart"/>
      <w:r>
        <w:t>mesure»</w:t>
      </w:r>
      <w:proofErr w:type="gramEnd"/>
      <w:r>
        <w:t>;</w:t>
      </w:r>
    </w:p>
    <w:p w14:paraId="7A06841B" w14:textId="77777777" w:rsidR="00445258" w:rsidRPr="00445258" w:rsidRDefault="00445258" w:rsidP="00C30BC0">
      <w:pPr>
        <w:widowControl w:val="0"/>
        <w:numPr>
          <w:ilvl w:val="0"/>
          <w:numId w:val="40"/>
        </w:numPr>
        <w:overflowPunct w:val="0"/>
        <w:autoSpaceDE w:val="0"/>
        <w:autoSpaceDN w:val="0"/>
        <w:adjustRightInd w:val="0"/>
        <w:spacing w:line="276" w:lineRule="auto"/>
        <w:ind w:left="567" w:hanging="567"/>
        <w:textAlignment w:val="baseline"/>
        <w:rPr>
          <w:szCs w:val="20"/>
        </w:rPr>
      </w:pPr>
      <w:proofErr w:type="gramStart"/>
      <w:r>
        <w:t>de</w:t>
      </w:r>
      <w:proofErr w:type="gramEnd"/>
      <w:r>
        <w:t xml:space="preserve"> mettre en place un canal d’orientation technique spécifique pour toutes les parties prenantes, y compris les organisations du tiers secteur, avec une clarification rapide de la classification des variantes de </w:t>
      </w:r>
      <w:proofErr w:type="gramStart"/>
      <w:r>
        <w:t>substances;</w:t>
      </w:r>
      <w:proofErr w:type="gramEnd"/>
    </w:p>
    <w:p w14:paraId="6706E6CC" w14:textId="77777777" w:rsidR="00445258" w:rsidRPr="00445258" w:rsidRDefault="00445258" w:rsidP="00C30BC0">
      <w:pPr>
        <w:widowControl w:val="0"/>
        <w:numPr>
          <w:ilvl w:val="0"/>
          <w:numId w:val="40"/>
        </w:numPr>
        <w:overflowPunct w:val="0"/>
        <w:autoSpaceDE w:val="0"/>
        <w:autoSpaceDN w:val="0"/>
        <w:adjustRightInd w:val="0"/>
        <w:spacing w:line="276" w:lineRule="auto"/>
        <w:ind w:left="567" w:hanging="567"/>
        <w:textAlignment w:val="baseline"/>
        <w:rPr>
          <w:szCs w:val="20"/>
        </w:rPr>
      </w:pPr>
      <w:proofErr w:type="gramStart"/>
      <w:r>
        <w:t>d’éviter</w:t>
      </w:r>
      <w:proofErr w:type="gramEnd"/>
      <w:r>
        <w:t xml:space="preserve"> toute incertitude juridique pour les laboratoires de recherche qui serait causée par l’inclusion générique de groupes de substances dans la catégorie 3, en publiant en temps utile des listes d’exemptions claires et </w:t>
      </w:r>
      <w:proofErr w:type="gramStart"/>
      <w:r>
        <w:t>exhaustives;</w:t>
      </w:r>
      <w:proofErr w:type="gramEnd"/>
    </w:p>
    <w:p w14:paraId="0ED10065" w14:textId="77777777" w:rsidR="00445258" w:rsidRPr="00445258" w:rsidRDefault="00445258" w:rsidP="00C30BC0">
      <w:pPr>
        <w:widowControl w:val="0"/>
        <w:numPr>
          <w:ilvl w:val="0"/>
          <w:numId w:val="40"/>
        </w:numPr>
        <w:overflowPunct w:val="0"/>
        <w:autoSpaceDE w:val="0"/>
        <w:autoSpaceDN w:val="0"/>
        <w:adjustRightInd w:val="0"/>
        <w:spacing w:line="276" w:lineRule="auto"/>
        <w:ind w:left="567" w:hanging="567"/>
        <w:textAlignment w:val="baseline"/>
        <w:rPr>
          <w:szCs w:val="20"/>
        </w:rPr>
      </w:pPr>
      <w:proofErr w:type="gramStart"/>
      <w:r>
        <w:t>d’associer</w:t>
      </w:r>
      <w:proofErr w:type="gramEnd"/>
      <w:r>
        <w:t xml:space="preserve"> aux activités de sensibilisation et de formation les organisations de la société civile spécialisées dans la prévention de la dépendance et la réduction des </w:t>
      </w:r>
      <w:proofErr w:type="gramStart"/>
      <w:r>
        <w:t>risques;</w:t>
      </w:r>
      <w:proofErr w:type="gramEnd"/>
      <w:r>
        <w:t xml:space="preserve"> </w:t>
      </w:r>
    </w:p>
    <w:p w14:paraId="0308E5D5" w14:textId="77777777" w:rsidR="00445258" w:rsidRPr="00445258" w:rsidRDefault="00445258" w:rsidP="00C30BC0">
      <w:pPr>
        <w:widowControl w:val="0"/>
        <w:numPr>
          <w:ilvl w:val="0"/>
          <w:numId w:val="40"/>
        </w:numPr>
        <w:overflowPunct w:val="0"/>
        <w:autoSpaceDE w:val="0"/>
        <w:autoSpaceDN w:val="0"/>
        <w:adjustRightInd w:val="0"/>
        <w:spacing w:line="276" w:lineRule="auto"/>
        <w:ind w:left="567" w:hanging="567"/>
        <w:textAlignment w:val="baseline"/>
        <w:rPr>
          <w:szCs w:val="20"/>
        </w:rPr>
      </w:pPr>
      <w:proofErr w:type="gramStart"/>
      <w:r>
        <w:t>d’appliquer</w:t>
      </w:r>
      <w:proofErr w:type="gramEnd"/>
      <w:r>
        <w:t xml:space="preserve"> avec souplesse, pour les petites organisations civiles, l’obligation de nommer une</w:t>
      </w:r>
      <w:proofErr w:type="gramStart"/>
      <w:r>
        <w:t xml:space="preserve"> «personne</w:t>
      </w:r>
      <w:proofErr w:type="gramEnd"/>
      <w:r>
        <w:t xml:space="preserve"> </w:t>
      </w:r>
      <w:proofErr w:type="gramStart"/>
      <w:r>
        <w:t>responsable»</w:t>
      </w:r>
      <w:proofErr w:type="gramEnd"/>
      <w:r>
        <w:t xml:space="preserve">, en autorisant la désignation d’un membre existant du personnel </w:t>
      </w:r>
      <w:proofErr w:type="gramStart"/>
      <w:r>
        <w:t>interne;</w:t>
      </w:r>
      <w:proofErr w:type="gramEnd"/>
    </w:p>
    <w:p w14:paraId="0765C645" w14:textId="77777777" w:rsidR="00445258" w:rsidRPr="00445258" w:rsidRDefault="00445258" w:rsidP="00C30BC0">
      <w:pPr>
        <w:widowControl w:val="0"/>
        <w:numPr>
          <w:ilvl w:val="0"/>
          <w:numId w:val="40"/>
        </w:numPr>
        <w:overflowPunct w:val="0"/>
        <w:autoSpaceDE w:val="0"/>
        <w:autoSpaceDN w:val="0"/>
        <w:adjustRightInd w:val="0"/>
        <w:spacing w:line="276" w:lineRule="auto"/>
        <w:ind w:left="567" w:hanging="567"/>
        <w:textAlignment w:val="baseline"/>
        <w:rPr>
          <w:szCs w:val="20"/>
        </w:rPr>
      </w:pPr>
      <w:proofErr w:type="gramStart"/>
      <w:r>
        <w:t>de</w:t>
      </w:r>
      <w:proofErr w:type="gramEnd"/>
      <w:r>
        <w:t xml:space="preserve"> parachever une réglementation homogène au sein de l’Union, Ce qui aidera les autorités à opérer un suivi du commerce des substances et de leur utilisation dans la recherche partout en </w:t>
      </w:r>
      <w:proofErr w:type="gramStart"/>
      <w:r>
        <w:t>Europe;</w:t>
      </w:r>
      <w:proofErr w:type="gramEnd"/>
      <w:r>
        <w:t xml:space="preserve"> </w:t>
      </w:r>
    </w:p>
    <w:p w14:paraId="6673E6C9" w14:textId="77777777" w:rsidR="00445258" w:rsidRPr="00445258" w:rsidRDefault="00445258" w:rsidP="0012608E">
      <w:pPr>
        <w:keepNext/>
        <w:widowControl w:val="0"/>
        <w:numPr>
          <w:ilvl w:val="0"/>
          <w:numId w:val="40"/>
        </w:numPr>
        <w:overflowPunct w:val="0"/>
        <w:autoSpaceDE w:val="0"/>
        <w:autoSpaceDN w:val="0"/>
        <w:adjustRightInd w:val="0"/>
        <w:spacing w:line="276" w:lineRule="auto"/>
        <w:ind w:left="567" w:hanging="567"/>
        <w:textAlignment w:val="baseline"/>
        <w:rPr>
          <w:szCs w:val="20"/>
        </w:rPr>
      </w:pPr>
      <w:proofErr w:type="gramStart"/>
      <w:r>
        <w:lastRenderedPageBreak/>
        <w:t>de</w:t>
      </w:r>
      <w:proofErr w:type="gramEnd"/>
      <w:r>
        <w:t xml:space="preserve"> protéger l’autonomie des chercheurs utilisant des précurseurs de catégorie 3 en veillant à ce que les contrôles par les autorités compétentes soient fondés sur les risques et n’interfèrent pas avec la confidentialité ou l’intégrité des protocoles de recherche </w:t>
      </w:r>
      <w:proofErr w:type="gramStart"/>
      <w:r>
        <w:t>scientifique;</w:t>
      </w:r>
      <w:proofErr w:type="gramEnd"/>
    </w:p>
    <w:p w14:paraId="78586535" w14:textId="77777777" w:rsidR="00445258" w:rsidRPr="00445258" w:rsidRDefault="00445258" w:rsidP="0012608E">
      <w:pPr>
        <w:keepNext/>
        <w:widowControl w:val="0"/>
        <w:overflowPunct w:val="0"/>
        <w:autoSpaceDE w:val="0"/>
        <w:autoSpaceDN w:val="0"/>
        <w:adjustRightInd w:val="0"/>
        <w:ind w:left="567"/>
        <w:textAlignment w:val="baseline"/>
        <w:rPr>
          <w:szCs w:val="20"/>
          <w:lang w:val="en-GB"/>
        </w:rPr>
      </w:pPr>
    </w:p>
    <w:tbl>
      <w:tblPr>
        <w:tblStyle w:val="TableGrid14"/>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445258" w:rsidRPr="00B3204A" w14:paraId="34E47DF7" w14:textId="77777777" w:rsidTr="002E7EFB">
        <w:tc>
          <w:tcPr>
            <w:tcW w:w="1556" w:type="pct"/>
          </w:tcPr>
          <w:p w14:paraId="722F8981" w14:textId="77777777" w:rsidR="00445258" w:rsidRPr="00B3204A" w:rsidRDefault="00445258" w:rsidP="0012608E">
            <w:pPr>
              <w:keepNext/>
              <w:overflowPunct w:val="0"/>
              <w:autoSpaceDE w:val="0"/>
              <w:autoSpaceDN w:val="0"/>
              <w:adjustRightInd w:val="0"/>
              <w:spacing w:line="240" w:lineRule="auto"/>
              <w:textAlignment w:val="baseline"/>
              <w:rPr>
                <w:i/>
                <w:sz w:val="22"/>
                <w:szCs w:val="22"/>
              </w:rPr>
            </w:pPr>
            <w:r w:rsidRPr="00B3204A">
              <w:rPr>
                <w:b/>
                <w:i/>
                <w:sz w:val="22"/>
                <w:szCs w:val="22"/>
              </w:rPr>
              <w:t>Contact</w:t>
            </w:r>
          </w:p>
        </w:tc>
        <w:tc>
          <w:tcPr>
            <w:tcW w:w="3444" w:type="pct"/>
          </w:tcPr>
          <w:p w14:paraId="24BAFF65" w14:textId="77777777" w:rsidR="00445258" w:rsidRPr="00B3204A" w:rsidRDefault="00445258" w:rsidP="0012608E">
            <w:pPr>
              <w:keepNext/>
              <w:overflowPunct w:val="0"/>
              <w:autoSpaceDE w:val="0"/>
              <w:autoSpaceDN w:val="0"/>
              <w:adjustRightInd w:val="0"/>
              <w:spacing w:line="240" w:lineRule="auto"/>
              <w:textAlignment w:val="baseline"/>
              <w:rPr>
                <w:i/>
                <w:sz w:val="22"/>
                <w:szCs w:val="22"/>
              </w:rPr>
            </w:pPr>
            <w:r w:rsidRPr="00B3204A">
              <w:rPr>
                <w:i/>
                <w:sz w:val="22"/>
                <w:szCs w:val="22"/>
              </w:rPr>
              <w:t>Radoslava Stefankova</w:t>
            </w:r>
          </w:p>
        </w:tc>
      </w:tr>
      <w:tr w:rsidR="00445258" w:rsidRPr="00B3204A" w14:paraId="12D23E6C" w14:textId="77777777" w:rsidTr="002E7EFB">
        <w:tc>
          <w:tcPr>
            <w:tcW w:w="1556" w:type="pct"/>
          </w:tcPr>
          <w:p w14:paraId="3CC13004" w14:textId="77777777" w:rsidR="00445258" w:rsidRPr="00B3204A" w:rsidRDefault="00445258" w:rsidP="0012608E">
            <w:pPr>
              <w:keepNext/>
              <w:overflowPunct w:val="0"/>
              <w:autoSpaceDE w:val="0"/>
              <w:autoSpaceDN w:val="0"/>
              <w:adjustRightInd w:val="0"/>
              <w:spacing w:line="240" w:lineRule="auto"/>
              <w:ind w:left="567"/>
              <w:textAlignment w:val="baseline"/>
              <w:rPr>
                <w:i/>
                <w:sz w:val="22"/>
                <w:szCs w:val="22"/>
              </w:rPr>
            </w:pPr>
            <w:r w:rsidRPr="00B3204A">
              <w:rPr>
                <w:i/>
                <w:sz w:val="22"/>
                <w:szCs w:val="22"/>
              </w:rPr>
              <w:t>Tél.</w:t>
            </w:r>
          </w:p>
        </w:tc>
        <w:tc>
          <w:tcPr>
            <w:tcW w:w="3444" w:type="pct"/>
          </w:tcPr>
          <w:p w14:paraId="5A5BE7A3" w14:textId="77777777" w:rsidR="00445258" w:rsidRPr="00B3204A" w:rsidRDefault="00445258" w:rsidP="0012608E">
            <w:pPr>
              <w:keepNext/>
              <w:overflowPunct w:val="0"/>
              <w:autoSpaceDE w:val="0"/>
              <w:autoSpaceDN w:val="0"/>
              <w:adjustRightInd w:val="0"/>
              <w:spacing w:line="240" w:lineRule="auto"/>
              <w:textAlignment w:val="baseline"/>
              <w:rPr>
                <w:i/>
                <w:sz w:val="22"/>
                <w:szCs w:val="22"/>
              </w:rPr>
            </w:pPr>
            <w:r w:rsidRPr="00B3204A">
              <w:rPr>
                <w:i/>
                <w:sz w:val="22"/>
                <w:szCs w:val="22"/>
              </w:rPr>
              <w:t>+32 2 546 8188</w:t>
            </w:r>
          </w:p>
        </w:tc>
      </w:tr>
      <w:tr w:rsidR="00445258" w:rsidRPr="00B3204A" w14:paraId="751CD754" w14:textId="77777777" w:rsidTr="002E7EFB">
        <w:tc>
          <w:tcPr>
            <w:tcW w:w="1556" w:type="pct"/>
          </w:tcPr>
          <w:p w14:paraId="26B15F6C" w14:textId="299FB3B9" w:rsidR="00445258" w:rsidRPr="00B3204A" w:rsidRDefault="00070ED2" w:rsidP="00634494">
            <w:pPr>
              <w:overflowPunct w:val="0"/>
              <w:autoSpaceDE w:val="0"/>
              <w:autoSpaceDN w:val="0"/>
              <w:adjustRightInd w:val="0"/>
              <w:spacing w:line="240" w:lineRule="auto"/>
              <w:ind w:left="567"/>
              <w:textAlignment w:val="baseline"/>
              <w:rPr>
                <w:i/>
                <w:sz w:val="22"/>
                <w:szCs w:val="22"/>
              </w:rPr>
            </w:pPr>
            <w:r w:rsidRPr="00B3204A">
              <w:rPr>
                <w:i/>
                <w:sz w:val="22"/>
                <w:szCs w:val="22"/>
              </w:rPr>
              <w:t>Courriel</w:t>
            </w:r>
          </w:p>
        </w:tc>
        <w:tc>
          <w:tcPr>
            <w:tcW w:w="3444" w:type="pct"/>
          </w:tcPr>
          <w:p w14:paraId="7DA66FD2" w14:textId="54AE7FCF" w:rsidR="00445258" w:rsidRPr="00B3204A" w:rsidRDefault="00E44636" w:rsidP="00445258">
            <w:pPr>
              <w:overflowPunct w:val="0"/>
              <w:autoSpaceDE w:val="0"/>
              <w:autoSpaceDN w:val="0"/>
              <w:adjustRightInd w:val="0"/>
              <w:spacing w:line="240" w:lineRule="auto"/>
              <w:textAlignment w:val="baseline"/>
              <w:rPr>
                <w:i/>
                <w:iCs/>
                <w:sz w:val="22"/>
                <w:szCs w:val="22"/>
              </w:rPr>
            </w:pPr>
            <w:hyperlink r:id="rId48" w:history="1">
              <w:r w:rsidRPr="00B3204A">
                <w:rPr>
                  <w:i/>
                  <w:color w:val="0000FF"/>
                  <w:sz w:val="22"/>
                  <w:szCs w:val="22"/>
                  <w:u w:val="single"/>
                </w:rPr>
                <w:t>Radoslava.Stefankova@eesc.europa.eu</w:t>
              </w:r>
            </w:hyperlink>
          </w:p>
        </w:tc>
      </w:tr>
    </w:tbl>
    <w:p w14:paraId="2314B8E6" w14:textId="45059B39" w:rsidR="00445258" w:rsidRDefault="00445258" w:rsidP="001766B2">
      <w:pPr>
        <w:pStyle w:val="ListParagraph"/>
        <w:ind w:left="0"/>
      </w:pPr>
    </w:p>
    <w:p w14:paraId="6BC63409" w14:textId="0FFF5E3F" w:rsidR="00DE758A" w:rsidRPr="00DE758A" w:rsidRDefault="00DE758A" w:rsidP="00DE758A">
      <w:pPr>
        <w:widowControl w:val="0"/>
        <w:numPr>
          <w:ilvl w:val="0"/>
          <w:numId w:val="4"/>
        </w:numPr>
        <w:overflowPunct w:val="0"/>
        <w:autoSpaceDE w:val="0"/>
        <w:autoSpaceDN w:val="0"/>
        <w:adjustRightInd w:val="0"/>
        <w:ind w:hanging="567"/>
        <w:textAlignment w:val="baseline"/>
        <w:rPr>
          <w:b/>
          <w:bCs/>
          <w:i/>
          <w:iCs/>
          <w:color w:val="0000FF"/>
          <w:sz w:val="28"/>
          <w:szCs w:val="28"/>
          <w:u w:val="single"/>
        </w:rPr>
      </w:pPr>
      <w:hyperlink r:id="rId49" w:history="1">
        <w:r>
          <w:rPr>
            <w:b/>
            <w:i/>
            <w:color w:val="0000FF"/>
            <w:sz w:val="28"/>
            <w:u w:val="single"/>
          </w:rPr>
          <w:t>Simplification des règles relatives aux dispositifs médicaux et aux dispositifs de diagnostic in vitro</w:t>
        </w:r>
      </w:hyperlink>
    </w:p>
    <w:p w14:paraId="2DC72C04" w14:textId="77777777" w:rsidR="00DE758A" w:rsidRPr="00C30BC0" w:rsidRDefault="00DE758A" w:rsidP="00DE758A">
      <w:pPr>
        <w:tabs>
          <w:tab w:val="center" w:pos="284"/>
        </w:tabs>
        <w:overflowPunct w:val="0"/>
        <w:autoSpaceDE w:val="0"/>
        <w:autoSpaceDN w:val="0"/>
        <w:adjustRightInd w:val="0"/>
        <w:ind w:left="266" w:hanging="266"/>
        <w:textAlignment w:val="baseline"/>
        <w:rPr>
          <w:b/>
        </w:rPr>
      </w:pPr>
    </w:p>
    <w:tbl>
      <w:tblPr>
        <w:tblStyle w:val="TableGrid15"/>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7145"/>
      </w:tblGrid>
      <w:tr w:rsidR="00DE758A" w:rsidRPr="00C30BC0" w14:paraId="6B8DC8E9" w14:textId="77777777" w:rsidTr="00B3204A">
        <w:trPr>
          <w:trHeight w:val="406"/>
        </w:trPr>
        <w:tc>
          <w:tcPr>
            <w:tcW w:w="1108" w:type="pct"/>
          </w:tcPr>
          <w:p w14:paraId="4CF05AE9" w14:textId="77777777" w:rsidR="00DE758A" w:rsidRPr="00C30BC0" w:rsidRDefault="00DE758A" w:rsidP="00DE758A">
            <w:pPr>
              <w:tabs>
                <w:tab w:val="center" w:pos="284"/>
              </w:tabs>
              <w:overflowPunct w:val="0"/>
              <w:autoSpaceDE w:val="0"/>
              <w:autoSpaceDN w:val="0"/>
              <w:adjustRightInd w:val="0"/>
              <w:ind w:left="266" w:hanging="266"/>
              <w:textAlignment w:val="baseline"/>
              <w:rPr>
                <w:b/>
                <w:sz w:val="22"/>
                <w:szCs w:val="22"/>
              </w:rPr>
            </w:pPr>
            <w:r w:rsidRPr="00C30BC0">
              <w:rPr>
                <w:b/>
                <w:sz w:val="22"/>
                <w:szCs w:val="22"/>
              </w:rPr>
              <w:t>Rapporteur</w:t>
            </w:r>
          </w:p>
          <w:p w14:paraId="3BDC8518" w14:textId="77777777" w:rsidR="00DE758A" w:rsidRPr="00C30BC0" w:rsidRDefault="00DE758A" w:rsidP="00DE758A">
            <w:pPr>
              <w:tabs>
                <w:tab w:val="center" w:pos="284"/>
              </w:tabs>
              <w:overflowPunct w:val="0"/>
              <w:autoSpaceDE w:val="0"/>
              <w:autoSpaceDN w:val="0"/>
              <w:adjustRightInd w:val="0"/>
              <w:ind w:left="266" w:hanging="266"/>
              <w:textAlignment w:val="baseline"/>
              <w:rPr>
                <w:b/>
                <w:sz w:val="22"/>
                <w:szCs w:val="22"/>
              </w:rPr>
            </w:pPr>
          </w:p>
        </w:tc>
        <w:tc>
          <w:tcPr>
            <w:tcW w:w="3892" w:type="pct"/>
          </w:tcPr>
          <w:p w14:paraId="15EACB81" w14:textId="174540E6" w:rsidR="00DE758A" w:rsidRPr="00C30BC0" w:rsidRDefault="00DE758A" w:rsidP="00B3204A">
            <w:pPr>
              <w:overflowPunct w:val="0"/>
              <w:autoSpaceDE w:val="0"/>
              <w:autoSpaceDN w:val="0"/>
              <w:adjustRightInd w:val="0"/>
              <w:textAlignment w:val="baseline"/>
              <w:rPr>
                <w:sz w:val="22"/>
                <w:szCs w:val="22"/>
              </w:rPr>
            </w:pPr>
            <w:r w:rsidRPr="00C30BC0">
              <w:rPr>
                <w:sz w:val="22"/>
                <w:szCs w:val="22"/>
              </w:rPr>
              <w:t>Danko RELIĆ (groupe des organisations de la société civile — Croatie)</w:t>
            </w:r>
          </w:p>
        </w:tc>
      </w:tr>
      <w:tr w:rsidR="00DE758A" w:rsidRPr="00C30BC0" w14:paraId="32202284" w14:textId="77777777" w:rsidTr="00B3204A">
        <w:tc>
          <w:tcPr>
            <w:tcW w:w="1108" w:type="pct"/>
          </w:tcPr>
          <w:p w14:paraId="39618390" w14:textId="77777777" w:rsidR="00DE758A" w:rsidRPr="00C30BC0" w:rsidRDefault="00DE758A" w:rsidP="00DE758A">
            <w:pPr>
              <w:tabs>
                <w:tab w:val="center" w:pos="284"/>
              </w:tabs>
              <w:overflowPunct w:val="0"/>
              <w:autoSpaceDE w:val="0"/>
              <w:autoSpaceDN w:val="0"/>
              <w:adjustRightInd w:val="0"/>
              <w:ind w:left="266" w:hanging="266"/>
              <w:textAlignment w:val="baseline"/>
              <w:rPr>
                <w:b/>
                <w:sz w:val="22"/>
                <w:szCs w:val="22"/>
              </w:rPr>
            </w:pPr>
            <w:r w:rsidRPr="00C30BC0">
              <w:rPr>
                <w:b/>
                <w:sz w:val="22"/>
                <w:szCs w:val="22"/>
              </w:rPr>
              <w:t>Références</w:t>
            </w:r>
          </w:p>
        </w:tc>
        <w:tc>
          <w:tcPr>
            <w:tcW w:w="3892" w:type="pct"/>
          </w:tcPr>
          <w:p w14:paraId="6D00FAF5" w14:textId="56D763D6" w:rsidR="00DE758A" w:rsidRPr="00C30BC0" w:rsidRDefault="00DE758A" w:rsidP="00DE758A">
            <w:pPr>
              <w:tabs>
                <w:tab w:val="center" w:pos="284"/>
              </w:tabs>
              <w:overflowPunct w:val="0"/>
              <w:autoSpaceDE w:val="0"/>
              <w:autoSpaceDN w:val="0"/>
              <w:adjustRightInd w:val="0"/>
              <w:ind w:left="266" w:hanging="266"/>
              <w:textAlignment w:val="baseline"/>
              <w:rPr>
                <w:sz w:val="22"/>
                <w:szCs w:val="22"/>
              </w:rPr>
            </w:pPr>
            <w:proofErr w:type="gramStart"/>
            <w:r w:rsidRPr="00C30BC0">
              <w:rPr>
                <w:sz w:val="22"/>
                <w:szCs w:val="22"/>
              </w:rPr>
              <w:t>COM(</w:t>
            </w:r>
            <w:proofErr w:type="gramEnd"/>
            <w:r w:rsidRPr="00C30BC0">
              <w:rPr>
                <w:sz w:val="22"/>
                <w:szCs w:val="22"/>
              </w:rPr>
              <w:t xml:space="preserve">2025) 1023 final </w:t>
            </w:r>
          </w:p>
          <w:p w14:paraId="59A88C6D" w14:textId="77777777" w:rsidR="00DE758A" w:rsidRPr="00C30BC0" w:rsidRDefault="00DE758A" w:rsidP="00DE758A">
            <w:pPr>
              <w:tabs>
                <w:tab w:val="center" w:pos="284"/>
              </w:tabs>
              <w:overflowPunct w:val="0"/>
              <w:autoSpaceDE w:val="0"/>
              <w:autoSpaceDN w:val="0"/>
              <w:adjustRightInd w:val="0"/>
              <w:ind w:left="266" w:hanging="266"/>
              <w:textAlignment w:val="baseline"/>
              <w:rPr>
                <w:sz w:val="22"/>
                <w:szCs w:val="22"/>
              </w:rPr>
            </w:pPr>
            <w:r w:rsidRPr="00C30BC0">
              <w:rPr>
                <w:sz w:val="22"/>
                <w:szCs w:val="22"/>
              </w:rPr>
              <w:t>EESC-2025-04298-00-00-AC</w:t>
            </w:r>
          </w:p>
        </w:tc>
      </w:tr>
    </w:tbl>
    <w:p w14:paraId="15D8F188"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lang w:val="pt-PT"/>
        </w:rPr>
      </w:pPr>
    </w:p>
    <w:p w14:paraId="3EB69E23"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rPr>
      </w:pPr>
      <w:r>
        <w:rPr>
          <w:b/>
        </w:rPr>
        <w:t>Points clés</w:t>
      </w:r>
    </w:p>
    <w:p w14:paraId="7EDD733C"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Cs/>
          <w:lang w:val="en-GB"/>
        </w:rPr>
      </w:pPr>
    </w:p>
    <w:p w14:paraId="109AD2CA" w14:textId="77777777" w:rsidR="00DE758A" w:rsidRPr="00DE758A" w:rsidRDefault="00DE758A" w:rsidP="00DE758A">
      <w:pPr>
        <w:overflowPunct w:val="0"/>
        <w:autoSpaceDE w:val="0"/>
        <w:autoSpaceDN w:val="0"/>
        <w:adjustRightInd w:val="0"/>
        <w:textAlignment w:val="baseline"/>
        <w:rPr>
          <w:bCs/>
          <w:iCs/>
        </w:rPr>
      </w:pPr>
      <w:r>
        <w:t xml:space="preserve">Le </w:t>
      </w:r>
      <w:proofErr w:type="gramStart"/>
      <w:r>
        <w:t>CESE:</w:t>
      </w:r>
      <w:proofErr w:type="gramEnd"/>
    </w:p>
    <w:p w14:paraId="1E954AF4" w14:textId="77777777" w:rsidR="00DE758A" w:rsidRPr="00DE758A" w:rsidRDefault="00DE758A" w:rsidP="00DE758A">
      <w:pPr>
        <w:overflowPunct w:val="0"/>
        <w:autoSpaceDE w:val="0"/>
        <w:autoSpaceDN w:val="0"/>
        <w:adjustRightInd w:val="0"/>
        <w:textAlignment w:val="baseline"/>
        <w:rPr>
          <w:bCs/>
          <w:iCs/>
          <w:lang w:val="en-GB"/>
        </w:rPr>
      </w:pPr>
    </w:p>
    <w:p w14:paraId="606935A0" w14:textId="77777777" w:rsidR="00DE758A" w:rsidRPr="004C6742" w:rsidRDefault="00DE758A" w:rsidP="004C6742">
      <w:pPr>
        <w:pStyle w:val="ListParagraph"/>
        <w:numPr>
          <w:ilvl w:val="0"/>
          <w:numId w:val="77"/>
        </w:numPr>
        <w:ind w:left="567" w:hanging="567"/>
      </w:pPr>
      <w:proofErr w:type="gramStart"/>
      <w:r>
        <w:t>accueille</w:t>
      </w:r>
      <w:proofErr w:type="gramEnd"/>
      <w:r>
        <w:t xml:space="preserve"> favorablement la proposition de la Commission visant à simplifier et à rationaliser le règlement relatif aux dispositifs médicaux (RDM) et le règlement relatif aux dispositifs médicaux de diagnostic in vitro (RDIV) tout en préservant la sécurité des patients et en protégeant la santé publique et la confiance dans le système </w:t>
      </w:r>
      <w:proofErr w:type="gramStart"/>
      <w:r>
        <w:t>réglementaire;</w:t>
      </w:r>
      <w:proofErr w:type="gramEnd"/>
    </w:p>
    <w:p w14:paraId="3F3B23CD" w14:textId="77777777" w:rsidR="00DE758A" w:rsidRPr="004C6742" w:rsidRDefault="00DE758A" w:rsidP="004C6742">
      <w:pPr>
        <w:pStyle w:val="ListParagraph"/>
        <w:numPr>
          <w:ilvl w:val="0"/>
          <w:numId w:val="77"/>
        </w:numPr>
        <w:ind w:left="567" w:hanging="567"/>
      </w:pPr>
      <w:proofErr w:type="gramStart"/>
      <w:r>
        <w:t>souligne</w:t>
      </w:r>
      <w:proofErr w:type="gramEnd"/>
      <w:r>
        <w:t xml:space="preserve"> que </w:t>
      </w:r>
      <w:r>
        <w:rPr>
          <w:b/>
          <w:bCs/>
        </w:rPr>
        <w:t>la simplification doit garantir la sécurité juridique, la prévisibilité des résultats de la certification et des pratiques harmonisées entre les États membres</w:t>
      </w:r>
      <w:r>
        <w:t xml:space="preserve">, en évitant des divergences entre les organismes notifiés et en protégeant les PME et les microentreprises contre </w:t>
      </w:r>
      <w:proofErr w:type="gramStart"/>
      <w:r>
        <w:t>l’incertitude;</w:t>
      </w:r>
      <w:proofErr w:type="gramEnd"/>
    </w:p>
    <w:p w14:paraId="5AD93FCB" w14:textId="77777777" w:rsidR="00DE758A" w:rsidRPr="004C6742" w:rsidRDefault="00DE758A" w:rsidP="004C6742">
      <w:pPr>
        <w:pStyle w:val="ListParagraph"/>
        <w:numPr>
          <w:ilvl w:val="0"/>
          <w:numId w:val="77"/>
        </w:numPr>
        <w:ind w:left="567" w:hanging="567"/>
      </w:pPr>
      <w:proofErr w:type="gramStart"/>
      <w:r>
        <w:t>relève</w:t>
      </w:r>
      <w:proofErr w:type="gramEnd"/>
      <w:r>
        <w:t xml:space="preserve"> que </w:t>
      </w:r>
      <w:r>
        <w:rPr>
          <w:b/>
          <w:bCs/>
        </w:rPr>
        <w:t>la numérisation des évaluations de la conformité et des audits ne doit pas entraîner d’exigences redondantes ni de coûts supplémentaires</w:t>
      </w:r>
      <w:r>
        <w:t xml:space="preserve">, en particulier pour les PME, les travailleurs et le personnel de santé, et doit s’accompagner d’orientations claires, de formations et d’un soutien </w:t>
      </w:r>
      <w:proofErr w:type="gramStart"/>
      <w:r>
        <w:t>technique;</w:t>
      </w:r>
      <w:proofErr w:type="gramEnd"/>
    </w:p>
    <w:p w14:paraId="5B714428" w14:textId="77777777" w:rsidR="00DE758A" w:rsidRPr="004C6742" w:rsidRDefault="00DE758A" w:rsidP="004C6742">
      <w:pPr>
        <w:pStyle w:val="ListParagraph"/>
        <w:numPr>
          <w:ilvl w:val="0"/>
          <w:numId w:val="77"/>
        </w:numPr>
        <w:ind w:left="567" w:hanging="567"/>
      </w:pPr>
      <w:proofErr w:type="gramStart"/>
      <w:r>
        <w:t>insiste</w:t>
      </w:r>
      <w:proofErr w:type="gramEnd"/>
      <w:r>
        <w:t xml:space="preserve"> sur le fait que </w:t>
      </w:r>
      <w:r>
        <w:rPr>
          <w:b/>
          <w:bCs/>
        </w:rPr>
        <w:t>la simplification ne doit pas être compromise par une augmentation des redevances facturées par les organismes notifiés</w:t>
      </w:r>
      <w:r>
        <w:t xml:space="preserve"> et que </w:t>
      </w:r>
      <w:r>
        <w:rPr>
          <w:b/>
          <w:bCs/>
        </w:rPr>
        <w:t>les systèmes de surveillance après commercialisation et de vigilance doivent être renforcés</w:t>
      </w:r>
      <w:r>
        <w:t xml:space="preserve"> en tant qu’ils constituent un mécanisme compensatoire essentiel pour une flexibilité accrue dans les exigences préalables à la mise sur le </w:t>
      </w:r>
      <w:proofErr w:type="gramStart"/>
      <w:r>
        <w:t>marché;</w:t>
      </w:r>
      <w:proofErr w:type="gramEnd"/>
    </w:p>
    <w:p w14:paraId="2350A493" w14:textId="77777777" w:rsidR="00DE758A" w:rsidRPr="004C6742" w:rsidRDefault="00DE758A" w:rsidP="004C6742">
      <w:pPr>
        <w:pStyle w:val="ListParagraph"/>
        <w:numPr>
          <w:ilvl w:val="0"/>
          <w:numId w:val="77"/>
        </w:numPr>
        <w:ind w:left="567" w:hanging="567"/>
      </w:pPr>
      <w:proofErr w:type="gramStart"/>
      <w:r>
        <w:t>souscrit</w:t>
      </w:r>
      <w:proofErr w:type="gramEnd"/>
      <w:r>
        <w:t xml:space="preserve"> à </w:t>
      </w:r>
      <w:r>
        <w:rPr>
          <w:b/>
          <w:bCs/>
        </w:rPr>
        <w:t>la mise en place de voies réglementaires favorables à l’innovation pour les dispositifs innovants et orphelins tout en garantissant la transparence</w:t>
      </w:r>
      <w:r>
        <w:t xml:space="preserve"> (notamment grâce à </w:t>
      </w:r>
      <w:proofErr w:type="spellStart"/>
      <w:r>
        <w:t>Eudamed</w:t>
      </w:r>
      <w:proofErr w:type="spellEnd"/>
      <w:r>
        <w:t xml:space="preserve">), et demande que </w:t>
      </w:r>
      <w:r>
        <w:rPr>
          <w:b/>
          <w:bCs/>
        </w:rPr>
        <w:t>les partenaires sociaux, les professionnels de santé et la société civile soient systématiquement associés</w:t>
      </w:r>
      <w:r>
        <w:t xml:space="preserve"> au suivi de la mise en œuvre et de l’incidence réelle.</w:t>
      </w:r>
    </w:p>
    <w:p w14:paraId="67C66069" w14:textId="77777777" w:rsidR="00DE758A" w:rsidRPr="00DE758A" w:rsidRDefault="00DE758A" w:rsidP="001E4147">
      <w:pPr>
        <w:overflowPunct w:val="0"/>
        <w:autoSpaceDE w:val="0"/>
        <w:autoSpaceDN w:val="0"/>
        <w:adjustRightInd w:val="0"/>
        <w:ind w:left="284" w:hanging="284"/>
        <w:textAlignment w:val="baseline"/>
        <w:rPr>
          <w:bCs/>
          <w:iCs/>
          <w:szCs w:val="20"/>
        </w:rPr>
      </w:pPr>
    </w:p>
    <w:tbl>
      <w:tblPr>
        <w:tblStyle w:val="TableGrid15"/>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4991"/>
      </w:tblGrid>
      <w:tr w:rsidR="00DE758A" w:rsidRPr="00C30BC0" w14:paraId="5DE0DD71" w14:textId="77777777" w:rsidTr="002E7EFB">
        <w:tc>
          <w:tcPr>
            <w:tcW w:w="1059" w:type="pct"/>
          </w:tcPr>
          <w:p w14:paraId="406D8126" w14:textId="77777777" w:rsidR="00DE758A" w:rsidRPr="00C30BC0" w:rsidRDefault="00DE758A" w:rsidP="00DE758A">
            <w:pPr>
              <w:overflowPunct w:val="0"/>
              <w:autoSpaceDE w:val="0"/>
              <w:autoSpaceDN w:val="0"/>
              <w:adjustRightInd w:val="0"/>
              <w:spacing w:line="240" w:lineRule="auto"/>
              <w:textAlignment w:val="baseline"/>
              <w:rPr>
                <w:i/>
                <w:sz w:val="22"/>
                <w:szCs w:val="22"/>
              </w:rPr>
            </w:pPr>
            <w:r w:rsidRPr="00C30BC0">
              <w:rPr>
                <w:b/>
                <w:i/>
                <w:sz w:val="22"/>
                <w:szCs w:val="22"/>
              </w:rPr>
              <w:t>Contact</w:t>
            </w:r>
          </w:p>
        </w:tc>
        <w:tc>
          <w:tcPr>
            <w:tcW w:w="3941" w:type="pct"/>
          </w:tcPr>
          <w:p w14:paraId="440062F3" w14:textId="44031FFA" w:rsidR="00DE758A" w:rsidRPr="00C30BC0" w:rsidRDefault="00DE758A" w:rsidP="00DE758A">
            <w:pPr>
              <w:overflowPunct w:val="0"/>
              <w:autoSpaceDE w:val="0"/>
              <w:autoSpaceDN w:val="0"/>
              <w:adjustRightInd w:val="0"/>
              <w:spacing w:line="240" w:lineRule="auto"/>
              <w:textAlignment w:val="baseline"/>
              <w:rPr>
                <w:i/>
                <w:sz w:val="22"/>
                <w:szCs w:val="22"/>
              </w:rPr>
            </w:pPr>
            <w:r w:rsidRPr="00C30BC0">
              <w:rPr>
                <w:i/>
                <w:sz w:val="22"/>
                <w:szCs w:val="22"/>
              </w:rPr>
              <w:t>Silvia Staffa</w:t>
            </w:r>
          </w:p>
        </w:tc>
      </w:tr>
      <w:tr w:rsidR="00DE758A" w:rsidRPr="00C30BC0" w14:paraId="3624305D" w14:textId="77777777" w:rsidTr="002E7EFB">
        <w:tc>
          <w:tcPr>
            <w:tcW w:w="1059" w:type="pct"/>
          </w:tcPr>
          <w:p w14:paraId="169C17BD" w14:textId="77777777" w:rsidR="00DE758A" w:rsidRPr="00C30BC0" w:rsidRDefault="00DE758A" w:rsidP="00634494">
            <w:pPr>
              <w:overflowPunct w:val="0"/>
              <w:autoSpaceDE w:val="0"/>
              <w:autoSpaceDN w:val="0"/>
              <w:adjustRightInd w:val="0"/>
              <w:spacing w:line="240" w:lineRule="auto"/>
              <w:ind w:left="567"/>
              <w:textAlignment w:val="baseline"/>
              <w:rPr>
                <w:i/>
                <w:sz w:val="22"/>
                <w:szCs w:val="22"/>
              </w:rPr>
            </w:pPr>
            <w:r w:rsidRPr="00C30BC0">
              <w:rPr>
                <w:i/>
                <w:sz w:val="22"/>
                <w:szCs w:val="22"/>
              </w:rPr>
              <w:t>Tél.</w:t>
            </w:r>
          </w:p>
        </w:tc>
        <w:tc>
          <w:tcPr>
            <w:tcW w:w="3941" w:type="pct"/>
          </w:tcPr>
          <w:p w14:paraId="7D475F69" w14:textId="77777777" w:rsidR="00DE758A" w:rsidRPr="00C30BC0" w:rsidRDefault="00DE758A" w:rsidP="00DE758A">
            <w:pPr>
              <w:overflowPunct w:val="0"/>
              <w:autoSpaceDE w:val="0"/>
              <w:autoSpaceDN w:val="0"/>
              <w:adjustRightInd w:val="0"/>
              <w:spacing w:line="240" w:lineRule="auto"/>
              <w:textAlignment w:val="baseline"/>
              <w:rPr>
                <w:i/>
                <w:sz w:val="22"/>
                <w:szCs w:val="22"/>
              </w:rPr>
            </w:pPr>
            <w:r w:rsidRPr="00C30BC0">
              <w:rPr>
                <w:i/>
                <w:sz w:val="22"/>
                <w:szCs w:val="22"/>
              </w:rPr>
              <w:t>+ 32 2 546 8378</w:t>
            </w:r>
          </w:p>
        </w:tc>
      </w:tr>
      <w:tr w:rsidR="00DE758A" w:rsidRPr="00C30BC0" w14:paraId="7362C1AC" w14:textId="77777777" w:rsidTr="002E7EFB">
        <w:tc>
          <w:tcPr>
            <w:tcW w:w="1059" w:type="pct"/>
          </w:tcPr>
          <w:p w14:paraId="256024F2" w14:textId="77777777" w:rsidR="00DE758A" w:rsidRPr="00C30BC0" w:rsidRDefault="00DE758A" w:rsidP="00634494">
            <w:pPr>
              <w:overflowPunct w:val="0"/>
              <w:autoSpaceDE w:val="0"/>
              <w:autoSpaceDN w:val="0"/>
              <w:adjustRightInd w:val="0"/>
              <w:spacing w:line="240" w:lineRule="auto"/>
              <w:ind w:left="567"/>
              <w:textAlignment w:val="baseline"/>
              <w:rPr>
                <w:i/>
                <w:sz w:val="22"/>
                <w:szCs w:val="22"/>
              </w:rPr>
            </w:pPr>
            <w:r w:rsidRPr="00C30BC0">
              <w:rPr>
                <w:i/>
                <w:sz w:val="22"/>
                <w:szCs w:val="22"/>
              </w:rPr>
              <w:t>Courriel</w:t>
            </w:r>
          </w:p>
        </w:tc>
        <w:tc>
          <w:tcPr>
            <w:tcW w:w="3941" w:type="pct"/>
          </w:tcPr>
          <w:p w14:paraId="7476247D" w14:textId="7630BA46" w:rsidR="00DE758A" w:rsidRPr="00C30BC0" w:rsidRDefault="00E44636" w:rsidP="00DE758A">
            <w:pPr>
              <w:overflowPunct w:val="0"/>
              <w:autoSpaceDE w:val="0"/>
              <w:autoSpaceDN w:val="0"/>
              <w:adjustRightInd w:val="0"/>
              <w:spacing w:line="240" w:lineRule="auto"/>
              <w:textAlignment w:val="baseline"/>
              <w:rPr>
                <w:i/>
                <w:iCs/>
                <w:sz w:val="22"/>
                <w:szCs w:val="22"/>
              </w:rPr>
            </w:pPr>
            <w:hyperlink r:id="rId50" w:history="1">
              <w:r w:rsidRPr="00C30BC0">
                <w:rPr>
                  <w:i/>
                  <w:color w:val="0000FF"/>
                  <w:sz w:val="22"/>
                  <w:szCs w:val="22"/>
                  <w:u w:val="single"/>
                </w:rPr>
                <w:t>Silvia.Staffa@eesc.europa.eu</w:t>
              </w:r>
            </w:hyperlink>
          </w:p>
        </w:tc>
      </w:tr>
    </w:tbl>
    <w:p w14:paraId="6A195B69" w14:textId="285754E9" w:rsidR="00DE758A" w:rsidRDefault="00DE758A">
      <w:pPr>
        <w:spacing w:after="160" w:line="259" w:lineRule="auto"/>
        <w:jc w:val="left"/>
      </w:pPr>
    </w:p>
    <w:p w14:paraId="05089E5F" w14:textId="772395CF" w:rsidR="00CB6F1C" w:rsidRPr="00CB6F1C" w:rsidRDefault="00CB6F1C" w:rsidP="00CB6F1C">
      <w:pPr>
        <w:widowControl w:val="0"/>
        <w:numPr>
          <w:ilvl w:val="0"/>
          <w:numId w:val="4"/>
        </w:numPr>
        <w:overflowPunct w:val="0"/>
        <w:autoSpaceDE w:val="0"/>
        <w:autoSpaceDN w:val="0"/>
        <w:adjustRightInd w:val="0"/>
        <w:ind w:hanging="567"/>
        <w:textAlignment w:val="baseline"/>
        <w:rPr>
          <w:sz w:val="20"/>
          <w:szCs w:val="20"/>
        </w:rPr>
      </w:pPr>
      <w:hyperlink r:id="rId51" w:history="1">
        <w:r>
          <w:rPr>
            <w:b/>
            <w:i/>
            <w:color w:val="0000FF"/>
            <w:sz w:val="28"/>
            <w:u w:val="single"/>
          </w:rPr>
          <w:t>Normalisation/marché unique</w:t>
        </w:r>
      </w:hyperlink>
    </w:p>
    <w:p w14:paraId="36B05829" w14:textId="439E11FF" w:rsidR="00CB6F1C" w:rsidRPr="00CB6F1C" w:rsidRDefault="00CB6F1C" w:rsidP="00CB6F1C">
      <w:pPr>
        <w:tabs>
          <w:tab w:val="center" w:pos="284"/>
        </w:tabs>
        <w:overflowPunct w:val="0"/>
        <w:autoSpaceDE w:val="0"/>
        <w:autoSpaceDN w:val="0"/>
        <w:adjustRightInd w:val="0"/>
        <w:ind w:left="266" w:hanging="266"/>
        <w:textAlignment w:val="baseline"/>
        <w:rPr>
          <w:b/>
          <w:lang w:val="en-GB"/>
        </w:rPr>
      </w:pPr>
    </w:p>
    <w:tbl>
      <w:tblPr>
        <w:tblStyle w:val="TableGrid16"/>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CB6F1C" w:rsidRPr="00CB6F1C" w14:paraId="45F8A76C" w14:textId="77777777" w:rsidTr="004B48B1">
        <w:tc>
          <w:tcPr>
            <w:tcW w:w="1701" w:type="dxa"/>
          </w:tcPr>
          <w:p w14:paraId="2632F8D5" w14:textId="77777777" w:rsidR="00CB6F1C" w:rsidRPr="00C30BC0" w:rsidRDefault="00CB6F1C" w:rsidP="00CB6F1C">
            <w:pPr>
              <w:tabs>
                <w:tab w:val="center" w:pos="284"/>
              </w:tabs>
              <w:overflowPunct w:val="0"/>
              <w:autoSpaceDE w:val="0"/>
              <w:autoSpaceDN w:val="0"/>
              <w:adjustRightInd w:val="0"/>
              <w:ind w:left="266" w:hanging="266"/>
              <w:textAlignment w:val="baseline"/>
              <w:rPr>
                <w:b/>
                <w:sz w:val="22"/>
                <w:szCs w:val="22"/>
              </w:rPr>
            </w:pPr>
            <w:r w:rsidRPr="00C30BC0">
              <w:rPr>
                <w:b/>
                <w:sz w:val="22"/>
                <w:szCs w:val="22"/>
              </w:rPr>
              <w:t>Rapporteur</w:t>
            </w:r>
          </w:p>
        </w:tc>
        <w:tc>
          <w:tcPr>
            <w:tcW w:w="7371" w:type="dxa"/>
          </w:tcPr>
          <w:p w14:paraId="0C80D85A" w14:textId="5AF224CE" w:rsidR="00CB6F1C" w:rsidRPr="00C30BC0" w:rsidRDefault="00CB6F1C" w:rsidP="00CB6F1C">
            <w:pPr>
              <w:tabs>
                <w:tab w:val="center" w:pos="284"/>
              </w:tabs>
              <w:overflowPunct w:val="0"/>
              <w:autoSpaceDE w:val="0"/>
              <w:autoSpaceDN w:val="0"/>
              <w:adjustRightInd w:val="0"/>
              <w:ind w:left="266" w:hanging="266"/>
              <w:textAlignment w:val="baseline"/>
              <w:rPr>
                <w:sz w:val="22"/>
                <w:szCs w:val="22"/>
              </w:rPr>
            </w:pPr>
            <w:r w:rsidRPr="00C30BC0">
              <w:rPr>
                <w:sz w:val="22"/>
                <w:szCs w:val="22"/>
              </w:rPr>
              <w:t>Angelo PAGLIARA (groupe des travailleurs — Italie)</w:t>
            </w:r>
          </w:p>
        </w:tc>
      </w:tr>
      <w:tr w:rsidR="00CB6F1C" w:rsidRPr="00CB6F1C" w14:paraId="604CF083" w14:textId="77777777" w:rsidTr="004B48B1">
        <w:tc>
          <w:tcPr>
            <w:tcW w:w="9072" w:type="dxa"/>
            <w:gridSpan w:val="2"/>
          </w:tcPr>
          <w:p w14:paraId="6F3BB2F2" w14:textId="77777777" w:rsidR="00CB6F1C" w:rsidRPr="00C30BC0" w:rsidRDefault="00CB6F1C" w:rsidP="00CB6F1C">
            <w:pPr>
              <w:tabs>
                <w:tab w:val="center" w:pos="284"/>
              </w:tabs>
              <w:overflowPunct w:val="0"/>
              <w:autoSpaceDE w:val="0"/>
              <w:autoSpaceDN w:val="0"/>
              <w:adjustRightInd w:val="0"/>
              <w:spacing w:line="160" w:lineRule="exact"/>
              <w:ind w:left="266" w:hanging="266"/>
              <w:textAlignment w:val="baseline"/>
              <w:rPr>
                <w:sz w:val="22"/>
                <w:szCs w:val="22"/>
              </w:rPr>
            </w:pPr>
          </w:p>
        </w:tc>
      </w:tr>
      <w:tr w:rsidR="00CB6F1C" w:rsidRPr="00CB6F1C" w14:paraId="2D181A35" w14:textId="77777777" w:rsidTr="004B48B1">
        <w:tc>
          <w:tcPr>
            <w:tcW w:w="1701" w:type="dxa"/>
          </w:tcPr>
          <w:p w14:paraId="02B3C283" w14:textId="77777777" w:rsidR="00CB6F1C" w:rsidRPr="00C30BC0" w:rsidRDefault="00CB6F1C" w:rsidP="00CB6F1C">
            <w:pPr>
              <w:tabs>
                <w:tab w:val="center" w:pos="284"/>
              </w:tabs>
              <w:overflowPunct w:val="0"/>
              <w:autoSpaceDE w:val="0"/>
              <w:autoSpaceDN w:val="0"/>
              <w:adjustRightInd w:val="0"/>
              <w:ind w:left="266" w:hanging="266"/>
              <w:textAlignment w:val="baseline"/>
              <w:rPr>
                <w:b/>
                <w:sz w:val="22"/>
                <w:szCs w:val="22"/>
              </w:rPr>
            </w:pPr>
            <w:r w:rsidRPr="00C30BC0">
              <w:rPr>
                <w:b/>
                <w:sz w:val="22"/>
                <w:szCs w:val="22"/>
              </w:rPr>
              <w:t>Références</w:t>
            </w:r>
          </w:p>
        </w:tc>
        <w:tc>
          <w:tcPr>
            <w:tcW w:w="7371" w:type="dxa"/>
          </w:tcPr>
          <w:p w14:paraId="4539C4CD" w14:textId="77777777" w:rsidR="00CB6F1C" w:rsidRPr="00C30BC0" w:rsidRDefault="00CB6F1C" w:rsidP="00CB6F1C">
            <w:pPr>
              <w:tabs>
                <w:tab w:val="center" w:pos="284"/>
              </w:tabs>
              <w:overflowPunct w:val="0"/>
              <w:autoSpaceDE w:val="0"/>
              <w:autoSpaceDN w:val="0"/>
              <w:adjustRightInd w:val="0"/>
              <w:ind w:left="266" w:hanging="266"/>
              <w:textAlignment w:val="baseline"/>
              <w:rPr>
                <w:sz w:val="22"/>
                <w:szCs w:val="22"/>
              </w:rPr>
            </w:pPr>
            <w:r w:rsidRPr="00C30BC0">
              <w:rPr>
                <w:sz w:val="22"/>
                <w:szCs w:val="22"/>
              </w:rPr>
              <w:t>Avis d’initiative</w:t>
            </w:r>
          </w:p>
          <w:p w14:paraId="543FC291" w14:textId="77777777" w:rsidR="00CB6F1C" w:rsidRPr="00C30BC0" w:rsidRDefault="00CB6F1C" w:rsidP="00CB6F1C">
            <w:pPr>
              <w:tabs>
                <w:tab w:val="center" w:pos="284"/>
              </w:tabs>
              <w:overflowPunct w:val="0"/>
              <w:autoSpaceDE w:val="0"/>
              <w:autoSpaceDN w:val="0"/>
              <w:adjustRightInd w:val="0"/>
              <w:ind w:left="266" w:hanging="266"/>
              <w:textAlignment w:val="baseline"/>
              <w:rPr>
                <w:sz w:val="22"/>
                <w:szCs w:val="22"/>
              </w:rPr>
            </w:pPr>
            <w:r w:rsidRPr="00C30BC0">
              <w:rPr>
                <w:sz w:val="22"/>
                <w:szCs w:val="22"/>
              </w:rPr>
              <w:t>EESC-2026-00549-00-00-AC</w:t>
            </w:r>
          </w:p>
        </w:tc>
      </w:tr>
    </w:tbl>
    <w:p w14:paraId="1B528208" w14:textId="167AD465" w:rsidR="00CB6F1C" w:rsidRPr="00CB6F1C" w:rsidRDefault="00CB6F1C" w:rsidP="00CB6F1C">
      <w:pPr>
        <w:tabs>
          <w:tab w:val="center" w:pos="284"/>
        </w:tabs>
        <w:overflowPunct w:val="0"/>
        <w:autoSpaceDE w:val="0"/>
        <w:autoSpaceDN w:val="0"/>
        <w:adjustRightInd w:val="0"/>
        <w:ind w:left="266" w:hanging="266"/>
        <w:textAlignment w:val="baseline"/>
      </w:pPr>
    </w:p>
    <w:p w14:paraId="47531A9D" w14:textId="77777777" w:rsidR="00CB6F1C" w:rsidRPr="00CB6F1C" w:rsidRDefault="00CB6F1C" w:rsidP="00CB6F1C">
      <w:pPr>
        <w:keepNext/>
        <w:keepLines/>
        <w:tabs>
          <w:tab w:val="center" w:pos="284"/>
        </w:tabs>
        <w:overflowPunct w:val="0"/>
        <w:autoSpaceDE w:val="0"/>
        <w:autoSpaceDN w:val="0"/>
        <w:adjustRightInd w:val="0"/>
        <w:ind w:left="266" w:hanging="266"/>
        <w:textAlignment w:val="baseline"/>
        <w:rPr>
          <w:b/>
        </w:rPr>
      </w:pPr>
      <w:r>
        <w:rPr>
          <w:b/>
        </w:rPr>
        <w:t>Points clés</w:t>
      </w:r>
    </w:p>
    <w:p w14:paraId="5A30CB3B" w14:textId="77777777" w:rsidR="00CB6F1C" w:rsidRPr="00CB6F1C" w:rsidRDefault="00CB6F1C" w:rsidP="00CB6F1C">
      <w:pPr>
        <w:keepNext/>
        <w:keepLines/>
        <w:tabs>
          <w:tab w:val="center" w:pos="284"/>
        </w:tabs>
        <w:overflowPunct w:val="0"/>
        <w:autoSpaceDE w:val="0"/>
        <w:autoSpaceDN w:val="0"/>
        <w:adjustRightInd w:val="0"/>
        <w:ind w:left="266" w:hanging="266"/>
        <w:textAlignment w:val="baseline"/>
        <w:rPr>
          <w:b/>
          <w:lang w:val="en-GB"/>
        </w:rPr>
      </w:pPr>
    </w:p>
    <w:p w14:paraId="1CF17A3E" w14:textId="77777777" w:rsidR="00CB6F1C" w:rsidRPr="00CB6F1C" w:rsidRDefault="00CB6F1C" w:rsidP="00CB6F1C">
      <w:pPr>
        <w:overflowPunct w:val="0"/>
        <w:autoSpaceDE w:val="0"/>
        <w:autoSpaceDN w:val="0"/>
        <w:adjustRightInd w:val="0"/>
        <w:textAlignment w:val="baseline"/>
        <w:rPr>
          <w:bCs/>
          <w:iCs/>
        </w:rPr>
      </w:pPr>
      <w:r>
        <w:t xml:space="preserve">Le </w:t>
      </w:r>
      <w:proofErr w:type="gramStart"/>
      <w:r>
        <w:t>CESE:</w:t>
      </w:r>
      <w:proofErr w:type="gramEnd"/>
    </w:p>
    <w:p w14:paraId="76EB4DE6" w14:textId="77777777" w:rsidR="00CB6F1C" w:rsidRPr="00CB6F1C" w:rsidRDefault="00CB6F1C" w:rsidP="00CB6F1C">
      <w:pPr>
        <w:overflowPunct w:val="0"/>
        <w:autoSpaceDE w:val="0"/>
        <w:autoSpaceDN w:val="0"/>
        <w:adjustRightInd w:val="0"/>
        <w:textAlignment w:val="baseline"/>
        <w:rPr>
          <w:bCs/>
          <w:iCs/>
          <w:lang w:val="en-GB"/>
        </w:rPr>
      </w:pPr>
    </w:p>
    <w:p w14:paraId="3C18654B" w14:textId="77777777" w:rsidR="00CB6F1C" w:rsidRPr="00CB6F1C" w:rsidRDefault="00CB6F1C" w:rsidP="00C30BC0">
      <w:pPr>
        <w:widowControl w:val="0"/>
        <w:numPr>
          <w:ilvl w:val="0"/>
          <w:numId w:val="42"/>
        </w:numPr>
        <w:overflowPunct w:val="0"/>
        <w:autoSpaceDE w:val="0"/>
        <w:autoSpaceDN w:val="0"/>
        <w:adjustRightInd w:val="0"/>
        <w:spacing w:line="276" w:lineRule="auto"/>
        <w:ind w:left="567" w:hanging="567"/>
        <w:textAlignment w:val="baseline"/>
        <w:rPr>
          <w:bCs/>
          <w:iCs/>
        </w:rPr>
      </w:pPr>
      <w:proofErr w:type="gramStart"/>
      <w:r>
        <w:t>souligne</w:t>
      </w:r>
      <w:proofErr w:type="gramEnd"/>
      <w:r>
        <w:t xml:space="preserve"> que </w:t>
      </w:r>
      <w:r>
        <w:rPr>
          <w:b/>
          <w:bCs/>
        </w:rPr>
        <w:t>le caractère inclusif</w:t>
      </w:r>
      <w:r>
        <w:t xml:space="preserve"> est essentiel à la légitimité et à l’efficacité du système européen de normalisation, préconisant une </w:t>
      </w:r>
      <w:r>
        <w:rPr>
          <w:b/>
          <w:bCs/>
        </w:rPr>
        <w:t>participation accrue des PME, des syndicats et de la société civile</w:t>
      </w:r>
      <w:r>
        <w:t xml:space="preserve"> soutenue par un financement adéquat, un renforcement des capacités et un accès </w:t>
      </w:r>
      <w:proofErr w:type="gramStart"/>
      <w:r>
        <w:t>simplifié;</w:t>
      </w:r>
      <w:proofErr w:type="gramEnd"/>
    </w:p>
    <w:p w14:paraId="0EF2C817" w14:textId="77777777" w:rsidR="00CB6F1C" w:rsidRPr="00CB6F1C" w:rsidRDefault="00CB6F1C" w:rsidP="00C30BC0">
      <w:pPr>
        <w:widowControl w:val="0"/>
        <w:numPr>
          <w:ilvl w:val="0"/>
          <w:numId w:val="42"/>
        </w:numPr>
        <w:overflowPunct w:val="0"/>
        <w:autoSpaceDE w:val="0"/>
        <w:autoSpaceDN w:val="0"/>
        <w:adjustRightInd w:val="0"/>
        <w:spacing w:line="276" w:lineRule="auto"/>
        <w:ind w:left="567" w:hanging="567"/>
        <w:textAlignment w:val="baseline"/>
        <w:rPr>
          <w:bCs/>
          <w:iCs/>
        </w:rPr>
      </w:pPr>
      <w:proofErr w:type="gramStart"/>
      <w:r>
        <w:t>demande</w:t>
      </w:r>
      <w:proofErr w:type="gramEnd"/>
      <w:r>
        <w:t xml:space="preserve"> des garanties claires pour protéger le dialogue social, en insistant sur le fait que </w:t>
      </w:r>
      <w:r>
        <w:rPr>
          <w:b/>
          <w:bCs/>
        </w:rPr>
        <w:t>les normes européennes doivent rester des outils techniques à l’appui de la législation</w:t>
      </w:r>
      <w:r>
        <w:t xml:space="preserve"> et </w:t>
      </w:r>
      <w:proofErr w:type="gramStart"/>
      <w:r>
        <w:t>qu’elle ne doivent</w:t>
      </w:r>
      <w:proofErr w:type="gramEnd"/>
      <w:r>
        <w:t xml:space="preserve"> pas réglementer ou perturber les droits des travailleurs, les conditions de travail ou la négociation </w:t>
      </w:r>
      <w:proofErr w:type="gramStart"/>
      <w:r>
        <w:t>collective;</w:t>
      </w:r>
      <w:proofErr w:type="gramEnd"/>
    </w:p>
    <w:p w14:paraId="12F2C5AB" w14:textId="77777777" w:rsidR="00CB6F1C" w:rsidRPr="00CB6F1C" w:rsidRDefault="00CB6F1C" w:rsidP="00C30BC0">
      <w:pPr>
        <w:widowControl w:val="0"/>
        <w:numPr>
          <w:ilvl w:val="0"/>
          <w:numId w:val="42"/>
        </w:numPr>
        <w:overflowPunct w:val="0"/>
        <w:autoSpaceDE w:val="0"/>
        <w:autoSpaceDN w:val="0"/>
        <w:adjustRightInd w:val="0"/>
        <w:spacing w:line="276" w:lineRule="auto"/>
        <w:ind w:left="567" w:hanging="567"/>
        <w:textAlignment w:val="baseline"/>
        <w:rPr>
          <w:bCs/>
          <w:iCs/>
        </w:rPr>
      </w:pPr>
      <w:proofErr w:type="gramStart"/>
      <w:r>
        <w:t>recommande</w:t>
      </w:r>
      <w:proofErr w:type="gramEnd"/>
      <w:r>
        <w:t xml:space="preserve"> d’</w:t>
      </w:r>
      <w:r>
        <w:rPr>
          <w:b/>
          <w:bCs/>
        </w:rPr>
        <w:t>améliorer la transparence</w:t>
      </w:r>
      <w:r>
        <w:t xml:space="preserve"> et l’accessibilité, notamment en </w:t>
      </w:r>
      <w:r>
        <w:rPr>
          <w:b/>
          <w:bCs/>
        </w:rPr>
        <w:t>facilitant l’accès du public aux normes, en clarifiant la gouvernance des comités techniques</w:t>
      </w:r>
      <w:r>
        <w:t xml:space="preserve"> et en procédant à une </w:t>
      </w:r>
      <w:r>
        <w:rPr>
          <w:b/>
          <w:bCs/>
        </w:rPr>
        <w:t>évaluation ex ante des demandes de normalisation</w:t>
      </w:r>
      <w:r>
        <w:t xml:space="preserve"> afin de garantir le respect des droits fondamentaux et de la législation de </w:t>
      </w:r>
      <w:proofErr w:type="gramStart"/>
      <w:r>
        <w:t>l’Union;</w:t>
      </w:r>
      <w:proofErr w:type="gramEnd"/>
    </w:p>
    <w:p w14:paraId="0695E427" w14:textId="77777777" w:rsidR="00CB6F1C" w:rsidRPr="00CB6F1C" w:rsidRDefault="00CB6F1C" w:rsidP="00C30BC0">
      <w:pPr>
        <w:widowControl w:val="0"/>
        <w:numPr>
          <w:ilvl w:val="0"/>
          <w:numId w:val="42"/>
        </w:numPr>
        <w:overflowPunct w:val="0"/>
        <w:autoSpaceDE w:val="0"/>
        <w:autoSpaceDN w:val="0"/>
        <w:adjustRightInd w:val="0"/>
        <w:spacing w:line="276" w:lineRule="auto"/>
        <w:ind w:left="567" w:hanging="567"/>
        <w:textAlignment w:val="baseline"/>
        <w:rPr>
          <w:bCs/>
          <w:iCs/>
        </w:rPr>
      </w:pPr>
      <w:proofErr w:type="gramStart"/>
      <w:r>
        <w:t>relève</w:t>
      </w:r>
      <w:proofErr w:type="gramEnd"/>
      <w:r>
        <w:t xml:space="preserve"> le rôle stratégique que joue la normalisation pour stimuler le marché unique, la compétitivité et l’autonomie stratégique ouverte, tout en demandant instamment une </w:t>
      </w:r>
      <w:r>
        <w:rPr>
          <w:b/>
          <w:bCs/>
        </w:rPr>
        <w:t>coordination plus étroite de l’Union dans l’élaboration de normes internationales</w:t>
      </w:r>
      <w:r>
        <w:t xml:space="preserve"> afin de préserver les intérêts européens et des normes </w:t>
      </w:r>
      <w:proofErr w:type="gramStart"/>
      <w:r>
        <w:t>élevées;</w:t>
      </w:r>
      <w:proofErr w:type="gramEnd"/>
    </w:p>
    <w:p w14:paraId="3F5E5408" w14:textId="77777777" w:rsidR="00CB6F1C" w:rsidRPr="00CB6F1C" w:rsidRDefault="00CB6F1C" w:rsidP="00C30BC0">
      <w:pPr>
        <w:widowControl w:val="0"/>
        <w:numPr>
          <w:ilvl w:val="0"/>
          <w:numId w:val="42"/>
        </w:numPr>
        <w:overflowPunct w:val="0"/>
        <w:autoSpaceDE w:val="0"/>
        <w:autoSpaceDN w:val="0"/>
        <w:adjustRightInd w:val="0"/>
        <w:spacing w:line="276" w:lineRule="auto"/>
        <w:ind w:left="567" w:hanging="567"/>
        <w:textAlignment w:val="baseline"/>
        <w:rPr>
          <w:bCs/>
          <w:iCs/>
        </w:rPr>
      </w:pPr>
      <w:proofErr w:type="gramStart"/>
      <w:r>
        <w:t>plaide</w:t>
      </w:r>
      <w:proofErr w:type="gramEnd"/>
      <w:r>
        <w:t xml:space="preserve"> en faveur d’un système plus efficace et </w:t>
      </w:r>
      <w:r>
        <w:rPr>
          <w:b/>
          <w:bCs/>
        </w:rPr>
        <w:t>pérenne</w:t>
      </w:r>
      <w:r>
        <w:t xml:space="preserve">, qui améliore la </w:t>
      </w:r>
      <w:r>
        <w:rPr>
          <w:b/>
          <w:bCs/>
        </w:rPr>
        <w:t>pertinence</w:t>
      </w:r>
      <w:r>
        <w:t xml:space="preserve"> et la qualité tout en tenant compte des technologies émergentes et en veillant à ce que les normes soutiennent l’innovation, la durabilité et </w:t>
      </w:r>
      <w:r>
        <w:rPr>
          <w:b/>
          <w:bCs/>
        </w:rPr>
        <w:t>des niveaux élevés de protection des travailleurs, des consommateurs et de l’environnement</w:t>
      </w:r>
      <w:r>
        <w:t>.</w:t>
      </w:r>
    </w:p>
    <w:p w14:paraId="20CA82A9" w14:textId="77777777" w:rsidR="00CB6F1C" w:rsidRPr="00CB6F1C" w:rsidRDefault="00CB6F1C" w:rsidP="00CB6F1C">
      <w:pPr>
        <w:widowControl w:val="0"/>
        <w:overflowPunct w:val="0"/>
        <w:autoSpaceDE w:val="0"/>
        <w:autoSpaceDN w:val="0"/>
        <w:adjustRightInd w:val="0"/>
        <w:ind w:left="709"/>
        <w:textAlignment w:val="baseline"/>
        <w:rPr>
          <w:szCs w:val="20"/>
          <w:lang w:val="en-GB"/>
        </w:rPr>
      </w:pPr>
    </w:p>
    <w:tbl>
      <w:tblPr>
        <w:tblStyle w:val="TableGrid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5670"/>
      </w:tblGrid>
      <w:tr w:rsidR="00CB6F1C" w:rsidRPr="00B3204A" w14:paraId="10996137" w14:textId="77777777" w:rsidTr="002E7EFB">
        <w:tc>
          <w:tcPr>
            <w:tcW w:w="1418" w:type="dxa"/>
          </w:tcPr>
          <w:p w14:paraId="14035960" w14:textId="77777777" w:rsidR="00CB6F1C" w:rsidRPr="00B3204A" w:rsidRDefault="00CB6F1C" w:rsidP="00CB6F1C">
            <w:pPr>
              <w:overflowPunct w:val="0"/>
              <w:autoSpaceDE w:val="0"/>
              <w:autoSpaceDN w:val="0"/>
              <w:adjustRightInd w:val="0"/>
              <w:spacing w:line="240" w:lineRule="auto"/>
              <w:textAlignment w:val="baseline"/>
              <w:rPr>
                <w:i/>
                <w:sz w:val="22"/>
                <w:szCs w:val="22"/>
              </w:rPr>
            </w:pPr>
            <w:r w:rsidRPr="00B3204A">
              <w:rPr>
                <w:b/>
                <w:i/>
                <w:sz w:val="22"/>
                <w:szCs w:val="22"/>
              </w:rPr>
              <w:t>Contact</w:t>
            </w:r>
          </w:p>
        </w:tc>
        <w:tc>
          <w:tcPr>
            <w:tcW w:w="5670" w:type="dxa"/>
          </w:tcPr>
          <w:p w14:paraId="5F887264" w14:textId="77777777" w:rsidR="00CB6F1C" w:rsidRPr="00B3204A" w:rsidRDefault="00CB6F1C" w:rsidP="00CB6F1C">
            <w:pPr>
              <w:overflowPunct w:val="0"/>
              <w:autoSpaceDE w:val="0"/>
              <w:autoSpaceDN w:val="0"/>
              <w:adjustRightInd w:val="0"/>
              <w:spacing w:line="240" w:lineRule="auto"/>
              <w:textAlignment w:val="baseline"/>
              <w:rPr>
                <w:i/>
                <w:sz w:val="22"/>
                <w:szCs w:val="22"/>
              </w:rPr>
            </w:pPr>
            <w:r w:rsidRPr="00B3204A">
              <w:rPr>
                <w:i/>
                <w:sz w:val="22"/>
                <w:szCs w:val="22"/>
              </w:rPr>
              <w:t>Silvia Staffa</w:t>
            </w:r>
          </w:p>
        </w:tc>
      </w:tr>
      <w:tr w:rsidR="00CB6F1C" w:rsidRPr="00B3204A" w14:paraId="79343DDB" w14:textId="77777777" w:rsidTr="002E7EFB">
        <w:tc>
          <w:tcPr>
            <w:tcW w:w="1418" w:type="dxa"/>
          </w:tcPr>
          <w:p w14:paraId="67332A42" w14:textId="77777777" w:rsidR="00CB6F1C" w:rsidRPr="00B3204A" w:rsidRDefault="00CB6F1C" w:rsidP="00634494">
            <w:pPr>
              <w:overflowPunct w:val="0"/>
              <w:autoSpaceDE w:val="0"/>
              <w:autoSpaceDN w:val="0"/>
              <w:adjustRightInd w:val="0"/>
              <w:spacing w:line="240" w:lineRule="auto"/>
              <w:ind w:left="567"/>
              <w:textAlignment w:val="baseline"/>
              <w:rPr>
                <w:i/>
                <w:sz w:val="22"/>
                <w:szCs w:val="22"/>
              </w:rPr>
            </w:pPr>
            <w:r w:rsidRPr="00B3204A">
              <w:rPr>
                <w:i/>
                <w:sz w:val="22"/>
                <w:szCs w:val="22"/>
              </w:rPr>
              <w:t>Tél.</w:t>
            </w:r>
          </w:p>
        </w:tc>
        <w:tc>
          <w:tcPr>
            <w:tcW w:w="5670" w:type="dxa"/>
          </w:tcPr>
          <w:p w14:paraId="30E9176B" w14:textId="77777777" w:rsidR="00CB6F1C" w:rsidRPr="00B3204A" w:rsidRDefault="00CB6F1C" w:rsidP="00CB6F1C">
            <w:pPr>
              <w:overflowPunct w:val="0"/>
              <w:autoSpaceDE w:val="0"/>
              <w:autoSpaceDN w:val="0"/>
              <w:adjustRightInd w:val="0"/>
              <w:spacing w:line="240" w:lineRule="auto"/>
              <w:textAlignment w:val="baseline"/>
              <w:rPr>
                <w:i/>
                <w:sz w:val="22"/>
                <w:szCs w:val="22"/>
              </w:rPr>
            </w:pPr>
            <w:r w:rsidRPr="00B3204A">
              <w:rPr>
                <w:i/>
                <w:sz w:val="22"/>
                <w:szCs w:val="22"/>
              </w:rPr>
              <w:t>+32 2 546 8378</w:t>
            </w:r>
          </w:p>
        </w:tc>
      </w:tr>
      <w:tr w:rsidR="00CB6F1C" w:rsidRPr="00B3204A" w14:paraId="47D09906" w14:textId="77777777" w:rsidTr="002E7EFB">
        <w:tc>
          <w:tcPr>
            <w:tcW w:w="1418" w:type="dxa"/>
          </w:tcPr>
          <w:p w14:paraId="64360087" w14:textId="77777777" w:rsidR="00CB6F1C" w:rsidRPr="00B3204A" w:rsidRDefault="00CB6F1C" w:rsidP="00634494">
            <w:pPr>
              <w:overflowPunct w:val="0"/>
              <w:autoSpaceDE w:val="0"/>
              <w:autoSpaceDN w:val="0"/>
              <w:adjustRightInd w:val="0"/>
              <w:spacing w:line="240" w:lineRule="auto"/>
              <w:ind w:left="567"/>
              <w:textAlignment w:val="baseline"/>
              <w:rPr>
                <w:i/>
                <w:sz w:val="22"/>
                <w:szCs w:val="22"/>
              </w:rPr>
            </w:pPr>
            <w:r w:rsidRPr="00B3204A">
              <w:rPr>
                <w:i/>
                <w:sz w:val="22"/>
                <w:szCs w:val="22"/>
              </w:rPr>
              <w:t>Courriel</w:t>
            </w:r>
          </w:p>
        </w:tc>
        <w:tc>
          <w:tcPr>
            <w:tcW w:w="5670" w:type="dxa"/>
          </w:tcPr>
          <w:p w14:paraId="7003408F" w14:textId="6DB571EE" w:rsidR="00CB6F1C" w:rsidRPr="00B3204A" w:rsidRDefault="00E44636" w:rsidP="00C30BC0">
            <w:pPr>
              <w:overflowPunct w:val="0"/>
              <w:autoSpaceDE w:val="0"/>
              <w:autoSpaceDN w:val="0"/>
              <w:adjustRightInd w:val="0"/>
              <w:spacing w:line="240" w:lineRule="auto"/>
              <w:textAlignment w:val="baseline"/>
              <w:rPr>
                <w:i/>
                <w:sz w:val="22"/>
                <w:szCs w:val="22"/>
              </w:rPr>
            </w:pPr>
            <w:hyperlink r:id="rId52" w:history="1">
              <w:r w:rsidRPr="00B3204A">
                <w:rPr>
                  <w:i/>
                  <w:color w:val="0000FF"/>
                  <w:sz w:val="22"/>
                  <w:szCs w:val="22"/>
                  <w:u w:val="single"/>
                </w:rPr>
                <w:t>Silvia.Staffa@eesc.europa.eu</w:t>
              </w:r>
            </w:hyperlink>
          </w:p>
        </w:tc>
      </w:tr>
    </w:tbl>
    <w:p w14:paraId="6B0B7BA6" w14:textId="3C4993BC" w:rsidR="00CB6F1C" w:rsidRDefault="00CB6F1C">
      <w:pPr>
        <w:spacing w:after="160" w:line="259" w:lineRule="auto"/>
        <w:jc w:val="left"/>
      </w:pPr>
    </w:p>
    <w:p w14:paraId="2AE1B217" w14:textId="5E49C381" w:rsidR="001F4150" w:rsidRPr="001F4150" w:rsidRDefault="00A067F3" w:rsidP="0012608E">
      <w:pPr>
        <w:keepNext/>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rPr>
      </w:pPr>
      <w:hyperlink r:id="rId53" w:history="1">
        <w:r>
          <w:rPr>
            <w:b/>
            <w:i/>
            <w:color w:val="0000FF"/>
            <w:sz w:val="28"/>
            <w:u w:val="single"/>
          </w:rPr>
          <w:t>Marché unique — faire face aux contraintes territoriales injustifiées en matière d’approvisionnement</w:t>
        </w:r>
      </w:hyperlink>
    </w:p>
    <w:tbl>
      <w:tblPr>
        <w:tblStyle w:val="TableGrid17"/>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1F4150" w:rsidRPr="00480EA8" w14:paraId="27380A90" w14:textId="77777777" w:rsidTr="002E7EFB">
        <w:tc>
          <w:tcPr>
            <w:tcW w:w="1148" w:type="pct"/>
          </w:tcPr>
          <w:p w14:paraId="2F79F3A7" w14:textId="77777777" w:rsidR="001F4150" w:rsidRPr="00480EA8" w:rsidRDefault="001F4150" w:rsidP="0012608E">
            <w:pPr>
              <w:keepNext/>
              <w:tabs>
                <w:tab w:val="center" w:pos="284"/>
              </w:tabs>
              <w:overflowPunct w:val="0"/>
              <w:autoSpaceDE w:val="0"/>
              <w:autoSpaceDN w:val="0"/>
              <w:adjustRightInd w:val="0"/>
              <w:ind w:left="266" w:hanging="266"/>
              <w:textAlignment w:val="baseline"/>
              <w:rPr>
                <w:b/>
                <w:sz w:val="22"/>
                <w:szCs w:val="22"/>
              </w:rPr>
            </w:pPr>
          </w:p>
          <w:p w14:paraId="7485093C" w14:textId="77777777" w:rsidR="001F4150" w:rsidRPr="00480EA8" w:rsidRDefault="001F4150" w:rsidP="0012608E">
            <w:pPr>
              <w:keepNext/>
              <w:tabs>
                <w:tab w:val="center" w:pos="284"/>
              </w:tabs>
              <w:overflowPunct w:val="0"/>
              <w:autoSpaceDE w:val="0"/>
              <w:autoSpaceDN w:val="0"/>
              <w:adjustRightInd w:val="0"/>
              <w:ind w:left="266" w:hanging="376"/>
              <w:textAlignment w:val="baseline"/>
              <w:rPr>
                <w:b/>
                <w:sz w:val="22"/>
                <w:szCs w:val="22"/>
              </w:rPr>
            </w:pPr>
            <w:r w:rsidRPr="00480EA8">
              <w:rPr>
                <w:b/>
                <w:sz w:val="22"/>
                <w:szCs w:val="22"/>
              </w:rPr>
              <w:t>Rapporteure</w:t>
            </w:r>
          </w:p>
          <w:p w14:paraId="2EC02C26" w14:textId="77777777" w:rsidR="001F4150" w:rsidRPr="00480EA8" w:rsidRDefault="001F4150" w:rsidP="0012608E">
            <w:pPr>
              <w:keepNext/>
              <w:tabs>
                <w:tab w:val="center" w:pos="284"/>
              </w:tabs>
              <w:overflowPunct w:val="0"/>
              <w:autoSpaceDE w:val="0"/>
              <w:autoSpaceDN w:val="0"/>
              <w:adjustRightInd w:val="0"/>
              <w:ind w:left="266" w:hanging="376"/>
              <w:textAlignment w:val="baseline"/>
              <w:rPr>
                <w:b/>
                <w:sz w:val="22"/>
                <w:szCs w:val="22"/>
              </w:rPr>
            </w:pPr>
          </w:p>
        </w:tc>
        <w:tc>
          <w:tcPr>
            <w:tcW w:w="3852" w:type="pct"/>
          </w:tcPr>
          <w:p w14:paraId="1D6A7045" w14:textId="77777777" w:rsidR="001F4150" w:rsidRPr="00480EA8" w:rsidRDefault="001F4150" w:rsidP="0012608E">
            <w:pPr>
              <w:keepNext/>
              <w:tabs>
                <w:tab w:val="center" w:pos="284"/>
              </w:tabs>
              <w:overflowPunct w:val="0"/>
              <w:autoSpaceDE w:val="0"/>
              <w:autoSpaceDN w:val="0"/>
              <w:adjustRightInd w:val="0"/>
              <w:ind w:left="266" w:hanging="266"/>
              <w:textAlignment w:val="baseline"/>
              <w:rPr>
                <w:sz w:val="22"/>
                <w:szCs w:val="22"/>
              </w:rPr>
            </w:pPr>
          </w:p>
          <w:p w14:paraId="1761BEF7" w14:textId="4E47E597" w:rsidR="001F4150" w:rsidRPr="00480EA8" w:rsidRDefault="001F4150" w:rsidP="0012608E">
            <w:pPr>
              <w:keepNext/>
              <w:tabs>
                <w:tab w:val="center" w:pos="284"/>
              </w:tabs>
              <w:overflowPunct w:val="0"/>
              <w:autoSpaceDE w:val="0"/>
              <w:autoSpaceDN w:val="0"/>
              <w:adjustRightInd w:val="0"/>
              <w:ind w:left="266" w:hanging="266"/>
              <w:textAlignment w:val="baseline"/>
              <w:rPr>
                <w:sz w:val="22"/>
                <w:szCs w:val="22"/>
              </w:rPr>
            </w:pPr>
            <w:r w:rsidRPr="00480EA8">
              <w:rPr>
                <w:sz w:val="22"/>
                <w:szCs w:val="22"/>
              </w:rPr>
              <w:t>Antje GERSTEIN (groupe des employeurs — Allemagne)</w:t>
            </w:r>
          </w:p>
          <w:p w14:paraId="1BE7D08A" w14:textId="77777777" w:rsidR="001F4150" w:rsidRPr="00480EA8" w:rsidRDefault="001F4150" w:rsidP="0012608E">
            <w:pPr>
              <w:keepNext/>
              <w:tabs>
                <w:tab w:val="center" w:pos="284"/>
              </w:tabs>
              <w:overflowPunct w:val="0"/>
              <w:autoSpaceDE w:val="0"/>
              <w:autoSpaceDN w:val="0"/>
              <w:adjustRightInd w:val="0"/>
              <w:ind w:left="266" w:hanging="266"/>
              <w:textAlignment w:val="baseline"/>
              <w:rPr>
                <w:sz w:val="22"/>
                <w:szCs w:val="22"/>
                <w:lang w:val="fr-BE"/>
              </w:rPr>
            </w:pPr>
          </w:p>
        </w:tc>
      </w:tr>
      <w:tr w:rsidR="001F4150" w:rsidRPr="00480EA8" w14:paraId="0CDF272C" w14:textId="77777777" w:rsidTr="002E7EFB">
        <w:tc>
          <w:tcPr>
            <w:tcW w:w="1148" w:type="pct"/>
            <w:vMerge w:val="restart"/>
          </w:tcPr>
          <w:p w14:paraId="2BF9F448" w14:textId="77777777" w:rsidR="001F4150" w:rsidRPr="00480EA8" w:rsidRDefault="001F4150" w:rsidP="0012608E">
            <w:pPr>
              <w:keepNext/>
              <w:tabs>
                <w:tab w:val="center" w:pos="284"/>
              </w:tabs>
              <w:overflowPunct w:val="0"/>
              <w:autoSpaceDE w:val="0"/>
              <w:autoSpaceDN w:val="0"/>
              <w:adjustRightInd w:val="0"/>
              <w:ind w:left="266" w:hanging="376"/>
              <w:textAlignment w:val="baseline"/>
              <w:rPr>
                <w:b/>
                <w:sz w:val="22"/>
                <w:szCs w:val="22"/>
              </w:rPr>
            </w:pPr>
            <w:r w:rsidRPr="00480EA8">
              <w:rPr>
                <w:b/>
                <w:sz w:val="22"/>
                <w:szCs w:val="22"/>
              </w:rPr>
              <w:t>Références</w:t>
            </w:r>
          </w:p>
        </w:tc>
        <w:tc>
          <w:tcPr>
            <w:tcW w:w="3852" w:type="pct"/>
          </w:tcPr>
          <w:p w14:paraId="2F1D29F3" w14:textId="714FA805" w:rsidR="001F4150" w:rsidRPr="00480EA8" w:rsidRDefault="001F4150" w:rsidP="0012608E">
            <w:pPr>
              <w:keepNext/>
              <w:tabs>
                <w:tab w:val="center" w:pos="284"/>
              </w:tabs>
              <w:overflowPunct w:val="0"/>
              <w:autoSpaceDE w:val="0"/>
              <w:autoSpaceDN w:val="0"/>
              <w:adjustRightInd w:val="0"/>
              <w:ind w:left="266" w:hanging="266"/>
              <w:textAlignment w:val="baseline"/>
              <w:rPr>
                <w:sz w:val="22"/>
                <w:szCs w:val="22"/>
              </w:rPr>
            </w:pPr>
            <w:r w:rsidRPr="00480EA8">
              <w:rPr>
                <w:sz w:val="22"/>
                <w:szCs w:val="22"/>
              </w:rPr>
              <w:t>Avis exploratoire à la demande de la Commission européenne</w:t>
            </w:r>
          </w:p>
        </w:tc>
      </w:tr>
      <w:tr w:rsidR="001F4150" w:rsidRPr="00480EA8" w14:paraId="64A253EA" w14:textId="77777777" w:rsidTr="002E7EFB">
        <w:tc>
          <w:tcPr>
            <w:tcW w:w="1148" w:type="pct"/>
            <w:vMerge/>
          </w:tcPr>
          <w:p w14:paraId="67EE78EE" w14:textId="77777777" w:rsidR="001F4150" w:rsidRPr="00480EA8" w:rsidRDefault="001F4150" w:rsidP="0012608E">
            <w:pPr>
              <w:keepNext/>
              <w:tabs>
                <w:tab w:val="center" w:pos="284"/>
              </w:tabs>
              <w:overflowPunct w:val="0"/>
              <w:autoSpaceDE w:val="0"/>
              <w:autoSpaceDN w:val="0"/>
              <w:adjustRightInd w:val="0"/>
              <w:ind w:left="266" w:hanging="266"/>
              <w:textAlignment w:val="baseline"/>
              <w:rPr>
                <w:b/>
                <w:sz w:val="22"/>
                <w:szCs w:val="22"/>
              </w:rPr>
            </w:pPr>
          </w:p>
        </w:tc>
        <w:tc>
          <w:tcPr>
            <w:tcW w:w="3852" w:type="pct"/>
          </w:tcPr>
          <w:p w14:paraId="42A23A45" w14:textId="373FB450" w:rsidR="001F4150" w:rsidRPr="00480EA8" w:rsidRDefault="001F4150" w:rsidP="0012608E">
            <w:pPr>
              <w:keepNext/>
              <w:tabs>
                <w:tab w:val="center" w:pos="284"/>
              </w:tabs>
              <w:overflowPunct w:val="0"/>
              <w:autoSpaceDE w:val="0"/>
              <w:autoSpaceDN w:val="0"/>
              <w:adjustRightInd w:val="0"/>
              <w:ind w:left="266" w:hanging="266"/>
              <w:textAlignment w:val="baseline"/>
              <w:rPr>
                <w:sz w:val="22"/>
                <w:szCs w:val="22"/>
              </w:rPr>
            </w:pPr>
            <w:r w:rsidRPr="00480EA8">
              <w:rPr>
                <w:sz w:val="22"/>
                <w:szCs w:val="22"/>
              </w:rPr>
              <w:t>EESC-2026-00673-00-00-AC</w:t>
            </w:r>
          </w:p>
        </w:tc>
      </w:tr>
    </w:tbl>
    <w:p w14:paraId="427A1299"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60284235"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rPr>
      </w:pPr>
      <w:r>
        <w:rPr>
          <w:b/>
        </w:rPr>
        <w:t>Points clés</w:t>
      </w:r>
    </w:p>
    <w:p w14:paraId="0380E82A"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03573EDF" w14:textId="77777777" w:rsidR="001F4150" w:rsidRPr="001F4150" w:rsidRDefault="001F4150" w:rsidP="001F4150">
      <w:pPr>
        <w:overflowPunct w:val="0"/>
        <w:autoSpaceDE w:val="0"/>
        <w:autoSpaceDN w:val="0"/>
        <w:adjustRightInd w:val="0"/>
        <w:textAlignment w:val="baseline"/>
        <w:rPr>
          <w:bCs/>
          <w:iCs/>
        </w:rPr>
      </w:pPr>
      <w:r>
        <w:t xml:space="preserve">Le </w:t>
      </w:r>
      <w:proofErr w:type="gramStart"/>
      <w:r>
        <w:t>CESE:</w:t>
      </w:r>
      <w:proofErr w:type="gramEnd"/>
    </w:p>
    <w:p w14:paraId="4513998C" w14:textId="77777777" w:rsidR="001F4150" w:rsidRPr="001F4150" w:rsidRDefault="001F4150" w:rsidP="001F4150">
      <w:pPr>
        <w:overflowPunct w:val="0"/>
        <w:autoSpaceDE w:val="0"/>
        <w:autoSpaceDN w:val="0"/>
        <w:adjustRightInd w:val="0"/>
        <w:textAlignment w:val="baseline"/>
        <w:rPr>
          <w:bCs/>
          <w:iCs/>
          <w:lang w:val="en-GB"/>
        </w:rPr>
      </w:pPr>
    </w:p>
    <w:p w14:paraId="1BF673F7" w14:textId="77777777" w:rsidR="001F4150" w:rsidRPr="001F4150" w:rsidRDefault="001F4150" w:rsidP="00480EA8">
      <w:pPr>
        <w:widowControl w:val="0"/>
        <w:numPr>
          <w:ilvl w:val="0"/>
          <w:numId w:val="39"/>
        </w:numPr>
        <w:overflowPunct w:val="0"/>
        <w:autoSpaceDE w:val="0"/>
        <w:autoSpaceDN w:val="0"/>
        <w:adjustRightInd w:val="0"/>
        <w:ind w:left="567" w:hanging="567"/>
        <w:textAlignment w:val="baseline"/>
        <w:rPr>
          <w:szCs w:val="20"/>
        </w:rPr>
      </w:pPr>
      <w:proofErr w:type="gramStart"/>
      <w:r>
        <w:t>estime</w:t>
      </w:r>
      <w:proofErr w:type="gramEnd"/>
      <w:r>
        <w:t xml:space="preserve"> que les contraintes territoriales en matière d’approvisionnement nuisent aux activités transfrontières et rompent la promesse du marché unique d’offrir aux consommateurs du choix ainsi qu’une concurrence par les </w:t>
      </w:r>
      <w:proofErr w:type="gramStart"/>
      <w:r>
        <w:t>prix;</w:t>
      </w:r>
      <w:proofErr w:type="gramEnd"/>
    </w:p>
    <w:p w14:paraId="58CB97FB" w14:textId="77777777" w:rsidR="001F4150" w:rsidRPr="001F4150" w:rsidRDefault="001F4150" w:rsidP="00480EA8">
      <w:pPr>
        <w:widowControl w:val="0"/>
        <w:numPr>
          <w:ilvl w:val="0"/>
          <w:numId w:val="39"/>
        </w:numPr>
        <w:overflowPunct w:val="0"/>
        <w:autoSpaceDE w:val="0"/>
        <w:autoSpaceDN w:val="0"/>
        <w:adjustRightInd w:val="0"/>
        <w:ind w:left="567" w:hanging="567"/>
        <w:textAlignment w:val="baseline"/>
        <w:rPr>
          <w:szCs w:val="20"/>
        </w:rPr>
      </w:pPr>
      <w:proofErr w:type="gramStart"/>
      <w:r>
        <w:t>juge</w:t>
      </w:r>
      <w:proofErr w:type="gramEnd"/>
      <w:r>
        <w:t xml:space="preserve"> particulièrement important pour les consommateurs et les travailleurs de tirer parti d’un bon fonctionnement du marché unique en matière de prix et de choix de </w:t>
      </w:r>
      <w:proofErr w:type="gramStart"/>
      <w:r>
        <w:t>produits;</w:t>
      </w:r>
      <w:proofErr w:type="gramEnd"/>
    </w:p>
    <w:p w14:paraId="15925C71" w14:textId="77777777" w:rsidR="001F4150" w:rsidRPr="001F4150" w:rsidRDefault="001F4150" w:rsidP="00480EA8">
      <w:pPr>
        <w:widowControl w:val="0"/>
        <w:numPr>
          <w:ilvl w:val="0"/>
          <w:numId w:val="39"/>
        </w:numPr>
        <w:overflowPunct w:val="0"/>
        <w:autoSpaceDE w:val="0"/>
        <w:autoSpaceDN w:val="0"/>
        <w:adjustRightInd w:val="0"/>
        <w:ind w:left="567" w:hanging="567"/>
        <w:textAlignment w:val="baseline"/>
        <w:rPr>
          <w:szCs w:val="20"/>
        </w:rPr>
      </w:pPr>
      <w:proofErr w:type="gramStart"/>
      <w:r>
        <w:t>invite</w:t>
      </w:r>
      <w:proofErr w:type="gramEnd"/>
      <w:r>
        <w:t xml:space="preserve"> instamment les États membres à ne pas adopter de législation nationale qui renationaliserait davantage le marché de </w:t>
      </w:r>
      <w:proofErr w:type="gramStart"/>
      <w:r>
        <w:t>l’approvisionnement;</w:t>
      </w:r>
      <w:proofErr w:type="gramEnd"/>
      <w:r>
        <w:t xml:space="preserve"> bien au contraire, il importe de supprimer les obstacles injustifiés à la libre circulation des marchandises, sans pour autant porter atteinte aux exigences légitimes relatives à la protection des </w:t>
      </w:r>
      <w:proofErr w:type="gramStart"/>
      <w:r>
        <w:t>consommateurs;</w:t>
      </w:r>
      <w:proofErr w:type="gramEnd"/>
    </w:p>
    <w:p w14:paraId="2AF10FE0" w14:textId="77777777" w:rsidR="001F4150" w:rsidRPr="001F4150" w:rsidRDefault="001F4150" w:rsidP="00480EA8">
      <w:pPr>
        <w:widowControl w:val="0"/>
        <w:numPr>
          <w:ilvl w:val="0"/>
          <w:numId w:val="39"/>
        </w:numPr>
        <w:overflowPunct w:val="0"/>
        <w:autoSpaceDE w:val="0"/>
        <w:autoSpaceDN w:val="0"/>
        <w:adjustRightInd w:val="0"/>
        <w:ind w:left="567" w:hanging="567"/>
        <w:textAlignment w:val="baseline"/>
        <w:rPr>
          <w:szCs w:val="20"/>
        </w:rPr>
      </w:pPr>
      <w:proofErr w:type="gramStart"/>
      <w:r>
        <w:t>considère</w:t>
      </w:r>
      <w:proofErr w:type="gramEnd"/>
      <w:r>
        <w:t xml:space="preserve"> qu’il est utile d’envisager la possibilité d’élaborer des lignes directrices à l’intention des autorités nationales de concurrence et des parties prenantes </w:t>
      </w:r>
      <w:proofErr w:type="gramStart"/>
      <w:r>
        <w:t>concernées;</w:t>
      </w:r>
      <w:proofErr w:type="gramEnd"/>
    </w:p>
    <w:p w14:paraId="7CFAE062" w14:textId="77777777" w:rsidR="001F4150" w:rsidRPr="001F4150" w:rsidRDefault="001F4150" w:rsidP="00480EA8">
      <w:pPr>
        <w:numPr>
          <w:ilvl w:val="0"/>
          <w:numId w:val="39"/>
        </w:numPr>
        <w:overflowPunct w:val="0"/>
        <w:autoSpaceDE w:val="0"/>
        <w:autoSpaceDN w:val="0"/>
        <w:adjustRightInd w:val="0"/>
        <w:spacing w:after="200" w:line="276" w:lineRule="auto"/>
        <w:ind w:left="567" w:hanging="567"/>
        <w:contextualSpacing/>
        <w:textAlignment w:val="baseline"/>
        <w:rPr>
          <w:szCs w:val="20"/>
        </w:rPr>
      </w:pPr>
      <w:proofErr w:type="gramStart"/>
      <w:r>
        <w:t>demande</w:t>
      </w:r>
      <w:proofErr w:type="gramEnd"/>
      <w:r>
        <w:t xml:space="preserve"> à la Commission européenne qu’elle envisage de proposer une législation fondée sur les principes du règlement sur les marchés numériques (DMA) ou de la directive sur les pratiques commerciales déloyales dans la chaîne d’approvisionnement agroalimentaire afin de remédier efficacement aux contraintes territoriales d’approvisionnement et de garantir des pratiques commerciales plus équitables dans la chaîne d’approvisionnement.</w:t>
      </w:r>
    </w:p>
    <w:p w14:paraId="08DE9FF7" w14:textId="77777777" w:rsidR="001F4150" w:rsidRPr="001F4150" w:rsidRDefault="001F4150" w:rsidP="001F4150">
      <w:pPr>
        <w:widowControl w:val="0"/>
        <w:overflowPunct w:val="0"/>
        <w:autoSpaceDE w:val="0"/>
        <w:autoSpaceDN w:val="0"/>
        <w:adjustRightInd w:val="0"/>
        <w:ind w:left="567"/>
        <w:textAlignment w:val="baseline"/>
        <w:rPr>
          <w:szCs w:val="20"/>
          <w:lang w:val="en-GB"/>
        </w:rPr>
      </w:pPr>
    </w:p>
    <w:tbl>
      <w:tblPr>
        <w:tblStyle w:val="TableGrid1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1F4150" w:rsidRPr="00480EA8" w14:paraId="040FF66B" w14:textId="77777777" w:rsidTr="002E7EFB">
        <w:tc>
          <w:tcPr>
            <w:tcW w:w="1556" w:type="pct"/>
          </w:tcPr>
          <w:p w14:paraId="5FAB806C" w14:textId="77777777" w:rsidR="001F4150" w:rsidRPr="00480EA8" w:rsidRDefault="001F4150" w:rsidP="001F4150">
            <w:pPr>
              <w:overflowPunct w:val="0"/>
              <w:autoSpaceDE w:val="0"/>
              <w:autoSpaceDN w:val="0"/>
              <w:adjustRightInd w:val="0"/>
              <w:spacing w:line="240" w:lineRule="auto"/>
              <w:textAlignment w:val="baseline"/>
              <w:rPr>
                <w:i/>
                <w:sz w:val="22"/>
                <w:szCs w:val="22"/>
              </w:rPr>
            </w:pPr>
            <w:r w:rsidRPr="00480EA8">
              <w:rPr>
                <w:b/>
                <w:i/>
                <w:sz w:val="22"/>
                <w:szCs w:val="22"/>
              </w:rPr>
              <w:t>Contact</w:t>
            </w:r>
          </w:p>
        </w:tc>
        <w:tc>
          <w:tcPr>
            <w:tcW w:w="3444" w:type="pct"/>
          </w:tcPr>
          <w:p w14:paraId="516AAA31" w14:textId="77777777" w:rsidR="001F4150" w:rsidRPr="00480EA8" w:rsidRDefault="001F4150" w:rsidP="001F4150">
            <w:pPr>
              <w:overflowPunct w:val="0"/>
              <w:autoSpaceDE w:val="0"/>
              <w:autoSpaceDN w:val="0"/>
              <w:adjustRightInd w:val="0"/>
              <w:spacing w:line="240" w:lineRule="auto"/>
              <w:textAlignment w:val="baseline"/>
              <w:rPr>
                <w:i/>
                <w:sz w:val="22"/>
                <w:szCs w:val="22"/>
              </w:rPr>
            </w:pPr>
            <w:r w:rsidRPr="00480EA8">
              <w:rPr>
                <w:i/>
                <w:sz w:val="22"/>
                <w:szCs w:val="22"/>
              </w:rPr>
              <w:t>Annalisa Tessarolo</w:t>
            </w:r>
          </w:p>
        </w:tc>
      </w:tr>
      <w:tr w:rsidR="001F4150" w:rsidRPr="00480EA8" w14:paraId="5B08B574" w14:textId="77777777" w:rsidTr="002E7EFB">
        <w:tc>
          <w:tcPr>
            <w:tcW w:w="1556" w:type="pct"/>
          </w:tcPr>
          <w:p w14:paraId="736D0776" w14:textId="77777777" w:rsidR="001F4150" w:rsidRPr="00480EA8" w:rsidRDefault="001F4150" w:rsidP="00634494">
            <w:pPr>
              <w:overflowPunct w:val="0"/>
              <w:autoSpaceDE w:val="0"/>
              <w:autoSpaceDN w:val="0"/>
              <w:adjustRightInd w:val="0"/>
              <w:spacing w:line="240" w:lineRule="auto"/>
              <w:ind w:left="567"/>
              <w:textAlignment w:val="baseline"/>
              <w:rPr>
                <w:i/>
                <w:sz w:val="22"/>
                <w:szCs w:val="22"/>
              </w:rPr>
            </w:pPr>
            <w:r w:rsidRPr="00480EA8">
              <w:rPr>
                <w:i/>
                <w:sz w:val="22"/>
                <w:szCs w:val="22"/>
              </w:rPr>
              <w:t>Tél.</w:t>
            </w:r>
          </w:p>
        </w:tc>
        <w:tc>
          <w:tcPr>
            <w:tcW w:w="3444" w:type="pct"/>
          </w:tcPr>
          <w:p w14:paraId="38C43A98" w14:textId="77777777" w:rsidR="001F4150" w:rsidRPr="00480EA8" w:rsidRDefault="001F4150" w:rsidP="001F4150">
            <w:pPr>
              <w:overflowPunct w:val="0"/>
              <w:autoSpaceDE w:val="0"/>
              <w:autoSpaceDN w:val="0"/>
              <w:adjustRightInd w:val="0"/>
              <w:spacing w:line="240" w:lineRule="auto"/>
              <w:textAlignment w:val="baseline"/>
              <w:rPr>
                <w:i/>
                <w:sz w:val="22"/>
                <w:szCs w:val="22"/>
              </w:rPr>
            </w:pPr>
            <w:r w:rsidRPr="00480EA8">
              <w:rPr>
                <w:i/>
                <w:sz w:val="22"/>
                <w:szCs w:val="22"/>
              </w:rPr>
              <w:t>+32 2 546 9732</w:t>
            </w:r>
          </w:p>
        </w:tc>
      </w:tr>
      <w:tr w:rsidR="001F4150" w:rsidRPr="00480EA8" w14:paraId="1C237976" w14:textId="77777777" w:rsidTr="002E7EFB">
        <w:tc>
          <w:tcPr>
            <w:tcW w:w="1556" w:type="pct"/>
          </w:tcPr>
          <w:p w14:paraId="782613FB" w14:textId="21F52E77" w:rsidR="001F4150" w:rsidRPr="00480EA8" w:rsidRDefault="00785300" w:rsidP="00634494">
            <w:pPr>
              <w:overflowPunct w:val="0"/>
              <w:autoSpaceDE w:val="0"/>
              <w:autoSpaceDN w:val="0"/>
              <w:adjustRightInd w:val="0"/>
              <w:spacing w:line="240" w:lineRule="auto"/>
              <w:ind w:left="567"/>
              <w:textAlignment w:val="baseline"/>
              <w:rPr>
                <w:i/>
                <w:sz w:val="22"/>
                <w:szCs w:val="22"/>
              </w:rPr>
            </w:pPr>
            <w:r w:rsidRPr="00480EA8">
              <w:rPr>
                <w:i/>
                <w:sz w:val="22"/>
                <w:szCs w:val="22"/>
              </w:rPr>
              <w:t>Courriel</w:t>
            </w:r>
          </w:p>
        </w:tc>
        <w:tc>
          <w:tcPr>
            <w:tcW w:w="3444" w:type="pct"/>
          </w:tcPr>
          <w:p w14:paraId="67D97326" w14:textId="3A00145C" w:rsidR="001F4150" w:rsidRPr="00480EA8" w:rsidRDefault="00E44636" w:rsidP="001F4150">
            <w:pPr>
              <w:overflowPunct w:val="0"/>
              <w:autoSpaceDE w:val="0"/>
              <w:autoSpaceDN w:val="0"/>
              <w:adjustRightInd w:val="0"/>
              <w:spacing w:line="240" w:lineRule="auto"/>
              <w:textAlignment w:val="baseline"/>
              <w:rPr>
                <w:i/>
                <w:iCs/>
                <w:sz w:val="22"/>
                <w:szCs w:val="22"/>
              </w:rPr>
            </w:pPr>
            <w:hyperlink r:id="rId54" w:history="1">
              <w:r w:rsidRPr="00480EA8">
                <w:rPr>
                  <w:i/>
                  <w:color w:val="0000FF"/>
                  <w:sz w:val="22"/>
                  <w:szCs w:val="22"/>
                  <w:u w:val="single"/>
                </w:rPr>
                <w:t>Annalisa.Tessarolo@eesc.europa.eu</w:t>
              </w:r>
            </w:hyperlink>
          </w:p>
        </w:tc>
      </w:tr>
    </w:tbl>
    <w:p w14:paraId="47AF9916" w14:textId="133CA2E1" w:rsidR="004619A5" w:rsidRDefault="004619A5" w:rsidP="001766B2">
      <w:pPr>
        <w:pStyle w:val="ListParagraph"/>
        <w:ind w:left="0"/>
      </w:pPr>
    </w:p>
    <w:p w14:paraId="3EFBC0D9" w14:textId="6CD8265D" w:rsidR="00227AA1" w:rsidRPr="00227AA1" w:rsidRDefault="00E44636" w:rsidP="0012608E">
      <w:pPr>
        <w:keepNext/>
        <w:widowControl w:val="0"/>
        <w:numPr>
          <w:ilvl w:val="0"/>
          <w:numId w:val="4"/>
        </w:numPr>
        <w:overflowPunct w:val="0"/>
        <w:autoSpaceDE w:val="0"/>
        <w:autoSpaceDN w:val="0"/>
        <w:adjustRightInd w:val="0"/>
        <w:ind w:hanging="567"/>
        <w:textAlignment w:val="baseline"/>
        <w:rPr>
          <w:sz w:val="20"/>
          <w:szCs w:val="20"/>
        </w:rPr>
      </w:pPr>
      <w:hyperlink r:id="rId55" w:tgtFrame="_blank" w:history="1">
        <w:r>
          <w:rPr>
            <w:b/>
            <w:i/>
            <w:color w:val="0000FF"/>
            <w:sz w:val="28"/>
            <w:u w:val="single"/>
          </w:rPr>
          <w:t xml:space="preserve">Stratégie de l’UE en faveur </w:t>
        </w:r>
        <w:proofErr w:type="gramStart"/>
        <w:r>
          <w:rPr>
            <w:b/>
            <w:i/>
            <w:color w:val="0000FF"/>
            <w:sz w:val="28"/>
            <w:u w:val="single"/>
          </w:rPr>
          <w:t>des start-up</w:t>
        </w:r>
        <w:proofErr w:type="gramEnd"/>
        <w:r>
          <w:rPr>
            <w:b/>
            <w:i/>
            <w:color w:val="0000FF"/>
            <w:sz w:val="28"/>
            <w:u w:val="single"/>
          </w:rPr>
          <w:t xml:space="preserve"> et des scale-up — l’enjeu de l’acte législatif européen sur l’innovation</w:t>
        </w:r>
      </w:hyperlink>
    </w:p>
    <w:p w14:paraId="5B220B7D" w14:textId="77777777" w:rsidR="00227AA1" w:rsidRPr="00227AA1" w:rsidRDefault="00227AA1" w:rsidP="0012608E">
      <w:pPr>
        <w:keepNext/>
        <w:tabs>
          <w:tab w:val="center" w:pos="284"/>
        </w:tabs>
        <w:overflowPunct w:val="0"/>
        <w:autoSpaceDE w:val="0"/>
        <w:autoSpaceDN w:val="0"/>
        <w:adjustRightInd w:val="0"/>
        <w:ind w:left="266" w:hanging="266"/>
        <w:textAlignment w:val="baseline"/>
        <w:rPr>
          <w:b/>
          <w:lang w:val="en-GB"/>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227AA1" w:rsidRPr="00480EA8" w14:paraId="6C2F2EA8" w14:textId="77777777" w:rsidTr="004C6742">
        <w:tc>
          <w:tcPr>
            <w:tcW w:w="1701" w:type="dxa"/>
          </w:tcPr>
          <w:p w14:paraId="441F9F44" w14:textId="77777777" w:rsidR="00227AA1" w:rsidRPr="00480EA8" w:rsidRDefault="00227AA1" w:rsidP="0012608E">
            <w:pPr>
              <w:keepNext/>
              <w:tabs>
                <w:tab w:val="center" w:pos="284"/>
              </w:tabs>
              <w:overflowPunct w:val="0"/>
              <w:autoSpaceDE w:val="0"/>
              <w:autoSpaceDN w:val="0"/>
              <w:adjustRightInd w:val="0"/>
              <w:ind w:left="266" w:hanging="266"/>
              <w:textAlignment w:val="baseline"/>
              <w:rPr>
                <w:b/>
                <w:sz w:val="22"/>
                <w:szCs w:val="22"/>
              </w:rPr>
            </w:pPr>
            <w:r w:rsidRPr="00480EA8">
              <w:rPr>
                <w:b/>
                <w:sz w:val="22"/>
                <w:szCs w:val="22"/>
              </w:rPr>
              <w:t>Rapporteur</w:t>
            </w:r>
          </w:p>
        </w:tc>
        <w:tc>
          <w:tcPr>
            <w:tcW w:w="6663" w:type="dxa"/>
          </w:tcPr>
          <w:p w14:paraId="5142010D" w14:textId="3947509E" w:rsidR="00227AA1" w:rsidRPr="00480EA8" w:rsidRDefault="00227AA1" w:rsidP="0012608E">
            <w:pPr>
              <w:keepNext/>
              <w:tabs>
                <w:tab w:val="center" w:pos="284"/>
              </w:tabs>
              <w:overflowPunct w:val="0"/>
              <w:autoSpaceDE w:val="0"/>
              <w:autoSpaceDN w:val="0"/>
              <w:adjustRightInd w:val="0"/>
              <w:ind w:left="266" w:hanging="266"/>
              <w:textAlignment w:val="baseline"/>
              <w:rPr>
                <w:sz w:val="22"/>
                <w:szCs w:val="22"/>
              </w:rPr>
            </w:pPr>
            <w:r w:rsidRPr="00480EA8">
              <w:rPr>
                <w:sz w:val="22"/>
                <w:szCs w:val="22"/>
              </w:rPr>
              <w:t>Paul RÜBIG (groupe des employeurs — Autriche)</w:t>
            </w:r>
          </w:p>
        </w:tc>
      </w:tr>
      <w:tr w:rsidR="00227AA1" w:rsidRPr="00480EA8" w14:paraId="35AF9FA7" w14:textId="77777777" w:rsidTr="004C6742">
        <w:tc>
          <w:tcPr>
            <w:tcW w:w="8364" w:type="dxa"/>
            <w:gridSpan w:val="2"/>
          </w:tcPr>
          <w:p w14:paraId="691DC230" w14:textId="77777777" w:rsidR="00227AA1" w:rsidRPr="00480EA8" w:rsidRDefault="00227AA1" w:rsidP="0012608E">
            <w:pPr>
              <w:keepNext/>
              <w:tabs>
                <w:tab w:val="center" w:pos="284"/>
              </w:tabs>
              <w:overflowPunct w:val="0"/>
              <w:autoSpaceDE w:val="0"/>
              <w:autoSpaceDN w:val="0"/>
              <w:adjustRightInd w:val="0"/>
              <w:spacing w:line="160" w:lineRule="exact"/>
              <w:ind w:left="266" w:hanging="266"/>
              <w:textAlignment w:val="baseline"/>
              <w:rPr>
                <w:sz w:val="22"/>
                <w:szCs w:val="22"/>
              </w:rPr>
            </w:pPr>
          </w:p>
        </w:tc>
      </w:tr>
      <w:tr w:rsidR="00227AA1" w:rsidRPr="00480EA8" w14:paraId="24C7D08D" w14:textId="77777777" w:rsidTr="004C6742">
        <w:tc>
          <w:tcPr>
            <w:tcW w:w="1701" w:type="dxa"/>
            <w:vMerge w:val="restart"/>
          </w:tcPr>
          <w:p w14:paraId="2D8C98F2" w14:textId="77777777" w:rsidR="00227AA1" w:rsidRPr="00480EA8" w:rsidRDefault="00227AA1" w:rsidP="0012608E">
            <w:pPr>
              <w:keepNext/>
              <w:tabs>
                <w:tab w:val="center" w:pos="284"/>
              </w:tabs>
              <w:overflowPunct w:val="0"/>
              <w:autoSpaceDE w:val="0"/>
              <w:autoSpaceDN w:val="0"/>
              <w:adjustRightInd w:val="0"/>
              <w:ind w:left="266" w:hanging="266"/>
              <w:textAlignment w:val="baseline"/>
              <w:rPr>
                <w:b/>
                <w:sz w:val="22"/>
                <w:szCs w:val="22"/>
              </w:rPr>
            </w:pPr>
            <w:r w:rsidRPr="00480EA8">
              <w:rPr>
                <w:b/>
                <w:sz w:val="22"/>
                <w:szCs w:val="22"/>
              </w:rPr>
              <w:t>Références</w:t>
            </w:r>
          </w:p>
        </w:tc>
        <w:tc>
          <w:tcPr>
            <w:tcW w:w="6663" w:type="dxa"/>
          </w:tcPr>
          <w:p w14:paraId="05D43623" w14:textId="3773BAC0" w:rsidR="00227AA1" w:rsidRPr="00480EA8" w:rsidRDefault="00227AA1" w:rsidP="0012608E">
            <w:pPr>
              <w:keepNext/>
              <w:overflowPunct w:val="0"/>
              <w:autoSpaceDE w:val="0"/>
              <w:autoSpaceDN w:val="0"/>
              <w:adjustRightInd w:val="0"/>
              <w:textAlignment w:val="baseline"/>
              <w:rPr>
                <w:sz w:val="22"/>
                <w:szCs w:val="22"/>
              </w:rPr>
            </w:pPr>
            <w:r w:rsidRPr="00480EA8">
              <w:rPr>
                <w:sz w:val="22"/>
                <w:szCs w:val="22"/>
              </w:rPr>
              <w:t>Avis exploratoire à la demande de la présidence chypriote du Conseil de l’Union européenne</w:t>
            </w:r>
          </w:p>
          <w:p w14:paraId="392D955D" w14:textId="77777777" w:rsidR="00227AA1" w:rsidRPr="00480EA8" w:rsidRDefault="00227AA1" w:rsidP="0012608E">
            <w:pPr>
              <w:keepNext/>
              <w:tabs>
                <w:tab w:val="center" w:pos="284"/>
              </w:tabs>
              <w:overflowPunct w:val="0"/>
              <w:autoSpaceDE w:val="0"/>
              <w:autoSpaceDN w:val="0"/>
              <w:adjustRightInd w:val="0"/>
              <w:ind w:left="266" w:hanging="266"/>
              <w:textAlignment w:val="baseline"/>
              <w:rPr>
                <w:sz w:val="22"/>
                <w:szCs w:val="22"/>
              </w:rPr>
            </w:pPr>
            <w:r w:rsidRPr="00480EA8">
              <w:rPr>
                <w:sz w:val="22"/>
                <w:szCs w:val="22"/>
              </w:rPr>
              <w:t>EESC-2025-04126-00-00-AC</w:t>
            </w:r>
          </w:p>
        </w:tc>
      </w:tr>
      <w:tr w:rsidR="00227AA1" w:rsidRPr="00227AA1" w14:paraId="2384CA2A" w14:textId="77777777" w:rsidTr="004C6742">
        <w:tc>
          <w:tcPr>
            <w:tcW w:w="1701" w:type="dxa"/>
            <w:vMerge/>
          </w:tcPr>
          <w:p w14:paraId="20987ACE" w14:textId="77777777" w:rsidR="00227AA1" w:rsidRPr="00227AA1" w:rsidRDefault="00227AA1" w:rsidP="0012608E">
            <w:pPr>
              <w:keepNext/>
              <w:tabs>
                <w:tab w:val="center" w:pos="284"/>
              </w:tabs>
              <w:overflowPunct w:val="0"/>
              <w:autoSpaceDE w:val="0"/>
              <w:autoSpaceDN w:val="0"/>
              <w:adjustRightInd w:val="0"/>
              <w:ind w:left="266" w:hanging="266"/>
              <w:textAlignment w:val="baseline"/>
              <w:rPr>
                <w:b/>
              </w:rPr>
            </w:pPr>
          </w:p>
        </w:tc>
        <w:tc>
          <w:tcPr>
            <w:tcW w:w="6663" w:type="dxa"/>
          </w:tcPr>
          <w:p w14:paraId="14ABF28D" w14:textId="77777777" w:rsidR="00227AA1" w:rsidRPr="00227AA1" w:rsidRDefault="00227AA1" w:rsidP="0012608E">
            <w:pPr>
              <w:keepNext/>
              <w:tabs>
                <w:tab w:val="center" w:pos="284"/>
              </w:tabs>
              <w:overflowPunct w:val="0"/>
              <w:autoSpaceDE w:val="0"/>
              <w:autoSpaceDN w:val="0"/>
              <w:adjustRightInd w:val="0"/>
              <w:ind w:left="266" w:hanging="266"/>
              <w:textAlignment w:val="baseline"/>
            </w:pPr>
          </w:p>
        </w:tc>
      </w:tr>
    </w:tbl>
    <w:p w14:paraId="384C76EA" w14:textId="77777777" w:rsidR="00227AA1" w:rsidRPr="00227AA1" w:rsidRDefault="00227AA1" w:rsidP="0012608E">
      <w:pPr>
        <w:keepNext/>
        <w:tabs>
          <w:tab w:val="center" w:pos="284"/>
        </w:tabs>
        <w:overflowPunct w:val="0"/>
        <w:autoSpaceDE w:val="0"/>
        <w:autoSpaceDN w:val="0"/>
        <w:adjustRightInd w:val="0"/>
        <w:ind w:left="266" w:hanging="266"/>
        <w:textAlignment w:val="baseline"/>
        <w:rPr>
          <w:b/>
        </w:rPr>
      </w:pPr>
      <w:r>
        <w:rPr>
          <w:b/>
        </w:rPr>
        <w:t>Points clés</w:t>
      </w:r>
    </w:p>
    <w:p w14:paraId="687AB7B0" w14:textId="77777777" w:rsidR="00227AA1" w:rsidRPr="00227AA1" w:rsidRDefault="00227AA1" w:rsidP="0012608E">
      <w:pPr>
        <w:keepNext/>
        <w:tabs>
          <w:tab w:val="center" w:pos="284"/>
        </w:tabs>
        <w:overflowPunct w:val="0"/>
        <w:autoSpaceDE w:val="0"/>
        <w:autoSpaceDN w:val="0"/>
        <w:adjustRightInd w:val="0"/>
        <w:ind w:left="266" w:hanging="266"/>
        <w:textAlignment w:val="baseline"/>
        <w:rPr>
          <w:b/>
          <w:lang w:val="en-GB"/>
        </w:rPr>
      </w:pPr>
    </w:p>
    <w:p w14:paraId="46E5BC1F" w14:textId="77777777" w:rsidR="00227AA1" w:rsidRPr="00227AA1" w:rsidRDefault="00227AA1" w:rsidP="0012608E">
      <w:pPr>
        <w:keepNext/>
        <w:overflowPunct w:val="0"/>
        <w:autoSpaceDE w:val="0"/>
        <w:autoSpaceDN w:val="0"/>
        <w:adjustRightInd w:val="0"/>
        <w:textAlignment w:val="baseline"/>
        <w:rPr>
          <w:bCs/>
          <w:iCs/>
        </w:rPr>
      </w:pPr>
      <w:r>
        <w:t xml:space="preserve">Le CESE estime </w:t>
      </w:r>
      <w:proofErr w:type="gramStart"/>
      <w:r>
        <w:t>que:</w:t>
      </w:r>
      <w:proofErr w:type="gramEnd"/>
    </w:p>
    <w:p w14:paraId="766EBB4A" w14:textId="77777777" w:rsidR="00227AA1" w:rsidRPr="00227AA1" w:rsidRDefault="00227AA1" w:rsidP="0012608E">
      <w:pPr>
        <w:keepNext/>
        <w:overflowPunct w:val="0"/>
        <w:autoSpaceDE w:val="0"/>
        <w:autoSpaceDN w:val="0"/>
        <w:adjustRightInd w:val="0"/>
        <w:textAlignment w:val="baseline"/>
        <w:rPr>
          <w:bCs/>
          <w:iCs/>
          <w:lang w:val="en-GB"/>
        </w:rPr>
      </w:pPr>
    </w:p>
    <w:p w14:paraId="1113F168" w14:textId="77777777" w:rsidR="00227AA1" w:rsidRPr="00227AA1" w:rsidRDefault="00227AA1" w:rsidP="00480EA8">
      <w:pPr>
        <w:numPr>
          <w:ilvl w:val="0"/>
          <w:numId w:val="43"/>
        </w:numPr>
        <w:overflowPunct w:val="0"/>
        <w:autoSpaceDE w:val="0"/>
        <w:autoSpaceDN w:val="0"/>
        <w:adjustRightInd w:val="0"/>
        <w:spacing w:after="200" w:line="276" w:lineRule="auto"/>
        <w:ind w:left="567" w:hanging="567"/>
        <w:contextualSpacing/>
        <w:textAlignment w:val="baseline"/>
      </w:pPr>
      <w:proofErr w:type="gramStart"/>
      <w:r>
        <w:t>l’Europe</w:t>
      </w:r>
      <w:proofErr w:type="gramEnd"/>
      <w:r>
        <w:t xml:space="preserve"> doit considérablement renforcer son innovation et sa recherche, et elle a un sérieux retard à rattraper quand il s’agit d’en commercialiser les produits par l’intermédiaire de spin-off, de start-up et de scale-up.</w:t>
      </w:r>
      <w:r>
        <w:rPr>
          <w:rFonts w:ascii="Calibri" w:hAnsi="Calibri"/>
        </w:rPr>
        <w:t xml:space="preserve"> </w:t>
      </w:r>
      <w:r>
        <w:t xml:space="preserve">Dans des secteurs importants sur le plan stratégique, on craint de plus en plus que l’environnement en Europe soit devenu trop fragmenté, trop dense et trop lent pour pouvoir tenir le rythme soutenu de l’évolution des technologies à l’échelle de la </w:t>
      </w:r>
      <w:proofErr w:type="gramStart"/>
      <w:r>
        <w:t>planète;</w:t>
      </w:r>
      <w:proofErr w:type="gramEnd"/>
    </w:p>
    <w:p w14:paraId="4520EF6F" w14:textId="77777777" w:rsidR="00227AA1" w:rsidRPr="00227AA1" w:rsidRDefault="00227AA1" w:rsidP="00480EA8">
      <w:pPr>
        <w:numPr>
          <w:ilvl w:val="0"/>
          <w:numId w:val="43"/>
        </w:numPr>
        <w:overflowPunct w:val="0"/>
        <w:autoSpaceDE w:val="0"/>
        <w:autoSpaceDN w:val="0"/>
        <w:adjustRightInd w:val="0"/>
        <w:spacing w:after="200" w:line="276" w:lineRule="auto"/>
        <w:ind w:left="567" w:hanging="567"/>
        <w:contextualSpacing/>
        <w:textAlignment w:val="baseline"/>
      </w:pPr>
      <w:proofErr w:type="gramStart"/>
      <w:r>
        <w:t>cette</w:t>
      </w:r>
      <w:proofErr w:type="gramEnd"/>
      <w:r>
        <w:t xml:space="preserve"> situation est imputable en premier lieu à un recul dans la compréhension des processus de l’économie de marché ainsi qu’à des réglementations et des applications de plus en plus fragmentées au sein du marché unique, ce qui fait obstacle au décollage commercial par-delà les frontières et au transfert de technologies de la recherche vers </w:t>
      </w:r>
      <w:proofErr w:type="gramStart"/>
      <w:r>
        <w:t>l’industrie;</w:t>
      </w:r>
      <w:proofErr w:type="gramEnd"/>
    </w:p>
    <w:p w14:paraId="1B8E4833" w14:textId="77777777" w:rsidR="00227AA1" w:rsidRPr="00227AA1" w:rsidRDefault="00227AA1" w:rsidP="00480EA8">
      <w:pPr>
        <w:numPr>
          <w:ilvl w:val="0"/>
          <w:numId w:val="43"/>
        </w:numPr>
        <w:overflowPunct w:val="0"/>
        <w:autoSpaceDE w:val="0"/>
        <w:autoSpaceDN w:val="0"/>
        <w:adjustRightInd w:val="0"/>
        <w:spacing w:after="200" w:line="276" w:lineRule="auto"/>
        <w:ind w:left="567" w:hanging="567"/>
        <w:contextualSpacing/>
        <w:textAlignment w:val="baseline"/>
      </w:pPr>
      <w:proofErr w:type="gramStart"/>
      <w:r>
        <w:t>la</w:t>
      </w:r>
      <w:proofErr w:type="gramEnd"/>
      <w:r>
        <w:t xml:space="preserve"> lenteur des procédures administratives, leur numérisation limitée et les incohérences dans l’application des réglementations européennes aux niveaux national et régional constituent des obstacles supplémentaires pour les entreprises.</w:t>
      </w:r>
    </w:p>
    <w:p w14:paraId="3C747BF5" w14:textId="77777777" w:rsidR="00227AA1" w:rsidRPr="00227AA1" w:rsidRDefault="00227AA1" w:rsidP="00480EA8">
      <w:pPr>
        <w:numPr>
          <w:ilvl w:val="0"/>
          <w:numId w:val="43"/>
        </w:numPr>
        <w:overflowPunct w:val="0"/>
        <w:autoSpaceDE w:val="0"/>
        <w:autoSpaceDN w:val="0"/>
        <w:adjustRightInd w:val="0"/>
        <w:spacing w:after="200" w:line="276" w:lineRule="auto"/>
        <w:ind w:left="567" w:hanging="567"/>
        <w:contextualSpacing/>
        <w:textAlignment w:val="baseline"/>
      </w:pPr>
      <w:proofErr w:type="gramStart"/>
      <w:r>
        <w:t>l’acte</w:t>
      </w:r>
      <w:proofErr w:type="gramEnd"/>
      <w:r>
        <w:t xml:space="preserve"> législatif européen sur l’innovation pourrait aider </w:t>
      </w:r>
      <w:proofErr w:type="gramStart"/>
      <w:r>
        <w:t>les start-up</w:t>
      </w:r>
      <w:proofErr w:type="gramEnd"/>
      <w:r>
        <w:t xml:space="preserve"> et les scale-up qui exercent leurs activités par-delà les frontières, à condition qu’il prévoie des simplifications horizontales pour </w:t>
      </w:r>
      <w:proofErr w:type="gramStart"/>
      <w:r>
        <w:t>les start-up</w:t>
      </w:r>
      <w:proofErr w:type="gramEnd"/>
      <w:r>
        <w:t xml:space="preserve"> et que celles-ci aient obligatoirement la faculté d’y souscrire dans tous les États membres, en tenant compte également des droits des travailleurs et de la participation des salariés. Le Comité souligne que l’acte législatif européen sur l’innovation doit être aligné sur les principes d’une transition juste, de sorte que l’innovation contribue à la croissance économique, à la compétitivité et à la création d’emplois et qu’il soit, dans le même temps, tenu compte de la nécessité d’accompagner les travailleurs et les régions touchés par la transformation technologique et industrielle.</w:t>
      </w:r>
    </w:p>
    <w:p w14:paraId="5BC43F04" w14:textId="77777777" w:rsidR="00227AA1" w:rsidRPr="00227AA1" w:rsidRDefault="00227AA1" w:rsidP="00480EA8">
      <w:pPr>
        <w:numPr>
          <w:ilvl w:val="0"/>
          <w:numId w:val="43"/>
        </w:numPr>
        <w:overflowPunct w:val="0"/>
        <w:autoSpaceDE w:val="0"/>
        <w:autoSpaceDN w:val="0"/>
        <w:adjustRightInd w:val="0"/>
        <w:spacing w:after="200" w:line="276" w:lineRule="auto"/>
        <w:ind w:left="567" w:hanging="567"/>
        <w:contextualSpacing/>
        <w:textAlignment w:val="baseline"/>
      </w:pPr>
      <w:proofErr w:type="gramStart"/>
      <w:r>
        <w:t>un</w:t>
      </w:r>
      <w:proofErr w:type="gramEnd"/>
      <w:r>
        <w:t xml:space="preserve"> catalogue de critères pour évaluer les aspects innovants et les perspectives de croissance serait plus efficace et plus juste qu’une définition rigide </w:t>
      </w:r>
      <w:proofErr w:type="gramStart"/>
      <w:r>
        <w:t>des start-up</w:t>
      </w:r>
      <w:proofErr w:type="gramEnd"/>
      <w:r>
        <w:t xml:space="preserve"> et des scale-up. Un classement des universités favorables aux créateurs d’entreprise pourrait également se révéler utile aux fins de l’acte législatif sur l’innovation. Cet acte devrait par ailleurs venir renforcer le rôle des organismes de recherche et de technologie et de l’Institut européen d’innovation et de technologie, en particulier dans les secteurs des technologies de rupture et à forte intensité de capital.</w:t>
      </w:r>
    </w:p>
    <w:p w14:paraId="12B27491" w14:textId="77777777" w:rsidR="00227AA1" w:rsidRPr="004C6742" w:rsidRDefault="00227AA1" w:rsidP="0012608E">
      <w:pPr>
        <w:keepNext/>
        <w:numPr>
          <w:ilvl w:val="0"/>
          <w:numId w:val="43"/>
        </w:numPr>
        <w:overflowPunct w:val="0"/>
        <w:autoSpaceDE w:val="0"/>
        <w:autoSpaceDN w:val="0"/>
        <w:adjustRightInd w:val="0"/>
        <w:spacing w:after="200" w:line="276" w:lineRule="auto"/>
        <w:ind w:left="567" w:hanging="567"/>
        <w:contextualSpacing/>
        <w:textAlignment w:val="baseline"/>
        <w:rPr>
          <w:rFonts w:ascii="Calibri" w:hAnsi="Calibri"/>
        </w:rPr>
      </w:pPr>
      <w:proofErr w:type="gramStart"/>
      <w:r>
        <w:lastRenderedPageBreak/>
        <w:t>des</w:t>
      </w:r>
      <w:proofErr w:type="gramEnd"/>
      <w:r>
        <w:t xml:space="preserve"> incitations fiscales pour l’actionnariat salarié dans toute l’Europe favoriseraient l’innovation et la croissance. Les créateurs d’entreprise devraient aussi pouvoir bénéficier d’une protection contre les risques, avec des garanties appropriées pour les salariés et les créanciers, conformément aux cadres existants en ce qui concerne l’insolvabilité.</w:t>
      </w:r>
    </w:p>
    <w:p w14:paraId="5C529301" w14:textId="77777777" w:rsidR="00336295" w:rsidRPr="00227AA1" w:rsidRDefault="00336295" w:rsidP="0012608E">
      <w:pPr>
        <w:keepNext/>
        <w:overflowPunct w:val="0"/>
        <w:autoSpaceDE w:val="0"/>
        <w:autoSpaceDN w:val="0"/>
        <w:adjustRightInd w:val="0"/>
        <w:spacing w:after="200" w:line="276" w:lineRule="auto"/>
        <w:contextualSpacing/>
        <w:textAlignment w:val="baseline"/>
        <w:rPr>
          <w:rFonts w:ascii="Calibri" w:hAnsi="Calibri"/>
          <w:lang w:val="en-GB" w:eastAsia="zh-CN"/>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5670"/>
      </w:tblGrid>
      <w:tr w:rsidR="00227AA1" w:rsidRPr="00480EA8" w14:paraId="5F5314FB" w14:textId="77777777" w:rsidTr="002E7EFB">
        <w:tc>
          <w:tcPr>
            <w:tcW w:w="1418" w:type="dxa"/>
          </w:tcPr>
          <w:p w14:paraId="632E98AB" w14:textId="77777777" w:rsidR="00227AA1" w:rsidRPr="00480EA8" w:rsidRDefault="00227AA1" w:rsidP="0012608E">
            <w:pPr>
              <w:keepNext/>
              <w:overflowPunct w:val="0"/>
              <w:autoSpaceDE w:val="0"/>
              <w:autoSpaceDN w:val="0"/>
              <w:adjustRightInd w:val="0"/>
              <w:spacing w:line="240" w:lineRule="auto"/>
              <w:textAlignment w:val="baseline"/>
              <w:rPr>
                <w:i/>
                <w:sz w:val="22"/>
                <w:szCs w:val="22"/>
              </w:rPr>
            </w:pPr>
            <w:r w:rsidRPr="00480EA8">
              <w:rPr>
                <w:b/>
                <w:i/>
                <w:sz w:val="22"/>
                <w:szCs w:val="22"/>
              </w:rPr>
              <w:t>Contact</w:t>
            </w:r>
          </w:p>
        </w:tc>
        <w:tc>
          <w:tcPr>
            <w:tcW w:w="5670" w:type="dxa"/>
          </w:tcPr>
          <w:p w14:paraId="0DA3C898" w14:textId="77777777" w:rsidR="00227AA1" w:rsidRPr="00480EA8" w:rsidRDefault="00227AA1" w:rsidP="0012608E">
            <w:pPr>
              <w:keepNext/>
              <w:overflowPunct w:val="0"/>
              <w:autoSpaceDE w:val="0"/>
              <w:autoSpaceDN w:val="0"/>
              <w:adjustRightInd w:val="0"/>
              <w:spacing w:line="240" w:lineRule="auto"/>
              <w:textAlignment w:val="baseline"/>
              <w:rPr>
                <w:i/>
                <w:sz w:val="22"/>
                <w:szCs w:val="22"/>
              </w:rPr>
            </w:pPr>
            <w:r w:rsidRPr="00480EA8">
              <w:rPr>
                <w:i/>
                <w:sz w:val="22"/>
                <w:szCs w:val="22"/>
              </w:rPr>
              <w:t>Jana Valant</w:t>
            </w:r>
          </w:p>
        </w:tc>
      </w:tr>
      <w:tr w:rsidR="00227AA1" w:rsidRPr="00480EA8" w14:paraId="3B10A3F9" w14:textId="77777777" w:rsidTr="002E7EFB">
        <w:tc>
          <w:tcPr>
            <w:tcW w:w="1418" w:type="dxa"/>
          </w:tcPr>
          <w:p w14:paraId="1158D001" w14:textId="77777777" w:rsidR="00227AA1" w:rsidRPr="00480EA8" w:rsidRDefault="00227AA1" w:rsidP="00634494">
            <w:pPr>
              <w:overflowPunct w:val="0"/>
              <w:autoSpaceDE w:val="0"/>
              <w:autoSpaceDN w:val="0"/>
              <w:adjustRightInd w:val="0"/>
              <w:spacing w:line="240" w:lineRule="auto"/>
              <w:ind w:left="567"/>
              <w:textAlignment w:val="baseline"/>
              <w:rPr>
                <w:i/>
                <w:sz w:val="22"/>
                <w:szCs w:val="22"/>
              </w:rPr>
            </w:pPr>
            <w:r w:rsidRPr="00480EA8">
              <w:rPr>
                <w:i/>
                <w:sz w:val="22"/>
                <w:szCs w:val="22"/>
              </w:rPr>
              <w:t>Tél.</w:t>
            </w:r>
          </w:p>
        </w:tc>
        <w:tc>
          <w:tcPr>
            <w:tcW w:w="5670" w:type="dxa"/>
          </w:tcPr>
          <w:p w14:paraId="173082A5" w14:textId="52E4D874" w:rsidR="00227AA1" w:rsidRPr="00480EA8" w:rsidRDefault="00227AA1" w:rsidP="00227AA1">
            <w:pPr>
              <w:overflowPunct w:val="0"/>
              <w:autoSpaceDE w:val="0"/>
              <w:autoSpaceDN w:val="0"/>
              <w:adjustRightInd w:val="0"/>
              <w:spacing w:line="240" w:lineRule="auto"/>
              <w:textAlignment w:val="baseline"/>
              <w:rPr>
                <w:i/>
                <w:sz w:val="22"/>
                <w:szCs w:val="22"/>
              </w:rPr>
            </w:pPr>
            <w:r w:rsidRPr="00480EA8">
              <w:rPr>
                <w:i/>
                <w:sz w:val="22"/>
                <w:szCs w:val="22"/>
              </w:rPr>
              <w:t>+32 2 546 8924</w:t>
            </w:r>
          </w:p>
        </w:tc>
      </w:tr>
      <w:tr w:rsidR="00227AA1" w:rsidRPr="00480EA8" w14:paraId="06425715" w14:textId="77777777" w:rsidTr="002E7EFB">
        <w:tc>
          <w:tcPr>
            <w:tcW w:w="1418" w:type="dxa"/>
          </w:tcPr>
          <w:p w14:paraId="086F4B7F" w14:textId="3050AF2F" w:rsidR="00227AA1" w:rsidRPr="00480EA8" w:rsidRDefault="00336295" w:rsidP="00634494">
            <w:pPr>
              <w:overflowPunct w:val="0"/>
              <w:autoSpaceDE w:val="0"/>
              <w:autoSpaceDN w:val="0"/>
              <w:adjustRightInd w:val="0"/>
              <w:spacing w:line="240" w:lineRule="auto"/>
              <w:ind w:left="567"/>
              <w:textAlignment w:val="baseline"/>
              <w:rPr>
                <w:i/>
                <w:sz w:val="22"/>
                <w:szCs w:val="22"/>
              </w:rPr>
            </w:pPr>
            <w:r w:rsidRPr="00480EA8">
              <w:rPr>
                <w:i/>
                <w:sz w:val="22"/>
                <w:szCs w:val="22"/>
              </w:rPr>
              <w:t>Courriel</w:t>
            </w:r>
          </w:p>
        </w:tc>
        <w:tc>
          <w:tcPr>
            <w:tcW w:w="5670" w:type="dxa"/>
          </w:tcPr>
          <w:p w14:paraId="69C6AF5C" w14:textId="642B4528" w:rsidR="00227AA1" w:rsidRPr="00480EA8" w:rsidRDefault="00E44636" w:rsidP="00480EA8">
            <w:pPr>
              <w:overflowPunct w:val="0"/>
              <w:autoSpaceDE w:val="0"/>
              <w:autoSpaceDN w:val="0"/>
              <w:adjustRightInd w:val="0"/>
              <w:spacing w:line="240" w:lineRule="auto"/>
              <w:textAlignment w:val="baseline"/>
              <w:rPr>
                <w:i/>
                <w:sz w:val="22"/>
                <w:szCs w:val="22"/>
              </w:rPr>
            </w:pPr>
            <w:hyperlink r:id="rId56" w:history="1">
              <w:r w:rsidRPr="00480EA8">
                <w:rPr>
                  <w:i/>
                  <w:color w:val="0000FF"/>
                  <w:sz w:val="22"/>
                  <w:szCs w:val="22"/>
                  <w:u w:val="single"/>
                </w:rPr>
                <w:t>Jana.Valant@eesc.europa.eu</w:t>
              </w:r>
            </w:hyperlink>
          </w:p>
        </w:tc>
      </w:tr>
    </w:tbl>
    <w:p w14:paraId="4982DE1E" w14:textId="0B58AE81" w:rsidR="004D7AC0" w:rsidRDefault="004D7AC0" w:rsidP="001766B2">
      <w:pPr>
        <w:jc w:val="left"/>
      </w:pPr>
    </w:p>
    <w:p w14:paraId="4982DE1F" w14:textId="2E9F9BC4" w:rsidR="004D7AC0" w:rsidRDefault="00480EA8" w:rsidP="00480EA8">
      <w:pPr>
        <w:spacing w:after="160" w:line="259" w:lineRule="auto"/>
        <w:jc w:val="left"/>
      </w:pPr>
      <w:r>
        <w:br w:type="page"/>
      </w:r>
    </w:p>
    <w:p w14:paraId="7DA299F6" w14:textId="0F1B8A91" w:rsidR="00480EA8" w:rsidRPr="00480EA8" w:rsidRDefault="00480EA8" w:rsidP="00480EA8">
      <w:pPr>
        <w:pStyle w:val="Heading1"/>
        <w:rPr>
          <w:b/>
          <w:bCs/>
        </w:rPr>
      </w:pPr>
      <w:bookmarkStart w:id="19" w:name="_Toc70322234"/>
      <w:bookmarkStart w:id="20" w:name="_Toc75527084"/>
      <w:bookmarkStart w:id="21" w:name="_Toc229140656"/>
      <w:bookmarkStart w:id="22" w:name="_Toc230357598"/>
      <w:r w:rsidRPr="00480EA8">
        <w:rPr>
          <w:b/>
          <w:bCs/>
        </w:rPr>
        <w:lastRenderedPageBreak/>
        <w:t>AGRICULTURE, DÉVELOPPEMENT RURAL ET ENVIRONNEMENT</w:t>
      </w:r>
      <w:bookmarkEnd w:id="19"/>
      <w:bookmarkEnd w:id="20"/>
      <w:bookmarkEnd w:id="21"/>
      <w:bookmarkEnd w:id="22"/>
    </w:p>
    <w:p w14:paraId="4982DE20" w14:textId="77777777" w:rsidR="004D7AC0" w:rsidRDefault="004D7AC0" w:rsidP="001766B2"/>
    <w:p w14:paraId="38C8A97D" w14:textId="1EED9B28" w:rsidR="00341FC2" w:rsidRPr="003D3153" w:rsidRDefault="003D3153" w:rsidP="004C6742">
      <w:pPr>
        <w:widowControl w:val="0"/>
        <w:numPr>
          <w:ilvl w:val="0"/>
          <w:numId w:val="4"/>
        </w:numPr>
        <w:overflowPunct w:val="0"/>
        <w:autoSpaceDE w:val="0"/>
        <w:autoSpaceDN w:val="0"/>
        <w:adjustRightInd w:val="0"/>
        <w:ind w:hanging="567"/>
        <w:textAlignment w:val="baseline"/>
        <w:rPr>
          <w:b/>
          <w:bCs/>
          <w:i/>
          <w:iCs/>
          <w:sz w:val="28"/>
          <w:szCs w:val="28"/>
          <w:u w:val="single"/>
        </w:rPr>
      </w:pPr>
      <w:hyperlink r:id="rId57" w:history="1">
        <w:r w:rsidRPr="009420E4">
          <w:rPr>
            <w:rStyle w:val="Hyperlink"/>
            <w:b/>
            <w:i/>
            <w:sz w:val="28"/>
          </w:rPr>
          <w:t>Matériaux naturels bi</w:t>
        </w:r>
        <w:r w:rsidRPr="009420E4">
          <w:rPr>
            <w:rStyle w:val="Hyperlink"/>
            <w:b/>
            <w:i/>
            <w:sz w:val="28"/>
          </w:rPr>
          <w:t>o</w:t>
        </w:r>
        <w:r w:rsidRPr="009420E4">
          <w:rPr>
            <w:rStyle w:val="Hyperlink"/>
            <w:b/>
            <w:i/>
            <w:sz w:val="28"/>
          </w:rPr>
          <w:t>dégradables</w:t>
        </w:r>
      </w:hyperlink>
    </w:p>
    <w:p w14:paraId="4760649F" w14:textId="77777777" w:rsidR="00BD7679" w:rsidRPr="00341FC2" w:rsidRDefault="00BD7679" w:rsidP="004C6742">
      <w:pPr>
        <w:widowControl w:val="0"/>
        <w:overflowPunct w:val="0"/>
        <w:autoSpaceDE w:val="0"/>
        <w:autoSpaceDN w:val="0"/>
        <w:adjustRightInd w:val="0"/>
        <w:ind w:left="284"/>
        <w:textAlignment w:val="baseline"/>
        <w:rPr>
          <w:b/>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41FC2" w:rsidRPr="00480EA8" w14:paraId="11BFC935" w14:textId="77777777" w:rsidTr="002E7EFB">
        <w:tc>
          <w:tcPr>
            <w:tcW w:w="1077" w:type="pct"/>
          </w:tcPr>
          <w:p w14:paraId="051AE187" w14:textId="77777777" w:rsidR="00341FC2" w:rsidRPr="00480EA8" w:rsidRDefault="00341FC2" w:rsidP="00341FC2">
            <w:pPr>
              <w:tabs>
                <w:tab w:val="center" w:pos="284"/>
              </w:tabs>
              <w:overflowPunct w:val="0"/>
              <w:autoSpaceDE w:val="0"/>
              <w:autoSpaceDN w:val="0"/>
              <w:adjustRightInd w:val="0"/>
              <w:ind w:left="266" w:hanging="266"/>
              <w:textAlignment w:val="baseline"/>
              <w:rPr>
                <w:b/>
                <w:sz w:val="22"/>
                <w:szCs w:val="22"/>
              </w:rPr>
            </w:pPr>
            <w:r w:rsidRPr="00480EA8">
              <w:rPr>
                <w:b/>
                <w:sz w:val="22"/>
                <w:szCs w:val="22"/>
              </w:rPr>
              <w:t>Rapporteur</w:t>
            </w:r>
          </w:p>
        </w:tc>
        <w:tc>
          <w:tcPr>
            <w:tcW w:w="3923" w:type="pct"/>
          </w:tcPr>
          <w:p w14:paraId="6A31ADA0" w14:textId="6038B615" w:rsidR="00341FC2" w:rsidRPr="00480EA8" w:rsidRDefault="00341FC2" w:rsidP="00B3204A">
            <w:pPr>
              <w:overflowPunct w:val="0"/>
              <w:autoSpaceDE w:val="0"/>
              <w:autoSpaceDN w:val="0"/>
              <w:adjustRightInd w:val="0"/>
              <w:textAlignment w:val="baseline"/>
              <w:rPr>
                <w:sz w:val="22"/>
                <w:szCs w:val="22"/>
              </w:rPr>
            </w:pPr>
            <w:r w:rsidRPr="00480EA8">
              <w:rPr>
                <w:sz w:val="22"/>
                <w:szCs w:val="22"/>
              </w:rPr>
              <w:t xml:space="preserve">Stoyan TCHOUKANOV (groupe des organisations de la société civile — Bulgarie) </w:t>
            </w:r>
          </w:p>
          <w:p w14:paraId="734AA599" w14:textId="77777777" w:rsidR="00840C59" w:rsidRPr="00480EA8" w:rsidRDefault="00840C59" w:rsidP="00341FC2">
            <w:pPr>
              <w:tabs>
                <w:tab w:val="center" w:pos="284"/>
              </w:tabs>
              <w:overflowPunct w:val="0"/>
              <w:autoSpaceDE w:val="0"/>
              <w:autoSpaceDN w:val="0"/>
              <w:adjustRightInd w:val="0"/>
              <w:ind w:left="266" w:right="-3091" w:hanging="266"/>
              <w:textAlignment w:val="baseline"/>
              <w:rPr>
                <w:sz w:val="22"/>
                <w:szCs w:val="22"/>
              </w:rPr>
            </w:pPr>
          </w:p>
        </w:tc>
      </w:tr>
      <w:tr w:rsidR="00341FC2" w:rsidRPr="00480EA8" w14:paraId="5910CD05" w14:textId="77777777" w:rsidTr="002E7EFB">
        <w:tc>
          <w:tcPr>
            <w:tcW w:w="1077" w:type="pct"/>
          </w:tcPr>
          <w:p w14:paraId="0596BC04" w14:textId="77777777" w:rsidR="00341FC2" w:rsidRPr="00480EA8" w:rsidRDefault="00341FC2" w:rsidP="00341FC2">
            <w:pPr>
              <w:tabs>
                <w:tab w:val="center" w:pos="284"/>
              </w:tabs>
              <w:overflowPunct w:val="0"/>
              <w:autoSpaceDE w:val="0"/>
              <w:autoSpaceDN w:val="0"/>
              <w:adjustRightInd w:val="0"/>
              <w:ind w:left="266" w:hanging="266"/>
              <w:textAlignment w:val="baseline"/>
              <w:rPr>
                <w:b/>
                <w:sz w:val="22"/>
                <w:szCs w:val="22"/>
              </w:rPr>
            </w:pPr>
            <w:r w:rsidRPr="00480EA8">
              <w:rPr>
                <w:b/>
                <w:sz w:val="22"/>
                <w:szCs w:val="22"/>
              </w:rPr>
              <w:t>Références</w:t>
            </w:r>
          </w:p>
        </w:tc>
        <w:tc>
          <w:tcPr>
            <w:tcW w:w="3923" w:type="pct"/>
          </w:tcPr>
          <w:p w14:paraId="54454E7C" w14:textId="3611E015" w:rsidR="00516EEE" w:rsidRPr="00480EA8" w:rsidRDefault="00516EEE" w:rsidP="00341FC2">
            <w:pPr>
              <w:tabs>
                <w:tab w:val="center" w:pos="284"/>
              </w:tabs>
              <w:overflowPunct w:val="0"/>
              <w:autoSpaceDE w:val="0"/>
              <w:autoSpaceDN w:val="0"/>
              <w:adjustRightInd w:val="0"/>
              <w:ind w:left="266" w:right="-3091" w:hanging="266"/>
              <w:textAlignment w:val="baseline"/>
              <w:rPr>
                <w:sz w:val="22"/>
                <w:szCs w:val="22"/>
              </w:rPr>
            </w:pPr>
            <w:r w:rsidRPr="00480EA8">
              <w:rPr>
                <w:sz w:val="22"/>
                <w:szCs w:val="22"/>
              </w:rPr>
              <w:t>Avis d’initiative</w:t>
            </w:r>
          </w:p>
          <w:p w14:paraId="02B79D0E" w14:textId="0206A71A" w:rsidR="00341FC2" w:rsidRPr="00480EA8" w:rsidRDefault="00341FC2" w:rsidP="00341FC2">
            <w:pPr>
              <w:tabs>
                <w:tab w:val="center" w:pos="284"/>
              </w:tabs>
              <w:overflowPunct w:val="0"/>
              <w:autoSpaceDE w:val="0"/>
              <w:autoSpaceDN w:val="0"/>
              <w:adjustRightInd w:val="0"/>
              <w:ind w:left="266" w:right="-3091" w:hanging="266"/>
              <w:textAlignment w:val="baseline"/>
              <w:rPr>
                <w:sz w:val="22"/>
                <w:szCs w:val="22"/>
              </w:rPr>
            </w:pPr>
            <w:r w:rsidRPr="00480EA8">
              <w:rPr>
                <w:sz w:val="22"/>
                <w:szCs w:val="22"/>
              </w:rPr>
              <w:t>EESC-2025-04330-00-00-AC</w:t>
            </w:r>
          </w:p>
        </w:tc>
      </w:tr>
    </w:tbl>
    <w:p w14:paraId="749615BA" w14:textId="77777777" w:rsidR="00341FC2" w:rsidRDefault="00341FC2" w:rsidP="00341FC2">
      <w:pPr>
        <w:tabs>
          <w:tab w:val="center" w:pos="284"/>
        </w:tabs>
        <w:overflowPunct w:val="0"/>
        <w:autoSpaceDE w:val="0"/>
        <w:autoSpaceDN w:val="0"/>
        <w:adjustRightInd w:val="0"/>
        <w:ind w:left="266" w:hanging="266"/>
        <w:textAlignment w:val="baseline"/>
        <w:rPr>
          <w:b/>
          <w:lang w:val="en-GB"/>
        </w:rPr>
      </w:pPr>
    </w:p>
    <w:p w14:paraId="3CCC7A67"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rPr>
      </w:pPr>
      <w:r>
        <w:rPr>
          <w:b/>
        </w:rPr>
        <w:t>Points clés</w:t>
      </w:r>
    </w:p>
    <w:p w14:paraId="0B80A8BF"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lang w:val="en-GB"/>
        </w:rPr>
      </w:pPr>
    </w:p>
    <w:p w14:paraId="61D66D5E" w14:textId="77777777" w:rsidR="00341FC2" w:rsidRDefault="00341FC2" w:rsidP="00341FC2">
      <w:pPr>
        <w:overflowPunct w:val="0"/>
        <w:autoSpaceDE w:val="0"/>
        <w:autoSpaceDN w:val="0"/>
        <w:adjustRightInd w:val="0"/>
        <w:textAlignment w:val="baseline"/>
        <w:rPr>
          <w:bCs/>
          <w:iCs/>
        </w:rPr>
      </w:pPr>
      <w:r>
        <w:t xml:space="preserve">Le </w:t>
      </w:r>
      <w:proofErr w:type="gramStart"/>
      <w:r>
        <w:t>CESE:</w:t>
      </w:r>
      <w:proofErr w:type="gramEnd"/>
    </w:p>
    <w:p w14:paraId="152BE433" w14:textId="77777777" w:rsidR="00C63006" w:rsidRDefault="00C63006" w:rsidP="00341FC2">
      <w:pPr>
        <w:overflowPunct w:val="0"/>
        <w:autoSpaceDE w:val="0"/>
        <w:autoSpaceDN w:val="0"/>
        <w:adjustRightInd w:val="0"/>
        <w:textAlignment w:val="baseline"/>
        <w:rPr>
          <w:bCs/>
          <w:iCs/>
          <w:lang w:val="en-GB"/>
        </w:rPr>
      </w:pPr>
    </w:p>
    <w:p w14:paraId="6E84684B" w14:textId="18AB591F" w:rsidR="0041766F" w:rsidRPr="0041766F" w:rsidRDefault="0041766F" w:rsidP="0041766F">
      <w:pPr>
        <w:pStyle w:val="ListParagraph"/>
        <w:numPr>
          <w:ilvl w:val="0"/>
          <w:numId w:val="78"/>
        </w:numPr>
        <w:ind w:left="567" w:hanging="567"/>
        <w:rPr>
          <w:szCs w:val="20"/>
        </w:rPr>
      </w:pPr>
      <w:bookmarkStart w:id="23" w:name="_Toc228805432"/>
      <w:proofErr w:type="gramStart"/>
      <w:r>
        <w:t>estime</w:t>
      </w:r>
      <w:proofErr w:type="gramEnd"/>
      <w:r>
        <w:t xml:space="preserve"> que l’Union européenne dispose d’une occasion opportune de renforcer sa transition vers une bioéconomie circulaire qui concilie circularité, réduction de l’utilisation des matériaux dans le respect des limites de la planète, utilisation durable de la biomasse et compétitivité industrielle. </w:t>
      </w:r>
      <w:proofErr w:type="gramStart"/>
      <w:r>
        <w:t>s’appuyant</w:t>
      </w:r>
      <w:proofErr w:type="gramEnd"/>
      <w:r>
        <w:t xml:space="preserve"> sur le futur acte législatif relatif à l’économie circulaire et sur la stratégie actualisée de l’UE pour la bioéconomie, le Comité plaide en faveur d’une mise en œuvre cohérente et ambitieuse, à même de traduire l’élan politique dans ce domaine en résultats concrets en matière de développement industriel et </w:t>
      </w:r>
      <w:proofErr w:type="gramStart"/>
      <w:r>
        <w:t>régional;</w:t>
      </w:r>
      <w:bookmarkEnd w:id="23"/>
      <w:proofErr w:type="gramEnd"/>
    </w:p>
    <w:p w14:paraId="4CA99BF7" w14:textId="4FEE6AAB" w:rsidR="0041766F" w:rsidRPr="0041766F" w:rsidRDefault="0041766F" w:rsidP="0041766F">
      <w:pPr>
        <w:pStyle w:val="ListParagraph"/>
        <w:numPr>
          <w:ilvl w:val="0"/>
          <w:numId w:val="78"/>
        </w:numPr>
        <w:ind w:left="567" w:hanging="567"/>
        <w:rPr>
          <w:szCs w:val="20"/>
        </w:rPr>
      </w:pPr>
      <w:bookmarkStart w:id="24" w:name="_Toc228805433"/>
      <w:proofErr w:type="gramStart"/>
      <w:r>
        <w:t>souligne</w:t>
      </w:r>
      <w:proofErr w:type="gramEnd"/>
      <w:r>
        <w:t xml:space="preserve"> que, pour assurer une utilisation efficace des ressources environnementales, il s’impose d’appliquer la hiérarchie des déchets conformément à la directive-cadre relative aux déchets, sur la base d’une réflexion fondée sur l’approche de cycle de vie et du meilleur résultat global sur le plan de l’environnement. Il se déclare donc favorable à une approche technologiquement neutre et axée sur les résultats, qui privilégie la prévention des déchets, la réutilisation et l’efficacité matérielle, et tienne à la fois compte des cycles techniques et biologiques suivant des filières circulaires </w:t>
      </w:r>
      <w:proofErr w:type="gramStart"/>
      <w:r>
        <w:t>différenciées;</w:t>
      </w:r>
      <w:bookmarkEnd w:id="24"/>
      <w:proofErr w:type="gramEnd"/>
    </w:p>
    <w:p w14:paraId="0ADF9AAE" w14:textId="0C429D84" w:rsidR="0041766F" w:rsidRPr="0041766F" w:rsidRDefault="0041766F" w:rsidP="0041766F">
      <w:pPr>
        <w:pStyle w:val="ListParagraph"/>
        <w:numPr>
          <w:ilvl w:val="0"/>
          <w:numId w:val="78"/>
        </w:numPr>
        <w:ind w:left="567" w:hanging="567"/>
        <w:rPr>
          <w:szCs w:val="20"/>
        </w:rPr>
      </w:pPr>
      <w:bookmarkStart w:id="25" w:name="_Toc228805434"/>
      <w:proofErr w:type="gramStart"/>
      <w:r>
        <w:t>fait</w:t>
      </w:r>
      <w:proofErr w:type="gramEnd"/>
      <w:r>
        <w:t xml:space="preserve"> valoir que les matériaux dérivés de polymères naturels non modifiés chimiquement, assimilés juridiquement à des produits non plastiques au titre de la directive sur les plastiques à usage unique et en cohérence avec le règlement REACH, peuvent contribuer à prévenir la pollution, notamment en réduisant les rejets de microplastiques. Leur rôle devrait être évalué conformément à l’approche</w:t>
      </w:r>
      <w:proofErr w:type="gramStart"/>
      <w:r>
        <w:t xml:space="preserve"> «Une</w:t>
      </w:r>
      <w:proofErr w:type="gramEnd"/>
      <w:r>
        <w:t xml:space="preserve"> seule </w:t>
      </w:r>
      <w:proofErr w:type="gramStart"/>
      <w:r>
        <w:t>santé»</w:t>
      </w:r>
      <w:proofErr w:type="gramEnd"/>
      <w:r>
        <w:t xml:space="preserve">, compte tenu des interactions entre intégrité environnementale, résilience des écosystèmes et santé humaine et </w:t>
      </w:r>
      <w:proofErr w:type="gramStart"/>
      <w:r>
        <w:t>animale;</w:t>
      </w:r>
      <w:bookmarkEnd w:id="25"/>
      <w:proofErr w:type="gramEnd"/>
    </w:p>
    <w:p w14:paraId="3CDD598B" w14:textId="7264B0B6" w:rsidR="0041766F" w:rsidRPr="0041766F" w:rsidRDefault="0041766F" w:rsidP="0041766F">
      <w:pPr>
        <w:pStyle w:val="ListParagraph"/>
        <w:numPr>
          <w:ilvl w:val="0"/>
          <w:numId w:val="78"/>
        </w:numPr>
        <w:ind w:left="567" w:hanging="567"/>
        <w:rPr>
          <w:szCs w:val="20"/>
        </w:rPr>
      </w:pPr>
      <w:bookmarkStart w:id="26" w:name="_Toc228805435"/>
      <w:proofErr w:type="gramStart"/>
      <w:r>
        <w:t>met</w:t>
      </w:r>
      <w:proofErr w:type="gramEnd"/>
      <w:r>
        <w:t xml:space="preserve"> en avant le potentiel de ces matériaux pour renforcer les économies rurales et côtières en permettant la valorisation de la biomasse secondaire agricole et marine, en renforçant les chaînes de valeur locales et régionales, en soutenant le renouvellement des générations dans les secteurs de l’agriculture et de la pêche et en créant des emplois de qualité, contribuant ce faisant à la cohésion sociale. Le Comité insiste sur le fait que les usages destinés à l’alimentation humaine et animale ainsi qu’à la protection des sols doivent rester prioritaires dans cet </w:t>
      </w:r>
      <w:proofErr w:type="gramStart"/>
      <w:r>
        <w:t>ordre;</w:t>
      </w:r>
      <w:bookmarkEnd w:id="26"/>
      <w:proofErr w:type="gramEnd"/>
    </w:p>
    <w:p w14:paraId="6887773C" w14:textId="21233E66" w:rsidR="0041766F" w:rsidRPr="0041766F" w:rsidRDefault="0041766F" w:rsidP="0041766F">
      <w:pPr>
        <w:pStyle w:val="ListParagraph"/>
        <w:numPr>
          <w:ilvl w:val="0"/>
          <w:numId w:val="78"/>
        </w:numPr>
        <w:ind w:left="567" w:hanging="567"/>
        <w:rPr>
          <w:szCs w:val="20"/>
        </w:rPr>
      </w:pPr>
      <w:bookmarkStart w:id="27" w:name="_Toc228805436"/>
      <w:proofErr w:type="gramStart"/>
      <w:r>
        <w:t>plaide</w:t>
      </w:r>
      <w:proofErr w:type="gramEnd"/>
      <w:r>
        <w:t xml:space="preserve"> en faveur d’une plus grande cohérence réglementaire dans l’ensemble de la législation de l’Union relative aux produits, aux déchets et à l’industrie, afin de garantir une application cohérente de la distinction juridique entre les plastiques et les polymères naturels non modifiés. La législation sur les emballages devrait éviter les obstacles involontaires ou une exclusion de fait du marché, intégrer la circularité tant technique que biologique, et veiller à des informations </w:t>
      </w:r>
      <w:r>
        <w:lastRenderedPageBreak/>
        <w:t xml:space="preserve">claires et harmonisées pour les consommateurs et à la prévisibilité pour les opérateurs et les petites </w:t>
      </w:r>
      <w:proofErr w:type="gramStart"/>
      <w:r>
        <w:t>entreprises;</w:t>
      </w:r>
      <w:bookmarkEnd w:id="27"/>
      <w:proofErr w:type="gramEnd"/>
    </w:p>
    <w:p w14:paraId="6989B188" w14:textId="3A3B822D" w:rsidR="0041766F" w:rsidRPr="0041766F" w:rsidRDefault="0041766F" w:rsidP="0041766F">
      <w:pPr>
        <w:pStyle w:val="ListParagraph"/>
        <w:numPr>
          <w:ilvl w:val="0"/>
          <w:numId w:val="78"/>
        </w:numPr>
        <w:ind w:left="567" w:hanging="567"/>
        <w:rPr>
          <w:szCs w:val="20"/>
        </w:rPr>
      </w:pPr>
      <w:bookmarkStart w:id="28" w:name="_Toc228805437"/>
      <w:proofErr w:type="gramStart"/>
      <w:r>
        <w:t>considère</w:t>
      </w:r>
      <w:proofErr w:type="gramEnd"/>
      <w:r>
        <w:t xml:space="preserve"> la mise en œuvre du règlement relatif aux emballages et aux déchets d’emballages comme un enjeu prioritaire et met en garde contre la possibilité que les emballages fabriqués à partir de polymères naturels non modifiés chimiquement se retrouvent exclus si les règles en matière de recyclabilité n’autorisent que le recyclage technique. Il invite dès lors la Commission à s’assurer que la mise en œuvre dudit règlement reconnaisse le statut non plastique de ces polymères et autorise les filières biologiques de fin de vie, dès lors qu’il s’agit du meilleur résultat global sur le plan de </w:t>
      </w:r>
      <w:proofErr w:type="gramStart"/>
      <w:r>
        <w:t>l’environnement;</w:t>
      </w:r>
      <w:bookmarkEnd w:id="28"/>
      <w:proofErr w:type="gramEnd"/>
    </w:p>
    <w:p w14:paraId="7E97F710" w14:textId="1E3452D8" w:rsidR="0041766F" w:rsidRPr="0041766F" w:rsidRDefault="0041766F" w:rsidP="0041766F">
      <w:pPr>
        <w:pStyle w:val="ListParagraph"/>
        <w:numPr>
          <w:ilvl w:val="0"/>
          <w:numId w:val="78"/>
        </w:numPr>
        <w:ind w:left="567" w:hanging="567"/>
        <w:rPr>
          <w:szCs w:val="20"/>
        </w:rPr>
      </w:pPr>
      <w:bookmarkStart w:id="29" w:name="_Toc228805438"/>
      <w:proofErr w:type="gramStart"/>
      <w:r>
        <w:t>demande</w:t>
      </w:r>
      <w:proofErr w:type="gramEnd"/>
      <w:r>
        <w:t xml:space="preserve"> à la Commission de veiller à une action coordonnée entre les politiques environnementales, industrielles et agricoles, afin de développer à grande échelle des matériaux durables, d’en faciliter le déploiement industriel, de renforcer les chaînes de valeur au niveau régional et de garantir la compétitivité mondiale de l’Europe dans le domaine de l’innovation en matière de matériaux durables, tout en soutenant les investissements privés et le déploiement de solutions innovantes.</w:t>
      </w:r>
      <w:bookmarkEnd w:id="29"/>
    </w:p>
    <w:p w14:paraId="5E6547E8" w14:textId="77777777" w:rsidR="0041766F" w:rsidRPr="00341FC2" w:rsidRDefault="0041766F" w:rsidP="00341FC2">
      <w:pPr>
        <w:overflowPunct w:val="0"/>
        <w:autoSpaceDE w:val="0"/>
        <w:autoSpaceDN w:val="0"/>
        <w:adjustRightInd w:val="0"/>
        <w:textAlignment w:val="baseline"/>
        <w:rPr>
          <w:bCs/>
          <w:iCs/>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41FC2" w:rsidRPr="0041766F" w14:paraId="7F4411DB" w14:textId="77777777" w:rsidTr="002E7EFB">
        <w:tc>
          <w:tcPr>
            <w:tcW w:w="1077" w:type="pct"/>
          </w:tcPr>
          <w:p w14:paraId="151013E3" w14:textId="77777777" w:rsidR="00341FC2" w:rsidRPr="0041766F" w:rsidRDefault="00341FC2" w:rsidP="00341FC2">
            <w:pPr>
              <w:overflowPunct w:val="0"/>
              <w:autoSpaceDE w:val="0"/>
              <w:autoSpaceDN w:val="0"/>
              <w:adjustRightInd w:val="0"/>
              <w:textAlignment w:val="baseline"/>
              <w:rPr>
                <w:i/>
                <w:sz w:val="22"/>
                <w:szCs w:val="22"/>
              </w:rPr>
            </w:pPr>
            <w:r w:rsidRPr="0041766F">
              <w:rPr>
                <w:b/>
                <w:i/>
                <w:sz w:val="22"/>
                <w:szCs w:val="22"/>
              </w:rPr>
              <w:t>Contact</w:t>
            </w:r>
          </w:p>
        </w:tc>
        <w:tc>
          <w:tcPr>
            <w:tcW w:w="3923" w:type="pct"/>
          </w:tcPr>
          <w:p w14:paraId="24D7A0E4" w14:textId="1AB2E33E" w:rsidR="00341FC2" w:rsidRPr="0041766F" w:rsidRDefault="00341FC2" w:rsidP="00341FC2">
            <w:pPr>
              <w:overflowPunct w:val="0"/>
              <w:autoSpaceDE w:val="0"/>
              <w:autoSpaceDN w:val="0"/>
              <w:adjustRightInd w:val="0"/>
              <w:textAlignment w:val="baseline"/>
              <w:rPr>
                <w:i/>
                <w:sz w:val="22"/>
                <w:szCs w:val="22"/>
              </w:rPr>
            </w:pPr>
            <w:r w:rsidRPr="0041766F">
              <w:rPr>
                <w:i/>
                <w:sz w:val="22"/>
                <w:szCs w:val="22"/>
              </w:rPr>
              <w:t>Caroline Verhelst</w:t>
            </w:r>
          </w:p>
        </w:tc>
      </w:tr>
      <w:tr w:rsidR="00341FC2" w:rsidRPr="0041766F" w14:paraId="1048C7FF" w14:textId="77777777" w:rsidTr="002E7EFB">
        <w:tc>
          <w:tcPr>
            <w:tcW w:w="1077" w:type="pct"/>
          </w:tcPr>
          <w:p w14:paraId="716E0640" w14:textId="77777777" w:rsidR="00341FC2" w:rsidRPr="0041766F" w:rsidRDefault="00341FC2" w:rsidP="00634494">
            <w:pPr>
              <w:overflowPunct w:val="0"/>
              <w:autoSpaceDE w:val="0"/>
              <w:autoSpaceDN w:val="0"/>
              <w:adjustRightInd w:val="0"/>
              <w:ind w:left="567"/>
              <w:textAlignment w:val="baseline"/>
              <w:rPr>
                <w:i/>
                <w:sz w:val="22"/>
                <w:szCs w:val="22"/>
              </w:rPr>
            </w:pPr>
            <w:r w:rsidRPr="0041766F">
              <w:rPr>
                <w:i/>
                <w:sz w:val="22"/>
                <w:szCs w:val="22"/>
              </w:rPr>
              <w:t>Tél.</w:t>
            </w:r>
          </w:p>
        </w:tc>
        <w:tc>
          <w:tcPr>
            <w:tcW w:w="3923" w:type="pct"/>
          </w:tcPr>
          <w:p w14:paraId="24F2C3A8" w14:textId="77777777" w:rsidR="00341FC2" w:rsidRPr="0041766F" w:rsidRDefault="00341FC2" w:rsidP="00341FC2">
            <w:pPr>
              <w:overflowPunct w:val="0"/>
              <w:autoSpaceDE w:val="0"/>
              <w:autoSpaceDN w:val="0"/>
              <w:adjustRightInd w:val="0"/>
              <w:textAlignment w:val="baseline"/>
              <w:rPr>
                <w:i/>
                <w:sz w:val="22"/>
                <w:szCs w:val="22"/>
              </w:rPr>
            </w:pPr>
            <w:r w:rsidRPr="0041766F">
              <w:rPr>
                <w:i/>
                <w:sz w:val="22"/>
                <w:szCs w:val="22"/>
              </w:rPr>
              <w:t>+32 2 546 9497</w:t>
            </w:r>
          </w:p>
        </w:tc>
      </w:tr>
      <w:tr w:rsidR="00341FC2" w:rsidRPr="0041766F" w14:paraId="24B14DC0" w14:textId="77777777" w:rsidTr="002E7EFB">
        <w:tc>
          <w:tcPr>
            <w:tcW w:w="1077" w:type="pct"/>
          </w:tcPr>
          <w:p w14:paraId="532D2B72" w14:textId="77777777" w:rsidR="00341FC2" w:rsidRPr="0041766F" w:rsidRDefault="00341FC2" w:rsidP="00634494">
            <w:pPr>
              <w:overflowPunct w:val="0"/>
              <w:autoSpaceDE w:val="0"/>
              <w:autoSpaceDN w:val="0"/>
              <w:adjustRightInd w:val="0"/>
              <w:ind w:left="567"/>
              <w:textAlignment w:val="baseline"/>
              <w:rPr>
                <w:i/>
                <w:sz w:val="22"/>
                <w:szCs w:val="22"/>
              </w:rPr>
            </w:pPr>
            <w:r w:rsidRPr="0041766F">
              <w:rPr>
                <w:i/>
                <w:sz w:val="22"/>
                <w:szCs w:val="22"/>
              </w:rPr>
              <w:t>Courriel</w:t>
            </w:r>
          </w:p>
        </w:tc>
        <w:tc>
          <w:tcPr>
            <w:tcW w:w="3923" w:type="pct"/>
          </w:tcPr>
          <w:p w14:paraId="06E89BE5" w14:textId="2B7DE242" w:rsidR="00341FC2" w:rsidRPr="0041766F" w:rsidRDefault="00E44636" w:rsidP="00341FC2">
            <w:pPr>
              <w:overflowPunct w:val="0"/>
              <w:autoSpaceDE w:val="0"/>
              <w:autoSpaceDN w:val="0"/>
              <w:adjustRightInd w:val="0"/>
              <w:textAlignment w:val="baseline"/>
              <w:rPr>
                <w:i/>
                <w:sz w:val="22"/>
                <w:szCs w:val="22"/>
              </w:rPr>
            </w:pPr>
            <w:hyperlink r:id="rId58" w:history="1">
              <w:r w:rsidRPr="0041766F">
                <w:rPr>
                  <w:i/>
                  <w:color w:val="0000FF"/>
                  <w:sz w:val="22"/>
                  <w:szCs w:val="22"/>
                  <w:u w:val="single"/>
                </w:rPr>
                <w:t>Caroline.Verhelst@eesc.europa.eu</w:t>
              </w:r>
            </w:hyperlink>
            <w:r w:rsidRPr="0041766F">
              <w:rPr>
                <w:i/>
                <w:sz w:val="22"/>
                <w:szCs w:val="22"/>
              </w:rPr>
              <w:t xml:space="preserve"> </w:t>
            </w:r>
          </w:p>
        </w:tc>
      </w:tr>
    </w:tbl>
    <w:p w14:paraId="0AB0D1D5" w14:textId="5E180140" w:rsidR="00341FC2" w:rsidRDefault="00341FC2" w:rsidP="001766B2">
      <w:pPr>
        <w:jc w:val="left"/>
      </w:pPr>
    </w:p>
    <w:p w14:paraId="62D6DD15" w14:textId="02A98715" w:rsidR="000C5A16" w:rsidRPr="004C6742" w:rsidRDefault="000C5A16" w:rsidP="00C716C1">
      <w:pPr>
        <w:numPr>
          <w:ilvl w:val="0"/>
          <w:numId w:val="17"/>
        </w:numPr>
        <w:overflowPunct w:val="0"/>
        <w:autoSpaceDE w:val="0"/>
        <w:autoSpaceDN w:val="0"/>
        <w:adjustRightInd w:val="0"/>
        <w:spacing w:after="200" w:line="276" w:lineRule="auto"/>
        <w:ind w:left="567" w:hanging="567"/>
        <w:contextualSpacing/>
        <w:textAlignment w:val="baseline"/>
        <w:rPr>
          <w:rFonts w:ascii="Calibri" w:hAnsi="Calibri"/>
          <w:b/>
          <w:bCs/>
          <w:i/>
          <w:iCs/>
          <w:sz w:val="28"/>
          <w:szCs w:val="28"/>
        </w:rPr>
      </w:pPr>
      <w:hyperlink r:id="rId59" w:history="1">
        <w:r>
          <w:rPr>
            <w:b/>
            <w:i/>
            <w:color w:val="0000FF"/>
            <w:sz w:val="28"/>
            <w:u w:val="single"/>
          </w:rPr>
          <w:t>Stratégie de l’UE pour la bioéconomie — Vers une bioéconomie circulaire, régénérative et compétitive</w:t>
        </w:r>
      </w:hyperlink>
    </w:p>
    <w:p w14:paraId="67EC52A8" w14:textId="77777777" w:rsidR="000C5A16" w:rsidRPr="000C5A16" w:rsidRDefault="000C5A16" w:rsidP="000C5A16">
      <w:pPr>
        <w:widowControl w:val="0"/>
        <w:overflowPunct w:val="0"/>
        <w:autoSpaceDE w:val="0"/>
        <w:autoSpaceDN w:val="0"/>
        <w:adjustRightInd w:val="0"/>
        <w:ind w:left="567"/>
        <w:textAlignment w:val="baseline"/>
        <w:rPr>
          <w:bCs/>
          <w:sz w:val="16"/>
          <w:szCs w:val="16"/>
          <w:lang w:val="en-GB"/>
        </w:rPr>
      </w:pPr>
    </w:p>
    <w:tbl>
      <w:tblPr>
        <w:tblStyle w:val="TableGrid20"/>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0C5A16" w:rsidRPr="00480EA8" w14:paraId="11DB0199" w14:textId="77777777" w:rsidTr="002E7EFB">
        <w:tc>
          <w:tcPr>
            <w:tcW w:w="1701" w:type="dxa"/>
          </w:tcPr>
          <w:p w14:paraId="702BE3AD" w14:textId="77777777" w:rsidR="000C5A16" w:rsidRPr="00480EA8" w:rsidRDefault="000C5A16" w:rsidP="000C5A16">
            <w:pPr>
              <w:tabs>
                <w:tab w:val="center" w:pos="284"/>
              </w:tabs>
              <w:overflowPunct w:val="0"/>
              <w:autoSpaceDE w:val="0"/>
              <w:autoSpaceDN w:val="0"/>
              <w:adjustRightInd w:val="0"/>
              <w:ind w:left="266" w:hanging="266"/>
              <w:textAlignment w:val="baseline"/>
              <w:rPr>
                <w:b/>
                <w:sz w:val="22"/>
                <w:szCs w:val="22"/>
              </w:rPr>
            </w:pPr>
            <w:r w:rsidRPr="00480EA8">
              <w:rPr>
                <w:b/>
                <w:sz w:val="22"/>
                <w:szCs w:val="22"/>
              </w:rPr>
              <w:t>Rapporteur</w:t>
            </w:r>
          </w:p>
        </w:tc>
        <w:tc>
          <w:tcPr>
            <w:tcW w:w="7621" w:type="dxa"/>
          </w:tcPr>
          <w:p w14:paraId="5ECA4C39" w14:textId="528DF1F9" w:rsidR="000C5A16" w:rsidRPr="00480EA8" w:rsidRDefault="000C5A16" w:rsidP="000C5A16">
            <w:pPr>
              <w:tabs>
                <w:tab w:val="center" w:pos="284"/>
              </w:tabs>
              <w:overflowPunct w:val="0"/>
              <w:autoSpaceDE w:val="0"/>
              <w:autoSpaceDN w:val="0"/>
              <w:adjustRightInd w:val="0"/>
              <w:ind w:left="266" w:hanging="266"/>
              <w:textAlignment w:val="baseline"/>
              <w:rPr>
                <w:b/>
                <w:bCs/>
                <w:spacing w:val="-4"/>
                <w:sz w:val="22"/>
                <w:szCs w:val="22"/>
              </w:rPr>
            </w:pPr>
            <w:r w:rsidRPr="00480EA8">
              <w:rPr>
                <w:sz w:val="22"/>
                <w:szCs w:val="22"/>
              </w:rPr>
              <w:t>Arnaud SCHWARTZ (groupe des organisations de la société civile — France)</w:t>
            </w:r>
          </w:p>
        </w:tc>
      </w:tr>
      <w:tr w:rsidR="000C5A16" w:rsidRPr="00480EA8" w14:paraId="7972012C" w14:textId="77777777" w:rsidTr="002E7EFB">
        <w:tc>
          <w:tcPr>
            <w:tcW w:w="1701" w:type="dxa"/>
          </w:tcPr>
          <w:p w14:paraId="19D90AB9" w14:textId="77777777" w:rsidR="000C5A16" w:rsidRPr="00480EA8" w:rsidRDefault="000C5A16" w:rsidP="000C5A16">
            <w:pPr>
              <w:tabs>
                <w:tab w:val="center" w:pos="284"/>
              </w:tabs>
              <w:overflowPunct w:val="0"/>
              <w:autoSpaceDE w:val="0"/>
              <w:autoSpaceDN w:val="0"/>
              <w:adjustRightInd w:val="0"/>
              <w:ind w:left="266" w:hanging="266"/>
              <w:textAlignment w:val="baseline"/>
              <w:rPr>
                <w:b/>
                <w:sz w:val="22"/>
                <w:szCs w:val="22"/>
              </w:rPr>
            </w:pPr>
          </w:p>
        </w:tc>
        <w:tc>
          <w:tcPr>
            <w:tcW w:w="7621" w:type="dxa"/>
          </w:tcPr>
          <w:p w14:paraId="367D2144" w14:textId="77777777" w:rsidR="000C5A16" w:rsidRPr="00480EA8" w:rsidRDefault="000C5A16" w:rsidP="000C5A16">
            <w:pPr>
              <w:tabs>
                <w:tab w:val="center" w:pos="284"/>
              </w:tabs>
              <w:overflowPunct w:val="0"/>
              <w:autoSpaceDE w:val="0"/>
              <w:autoSpaceDN w:val="0"/>
              <w:adjustRightInd w:val="0"/>
              <w:ind w:left="266" w:hanging="266"/>
              <w:textAlignment w:val="baseline"/>
              <w:rPr>
                <w:b/>
                <w:bCs/>
                <w:sz w:val="22"/>
                <w:szCs w:val="22"/>
                <w:lang w:val="en-GB"/>
              </w:rPr>
            </w:pPr>
          </w:p>
        </w:tc>
      </w:tr>
      <w:tr w:rsidR="000C5A16" w:rsidRPr="00480EA8" w14:paraId="21344BB5" w14:textId="77777777" w:rsidTr="002E7EFB">
        <w:tc>
          <w:tcPr>
            <w:tcW w:w="1701" w:type="dxa"/>
          </w:tcPr>
          <w:p w14:paraId="25A3DC2A" w14:textId="77777777" w:rsidR="000C5A16" w:rsidRPr="00480EA8" w:rsidRDefault="000C5A16" w:rsidP="000C5A16">
            <w:pPr>
              <w:tabs>
                <w:tab w:val="center" w:pos="284"/>
              </w:tabs>
              <w:overflowPunct w:val="0"/>
              <w:autoSpaceDE w:val="0"/>
              <w:autoSpaceDN w:val="0"/>
              <w:adjustRightInd w:val="0"/>
              <w:ind w:left="266" w:hanging="266"/>
              <w:textAlignment w:val="baseline"/>
              <w:rPr>
                <w:b/>
                <w:sz w:val="22"/>
                <w:szCs w:val="22"/>
              </w:rPr>
            </w:pPr>
            <w:r w:rsidRPr="00480EA8">
              <w:rPr>
                <w:b/>
                <w:sz w:val="22"/>
                <w:szCs w:val="22"/>
              </w:rPr>
              <w:t>Références</w:t>
            </w:r>
          </w:p>
        </w:tc>
        <w:tc>
          <w:tcPr>
            <w:tcW w:w="7621" w:type="dxa"/>
          </w:tcPr>
          <w:p w14:paraId="1A41EF62" w14:textId="77777777" w:rsidR="000C5A16" w:rsidRPr="00480EA8" w:rsidRDefault="000C5A16" w:rsidP="000C5A16">
            <w:pPr>
              <w:tabs>
                <w:tab w:val="center" w:pos="284"/>
              </w:tabs>
              <w:overflowPunct w:val="0"/>
              <w:autoSpaceDE w:val="0"/>
              <w:autoSpaceDN w:val="0"/>
              <w:adjustRightInd w:val="0"/>
              <w:ind w:left="266" w:hanging="266"/>
              <w:textAlignment w:val="baseline"/>
              <w:rPr>
                <w:sz w:val="22"/>
                <w:szCs w:val="22"/>
              </w:rPr>
            </w:pPr>
            <w:proofErr w:type="gramStart"/>
            <w:r w:rsidRPr="00480EA8">
              <w:rPr>
                <w:sz w:val="22"/>
                <w:szCs w:val="22"/>
              </w:rPr>
              <w:t>COM(</w:t>
            </w:r>
            <w:proofErr w:type="gramEnd"/>
            <w:r w:rsidRPr="00480EA8">
              <w:rPr>
                <w:sz w:val="22"/>
                <w:szCs w:val="22"/>
              </w:rPr>
              <w:t>2025) 960 final</w:t>
            </w:r>
          </w:p>
          <w:p w14:paraId="6E8937F3" w14:textId="72C7BF98" w:rsidR="000C5A16" w:rsidRPr="00480EA8" w:rsidRDefault="000C5A16" w:rsidP="000C5A16">
            <w:pPr>
              <w:tabs>
                <w:tab w:val="center" w:pos="284"/>
              </w:tabs>
              <w:overflowPunct w:val="0"/>
              <w:autoSpaceDE w:val="0"/>
              <w:autoSpaceDN w:val="0"/>
              <w:adjustRightInd w:val="0"/>
              <w:ind w:left="266" w:hanging="266"/>
              <w:textAlignment w:val="baseline"/>
              <w:rPr>
                <w:sz w:val="22"/>
                <w:szCs w:val="22"/>
              </w:rPr>
            </w:pPr>
            <w:r w:rsidRPr="00480EA8">
              <w:rPr>
                <w:sz w:val="22"/>
                <w:szCs w:val="22"/>
              </w:rPr>
              <w:t>EESC-2025-03968-00-00-AC</w:t>
            </w:r>
          </w:p>
        </w:tc>
      </w:tr>
    </w:tbl>
    <w:p w14:paraId="357CD5C1" w14:textId="77777777" w:rsidR="00FB30D5" w:rsidRPr="00FB30D5" w:rsidRDefault="00FB30D5" w:rsidP="00FB30D5">
      <w:pPr>
        <w:tabs>
          <w:tab w:val="center" w:pos="284"/>
        </w:tabs>
        <w:overflowPunct w:val="0"/>
        <w:autoSpaceDE w:val="0"/>
        <w:autoSpaceDN w:val="0"/>
        <w:adjustRightInd w:val="0"/>
        <w:textAlignment w:val="baseline"/>
        <w:rPr>
          <w:b/>
          <w:lang w:val="en-GB"/>
        </w:rPr>
      </w:pPr>
    </w:p>
    <w:p w14:paraId="1121289B" w14:textId="77777777" w:rsidR="00FB30D5" w:rsidRPr="00FB30D5" w:rsidRDefault="00FB30D5" w:rsidP="00FB30D5">
      <w:pPr>
        <w:keepNext/>
        <w:keepLines/>
        <w:tabs>
          <w:tab w:val="center" w:pos="284"/>
        </w:tabs>
        <w:overflowPunct w:val="0"/>
        <w:autoSpaceDE w:val="0"/>
        <w:autoSpaceDN w:val="0"/>
        <w:adjustRightInd w:val="0"/>
        <w:textAlignment w:val="baseline"/>
        <w:rPr>
          <w:b/>
        </w:rPr>
      </w:pPr>
      <w:r w:rsidRPr="00FB30D5">
        <w:rPr>
          <w:b/>
        </w:rPr>
        <w:t>Points clés</w:t>
      </w:r>
    </w:p>
    <w:p w14:paraId="401F6D78" w14:textId="77777777" w:rsidR="00FB30D5" w:rsidRPr="00FB30D5" w:rsidRDefault="00FB30D5" w:rsidP="00FB30D5">
      <w:pPr>
        <w:keepNext/>
        <w:keepLines/>
        <w:tabs>
          <w:tab w:val="center" w:pos="284"/>
        </w:tabs>
        <w:overflowPunct w:val="0"/>
        <w:autoSpaceDE w:val="0"/>
        <w:autoSpaceDN w:val="0"/>
        <w:adjustRightInd w:val="0"/>
        <w:textAlignment w:val="baseline"/>
        <w:rPr>
          <w:b/>
          <w:lang w:val="en-GB"/>
        </w:rPr>
      </w:pPr>
    </w:p>
    <w:p w14:paraId="10B7600D" w14:textId="77777777" w:rsidR="00FB30D5" w:rsidRPr="00FB30D5" w:rsidRDefault="00FB30D5" w:rsidP="00FB30D5">
      <w:pPr>
        <w:overflowPunct w:val="0"/>
        <w:autoSpaceDE w:val="0"/>
        <w:autoSpaceDN w:val="0"/>
        <w:adjustRightInd w:val="0"/>
        <w:textAlignment w:val="baseline"/>
        <w:rPr>
          <w:bCs/>
          <w:iCs/>
        </w:rPr>
      </w:pPr>
      <w:r>
        <w:t xml:space="preserve">Le </w:t>
      </w:r>
      <w:proofErr w:type="gramStart"/>
      <w:r>
        <w:t>CESE:</w:t>
      </w:r>
      <w:proofErr w:type="gramEnd"/>
    </w:p>
    <w:p w14:paraId="65EC82D3" w14:textId="77777777" w:rsidR="00FB30D5" w:rsidRPr="00FB30D5" w:rsidRDefault="00FB30D5" w:rsidP="00FB30D5">
      <w:pPr>
        <w:overflowPunct w:val="0"/>
        <w:autoSpaceDE w:val="0"/>
        <w:autoSpaceDN w:val="0"/>
        <w:adjustRightInd w:val="0"/>
        <w:textAlignment w:val="baseline"/>
        <w:rPr>
          <w:bCs/>
          <w:iCs/>
          <w:lang w:val="en-GB"/>
        </w:rPr>
      </w:pPr>
    </w:p>
    <w:p w14:paraId="16499786" w14:textId="48774AA0" w:rsidR="00FB30D5" w:rsidRPr="00FB30D5" w:rsidRDefault="00FB30D5" w:rsidP="00FB30D5">
      <w:pPr>
        <w:pStyle w:val="ListParagraph"/>
        <w:numPr>
          <w:ilvl w:val="0"/>
          <w:numId w:val="78"/>
        </w:numPr>
        <w:ind w:left="567" w:hanging="567"/>
        <w:rPr>
          <w:szCs w:val="20"/>
        </w:rPr>
      </w:pPr>
      <w:proofErr w:type="gramStart"/>
      <w:r>
        <w:t>souligne</w:t>
      </w:r>
      <w:proofErr w:type="gramEnd"/>
      <w:r>
        <w:t xml:space="preserve"> que l’Europe est un continent aux ressources limitées qui dépend fortement des importations, notamment de combustibles fossiles et de matières premières, dans un contexte géopolitique de plus en plus tendu. Dans le même temps, la surexploitation des ressources naturelles constitue l’une des causes principales de la perte de biodiversité</w:t>
      </w:r>
      <w:r w:rsidRPr="00944198">
        <w:rPr>
          <w:sz w:val="24"/>
          <w:szCs w:val="20"/>
          <w:vertAlign w:val="superscript"/>
          <w:lang w:val="en-GB"/>
        </w:rPr>
        <w:footnoteReference w:id="1"/>
      </w:r>
      <w:r>
        <w:t xml:space="preserve"> observée en ce moment. En accord avec les objectifs de développement durable, il est impératif d’assurer la cohérence entre les objectifs de l’Union en matière de climat et de biodiversité et l’économie circulaire. Une </w:t>
      </w:r>
      <w:r>
        <w:rPr>
          <w:b/>
        </w:rPr>
        <w:t>stratégie pour la bioéconomie</w:t>
      </w:r>
      <w:r>
        <w:t xml:space="preserve"> solide et correctement définie </w:t>
      </w:r>
      <w:r>
        <w:rPr>
          <w:b/>
          <w:bCs/>
        </w:rPr>
        <w:t>peut accompagner</w:t>
      </w:r>
      <w:r>
        <w:t xml:space="preserve"> les progrès réalisés dans le domaine de </w:t>
      </w:r>
      <w:r>
        <w:rPr>
          <w:b/>
          <w:bCs/>
        </w:rPr>
        <w:t>l’économie circulaire et favoriser la décarbonation, le bien-être et la compétitivité à long terme dans les limites de la planète</w:t>
      </w:r>
      <w:r>
        <w:t>.</w:t>
      </w:r>
    </w:p>
    <w:p w14:paraId="23AA5270" w14:textId="6971AAB4" w:rsidR="00FB30D5" w:rsidRPr="00FB30D5" w:rsidRDefault="00FB30D5" w:rsidP="00FB30D5">
      <w:pPr>
        <w:pStyle w:val="ListParagraph"/>
        <w:numPr>
          <w:ilvl w:val="0"/>
          <w:numId w:val="78"/>
        </w:numPr>
        <w:ind w:left="567" w:hanging="567"/>
        <w:rPr>
          <w:szCs w:val="20"/>
        </w:rPr>
      </w:pPr>
      <w:proofErr w:type="gramStart"/>
      <w:r>
        <w:t>rappelle</w:t>
      </w:r>
      <w:proofErr w:type="gramEnd"/>
      <w:r>
        <w:t xml:space="preserve"> que l’Union européenne ne pourra jouer un rôle de premier plan au niveau mondial que si ses institutions </w:t>
      </w:r>
      <w:r>
        <w:rPr>
          <w:b/>
          <w:bCs/>
        </w:rPr>
        <w:t xml:space="preserve">établissent des principes stricts et mettent en place des garanties </w:t>
      </w:r>
      <w:r>
        <w:rPr>
          <w:b/>
          <w:bCs/>
        </w:rPr>
        <w:lastRenderedPageBreak/>
        <w:t>rigoureuses</w:t>
      </w:r>
      <w:r>
        <w:t xml:space="preserve"> concernant ce qui peut servir d’intrants dans le cadre de la bioéconomie, qu’il s’agisse par exemple de biomasse primaire ou secondaire issue de l’agriculture, de l’aquaculture, des forêts, de la nature ou des déchets municipaux et industriels. La stratégie de l’UE pour la bioéconomie doit se focaliser sur la transformation écologique de l’économie, en intégrant les aspects environnementaux et sociaux. Une bioéconomie durable et circulaire renforcera l’économie et la compétitivité de l’Union, réduira la dépendance à l’égard des ressources fossiles, contribuera à la réalisation des objectifs climatiques, créera de nouveaux emplois et produira divers avantages environnementaux et sociaux. Dans une telle position, l’Union devrait </w:t>
      </w:r>
      <w:r>
        <w:rPr>
          <w:b/>
          <w:bCs/>
        </w:rPr>
        <w:t>donner la priorité à des emplois de qualité, notamment dans les régions rurales et reculées</w:t>
      </w:r>
      <w:r>
        <w:t xml:space="preserve">. Ces principes devraient être quantifiables, exécutoires et vérifiables tout au long de la chaîne d’approvisionnement, et s’appliquer de la même manière aux matières premières européennes et importées. Dans le contexte mondial, il est important de </w:t>
      </w:r>
      <w:r>
        <w:rPr>
          <w:b/>
          <w:bCs/>
        </w:rPr>
        <w:t>s’attaquer à la concurrence déloyale des matières premières fossiles sous-tarifées</w:t>
      </w:r>
      <w:r>
        <w:t xml:space="preserve"> (et souvent subventionnées), pour lesquelles il n’est pas tenu compte des externalités liées à l’extraction, à l’utilisation et à l’épuisement des réserves.</w:t>
      </w:r>
    </w:p>
    <w:p w14:paraId="6D46829A" w14:textId="5F874759" w:rsidR="00FB30D5" w:rsidRPr="00B3204A" w:rsidRDefault="00FB30D5" w:rsidP="00FB30D5">
      <w:pPr>
        <w:pStyle w:val="ListParagraph"/>
        <w:numPr>
          <w:ilvl w:val="0"/>
          <w:numId w:val="78"/>
        </w:numPr>
        <w:ind w:left="567" w:hanging="567"/>
        <w:rPr>
          <w:szCs w:val="20"/>
        </w:rPr>
      </w:pPr>
      <w:proofErr w:type="gramStart"/>
      <w:r w:rsidRPr="00B3204A">
        <w:rPr>
          <w:szCs w:val="20"/>
        </w:rPr>
        <w:t>ajoute</w:t>
      </w:r>
      <w:proofErr w:type="gramEnd"/>
      <w:r w:rsidRPr="00B3204A">
        <w:rPr>
          <w:szCs w:val="20"/>
        </w:rPr>
        <w:t xml:space="preserve"> que l’Union doit faire preuve de clarté quant à l’intérêt que présente, pour la société, le recours ou non à la bioéconomie, tout </w:t>
      </w:r>
      <w:r w:rsidRPr="00B3204A">
        <w:rPr>
          <w:b/>
          <w:bCs/>
          <w:szCs w:val="20"/>
        </w:rPr>
        <w:t>en s’engageant résolument en faveur de la hiérarchie des déchets — en donnant la priorité à la réduction de l’utilisation des ressources</w:t>
      </w:r>
      <w:r w:rsidRPr="00B3204A">
        <w:rPr>
          <w:szCs w:val="20"/>
        </w:rPr>
        <w:t xml:space="preserve"> — afin de rendre la bioéconomie véritablement circulaire et compétitive. Si la stratégie proposée établit une hiérarchie dans l’exploitation de la biomasse qui favorise une utilisation efficace des ressources, les garanties devraient être renforcées au profit de solutions à long terme et à cycles multiples permettant de fermer la boucle.</w:t>
      </w:r>
    </w:p>
    <w:p w14:paraId="35872910" w14:textId="77777777" w:rsidR="00FB30D5" w:rsidRPr="0039093C" w:rsidRDefault="00FB30D5" w:rsidP="00FB30D5">
      <w:pPr>
        <w:rPr>
          <w:lang w:val="en-G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7567"/>
      </w:tblGrid>
      <w:tr w:rsidR="0039093C" w:rsidRPr="00480EA8" w14:paraId="15A4E0A1" w14:textId="77777777" w:rsidTr="00854068">
        <w:trPr>
          <w:trHeight w:val="300"/>
        </w:trPr>
        <w:tc>
          <w:tcPr>
            <w:tcW w:w="1755" w:type="dxa"/>
          </w:tcPr>
          <w:p w14:paraId="0B8186B8" w14:textId="77777777" w:rsidR="0039093C" w:rsidRPr="00480EA8" w:rsidRDefault="0039093C" w:rsidP="004853F6">
            <w:pPr>
              <w:overflowPunct w:val="0"/>
              <w:autoSpaceDE w:val="0"/>
              <w:autoSpaceDN w:val="0"/>
              <w:adjustRightInd w:val="0"/>
              <w:spacing w:line="276" w:lineRule="auto"/>
              <w:textAlignment w:val="baseline"/>
              <w:outlineLvl w:val="1"/>
              <w:rPr>
                <w:i/>
                <w:iCs/>
              </w:rPr>
            </w:pPr>
            <w:r w:rsidRPr="00480EA8">
              <w:rPr>
                <w:b/>
                <w:i/>
              </w:rPr>
              <w:t>Contact</w:t>
            </w:r>
          </w:p>
        </w:tc>
        <w:tc>
          <w:tcPr>
            <w:tcW w:w="7567" w:type="dxa"/>
          </w:tcPr>
          <w:p w14:paraId="0319F3A6" w14:textId="11113606" w:rsidR="0039093C" w:rsidRPr="00480EA8" w:rsidRDefault="0039093C" w:rsidP="004853F6">
            <w:pPr>
              <w:overflowPunct w:val="0"/>
              <w:autoSpaceDE w:val="0"/>
              <w:autoSpaceDN w:val="0"/>
              <w:adjustRightInd w:val="0"/>
              <w:spacing w:line="276" w:lineRule="auto"/>
              <w:textAlignment w:val="baseline"/>
              <w:outlineLvl w:val="1"/>
              <w:rPr>
                <w:i/>
              </w:rPr>
            </w:pPr>
            <w:r w:rsidRPr="00480EA8">
              <w:t>Anna Cameron</w:t>
            </w:r>
          </w:p>
        </w:tc>
      </w:tr>
      <w:tr w:rsidR="0039093C" w:rsidRPr="00480EA8" w14:paraId="44DCA9C5" w14:textId="77777777" w:rsidTr="00854068">
        <w:trPr>
          <w:trHeight w:val="300"/>
        </w:trPr>
        <w:tc>
          <w:tcPr>
            <w:tcW w:w="1755" w:type="dxa"/>
          </w:tcPr>
          <w:p w14:paraId="714A323E" w14:textId="77777777" w:rsidR="0039093C" w:rsidRPr="00480EA8" w:rsidRDefault="0039093C" w:rsidP="00634494">
            <w:pPr>
              <w:overflowPunct w:val="0"/>
              <w:autoSpaceDE w:val="0"/>
              <w:autoSpaceDN w:val="0"/>
              <w:adjustRightInd w:val="0"/>
              <w:spacing w:line="276" w:lineRule="auto"/>
              <w:ind w:left="567"/>
              <w:textAlignment w:val="baseline"/>
              <w:outlineLvl w:val="1"/>
              <w:rPr>
                <w:i/>
              </w:rPr>
            </w:pPr>
            <w:r w:rsidRPr="00480EA8">
              <w:rPr>
                <w:i/>
              </w:rPr>
              <w:t>Tél.</w:t>
            </w:r>
          </w:p>
        </w:tc>
        <w:tc>
          <w:tcPr>
            <w:tcW w:w="7567" w:type="dxa"/>
          </w:tcPr>
          <w:p w14:paraId="46765661" w14:textId="77777777" w:rsidR="0039093C" w:rsidRPr="00480EA8" w:rsidRDefault="0039093C" w:rsidP="004853F6">
            <w:pPr>
              <w:overflowPunct w:val="0"/>
              <w:autoSpaceDE w:val="0"/>
              <w:autoSpaceDN w:val="0"/>
              <w:adjustRightInd w:val="0"/>
              <w:spacing w:line="276" w:lineRule="auto"/>
              <w:textAlignment w:val="baseline"/>
              <w:outlineLvl w:val="1"/>
              <w:rPr>
                <w:i/>
                <w:iCs/>
              </w:rPr>
            </w:pPr>
            <w:r w:rsidRPr="00480EA8">
              <w:rPr>
                <w:i/>
              </w:rPr>
              <w:t>+32 2 546 8228</w:t>
            </w:r>
          </w:p>
        </w:tc>
      </w:tr>
      <w:tr w:rsidR="0039093C" w:rsidRPr="00480EA8" w14:paraId="3E645883" w14:textId="77777777" w:rsidTr="00854068">
        <w:trPr>
          <w:trHeight w:val="300"/>
        </w:trPr>
        <w:tc>
          <w:tcPr>
            <w:tcW w:w="1755" w:type="dxa"/>
          </w:tcPr>
          <w:p w14:paraId="6069BEEF" w14:textId="77777777" w:rsidR="0039093C" w:rsidRPr="00480EA8" w:rsidRDefault="0039093C" w:rsidP="00634494">
            <w:pPr>
              <w:overflowPunct w:val="0"/>
              <w:autoSpaceDE w:val="0"/>
              <w:autoSpaceDN w:val="0"/>
              <w:adjustRightInd w:val="0"/>
              <w:spacing w:line="276" w:lineRule="auto"/>
              <w:ind w:left="567"/>
              <w:textAlignment w:val="baseline"/>
              <w:outlineLvl w:val="1"/>
              <w:rPr>
                <w:i/>
              </w:rPr>
            </w:pPr>
            <w:r w:rsidRPr="00480EA8">
              <w:rPr>
                <w:i/>
              </w:rPr>
              <w:t>Courriel</w:t>
            </w:r>
          </w:p>
        </w:tc>
        <w:tc>
          <w:tcPr>
            <w:tcW w:w="7567" w:type="dxa"/>
          </w:tcPr>
          <w:p w14:paraId="53CEC4E5" w14:textId="4092AB38" w:rsidR="0039093C" w:rsidRPr="00480EA8" w:rsidRDefault="0039093C" w:rsidP="004853F6">
            <w:pPr>
              <w:overflowPunct w:val="0"/>
              <w:autoSpaceDE w:val="0"/>
              <w:autoSpaceDN w:val="0"/>
              <w:adjustRightInd w:val="0"/>
              <w:spacing w:line="276" w:lineRule="auto"/>
              <w:textAlignment w:val="baseline"/>
              <w:outlineLvl w:val="1"/>
              <w:rPr>
                <w:i/>
                <w:iCs/>
                <w:u w:val="single"/>
              </w:rPr>
            </w:pPr>
            <w:hyperlink r:id="rId60" w:history="1">
              <w:r w:rsidRPr="00480EA8">
                <w:rPr>
                  <w:rStyle w:val="Hyperlink"/>
                  <w:i/>
                </w:rPr>
                <w:t>Anna.Cameron@eesc.europa.eu</w:t>
              </w:r>
            </w:hyperlink>
          </w:p>
        </w:tc>
      </w:tr>
    </w:tbl>
    <w:p w14:paraId="19C31E20" w14:textId="45F2D7D1" w:rsidR="007D7A17" w:rsidRDefault="007D7A17" w:rsidP="00FB30D5">
      <w:pPr>
        <w:rPr>
          <w:lang w:val="en-GB"/>
        </w:rPr>
      </w:pPr>
    </w:p>
    <w:p w14:paraId="48D068B9" w14:textId="2932E813" w:rsidR="00403683" w:rsidRPr="004C6742" w:rsidRDefault="00A067F3" w:rsidP="004C6742">
      <w:pPr>
        <w:widowControl w:val="0"/>
        <w:numPr>
          <w:ilvl w:val="0"/>
          <w:numId w:val="4"/>
        </w:numPr>
        <w:overflowPunct w:val="0"/>
        <w:autoSpaceDE w:val="0"/>
        <w:autoSpaceDN w:val="0"/>
        <w:adjustRightInd w:val="0"/>
        <w:ind w:hanging="567"/>
        <w:textAlignment w:val="baseline"/>
        <w:rPr>
          <w:b/>
        </w:rPr>
      </w:pPr>
      <w:hyperlink r:id="rId61" w:history="1">
        <w:r>
          <w:rPr>
            <w:b/>
            <w:i/>
            <w:color w:val="0000FF"/>
            <w:sz w:val="28"/>
            <w:u w:val="single"/>
          </w:rPr>
          <w:t>Train de mesures omnibus sur la simplification en matière de denrées alimentaires et d’aliments pour animaux</w:t>
        </w:r>
      </w:hyperlink>
    </w:p>
    <w:p w14:paraId="2887B6E5" w14:textId="77777777" w:rsidR="00D245DB" w:rsidRDefault="00D245DB" w:rsidP="00D245DB">
      <w:pPr>
        <w:widowControl w:val="0"/>
        <w:overflowPunct w:val="0"/>
        <w:autoSpaceDE w:val="0"/>
        <w:autoSpaceDN w:val="0"/>
        <w:adjustRightInd w:val="0"/>
        <w:textAlignment w:val="baseline"/>
        <w:rPr>
          <w: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03683" w:rsidRPr="00480EA8" w14:paraId="7E2BB842" w14:textId="77777777" w:rsidTr="002E7EFB">
        <w:tc>
          <w:tcPr>
            <w:tcW w:w="1077" w:type="pct"/>
          </w:tcPr>
          <w:p w14:paraId="7E4E51AD" w14:textId="77777777" w:rsidR="00403683" w:rsidRPr="00480EA8" w:rsidRDefault="00403683" w:rsidP="00403683">
            <w:pPr>
              <w:tabs>
                <w:tab w:val="center" w:pos="284"/>
              </w:tabs>
              <w:overflowPunct w:val="0"/>
              <w:autoSpaceDE w:val="0"/>
              <w:autoSpaceDN w:val="0"/>
              <w:adjustRightInd w:val="0"/>
              <w:ind w:left="266" w:hanging="266"/>
              <w:textAlignment w:val="baseline"/>
              <w:rPr>
                <w:b/>
                <w:sz w:val="22"/>
                <w:szCs w:val="22"/>
              </w:rPr>
            </w:pPr>
            <w:r w:rsidRPr="00480EA8">
              <w:rPr>
                <w:b/>
                <w:sz w:val="22"/>
                <w:szCs w:val="22"/>
              </w:rPr>
              <w:t>Rapporteur</w:t>
            </w:r>
          </w:p>
          <w:p w14:paraId="1DA05D33" w14:textId="77777777" w:rsidR="00403683" w:rsidRPr="00480EA8" w:rsidRDefault="00403683" w:rsidP="00403683">
            <w:pPr>
              <w:tabs>
                <w:tab w:val="center" w:pos="284"/>
              </w:tabs>
              <w:overflowPunct w:val="0"/>
              <w:autoSpaceDE w:val="0"/>
              <w:autoSpaceDN w:val="0"/>
              <w:adjustRightInd w:val="0"/>
              <w:ind w:left="266" w:hanging="266"/>
              <w:textAlignment w:val="baseline"/>
              <w:rPr>
                <w:b/>
                <w:sz w:val="22"/>
                <w:szCs w:val="22"/>
              </w:rPr>
            </w:pPr>
            <w:r w:rsidRPr="00480EA8">
              <w:rPr>
                <w:b/>
                <w:sz w:val="22"/>
                <w:szCs w:val="22"/>
              </w:rPr>
              <w:t>Corapporteur</w:t>
            </w:r>
          </w:p>
        </w:tc>
        <w:tc>
          <w:tcPr>
            <w:tcW w:w="3923" w:type="pct"/>
          </w:tcPr>
          <w:p w14:paraId="2C24310A" w14:textId="58067842" w:rsidR="00403683" w:rsidRPr="00480EA8" w:rsidRDefault="00403683" w:rsidP="00403683">
            <w:pPr>
              <w:tabs>
                <w:tab w:val="center" w:pos="284"/>
              </w:tabs>
              <w:overflowPunct w:val="0"/>
              <w:autoSpaceDE w:val="0"/>
              <w:autoSpaceDN w:val="0"/>
              <w:adjustRightInd w:val="0"/>
              <w:ind w:left="266" w:right="-3091" w:hanging="266"/>
              <w:textAlignment w:val="baseline"/>
              <w:rPr>
                <w:sz w:val="22"/>
                <w:szCs w:val="22"/>
              </w:rPr>
            </w:pPr>
            <w:r w:rsidRPr="00480EA8">
              <w:rPr>
                <w:sz w:val="22"/>
                <w:szCs w:val="22"/>
              </w:rPr>
              <w:t>Felipe MEDINA (groupe des employeurs – Espagne)</w:t>
            </w:r>
          </w:p>
          <w:p w14:paraId="3D560AB1" w14:textId="7A3E50CA" w:rsidR="00403683" w:rsidRPr="00480EA8" w:rsidRDefault="00403683" w:rsidP="00403683">
            <w:pPr>
              <w:tabs>
                <w:tab w:val="center" w:pos="284"/>
              </w:tabs>
              <w:overflowPunct w:val="0"/>
              <w:autoSpaceDE w:val="0"/>
              <w:autoSpaceDN w:val="0"/>
              <w:adjustRightInd w:val="0"/>
              <w:ind w:left="266" w:right="-3091" w:hanging="266"/>
              <w:textAlignment w:val="baseline"/>
              <w:rPr>
                <w:sz w:val="22"/>
                <w:szCs w:val="22"/>
              </w:rPr>
            </w:pPr>
            <w:r w:rsidRPr="00480EA8">
              <w:rPr>
                <w:sz w:val="22"/>
                <w:szCs w:val="22"/>
              </w:rPr>
              <w:t>John COMER (groupe des organisations de la société civile — Irlande)</w:t>
            </w:r>
          </w:p>
          <w:p w14:paraId="037A195D" w14:textId="77777777" w:rsidR="00F10208" w:rsidRPr="00480EA8" w:rsidRDefault="00F10208" w:rsidP="00403683">
            <w:pPr>
              <w:tabs>
                <w:tab w:val="center" w:pos="284"/>
              </w:tabs>
              <w:overflowPunct w:val="0"/>
              <w:autoSpaceDE w:val="0"/>
              <w:autoSpaceDN w:val="0"/>
              <w:adjustRightInd w:val="0"/>
              <w:ind w:left="266" w:right="-3091" w:hanging="266"/>
              <w:textAlignment w:val="baseline"/>
              <w:rPr>
                <w:sz w:val="22"/>
                <w:szCs w:val="22"/>
              </w:rPr>
            </w:pPr>
          </w:p>
        </w:tc>
      </w:tr>
      <w:tr w:rsidR="00403683" w:rsidRPr="00480EA8" w14:paraId="783AECB9" w14:textId="77777777" w:rsidTr="002E7EFB">
        <w:tc>
          <w:tcPr>
            <w:tcW w:w="1077" w:type="pct"/>
          </w:tcPr>
          <w:p w14:paraId="6E48B402" w14:textId="77777777" w:rsidR="00403683" w:rsidRPr="00480EA8" w:rsidRDefault="00403683" w:rsidP="00403683">
            <w:pPr>
              <w:tabs>
                <w:tab w:val="center" w:pos="284"/>
              </w:tabs>
              <w:overflowPunct w:val="0"/>
              <w:autoSpaceDE w:val="0"/>
              <w:autoSpaceDN w:val="0"/>
              <w:adjustRightInd w:val="0"/>
              <w:ind w:left="266" w:hanging="266"/>
              <w:textAlignment w:val="baseline"/>
              <w:rPr>
                <w:b/>
                <w:sz w:val="22"/>
                <w:szCs w:val="22"/>
              </w:rPr>
            </w:pPr>
            <w:r w:rsidRPr="00480EA8">
              <w:rPr>
                <w:b/>
                <w:sz w:val="22"/>
                <w:szCs w:val="22"/>
              </w:rPr>
              <w:t>Références</w:t>
            </w:r>
          </w:p>
        </w:tc>
        <w:tc>
          <w:tcPr>
            <w:tcW w:w="3923" w:type="pct"/>
          </w:tcPr>
          <w:p w14:paraId="3053CB7C" w14:textId="4CC39F23" w:rsidR="00F10208" w:rsidRPr="00480EA8" w:rsidRDefault="007C5358" w:rsidP="00403683">
            <w:pPr>
              <w:tabs>
                <w:tab w:val="center" w:pos="284"/>
              </w:tabs>
              <w:overflowPunct w:val="0"/>
              <w:autoSpaceDE w:val="0"/>
              <w:autoSpaceDN w:val="0"/>
              <w:adjustRightInd w:val="0"/>
              <w:ind w:left="266" w:right="-3091" w:hanging="266"/>
              <w:textAlignment w:val="baseline"/>
              <w:rPr>
                <w:sz w:val="22"/>
                <w:szCs w:val="22"/>
              </w:rPr>
            </w:pPr>
            <w:proofErr w:type="gramStart"/>
            <w:r w:rsidRPr="00480EA8">
              <w:rPr>
                <w:sz w:val="22"/>
                <w:szCs w:val="22"/>
              </w:rPr>
              <w:t>COM(</w:t>
            </w:r>
            <w:proofErr w:type="gramEnd"/>
            <w:r w:rsidRPr="00480EA8">
              <w:rPr>
                <w:sz w:val="22"/>
                <w:szCs w:val="22"/>
              </w:rPr>
              <w:t>2025) 1030 final</w:t>
            </w:r>
          </w:p>
          <w:p w14:paraId="762EB0A0" w14:textId="5D841CDA" w:rsidR="00403683" w:rsidRPr="00480EA8" w:rsidRDefault="00403683" w:rsidP="00403683">
            <w:pPr>
              <w:tabs>
                <w:tab w:val="center" w:pos="284"/>
              </w:tabs>
              <w:overflowPunct w:val="0"/>
              <w:autoSpaceDE w:val="0"/>
              <w:autoSpaceDN w:val="0"/>
              <w:adjustRightInd w:val="0"/>
              <w:ind w:left="266" w:right="-3091" w:hanging="266"/>
              <w:textAlignment w:val="baseline"/>
              <w:rPr>
                <w:sz w:val="22"/>
                <w:szCs w:val="22"/>
              </w:rPr>
            </w:pPr>
            <w:r w:rsidRPr="00480EA8">
              <w:rPr>
                <w:sz w:val="22"/>
                <w:szCs w:val="22"/>
              </w:rPr>
              <w:t>EESC-2025-04381-00-00-AC</w:t>
            </w:r>
          </w:p>
        </w:tc>
      </w:tr>
    </w:tbl>
    <w:p w14:paraId="07986621" w14:textId="77777777" w:rsidR="00403683" w:rsidRPr="00403683" w:rsidRDefault="00403683" w:rsidP="00403683">
      <w:pPr>
        <w:tabs>
          <w:tab w:val="center" w:pos="284"/>
        </w:tabs>
        <w:overflowPunct w:val="0"/>
        <w:autoSpaceDE w:val="0"/>
        <w:autoSpaceDN w:val="0"/>
        <w:adjustRightInd w:val="0"/>
        <w:ind w:left="266" w:hanging="266"/>
        <w:textAlignment w:val="baseline"/>
        <w:rPr>
          <w:b/>
          <w:lang w:val="en-GB"/>
        </w:rPr>
      </w:pPr>
    </w:p>
    <w:p w14:paraId="7C92A945"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rPr>
      </w:pPr>
      <w:r>
        <w:rPr>
          <w:b/>
        </w:rPr>
        <w:t>Points clés</w:t>
      </w:r>
    </w:p>
    <w:p w14:paraId="2174BF7E"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lang w:val="en-GB"/>
        </w:rPr>
      </w:pPr>
    </w:p>
    <w:p w14:paraId="16E30F54" w14:textId="77777777" w:rsidR="00403683" w:rsidRDefault="00403683" w:rsidP="00403683">
      <w:pPr>
        <w:overflowPunct w:val="0"/>
        <w:autoSpaceDE w:val="0"/>
        <w:autoSpaceDN w:val="0"/>
        <w:adjustRightInd w:val="0"/>
        <w:textAlignment w:val="baseline"/>
        <w:rPr>
          <w:bCs/>
          <w:iCs/>
        </w:rPr>
      </w:pPr>
      <w:r>
        <w:t xml:space="preserve">Le </w:t>
      </w:r>
      <w:proofErr w:type="gramStart"/>
      <w:r>
        <w:t>CESE:</w:t>
      </w:r>
      <w:proofErr w:type="gramEnd"/>
    </w:p>
    <w:p w14:paraId="15731CD7" w14:textId="77777777" w:rsidR="00AF547E" w:rsidRDefault="00AF547E" w:rsidP="00403683">
      <w:pPr>
        <w:overflowPunct w:val="0"/>
        <w:autoSpaceDE w:val="0"/>
        <w:autoSpaceDN w:val="0"/>
        <w:adjustRightInd w:val="0"/>
        <w:textAlignment w:val="baseline"/>
        <w:rPr>
          <w:bCs/>
          <w:iCs/>
          <w:lang w:val="en-GB"/>
        </w:rPr>
      </w:pPr>
    </w:p>
    <w:p w14:paraId="69F52241" w14:textId="7CD9C2B0" w:rsidR="0041766F" w:rsidRPr="0041766F" w:rsidRDefault="0041766F" w:rsidP="0041766F">
      <w:pPr>
        <w:pStyle w:val="ListParagraph"/>
        <w:numPr>
          <w:ilvl w:val="0"/>
          <w:numId w:val="78"/>
        </w:numPr>
        <w:ind w:left="567" w:hanging="567"/>
        <w:rPr>
          <w:szCs w:val="20"/>
        </w:rPr>
      </w:pPr>
      <w:bookmarkStart w:id="30" w:name="_Toc228805442"/>
      <w:r>
        <w:t xml:space="preserve">salue l’orientation générale du train de mesures sur la simplification en matière de denrées alimentaires et d’aliments pour animaux, qui devrait se traduire par une réduction des coûts et des charges administratives inutiles, mais fait valoir qu’une simplification ne peut porter atteinte aux normes élevées de l’Union européenne en matière de sécurité des denrées alimentaires et </w:t>
      </w:r>
      <w:r>
        <w:lastRenderedPageBreak/>
        <w:t>des aliments pour animaux, de protection de l’environnement et de santé publique, et ajoute qu’une simplification plus poussée aurait été utile;</w:t>
      </w:r>
      <w:bookmarkEnd w:id="30"/>
    </w:p>
    <w:p w14:paraId="564431E5" w14:textId="1A83A89A" w:rsidR="0041766F" w:rsidRPr="0041766F" w:rsidRDefault="0041766F" w:rsidP="0041766F">
      <w:pPr>
        <w:pStyle w:val="ListParagraph"/>
        <w:numPr>
          <w:ilvl w:val="0"/>
          <w:numId w:val="78"/>
        </w:numPr>
        <w:ind w:left="567" w:hanging="567"/>
        <w:rPr>
          <w:szCs w:val="20"/>
        </w:rPr>
      </w:pPr>
      <w:bookmarkStart w:id="31" w:name="_Toc228805443"/>
      <w:proofErr w:type="gramStart"/>
      <w:r>
        <w:t>met</w:t>
      </w:r>
      <w:proofErr w:type="gramEnd"/>
      <w:r>
        <w:t xml:space="preserve"> en avant l’importance d’une réglementation de qualité et l’intérêt de consolider le rôle de la société civile dans le suivi et l’application de la </w:t>
      </w:r>
      <w:proofErr w:type="gramStart"/>
      <w:r>
        <w:t>législation;</w:t>
      </w:r>
      <w:bookmarkEnd w:id="31"/>
      <w:proofErr w:type="gramEnd"/>
    </w:p>
    <w:p w14:paraId="2452054B" w14:textId="5D771A17" w:rsidR="0041766F" w:rsidRPr="0041766F" w:rsidRDefault="0041766F" w:rsidP="0041766F">
      <w:pPr>
        <w:pStyle w:val="ListParagraph"/>
        <w:numPr>
          <w:ilvl w:val="0"/>
          <w:numId w:val="78"/>
        </w:numPr>
        <w:ind w:left="567" w:hanging="567"/>
        <w:rPr>
          <w:szCs w:val="20"/>
        </w:rPr>
      </w:pPr>
      <w:bookmarkStart w:id="32" w:name="_Toc228805444"/>
      <w:proofErr w:type="gramStart"/>
      <w:r>
        <w:t>se</w:t>
      </w:r>
      <w:proofErr w:type="gramEnd"/>
      <w:r>
        <w:t xml:space="preserve"> félicite de la proposition de faciliter un recours accru aux drones pour la pulvérisation de pesticides, tout en insistant sur la nécessité de prévoir des protections et des garanties en bonne et due forme pour la santé et l’environnement des résidents ruraux non liés au monde agricole ainsi que de l’ensemble des </w:t>
      </w:r>
      <w:proofErr w:type="gramStart"/>
      <w:r>
        <w:t>travailleurs;</w:t>
      </w:r>
      <w:bookmarkEnd w:id="32"/>
      <w:proofErr w:type="gramEnd"/>
    </w:p>
    <w:p w14:paraId="1610C6E5" w14:textId="52E0AE92" w:rsidR="0041766F" w:rsidRPr="0041766F" w:rsidRDefault="0041766F" w:rsidP="0041766F">
      <w:pPr>
        <w:pStyle w:val="ListParagraph"/>
        <w:numPr>
          <w:ilvl w:val="0"/>
          <w:numId w:val="78"/>
        </w:numPr>
        <w:ind w:left="567" w:hanging="567"/>
        <w:rPr>
          <w:szCs w:val="20"/>
        </w:rPr>
      </w:pPr>
      <w:bookmarkStart w:id="33" w:name="_Toc228805445"/>
      <w:proofErr w:type="gramStart"/>
      <w:r>
        <w:t>estime</w:t>
      </w:r>
      <w:proofErr w:type="gramEnd"/>
      <w:r>
        <w:t xml:space="preserve"> que l’Autorité européenne de sécurité des aliments (EFSA) devrait être habilitée à alerter sur l’utilité de procéder à des réévaluations ciblées des substances actives ayant fait l’objet d’une approbation à durée illimitée, de même qu’elle devrait être invitée à rendre un avis sur la pertinence de tout délai de </w:t>
      </w:r>
      <w:proofErr w:type="gramStart"/>
      <w:r>
        <w:t>grâce;</w:t>
      </w:r>
      <w:bookmarkEnd w:id="33"/>
      <w:proofErr w:type="gramEnd"/>
    </w:p>
    <w:p w14:paraId="6201E806" w14:textId="5CE4505E" w:rsidR="0041766F" w:rsidRPr="0041766F" w:rsidRDefault="0041766F" w:rsidP="0041766F">
      <w:pPr>
        <w:pStyle w:val="ListParagraph"/>
        <w:numPr>
          <w:ilvl w:val="0"/>
          <w:numId w:val="78"/>
        </w:numPr>
        <w:ind w:left="567" w:hanging="567"/>
        <w:rPr>
          <w:szCs w:val="20"/>
        </w:rPr>
      </w:pPr>
      <w:bookmarkStart w:id="34" w:name="_Toc228805446"/>
      <w:proofErr w:type="gramStart"/>
      <w:r>
        <w:t>se</w:t>
      </w:r>
      <w:proofErr w:type="gramEnd"/>
      <w:r>
        <w:t xml:space="preserve"> réjouit de l’accélération et de la simplification des procédures d’autorisation pour les produits de lutte </w:t>
      </w:r>
      <w:proofErr w:type="gramStart"/>
      <w:r>
        <w:t>biologique;</w:t>
      </w:r>
      <w:bookmarkEnd w:id="34"/>
      <w:proofErr w:type="gramEnd"/>
    </w:p>
    <w:p w14:paraId="215283E3" w14:textId="29320572" w:rsidR="0041766F" w:rsidRPr="0041766F" w:rsidRDefault="0041766F" w:rsidP="0041766F">
      <w:pPr>
        <w:pStyle w:val="ListParagraph"/>
        <w:numPr>
          <w:ilvl w:val="0"/>
          <w:numId w:val="78"/>
        </w:numPr>
        <w:ind w:left="567" w:hanging="567"/>
        <w:rPr>
          <w:szCs w:val="20"/>
        </w:rPr>
      </w:pPr>
      <w:bookmarkStart w:id="35" w:name="_Toc228805447"/>
      <w:proofErr w:type="gramStart"/>
      <w:r>
        <w:t>demande</w:t>
      </w:r>
      <w:proofErr w:type="gramEnd"/>
      <w:r>
        <w:t xml:space="preserve"> que les délais de grâce soient harmonisés dans l’ensemble de l’Union sur la base du plus haut niveau de protection et que les reconnaissances mutuelles soient </w:t>
      </w:r>
      <w:proofErr w:type="gramStart"/>
      <w:r>
        <w:t>facilitées;</w:t>
      </w:r>
      <w:bookmarkEnd w:id="35"/>
      <w:proofErr w:type="gramEnd"/>
    </w:p>
    <w:p w14:paraId="64D50CE6" w14:textId="6A028AC5" w:rsidR="0041766F" w:rsidRPr="0041766F" w:rsidRDefault="0041766F" w:rsidP="0041766F">
      <w:pPr>
        <w:pStyle w:val="ListParagraph"/>
        <w:numPr>
          <w:ilvl w:val="0"/>
          <w:numId w:val="78"/>
        </w:numPr>
        <w:ind w:left="567" w:hanging="567"/>
        <w:rPr>
          <w:szCs w:val="20"/>
        </w:rPr>
      </w:pPr>
      <w:bookmarkStart w:id="36" w:name="_Toc228805448"/>
      <w:proofErr w:type="gramStart"/>
      <w:r>
        <w:t>soutient</w:t>
      </w:r>
      <w:proofErr w:type="gramEnd"/>
      <w:r>
        <w:t xml:space="preserve"> l’autorisation des produits phytopharmaceutiques contenant des substances actives approuvées par l’UE pour le traitement des semences destinées à l’exportation, pour autant que cette utilisation soit conforme aux exigences réglementaires du pays de </w:t>
      </w:r>
      <w:proofErr w:type="gramStart"/>
      <w:r>
        <w:t>destination;</w:t>
      </w:r>
      <w:bookmarkEnd w:id="36"/>
      <w:proofErr w:type="gramEnd"/>
    </w:p>
    <w:p w14:paraId="5638FBEB" w14:textId="675ADABC" w:rsidR="0041766F" w:rsidRPr="0041766F" w:rsidRDefault="0041766F" w:rsidP="0041766F">
      <w:pPr>
        <w:pStyle w:val="ListParagraph"/>
        <w:numPr>
          <w:ilvl w:val="0"/>
          <w:numId w:val="78"/>
        </w:numPr>
        <w:ind w:left="567" w:hanging="567"/>
        <w:rPr>
          <w:szCs w:val="20"/>
        </w:rPr>
      </w:pPr>
      <w:bookmarkStart w:id="37" w:name="_Toc228805449"/>
      <w:proofErr w:type="gramStart"/>
      <w:r>
        <w:t>propose</w:t>
      </w:r>
      <w:proofErr w:type="gramEnd"/>
      <w:r>
        <w:t xml:space="preserve"> que soient reconnues officiellement les analyses sanitaires et de certification privées menées par des entreprises, afin de simplifier la procédure d’exportation des produits phytopharmaceutiques vers des pays tiers, moyennant la mise en place par les autorités de contrôles plus stricts et d’amendes pour permettre une telle </w:t>
      </w:r>
      <w:proofErr w:type="gramStart"/>
      <w:r>
        <w:t>reconnaissance;</w:t>
      </w:r>
      <w:bookmarkEnd w:id="37"/>
      <w:proofErr w:type="gramEnd"/>
    </w:p>
    <w:p w14:paraId="70243CE0" w14:textId="1C7AA670" w:rsidR="0041766F" w:rsidRPr="0041766F" w:rsidRDefault="0041766F" w:rsidP="0041766F">
      <w:pPr>
        <w:pStyle w:val="ListParagraph"/>
        <w:numPr>
          <w:ilvl w:val="0"/>
          <w:numId w:val="78"/>
        </w:numPr>
        <w:ind w:left="567" w:hanging="567"/>
        <w:rPr>
          <w:szCs w:val="20"/>
        </w:rPr>
      </w:pPr>
      <w:bookmarkStart w:id="38" w:name="_Toc228805450"/>
      <w:proofErr w:type="gramStart"/>
      <w:r>
        <w:t>tout</w:t>
      </w:r>
      <w:proofErr w:type="gramEnd"/>
      <w:r>
        <w:t xml:space="preserve"> en admettant l’importance de normes équivalentes, s’inquiète de la suppression des tolérances à l’importation pour certaines substances non autorisées dans l’Union et estime qu’apporter de telles modifications majeures ne peut se faire sans une analyse d’impact, conformément au principe de précaution et en tenant compte des implications potentielles pour tous les acteurs de la chaîne qui dépendent fortement des </w:t>
      </w:r>
      <w:proofErr w:type="gramStart"/>
      <w:r>
        <w:t>importations;</w:t>
      </w:r>
      <w:bookmarkEnd w:id="38"/>
      <w:proofErr w:type="gramEnd"/>
    </w:p>
    <w:p w14:paraId="7FAE1520" w14:textId="48C45649" w:rsidR="0041766F" w:rsidRPr="0041766F" w:rsidRDefault="0041766F" w:rsidP="0041766F">
      <w:pPr>
        <w:pStyle w:val="ListParagraph"/>
        <w:numPr>
          <w:ilvl w:val="0"/>
          <w:numId w:val="78"/>
        </w:numPr>
        <w:ind w:left="567" w:hanging="567"/>
        <w:rPr>
          <w:szCs w:val="20"/>
        </w:rPr>
      </w:pPr>
      <w:bookmarkStart w:id="39" w:name="_Toc228805451"/>
      <w:proofErr w:type="gramStart"/>
      <w:r>
        <w:t>estime</w:t>
      </w:r>
      <w:proofErr w:type="gramEnd"/>
      <w:r>
        <w:t xml:space="preserve"> que les substances de lutte biologique devraient être autorisées à contenir des métaux lourds comme le cuivre, pour autant que la santé humaine, animale et des sols ainsi que la biodiversité soient </w:t>
      </w:r>
      <w:proofErr w:type="gramStart"/>
      <w:r>
        <w:t>garanties</w:t>
      </w:r>
      <w:bookmarkEnd w:id="39"/>
      <w:r>
        <w:t>;</w:t>
      </w:r>
      <w:proofErr w:type="gramEnd"/>
    </w:p>
    <w:p w14:paraId="39A88B5F" w14:textId="67F83221" w:rsidR="0041766F" w:rsidRPr="0041766F" w:rsidRDefault="0041766F" w:rsidP="0041766F">
      <w:pPr>
        <w:pStyle w:val="ListParagraph"/>
        <w:numPr>
          <w:ilvl w:val="0"/>
          <w:numId w:val="78"/>
        </w:numPr>
        <w:ind w:left="567" w:hanging="567"/>
        <w:rPr>
          <w:szCs w:val="20"/>
        </w:rPr>
      </w:pPr>
      <w:bookmarkStart w:id="40" w:name="_Toc228805452"/>
      <w:proofErr w:type="gramStart"/>
      <w:r>
        <w:t>est</w:t>
      </w:r>
      <w:proofErr w:type="gramEnd"/>
      <w:r>
        <w:t xml:space="preserve"> d’avis qu’avant de retirer une substance active dont la substitution est envisagée, une solution de remplacement économiquement viable et présentant un niveau d’efficacité équivalent devrait être </w:t>
      </w:r>
      <w:proofErr w:type="gramStart"/>
      <w:r>
        <w:t>disponible;</w:t>
      </w:r>
      <w:bookmarkEnd w:id="40"/>
      <w:proofErr w:type="gramEnd"/>
    </w:p>
    <w:p w14:paraId="43C4DE36" w14:textId="3C44FD38" w:rsidR="0041766F" w:rsidRPr="0041766F" w:rsidRDefault="0041766F" w:rsidP="0041766F">
      <w:pPr>
        <w:pStyle w:val="ListParagraph"/>
        <w:numPr>
          <w:ilvl w:val="0"/>
          <w:numId w:val="78"/>
        </w:numPr>
        <w:ind w:left="567" w:hanging="567"/>
        <w:rPr>
          <w:szCs w:val="20"/>
        </w:rPr>
      </w:pPr>
      <w:bookmarkStart w:id="41" w:name="_Toc228805453"/>
      <w:proofErr w:type="gramStart"/>
      <w:r>
        <w:t>considère</w:t>
      </w:r>
      <w:proofErr w:type="gramEnd"/>
      <w:r>
        <w:t xml:space="preserve"> que l’Union européenne se doit de respecter les normes les plus élevées en matière de transparence et de sécurité des nouveaux aliments et des aliments génétiquement </w:t>
      </w:r>
      <w:proofErr w:type="gramStart"/>
      <w:r>
        <w:t>modifiés;</w:t>
      </w:r>
      <w:bookmarkEnd w:id="41"/>
      <w:proofErr w:type="gramEnd"/>
    </w:p>
    <w:p w14:paraId="1C2F908B" w14:textId="09B17D44" w:rsidR="0041766F" w:rsidRPr="0041766F" w:rsidRDefault="0041766F" w:rsidP="0041766F">
      <w:pPr>
        <w:pStyle w:val="ListParagraph"/>
        <w:numPr>
          <w:ilvl w:val="0"/>
          <w:numId w:val="78"/>
        </w:numPr>
        <w:ind w:left="567" w:hanging="567"/>
        <w:rPr>
          <w:szCs w:val="20"/>
        </w:rPr>
      </w:pPr>
      <w:bookmarkStart w:id="42" w:name="_Toc228805454"/>
      <w:proofErr w:type="gramStart"/>
      <w:r>
        <w:t>demande</w:t>
      </w:r>
      <w:proofErr w:type="gramEnd"/>
      <w:r>
        <w:t xml:space="preserve"> que l’harmonisation de l’étiquetage des semences comprenne des mesures de précaution et de gestion des risques pertinentes.</w:t>
      </w:r>
      <w:bookmarkEnd w:id="42"/>
    </w:p>
    <w:p w14:paraId="11C5BD20" w14:textId="77777777" w:rsidR="0041766F" w:rsidRPr="00403683" w:rsidRDefault="0041766F" w:rsidP="00403683">
      <w:pPr>
        <w:overflowPunct w:val="0"/>
        <w:autoSpaceDE w:val="0"/>
        <w:autoSpaceDN w:val="0"/>
        <w:adjustRightInd w:val="0"/>
        <w:textAlignment w:val="baseline"/>
        <w:rPr>
          <w:bCs/>
          <w:iCs/>
          <w:lang w:val="en-G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03683" w:rsidRPr="00480EA8" w14:paraId="70675006" w14:textId="77777777" w:rsidTr="002E7EFB">
        <w:tc>
          <w:tcPr>
            <w:tcW w:w="1077" w:type="pct"/>
          </w:tcPr>
          <w:p w14:paraId="47BC0F37" w14:textId="77777777" w:rsidR="00403683" w:rsidRPr="00480EA8" w:rsidRDefault="00403683" w:rsidP="00403683">
            <w:pPr>
              <w:overflowPunct w:val="0"/>
              <w:autoSpaceDE w:val="0"/>
              <w:autoSpaceDN w:val="0"/>
              <w:adjustRightInd w:val="0"/>
              <w:textAlignment w:val="baseline"/>
              <w:rPr>
                <w:i/>
                <w:sz w:val="22"/>
                <w:szCs w:val="22"/>
              </w:rPr>
            </w:pPr>
            <w:r w:rsidRPr="00480EA8">
              <w:rPr>
                <w:b/>
                <w:i/>
                <w:sz w:val="22"/>
                <w:szCs w:val="22"/>
              </w:rPr>
              <w:t>Contact</w:t>
            </w:r>
          </w:p>
        </w:tc>
        <w:tc>
          <w:tcPr>
            <w:tcW w:w="3923" w:type="pct"/>
          </w:tcPr>
          <w:p w14:paraId="14A09B02" w14:textId="54C774A1" w:rsidR="00403683" w:rsidRPr="00480EA8" w:rsidRDefault="00403683" w:rsidP="00403683">
            <w:pPr>
              <w:overflowPunct w:val="0"/>
              <w:autoSpaceDE w:val="0"/>
              <w:autoSpaceDN w:val="0"/>
              <w:adjustRightInd w:val="0"/>
              <w:textAlignment w:val="baseline"/>
              <w:rPr>
                <w:i/>
                <w:sz w:val="22"/>
                <w:szCs w:val="22"/>
              </w:rPr>
            </w:pPr>
            <w:r w:rsidRPr="00480EA8">
              <w:rPr>
                <w:i/>
                <w:sz w:val="22"/>
                <w:szCs w:val="22"/>
              </w:rPr>
              <w:t>Martine Delanoy</w:t>
            </w:r>
          </w:p>
        </w:tc>
      </w:tr>
      <w:tr w:rsidR="00403683" w:rsidRPr="00480EA8" w14:paraId="1A38B9B8" w14:textId="77777777" w:rsidTr="002E7EFB">
        <w:tc>
          <w:tcPr>
            <w:tcW w:w="1077" w:type="pct"/>
          </w:tcPr>
          <w:p w14:paraId="4675EE24" w14:textId="77777777" w:rsidR="00403683" w:rsidRPr="00480EA8" w:rsidRDefault="00403683" w:rsidP="00634494">
            <w:pPr>
              <w:overflowPunct w:val="0"/>
              <w:autoSpaceDE w:val="0"/>
              <w:autoSpaceDN w:val="0"/>
              <w:adjustRightInd w:val="0"/>
              <w:ind w:left="567"/>
              <w:textAlignment w:val="baseline"/>
              <w:rPr>
                <w:i/>
                <w:sz w:val="22"/>
                <w:szCs w:val="22"/>
              </w:rPr>
            </w:pPr>
            <w:r w:rsidRPr="00480EA8">
              <w:rPr>
                <w:i/>
                <w:sz w:val="22"/>
                <w:szCs w:val="22"/>
              </w:rPr>
              <w:t>Tél.</w:t>
            </w:r>
          </w:p>
        </w:tc>
        <w:tc>
          <w:tcPr>
            <w:tcW w:w="3923" w:type="pct"/>
          </w:tcPr>
          <w:p w14:paraId="353DAD93" w14:textId="77777777" w:rsidR="00403683" w:rsidRPr="00480EA8" w:rsidRDefault="00403683" w:rsidP="00403683">
            <w:pPr>
              <w:overflowPunct w:val="0"/>
              <w:autoSpaceDE w:val="0"/>
              <w:autoSpaceDN w:val="0"/>
              <w:adjustRightInd w:val="0"/>
              <w:textAlignment w:val="baseline"/>
              <w:rPr>
                <w:i/>
                <w:sz w:val="22"/>
                <w:szCs w:val="22"/>
              </w:rPr>
            </w:pPr>
            <w:r w:rsidRPr="00480EA8">
              <w:rPr>
                <w:i/>
                <w:sz w:val="22"/>
                <w:szCs w:val="22"/>
              </w:rPr>
              <w:t>+32 2 546 9802</w:t>
            </w:r>
          </w:p>
        </w:tc>
      </w:tr>
      <w:tr w:rsidR="00403683" w:rsidRPr="00480EA8" w14:paraId="7CCD1D63" w14:textId="77777777" w:rsidTr="002E7EFB">
        <w:tc>
          <w:tcPr>
            <w:tcW w:w="1077" w:type="pct"/>
          </w:tcPr>
          <w:p w14:paraId="0D398F1B" w14:textId="77777777" w:rsidR="00403683" w:rsidRPr="00480EA8" w:rsidRDefault="00403683" w:rsidP="00634494">
            <w:pPr>
              <w:overflowPunct w:val="0"/>
              <w:autoSpaceDE w:val="0"/>
              <w:autoSpaceDN w:val="0"/>
              <w:adjustRightInd w:val="0"/>
              <w:ind w:left="567"/>
              <w:textAlignment w:val="baseline"/>
              <w:rPr>
                <w:i/>
                <w:sz w:val="22"/>
                <w:szCs w:val="22"/>
              </w:rPr>
            </w:pPr>
            <w:r w:rsidRPr="00480EA8">
              <w:rPr>
                <w:i/>
                <w:sz w:val="22"/>
                <w:szCs w:val="22"/>
              </w:rPr>
              <w:t>Courriel</w:t>
            </w:r>
          </w:p>
        </w:tc>
        <w:tc>
          <w:tcPr>
            <w:tcW w:w="3923" w:type="pct"/>
          </w:tcPr>
          <w:p w14:paraId="7433A851" w14:textId="19848827" w:rsidR="00CA6EC9" w:rsidRPr="00480EA8" w:rsidRDefault="00E44636" w:rsidP="003D3153">
            <w:pPr>
              <w:overflowPunct w:val="0"/>
              <w:autoSpaceDE w:val="0"/>
              <w:autoSpaceDN w:val="0"/>
              <w:adjustRightInd w:val="0"/>
              <w:textAlignment w:val="baseline"/>
              <w:rPr>
                <w:i/>
                <w:sz w:val="22"/>
                <w:szCs w:val="22"/>
              </w:rPr>
            </w:pPr>
            <w:hyperlink r:id="rId62" w:history="1">
              <w:r w:rsidRPr="00480EA8">
                <w:rPr>
                  <w:i/>
                  <w:color w:val="0000FF"/>
                  <w:sz w:val="22"/>
                  <w:szCs w:val="22"/>
                  <w:u w:val="single"/>
                </w:rPr>
                <w:t>Martine.Delanoy@eesc.europa.eu</w:t>
              </w:r>
            </w:hyperlink>
          </w:p>
        </w:tc>
      </w:tr>
    </w:tbl>
    <w:p w14:paraId="2EE3ACD5" w14:textId="77777777" w:rsidR="007B6F06" w:rsidRPr="003D3153" w:rsidRDefault="007B6F06" w:rsidP="004C6742">
      <w:pPr>
        <w:widowControl w:val="0"/>
        <w:overflowPunct w:val="0"/>
        <w:autoSpaceDE w:val="0"/>
        <w:autoSpaceDN w:val="0"/>
        <w:adjustRightInd w:val="0"/>
        <w:ind w:left="284"/>
        <w:jc w:val="left"/>
        <w:textAlignment w:val="baseline"/>
        <w:rPr>
          <w:lang w:val="en-GB"/>
        </w:rPr>
      </w:pPr>
    </w:p>
    <w:p w14:paraId="2F50326F" w14:textId="4B9AA542" w:rsidR="00A230F1" w:rsidRPr="007B6F06" w:rsidRDefault="007B6F06" w:rsidP="0012608E">
      <w:pPr>
        <w:pStyle w:val="ListParagraph"/>
        <w:keepNext/>
        <w:numPr>
          <w:ilvl w:val="0"/>
          <w:numId w:val="14"/>
        </w:numPr>
        <w:spacing w:after="160" w:line="259" w:lineRule="auto"/>
        <w:ind w:left="567" w:hanging="567"/>
        <w:jc w:val="left"/>
        <w:rPr>
          <w:b/>
          <w:bCs/>
          <w:szCs w:val="20"/>
        </w:rPr>
      </w:pPr>
      <w:hyperlink r:id="rId63" w:history="1">
        <w:r>
          <w:rPr>
            <w:b/>
            <w:i/>
            <w:color w:val="0000FF"/>
            <w:sz w:val="28"/>
            <w:u w:val="single"/>
          </w:rPr>
          <w:t>Équivalence des semences (version codifiée)</w:t>
        </w:r>
      </w:hyperlink>
      <w:r>
        <w:rPr>
          <w:b/>
          <w:i/>
          <w:sz w:val="28"/>
        </w:rPr>
        <w:t xml:space="preserve"> </w:t>
      </w:r>
    </w:p>
    <w:p w14:paraId="32AB9036" w14:textId="77777777" w:rsidR="00A230F1" w:rsidRPr="003D3153" w:rsidRDefault="00A230F1" w:rsidP="00A230F1">
      <w:pPr>
        <w:widowControl w:val="0"/>
        <w:overflowPunct w:val="0"/>
        <w:autoSpaceDE w:val="0"/>
        <w:autoSpaceDN w:val="0"/>
        <w:adjustRightInd w:val="0"/>
        <w:ind w:left="266"/>
        <w:textAlignment w:val="baseline"/>
        <w:rPr>
          <w:lang w:val="en-GB"/>
        </w:rPr>
      </w:pPr>
    </w:p>
    <w:tbl>
      <w:tblPr>
        <w:tblStyle w:val="TableGrid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A230F1" w:rsidRPr="00480EA8" w14:paraId="427B5DF2" w14:textId="77777777" w:rsidTr="002E7EFB">
        <w:tc>
          <w:tcPr>
            <w:tcW w:w="1077" w:type="pct"/>
            <w:vMerge w:val="restart"/>
          </w:tcPr>
          <w:p w14:paraId="6D05D3E2" w14:textId="77777777" w:rsidR="00A230F1" w:rsidRPr="00480EA8" w:rsidRDefault="00A230F1" w:rsidP="00A230F1">
            <w:pPr>
              <w:tabs>
                <w:tab w:val="center" w:pos="284"/>
              </w:tabs>
              <w:overflowPunct w:val="0"/>
              <w:autoSpaceDE w:val="0"/>
              <w:autoSpaceDN w:val="0"/>
              <w:adjustRightInd w:val="0"/>
              <w:ind w:left="266" w:hanging="266"/>
              <w:textAlignment w:val="baseline"/>
              <w:rPr>
                <w:b/>
                <w:sz w:val="22"/>
                <w:szCs w:val="22"/>
              </w:rPr>
            </w:pPr>
            <w:r w:rsidRPr="00480EA8">
              <w:rPr>
                <w:b/>
                <w:sz w:val="22"/>
                <w:szCs w:val="22"/>
              </w:rPr>
              <w:t>Références</w:t>
            </w:r>
          </w:p>
        </w:tc>
        <w:tc>
          <w:tcPr>
            <w:tcW w:w="3923" w:type="pct"/>
          </w:tcPr>
          <w:p w14:paraId="54297B64" w14:textId="7C4F1EAB" w:rsidR="005D0FED" w:rsidRPr="00480EA8" w:rsidRDefault="005D0FED" w:rsidP="00A230F1">
            <w:pPr>
              <w:tabs>
                <w:tab w:val="center" w:pos="284"/>
              </w:tabs>
              <w:overflowPunct w:val="0"/>
              <w:autoSpaceDE w:val="0"/>
              <w:autoSpaceDN w:val="0"/>
              <w:adjustRightInd w:val="0"/>
              <w:ind w:left="266" w:right="-3091" w:hanging="266"/>
              <w:textAlignment w:val="baseline"/>
              <w:rPr>
                <w:sz w:val="22"/>
                <w:szCs w:val="22"/>
              </w:rPr>
            </w:pPr>
            <w:r w:rsidRPr="00480EA8">
              <w:rPr>
                <w:sz w:val="22"/>
                <w:szCs w:val="22"/>
              </w:rPr>
              <w:t>Avis de catégorie C</w:t>
            </w:r>
          </w:p>
          <w:p w14:paraId="139E7F03" w14:textId="312ADB3D" w:rsidR="00A230F1" w:rsidRPr="00480EA8" w:rsidRDefault="00A230F1" w:rsidP="00A230F1">
            <w:pPr>
              <w:tabs>
                <w:tab w:val="center" w:pos="284"/>
              </w:tabs>
              <w:overflowPunct w:val="0"/>
              <w:autoSpaceDE w:val="0"/>
              <w:autoSpaceDN w:val="0"/>
              <w:adjustRightInd w:val="0"/>
              <w:ind w:left="266" w:right="-3091" w:hanging="266"/>
              <w:textAlignment w:val="baseline"/>
              <w:rPr>
                <w:sz w:val="22"/>
                <w:szCs w:val="22"/>
              </w:rPr>
            </w:pPr>
            <w:proofErr w:type="gramStart"/>
            <w:r w:rsidRPr="00480EA8">
              <w:rPr>
                <w:sz w:val="22"/>
                <w:szCs w:val="22"/>
              </w:rPr>
              <w:t>COM(</w:t>
            </w:r>
            <w:proofErr w:type="gramEnd"/>
            <w:r w:rsidRPr="00480EA8">
              <w:rPr>
                <w:sz w:val="22"/>
                <w:szCs w:val="22"/>
              </w:rPr>
              <w:t>2026) 128 final</w:t>
            </w:r>
          </w:p>
        </w:tc>
      </w:tr>
      <w:tr w:rsidR="00A230F1" w:rsidRPr="00480EA8" w14:paraId="63A72A95" w14:textId="77777777" w:rsidTr="002E7EFB">
        <w:tc>
          <w:tcPr>
            <w:tcW w:w="1077" w:type="pct"/>
            <w:vMerge/>
          </w:tcPr>
          <w:p w14:paraId="11CFEE2D" w14:textId="77777777" w:rsidR="00A230F1" w:rsidRPr="00480EA8" w:rsidRDefault="00A230F1" w:rsidP="00A230F1">
            <w:pPr>
              <w:tabs>
                <w:tab w:val="center" w:pos="284"/>
              </w:tabs>
              <w:overflowPunct w:val="0"/>
              <w:autoSpaceDE w:val="0"/>
              <w:autoSpaceDN w:val="0"/>
              <w:adjustRightInd w:val="0"/>
              <w:ind w:left="266" w:hanging="266"/>
              <w:textAlignment w:val="baseline"/>
              <w:rPr>
                <w:b/>
                <w:sz w:val="22"/>
                <w:szCs w:val="22"/>
              </w:rPr>
            </w:pPr>
          </w:p>
        </w:tc>
        <w:tc>
          <w:tcPr>
            <w:tcW w:w="3923" w:type="pct"/>
          </w:tcPr>
          <w:p w14:paraId="70F0DEFB" w14:textId="77777777" w:rsidR="00A230F1" w:rsidRPr="00480EA8" w:rsidRDefault="00A230F1" w:rsidP="00A230F1">
            <w:pPr>
              <w:tabs>
                <w:tab w:val="center" w:pos="284"/>
              </w:tabs>
              <w:overflowPunct w:val="0"/>
              <w:autoSpaceDE w:val="0"/>
              <w:autoSpaceDN w:val="0"/>
              <w:adjustRightInd w:val="0"/>
              <w:ind w:left="266" w:right="-3091" w:hanging="266"/>
              <w:textAlignment w:val="baseline"/>
              <w:rPr>
                <w:sz w:val="22"/>
                <w:szCs w:val="22"/>
              </w:rPr>
            </w:pPr>
            <w:r w:rsidRPr="00480EA8">
              <w:rPr>
                <w:sz w:val="22"/>
                <w:szCs w:val="22"/>
              </w:rPr>
              <w:t>EESC-2026-01152-00-00-AC</w:t>
            </w:r>
          </w:p>
        </w:tc>
      </w:tr>
    </w:tbl>
    <w:p w14:paraId="1F198972" w14:textId="77777777" w:rsidR="00A230F1" w:rsidRPr="003D3153" w:rsidRDefault="00A230F1" w:rsidP="00A230F1">
      <w:pPr>
        <w:tabs>
          <w:tab w:val="center" w:pos="284"/>
        </w:tabs>
        <w:overflowPunct w:val="0"/>
        <w:autoSpaceDE w:val="0"/>
        <w:autoSpaceDN w:val="0"/>
        <w:adjustRightInd w:val="0"/>
        <w:ind w:left="266" w:hanging="266"/>
        <w:textAlignment w:val="baseline"/>
        <w:rPr>
          <w:bCs/>
          <w:lang w:val="en-GB"/>
        </w:rPr>
      </w:pPr>
    </w:p>
    <w:p w14:paraId="64BE0F4D" w14:textId="4C5D3568" w:rsidR="002B30F4" w:rsidRPr="002B30F4" w:rsidRDefault="00A230F1" w:rsidP="004C6742">
      <w:pPr>
        <w:pStyle w:val="Footer"/>
        <w:rPr>
          <w:bCs/>
          <w:iCs/>
        </w:rPr>
      </w:pPr>
      <w:r>
        <w:t>Le CESE s’est déjà prononcé sur le contenu de la proposition en objet dans ses avis EESC-2018-00043-00-00-AC-TRA, adopté le 14/2/2018</w:t>
      </w:r>
      <w:r w:rsidR="002B30F4" w:rsidRPr="002B30F4">
        <w:rPr>
          <w:sz w:val="24"/>
          <w:vertAlign w:val="superscript"/>
          <w:lang w:val="en-GB"/>
        </w:rPr>
        <w:footnoteReference w:id="2"/>
      </w:r>
      <w:r>
        <w:t xml:space="preserve"> et EESC-2020-02029-00-00-AC-TRA-EN, adopté le 18/9/2020</w:t>
      </w:r>
      <w:r w:rsidR="002B30F4" w:rsidRPr="002B30F4">
        <w:rPr>
          <w:sz w:val="24"/>
          <w:vertAlign w:val="superscript"/>
          <w:lang w:val="en-GB"/>
        </w:rPr>
        <w:footnoteReference w:id="3"/>
      </w:r>
      <w:r>
        <w:t>, et a décidé de ne pas procéder à l’élaboration d’un nouvel avis en la matière, mais de se référer à la position qu’il a soutenue dans les documents susmentionnés.</w:t>
      </w:r>
    </w:p>
    <w:p w14:paraId="23AFABFB" w14:textId="193EFDF4" w:rsidR="00A230F1" w:rsidRDefault="00A230F1" w:rsidP="00A230F1">
      <w:pPr>
        <w:overflowPunct w:val="0"/>
        <w:autoSpaceDE w:val="0"/>
        <w:autoSpaceDN w:val="0"/>
        <w:adjustRightInd w:val="0"/>
        <w:textAlignment w:val="baseline"/>
        <w:rPr>
          <w:szCs w:val="20"/>
          <w:lang w:val="en-GB"/>
        </w:rPr>
      </w:pPr>
    </w:p>
    <w:tbl>
      <w:tblPr>
        <w:tblStyle w:val="TableGrid2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A230F1" w:rsidRPr="00480EA8" w14:paraId="16CCD5A5" w14:textId="77777777" w:rsidTr="002E7EFB">
        <w:tc>
          <w:tcPr>
            <w:tcW w:w="1078" w:type="pct"/>
          </w:tcPr>
          <w:p w14:paraId="441CA2A8" w14:textId="77777777" w:rsidR="00A230F1" w:rsidRPr="00480EA8" w:rsidRDefault="00A230F1" w:rsidP="00A230F1">
            <w:pPr>
              <w:overflowPunct w:val="0"/>
              <w:autoSpaceDE w:val="0"/>
              <w:autoSpaceDN w:val="0"/>
              <w:adjustRightInd w:val="0"/>
              <w:textAlignment w:val="baseline"/>
              <w:rPr>
                <w:i/>
                <w:sz w:val="22"/>
                <w:szCs w:val="22"/>
              </w:rPr>
            </w:pPr>
            <w:r w:rsidRPr="00480EA8">
              <w:rPr>
                <w:b/>
                <w:i/>
                <w:sz w:val="22"/>
                <w:szCs w:val="22"/>
              </w:rPr>
              <w:t>Contact</w:t>
            </w:r>
          </w:p>
        </w:tc>
        <w:tc>
          <w:tcPr>
            <w:tcW w:w="3922" w:type="pct"/>
          </w:tcPr>
          <w:p w14:paraId="1998D269" w14:textId="77777777" w:rsidR="00A230F1" w:rsidRPr="00480EA8" w:rsidRDefault="00A230F1" w:rsidP="00A230F1">
            <w:pPr>
              <w:overflowPunct w:val="0"/>
              <w:autoSpaceDE w:val="0"/>
              <w:autoSpaceDN w:val="0"/>
              <w:adjustRightInd w:val="0"/>
              <w:textAlignment w:val="baseline"/>
              <w:rPr>
                <w:i/>
                <w:sz w:val="22"/>
                <w:szCs w:val="22"/>
              </w:rPr>
            </w:pPr>
            <w:r w:rsidRPr="00480EA8">
              <w:rPr>
                <w:i/>
                <w:sz w:val="22"/>
                <w:szCs w:val="22"/>
              </w:rPr>
              <w:t>Arturo Iniguez Yuste</w:t>
            </w:r>
          </w:p>
        </w:tc>
      </w:tr>
      <w:tr w:rsidR="00A230F1" w:rsidRPr="00480EA8" w14:paraId="7CBB3F89" w14:textId="77777777" w:rsidTr="002E7EFB">
        <w:tc>
          <w:tcPr>
            <w:tcW w:w="1078" w:type="pct"/>
          </w:tcPr>
          <w:p w14:paraId="4B2CEA11" w14:textId="77777777" w:rsidR="00A230F1" w:rsidRPr="00480EA8" w:rsidRDefault="00A230F1" w:rsidP="00634494">
            <w:pPr>
              <w:overflowPunct w:val="0"/>
              <w:autoSpaceDE w:val="0"/>
              <w:autoSpaceDN w:val="0"/>
              <w:adjustRightInd w:val="0"/>
              <w:ind w:left="567"/>
              <w:textAlignment w:val="baseline"/>
              <w:rPr>
                <w:i/>
                <w:sz w:val="22"/>
                <w:szCs w:val="22"/>
              </w:rPr>
            </w:pPr>
            <w:r w:rsidRPr="00480EA8">
              <w:rPr>
                <w:i/>
                <w:sz w:val="22"/>
                <w:szCs w:val="22"/>
              </w:rPr>
              <w:t>Tél.</w:t>
            </w:r>
          </w:p>
        </w:tc>
        <w:tc>
          <w:tcPr>
            <w:tcW w:w="3922" w:type="pct"/>
          </w:tcPr>
          <w:p w14:paraId="151C60D3" w14:textId="77777777" w:rsidR="00A230F1" w:rsidRPr="00480EA8" w:rsidRDefault="00A230F1" w:rsidP="00A230F1">
            <w:pPr>
              <w:overflowPunct w:val="0"/>
              <w:autoSpaceDE w:val="0"/>
              <w:autoSpaceDN w:val="0"/>
              <w:adjustRightInd w:val="0"/>
              <w:textAlignment w:val="baseline"/>
              <w:rPr>
                <w:i/>
                <w:sz w:val="22"/>
                <w:szCs w:val="22"/>
              </w:rPr>
            </w:pPr>
            <w:r w:rsidRPr="00480EA8">
              <w:rPr>
                <w:i/>
                <w:sz w:val="22"/>
                <w:szCs w:val="22"/>
              </w:rPr>
              <w:t>+32 2 546 8768</w:t>
            </w:r>
          </w:p>
        </w:tc>
      </w:tr>
      <w:tr w:rsidR="00A230F1" w:rsidRPr="00480EA8" w14:paraId="3090F269" w14:textId="77777777" w:rsidTr="002E7EFB">
        <w:tc>
          <w:tcPr>
            <w:tcW w:w="1078" w:type="pct"/>
          </w:tcPr>
          <w:p w14:paraId="36817683" w14:textId="77777777" w:rsidR="00A230F1" w:rsidRPr="00480EA8" w:rsidRDefault="00A230F1" w:rsidP="00634494">
            <w:pPr>
              <w:overflowPunct w:val="0"/>
              <w:autoSpaceDE w:val="0"/>
              <w:autoSpaceDN w:val="0"/>
              <w:adjustRightInd w:val="0"/>
              <w:ind w:left="567"/>
              <w:textAlignment w:val="baseline"/>
              <w:rPr>
                <w:i/>
                <w:sz w:val="22"/>
                <w:szCs w:val="22"/>
              </w:rPr>
            </w:pPr>
            <w:r w:rsidRPr="00480EA8">
              <w:rPr>
                <w:i/>
                <w:sz w:val="22"/>
                <w:szCs w:val="22"/>
              </w:rPr>
              <w:t>Courriel</w:t>
            </w:r>
          </w:p>
        </w:tc>
        <w:tc>
          <w:tcPr>
            <w:tcW w:w="3922" w:type="pct"/>
          </w:tcPr>
          <w:p w14:paraId="1FAC504A" w14:textId="47CA2AB8" w:rsidR="00A230F1" w:rsidRPr="00480EA8" w:rsidRDefault="00E44636" w:rsidP="00A230F1">
            <w:pPr>
              <w:overflowPunct w:val="0"/>
              <w:autoSpaceDE w:val="0"/>
              <w:autoSpaceDN w:val="0"/>
              <w:adjustRightInd w:val="0"/>
              <w:textAlignment w:val="baseline"/>
              <w:rPr>
                <w:i/>
                <w:iCs/>
                <w:sz w:val="22"/>
                <w:szCs w:val="22"/>
              </w:rPr>
            </w:pPr>
            <w:hyperlink r:id="rId64" w:history="1">
              <w:r w:rsidRPr="00480EA8">
                <w:rPr>
                  <w:i/>
                  <w:color w:val="0000FF"/>
                  <w:sz w:val="22"/>
                  <w:szCs w:val="22"/>
                  <w:u w:val="single"/>
                </w:rPr>
                <w:t>Arturo.Iniguez@eesc.europa.eu</w:t>
              </w:r>
            </w:hyperlink>
            <w:r w:rsidRPr="00480EA8">
              <w:rPr>
                <w:i/>
                <w:sz w:val="22"/>
                <w:szCs w:val="22"/>
              </w:rPr>
              <w:t xml:space="preserve"> </w:t>
            </w:r>
          </w:p>
        </w:tc>
      </w:tr>
    </w:tbl>
    <w:p w14:paraId="60213BA5" w14:textId="23657EAA" w:rsidR="00A230F1" w:rsidRDefault="00A230F1" w:rsidP="001766B2">
      <w:pPr>
        <w:jc w:val="left"/>
      </w:pPr>
    </w:p>
    <w:p w14:paraId="77C06DA1" w14:textId="6FF9C5F5" w:rsidR="00EC4D43" w:rsidRPr="00EC4D43" w:rsidRDefault="00A067F3" w:rsidP="004C6742">
      <w:pPr>
        <w:widowControl w:val="0"/>
        <w:numPr>
          <w:ilvl w:val="0"/>
          <w:numId w:val="4"/>
        </w:numPr>
        <w:overflowPunct w:val="0"/>
        <w:autoSpaceDE w:val="0"/>
        <w:autoSpaceDN w:val="0"/>
        <w:adjustRightInd w:val="0"/>
        <w:ind w:hanging="567"/>
        <w:textAlignment w:val="baseline"/>
        <w:rPr>
          <w:b/>
        </w:rPr>
      </w:pPr>
      <w:hyperlink r:id="rId65" w:history="1">
        <w:r>
          <w:rPr>
            <w:b/>
            <w:i/>
            <w:color w:val="0000FF"/>
            <w:sz w:val="28"/>
            <w:u w:val="single"/>
          </w:rPr>
          <w:t>Invalidation de quotas dans la réserve de stabilité du marché</w:t>
        </w:r>
      </w:hyperlink>
    </w:p>
    <w:p w14:paraId="757D5F4E" w14:textId="77777777" w:rsidR="00F1581A" w:rsidRPr="00480EA8" w:rsidRDefault="00F1581A" w:rsidP="00EC4D43">
      <w:pPr>
        <w:widowControl w:val="0"/>
        <w:overflowPunct w:val="0"/>
        <w:autoSpaceDE w:val="0"/>
        <w:autoSpaceDN w:val="0"/>
        <w:adjustRightInd w:val="0"/>
        <w:ind w:left="266"/>
        <w:textAlignment w:val="baseline"/>
        <w:rPr>
          <w:bCs/>
          <w:lang w:val="en-GB"/>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C4D43" w:rsidRPr="00480EA8" w14:paraId="22D897E0" w14:textId="77777777" w:rsidTr="002E7EFB">
        <w:tc>
          <w:tcPr>
            <w:tcW w:w="1077" w:type="pct"/>
            <w:vMerge w:val="restart"/>
          </w:tcPr>
          <w:p w14:paraId="6262FEF2" w14:textId="77777777" w:rsidR="00EC4D43" w:rsidRPr="00480EA8" w:rsidRDefault="00EC4D43" w:rsidP="00EC4D43">
            <w:pPr>
              <w:tabs>
                <w:tab w:val="center" w:pos="284"/>
              </w:tabs>
              <w:overflowPunct w:val="0"/>
              <w:autoSpaceDE w:val="0"/>
              <w:autoSpaceDN w:val="0"/>
              <w:adjustRightInd w:val="0"/>
              <w:ind w:left="266" w:hanging="266"/>
              <w:textAlignment w:val="baseline"/>
              <w:rPr>
                <w:b/>
                <w:sz w:val="22"/>
                <w:szCs w:val="22"/>
              </w:rPr>
            </w:pPr>
            <w:r w:rsidRPr="00480EA8">
              <w:rPr>
                <w:b/>
                <w:sz w:val="22"/>
                <w:szCs w:val="22"/>
              </w:rPr>
              <w:t>Références</w:t>
            </w:r>
          </w:p>
        </w:tc>
        <w:tc>
          <w:tcPr>
            <w:tcW w:w="3923" w:type="pct"/>
          </w:tcPr>
          <w:p w14:paraId="60CAA90A" w14:textId="2B344929" w:rsidR="00447A14" w:rsidRPr="00480EA8" w:rsidRDefault="00F1581A" w:rsidP="00EC4D43">
            <w:pPr>
              <w:tabs>
                <w:tab w:val="center" w:pos="284"/>
              </w:tabs>
              <w:overflowPunct w:val="0"/>
              <w:autoSpaceDE w:val="0"/>
              <w:autoSpaceDN w:val="0"/>
              <w:adjustRightInd w:val="0"/>
              <w:ind w:left="266" w:right="-3091" w:hanging="266"/>
              <w:textAlignment w:val="baseline"/>
              <w:rPr>
                <w:sz w:val="22"/>
                <w:szCs w:val="22"/>
              </w:rPr>
            </w:pPr>
            <w:r w:rsidRPr="00480EA8">
              <w:rPr>
                <w:sz w:val="22"/>
                <w:szCs w:val="22"/>
              </w:rPr>
              <w:t>Avis de catégorie C</w:t>
            </w:r>
          </w:p>
          <w:p w14:paraId="0ADB870C" w14:textId="3DA0E6FF" w:rsidR="00EC4D43" w:rsidRPr="00480EA8" w:rsidRDefault="00EC4D43" w:rsidP="00EC4D43">
            <w:pPr>
              <w:tabs>
                <w:tab w:val="center" w:pos="284"/>
              </w:tabs>
              <w:overflowPunct w:val="0"/>
              <w:autoSpaceDE w:val="0"/>
              <w:autoSpaceDN w:val="0"/>
              <w:adjustRightInd w:val="0"/>
              <w:ind w:left="266" w:right="-3091" w:hanging="266"/>
              <w:textAlignment w:val="baseline"/>
              <w:rPr>
                <w:sz w:val="22"/>
                <w:szCs w:val="22"/>
              </w:rPr>
            </w:pPr>
            <w:proofErr w:type="gramStart"/>
            <w:r w:rsidRPr="00480EA8">
              <w:rPr>
                <w:sz w:val="22"/>
                <w:szCs w:val="22"/>
              </w:rPr>
              <w:t>COM(</w:t>
            </w:r>
            <w:proofErr w:type="gramEnd"/>
            <w:r w:rsidRPr="00480EA8">
              <w:rPr>
                <w:sz w:val="22"/>
                <w:szCs w:val="22"/>
              </w:rPr>
              <w:t>2026) 153 final</w:t>
            </w:r>
          </w:p>
        </w:tc>
      </w:tr>
      <w:tr w:rsidR="00EC4D43" w:rsidRPr="00480EA8" w14:paraId="651FA50F" w14:textId="77777777" w:rsidTr="002E7EFB">
        <w:tc>
          <w:tcPr>
            <w:tcW w:w="1077" w:type="pct"/>
            <w:vMerge/>
          </w:tcPr>
          <w:p w14:paraId="6A472EE9" w14:textId="77777777" w:rsidR="00EC4D43" w:rsidRPr="00480EA8" w:rsidRDefault="00EC4D43" w:rsidP="00EC4D43">
            <w:pPr>
              <w:tabs>
                <w:tab w:val="center" w:pos="284"/>
              </w:tabs>
              <w:overflowPunct w:val="0"/>
              <w:autoSpaceDE w:val="0"/>
              <w:autoSpaceDN w:val="0"/>
              <w:adjustRightInd w:val="0"/>
              <w:ind w:left="266" w:hanging="266"/>
              <w:textAlignment w:val="baseline"/>
              <w:rPr>
                <w:b/>
                <w:sz w:val="22"/>
                <w:szCs w:val="22"/>
              </w:rPr>
            </w:pPr>
          </w:p>
        </w:tc>
        <w:tc>
          <w:tcPr>
            <w:tcW w:w="3923" w:type="pct"/>
          </w:tcPr>
          <w:p w14:paraId="47DF85DF" w14:textId="77777777" w:rsidR="00EC4D43" w:rsidRPr="00480EA8" w:rsidRDefault="00EC4D43" w:rsidP="00EC4D43">
            <w:pPr>
              <w:tabs>
                <w:tab w:val="center" w:pos="284"/>
              </w:tabs>
              <w:overflowPunct w:val="0"/>
              <w:autoSpaceDE w:val="0"/>
              <w:autoSpaceDN w:val="0"/>
              <w:adjustRightInd w:val="0"/>
              <w:ind w:left="266" w:right="-3091" w:hanging="266"/>
              <w:textAlignment w:val="baseline"/>
              <w:rPr>
                <w:sz w:val="22"/>
                <w:szCs w:val="22"/>
              </w:rPr>
            </w:pPr>
            <w:r w:rsidRPr="00480EA8">
              <w:rPr>
                <w:sz w:val="22"/>
                <w:szCs w:val="22"/>
              </w:rPr>
              <w:t>EESC-2026-01164-00-00-AC</w:t>
            </w:r>
          </w:p>
        </w:tc>
      </w:tr>
    </w:tbl>
    <w:p w14:paraId="0FC42288" w14:textId="77777777" w:rsidR="00517E07" w:rsidRPr="00480EA8" w:rsidRDefault="00517E07" w:rsidP="00EC4D43">
      <w:pPr>
        <w:tabs>
          <w:tab w:val="center" w:pos="284"/>
        </w:tabs>
        <w:overflowPunct w:val="0"/>
        <w:autoSpaceDE w:val="0"/>
        <w:autoSpaceDN w:val="0"/>
        <w:adjustRightInd w:val="0"/>
        <w:ind w:left="266" w:hanging="266"/>
        <w:textAlignment w:val="baseline"/>
        <w:rPr>
          <w:bCs/>
          <w:lang w:val="en-GB"/>
        </w:rPr>
      </w:pPr>
    </w:p>
    <w:p w14:paraId="3ABFEF49" w14:textId="335E0244" w:rsidR="008548EA" w:rsidRPr="008548EA" w:rsidRDefault="00EC4D43" w:rsidP="004C6742">
      <w:pPr>
        <w:widowControl w:val="0"/>
        <w:overflowPunct w:val="0"/>
        <w:autoSpaceDE w:val="0"/>
        <w:autoSpaceDN w:val="0"/>
        <w:adjustRightInd w:val="0"/>
        <w:textAlignment w:val="baseline"/>
        <w:rPr>
          <w:bCs/>
          <w:iCs/>
        </w:rPr>
      </w:pPr>
      <w:r>
        <w:t>Le CESE ayant estimé que le contenu de la proposition est satisfaisant et s’étant par ailleurs déjà prononcé sur le sujet dans son précédent avis EESC-2021-03918-00-00-AC-TRA, adopté le 8</w:t>
      </w:r>
      <w:r w:rsidR="00480EA8">
        <w:t> </w:t>
      </w:r>
      <w:r>
        <w:t>décembre 2021</w:t>
      </w:r>
      <w:r w:rsidR="008548EA" w:rsidRPr="008548EA">
        <w:rPr>
          <w:sz w:val="24"/>
          <w:szCs w:val="20"/>
          <w:vertAlign w:val="superscript"/>
          <w:lang w:val="en-GB"/>
        </w:rPr>
        <w:footnoteReference w:id="4"/>
      </w:r>
      <w:r>
        <w:t>, a décidé de rendre un avis favorable au texte proposé et de se référer à la position qu’il avait soutenue dans le document susmentionné.</w:t>
      </w:r>
    </w:p>
    <w:p w14:paraId="7DCC2B7B" w14:textId="77777777" w:rsidR="00EC4D43" w:rsidRPr="00480EA8" w:rsidRDefault="00EC4D43" w:rsidP="00EC4D43">
      <w:pPr>
        <w:widowControl w:val="0"/>
        <w:overflowPunct w:val="0"/>
        <w:autoSpaceDE w:val="0"/>
        <w:autoSpaceDN w:val="0"/>
        <w:adjustRightInd w:val="0"/>
        <w:ind w:left="709"/>
        <w:textAlignment w:val="baseline"/>
        <w:rPr>
          <w:lang w:val="en-GB"/>
        </w:rPr>
      </w:pPr>
    </w:p>
    <w:tbl>
      <w:tblPr>
        <w:tblStyle w:val="TableGrid23"/>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EC4D43" w:rsidRPr="00480EA8" w14:paraId="2D162523" w14:textId="77777777" w:rsidTr="002E7EFB">
        <w:tc>
          <w:tcPr>
            <w:tcW w:w="1078" w:type="pct"/>
          </w:tcPr>
          <w:p w14:paraId="1CAD14A2" w14:textId="77777777" w:rsidR="00EC4D43" w:rsidRPr="00480EA8" w:rsidRDefault="00EC4D43" w:rsidP="00EC4D43">
            <w:pPr>
              <w:overflowPunct w:val="0"/>
              <w:autoSpaceDE w:val="0"/>
              <w:autoSpaceDN w:val="0"/>
              <w:adjustRightInd w:val="0"/>
              <w:textAlignment w:val="baseline"/>
              <w:rPr>
                <w:i/>
                <w:sz w:val="22"/>
                <w:szCs w:val="22"/>
              </w:rPr>
            </w:pPr>
            <w:r w:rsidRPr="00480EA8">
              <w:rPr>
                <w:b/>
                <w:i/>
                <w:sz w:val="22"/>
                <w:szCs w:val="22"/>
              </w:rPr>
              <w:t>Contact</w:t>
            </w:r>
          </w:p>
        </w:tc>
        <w:tc>
          <w:tcPr>
            <w:tcW w:w="3922" w:type="pct"/>
          </w:tcPr>
          <w:p w14:paraId="36FD4393" w14:textId="46A780E6" w:rsidR="00EC4D43" w:rsidRPr="00480EA8" w:rsidRDefault="00EC4D43" w:rsidP="00EC4D43">
            <w:pPr>
              <w:overflowPunct w:val="0"/>
              <w:autoSpaceDE w:val="0"/>
              <w:autoSpaceDN w:val="0"/>
              <w:adjustRightInd w:val="0"/>
              <w:textAlignment w:val="baseline"/>
              <w:rPr>
                <w:i/>
                <w:sz w:val="22"/>
                <w:szCs w:val="22"/>
              </w:rPr>
            </w:pPr>
            <w:r w:rsidRPr="00480EA8">
              <w:rPr>
                <w:i/>
                <w:sz w:val="22"/>
                <w:szCs w:val="22"/>
              </w:rPr>
              <w:t>Gaizka Malo Elcoro-Iribe</w:t>
            </w:r>
          </w:p>
        </w:tc>
      </w:tr>
      <w:tr w:rsidR="00EC4D43" w:rsidRPr="00480EA8" w14:paraId="0DA2E11C" w14:textId="77777777" w:rsidTr="002E7EFB">
        <w:tc>
          <w:tcPr>
            <w:tcW w:w="1078" w:type="pct"/>
          </w:tcPr>
          <w:p w14:paraId="459B752C" w14:textId="77777777" w:rsidR="00EC4D43" w:rsidRPr="00480EA8" w:rsidRDefault="00EC4D43" w:rsidP="00634494">
            <w:pPr>
              <w:overflowPunct w:val="0"/>
              <w:autoSpaceDE w:val="0"/>
              <w:autoSpaceDN w:val="0"/>
              <w:adjustRightInd w:val="0"/>
              <w:ind w:left="567"/>
              <w:textAlignment w:val="baseline"/>
              <w:rPr>
                <w:i/>
                <w:sz w:val="22"/>
                <w:szCs w:val="22"/>
              </w:rPr>
            </w:pPr>
            <w:r w:rsidRPr="00480EA8">
              <w:rPr>
                <w:i/>
                <w:sz w:val="22"/>
                <w:szCs w:val="22"/>
              </w:rPr>
              <w:t>Tél.</w:t>
            </w:r>
          </w:p>
        </w:tc>
        <w:tc>
          <w:tcPr>
            <w:tcW w:w="3922" w:type="pct"/>
          </w:tcPr>
          <w:p w14:paraId="77EB016E" w14:textId="77777777" w:rsidR="00EC4D43" w:rsidRPr="00480EA8" w:rsidRDefault="00EC4D43" w:rsidP="00EC4D43">
            <w:pPr>
              <w:overflowPunct w:val="0"/>
              <w:autoSpaceDE w:val="0"/>
              <w:autoSpaceDN w:val="0"/>
              <w:adjustRightInd w:val="0"/>
              <w:textAlignment w:val="baseline"/>
              <w:rPr>
                <w:i/>
                <w:sz w:val="22"/>
                <w:szCs w:val="22"/>
              </w:rPr>
            </w:pPr>
            <w:r w:rsidRPr="00480EA8">
              <w:rPr>
                <w:i/>
                <w:sz w:val="22"/>
                <w:szCs w:val="22"/>
              </w:rPr>
              <w:t>+32 2 546 8526</w:t>
            </w:r>
          </w:p>
        </w:tc>
      </w:tr>
      <w:tr w:rsidR="00EC4D43" w:rsidRPr="00480EA8" w14:paraId="1581E8CF" w14:textId="77777777" w:rsidTr="002E7EFB">
        <w:tc>
          <w:tcPr>
            <w:tcW w:w="1078" w:type="pct"/>
          </w:tcPr>
          <w:p w14:paraId="3CA2A44C" w14:textId="77777777" w:rsidR="00EC4D43" w:rsidRPr="00480EA8" w:rsidRDefault="00EC4D43" w:rsidP="00634494">
            <w:pPr>
              <w:overflowPunct w:val="0"/>
              <w:autoSpaceDE w:val="0"/>
              <w:autoSpaceDN w:val="0"/>
              <w:adjustRightInd w:val="0"/>
              <w:ind w:left="567"/>
              <w:textAlignment w:val="baseline"/>
              <w:rPr>
                <w:i/>
                <w:sz w:val="22"/>
                <w:szCs w:val="22"/>
              </w:rPr>
            </w:pPr>
            <w:r w:rsidRPr="00480EA8">
              <w:rPr>
                <w:i/>
                <w:sz w:val="22"/>
                <w:szCs w:val="22"/>
              </w:rPr>
              <w:t>Courriel</w:t>
            </w:r>
          </w:p>
        </w:tc>
        <w:tc>
          <w:tcPr>
            <w:tcW w:w="3922" w:type="pct"/>
          </w:tcPr>
          <w:p w14:paraId="4685C922" w14:textId="25F577CE" w:rsidR="00EC4D43" w:rsidRPr="00480EA8" w:rsidRDefault="00E44636" w:rsidP="00EC4D43">
            <w:pPr>
              <w:overflowPunct w:val="0"/>
              <w:autoSpaceDE w:val="0"/>
              <w:autoSpaceDN w:val="0"/>
              <w:adjustRightInd w:val="0"/>
              <w:textAlignment w:val="baseline"/>
              <w:rPr>
                <w:i/>
                <w:iCs/>
                <w:sz w:val="22"/>
                <w:szCs w:val="22"/>
              </w:rPr>
            </w:pPr>
            <w:hyperlink r:id="rId66" w:history="1">
              <w:r w:rsidRPr="00480EA8">
                <w:rPr>
                  <w:i/>
                  <w:color w:val="0000FF"/>
                  <w:sz w:val="22"/>
                  <w:szCs w:val="22"/>
                  <w:u w:val="single"/>
                </w:rPr>
                <w:t>Gaizka.Maloelcoro-iribe@eesc.europa.eu</w:t>
              </w:r>
            </w:hyperlink>
            <w:r w:rsidRPr="00480EA8">
              <w:rPr>
                <w:i/>
                <w:sz w:val="22"/>
                <w:szCs w:val="22"/>
              </w:rPr>
              <w:t xml:space="preserve"> </w:t>
            </w:r>
          </w:p>
        </w:tc>
      </w:tr>
    </w:tbl>
    <w:p w14:paraId="06526E7E" w14:textId="3807A81A" w:rsidR="00EC4D43" w:rsidRDefault="00EC4D43" w:rsidP="001766B2">
      <w:pPr>
        <w:jc w:val="left"/>
      </w:pPr>
    </w:p>
    <w:p w14:paraId="474DF385" w14:textId="027E3CD3" w:rsidR="00480EA8" w:rsidRDefault="00480EA8">
      <w:pPr>
        <w:spacing w:after="160" w:line="259" w:lineRule="auto"/>
        <w:jc w:val="left"/>
      </w:pPr>
      <w:r>
        <w:br w:type="page"/>
      </w:r>
    </w:p>
    <w:p w14:paraId="72B492FC" w14:textId="4CD37210" w:rsidR="00480EA8" w:rsidRPr="00480EA8" w:rsidRDefault="00480EA8" w:rsidP="00480EA8">
      <w:pPr>
        <w:pStyle w:val="Heading1"/>
        <w:rPr>
          <w:b/>
          <w:bCs/>
        </w:rPr>
      </w:pPr>
      <w:bookmarkStart w:id="43" w:name="_Toc229140657"/>
      <w:bookmarkStart w:id="44" w:name="_Toc230357599"/>
      <w:r w:rsidRPr="00480EA8">
        <w:rPr>
          <w:b/>
          <w:bCs/>
        </w:rPr>
        <w:lastRenderedPageBreak/>
        <w:t>RELATIONS EXTÉRIEURES</w:t>
      </w:r>
      <w:bookmarkEnd w:id="43"/>
      <w:bookmarkEnd w:id="44"/>
    </w:p>
    <w:p w14:paraId="3BBB3E68" w14:textId="77777777" w:rsidR="007F5784" w:rsidRDefault="007F5784" w:rsidP="001766B2"/>
    <w:p w14:paraId="1A338A4C" w14:textId="42B25647" w:rsidR="00D16830" w:rsidRPr="00480EA8" w:rsidRDefault="00D16830" w:rsidP="00D16830">
      <w:pPr>
        <w:widowControl w:val="0"/>
        <w:numPr>
          <w:ilvl w:val="0"/>
          <w:numId w:val="4"/>
        </w:numPr>
        <w:overflowPunct w:val="0"/>
        <w:autoSpaceDE w:val="0"/>
        <w:autoSpaceDN w:val="0"/>
        <w:adjustRightInd w:val="0"/>
        <w:ind w:hanging="567"/>
        <w:textAlignment w:val="baseline"/>
        <w:rPr>
          <w:b/>
          <w:bCs/>
          <w:i/>
          <w:iCs/>
          <w:sz w:val="28"/>
          <w:szCs w:val="28"/>
        </w:rPr>
      </w:pPr>
      <w:hyperlink r:id="rId67" w:history="1">
        <w:r w:rsidRPr="00480EA8">
          <w:rPr>
            <w:b/>
            <w:i/>
            <w:color w:val="0000FF"/>
            <w:sz w:val="28"/>
            <w:szCs w:val="28"/>
            <w:u w:val="single"/>
          </w:rPr>
          <w:t>Le rôle de la société civile pour soutenir les réformes dans le cadre des plans de croissance pour les Balkans occidentaux et la Moldavie et la trajectoire de réforme de l’Ukraine</w:t>
        </w:r>
      </w:hyperlink>
    </w:p>
    <w:p w14:paraId="464D5003" w14:textId="77777777" w:rsidR="00D16830" w:rsidRPr="00D16830" w:rsidRDefault="00D16830" w:rsidP="00D16830">
      <w:pPr>
        <w:tabs>
          <w:tab w:val="center" w:pos="284"/>
        </w:tabs>
        <w:overflowPunct w:val="0"/>
        <w:autoSpaceDE w:val="0"/>
        <w:autoSpaceDN w:val="0"/>
        <w:adjustRightInd w:val="0"/>
        <w:ind w:left="266" w:hanging="266"/>
        <w:textAlignment w:val="baseline"/>
        <w:rPr>
          <w:b/>
          <w:lang w:val="en-GB"/>
        </w:rPr>
      </w:pPr>
    </w:p>
    <w:tbl>
      <w:tblPr>
        <w:tblStyle w:val="TableGrid24"/>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D16830" w:rsidRPr="00480EA8" w14:paraId="10A26714" w14:textId="77777777" w:rsidTr="00480EA8">
        <w:tc>
          <w:tcPr>
            <w:tcW w:w="1701" w:type="dxa"/>
          </w:tcPr>
          <w:p w14:paraId="1F036B18" w14:textId="77777777" w:rsidR="00D16830" w:rsidRPr="00480EA8" w:rsidRDefault="00D16830" w:rsidP="00D16830">
            <w:pPr>
              <w:tabs>
                <w:tab w:val="center" w:pos="284"/>
              </w:tabs>
              <w:overflowPunct w:val="0"/>
              <w:autoSpaceDE w:val="0"/>
              <w:autoSpaceDN w:val="0"/>
              <w:adjustRightInd w:val="0"/>
              <w:ind w:left="266" w:hanging="266"/>
              <w:textAlignment w:val="baseline"/>
              <w:rPr>
                <w:b/>
                <w:sz w:val="22"/>
                <w:szCs w:val="22"/>
              </w:rPr>
            </w:pPr>
            <w:r w:rsidRPr="00480EA8">
              <w:rPr>
                <w:b/>
                <w:sz w:val="22"/>
                <w:szCs w:val="22"/>
              </w:rPr>
              <w:t>Rapporteur</w:t>
            </w:r>
          </w:p>
        </w:tc>
        <w:tc>
          <w:tcPr>
            <w:tcW w:w="7621" w:type="dxa"/>
          </w:tcPr>
          <w:p w14:paraId="61302FB0" w14:textId="2C902EF4" w:rsidR="00D16830" w:rsidRPr="00480EA8" w:rsidRDefault="00D16830" w:rsidP="00D16830">
            <w:pPr>
              <w:tabs>
                <w:tab w:val="center" w:pos="284"/>
              </w:tabs>
              <w:overflowPunct w:val="0"/>
              <w:autoSpaceDE w:val="0"/>
              <w:autoSpaceDN w:val="0"/>
              <w:adjustRightInd w:val="0"/>
              <w:ind w:left="266" w:hanging="266"/>
              <w:textAlignment w:val="baseline"/>
              <w:rPr>
                <w:sz w:val="22"/>
                <w:szCs w:val="22"/>
              </w:rPr>
            </w:pPr>
            <w:r w:rsidRPr="00480EA8">
              <w:rPr>
                <w:sz w:val="22"/>
                <w:szCs w:val="22"/>
              </w:rPr>
              <w:t>Oleg ROIBU (groupe des employeurs — Roumanie)</w:t>
            </w:r>
          </w:p>
        </w:tc>
      </w:tr>
      <w:tr w:rsidR="00D16830" w:rsidRPr="00480EA8" w14:paraId="16FB2AA9" w14:textId="77777777" w:rsidTr="00480EA8">
        <w:tc>
          <w:tcPr>
            <w:tcW w:w="1701" w:type="dxa"/>
          </w:tcPr>
          <w:p w14:paraId="41593292" w14:textId="77777777" w:rsidR="00D16830" w:rsidRPr="00480EA8" w:rsidRDefault="00D16830" w:rsidP="00D16830">
            <w:pPr>
              <w:tabs>
                <w:tab w:val="center" w:pos="284"/>
              </w:tabs>
              <w:overflowPunct w:val="0"/>
              <w:autoSpaceDE w:val="0"/>
              <w:autoSpaceDN w:val="0"/>
              <w:adjustRightInd w:val="0"/>
              <w:ind w:left="266" w:hanging="266"/>
              <w:textAlignment w:val="baseline"/>
              <w:rPr>
                <w:b/>
                <w:sz w:val="22"/>
                <w:szCs w:val="22"/>
              </w:rPr>
            </w:pPr>
            <w:r w:rsidRPr="00480EA8">
              <w:rPr>
                <w:b/>
                <w:sz w:val="22"/>
                <w:szCs w:val="22"/>
              </w:rPr>
              <w:t>Corapporteur</w:t>
            </w:r>
          </w:p>
        </w:tc>
        <w:tc>
          <w:tcPr>
            <w:tcW w:w="7621" w:type="dxa"/>
          </w:tcPr>
          <w:p w14:paraId="15F5EFBF" w14:textId="32660462" w:rsidR="00D16830" w:rsidRPr="00480EA8" w:rsidRDefault="00D16830" w:rsidP="00D16830">
            <w:pPr>
              <w:tabs>
                <w:tab w:val="center" w:pos="284"/>
              </w:tabs>
              <w:overflowPunct w:val="0"/>
              <w:autoSpaceDE w:val="0"/>
              <w:autoSpaceDN w:val="0"/>
              <w:adjustRightInd w:val="0"/>
              <w:ind w:left="266" w:hanging="266"/>
              <w:textAlignment w:val="baseline"/>
              <w:rPr>
                <w:sz w:val="22"/>
                <w:szCs w:val="22"/>
              </w:rPr>
            </w:pPr>
            <w:r w:rsidRPr="00480EA8">
              <w:rPr>
                <w:sz w:val="22"/>
                <w:szCs w:val="22"/>
              </w:rPr>
              <w:t>Andrej ZORKO (groupe des travailleurs — Slovénie)</w:t>
            </w:r>
          </w:p>
        </w:tc>
      </w:tr>
      <w:tr w:rsidR="00D16830" w:rsidRPr="00480EA8" w14:paraId="6E76E965" w14:textId="77777777" w:rsidTr="00480EA8">
        <w:tc>
          <w:tcPr>
            <w:tcW w:w="9322" w:type="dxa"/>
            <w:gridSpan w:val="2"/>
          </w:tcPr>
          <w:p w14:paraId="3CA058AE" w14:textId="77777777" w:rsidR="00D16830" w:rsidRPr="00480EA8" w:rsidRDefault="00D16830" w:rsidP="00D16830">
            <w:pPr>
              <w:tabs>
                <w:tab w:val="center" w:pos="284"/>
              </w:tabs>
              <w:overflowPunct w:val="0"/>
              <w:autoSpaceDE w:val="0"/>
              <w:autoSpaceDN w:val="0"/>
              <w:adjustRightInd w:val="0"/>
              <w:spacing w:line="160" w:lineRule="exact"/>
              <w:ind w:left="266" w:hanging="266"/>
              <w:textAlignment w:val="baseline"/>
              <w:rPr>
                <w:sz w:val="22"/>
                <w:szCs w:val="22"/>
              </w:rPr>
            </w:pPr>
          </w:p>
        </w:tc>
      </w:tr>
      <w:tr w:rsidR="00C30BC0" w:rsidRPr="00480EA8" w14:paraId="0673089E" w14:textId="77777777" w:rsidTr="00480EA8">
        <w:trPr>
          <w:trHeight w:val="1104"/>
        </w:trPr>
        <w:tc>
          <w:tcPr>
            <w:tcW w:w="1701" w:type="dxa"/>
          </w:tcPr>
          <w:p w14:paraId="62E4ADE4" w14:textId="77777777" w:rsidR="00C30BC0" w:rsidRPr="00480EA8" w:rsidRDefault="00C30BC0" w:rsidP="00D16830">
            <w:pPr>
              <w:tabs>
                <w:tab w:val="center" w:pos="284"/>
              </w:tabs>
              <w:overflowPunct w:val="0"/>
              <w:autoSpaceDE w:val="0"/>
              <w:autoSpaceDN w:val="0"/>
              <w:adjustRightInd w:val="0"/>
              <w:ind w:left="266" w:hanging="266"/>
              <w:textAlignment w:val="baseline"/>
              <w:rPr>
                <w:b/>
                <w:sz w:val="22"/>
                <w:szCs w:val="22"/>
              </w:rPr>
            </w:pPr>
            <w:r w:rsidRPr="00480EA8">
              <w:rPr>
                <w:b/>
                <w:sz w:val="22"/>
                <w:szCs w:val="22"/>
              </w:rPr>
              <w:t>Références</w:t>
            </w:r>
          </w:p>
        </w:tc>
        <w:tc>
          <w:tcPr>
            <w:tcW w:w="7621" w:type="dxa"/>
          </w:tcPr>
          <w:p w14:paraId="7F3E1AFA" w14:textId="712E7546" w:rsidR="00C30BC0" w:rsidRPr="00480EA8" w:rsidRDefault="00C30BC0" w:rsidP="00B3204A">
            <w:pPr>
              <w:overflowPunct w:val="0"/>
              <w:autoSpaceDE w:val="0"/>
              <w:autoSpaceDN w:val="0"/>
              <w:adjustRightInd w:val="0"/>
              <w:textAlignment w:val="baseline"/>
              <w:rPr>
                <w:sz w:val="22"/>
                <w:szCs w:val="22"/>
              </w:rPr>
            </w:pPr>
            <w:r w:rsidRPr="00480EA8">
              <w:rPr>
                <w:sz w:val="22"/>
                <w:szCs w:val="22"/>
              </w:rPr>
              <w:t>Avis exploratoire à la demande de la présidence chypriote du Conseil de l’Union européenne</w:t>
            </w:r>
          </w:p>
          <w:p w14:paraId="79EFFABC" w14:textId="224D0178" w:rsidR="00C30BC0" w:rsidRPr="00480EA8" w:rsidRDefault="00C30BC0" w:rsidP="00B3204A">
            <w:pPr>
              <w:tabs>
                <w:tab w:val="center" w:pos="284"/>
              </w:tabs>
              <w:overflowPunct w:val="0"/>
              <w:autoSpaceDE w:val="0"/>
              <w:autoSpaceDN w:val="0"/>
              <w:adjustRightInd w:val="0"/>
              <w:ind w:left="266" w:hanging="266"/>
              <w:textAlignment w:val="baseline"/>
              <w:rPr>
                <w:sz w:val="22"/>
                <w:szCs w:val="22"/>
              </w:rPr>
            </w:pPr>
            <w:r w:rsidRPr="00480EA8">
              <w:rPr>
                <w:sz w:val="22"/>
                <w:szCs w:val="22"/>
              </w:rPr>
              <w:t>EESC-2026-00143-00-00-AC</w:t>
            </w:r>
          </w:p>
        </w:tc>
      </w:tr>
    </w:tbl>
    <w:p w14:paraId="0472E204" w14:textId="77777777" w:rsidR="00C30BC0" w:rsidRDefault="00C30BC0" w:rsidP="00B3204A">
      <w:pPr>
        <w:tabs>
          <w:tab w:val="center" w:pos="284"/>
        </w:tabs>
        <w:overflowPunct w:val="0"/>
        <w:autoSpaceDE w:val="0"/>
        <w:autoSpaceDN w:val="0"/>
        <w:adjustRightInd w:val="0"/>
        <w:ind w:left="266" w:hanging="266"/>
        <w:textAlignment w:val="baseline"/>
        <w:rPr>
          <w:bCs/>
        </w:rPr>
      </w:pPr>
    </w:p>
    <w:p w14:paraId="3E05C86B" w14:textId="5109EA6B" w:rsidR="00D16830" w:rsidRPr="00D16830" w:rsidRDefault="00D16830" w:rsidP="00D16830">
      <w:pPr>
        <w:keepNext/>
        <w:keepLines/>
        <w:tabs>
          <w:tab w:val="center" w:pos="284"/>
        </w:tabs>
        <w:overflowPunct w:val="0"/>
        <w:autoSpaceDE w:val="0"/>
        <w:autoSpaceDN w:val="0"/>
        <w:adjustRightInd w:val="0"/>
        <w:ind w:left="266" w:hanging="266"/>
        <w:textAlignment w:val="baseline"/>
        <w:rPr>
          <w:b/>
        </w:rPr>
      </w:pPr>
      <w:r>
        <w:rPr>
          <w:b/>
        </w:rPr>
        <w:t xml:space="preserve">Points clés </w:t>
      </w:r>
    </w:p>
    <w:p w14:paraId="7EE6889C" w14:textId="77777777" w:rsidR="00D16830" w:rsidRPr="00D16830" w:rsidRDefault="00D16830" w:rsidP="00D16830">
      <w:pPr>
        <w:keepNext/>
        <w:keepLines/>
        <w:tabs>
          <w:tab w:val="center" w:pos="284"/>
        </w:tabs>
        <w:overflowPunct w:val="0"/>
        <w:autoSpaceDE w:val="0"/>
        <w:autoSpaceDN w:val="0"/>
        <w:adjustRightInd w:val="0"/>
        <w:ind w:left="266" w:hanging="266"/>
        <w:textAlignment w:val="baseline"/>
        <w:rPr>
          <w:b/>
          <w:lang w:val="en-GB"/>
        </w:rPr>
      </w:pPr>
    </w:p>
    <w:p w14:paraId="6D13BD68" w14:textId="77777777" w:rsidR="00D16830" w:rsidRDefault="00D16830" w:rsidP="00D16830">
      <w:pPr>
        <w:overflowPunct w:val="0"/>
        <w:autoSpaceDE w:val="0"/>
        <w:autoSpaceDN w:val="0"/>
        <w:adjustRightInd w:val="0"/>
        <w:textAlignment w:val="baseline"/>
        <w:rPr>
          <w:bCs/>
          <w:iCs/>
        </w:rPr>
      </w:pPr>
      <w:r>
        <w:t xml:space="preserve">Le </w:t>
      </w:r>
      <w:proofErr w:type="gramStart"/>
      <w:r>
        <w:t>CESE:</w:t>
      </w:r>
      <w:proofErr w:type="gramEnd"/>
    </w:p>
    <w:p w14:paraId="34AABBC4" w14:textId="77777777" w:rsidR="00037101" w:rsidRPr="00D16830" w:rsidRDefault="00037101" w:rsidP="00D16830">
      <w:pPr>
        <w:overflowPunct w:val="0"/>
        <w:autoSpaceDE w:val="0"/>
        <w:autoSpaceDN w:val="0"/>
        <w:adjustRightInd w:val="0"/>
        <w:textAlignment w:val="baseline"/>
        <w:rPr>
          <w:bCs/>
          <w:iCs/>
          <w:lang w:val="en-GB"/>
        </w:rPr>
      </w:pPr>
    </w:p>
    <w:p w14:paraId="29563EFC" w14:textId="77777777" w:rsidR="00D16830" w:rsidRPr="00D16830" w:rsidRDefault="00D16830" w:rsidP="00480EA8">
      <w:pPr>
        <w:widowControl w:val="0"/>
        <w:numPr>
          <w:ilvl w:val="0"/>
          <w:numId w:val="63"/>
        </w:numPr>
        <w:overflowPunct w:val="0"/>
        <w:autoSpaceDE w:val="0"/>
        <w:autoSpaceDN w:val="0"/>
        <w:adjustRightInd w:val="0"/>
        <w:ind w:left="567" w:hanging="567"/>
        <w:textAlignment w:val="baseline"/>
        <w:rPr>
          <w:bCs/>
          <w:iCs/>
        </w:rPr>
      </w:pPr>
      <w:proofErr w:type="gramStart"/>
      <w:r>
        <w:t>fait</w:t>
      </w:r>
      <w:proofErr w:type="gramEnd"/>
      <w:r>
        <w:t xml:space="preserve"> observer que les facilités pour les Balkans occidentaux, pour l’Ukraine et pour la Moldavie </w:t>
      </w:r>
      <w:r>
        <w:rPr>
          <w:b/>
          <w:bCs/>
        </w:rPr>
        <w:t>doivent favoriser activement la participation de la société civile</w:t>
      </w:r>
      <w:r>
        <w:t xml:space="preserve"> et l’ériger en condition de gouvernance structurelle indispensable au </w:t>
      </w:r>
      <w:r>
        <w:rPr>
          <w:b/>
          <w:bCs/>
        </w:rPr>
        <w:t xml:space="preserve">caractère durable du processus </w:t>
      </w:r>
      <w:proofErr w:type="gramStart"/>
      <w:r>
        <w:rPr>
          <w:b/>
          <w:bCs/>
        </w:rPr>
        <w:t>d’élargissement</w:t>
      </w:r>
      <w:r>
        <w:t>;</w:t>
      </w:r>
      <w:proofErr w:type="gramEnd"/>
    </w:p>
    <w:p w14:paraId="6CBB1B4B" w14:textId="77777777" w:rsidR="00D16830" w:rsidRPr="00D16830" w:rsidRDefault="00D16830" w:rsidP="00480EA8">
      <w:pPr>
        <w:widowControl w:val="0"/>
        <w:numPr>
          <w:ilvl w:val="0"/>
          <w:numId w:val="63"/>
        </w:numPr>
        <w:overflowPunct w:val="0"/>
        <w:autoSpaceDE w:val="0"/>
        <w:autoSpaceDN w:val="0"/>
        <w:adjustRightInd w:val="0"/>
        <w:ind w:left="567" w:hanging="567"/>
        <w:textAlignment w:val="baseline"/>
        <w:rPr>
          <w:bCs/>
          <w:iCs/>
        </w:rPr>
      </w:pPr>
      <w:proofErr w:type="gramStart"/>
      <w:r>
        <w:t>souligne</w:t>
      </w:r>
      <w:proofErr w:type="gramEnd"/>
      <w:r>
        <w:t xml:space="preserve"> que l’adhésion de la société aux réformes que sous-tendent les trois facilités devrait reposer sur une </w:t>
      </w:r>
      <w:r>
        <w:rPr>
          <w:b/>
          <w:bCs/>
        </w:rPr>
        <w:t>contribution permanente, active, structurée et formellement institutionnalisée des partenaires sociaux et des organisations de la société civile</w:t>
      </w:r>
      <w:r>
        <w:t>, aux côtés des autorités nationales.</w:t>
      </w:r>
    </w:p>
    <w:p w14:paraId="6112EC9A" w14:textId="77777777" w:rsidR="00D16830" w:rsidRPr="00D16830" w:rsidRDefault="00D16830" w:rsidP="00480EA8">
      <w:pPr>
        <w:widowControl w:val="0"/>
        <w:numPr>
          <w:ilvl w:val="0"/>
          <w:numId w:val="63"/>
        </w:numPr>
        <w:overflowPunct w:val="0"/>
        <w:autoSpaceDE w:val="0"/>
        <w:autoSpaceDN w:val="0"/>
        <w:adjustRightInd w:val="0"/>
        <w:ind w:left="567" w:hanging="567"/>
        <w:textAlignment w:val="baseline"/>
        <w:rPr>
          <w:bCs/>
          <w:iCs/>
        </w:rPr>
      </w:pPr>
      <w:proofErr w:type="gramStart"/>
      <w:r>
        <w:t>fait</w:t>
      </w:r>
      <w:proofErr w:type="gramEnd"/>
      <w:r>
        <w:t xml:space="preserve"> valoir que </w:t>
      </w:r>
      <w:r>
        <w:rPr>
          <w:b/>
          <w:bCs/>
        </w:rPr>
        <w:t>les fonds alloués devraient contribuer activement à préparer les pays à leur adhésion à l’UE</w:t>
      </w:r>
      <w:r>
        <w:t xml:space="preserve">, en les aidant à se conformer au modèle social et économique européen, plutôt que de se cantonner à favoriser leur intégration dans le marché </w:t>
      </w:r>
      <w:proofErr w:type="gramStart"/>
      <w:r>
        <w:t>unique;</w:t>
      </w:r>
      <w:proofErr w:type="gramEnd"/>
    </w:p>
    <w:p w14:paraId="2E0BC090" w14:textId="77777777" w:rsidR="00D16830" w:rsidRPr="00D16830" w:rsidRDefault="00D16830" w:rsidP="00480EA8">
      <w:pPr>
        <w:widowControl w:val="0"/>
        <w:numPr>
          <w:ilvl w:val="0"/>
          <w:numId w:val="63"/>
        </w:numPr>
        <w:overflowPunct w:val="0"/>
        <w:autoSpaceDE w:val="0"/>
        <w:autoSpaceDN w:val="0"/>
        <w:adjustRightInd w:val="0"/>
        <w:ind w:left="567" w:hanging="567"/>
        <w:textAlignment w:val="baseline"/>
        <w:rPr>
          <w:szCs w:val="20"/>
        </w:rPr>
      </w:pPr>
      <w:proofErr w:type="gramStart"/>
      <w:r>
        <w:t>avertit</w:t>
      </w:r>
      <w:proofErr w:type="gramEnd"/>
      <w:r>
        <w:t xml:space="preserve"> que </w:t>
      </w:r>
      <w:r>
        <w:rPr>
          <w:b/>
          <w:bCs/>
        </w:rPr>
        <w:t>les délais ne devraient pas servir de prétexte pour négliger les procédures démocratiques, le débat public ou l’obligation de consulter les partenaires sociaux et les organisations de la société civile et de dialoguer avec eux</w:t>
      </w:r>
      <w:r>
        <w:t xml:space="preserve">, ni servir de justification à des raccourcis législatifs pris dans l’urgence et qui excluent les partenaires sociaux et les organisations de la société </w:t>
      </w:r>
      <w:proofErr w:type="gramStart"/>
      <w:r>
        <w:t>civile;</w:t>
      </w:r>
      <w:proofErr w:type="gramEnd"/>
    </w:p>
    <w:p w14:paraId="13E72E61" w14:textId="77777777" w:rsidR="00D16830" w:rsidRPr="00D16830" w:rsidRDefault="00D16830" w:rsidP="00480EA8">
      <w:pPr>
        <w:widowControl w:val="0"/>
        <w:numPr>
          <w:ilvl w:val="0"/>
          <w:numId w:val="63"/>
        </w:numPr>
        <w:overflowPunct w:val="0"/>
        <w:autoSpaceDE w:val="0"/>
        <w:autoSpaceDN w:val="0"/>
        <w:adjustRightInd w:val="0"/>
        <w:ind w:left="567" w:hanging="567"/>
        <w:textAlignment w:val="baseline"/>
        <w:rPr>
          <w:bCs/>
          <w:iCs/>
        </w:rPr>
      </w:pPr>
      <w:proofErr w:type="gramStart"/>
      <w:r>
        <w:t>indique</w:t>
      </w:r>
      <w:proofErr w:type="gramEnd"/>
      <w:r>
        <w:t xml:space="preserve"> que les gouvernements devraient mettre en place </w:t>
      </w:r>
      <w:r>
        <w:rPr>
          <w:b/>
          <w:bCs/>
        </w:rPr>
        <w:t>un cadre structuré pour le dialogue social</w:t>
      </w:r>
      <w:r>
        <w:t xml:space="preserve"> garantissant la participation d’organisations d’employeurs, de travailleurs et de la société civile représentatives au niveau national et comptant un nombre approprié de membres, tout </w:t>
      </w:r>
      <w:r>
        <w:rPr>
          <w:b/>
          <w:bCs/>
        </w:rPr>
        <w:t xml:space="preserve">en respectant le rôle spécifique et l’autonomie des partenaires </w:t>
      </w:r>
      <w:proofErr w:type="gramStart"/>
      <w:r>
        <w:rPr>
          <w:b/>
          <w:bCs/>
        </w:rPr>
        <w:t>sociaux</w:t>
      </w:r>
      <w:r>
        <w:t>;</w:t>
      </w:r>
      <w:proofErr w:type="gramEnd"/>
    </w:p>
    <w:p w14:paraId="26EAFF74" w14:textId="77777777" w:rsidR="00D16830" w:rsidRPr="00D16830" w:rsidRDefault="00D16830" w:rsidP="00480EA8">
      <w:pPr>
        <w:widowControl w:val="0"/>
        <w:numPr>
          <w:ilvl w:val="0"/>
          <w:numId w:val="63"/>
        </w:numPr>
        <w:overflowPunct w:val="0"/>
        <w:autoSpaceDE w:val="0"/>
        <w:autoSpaceDN w:val="0"/>
        <w:adjustRightInd w:val="0"/>
        <w:ind w:left="567" w:hanging="567"/>
        <w:textAlignment w:val="baseline"/>
        <w:rPr>
          <w:bCs/>
          <w:iCs/>
        </w:rPr>
      </w:pPr>
      <w:proofErr w:type="gramStart"/>
      <w:r>
        <w:t>recommande</w:t>
      </w:r>
      <w:proofErr w:type="gramEnd"/>
      <w:r>
        <w:t xml:space="preserve"> que la Commission européenne émette des orientations claires et publiques pour l’évaluation de la </w:t>
      </w:r>
      <w:r>
        <w:rPr>
          <w:b/>
          <w:bCs/>
        </w:rPr>
        <w:t>réalisation</w:t>
      </w:r>
      <w:r>
        <w:t xml:space="preserve"> totale ou partielle </w:t>
      </w:r>
      <w:r>
        <w:rPr>
          <w:b/>
          <w:bCs/>
        </w:rPr>
        <w:t>des indicateurs de mise en œuvre relevant du programme de réformes</w:t>
      </w:r>
      <w:r>
        <w:t xml:space="preserve">, notamment les normes de vérification et les changements qui entraînent un non-respect de conditions auparavant </w:t>
      </w:r>
      <w:proofErr w:type="gramStart"/>
      <w:r>
        <w:t>remplies;</w:t>
      </w:r>
      <w:proofErr w:type="gramEnd"/>
    </w:p>
    <w:p w14:paraId="2056D22B" w14:textId="77777777" w:rsidR="00D16830" w:rsidRPr="00D16830" w:rsidRDefault="00D16830" w:rsidP="00480EA8">
      <w:pPr>
        <w:widowControl w:val="0"/>
        <w:numPr>
          <w:ilvl w:val="0"/>
          <w:numId w:val="63"/>
        </w:numPr>
        <w:overflowPunct w:val="0"/>
        <w:autoSpaceDE w:val="0"/>
        <w:autoSpaceDN w:val="0"/>
        <w:adjustRightInd w:val="0"/>
        <w:ind w:left="567" w:hanging="567"/>
        <w:textAlignment w:val="baseline"/>
        <w:rPr>
          <w:bCs/>
          <w:iCs/>
        </w:rPr>
      </w:pPr>
      <w:proofErr w:type="gramStart"/>
      <w:r>
        <w:t>préconise</w:t>
      </w:r>
      <w:proofErr w:type="gramEnd"/>
      <w:r>
        <w:t xml:space="preserve"> un </w:t>
      </w:r>
      <w:r>
        <w:rPr>
          <w:b/>
          <w:bCs/>
        </w:rPr>
        <w:t>soutien financier</w:t>
      </w:r>
      <w:r>
        <w:t xml:space="preserve"> sur mesure, durable et prévisible </w:t>
      </w:r>
      <w:r>
        <w:rPr>
          <w:b/>
          <w:bCs/>
        </w:rPr>
        <w:t>aux organisations de la société civile ainsi qu’aux partenaires sociaux</w:t>
      </w:r>
      <w:r>
        <w:t xml:space="preserve">, au moyen de </w:t>
      </w:r>
      <w:r>
        <w:rPr>
          <w:b/>
          <w:bCs/>
        </w:rPr>
        <w:t xml:space="preserve">mécanismes de financement pluriannuels et </w:t>
      </w:r>
      <w:proofErr w:type="gramStart"/>
      <w:r>
        <w:rPr>
          <w:b/>
          <w:bCs/>
        </w:rPr>
        <w:t>transparents</w:t>
      </w:r>
      <w:r>
        <w:t>;</w:t>
      </w:r>
      <w:proofErr w:type="gramEnd"/>
    </w:p>
    <w:p w14:paraId="3DC98AF8" w14:textId="77777777" w:rsidR="00D16830" w:rsidRPr="00D16830" w:rsidRDefault="00D16830" w:rsidP="0012608E">
      <w:pPr>
        <w:keepNext/>
        <w:numPr>
          <w:ilvl w:val="0"/>
          <w:numId w:val="63"/>
        </w:numPr>
        <w:overflowPunct w:val="0"/>
        <w:autoSpaceDE w:val="0"/>
        <w:autoSpaceDN w:val="0"/>
        <w:adjustRightInd w:val="0"/>
        <w:ind w:left="567" w:hanging="567"/>
        <w:textAlignment w:val="baseline"/>
        <w:rPr>
          <w:bCs/>
          <w:iCs/>
        </w:rPr>
      </w:pPr>
      <w:proofErr w:type="gramStart"/>
      <w:r>
        <w:lastRenderedPageBreak/>
        <w:t>invite</w:t>
      </w:r>
      <w:proofErr w:type="gramEnd"/>
      <w:r>
        <w:t xml:space="preserve"> la Commission européenne à </w:t>
      </w:r>
      <w:r>
        <w:rPr>
          <w:b/>
          <w:bCs/>
        </w:rPr>
        <w:t>prendre appui sur les évaluations à mi-parcours</w:t>
      </w:r>
      <w:r>
        <w:t xml:space="preserve"> des cadres actuels de gouvernance et de mise en œuvre des facilités et à </w:t>
      </w:r>
      <w:r>
        <w:rPr>
          <w:b/>
          <w:bCs/>
        </w:rPr>
        <w:t>améliorer encore la mise en œuvre des instruments pertinents qu’utilise déjà l’UE en matière d’élargissement fondé sur les performances et de ceux qu’elle pourrait mettre en place à l’avenir</w:t>
      </w:r>
      <w:r>
        <w:t>.</w:t>
      </w:r>
    </w:p>
    <w:p w14:paraId="77E533A4" w14:textId="77777777" w:rsidR="00D16830" w:rsidRPr="00D16830" w:rsidRDefault="00D16830" w:rsidP="00037101">
      <w:pPr>
        <w:widowControl w:val="0"/>
        <w:overflowPunct w:val="0"/>
        <w:autoSpaceDE w:val="0"/>
        <w:autoSpaceDN w:val="0"/>
        <w:adjustRightInd w:val="0"/>
        <w:ind w:left="284" w:hanging="284"/>
        <w:textAlignment w:val="baseline"/>
        <w:rPr>
          <w:szCs w:val="20"/>
          <w:lang w:val="en-GB"/>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5670"/>
      </w:tblGrid>
      <w:tr w:rsidR="00D16830" w:rsidRPr="00634494" w14:paraId="06D6E640" w14:textId="77777777" w:rsidTr="002E7EFB">
        <w:tc>
          <w:tcPr>
            <w:tcW w:w="1418" w:type="dxa"/>
          </w:tcPr>
          <w:p w14:paraId="2EFB1BD5" w14:textId="77777777" w:rsidR="00D16830" w:rsidRPr="00634494" w:rsidRDefault="00D16830" w:rsidP="00D16830">
            <w:pPr>
              <w:overflowPunct w:val="0"/>
              <w:autoSpaceDE w:val="0"/>
              <w:autoSpaceDN w:val="0"/>
              <w:adjustRightInd w:val="0"/>
              <w:spacing w:line="240" w:lineRule="auto"/>
              <w:textAlignment w:val="baseline"/>
              <w:rPr>
                <w:i/>
                <w:sz w:val="22"/>
                <w:szCs w:val="22"/>
              </w:rPr>
            </w:pPr>
            <w:r w:rsidRPr="00634494">
              <w:rPr>
                <w:b/>
                <w:i/>
                <w:sz w:val="22"/>
                <w:szCs w:val="22"/>
              </w:rPr>
              <w:t>Contact</w:t>
            </w:r>
          </w:p>
        </w:tc>
        <w:tc>
          <w:tcPr>
            <w:tcW w:w="5670" w:type="dxa"/>
          </w:tcPr>
          <w:p w14:paraId="72677A97" w14:textId="77777777" w:rsidR="00D16830" w:rsidRPr="00634494" w:rsidRDefault="00D16830" w:rsidP="00D16830">
            <w:pPr>
              <w:overflowPunct w:val="0"/>
              <w:autoSpaceDE w:val="0"/>
              <w:autoSpaceDN w:val="0"/>
              <w:adjustRightInd w:val="0"/>
              <w:spacing w:line="240" w:lineRule="auto"/>
              <w:textAlignment w:val="baseline"/>
              <w:rPr>
                <w:i/>
                <w:sz w:val="22"/>
                <w:szCs w:val="22"/>
              </w:rPr>
            </w:pPr>
            <w:r w:rsidRPr="00634494">
              <w:rPr>
                <w:i/>
                <w:sz w:val="22"/>
                <w:szCs w:val="22"/>
              </w:rPr>
              <w:t>David Hoić</w:t>
            </w:r>
          </w:p>
        </w:tc>
      </w:tr>
      <w:tr w:rsidR="00D16830" w:rsidRPr="00634494" w14:paraId="3BA7205F" w14:textId="77777777" w:rsidTr="002E7EFB">
        <w:tc>
          <w:tcPr>
            <w:tcW w:w="1418" w:type="dxa"/>
          </w:tcPr>
          <w:p w14:paraId="7D4BCE3B" w14:textId="77777777" w:rsidR="00D16830" w:rsidRPr="00634494" w:rsidRDefault="00D16830" w:rsidP="00634494">
            <w:pPr>
              <w:overflowPunct w:val="0"/>
              <w:autoSpaceDE w:val="0"/>
              <w:autoSpaceDN w:val="0"/>
              <w:adjustRightInd w:val="0"/>
              <w:spacing w:line="240" w:lineRule="auto"/>
              <w:ind w:left="567"/>
              <w:textAlignment w:val="baseline"/>
              <w:rPr>
                <w:i/>
                <w:sz w:val="22"/>
                <w:szCs w:val="22"/>
              </w:rPr>
            </w:pPr>
            <w:r w:rsidRPr="00634494">
              <w:rPr>
                <w:i/>
                <w:sz w:val="22"/>
                <w:szCs w:val="22"/>
              </w:rPr>
              <w:t>Tél.</w:t>
            </w:r>
          </w:p>
        </w:tc>
        <w:tc>
          <w:tcPr>
            <w:tcW w:w="5670" w:type="dxa"/>
          </w:tcPr>
          <w:p w14:paraId="6033BB59" w14:textId="77777777" w:rsidR="00D16830" w:rsidRPr="00634494" w:rsidRDefault="00D16830" w:rsidP="00D16830">
            <w:pPr>
              <w:overflowPunct w:val="0"/>
              <w:autoSpaceDE w:val="0"/>
              <w:autoSpaceDN w:val="0"/>
              <w:adjustRightInd w:val="0"/>
              <w:spacing w:line="240" w:lineRule="auto"/>
              <w:textAlignment w:val="baseline"/>
              <w:rPr>
                <w:i/>
                <w:sz w:val="22"/>
                <w:szCs w:val="22"/>
              </w:rPr>
            </w:pPr>
            <w:r w:rsidRPr="00634494">
              <w:rPr>
                <w:i/>
                <w:sz w:val="22"/>
                <w:szCs w:val="22"/>
              </w:rPr>
              <w:t>+32 2 546 9069</w:t>
            </w:r>
          </w:p>
        </w:tc>
      </w:tr>
      <w:tr w:rsidR="00D16830" w:rsidRPr="00634494" w14:paraId="06D43AB5" w14:textId="77777777" w:rsidTr="002E7EFB">
        <w:tc>
          <w:tcPr>
            <w:tcW w:w="1418" w:type="dxa"/>
          </w:tcPr>
          <w:p w14:paraId="1591AA97" w14:textId="77777777" w:rsidR="00D16830" w:rsidRPr="00634494" w:rsidRDefault="00D16830" w:rsidP="00634494">
            <w:pPr>
              <w:overflowPunct w:val="0"/>
              <w:autoSpaceDE w:val="0"/>
              <w:autoSpaceDN w:val="0"/>
              <w:adjustRightInd w:val="0"/>
              <w:spacing w:line="240" w:lineRule="auto"/>
              <w:ind w:left="567"/>
              <w:textAlignment w:val="baseline"/>
              <w:rPr>
                <w:i/>
                <w:sz w:val="22"/>
                <w:szCs w:val="22"/>
              </w:rPr>
            </w:pPr>
            <w:r w:rsidRPr="00634494">
              <w:rPr>
                <w:i/>
                <w:sz w:val="22"/>
                <w:szCs w:val="22"/>
              </w:rPr>
              <w:t>Courriel</w:t>
            </w:r>
          </w:p>
        </w:tc>
        <w:tc>
          <w:tcPr>
            <w:tcW w:w="5670" w:type="dxa"/>
          </w:tcPr>
          <w:p w14:paraId="104A20AD" w14:textId="1DCB098A" w:rsidR="00D16830" w:rsidRPr="00634494" w:rsidRDefault="00E44636" w:rsidP="00D16830">
            <w:pPr>
              <w:overflowPunct w:val="0"/>
              <w:autoSpaceDE w:val="0"/>
              <w:autoSpaceDN w:val="0"/>
              <w:adjustRightInd w:val="0"/>
              <w:spacing w:line="240" w:lineRule="auto"/>
              <w:textAlignment w:val="baseline"/>
              <w:rPr>
                <w:i/>
                <w:sz w:val="22"/>
                <w:szCs w:val="22"/>
              </w:rPr>
            </w:pPr>
            <w:hyperlink r:id="rId68" w:history="1">
              <w:r w:rsidRPr="00634494">
                <w:rPr>
                  <w:i/>
                  <w:color w:val="0000FF"/>
                  <w:sz w:val="22"/>
                  <w:szCs w:val="22"/>
                  <w:u w:val="single"/>
                </w:rPr>
                <w:t>David.Hoic@eesc.europa.eu</w:t>
              </w:r>
            </w:hyperlink>
            <w:r w:rsidRPr="00634494">
              <w:rPr>
                <w:i/>
                <w:sz w:val="22"/>
                <w:szCs w:val="22"/>
              </w:rPr>
              <w:t xml:space="preserve"> </w:t>
            </w:r>
          </w:p>
        </w:tc>
      </w:tr>
    </w:tbl>
    <w:p w14:paraId="126BFE8C" w14:textId="2B629BAC" w:rsidR="00A3691D" w:rsidRDefault="00A3691D" w:rsidP="0066696D">
      <w:pPr>
        <w:pStyle w:val="ListParagraph"/>
        <w:ind w:left="567" w:hanging="567"/>
        <w:jc w:val="left"/>
      </w:pPr>
    </w:p>
    <w:p w14:paraId="41D04A86" w14:textId="6D1B106F" w:rsidR="00297F0C" w:rsidRPr="00297F0C" w:rsidRDefault="00297F0C" w:rsidP="00297F0C">
      <w:pPr>
        <w:widowControl w:val="0"/>
        <w:numPr>
          <w:ilvl w:val="0"/>
          <w:numId w:val="4"/>
        </w:numPr>
        <w:overflowPunct w:val="0"/>
        <w:autoSpaceDE w:val="0"/>
        <w:autoSpaceDN w:val="0"/>
        <w:adjustRightInd w:val="0"/>
        <w:ind w:hanging="567"/>
        <w:jc w:val="left"/>
        <w:textAlignment w:val="baseline"/>
        <w:rPr>
          <w:sz w:val="20"/>
          <w:szCs w:val="20"/>
        </w:rPr>
      </w:pPr>
      <w:hyperlink r:id="rId69" w:history="1">
        <w:r>
          <w:rPr>
            <w:b/>
            <w:i/>
            <w:color w:val="0000FF"/>
            <w:sz w:val="28"/>
            <w:u w:val="single"/>
          </w:rPr>
          <w:t>Le rôle du secteur privé et de la société civile pour renforcer la coopération économique dans le cadre du pacte pour la Méditerranée</w:t>
        </w:r>
      </w:hyperlink>
    </w:p>
    <w:p w14:paraId="04ADF7F0" w14:textId="77777777" w:rsidR="00297F0C" w:rsidRPr="00480EA8" w:rsidRDefault="00297F0C" w:rsidP="00297F0C">
      <w:pPr>
        <w:tabs>
          <w:tab w:val="center" w:pos="284"/>
        </w:tabs>
        <w:overflowPunct w:val="0"/>
        <w:autoSpaceDE w:val="0"/>
        <w:autoSpaceDN w:val="0"/>
        <w:adjustRightInd w:val="0"/>
        <w:ind w:left="266" w:hanging="266"/>
        <w:textAlignment w:val="baseline"/>
        <w:rPr>
          <w:bCs/>
          <w:lang w:val="en-GB"/>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297F0C" w:rsidRPr="00480EA8" w14:paraId="125788EB" w14:textId="77777777" w:rsidTr="002E7EFB">
        <w:trPr>
          <w:trHeight w:val="70"/>
        </w:trPr>
        <w:tc>
          <w:tcPr>
            <w:tcW w:w="1077" w:type="pct"/>
          </w:tcPr>
          <w:p w14:paraId="210D65F7" w14:textId="77777777" w:rsidR="00297F0C" w:rsidRPr="00480EA8" w:rsidRDefault="00297F0C" w:rsidP="00297F0C">
            <w:pPr>
              <w:tabs>
                <w:tab w:val="center" w:pos="284"/>
              </w:tabs>
              <w:overflowPunct w:val="0"/>
              <w:autoSpaceDE w:val="0"/>
              <w:autoSpaceDN w:val="0"/>
              <w:adjustRightInd w:val="0"/>
              <w:ind w:left="266" w:hanging="266"/>
              <w:textAlignment w:val="baseline"/>
              <w:rPr>
                <w:b/>
                <w:sz w:val="22"/>
                <w:szCs w:val="22"/>
              </w:rPr>
            </w:pPr>
            <w:r w:rsidRPr="00480EA8">
              <w:rPr>
                <w:b/>
                <w:sz w:val="22"/>
                <w:szCs w:val="22"/>
              </w:rPr>
              <w:t>Rapporteur</w:t>
            </w:r>
          </w:p>
        </w:tc>
        <w:tc>
          <w:tcPr>
            <w:tcW w:w="3923" w:type="pct"/>
          </w:tcPr>
          <w:p w14:paraId="1A0D7BEA" w14:textId="77777777" w:rsidR="00297F0C" w:rsidRPr="00480EA8" w:rsidRDefault="00297F0C" w:rsidP="00297F0C">
            <w:pPr>
              <w:tabs>
                <w:tab w:val="center" w:pos="284"/>
              </w:tabs>
              <w:overflowPunct w:val="0"/>
              <w:autoSpaceDE w:val="0"/>
              <w:autoSpaceDN w:val="0"/>
              <w:adjustRightInd w:val="0"/>
              <w:ind w:left="266" w:right="-3091" w:hanging="266"/>
              <w:textAlignment w:val="baseline"/>
              <w:rPr>
                <w:sz w:val="22"/>
                <w:szCs w:val="22"/>
              </w:rPr>
            </w:pPr>
            <w:r w:rsidRPr="00480EA8">
              <w:rPr>
                <w:sz w:val="22"/>
                <w:szCs w:val="22"/>
              </w:rPr>
              <w:t>Thomas WAGNSONNER (groupe des travailleurs — Autriche)</w:t>
            </w:r>
          </w:p>
        </w:tc>
      </w:tr>
      <w:tr w:rsidR="00297F0C" w:rsidRPr="00480EA8" w14:paraId="3290F704" w14:textId="77777777" w:rsidTr="002E7EFB">
        <w:tc>
          <w:tcPr>
            <w:tcW w:w="1077" w:type="pct"/>
          </w:tcPr>
          <w:p w14:paraId="432C48BB" w14:textId="77777777" w:rsidR="00297F0C" w:rsidRPr="00480EA8" w:rsidRDefault="00297F0C" w:rsidP="00297F0C">
            <w:pPr>
              <w:tabs>
                <w:tab w:val="center" w:pos="284"/>
              </w:tabs>
              <w:overflowPunct w:val="0"/>
              <w:autoSpaceDE w:val="0"/>
              <w:autoSpaceDN w:val="0"/>
              <w:adjustRightInd w:val="0"/>
              <w:ind w:left="266" w:hanging="266"/>
              <w:textAlignment w:val="baseline"/>
              <w:rPr>
                <w:b/>
                <w:sz w:val="22"/>
                <w:szCs w:val="22"/>
              </w:rPr>
            </w:pPr>
            <w:r w:rsidRPr="00480EA8">
              <w:rPr>
                <w:b/>
                <w:sz w:val="22"/>
                <w:szCs w:val="22"/>
              </w:rPr>
              <w:t>Corapporteure</w:t>
            </w:r>
          </w:p>
        </w:tc>
        <w:tc>
          <w:tcPr>
            <w:tcW w:w="3923" w:type="pct"/>
          </w:tcPr>
          <w:p w14:paraId="112D4104" w14:textId="43E82151" w:rsidR="00F76EE7" w:rsidRPr="00480EA8" w:rsidRDefault="00297F0C" w:rsidP="00634494">
            <w:pPr>
              <w:tabs>
                <w:tab w:val="center" w:pos="284"/>
              </w:tabs>
              <w:overflowPunct w:val="0"/>
              <w:autoSpaceDE w:val="0"/>
              <w:autoSpaceDN w:val="0"/>
              <w:adjustRightInd w:val="0"/>
              <w:ind w:left="266" w:right="147" w:hanging="266"/>
              <w:textAlignment w:val="baseline"/>
              <w:rPr>
                <w:sz w:val="22"/>
                <w:szCs w:val="22"/>
              </w:rPr>
            </w:pPr>
            <w:r w:rsidRPr="00480EA8">
              <w:rPr>
                <w:sz w:val="22"/>
                <w:szCs w:val="22"/>
              </w:rPr>
              <w:t>Lidija PAVIĆ-ROGOŠIĆ (groupe des organisations de la société civile — Croatie)</w:t>
            </w:r>
          </w:p>
          <w:p w14:paraId="14EF11F7" w14:textId="77777777" w:rsidR="00F76EE7" w:rsidRPr="00480EA8" w:rsidRDefault="00F76EE7" w:rsidP="00297F0C">
            <w:pPr>
              <w:tabs>
                <w:tab w:val="center" w:pos="284"/>
              </w:tabs>
              <w:overflowPunct w:val="0"/>
              <w:autoSpaceDE w:val="0"/>
              <w:autoSpaceDN w:val="0"/>
              <w:adjustRightInd w:val="0"/>
              <w:ind w:left="266" w:right="-3091" w:hanging="266"/>
              <w:textAlignment w:val="baseline"/>
              <w:rPr>
                <w:sz w:val="22"/>
                <w:szCs w:val="22"/>
              </w:rPr>
            </w:pPr>
          </w:p>
        </w:tc>
      </w:tr>
      <w:tr w:rsidR="00297F0C" w:rsidRPr="00480EA8" w14:paraId="54CCBB87" w14:textId="77777777" w:rsidTr="002E7EFB">
        <w:tc>
          <w:tcPr>
            <w:tcW w:w="1077" w:type="pct"/>
          </w:tcPr>
          <w:p w14:paraId="7E611676" w14:textId="77777777" w:rsidR="00297F0C" w:rsidRPr="00480EA8" w:rsidRDefault="00297F0C" w:rsidP="00297F0C">
            <w:pPr>
              <w:tabs>
                <w:tab w:val="center" w:pos="284"/>
              </w:tabs>
              <w:overflowPunct w:val="0"/>
              <w:autoSpaceDE w:val="0"/>
              <w:autoSpaceDN w:val="0"/>
              <w:adjustRightInd w:val="0"/>
              <w:ind w:left="266" w:hanging="266"/>
              <w:textAlignment w:val="baseline"/>
              <w:rPr>
                <w:b/>
                <w:sz w:val="22"/>
                <w:szCs w:val="22"/>
              </w:rPr>
            </w:pPr>
            <w:r w:rsidRPr="00480EA8">
              <w:rPr>
                <w:b/>
                <w:sz w:val="22"/>
                <w:szCs w:val="22"/>
              </w:rPr>
              <w:t>Références</w:t>
            </w:r>
          </w:p>
        </w:tc>
        <w:tc>
          <w:tcPr>
            <w:tcW w:w="3923" w:type="pct"/>
          </w:tcPr>
          <w:p w14:paraId="4F6E33CF" w14:textId="1323A011" w:rsidR="005D6457" w:rsidRPr="00480EA8" w:rsidRDefault="005D6457" w:rsidP="00297F0C">
            <w:pPr>
              <w:tabs>
                <w:tab w:val="center" w:pos="284"/>
              </w:tabs>
              <w:overflowPunct w:val="0"/>
              <w:autoSpaceDE w:val="0"/>
              <w:autoSpaceDN w:val="0"/>
              <w:adjustRightInd w:val="0"/>
              <w:ind w:left="266" w:right="-3091" w:hanging="266"/>
              <w:textAlignment w:val="baseline"/>
              <w:rPr>
                <w:sz w:val="22"/>
                <w:szCs w:val="22"/>
              </w:rPr>
            </w:pPr>
            <w:r w:rsidRPr="00480EA8">
              <w:rPr>
                <w:sz w:val="22"/>
                <w:szCs w:val="22"/>
              </w:rPr>
              <w:t>Avis exploratoire à la demande de la présidence chypriote du Conseil de l’Union européenne</w:t>
            </w:r>
          </w:p>
          <w:p w14:paraId="6DA7AE0B" w14:textId="1B6A132C" w:rsidR="00297F0C" w:rsidRPr="00480EA8" w:rsidRDefault="00297F0C" w:rsidP="00297F0C">
            <w:pPr>
              <w:tabs>
                <w:tab w:val="center" w:pos="284"/>
              </w:tabs>
              <w:overflowPunct w:val="0"/>
              <w:autoSpaceDE w:val="0"/>
              <w:autoSpaceDN w:val="0"/>
              <w:adjustRightInd w:val="0"/>
              <w:ind w:left="266" w:right="-3091" w:hanging="266"/>
              <w:textAlignment w:val="baseline"/>
              <w:rPr>
                <w:sz w:val="22"/>
                <w:szCs w:val="22"/>
              </w:rPr>
            </w:pPr>
            <w:r w:rsidRPr="00480EA8">
              <w:rPr>
                <w:sz w:val="22"/>
                <w:szCs w:val="22"/>
              </w:rPr>
              <w:t>EESC-2025-04127-00-00-AC</w:t>
            </w:r>
          </w:p>
        </w:tc>
      </w:tr>
    </w:tbl>
    <w:p w14:paraId="4D431AA9" w14:textId="77777777" w:rsidR="00297F0C" w:rsidRPr="00297F0C" w:rsidRDefault="00297F0C" w:rsidP="00297F0C">
      <w:pPr>
        <w:tabs>
          <w:tab w:val="center" w:pos="284"/>
        </w:tabs>
        <w:overflowPunct w:val="0"/>
        <w:autoSpaceDE w:val="0"/>
        <w:autoSpaceDN w:val="0"/>
        <w:adjustRightInd w:val="0"/>
        <w:textAlignment w:val="baseline"/>
        <w:rPr>
          <w:b/>
          <w:lang w:val="en-GB"/>
        </w:rPr>
      </w:pPr>
    </w:p>
    <w:p w14:paraId="22629F76" w14:textId="77777777" w:rsidR="00297F0C" w:rsidRPr="00297F0C" w:rsidRDefault="00297F0C" w:rsidP="00297F0C">
      <w:pPr>
        <w:keepNext/>
        <w:keepLines/>
        <w:tabs>
          <w:tab w:val="center" w:pos="284"/>
        </w:tabs>
        <w:overflowPunct w:val="0"/>
        <w:autoSpaceDE w:val="0"/>
        <w:autoSpaceDN w:val="0"/>
        <w:adjustRightInd w:val="0"/>
        <w:ind w:left="266" w:hanging="266"/>
        <w:textAlignment w:val="baseline"/>
        <w:rPr>
          <w:b/>
        </w:rPr>
      </w:pPr>
      <w:r>
        <w:rPr>
          <w:b/>
        </w:rPr>
        <w:t>Points clés</w:t>
      </w:r>
    </w:p>
    <w:p w14:paraId="3C8C3215" w14:textId="77777777" w:rsidR="00297F0C" w:rsidRPr="00297F0C" w:rsidRDefault="00297F0C" w:rsidP="00297F0C">
      <w:pPr>
        <w:keepNext/>
        <w:keepLines/>
        <w:tabs>
          <w:tab w:val="center" w:pos="284"/>
        </w:tabs>
        <w:overflowPunct w:val="0"/>
        <w:autoSpaceDE w:val="0"/>
        <w:autoSpaceDN w:val="0"/>
        <w:adjustRightInd w:val="0"/>
        <w:ind w:left="266" w:hanging="266"/>
        <w:textAlignment w:val="baseline"/>
        <w:rPr>
          <w:b/>
          <w:lang w:val="en-GB"/>
        </w:rPr>
      </w:pPr>
    </w:p>
    <w:p w14:paraId="696A1CA7" w14:textId="77777777" w:rsidR="00297F0C" w:rsidRDefault="00297F0C" w:rsidP="00297F0C">
      <w:pPr>
        <w:overflowPunct w:val="0"/>
        <w:autoSpaceDE w:val="0"/>
        <w:autoSpaceDN w:val="0"/>
        <w:adjustRightInd w:val="0"/>
        <w:spacing w:after="120"/>
        <w:textAlignment w:val="baseline"/>
        <w:rPr>
          <w:bCs/>
          <w:iCs/>
        </w:rPr>
      </w:pPr>
      <w:r>
        <w:t xml:space="preserve">Le </w:t>
      </w:r>
      <w:proofErr w:type="gramStart"/>
      <w:r>
        <w:t>CESE:</w:t>
      </w:r>
      <w:proofErr w:type="gramEnd"/>
    </w:p>
    <w:p w14:paraId="26DA2862" w14:textId="77777777" w:rsidR="00297F0C" w:rsidRPr="00297F0C" w:rsidRDefault="00297F0C" w:rsidP="00480EA8">
      <w:pPr>
        <w:numPr>
          <w:ilvl w:val="0"/>
          <w:numId w:val="64"/>
        </w:numPr>
        <w:overflowPunct w:val="0"/>
        <w:autoSpaceDE w:val="0"/>
        <w:autoSpaceDN w:val="0"/>
        <w:adjustRightInd w:val="0"/>
        <w:spacing w:line="276" w:lineRule="auto"/>
        <w:ind w:left="567" w:hanging="567"/>
        <w:textAlignment w:val="baseline"/>
      </w:pPr>
      <w:proofErr w:type="gramStart"/>
      <w:r>
        <w:t>estime</w:t>
      </w:r>
      <w:proofErr w:type="gramEnd"/>
      <w:r>
        <w:t xml:space="preserve"> que le pacte pour la Méditerranée ne peut réussir que grâce à un véritable partenariat d’égal à égal entre l’Union, ses États membres et les partenaires du sud de la Méditerranée, avec des avantages visibles pour les citoyens ordinaires et les </w:t>
      </w:r>
      <w:proofErr w:type="gramStart"/>
      <w:r>
        <w:t>communautés;</w:t>
      </w:r>
      <w:proofErr w:type="gramEnd"/>
    </w:p>
    <w:p w14:paraId="1A4BF8CB" w14:textId="77777777" w:rsidR="00297F0C" w:rsidRPr="00297F0C" w:rsidRDefault="00297F0C" w:rsidP="00480EA8">
      <w:pPr>
        <w:numPr>
          <w:ilvl w:val="0"/>
          <w:numId w:val="64"/>
        </w:numPr>
        <w:overflowPunct w:val="0"/>
        <w:autoSpaceDE w:val="0"/>
        <w:autoSpaceDN w:val="0"/>
        <w:adjustRightInd w:val="0"/>
        <w:spacing w:line="276" w:lineRule="auto"/>
        <w:ind w:left="567" w:hanging="567"/>
        <w:textAlignment w:val="baseline"/>
      </w:pPr>
      <w:proofErr w:type="gramStart"/>
      <w:r>
        <w:t>affirme</w:t>
      </w:r>
      <w:proofErr w:type="gramEnd"/>
      <w:r>
        <w:t xml:space="preserve"> que la société civile organisée doit être associée de manière permanente et structurée — et pas seulement au moyen de consultations occasionnelles — englobant les syndicats, les groupes d’employeurs et les organisations de la société </w:t>
      </w:r>
      <w:proofErr w:type="gramStart"/>
      <w:r>
        <w:t>civile;</w:t>
      </w:r>
      <w:proofErr w:type="gramEnd"/>
    </w:p>
    <w:p w14:paraId="6F943845" w14:textId="77777777" w:rsidR="00297F0C" w:rsidRPr="00297F0C" w:rsidRDefault="00297F0C" w:rsidP="00480EA8">
      <w:pPr>
        <w:numPr>
          <w:ilvl w:val="0"/>
          <w:numId w:val="64"/>
        </w:numPr>
        <w:overflowPunct w:val="0"/>
        <w:autoSpaceDE w:val="0"/>
        <w:autoSpaceDN w:val="0"/>
        <w:adjustRightInd w:val="0"/>
        <w:spacing w:line="276" w:lineRule="auto"/>
        <w:ind w:left="567" w:hanging="567"/>
        <w:textAlignment w:val="baseline"/>
      </w:pPr>
      <w:proofErr w:type="gramStart"/>
      <w:r>
        <w:t>estime</w:t>
      </w:r>
      <w:proofErr w:type="gramEnd"/>
      <w:r>
        <w:t xml:space="preserve"> que pour renforcer le secteur privé, en particulier les MPME, le bassin méditerranéen a besoin de réformes qui améliorent l’accès au financement, simplifient les procédures et soutiennent la numérisation et la connectivité afin que les entreprises puissent rejoindre les chaînes de valeur </w:t>
      </w:r>
      <w:proofErr w:type="gramStart"/>
      <w:r>
        <w:t>régionales;</w:t>
      </w:r>
      <w:proofErr w:type="gramEnd"/>
    </w:p>
    <w:p w14:paraId="243F9592" w14:textId="77777777" w:rsidR="00297F0C" w:rsidRPr="00297F0C" w:rsidRDefault="00297F0C" w:rsidP="00480EA8">
      <w:pPr>
        <w:numPr>
          <w:ilvl w:val="0"/>
          <w:numId w:val="64"/>
        </w:numPr>
        <w:overflowPunct w:val="0"/>
        <w:autoSpaceDE w:val="0"/>
        <w:autoSpaceDN w:val="0"/>
        <w:adjustRightInd w:val="0"/>
        <w:spacing w:line="276" w:lineRule="auto"/>
        <w:ind w:left="567" w:hanging="567"/>
        <w:textAlignment w:val="baseline"/>
      </w:pPr>
      <w:proofErr w:type="gramStart"/>
      <w:r>
        <w:t>est</w:t>
      </w:r>
      <w:proofErr w:type="gramEnd"/>
      <w:r>
        <w:t xml:space="preserve"> d’avis que les accords commerciaux existants de l’Union avec de nombreux pays du sud de la Méditerranée sont obsolètes et devraient être modernisés, la société civile contribuant au suivi des engagements en matière de travail, d’environnement et de droits de </w:t>
      </w:r>
      <w:proofErr w:type="gramStart"/>
      <w:r>
        <w:t>l’homme;</w:t>
      </w:r>
      <w:proofErr w:type="gramEnd"/>
    </w:p>
    <w:p w14:paraId="3659C819" w14:textId="77777777" w:rsidR="00297F0C" w:rsidRPr="00297F0C" w:rsidRDefault="00297F0C" w:rsidP="00480EA8">
      <w:pPr>
        <w:numPr>
          <w:ilvl w:val="0"/>
          <w:numId w:val="64"/>
        </w:numPr>
        <w:overflowPunct w:val="0"/>
        <w:autoSpaceDE w:val="0"/>
        <w:autoSpaceDN w:val="0"/>
        <w:adjustRightInd w:val="0"/>
        <w:spacing w:line="276" w:lineRule="auto"/>
        <w:ind w:left="567" w:hanging="567"/>
        <w:textAlignment w:val="baseline"/>
      </w:pPr>
      <w:proofErr w:type="gramStart"/>
      <w:r>
        <w:t>estime</w:t>
      </w:r>
      <w:proofErr w:type="gramEnd"/>
      <w:r>
        <w:t xml:space="preserve"> que le commerce et les investissements devraient être liés au développement durable et au travail décent, y compris des salaires équitables, des conditions de travail sûres, des normes exécutoires et des investissements dans des projets régionaux </w:t>
      </w:r>
      <w:proofErr w:type="gramStart"/>
      <w:r>
        <w:t>durables;</w:t>
      </w:r>
      <w:proofErr w:type="gramEnd"/>
    </w:p>
    <w:p w14:paraId="2D5E3A8E" w14:textId="77777777" w:rsidR="00297F0C" w:rsidRPr="00297F0C" w:rsidRDefault="00297F0C" w:rsidP="00480EA8">
      <w:pPr>
        <w:numPr>
          <w:ilvl w:val="0"/>
          <w:numId w:val="64"/>
        </w:numPr>
        <w:overflowPunct w:val="0"/>
        <w:autoSpaceDE w:val="0"/>
        <w:autoSpaceDN w:val="0"/>
        <w:adjustRightInd w:val="0"/>
        <w:spacing w:line="276" w:lineRule="auto"/>
        <w:ind w:left="567" w:hanging="567"/>
        <w:textAlignment w:val="baseline"/>
      </w:pPr>
      <w:proofErr w:type="gramStart"/>
      <w:r>
        <w:t>souligne</w:t>
      </w:r>
      <w:proofErr w:type="gramEnd"/>
      <w:r>
        <w:t xml:space="preserve"> que la transition de l’économie informelle à l’économie formelle devrait suivre la recommandation nº 204 de l’OIT, ce qui signifie qu’elle devrait être progressive, inclusive et économiquement réaliste plutôt que </w:t>
      </w:r>
      <w:proofErr w:type="gramStart"/>
      <w:r>
        <w:t>punitive;</w:t>
      </w:r>
      <w:proofErr w:type="gramEnd"/>
    </w:p>
    <w:p w14:paraId="12F91A67" w14:textId="77777777" w:rsidR="00297F0C" w:rsidRPr="00297F0C" w:rsidRDefault="00297F0C" w:rsidP="00480EA8">
      <w:pPr>
        <w:numPr>
          <w:ilvl w:val="0"/>
          <w:numId w:val="64"/>
        </w:numPr>
        <w:overflowPunct w:val="0"/>
        <w:autoSpaceDE w:val="0"/>
        <w:autoSpaceDN w:val="0"/>
        <w:adjustRightInd w:val="0"/>
        <w:spacing w:line="276" w:lineRule="auto"/>
        <w:ind w:left="567" w:hanging="567"/>
        <w:textAlignment w:val="baseline"/>
      </w:pPr>
      <w:proofErr w:type="gramStart"/>
      <w:r>
        <w:t>relève</w:t>
      </w:r>
      <w:proofErr w:type="gramEnd"/>
      <w:r>
        <w:t xml:space="preserve"> que le plan d’action du pacte devrait garantir la protection sociale, les droits des travailleurs et le respect des conventions fondamentales de l’OIT, tout en veillant à ce que la stratégie</w:t>
      </w:r>
      <w:proofErr w:type="gramStart"/>
      <w:r>
        <w:t xml:space="preserve"> «Global</w:t>
      </w:r>
      <w:proofErr w:type="gramEnd"/>
      <w:r>
        <w:t xml:space="preserve"> </w:t>
      </w:r>
      <w:proofErr w:type="gramStart"/>
      <w:r>
        <w:t>Gateway»</w:t>
      </w:r>
      <w:proofErr w:type="gramEnd"/>
      <w:r>
        <w:t xml:space="preserve"> et d’autres grands projets associent dès le départ les partenaires sociaux et la société </w:t>
      </w:r>
      <w:proofErr w:type="gramStart"/>
      <w:r>
        <w:t>civile;</w:t>
      </w:r>
      <w:proofErr w:type="gramEnd"/>
    </w:p>
    <w:p w14:paraId="79769976" w14:textId="77777777" w:rsidR="00297F0C" w:rsidRPr="00297F0C" w:rsidRDefault="00297F0C" w:rsidP="00480EA8">
      <w:pPr>
        <w:numPr>
          <w:ilvl w:val="0"/>
          <w:numId w:val="64"/>
        </w:numPr>
        <w:overflowPunct w:val="0"/>
        <w:autoSpaceDE w:val="0"/>
        <w:autoSpaceDN w:val="0"/>
        <w:adjustRightInd w:val="0"/>
        <w:spacing w:line="276" w:lineRule="auto"/>
        <w:ind w:left="567" w:hanging="567"/>
        <w:textAlignment w:val="baseline"/>
        <w:rPr>
          <w:b/>
          <w:bCs/>
        </w:rPr>
      </w:pPr>
      <w:proofErr w:type="gramStart"/>
      <w:r>
        <w:lastRenderedPageBreak/>
        <w:t>demande</w:t>
      </w:r>
      <w:proofErr w:type="gramEnd"/>
      <w:r>
        <w:t xml:space="preserve"> qu’une attention particulière soit accordée aux acteurs de l’économie sociale, aux femmes et aux jeunes, par le financement, le renforcement des capacités, le soutien juridique, les programmes d’entrepreneuriat et la participation à la gouvernance, tandis que la mobilité de la main-d’œuvre doit respecter les droits de l’homme et éviter la fuite des </w:t>
      </w:r>
      <w:proofErr w:type="gramStart"/>
      <w:r>
        <w:t>cerveaux;</w:t>
      </w:r>
      <w:proofErr w:type="gramEnd"/>
    </w:p>
    <w:p w14:paraId="55EA3EF9" w14:textId="6A17B226" w:rsidR="00297F0C" w:rsidRDefault="00297F0C" w:rsidP="00480EA8">
      <w:pPr>
        <w:numPr>
          <w:ilvl w:val="0"/>
          <w:numId w:val="64"/>
        </w:numPr>
        <w:overflowPunct w:val="0"/>
        <w:autoSpaceDE w:val="0"/>
        <w:autoSpaceDN w:val="0"/>
        <w:adjustRightInd w:val="0"/>
        <w:spacing w:before="100" w:beforeAutospacing="1" w:line="276" w:lineRule="auto"/>
        <w:ind w:left="567" w:hanging="567"/>
        <w:textAlignment w:val="baseline"/>
      </w:pPr>
      <w:proofErr w:type="gramStart"/>
      <w:r>
        <w:t>estime</w:t>
      </w:r>
      <w:proofErr w:type="gramEnd"/>
      <w:r>
        <w:t xml:space="preserve"> que la coordination entre les institutions financières financées par l’Union et les institutions financières internationales devrait être renforcée afin d’améliorer l’impact, et que la création d’une banque de développement régional ou d’un mécanisme financier similaire pourrait contribuer à financer les infrastructures, les MPME, les jeunes pousses et les projets de l’économie sociale avec la participation transparente de la société civile.</w:t>
      </w:r>
    </w:p>
    <w:p w14:paraId="2A1A39EB" w14:textId="77777777" w:rsidR="00A067F3" w:rsidRPr="00297F0C" w:rsidRDefault="00A067F3" w:rsidP="004C6742">
      <w:pPr>
        <w:overflowPunct w:val="0"/>
        <w:autoSpaceDE w:val="0"/>
        <w:autoSpaceDN w:val="0"/>
        <w:adjustRightInd w:val="0"/>
        <w:spacing w:before="100" w:beforeAutospacing="1" w:line="276" w:lineRule="auto"/>
        <w:ind w:left="284"/>
        <w:textAlignment w:val="baseline"/>
        <w:rPr>
          <w:lang w:val="en-GB" w:eastAsia="fr-BE"/>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297F0C" w:rsidRPr="00480EA8" w14:paraId="12ED4367" w14:textId="77777777" w:rsidTr="002E7EFB">
        <w:tc>
          <w:tcPr>
            <w:tcW w:w="1077" w:type="pct"/>
          </w:tcPr>
          <w:p w14:paraId="17C20851" w14:textId="4041C4F3" w:rsidR="00297F0C" w:rsidRPr="00480EA8" w:rsidRDefault="00297F0C">
            <w:pPr>
              <w:overflowPunct w:val="0"/>
              <w:autoSpaceDE w:val="0"/>
              <w:autoSpaceDN w:val="0"/>
              <w:adjustRightInd w:val="0"/>
              <w:textAlignment w:val="baseline"/>
              <w:rPr>
                <w:i/>
                <w:sz w:val="22"/>
                <w:szCs w:val="22"/>
              </w:rPr>
            </w:pPr>
            <w:r w:rsidRPr="00480EA8">
              <w:rPr>
                <w:sz w:val="22"/>
                <w:szCs w:val="22"/>
              </w:rPr>
              <w:br w:type="page"/>
            </w:r>
            <w:r w:rsidRPr="00480EA8">
              <w:rPr>
                <w:b/>
                <w:i/>
                <w:sz w:val="22"/>
                <w:szCs w:val="22"/>
              </w:rPr>
              <w:t>Contact</w:t>
            </w:r>
          </w:p>
        </w:tc>
        <w:tc>
          <w:tcPr>
            <w:tcW w:w="3923" w:type="pct"/>
          </w:tcPr>
          <w:p w14:paraId="01CC3A82" w14:textId="77777777" w:rsidR="00297F0C" w:rsidRPr="00480EA8" w:rsidRDefault="00297F0C" w:rsidP="00297F0C">
            <w:pPr>
              <w:overflowPunct w:val="0"/>
              <w:autoSpaceDE w:val="0"/>
              <w:autoSpaceDN w:val="0"/>
              <w:adjustRightInd w:val="0"/>
              <w:textAlignment w:val="baseline"/>
              <w:rPr>
                <w:i/>
                <w:sz w:val="22"/>
                <w:szCs w:val="22"/>
              </w:rPr>
            </w:pPr>
            <w:r w:rsidRPr="00480EA8">
              <w:rPr>
                <w:i/>
                <w:sz w:val="22"/>
                <w:szCs w:val="22"/>
              </w:rPr>
              <w:t>Andreas Berger</w:t>
            </w:r>
          </w:p>
        </w:tc>
      </w:tr>
      <w:tr w:rsidR="00297F0C" w:rsidRPr="00480EA8" w14:paraId="4DE5DEB6" w14:textId="77777777" w:rsidTr="002E7EFB">
        <w:tc>
          <w:tcPr>
            <w:tcW w:w="1077" w:type="pct"/>
          </w:tcPr>
          <w:p w14:paraId="333F8669" w14:textId="77777777" w:rsidR="00297F0C" w:rsidRPr="00480EA8" w:rsidRDefault="00297F0C" w:rsidP="00634494">
            <w:pPr>
              <w:overflowPunct w:val="0"/>
              <w:autoSpaceDE w:val="0"/>
              <w:autoSpaceDN w:val="0"/>
              <w:adjustRightInd w:val="0"/>
              <w:ind w:left="567"/>
              <w:textAlignment w:val="baseline"/>
              <w:rPr>
                <w:i/>
                <w:sz w:val="22"/>
                <w:szCs w:val="22"/>
              </w:rPr>
            </w:pPr>
            <w:r w:rsidRPr="00480EA8">
              <w:rPr>
                <w:i/>
                <w:sz w:val="22"/>
                <w:szCs w:val="22"/>
              </w:rPr>
              <w:t>Tél.</w:t>
            </w:r>
          </w:p>
        </w:tc>
        <w:tc>
          <w:tcPr>
            <w:tcW w:w="3923" w:type="pct"/>
          </w:tcPr>
          <w:p w14:paraId="27143945" w14:textId="77777777" w:rsidR="00297F0C" w:rsidRPr="00480EA8" w:rsidRDefault="00297F0C" w:rsidP="00297F0C">
            <w:pPr>
              <w:overflowPunct w:val="0"/>
              <w:autoSpaceDE w:val="0"/>
              <w:autoSpaceDN w:val="0"/>
              <w:adjustRightInd w:val="0"/>
              <w:textAlignment w:val="baseline"/>
              <w:rPr>
                <w:i/>
                <w:sz w:val="22"/>
                <w:szCs w:val="22"/>
              </w:rPr>
            </w:pPr>
            <w:r w:rsidRPr="00480EA8">
              <w:rPr>
                <w:i/>
                <w:sz w:val="22"/>
                <w:szCs w:val="22"/>
              </w:rPr>
              <w:t>+32 2 546 9062</w:t>
            </w:r>
          </w:p>
        </w:tc>
      </w:tr>
      <w:tr w:rsidR="00297F0C" w:rsidRPr="00480EA8" w14:paraId="18E1E5AB" w14:textId="77777777" w:rsidTr="002E7EFB">
        <w:tc>
          <w:tcPr>
            <w:tcW w:w="1077" w:type="pct"/>
          </w:tcPr>
          <w:p w14:paraId="069DD35F" w14:textId="77777777" w:rsidR="00297F0C" w:rsidRPr="00480EA8" w:rsidRDefault="00297F0C" w:rsidP="00634494">
            <w:pPr>
              <w:overflowPunct w:val="0"/>
              <w:autoSpaceDE w:val="0"/>
              <w:autoSpaceDN w:val="0"/>
              <w:adjustRightInd w:val="0"/>
              <w:ind w:left="567"/>
              <w:textAlignment w:val="baseline"/>
              <w:rPr>
                <w:i/>
                <w:sz w:val="22"/>
                <w:szCs w:val="22"/>
              </w:rPr>
            </w:pPr>
            <w:r w:rsidRPr="00480EA8">
              <w:rPr>
                <w:i/>
                <w:sz w:val="22"/>
                <w:szCs w:val="22"/>
              </w:rPr>
              <w:t>Courriel</w:t>
            </w:r>
          </w:p>
        </w:tc>
        <w:tc>
          <w:tcPr>
            <w:tcW w:w="3923" w:type="pct"/>
          </w:tcPr>
          <w:p w14:paraId="6FC2A286" w14:textId="6EB5E596" w:rsidR="00297F0C" w:rsidRPr="00480EA8" w:rsidRDefault="00E44636" w:rsidP="00297F0C">
            <w:pPr>
              <w:overflowPunct w:val="0"/>
              <w:autoSpaceDE w:val="0"/>
              <w:autoSpaceDN w:val="0"/>
              <w:adjustRightInd w:val="0"/>
              <w:textAlignment w:val="baseline"/>
              <w:rPr>
                <w:i/>
                <w:sz w:val="22"/>
                <w:szCs w:val="22"/>
              </w:rPr>
            </w:pPr>
            <w:hyperlink r:id="rId70" w:history="1">
              <w:r w:rsidRPr="00480EA8">
                <w:rPr>
                  <w:i/>
                  <w:color w:val="0000FF"/>
                  <w:sz w:val="22"/>
                  <w:szCs w:val="22"/>
                  <w:u w:val="single"/>
                </w:rPr>
                <w:t>Andreas.Berger@eesc.europa.eu</w:t>
              </w:r>
            </w:hyperlink>
            <w:r w:rsidRPr="00480EA8">
              <w:rPr>
                <w:i/>
                <w:sz w:val="22"/>
                <w:szCs w:val="22"/>
              </w:rPr>
              <w:t xml:space="preserve"> </w:t>
            </w:r>
          </w:p>
        </w:tc>
      </w:tr>
    </w:tbl>
    <w:p w14:paraId="12CF0795" w14:textId="1C00578F" w:rsidR="00A067F3" w:rsidRDefault="00A067F3" w:rsidP="0066696D">
      <w:pPr>
        <w:pStyle w:val="ListParagraph"/>
        <w:ind w:left="567" w:hanging="567"/>
        <w:jc w:val="left"/>
      </w:pPr>
    </w:p>
    <w:p w14:paraId="2D336EF8" w14:textId="2934EFAB" w:rsidR="00480EA8" w:rsidRDefault="00480EA8">
      <w:pPr>
        <w:spacing w:after="160" w:line="259" w:lineRule="auto"/>
        <w:jc w:val="left"/>
      </w:pPr>
      <w:r>
        <w:br w:type="page"/>
      </w:r>
    </w:p>
    <w:p w14:paraId="7A64B129" w14:textId="139C6AA9" w:rsidR="00480EA8" w:rsidRPr="00480EA8" w:rsidRDefault="00480EA8" w:rsidP="00480EA8">
      <w:pPr>
        <w:pStyle w:val="Heading1"/>
        <w:rPr>
          <w:b/>
          <w:bCs/>
        </w:rPr>
      </w:pPr>
      <w:bookmarkStart w:id="45" w:name="_Toc229140651"/>
      <w:bookmarkStart w:id="46" w:name="_Toc229140658"/>
      <w:bookmarkStart w:id="47" w:name="_Toc229140659"/>
      <w:bookmarkStart w:id="48" w:name="_Toc230357600"/>
      <w:bookmarkEnd w:id="45"/>
      <w:bookmarkEnd w:id="46"/>
      <w:r w:rsidRPr="00480EA8">
        <w:rPr>
          <w:b/>
          <w:bCs/>
        </w:rPr>
        <w:lastRenderedPageBreak/>
        <w:t>COMMISSION CONSULTATIVE DES MUTATIONS INDUSTRIELLES</w:t>
      </w:r>
      <w:bookmarkEnd w:id="47"/>
      <w:bookmarkEnd w:id="48"/>
    </w:p>
    <w:p w14:paraId="6B74C98A" w14:textId="77777777" w:rsidR="00480EA8" w:rsidRPr="00480EA8" w:rsidRDefault="00480EA8" w:rsidP="00480EA8"/>
    <w:p w14:paraId="1B9F790A" w14:textId="493FE911" w:rsidR="00814A54" w:rsidRPr="00814A54" w:rsidRDefault="00814A54" w:rsidP="00814A54">
      <w:pPr>
        <w:widowControl w:val="0"/>
        <w:numPr>
          <w:ilvl w:val="0"/>
          <w:numId w:val="19"/>
        </w:numPr>
        <w:spacing w:after="200" w:line="276" w:lineRule="auto"/>
        <w:ind w:left="567" w:hanging="567"/>
        <w:contextualSpacing/>
        <w:jc w:val="left"/>
        <w:rPr>
          <w:sz w:val="28"/>
          <w:szCs w:val="28"/>
        </w:rPr>
      </w:pPr>
      <w:hyperlink r:id="rId71" w:history="1">
        <w:r>
          <w:rPr>
            <w:b/>
            <w:i/>
            <w:color w:val="0000FF"/>
            <w:sz w:val="28"/>
            <w:u w:val="single"/>
          </w:rPr>
          <w:t>Programme pour l’innovation agile et rapide dans le domaine de la défense</w:t>
        </w:r>
      </w:hyperlink>
      <w:r>
        <w:t xml:space="preserve"> </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479"/>
      </w:tblGrid>
      <w:tr w:rsidR="00814A54" w:rsidRPr="00480EA8" w14:paraId="37988BA0" w14:textId="77777777" w:rsidTr="00480EA8">
        <w:tc>
          <w:tcPr>
            <w:tcW w:w="1701" w:type="dxa"/>
          </w:tcPr>
          <w:p w14:paraId="44EB374B" w14:textId="77777777" w:rsidR="007173CF" w:rsidRPr="00480EA8" w:rsidRDefault="007173CF" w:rsidP="00814A54">
            <w:pPr>
              <w:tabs>
                <w:tab w:val="center" w:pos="284"/>
              </w:tabs>
              <w:rPr>
                <w:b/>
                <w:sz w:val="22"/>
                <w:szCs w:val="22"/>
              </w:rPr>
            </w:pPr>
          </w:p>
          <w:p w14:paraId="41B7C4EB" w14:textId="77777777" w:rsidR="00814A54" w:rsidRPr="00480EA8" w:rsidRDefault="00814A54" w:rsidP="00814A54">
            <w:pPr>
              <w:tabs>
                <w:tab w:val="center" w:pos="284"/>
              </w:tabs>
              <w:ind w:left="266" w:hanging="266"/>
              <w:rPr>
                <w:b/>
                <w:sz w:val="22"/>
                <w:szCs w:val="22"/>
              </w:rPr>
            </w:pPr>
            <w:r w:rsidRPr="00480EA8">
              <w:rPr>
                <w:b/>
                <w:sz w:val="22"/>
                <w:szCs w:val="22"/>
              </w:rPr>
              <w:t>Rapporteure</w:t>
            </w:r>
          </w:p>
        </w:tc>
        <w:tc>
          <w:tcPr>
            <w:tcW w:w="7479" w:type="dxa"/>
          </w:tcPr>
          <w:p w14:paraId="6883D11C" w14:textId="77777777" w:rsidR="007173CF" w:rsidRPr="00480EA8" w:rsidRDefault="007173CF" w:rsidP="00814A54">
            <w:pPr>
              <w:tabs>
                <w:tab w:val="center" w:pos="284"/>
              </w:tabs>
              <w:ind w:left="266" w:hanging="266"/>
              <w:rPr>
                <w:sz w:val="22"/>
                <w:szCs w:val="22"/>
              </w:rPr>
            </w:pPr>
          </w:p>
          <w:p w14:paraId="1D11312F" w14:textId="073C09C2" w:rsidR="00814A54" w:rsidRPr="00480EA8" w:rsidRDefault="00814A54" w:rsidP="00814A54">
            <w:pPr>
              <w:tabs>
                <w:tab w:val="center" w:pos="284"/>
              </w:tabs>
              <w:ind w:left="266" w:hanging="266"/>
              <w:rPr>
                <w:sz w:val="22"/>
                <w:szCs w:val="22"/>
              </w:rPr>
            </w:pPr>
            <w:r w:rsidRPr="00480EA8">
              <w:rPr>
                <w:sz w:val="22"/>
                <w:szCs w:val="22"/>
              </w:rPr>
              <w:t>Monika SITÁROVÁ (groupe des travailleurs — Slovaquie)</w:t>
            </w:r>
          </w:p>
        </w:tc>
      </w:tr>
      <w:tr w:rsidR="00814A54" w:rsidRPr="00480EA8" w14:paraId="3DB16DB5" w14:textId="77777777" w:rsidTr="00480EA8">
        <w:tc>
          <w:tcPr>
            <w:tcW w:w="1701" w:type="dxa"/>
          </w:tcPr>
          <w:p w14:paraId="723151C3" w14:textId="77777777" w:rsidR="00814A54" w:rsidRPr="00480EA8" w:rsidRDefault="00814A54" w:rsidP="00814A54">
            <w:pPr>
              <w:tabs>
                <w:tab w:val="center" w:pos="284"/>
              </w:tabs>
              <w:ind w:left="266" w:hanging="266"/>
              <w:rPr>
                <w:b/>
                <w:sz w:val="22"/>
                <w:szCs w:val="22"/>
              </w:rPr>
            </w:pPr>
            <w:r w:rsidRPr="00480EA8">
              <w:rPr>
                <w:b/>
                <w:sz w:val="22"/>
                <w:szCs w:val="22"/>
              </w:rPr>
              <w:t>Corapporteure</w:t>
            </w:r>
          </w:p>
        </w:tc>
        <w:tc>
          <w:tcPr>
            <w:tcW w:w="7479" w:type="dxa"/>
          </w:tcPr>
          <w:p w14:paraId="691AA178" w14:textId="77BDBBFF" w:rsidR="00814A54" w:rsidRPr="00480EA8" w:rsidRDefault="00814A54" w:rsidP="00814A54">
            <w:pPr>
              <w:tabs>
                <w:tab w:val="center" w:pos="284"/>
              </w:tabs>
              <w:ind w:left="266" w:hanging="266"/>
              <w:rPr>
                <w:sz w:val="22"/>
                <w:szCs w:val="22"/>
              </w:rPr>
            </w:pPr>
            <w:r w:rsidRPr="00480EA8">
              <w:rPr>
                <w:sz w:val="22"/>
                <w:szCs w:val="22"/>
              </w:rPr>
              <w:t>Srita HEIDE (catégorie 3 — Allemagne)</w:t>
            </w:r>
          </w:p>
        </w:tc>
      </w:tr>
      <w:tr w:rsidR="00814A54" w:rsidRPr="00480EA8" w14:paraId="27D9C93B" w14:textId="77777777" w:rsidTr="00480EA8">
        <w:tc>
          <w:tcPr>
            <w:tcW w:w="9180" w:type="dxa"/>
            <w:gridSpan w:val="2"/>
          </w:tcPr>
          <w:p w14:paraId="5ACA8EEC" w14:textId="77777777" w:rsidR="00814A54" w:rsidRPr="00480EA8" w:rsidRDefault="00814A54" w:rsidP="00814A54">
            <w:pPr>
              <w:tabs>
                <w:tab w:val="center" w:pos="284"/>
              </w:tabs>
              <w:spacing w:line="160" w:lineRule="exact"/>
              <w:ind w:left="266" w:hanging="266"/>
              <w:rPr>
                <w:sz w:val="22"/>
                <w:szCs w:val="22"/>
              </w:rPr>
            </w:pPr>
          </w:p>
        </w:tc>
      </w:tr>
      <w:tr w:rsidR="00814A54" w:rsidRPr="00480EA8" w14:paraId="5AE7EBB6" w14:textId="77777777" w:rsidTr="00480EA8">
        <w:tc>
          <w:tcPr>
            <w:tcW w:w="1701" w:type="dxa"/>
            <w:vMerge w:val="restart"/>
          </w:tcPr>
          <w:p w14:paraId="69099993" w14:textId="77777777" w:rsidR="00814A54" w:rsidRPr="00480EA8" w:rsidRDefault="00814A54" w:rsidP="00814A54">
            <w:pPr>
              <w:tabs>
                <w:tab w:val="center" w:pos="284"/>
              </w:tabs>
              <w:ind w:left="266" w:hanging="266"/>
              <w:rPr>
                <w:b/>
                <w:sz w:val="22"/>
                <w:szCs w:val="22"/>
              </w:rPr>
            </w:pPr>
            <w:r w:rsidRPr="00480EA8">
              <w:rPr>
                <w:b/>
                <w:sz w:val="22"/>
                <w:szCs w:val="22"/>
              </w:rPr>
              <w:t>Références</w:t>
            </w:r>
          </w:p>
        </w:tc>
        <w:tc>
          <w:tcPr>
            <w:tcW w:w="7479" w:type="dxa"/>
          </w:tcPr>
          <w:p w14:paraId="699F0B48" w14:textId="3F25C095" w:rsidR="00BA2BB0" w:rsidRPr="00480EA8" w:rsidRDefault="00BA2BB0" w:rsidP="00814A54">
            <w:pPr>
              <w:tabs>
                <w:tab w:val="center" w:pos="284"/>
              </w:tabs>
              <w:ind w:left="266" w:hanging="266"/>
              <w:rPr>
                <w:sz w:val="22"/>
                <w:szCs w:val="22"/>
              </w:rPr>
            </w:pPr>
            <w:proofErr w:type="gramStart"/>
            <w:r w:rsidRPr="00480EA8">
              <w:rPr>
                <w:sz w:val="22"/>
                <w:szCs w:val="22"/>
              </w:rPr>
              <w:t>COM(</w:t>
            </w:r>
            <w:proofErr w:type="gramEnd"/>
            <w:r w:rsidRPr="00480EA8">
              <w:rPr>
                <w:sz w:val="22"/>
                <w:szCs w:val="22"/>
              </w:rPr>
              <w:t>2026) 135 final</w:t>
            </w:r>
          </w:p>
          <w:p w14:paraId="30557EA2" w14:textId="294C27C9" w:rsidR="00814A54" w:rsidRPr="00480EA8" w:rsidRDefault="00814A54" w:rsidP="00814A54">
            <w:pPr>
              <w:tabs>
                <w:tab w:val="center" w:pos="284"/>
              </w:tabs>
              <w:ind w:left="266" w:hanging="266"/>
              <w:rPr>
                <w:sz w:val="22"/>
                <w:szCs w:val="22"/>
              </w:rPr>
            </w:pPr>
            <w:r w:rsidRPr="00480EA8">
              <w:rPr>
                <w:sz w:val="22"/>
                <w:szCs w:val="22"/>
              </w:rPr>
              <w:t>EESC-2026-01126-00-00-AC</w:t>
            </w:r>
          </w:p>
        </w:tc>
      </w:tr>
      <w:tr w:rsidR="00814A54" w:rsidRPr="00814A54" w14:paraId="15CB02A5" w14:textId="77777777" w:rsidTr="00480EA8">
        <w:tc>
          <w:tcPr>
            <w:tcW w:w="1701" w:type="dxa"/>
            <w:vMerge/>
          </w:tcPr>
          <w:p w14:paraId="0E4A7D50" w14:textId="77777777" w:rsidR="00814A54" w:rsidRPr="00814A54" w:rsidRDefault="00814A54" w:rsidP="00814A54">
            <w:pPr>
              <w:tabs>
                <w:tab w:val="center" w:pos="284"/>
              </w:tabs>
              <w:ind w:left="266" w:hanging="266"/>
              <w:rPr>
                <w:b/>
              </w:rPr>
            </w:pPr>
          </w:p>
        </w:tc>
        <w:tc>
          <w:tcPr>
            <w:tcW w:w="7479" w:type="dxa"/>
          </w:tcPr>
          <w:p w14:paraId="5AB61185" w14:textId="77777777" w:rsidR="00814A54" w:rsidRPr="00814A54" w:rsidRDefault="00814A54" w:rsidP="00814A54">
            <w:pPr>
              <w:tabs>
                <w:tab w:val="center" w:pos="284"/>
              </w:tabs>
              <w:ind w:left="266" w:hanging="266"/>
            </w:pPr>
          </w:p>
        </w:tc>
      </w:tr>
    </w:tbl>
    <w:p w14:paraId="283139ED" w14:textId="77777777" w:rsidR="00814A54" w:rsidRPr="00814A54" w:rsidRDefault="00814A54" w:rsidP="00814A54">
      <w:pPr>
        <w:keepNext/>
        <w:keepLines/>
        <w:tabs>
          <w:tab w:val="center" w:pos="284"/>
        </w:tabs>
        <w:ind w:left="266" w:hanging="266"/>
        <w:rPr>
          <w:b/>
        </w:rPr>
      </w:pPr>
      <w:r>
        <w:rPr>
          <w:b/>
        </w:rPr>
        <w:t>Points clés</w:t>
      </w:r>
    </w:p>
    <w:p w14:paraId="0388059A" w14:textId="77777777" w:rsidR="00814A54" w:rsidRPr="00814A54" w:rsidRDefault="00814A54" w:rsidP="00814A54">
      <w:pPr>
        <w:keepNext/>
        <w:keepLines/>
        <w:tabs>
          <w:tab w:val="center" w:pos="284"/>
        </w:tabs>
        <w:ind w:left="266" w:hanging="266"/>
        <w:rPr>
          <w:b/>
        </w:rPr>
      </w:pPr>
    </w:p>
    <w:p w14:paraId="144BA9E2" w14:textId="77777777" w:rsidR="00814A54" w:rsidRPr="00814A54" w:rsidRDefault="00814A54" w:rsidP="00814A54">
      <w:pPr>
        <w:keepNext/>
        <w:keepLines/>
        <w:tabs>
          <w:tab w:val="center" w:pos="284"/>
        </w:tabs>
        <w:ind w:left="266" w:hanging="266"/>
        <w:rPr>
          <w:bCs/>
        </w:rPr>
      </w:pPr>
      <w:r>
        <w:t xml:space="preserve">Le </w:t>
      </w:r>
      <w:proofErr w:type="gramStart"/>
      <w:r>
        <w:t>CESE:</w:t>
      </w:r>
      <w:proofErr w:type="gramEnd"/>
    </w:p>
    <w:p w14:paraId="35C0FAC6" w14:textId="77777777" w:rsidR="00814A54" w:rsidRDefault="00814A54" w:rsidP="00814A54">
      <w:pPr>
        <w:keepNext/>
        <w:keepLines/>
        <w:tabs>
          <w:tab w:val="center" w:pos="284"/>
        </w:tabs>
        <w:ind w:left="266" w:hanging="266"/>
        <w:rPr>
          <w:bCs/>
        </w:rPr>
      </w:pPr>
    </w:p>
    <w:p w14:paraId="6F466720" w14:textId="77221A83" w:rsidR="00FB30D5" w:rsidRPr="00FB30D5" w:rsidRDefault="00FB30D5" w:rsidP="00FB30D5">
      <w:pPr>
        <w:pStyle w:val="ListParagraph"/>
        <w:numPr>
          <w:ilvl w:val="0"/>
          <w:numId w:val="78"/>
        </w:numPr>
        <w:ind w:left="567" w:hanging="567"/>
        <w:rPr>
          <w:szCs w:val="20"/>
        </w:rPr>
      </w:pPr>
      <w:bookmarkStart w:id="49" w:name="_Toc228805457"/>
      <w:proofErr w:type="gramStart"/>
      <w:r>
        <w:t>soutient</w:t>
      </w:r>
      <w:proofErr w:type="gramEnd"/>
      <w:r>
        <w:t xml:space="preserve"> les efforts visant à améliorer la rapidité, la réactivité et la capacité d’innovation de la base industrielle et technologique de défense européenne (BITDE) à la lumière de l’évolution de l’environnement de sécurité, et se félicite dès lors du cadre de défense AGILE proposé par la </w:t>
      </w:r>
      <w:proofErr w:type="gramStart"/>
      <w:r>
        <w:t>Commission;</w:t>
      </w:r>
      <w:bookmarkEnd w:id="49"/>
      <w:proofErr w:type="gramEnd"/>
    </w:p>
    <w:p w14:paraId="6A3A8C0C" w14:textId="2253CEAD" w:rsidR="00FB30D5" w:rsidRPr="00FB30D5" w:rsidRDefault="00FB30D5" w:rsidP="00FB30D5">
      <w:pPr>
        <w:pStyle w:val="ListParagraph"/>
        <w:numPr>
          <w:ilvl w:val="0"/>
          <w:numId w:val="78"/>
        </w:numPr>
        <w:ind w:left="567" w:hanging="567"/>
        <w:rPr>
          <w:szCs w:val="20"/>
        </w:rPr>
      </w:pPr>
      <w:bookmarkStart w:id="50" w:name="_Toc228805458"/>
      <w:proofErr w:type="gramStart"/>
      <w:r>
        <w:t>accueille</w:t>
      </w:r>
      <w:proofErr w:type="gramEnd"/>
      <w:r>
        <w:t xml:space="preserve"> favorablement le programme AGILE comme une plateforme devant permettre aux PME, </w:t>
      </w:r>
      <w:proofErr w:type="gramStart"/>
      <w:r>
        <w:t>aux start-up</w:t>
      </w:r>
      <w:proofErr w:type="gramEnd"/>
      <w:r>
        <w:t xml:space="preserve"> ainsi qu’aux entreprises et entrepreneurs de technologie civile de fournir des solutions rapides et de qualité pour la préparation de l’UE en matière de défense. Le Comité souligne le rôle important des nouveaux acteurs de la défense dans la transformation de l’industrie de la défense </w:t>
      </w:r>
      <w:proofErr w:type="gramStart"/>
      <w:r>
        <w:t>européenne;</w:t>
      </w:r>
      <w:bookmarkEnd w:id="50"/>
      <w:proofErr w:type="gramEnd"/>
    </w:p>
    <w:p w14:paraId="3AD50807" w14:textId="3CC15AD5" w:rsidR="00FB30D5" w:rsidRPr="00FB30D5" w:rsidRDefault="00FB30D5" w:rsidP="00FB30D5">
      <w:pPr>
        <w:pStyle w:val="ListParagraph"/>
        <w:numPr>
          <w:ilvl w:val="0"/>
          <w:numId w:val="78"/>
        </w:numPr>
        <w:ind w:left="567" w:hanging="567"/>
        <w:rPr>
          <w:szCs w:val="20"/>
        </w:rPr>
      </w:pPr>
      <w:bookmarkStart w:id="51" w:name="_Toc228805459"/>
      <w:proofErr w:type="gramStart"/>
      <w:r>
        <w:t>précise</w:t>
      </w:r>
      <w:proofErr w:type="gramEnd"/>
      <w:r>
        <w:t xml:space="preserve"> que l’accélération ne peut se faire au détriment de la transparence, de l’obligation de rendre des comptes et du contrôle démocratique, qui demeurent essentiels pour la légitimité et l’efficacité de l’action de </w:t>
      </w:r>
      <w:proofErr w:type="gramStart"/>
      <w:r>
        <w:t>l’Union;</w:t>
      </w:r>
      <w:bookmarkEnd w:id="51"/>
      <w:proofErr w:type="gramEnd"/>
    </w:p>
    <w:p w14:paraId="39EC649A" w14:textId="25D55E66" w:rsidR="00FB30D5" w:rsidRPr="00FB30D5" w:rsidRDefault="00FB30D5" w:rsidP="00FB30D5">
      <w:pPr>
        <w:pStyle w:val="ListParagraph"/>
        <w:numPr>
          <w:ilvl w:val="0"/>
          <w:numId w:val="78"/>
        </w:numPr>
        <w:ind w:left="567" w:hanging="567"/>
        <w:rPr>
          <w:szCs w:val="20"/>
        </w:rPr>
      </w:pPr>
      <w:bookmarkStart w:id="52" w:name="_Toc228805460"/>
      <w:proofErr w:type="gramStart"/>
      <w:r>
        <w:t>demande</w:t>
      </w:r>
      <w:proofErr w:type="gramEnd"/>
      <w:r>
        <w:t xml:space="preserve"> que les financements au titre d’AGILE viennent s’ajouter aux programmes actuels de défense de l’Union. Le Comité recommande d’augmenter considérablement le budget de cet instrument au cours de la période couverte par le prochain cadre financier pluriannuel, en fonction des résultats de l’évaluation du programme </w:t>
      </w:r>
      <w:proofErr w:type="gramStart"/>
      <w:r>
        <w:t>pilote;</w:t>
      </w:r>
      <w:bookmarkEnd w:id="52"/>
      <w:proofErr w:type="gramEnd"/>
    </w:p>
    <w:p w14:paraId="7E54CB61" w14:textId="3E60667D" w:rsidR="00FB30D5" w:rsidRPr="00FB30D5" w:rsidRDefault="00FB30D5" w:rsidP="00FB30D5">
      <w:pPr>
        <w:pStyle w:val="ListParagraph"/>
        <w:numPr>
          <w:ilvl w:val="0"/>
          <w:numId w:val="78"/>
        </w:numPr>
        <w:ind w:left="567" w:hanging="567"/>
        <w:rPr>
          <w:szCs w:val="20"/>
        </w:rPr>
      </w:pPr>
      <w:bookmarkStart w:id="53" w:name="_Toc228805461"/>
      <w:proofErr w:type="gramStart"/>
      <w:r>
        <w:t>recommande</w:t>
      </w:r>
      <w:proofErr w:type="gramEnd"/>
      <w:r>
        <w:t xml:space="preserve"> d’insérer des dispositions visant à garantir que les procédures de communication, de sélection et d’évaluation liées au programme AGILE associent de manière proactive les PME, </w:t>
      </w:r>
      <w:proofErr w:type="gramStart"/>
      <w:r>
        <w:t>les start-up</w:t>
      </w:r>
      <w:proofErr w:type="gramEnd"/>
      <w:r>
        <w:t xml:space="preserve"> et les entreprises individuelles innovantes de tous les États membres et de tous les secteurs, en vue de renforcer l’équilibre géographique et l’inclusion dans l’ensemble de </w:t>
      </w:r>
      <w:proofErr w:type="gramStart"/>
      <w:r>
        <w:t>l’Union;</w:t>
      </w:r>
      <w:bookmarkEnd w:id="53"/>
      <w:proofErr w:type="gramEnd"/>
    </w:p>
    <w:p w14:paraId="65079BC8" w14:textId="608783B6" w:rsidR="00FB30D5" w:rsidRPr="00FB30D5" w:rsidRDefault="00FB30D5" w:rsidP="00FB30D5">
      <w:pPr>
        <w:pStyle w:val="ListParagraph"/>
        <w:numPr>
          <w:ilvl w:val="0"/>
          <w:numId w:val="78"/>
        </w:numPr>
        <w:ind w:left="567" w:hanging="567"/>
        <w:rPr>
          <w:szCs w:val="20"/>
        </w:rPr>
      </w:pPr>
      <w:bookmarkStart w:id="54" w:name="_Toc228805462"/>
      <w:proofErr w:type="gramStart"/>
      <w:r>
        <w:t>préconise</w:t>
      </w:r>
      <w:proofErr w:type="gramEnd"/>
      <w:r>
        <w:t xml:space="preserve"> d’introduire des mesures solides et exécutoires pour garantir le respect effectif de l’article 9, paragraphe 5, relatif à l’éligibilité. Afin de préserver l’autonomie stratégique de l’Union et ses intérêts en matière de sécurité, cet article devrait clarifier et durcir explicitement les critères </w:t>
      </w:r>
      <w:proofErr w:type="gramStart"/>
      <w:r>
        <w:t>d’exclusion;</w:t>
      </w:r>
      <w:bookmarkEnd w:id="54"/>
      <w:proofErr w:type="gramEnd"/>
    </w:p>
    <w:p w14:paraId="00FFE0BB" w14:textId="7953CDC8" w:rsidR="00FB30D5" w:rsidRPr="00FB30D5" w:rsidRDefault="00FB30D5" w:rsidP="00FB30D5">
      <w:pPr>
        <w:pStyle w:val="ListParagraph"/>
        <w:numPr>
          <w:ilvl w:val="0"/>
          <w:numId w:val="78"/>
        </w:numPr>
        <w:ind w:left="567" w:hanging="567"/>
        <w:rPr>
          <w:szCs w:val="20"/>
        </w:rPr>
      </w:pPr>
      <w:bookmarkStart w:id="55" w:name="_Toc228805463"/>
      <w:proofErr w:type="gramStart"/>
      <w:r>
        <w:t>recommande</w:t>
      </w:r>
      <w:proofErr w:type="gramEnd"/>
      <w:r>
        <w:t xml:space="preserve"> que les projets AGILE soient fermement guidés par des exigences clairement définies en matière de capacités de défense et qu’ils correspondent précisément aux besoins des utilisateurs </w:t>
      </w:r>
      <w:proofErr w:type="gramStart"/>
      <w:r>
        <w:t>finaux;</w:t>
      </w:r>
      <w:proofErr w:type="gramEnd"/>
      <w:r>
        <w:t xml:space="preserve"> souligne que les projets AGILE devraient avoir accès à des environnements d’essai en conditions réelles, notamment des exercices militaires et des terrains d’essai, afin de valider les solutions en conditions opérationnelles et d’accélérer leur </w:t>
      </w:r>
      <w:proofErr w:type="gramStart"/>
      <w:r>
        <w:t>adoption;</w:t>
      </w:r>
      <w:bookmarkEnd w:id="55"/>
      <w:proofErr w:type="gramEnd"/>
    </w:p>
    <w:p w14:paraId="6F48D075" w14:textId="36B1A677" w:rsidR="00FB30D5" w:rsidRPr="0041766F" w:rsidRDefault="00FB30D5" w:rsidP="00FB30D5">
      <w:pPr>
        <w:pStyle w:val="ListParagraph"/>
        <w:numPr>
          <w:ilvl w:val="0"/>
          <w:numId w:val="78"/>
        </w:numPr>
        <w:ind w:left="567" w:hanging="567"/>
        <w:rPr>
          <w:szCs w:val="20"/>
        </w:rPr>
      </w:pPr>
      <w:bookmarkStart w:id="56" w:name="_Toc228805464"/>
      <w:proofErr w:type="gramStart"/>
      <w:r>
        <w:lastRenderedPageBreak/>
        <w:t>demande</w:t>
      </w:r>
      <w:proofErr w:type="gramEnd"/>
      <w:r>
        <w:t xml:space="preserve"> que le respect de la législation de l’Union en matière sociale, environnementale et de travail soit explicitement intégré dans la mise en œuvre d’AGILE. Le Comité souligne que la participation au programme AGILE devrait être subordonnée à des engagements en faveur du développement des compétences, d’emplois de qualité et du plein respect des droits des travailleurs, conformément au modèle social européen.</w:t>
      </w:r>
      <w:bookmarkEnd w:id="56"/>
    </w:p>
    <w:p w14:paraId="314CEDAA" w14:textId="77777777" w:rsidR="00FB30D5" w:rsidRDefault="00FB30D5" w:rsidP="00814A54">
      <w:pPr>
        <w:keepNext/>
        <w:keepLines/>
        <w:tabs>
          <w:tab w:val="center" w:pos="284"/>
        </w:tabs>
        <w:ind w:left="266" w:hanging="266"/>
        <w:rPr>
          <w:bCs/>
        </w:rPr>
      </w:pP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5670"/>
      </w:tblGrid>
      <w:tr w:rsidR="00814A54" w:rsidRPr="00480EA8" w14:paraId="5B60E629" w14:textId="77777777" w:rsidTr="002E7EFB">
        <w:tc>
          <w:tcPr>
            <w:tcW w:w="1418" w:type="dxa"/>
          </w:tcPr>
          <w:p w14:paraId="59F261E2" w14:textId="77777777" w:rsidR="00814A54" w:rsidRPr="00480EA8" w:rsidRDefault="00814A54" w:rsidP="00814A54">
            <w:pPr>
              <w:spacing w:line="240" w:lineRule="auto"/>
              <w:rPr>
                <w:i/>
                <w:sz w:val="22"/>
                <w:szCs w:val="22"/>
              </w:rPr>
            </w:pPr>
            <w:r w:rsidRPr="00480EA8">
              <w:rPr>
                <w:b/>
                <w:i/>
                <w:sz w:val="22"/>
                <w:szCs w:val="22"/>
              </w:rPr>
              <w:t>Contact</w:t>
            </w:r>
          </w:p>
        </w:tc>
        <w:tc>
          <w:tcPr>
            <w:tcW w:w="5670" w:type="dxa"/>
          </w:tcPr>
          <w:p w14:paraId="42A1FC82" w14:textId="7A465A63" w:rsidR="00814A54" w:rsidRPr="00480EA8" w:rsidRDefault="00814A54" w:rsidP="00814A54">
            <w:pPr>
              <w:spacing w:line="240" w:lineRule="auto"/>
              <w:rPr>
                <w:bCs/>
                <w:i/>
                <w:sz w:val="22"/>
                <w:szCs w:val="22"/>
              </w:rPr>
            </w:pPr>
            <w:r w:rsidRPr="00480EA8">
              <w:rPr>
                <w:i/>
                <w:sz w:val="22"/>
                <w:szCs w:val="22"/>
              </w:rPr>
              <w:t>Ioannis Diamantopoulos</w:t>
            </w:r>
          </w:p>
        </w:tc>
      </w:tr>
      <w:tr w:rsidR="00814A54" w:rsidRPr="00480EA8" w14:paraId="7C2F36B8" w14:textId="77777777" w:rsidTr="002E7EFB">
        <w:tc>
          <w:tcPr>
            <w:tcW w:w="1418" w:type="dxa"/>
          </w:tcPr>
          <w:p w14:paraId="2F6A920E" w14:textId="77777777" w:rsidR="00814A54" w:rsidRPr="00480EA8" w:rsidRDefault="00814A54" w:rsidP="00634494">
            <w:pPr>
              <w:spacing w:line="240" w:lineRule="auto"/>
              <w:ind w:left="567"/>
              <w:rPr>
                <w:i/>
                <w:sz w:val="22"/>
                <w:szCs w:val="22"/>
              </w:rPr>
            </w:pPr>
            <w:r w:rsidRPr="00480EA8">
              <w:rPr>
                <w:i/>
                <w:sz w:val="22"/>
                <w:szCs w:val="22"/>
              </w:rPr>
              <w:t>Tél.</w:t>
            </w:r>
          </w:p>
        </w:tc>
        <w:tc>
          <w:tcPr>
            <w:tcW w:w="5670" w:type="dxa"/>
          </w:tcPr>
          <w:p w14:paraId="2671F0CA" w14:textId="77777777" w:rsidR="00814A54" w:rsidRPr="00480EA8" w:rsidRDefault="00814A54" w:rsidP="00814A54">
            <w:pPr>
              <w:spacing w:line="240" w:lineRule="auto"/>
              <w:rPr>
                <w:i/>
                <w:sz w:val="22"/>
                <w:szCs w:val="22"/>
              </w:rPr>
            </w:pPr>
            <w:r w:rsidRPr="00480EA8">
              <w:rPr>
                <w:i/>
                <w:sz w:val="22"/>
                <w:szCs w:val="22"/>
              </w:rPr>
              <w:t>+32 2 546 9170</w:t>
            </w:r>
          </w:p>
        </w:tc>
      </w:tr>
      <w:tr w:rsidR="00814A54" w:rsidRPr="00480EA8" w14:paraId="7A81BD47" w14:textId="77777777" w:rsidTr="002E7EFB">
        <w:trPr>
          <w:trHeight w:val="244"/>
        </w:trPr>
        <w:tc>
          <w:tcPr>
            <w:tcW w:w="1418" w:type="dxa"/>
          </w:tcPr>
          <w:p w14:paraId="3A5319AB" w14:textId="77777777" w:rsidR="00814A54" w:rsidRPr="00480EA8" w:rsidRDefault="00814A54" w:rsidP="00634494">
            <w:pPr>
              <w:spacing w:line="240" w:lineRule="auto"/>
              <w:ind w:left="567"/>
              <w:rPr>
                <w:i/>
                <w:sz w:val="22"/>
                <w:szCs w:val="22"/>
              </w:rPr>
            </w:pPr>
            <w:r w:rsidRPr="00480EA8">
              <w:rPr>
                <w:i/>
                <w:sz w:val="22"/>
                <w:szCs w:val="22"/>
              </w:rPr>
              <w:t>Courriel</w:t>
            </w:r>
          </w:p>
        </w:tc>
        <w:tc>
          <w:tcPr>
            <w:tcW w:w="5670" w:type="dxa"/>
          </w:tcPr>
          <w:p w14:paraId="210C9375" w14:textId="4529E587" w:rsidR="00814A54" w:rsidRPr="00480EA8" w:rsidRDefault="00E44636" w:rsidP="00814A54">
            <w:pPr>
              <w:spacing w:line="240" w:lineRule="auto"/>
              <w:rPr>
                <w:i/>
                <w:sz w:val="22"/>
                <w:szCs w:val="22"/>
              </w:rPr>
            </w:pPr>
            <w:hyperlink r:id="rId72" w:history="1">
              <w:r w:rsidRPr="00480EA8">
                <w:rPr>
                  <w:i/>
                  <w:color w:val="0000FF"/>
                  <w:sz w:val="22"/>
                  <w:szCs w:val="22"/>
                  <w:u w:val="single"/>
                </w:rPr>
                <w:t>Ioannis.Diamantopoulos@eesc.europa.eu</w:t>
              </w:r>
            </w:hyperlink>
          </w:p>
        </w:tc>
      </w:tr>
    </w:tbl>
    <w:p w14:paraId="0FA13A3E" w14:textId="77777777" w:rsidR="006D2C8A" w:rsidRDefault="006D2C8A" w:rsidP="001766B2">
      <w:pPr>
        <w:jc w:val="left"/>
      </w:pPr>
    </w:p>
    <w:p w14:paraId="2E28EF19" w14:textId="65CAFCC1" w:rsidR="000D394D" w:rsidRPr="001766B2" w:rsidRDefault="001766B2" w:rsidP="001766B2">
      <w:pPr>
        <w:overflowPunct w:val="0"/>
        <w:autoSpaceDE w:val="0"/>
        <w:autoSpaceDN w:val="0"/>
        <w:adjustRightInd w:val="0"/>
        <w:jc w:val="center"/>
        <w:textAlignment w:val="baseline"/>
      </w:pPr>
      <w:r>
        <w:t>_____________</w:t>
      </w:r>
    </w:p>
    <w:sectPr w:rsidR="000D394D" w:rsidRPr="001766B2" w:rsidSect="00D40A83">
      <w:footerReference w:type="even" r:id="rId73"/>
      <w:footerReference w:type="default" r:id="rId74"/>
      <w:footerReference w:type="first" r:id="rId7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B042F" w14:textId="77777777" w:rsidR="00657301" w:rsidRDefault="00657301" w:rsidP="00B518C9">
      <w:pPr>
        <w:spacing w:line="240" w:lineRule="auto"/>
      </w:pPr>
      <w:r>
        <w:separator/>
      </w:r>
    </w:p>
  </w:endnote>
  <w:endnote w:type="continuationSeparator" w:id="0">
    <w:p w14:paraId="76605F72" w14:textId="77777777" w:rsidR="00657301" w:rsidRDefault="00657301"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9A33" w14:textId="77777777" w:rsidR="00A067F3" w:rsidRDefault="00A067F3" w:rsidP="00A06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DE51" w14:textId="017FB3A5" w:rsidR="00B518C9"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rsidR="0004480F">
      <w:t>1</w:t>
    </w:r>
    <w:r>
      <w:fldChar w:fldCharType="end"/>
    </w:r>
    <w:r>
      <w:t>/</w:t>
    </w:r>
    <w:fldSimple w:instr=" NUMPAGES ">
      <w:r w:rsidR="0004480F">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741D" w14:textId="77777777" w:rsidR="00A067F3" w:rsidRDefault="00A067F3" w:rsidP="00A067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2857" w14:textId="77777777" w:rsidR="00A067F3" w:rsidRDefault="00A067F3" w:rsidP="00A067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16DF" w14:textId="26CF0E5F" w:rsidR="00A067F3"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t>1</w:t>
    </w:r>
    <w:r>
      <w:fldChar w:fldCharType="end"/>
    </w:r>
    <w:r>
      <w:t>/</w:t>
    </w:r>
    <w:fldSimple w:instr=" NUMPAGES ">
      <w:r>
        <w:t>33</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57FD" w14:textId="77777777" w:rsidR="00A067F3" w:rsidRDefault="00A067F3" w:rsidP="00A06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78846" w14:textId="77777777" w:rsidR="00657301" w:rsidRDefault="00657301" w:rsidP="00B518C9">
      <w:pPr>
        <w:spacing w:line="240" w:lineRule="auto"/>
      </w:pPr>
      <w:r>
        <w:separator/>
      </w:r>
    </w:p>
  </w:footnote>
  <w:footnote w:type="continuationSeparator" w:id="0">
    <w:p w14:paraId="5E82F475" w14:textId="77777777" w:rsidR="00657301" w:rsidRDefault="00657301" w:rsidP="00B518C9">
      <w:pPr>
        <w:spacing w:line="240" w:lineRule="auto"/>
      </w:pPr>
      <w:r>
        <w:continuationSeparator/>
      </w:r>
    </w:p>
  </w:footnote>
  <w:footnote w:id="1">
    <w:p w14:paraId="2376B8F7" w14:textId="77777777" w:rsidR="00FB30D5" w:rsidRPr="00BD72B3" w:rsidRDefault="00FB30D5" w:rsidP="00FB30D5">
      <w:pPr>
        <w:pStyle w:val="FootnoteText"/>
      </w:pPr>
      <w:r>
        <w:rPr>
          <w:rStyle w:val="FootnoteReference"/>
        </w:rPr>
        <w:footnoteRef/>
      </w:r>
      <w:r>
        <w:tab/>
        <w:t xml:space="preserve">JO C, C/2024/6880, 28.11.2024, </w:t>
      </w:r>
      <w:proofErr w:type="gramStart"/>
      <w:r>
        <w:t>ELI:</w:t>
      </w:r>
      <w:proofErr w:type="gramEnd"/>
      <w:r>
        <w:t xml:space="preserve"> </w:t>
      </w:r>
      <w:hyperlink r:id="rId1" w:history="1">
        <w:r>
          <w:rPr>
            <w:rStyle w:val="Hyperlink"/>
          </w:rPr>
          <w:t>http://data.europa.eu/eli/C/2024/6880/oj</w:t>
        </w:r>
      </w:hyperlink>
      <w:r>
        <w:t>.</w:t>
      </w:r>
    </w:p>
  </w:footnote>
  <w:footnote w:id="2">
    <w:p w14:paraId="6A5DF5FB" w14:textId="636213EF" w:rsidR="002B30F4" w:rsidRDefault="002B30F4" w:rsidP="002B30F4">
      <w:pPr>
        <w:pStyle w:val="FootnoteText"/>
      </w:pPr>
      <w:r>
        <w:rPr>
          <w:rStyle w:val="FootnoteReference"/>
        </w:rPr>
        <w:footnoteRef/>
      </w:r>
      <w:r>
        <w:tab/>
        <w:t>Avis du CESE sur le thème «</w:t>
      </w:r>
      <w:hyperlink r:id="rId2" w:history="1">
        <w:r>
          <w:rPr>
            <w:rStyle w:val="Hyperlink"/>
            <w:i/>
          </w:rPr>
          <w:t>Équivalence des inspections – semences du Brésil et de la Moldavie (modification)</w:t>
        </w:r>
      </w:hyperlink>
      <w:r>
        <w:t xml:space="preserve">», </w:t>
      </w:r>
      <w:hyperlink r:id="rId3" w:history="1">
        <w:r>
          <w:rPr>
            <w:rStyle w:val="Hyperlink"/>
          </w:rPr>
          <w:t>JO C 227 du 28.06.2018, p. 76-77</w:t>
        </w:r>
      </w:hyperlink>
      <w:r>
        <w:t>.</w:t>
      </w:r>
    </w:p>
  </w:footnote>
  <w:footnote w:id="3">
    <w:p w14:paraId="31B28570" w14:textId="0DD0CBB4" w:rsidR="002B30F4" w:rsidRDefault="002B30F4" w:rsidP="002B30F4">
      <w:pPr>
        <w:pStyle w:val="FootnoteText"/>
      </w:pPr>
      <w:r>
        <w:rPr>
          <w:rStyle w:val="FootnoteReference"/>
        </w:rPr>
        <w:footnoteRef/>
      </w:r>
      <w:r>
        <w:tab/>
        <w:t>Avis du CESE sur le thème «</w:t>
      </w:r>
      <w:hyperlink r:id="rId4" w:history="1">
        <w:r>
          <w:rPr>
            <w:rStyle w:val="Hyperlink"/>
            <w:i/>
          </w:rPr>
          <w:t>Équivalence des inspections – semences de céréales en Ukraine</w:t>
        </w:r>
      </w:hyperlink>
      <w:r>
        <w:t xml:space="preserve">», </w:t>
      </w:r>
      <w:hyperlink r:id="rId5" w:history="1">
        <w:r>
          <w:rPr>
            <w:rStyle w:val="Hyperlink"/>
          </w:rPr>
          <w:t>JO C 429 du 11.12.2020, p. 276</w:t>
        </w:r>
      </w:hyperlink>
      <w:r>
        <w:t>.</w:t>
      </w:r>
    </w:p>
  </w:footnote>
  <w:footnote w:id="4">
    <w:p w14:paraId="704BA872" w14:textId="56945589" w:rsidR="008548EA" w:rsidRDefault="008548EA" w:rsidP="008548EA">
      <w:pPr>
        <w:pStyle w:val="FootnoteText"/>
      </w:pPr>
      <w:r>
        <w:rPr>
          <w:rStyle w:val="FootnoteReference"/>
        </w:rPr>
        <w:footnoteRef/>
      </w:r>
      <w:r>
        <w:tab/>
        <w:t>Avis du CESE sur la «</w:t>
      </w:r>
      <w:hyperlink r:id="rId6">
        <w:r>
          <w:rPr>
            <w:rStyle w:val="Hyperlink"/>
          </w:rPr>
          <w:t>Révision du système d’échange de quotas d’émission de l’UE (SEQE), y compris le transport maritime et la réserve de stabilité du marché</w:t>
        </w:r>
      </w:hyperlink>
      <w:r>
        <w:t xml:space="preserve">», </w:t>
      </w:r>
      <w:hyperlink r:id="rId7">
        <w:r>
          <w:rPr>
            <w:rStyle w:val="Hyperlink"/>
          </w:rPr>
          <w:t>JO C 152 du 6.4.2022, p. 175</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5A0A" w14:textId="77777777" w:rsidR="00A067F3" w:rsidRDefault="00A06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0B92" w14:textId="77777777" w:rsidR="00A067F3" w:rsidRDefault="00A06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5DC4" w14:textId="77777777" w:rsidR="00A067F3" w:rsidRDefault="00A06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52C9E3E"/>
    <w:lvl w:ilvl="0">
      <w:start w:val="1"/>
      <w:numFmt w:val="decimal"/>
      <w:pStyle w:val="Heading1"/>
      <w:lvlText w:val="%1."/>
      <w:legacy w:legacy="1" w:legacySpace="0" w:legacyIndent="0"/>
      <w:lvlJc w:val="left"/>
      <w:rPr>
        <w:b w:val="0"/>
        <w:bCs/>
      </w:r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BAB073A6"/>
    <w:lvl w:ilvl="0">
      <w:numFmt w:val="decimal"/>
      <w:lvlText w:val="*"/>
      <w:lvlJc w:val="left"/>
    </w:lvl>
  </w:abstractNum>
  <w:abstractNum w:abstractNumId="2" w15:restartNumberingAfterBreak="0">
    <w:nsid w:val="02E401AE"/>
    <w:multiLevelType w:val="singleLevel"/>
    <w:tmpl w:val="BAB073A6"/>
    <w:lvl w:ilvl="0">
      <w:numFmt w:val="decimal"/>
      <w:lvlText w:val="*"/>
      <w:lvlJc w:val="left"/>
    </w:lvl>
  </w:abstractNum>
  <w:abstractNum w:abstractNumId="3" w15:restartNumberingAfterBreak="0">
    <w:nsid w:val="06B5704A"/>
    <w:multiLevelType w:val="hybridMultilevel"/>
    <w:tmpl w:val="E1367E7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5D01F2"/>
    <w:multiLevelType w:val="hybridMultilevel"/>
    <w:tmpl w:val="9FC85D9C"/>
    <w:lvl w:ilvl="0" w:tplc="FFFFFFFF">
      <w:start w:val="1"/>
      <w:numFmt w:val="bullet"/>
      <w:lvlText w:val=""/>
      <w:lvlJc w:val="left"/>
      <w:pPr>
        <w:ind w:left="644"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099D084D"/>
    <w:multiLevelType w:val="hybridMultilevel"/>
    <w:tmpl w:val="520C034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B392AF6"/>
    <w:multiLevelType w:val="hybridMultilevel"/>
    <w:tmpl w:val="99BC296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0CC636AC"/>
    <w:multiLevelType w:val="hybridMultilevel"/>
    <w:tmpl w:val="230CF7A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8F5275E"/>
    <w:multiLevelType w:val="hybridMultilevel"/>
    <w:tmpl w:val="01A454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1823DB9"/>
    <w:multiLevelType w:val="hybridMultilevel"/>
    <w:tmpl w:val="16D43C00"/>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20A1150"/>
    <w:multiLevelType w:val="hybridMultilevel"/>
    <w:tmpl w:val="EE26D73E"/>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C144FA"/>
    <w:multiLevelType w:val="hybridMultilevel"/>
    <w:tmpl w:val="A9C6870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100E8D"/>
    <w:multiLevelType w:val="multilevel"/>
    <w:tmpl w:val="2FF07FE2"/>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654606"/>
    <w:multiLevelType w:val="hybridMultilevel"/>
    <w:tmpl w:val="100E4A8A"/>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00243"/>
    <w:multiLevelType w:val="multilevel"/>
    <w:tmpl w:val="E1CE38D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27E37B32"/>
    <w:multiLevelType w:val="singleLevel"/>
    <w:tmpl w:val="BAB073A6"/>
    <w:lvl w:ilvl="0">
      <w:numFmt w:val="decimal"/>
      <w:lvlText w:val="*"/>
      <w:lvlJc w:val="left"/>
    </w:lvl>
  </w:abstractNum>
  <w:abstractNum w:abstractNumId="18" w15:restartNumberingAfterBreak="0">
    <w:nsid w:val="28270E71"/>
    <w:multiLevelType w:val="hybridMultilevel"/>
    <w:tmpl w:val="91F27F50"/>
    <w:lvl w:ilvl="0" w:tplc="8E864B0C">
      <w:start w:val="1"/>
      <w:numFmt w:val="bullet"/>
      <w:lvlText w:val=""/>
      <w:lvlJc w:val="left"/>
      <w:pPr>
        <w:ind w:left="644" w:hanging="360"/>
      </w:pPr>
      <w:rPr>
        <w:rFonts w:ascii="Symbol" w:hAnsi="Symbol" w:hint="default"/>
        <w:color w:val="auto"/>
      </w:rPr>
    </w:lvl>
    <w:lvl w:ilvl="1" w:tplc="080C0003">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282F56D1"/>
    <w:multiLevelType w:val="singleLevel"/>
    <w:tmpl w:val="BAB073A6"/>
    <w:lvl w:ilvl="0">
      <w:numFmt w:val="decimal"/>
      <w:lvlText w:val="*"/>
      <w:lvlJc w:val="left"/>
    </w:lvl>
  </w:abstractNum>
  <w:abstractNum w:abstractNumId="20" w15:restartNumberingAfterBreak="0">
    <w:nsid w:val="295B33E9"/>
    <w:multiLevelType w:val="hybridMultilevel"/>
    <w:tmpl w:val="7F8ED52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1" w15:restartNumberingAfterBreak="0">
    <w:nsid w:val="2C6902C0"/>
    <w:multiLevelType w:val="hybridMultilevel"/>
    <w:tmpl w:val="B19E7F0A"/>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2E9244B4"/>
    <w:multiLevelType w:val="hybridMultilevel"/>
    <w:tmpl w:val="E7FC3DB2"/>
    <w:lvl w:ilvl="0" w:tplc="8E864B0C">
      <w:start w:val="1"/>
      <w:numFmt w:val="bullet"/>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3" w15:restartNumberingAfterBreak="0">
    <w:nsid w:val="2E95E4AD"/>
    <w:multiLevelType w:val="hybridMultilevel"/>
    <w:tmpl w:val="4EF0B18C"/>
    <w:lvl w:ilvl="0" w:tplc="EB9C4E38">
      <w:start w:val="1"/>
      <w:numFmt w:val="bullet"/>
      <w:lvlText w:val=""/>
      <w:lvlJc w:val="left"/>
      <w:pPr>
        <w:ind w:left="720" w:hanging="360"/>
      </w:pPr>
      <w:rPr>
        <w:rFonts w:ascii="Symbol" w:hAnsi="Symbol" w:hint="default"/>
      </w:rPr>
    </w:lvl>
    <w:lvl w:ilvl="1" w:tplc="3F60D982">
      <w:start w:val="1"/>
      <w:numFmt w:val="bullet"/>
      <w:lvlText w:val="o"/>
      <w:lvlJc w:val="left"/>
      <w:pPr>
        <w:ind w:left="1440" w:hanging="360"/>
      </w:pPr>
      <w:rPr>
        <w:rFonts w:ascii="Courier New" w:hAnsi="Courier New" w:hint="default"/>
      </w:rPr>
    </w:lvl>
    <w:lvl w:ilvl="2" w:tplc="E8602744">
      <w:start w:val="1"/>
      <w:numFmt w:val="bullet"/>
      <w:lvlText w:val=""/>
      <w:lvlJc w:val="left"/>
      <w:pPr>
        <w:ind w:left="2160" w:hanging="360"/>
      </w:pPr>
      <w:rPr>
        <w:rFonts w:ascii="Wingdings" w:hAnsi="Wingdings" w:hint="default"/>
      </w:rPr>
    </w:lvl>
    <w:lvl w:ilvl="3" w:tplc="E1A2C312">
      <w:start w:val="1"/>
      <w:numFmt w:val="bullet"/>
      <w:lvlText w:val=""/>
      <w:lvlJc w:val="left"/>
      <w:pPr>
        <w:ind w:left="2880" w:hanging="360"/>
      </w:pPr>
      <w:rPr>
        <w:rFonts w:ascii="Symbol" w:hAnsi="Symbol" w:hint="default"/>
      </w:rPr>
    </w:lvl>
    <w:lvl w:ilvl="4" w:tplc="372C0AB0">
      <w:start w:val="1"/>
      <w:numFmt w:val="bullet"/>
      <w:lvlText w:val="o"/>
      <w:lvlJc w:val="left"/>
      <w:pPr>
        <w:ind w:left="3600" w:hanging="360"/>
      </w:pPr>
      <w:rPr>
        <w:rFonts w:ascii="Courier New" w:hAnsi="Courier New" w:hint="default"/>
      </w:rPr>
    </w:lvl>
    <w:lvl w:ilvl="5" w:tplc="576634FC">
      <w:start w:val="1"/>
      <w:numFmt w:val="bullet"/>
      <w:lvlText w:val=""/>
      <w:lvlJc w:val="left"/>
      <w:pPr>
        <w:ind w:left="4320" w:hanging="360"/>
      </w:pPr>
      <w:rPr>
        <w:rFonts w:ascii="Wingdings" w:hAnsi="Wingdings" w:hint="default"/>
      </w:rPr>
    </w:lvl>
    <w:lvl w:ilvl="6" w:tplc="0CC2E68E">
      <w:start w:val="1"/>
      <w:numFmt w:val="bullet"/>
      <w:lvlText w:val=""/>
      <w:lvlJc w:val="left"/>
      <w:pPr>
        <w:ind w:left="5040" w:hanging="360"/>
      </w:pPr>
      <w:rPr>
        <w:rFonts w:ascii="Symbol" w:hAnsi="Symbol" w:hint="default"/>
      </w:rPr>
    </w:lvl>
    <w:lvl w:ilvl="7" w:tplc="9BAA6F84">
      <w:start w:val="1"/>
      <w:numFmt w:val="bullet"/>
      <w:lvlText w:val="o"/>
      <w:lvlJc w:val="left"/>
      <w:pPr>
        <w:ind w:left="5760" w:hanging="360"/>
      </w:pPr>
      <w:rPr>
        <w:rFonts w:ascii="Courier New" w:hAnsi="Courier New" w:hint="default"/>
      </w:rPr>
    </w:lvl>
    <w:lvl w:ilvl="8" w:tplc="9ACAAED0">
      <w:start w:val="1"/>
      <w:numFmt w:val="bullet"/>
      <w:lvlText w:val=""/>
      <w:lvlJc w:val="left"/>
      <w:pPr>
        <w:ind w:left="6480" w:hanging="360"/>
      </w:pPr>
      <w:rPr>
        <w:rFonts w:ascii="Wingdings" w:hAnsi="Wingdings" w:hint="default"/>
      </w:rPr>
    </w:lvl>
  </w:abstractNum>
  <w:abstractNum w:abstractNumId="24" w15:restartNumberingAfterBreak="0">
    <w:nsid w:val="304041FE"/>
    <w:multiLevelType w:val="singleLevel"/>
    <w:tmpl w:val="BAB073A6"/>
    <w:lvl w:ilvl="0">
      <w:numFmt w:val="decimal"/>
      <w:lvlText w:val="*"/>
      <w:lvlJc w:val="left"/>
    </w:lvl>
  </w:abstractNum>
  <w:abstractNum w:abstractNumId="25" w15:restartNumberingAfterBreak="0">
    <w:nsid w:val="304B6C22"/>
    <w:multiLevelType w:val="hybridMultilevel"/>
    <w:tmpl w:val="CAF6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AB0B36"/>
    <w:multiLevelType w:val="hybridMultilevel"/>
    <w:tmpl w:val="9AA6686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3447C62"/>
    <w:multiLevelType w:val="multilevel"/>
    <w:tmpl w:val="85A0D720"/>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8" w15:restartNumberingAfterBreak="0">
    <w:nsid w:val="37C53481"/>
    <w:multiLevelType w:val="hybridMultilevel"/>
    <w:tmpl w:val="D368BB18"/>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8EA22B1"/>
    <w:multiLevelType w:val="hybridMultilevel"/>
    <w:tmpl w:val="1C88FD8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0" w15:restartNumberingAfterBreak="0">
    <w:nsid w:val="39133BFF"/>
    <w:multiLevelType w:val="hybridMultilevel"/>
    <w:tmpl w:val="E3B40A20"/>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96C1E74"/>
    <w:multiLevelType w:val="hybridMultilevel"/>
    <w:tmpl w:val="FBF2FA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2" w15:restartNumberingAfterBreak="0">
    <w:nsid w:val="3BC95AAA"/>
    <w:multiLevelType w:val="hybridMultilevel"/>
    <w:tmpl w:val="EBEA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FE2B09"/>
    <w:multiLevelType w:val="hybridMultilevel"/>
    <w:tmpl w:val="7206F4D2"/>
    <w:lvl w:ilvl="0" w:tplc="8E864B0C">
      <w:start w:val="1"/>
      <w:numFmt w:val="bullet"/>
      <w:lvlText w:val=""/>
      <w:lvlJc w:val="left"/>
      <w:pPr>
        <w:ind w:left="1004" w:hanging="360"/>
      </w:pPr>
      <w:rPr>
        <w:rFonts w:ascii="Symbol" w:hAnsi="Symbol" w:hint="default"/>
        <w:color w:val="auto"/>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34" w15:restartNumberingAfterBreak="0">
    <w:nsid w:val="3D220D80"/>
    <w:multiLevelType w:val="singleLevel"/>
    <w:tmpl w:val="BAB073A6"/>
    <w:lvl w:ilvl="0">
      <w:numFmt w:val="decimal"/>
      <w:lvlText w:val="*"/>
      <w:lvlJc w:val="left"/>
    </w:lvl>
  </w:abstractNum>
  <w:abstractNum w:abstractNumId="35" w15:restartNumberingAfterBreak="0">
    <w:nsid w:val="3FCA5E74"/>
    <w:multiLevelType w:val="multilevel"/>
    <w:tmpl w:val="ED68449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6" w15:restartNumberingAfterBreak="0">
    <w:nsid w:val="41395909"/>
    <w:multiLevelType w:val="hybridMultilevel"/>
    <w:tmpl w:val="E89E7E2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41ED687D"/>
    <w:multiLevelType w:val="hybridMultilevel"/>
    <w:tmpl w:val="C65A009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41F770A3"/>
    <w:multiLevelType w:val="hybridMultilevel"/>
    <w:tmpl w:val="E71493B2"/>
    <w:lvl w:ilvl="0" w:tplc="89029AA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4360788A"/>
    <w:multiLevelType w:val="hybridMultilevel"/>
    <w:tmpl w:val="C896CC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B985DF5"/>
    <w:multiLevelType w:val="hybridMultilevel"/>
    <w:tmpl w:val="A118C42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BA00765"/>
    <w:multiLevelType w:val="hybridMultilevel"/>
    <w:tmpl w:val="A52039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2" w15:restartNumberingAfterBreak="0">
    <w:nsid w:val="4BE26162"/>
    <w:multiLevelType w:val="hybridMultilevel"/>
    <w:tmpl w:val="870420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4D4A5278"/>
    <w:multiLevelType w:val="hybridMultilevel"/>
    <w:tmpl w:val="30E8A80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0C6359"/>
    <w:multiLevelType w:val="hybridMultilevel"/>
    <w:tmpl w:val="4C36186A"/>
    <w:lvl w:ilvl="0" w:tplc="20000001">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5" w15:restartNumberingAfterBreak="0">
    <w:nsid w:val="525A0A52"/>
    <w:multiLevelType w:val="hybridMultilevel"/>
    <w:tmpl w:val="540CE5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527808F6"/>
    <w:multiLevelType w:val="hybridMultilevel"/>
    <w:tmpl w:val="DE42093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7" w15:restartNumberingAfterBreak="0">
    <w:nsid w:val="5336169D"/>
    <w:multiLevelType w:val="hybridMultilevel"/>
    <w:tmpl w:val="5616F14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9159B7"/>
    <w:multiLevelType w:val="multilevel"/>
    <w:tmpl w:val="1BD2AE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8F742BF"/>
    <w:multiLevelType w:val="hybridMultilevel"/>
    <w:tmpl w:val="D15C3F4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9A6780E"/>
    <w:multiLevelType w:val="hybridMultilevel"/>
    <w:tmpl w:val="146CB53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1" w15:restartNumberingAfterBreak="0">
    <w:nsid w:val="5A9F417D"/>
    <w:multiLevelType w:val="hybridMultilevel"/>
    <w:tmpl w:val="52807AB2"/>
    <w:lvl w:ilvl="0" w:tplc="8E864B0C">
      <w:start w:val="1"/>
      <w:numFmt w:val="bullet"/>
      <w:lvlText w:val=""/>
      <w:lvlJc w:val="left"/>
      <w:pPr>
        <w:ind w:left="1080" w:hanging="360"/>
      </w:pPr>
      <w:rPr>
        <w:rFonts w:ascii="Symbol" w:hAnsi="Symbol" w:hint="default"/>
        <w:color w:val="auto"/>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2" w15:restartNumberingAfterBreak="0">
    <w:nsid w:val="5BED5387"/>
    <w:multiLevelType w:val="hybridMultilevel"/>
    <w:tmpl w:val="5AEA60A8"/>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5CA209FF"/>
    <w:multiLevelType w:val="hybridMultilevel"/>
    <w:tmpl w:val="69DED2C4"/>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5E7B53A0"/>
    <w:multiLevelType w:val="hybridMultilevel"/>
    <w:tmpl w:val="D9F410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629F4733"/>
    <w:multiLevelType w:val="hybridMultilevel"/>
    <w:tmpl w:val="947CDD20"/>
    <w:lvl w:ilvl="0" w:tplc="943C3EDC">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63E22154"/>
    <w:multiLevelType w:val="hybridMultilevel"/>
    <w:tmpl w:val="1116E10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646260B4"/>
    <w:multiLevelType w:val="hybridMultilevel"/>
    <w:tmpl w:val="68EA3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64D642E2"/>
    <w:multiLevelType w:val="hybridMultilevel"/>
    <w:tmpl w:val="2E7008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6537323D"/>
    <w:multiLevelType w:val="hybridMultilevel"/>
    <w:tmpl w:val="3DDA696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0" w15:restartNumberingAfterBreak="0">
    <w:nsid w:val="681949FE"/>
    <w:multiLevelType w:val="hybridMultilevel"/>
    <w:tmpl w:val="C9764F86"/>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693F519E"/>
    <w:multiLevelType w:val="hybridMultilevel"/>
    <w:tmpl w:val="BD72474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2"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3" w15:restartNumberingAfterBreak="0">
    <w:nsid w:val="6B3767B2"/>
    <w:multiLevelType w:val="hybridMultilevel"/>
    <w:tmpl w:val="88EA115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4" w15:restartNumberingAfterBreak="0">
    <w:nsid w:val="6D0361A2"/>
    <w:multiLevelType w:val="hybridMultilevel"/>
    <w:tmpl w:val="91840EE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5" w15:restartNumberingAfterBreak="0">
    <w:nsid w:val="6E092C62"/>
    <w:multiLevelType w:val="multilevel"/>
    <w:tmpl w:val="B8EA660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6" w15:restartNumberingAfterBreak="0">
    <w:nsid w:val="6F904926"/>
    <w:multiLevelType w:val="hybridMultilevel"/>
    <w:tmpl w:val="EB3299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7" w15:restartNumberingAfterBreak="0">
    <w:nsid w:val="71663646"/>
    <w:multiLevelType w:val="hybridMultilevel"/>
    <w:tmpl w:val="66CABB74"/>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4F4187C"/>
    <w:multiLevelType w:val="hybridMultilevel"/>
    <w:tmpl w:val="1346CE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9"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78756ED"/>
    <w:multiLevelType w:val="hybridMultilevel"/>
    <w:tmpl w:val="F198E9E8"/>
    <w:lvl w:ilvl="0" w:tplc="2A40409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7874575E"/>
    <w:multiLevelType w:val="hybridMultilevel"/>
    <w:tmpl w:val="04A46B0E"/>
    <w:lvl w:ilvl="0" w:tplc="8E864B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C4538B0"/>
    <w:multiLevelType w:val="hybridMultilevel"/>
    <w:tmpl w:val="95486FC6"/>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7F0B0CA1"/>
    <w:multiLevelType w:val="hybridMultilevel"/>
    <w:tmpl w:val="35BCE30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0606941">
    <w:abstractNumId w:val="0"/>
  </w:num>
  <w:num w:numId="2" w16cid:durableId="1342973822">
    <w:abstractNumId w:val="62"/>
  </w:num>
  <w:num w:numId="3" w16cid:durableId="2040814309">
    <w:abstractNumId w:val="69"/>
  </w:num>
  <w:num w:numId="4" w16cid:durableId="325397772">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16cid:durableId="2062165755">
    <w:abstractNumId w:val="63"/>
  </w:num>
  <w:num w:numId="6" w16cid:durableId="182597353">
    <w:abstractNumId w:val="70"/>
  </w:num>
  <w:num w:numId="7" w16cid:durableId="2116899437">
    <w:abstractNumId w:val="25"/>
  </w:num>
  <w:num w:numId="8" w16cid:durableId="879168112">
    <w:abstractNumId w:val="1"/>
    <w:lvlOverride w:ilvl="0">
      <w:lvl w:ilvl="0">
        <w:start w:val="1"/>
        <w:numFmt w:val="bullet"/>
        <w:lvlText w:val=""/>
        <w:lvlJc w:val="left"/>
        <w:pPr>
          <w:ind w:left="720" w:hanging="360"/>
        </w:pPr>
        <w:rPr>
          <w:rFonts w:ascii="Symbol" w:hAnsi="Symbol" w:hint="default"/>
          <w:color w:val="auto"/>
          <w:sz w:val="28"/>
          <w:szCs w:val="28"/>
        </w:rPr>
      </w:lvl>
    </w:lvlOverride>
  </w:num>
  <w:num w:numId="9" w16cid:durableId="1681077558">
    <w:abstractNumId w:val="57"/>
  </w:num>
  <w:num w:numId="10" w16cid:durableId="16929650">
    <w:abstractNumId w:val="47"/>
  </w:num>
  <w:num w:numId="11" w16cid:durableId="514465798">
    <w:abstractNumId w:val="59"/>
  </w:num>
  <w:num w:numId="12" w16cid:durableId="1104768368">
    <w:abstractNumId w:val="48"/>
  </w:num>
  <w:num w:numId="13" w16cid:durableId="2028359531">
    <w:abstractNumId w:val="61"/>
  </w:num>
  <w:num w:numId="14" w16cid:durableId="1558129399">
    <w:abstractNumId w:val="55"/>
  </w:num>
  <w:num w:numId="15" w16cid:durableId="37897437">
    <w:abstractNumId w:val="10"/>
  </w:num>
  <w:num w:numId="16" w16cid:durableId="736976509">
    <w:abstractNumId w:val="54"/>
  </w:num>
  <w:num w:numId="17" w16cid:durableId="1475295514">
    <w:abstractNumId w:val="32"/>
  </w:num>
  <w:num w:numId="18" w16cid:durableId="1051267694">
    <w:abstractNumId w:val="23"/>
  </w:num>
  <w:num w:numId="19" w16cid:durableId="1519346644">
    <w:abstractNumId w:val="8"/>
  </w:num>
  <w:num w:numId="20" w16cid:durableId="431559475">
    <w:abstractNumId w:val="72"/>
  </w:num>
  <w:num w:numId="21" w16cid:durableId="1562521656">
    <w:abstractNumId w:val="52"/>
  </w:num>
  <w:num w:numId="22" w16cid:durableId="487135569">
    <w:abstractNumId w:val="3"/>
  </w:num>
  <w:num w:numId="23" w16cid:durableId="992874069">
    <w:abstractNumId w:val="40"/>
  </w:num>
  <w:num w:numId="24" w16cid:durableId="787092824">
    <w:abstractNumId w:val="41"/>
  </w:num>
  <w:num w:numId="25" w16cid:durableId="279844468">
    <w:abstractNumId w:val="56"/>
  </w:num>
  <w:num w:numId="26" w16cid:durableId="228881978">
    <w:abstractNumId w:val="14"/>
  </w:num>
  <w:num w:numId="27" w16cid:durableId="962349354">
    <w:abstractNumId w:val="11"/>
  </w:num>
  <w:num w:numId="28" w16cid:durableId="2036225921">
    <w:abstractNumId w:val="37"/>
  </w:num>
  <w:num w:numId="29" w16cid:durableId="406657379">
    <w:abstractNumId w:val="39"/>
  </w:num>
  <w:num w:numId="30" w16cid:durableId="250552902">
    <w:abstractNumId w:val="31"/>
  </w:num>
  <w:num w:numId="31" w16cid:durableId="1343359890">
    <w:abstractNumId w:val="46"/>
  </w:num>
  <w:num w:numId="32" w16cid:durableId="1734043230">
    <w:abstractNumId w:val="7"/>
  </w:num>
  <w:num w:numId="33" w16cid:durableId="1583027433">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4" w16cid:durableId="124006756">
    <w:abstractNumId w:val="19"/>
  </w:num>
  <w:num w:numId="35" w16cid:durableId="1426073753">
    <w:abstractNumId w:val="66"/>
  </w:num>
  <w:num w:numId="36" w16cid:durableId="926113342">
    <w:abstractNumId w:val="44"/>
  </w:num>
  <w:num w:numId="37" w16cid:durableId="1076367298">
    <w:abstractNumId w:val="33"/>
  </w:num>
  <w:num w:numId="38" w16cid:durableId="777260952">
    <w:abstractNumId w:val="36"/>
  </w:num>
  <w:num w:numId="39" w16cid:durableId="1845125796">
    <w:abstractNumId w:val="64"/>
  </w:num>
  <w:num w:numId="40" w16cid:durableId="786583974">
    <w:abstractNumId w:val="6"/>
  </w:num>
  <w:num w:numId="41" w16cid:durableId="1376003605">
    <w:abstractNumId w:val="49"/>
  </w:num>
  <w:num w:numId="42" w16cid:durableId="2075548062">
    <w:abstractNumId w:val="68"/>
  </w:num>
  <w:num w:numId="43" w16cid:durableId="188959849">
    <w:abstractNumId w:val="13"/>
  </w:num>
  <w:num w:numId="44" w16cid:durableId="808210857">
    <w:abstractNumId w:val="18"/>
  </w:num>
  <w:num w:numId="45" w16cid:durableId="1330408515">
    <w:abstractNumId w:val="4"/>
  </w:num>
  <w:num w:numId="46" w16cid:durableId="766734891">
    <w:abstractNumId w:val="65"/>
  </w:num>
  <w:num w:numId="47" w16cid:durableId="1521821882">
    <w:abstractNumId w:val="42"/>
  </w:num>
  <w:num w:numId="48" w16cid:durableId="1033843573">
    <w:abstractNumId w:val="12"/>
  </w:num>
  <w:num w:numId="49" w16cid:durableId="1804040727">
    <w:abstractNumId w:val="58"/>
  </w:num>
  <w:num w:numId="50" w16cid:durableId="208735539">
    <w:abstractNumId w:val="26"/>
  </w:num>
  <w:num w:numId="51" w16cid:durableId="89546062">
    <w:abstractNumId w:val="67"/>
  </w:num>
  <w:num w:numId="52" w16cid:durableId="1579054350">
    <w:abstractNumId w:val="51"/>
  </w:num>
  <w:num w:numId="53" w16cid:durableId="1643150540">
    <w:abstractNumId w:val="22"/>
  </w:num>
  <w:num w:numId="54" w16cid:durableId="1384060381">
    <w:abstractNumId w:val="5"/>
  </w:num>
  <w:num w:numId="55" w16cid:durableId="1020812581">
    <w:abstractNumId w:val="53"/>
  </w:num>
  <w:num w:numId="56" w16cid:durableId="1792361523">
    <w:abstractNumId w:val="9"/>
  </w:num>
  <w:num w:numId="57" w16cid:durableId="281227849">
    <w:abstractNumId w:val="30"/>
  </w:num>
  <w:num w:numId="58" w16cid:durableId="2082829088">
    <w:abstractNumId w:val="45"/>
  </w:num>
  <w:num w:numId="59" w16cid:durableId="1234658134">
    <w:abstractNumId w:val="28"/>
  </w:num>
  <w:num w:numId="60" w16cid:durableId="348604962">
    <w:abstractNumId w:val="27"/>
  </w:num>
  <w:num w:numId="61" w16cid:durableId="857281089">
    <w:abstractNumId w:val="20"/>
  </w:num>
  <w:num w:numId="62" w16cid:durableId="1365328351">
    <w:abstractNumId w:val="50"/>
  </w:num>
  <w:num w:numId="63" w16cid:durableId="2025083695">
    <w:abstractNumId w:val="29"/>
  </w:num>
  <w:num w:numId="64" w16cid:durableId="1172570915">
    <w:abstractNumId w:val="21"/>
  </w:num>
  <w:num w:numId="65" w16cid:durableId="545262184">
    <w:abstractNumId w:val="35"/>
  </w:num>
  <w:num w:numId="66" w16cid:durableId="512763873">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7" w16cid:durableId="188690328">
    <w:abstractNumId w:val="24"/>
  </w:num>
  <w:num w:numId="68" w16cid:durableId="1713773305">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9" w16cid:durableId="1120033300">
    <w:abstractNumId w:val="17"/>
  </w:num>
  <w:num w:numId="70" w16cid:durableId="136579578">
    <w:abstractNumId w:val="34"/>
  </w:num>
  <w:num w:numId="71" w16cid:durableId="1049036610">
    <w:abstractNumId w:val="2"/>
  </w:num>
  <w:num w:numId="72" w16cid:durableId="1594896977">
    <w:abstractNumId w:val="16"/>
  </w:num>
  <w:num w:numId="73" w16cid:durableId="1465464095">
    <w:abstractNumId w:val="60"/>
  </w:num>
  <w:num w:numId="74" w16cid:durableId="2023556060">
    <w:abstractNumId w:val="73"/>
  </w:num>
  <w:num w:numId="75" w16cid:durableId="1051730140">
    <w:abstractNumId w:val="43"/>
  </w:num>
  <w:num w:numId="76" w16cid:durableId="426846989">
    <w:abstractNumId w:val="15"/>
  </w:num>
  <w:num w:numId="77" w16cid:durableId="797451480">
    <w:abstractNumId w:val="71"/>
  </w:num>
  <w:num w:numId="78" w16cid:durableId="1266688954">
    <w:abstractNumId w:val="3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010F"/>
    <w:rsid w:val="000056E4"/>
    <w:rsid w:val="00006F18"/>
    <w:rsid w:val="00010A4D"/>
    <w:rsid w:val="000136C9"/>
    <w:rsid w:val="00014921"/>
    <w:rsid w:val="00023DB5"/>
    <w:rsid w:val="00032C87"/>
    <w:rsid w:val="00037101"/>
    <w:rsid w:val="00043BEF"/>
    <w:rsid w:val="0004480F"/>
    <w:rsid w:val="000501F7"/>
    <w:rsid w:val="00050D04"/>
    <w:rsid w:val="000517F6"/>
    <w:rsid w:val="0006268B"/>
    <w:rsid w:val="00063DFF"/>
    <w:rsid w:val="00070ED2"/>
    <w:rsid w:val="00092ACC"/>
    <w:rsid w:val="00096B93"/>
    <w:rsid w:val="000A2AF0"/>
    <w:rsid w:val="000A2B8D"/>
    <w:rsid w:val="000C5A16"/>
    <w:rsid w:val="000D394D"/>
    <w:rsid w:val="000F4673"/>
    <w:rsid w:val="001110F2"/>
    <w:rsid w:val="00121D18"/>
    <w:rsid w:val="00125D6F"/>
    <w:rsid w:val="0012608E"/>
    <w:rsid w:val="00126E5E"/>
    <w:rsid w:val="0014411E"/>
    <w:rsid w:val="0014429D"/>
    <w:rsid w:val="00144D96"/>
    <w:rsid w:val="00150F26"/>
    <w:rsid w:val="001549EB"/>
    <w:rsid w:val="0017309D"/>
    <w:rsid w:val="00173C89"/>
    <w:rsid w:val="001766B2"/>
    <w:rsid w:val="00176B69"/>
    <w:rsid w:val="00181B6C"/>
    <w:rsid w:val="0019037A"/>
    <w:rsid w:val="00190FCF"/>
    <w:rsid w:val="00196518"/>
    <w:rsid w:val="001A42F8"/>
    <w:rsid w:val="001B4559"/>
    <w:rsid w:val="001B58AE"/>
    <w:rsid w:val="001C343E"/>
    <w:rsid w:val="001C540B"/>
    <w:rsid w:val="001D28C3"/>
    <w:rsid w:val="001D292C"/>
    <w:rsid w:val="001E391D"/>
    <w:rsid w:val="001E4147"/>
    <w:rsid w:val="001F05C6"/>
    <w:rsid w:val="001F4150"/>
    <w:rsid w:val="0020397F"/>
    <w:rsid w:val="002079FC"/>
    <w:rsid w:val="00212AD9"/>
    <w:rsid w:val="00224B1B"/>
    <w:rsid w:val="00227AA1"/>
    <w:rsid w:val="00235BA4"/>
    <w:rsid w:val="00235CEA"/>
    <w:rsid w:val="00240017"/>
    <w:rsid w:val="0024677E"/>
    <w:rsid w:val="00251ADD"/>
    <w:rsid w:val="002723A4"/>
    <w:rsid w:val="00272AC6"/>
    <w:rsid w:val="002753D7"/>
    <w:rsid w:val="00297F0C"/>
    <w:rsid w:val="002A0F5D"/>
    <w:rsid w:val="002A5636"/>
    <w:rsid w:val="002B1F1C"/>
    <w:rsid w:val="002B30F4"/>
    <w:rsid w:val="002B7981"/>
    <w:rsid w:val="002C1664"/>
    <w:rsid w:val="002C3C5F"/>
    <w:rsid w:val="002C3F34"/>
    <w:rsid w:val="002E1159"/>
    <w:rsid w:val="002E1E9E"/>
    <w:rsid w:val="002F2C4A"/>
    <w:rsid w:val="002F4BCC"/>
    <w:rsid w:val="003066BE"/>
    <w:rsid w:val="003227CC"/>
    <w:rsid w:val="00334F4E"/>
    <w:rsid w:val="00336295"/>
    <w:rsid w:val="003362B9"/>
    <w:rsid w:val="00341FC2"/>
    <w:rsid w:val="00342D5E"/>
    <w:rsid w:val="00354B98"/>
    <w:rsid w:val="0035724D"/>
    <w:rsid w:val="003578BB"/>
    <w:rsid w:val="00360C1A"/>
    <w:rsid w:val="003734B1"/>
    <w:rsid w:val="0039093C"/>
    <w:rsid w:val="00392AE5"/>
    <w:rsid w:val="003974F0"/>
    <w:rsid w:val="003A066A"/>
    <w:rsid w:val="003A1590"/>
    <w:rsid w:val="003B25E1"/>
    <w:rsid w:val="003B7B77"/>
    <w:rsid w:val="003C0021"/>
    <w:rsid w:val="003C1C0C"/>
    <w:rsid w:val="003C3284"/>
    <w:rsid w:val="003C7540"/>
    <w:rsid w:val="003D0BE5"/>
    <w:rsid w:val="003D3153"/>
    <w:rsid w:val="003E20A3"/>
    <w:rsid w:val="003E263E"/>
    <w:rsid w:val="003F20DF"/>
    <w:rsid w:val="003F326D"/>
    <w:rsid w:val="003F79EF"/>
    <w:rsid w:val="00403683"/>
    <w:rsid w:val="00406469"/>
    <w:rsid w:val="00410FEB"/>
    <w:rsid w:val="00416A6E"/>
    <w:rsid w:val="0041766F"/>
    <w:rsid w:val="00426604"/>
    <w:rsid w:val="00427781"/>
    <w:rsid w:val="0043191A"/>
    <w:rsid w:val="00435FF5"/>
    <w:rsid w:val="00440237"/>
    <w:rsid w:val="00445258"/>
    <w:rsid w:val="00445B9D"/>
    <w:rsid w:val="00446791"/>
    <w:rsid w:val="00447A14"/>
    <w:rsid w:val="004619A5"/>
    <w:rsid w:val="00480EA8"/>
    <w:rsid w:val="004815E0"/>
    <w:rsid w:val="004853F6"/>
    <w:rsid w:val="0048603B"/>
    <w:rsid w:val="004979CB"/>
    <w:rsid w:val="004A35A1"/>
    <w:rsid w:val="004A4B18"/>
    <w:rsid w:val="004A5CD7"/>
    <w:rsid w:val="004B0221"/>
    <w:rsid w:val="004B35B6"/>
    <w:rsid w:val="004B48B1"/>
    <w:rsid w:val="004B4BD3"/>
    <w:rsid w:val="004B4DA4"/>
    <w:rsid w:val="004B4EC0"/>
    <w:rsid w:val="004C6742"/>
    <w:rsid w:val="004D2D6F"/>
    <w:rsid w:val="004D7AC0"/>
    <w:rsid w:val="004E385F"/>
    <w:rsid w:val="004E5363"/>
    <w:rsid w:val="004F74E4"/>
    <w:rsid w:val="00506669"/>
    <w:rsid w:val="00512479"/>
    <w:rsid w:val="00516EEE"/>
    <w:rsid w:val="00517E07"/>
    <w:rsid w:val="00532089"/>
    <w:rsid w:val="00532FDE"/>
    <w:rsid w:val="00535A65"/>
    <w:rsid w:val="00537B03"/>
    <w:rsid w:val="005478EC"/>
    <w:rsid w:val="00553BE0"/>
    <w:rsid w:val="0055505B"/>
    <w:rsid w:val="00556299"/>
    <w:rsid w:val="00563D40"/>
    <w:rsid w:val="00567A6B"/>
    <w:rsid w:val="00586B4B"/>
    <w:rsid w:val="00595D85"/>
    <w:rsid w:val="005A0BDA"/>
    <w:rsid w:val="005C032C"/>
    <w:rsid w:val="005C3A8D"/>
    <w:rsid w:val="005C7B1D"/>
    <w:rsid w:val="005D0FED"/>
    <w:rsid w:val="005D1BBF"/>
    <w:rsid w:val="005D43B9"/>
    <w:rsid w:val="005D6457"/>
    <w:rsid w:val="005E01B5"/>
    <w:rsid w:val="005E73C3"/>
    <w:rsid w:val="005E7651"/>
    <w:rsid w:val="00610016"/>
    <w:rsid w:val="00613302"/>
    <w:rsid w:val="006206DB"/>
    <w:rsid w:val="00621FEB"/>
    <w:rsid w:val="00625CA3"/>
    <w:rsid w:val="00634494"/>
    <w:rsid w:val="0063486D"/>
    <w:rsid w:val="00641262"/>
    <w:rsid w:val="0064411A"/>
    <w:rsid w:val="00650BED"/>
    <w:rsid w:val="00651838"/>
    <w:rsid w:val="00657301"/>
    <w:rsid w:val="00665940"/>
    <w:rsid w:val="0066696D"/>
    <w:rsid w:val="006717BA"/>
    <w:rsid w:val="006765AF"/>
    <w:rsid w:val="0069052D"/>
    <w:rsid w:val="00690DC9"/>
    <w:rsid w:val="0069265D"/>
    <w:rsid w:val="006B3C3C"/>
    <w:rsid w:val="006B60D1"/>
    <w:rsid w:val="006C0D5C"/>
    <w:rsid w:val="006C48A5"/>
    <w:rsid w:val="006D114B"/>
    <w:rsid w:val="006D2C8A"/>
    <w:rsid w:val="006D2D64"/>
    <w:rsid w:val="006D7E6E"/>
    <w:rsid w:val="006E4A8A"/>
    <w:rsid w:val="006E7F1F"/>
    <w:rsid w:val="00702280"/>
    <w:rsid w:val="00705EB1"/>
    <w:rsid w:val="00707697"/>
    <w:rsid w:val="007159C5"/>
    <w:rsid w:val="007173CF"/>
    <w:rsid w:val="007205A4"/>
    <w:rsid w:val="007323B9"/>
    <w:rsid w:val="00732E14"/>
    <w:rsid w:val="00740CB7"/>
    <w:rsid w:val="00741902"/>
    <w:rsid w:val="00747F87"/>
    <w:rsid w:val="00754027"/>
    <w:rsid w:val="00754882"/>
    <w:rsid w:val="00755E1E"/>
    <w:rsid w:val="007576D0"/>
    <w:rsid w:val="00757F74"/>
    <w:rsid w:val="00764CCB"/>
    <w:rsid w:val="00766B1A"/>
    <w:rsid w:val="0078198B"/>
    <w:rsid w:val="00785300"/>
    <w:rsid w:val="007A148E"/>
    <w:rsid w:val="007A3096"/>
    <w:rsid w:val="007A570F"/>
    <w:rsid w:val="007A78AB"/>
    <w:rsid w:val="007B6F06"/>
    <w:rsid w:val="007C36BF"/>
    <w:rsid w:val="007C5358"/>
    <w:rsid w:val="007C6EFD"/>
    <w:rsid w:val="007D7A17"/>
    <w:rsid w:val="007F1953"/>
    <w:rsid w:val="007F240C"/>
    <w:rsid w:val="007F48FC"/>
    <w:rsid w:val="007F5784"/>
    <w:rsid w:val="00800532"/>
    <w:rsid w:val="00804389"/>
    <w:rsid w:val="00814A54"/>
    <w:rsid w:val="008314CE"/>
    <w:rsid w:val="008317E3"/>
    <w:rsid w:val="0083397F"/>
    <w:rsid w:val="00833B7B"/>
    <w:rsid w:val="00840C59"/>
    <w:rsid w:val="00843847"/>
    <w:rsid w:val="00844645"/>
    <w:rsid w:val="00845F24"/>
    <w:rsid w:val="008548EA"/>
    <w:rsid w:val="0085744A"/>
    <w:rsid w:val="00860162"/>
    <w:rsid w:val="00862DC4"/>
    <w:rsid w:val="00867002"/>
    <w:rsid w:val="008676ED"/>
    <w:rsid w:val="0087045E"/>
    <w:rsid w:val="008713EF"/>
    <w:rsid w:val="0088219D"/>
    <w:rsid w:val="00882D0D"/>
    <w:rsid w:val="008A47F4"/>
    <w:rsid w:val="008B155C"/>
    <w:rsid w:val="008B2CEB"/>
    <w:rsid w:val="008B4117"/>
    <w:rsid w:val="008C5433"/>
    <w:rsid w:val="008D2468"/>
    <w:rsid w:val="008D4F95"/>
    <w:rsid w:val="008E2311"/>
    <w:rsid w:val="008E331E"/>
    <w:rsid w:val="008F062E"/>
    <w:rsid w:val="008F6AA0"/>
    <w:rsid w:val="00902FFF"/>
    <w:rsid w:val="00914FCF"/>
    <w:rsid w:val="00921E89"/>
    <w:rsid w:val="00927ACD"/>
    <w:rsid w:val="009360D7"/>
    <w:rsid w:val="00943240"/>
    <w:rsid w:val="00944198"/>
    <w:rsid w:val="009517E6"/>
    <w:rsid w:val="00952910"/>
    <w:rsid w:val="00956698"/>
    <w:rsid w:val="00962E55"/>
    <w:rsid w:val="00963401"/>
    <w:rsid w:val="009666C7"/>
    <w:rsid w:val="009700FB"/>
    <w:rsid w:val="0097101D"/>
    <w:rsid w:val="00983331"/>
    <w:rsid w:val="009954BD"/>
    <w:rsid w:val="00995C71"/>
    <w:rsid w:val="009A5F2B"/>
    <w:rsid w:val="009B6B7D"/>
    <w:rsid w:val="009D79C9"/>
    <w:rsid w:val="009E357D"/>
    <w:rsid w:val="009E6BDF"/>
    <w:rsid w:val="009F11CB"/>
    <w:rsid w:val="00A04D84"/>
    <w:rsid w:val="00A067F3"/>
    <w:rsid w:val="00A0776A"/>
    <w:rsid w:val="00A10033"/>
    <w:rsid w:val="00A10200"/>
    <w:rsid w:val="00A16254"/>
    <w:rsid w:val="00A162C2"/>
    <w:rsid w:val="00A16494"/>
    <w:rsid w:val="00A17E08"/>
    <w:rsid w:val="00A20E9D"/>
    <w:rsid w:val="00A230F1"/>
    <w:rsid w:val="00A23D6D"/>
    <w:rsid w:val="00A272B2"/>
    <w:rsid w:val="00A3691D"/>
    <w:rsid w:val="00A40127"/>
    <w:rsid w:val="00A456BF"/>
    <w:rsid w:val="00A45BD8"/>
    <w:rsid w:val="00A50553"/>
    <w:rsid w:val="00A53DD0"/>
    <w:rsid w:val="00A65FE3"/>
    <w:rsid w:val="00A83352"/>
    <w:rsid w:val="00A839C1"/>
    <w:rsid w:val="00A90C28"/>
    <w:rsid w:val="00A95447"/>
    <w:rsid w:val="00AA7C16"/>
    <w:rsid w:val="00AB224C"/>
    <w:rsid w:val="00AB3379"/>
    <w:rsid w:val="00AB43C4"/>
    <w:rsid w:val="00AC16AD"/>
    <w:rsid w:val="00AC5EC3"/>
    <w:rsid w:val="00AC66E4"/>
    <w:rsid w:val="00AE547F"/>
    <w:rsid w:val="00AF5414"/>
    <w:rsid w:val="00AF547E"/>
    <w:rsid w:val="00B047A4"/>
    <w:rsid w:val="00B14E53"/>
    <w:rsid w:val="00B16376"/>
    <w:rsid w:val="00B203DA"/>
    <w:rsid w:val="00B251D5"/>
    <w:rsid w:val="00B310E6"/>
    <w:rsid w:val="00B31966"/>
    <w:rsid w:val="00B31AE4"/>
    <w:rsid w:val="00B3204A"/>
    <w:rsid w:val="00B366CF"/>
    <w:rsid w:val="00B37567"/>
    <w:rsid w:val="00B40A78"/>
    <w:rsid w:val="00B41741"/>
    <w:rsid w:val="00B47AAE"/>
    <w:rsid w:val="00B518C9"/>
    <w:rsid w:val="00B56575"/>
    <w:rsid w:val="00B61B74"/>
    <w:rsid w:val="00B635A1"/>
    <w:rsid w:val="00BA0251"/>
    <w:rsid w:val="00BA2BB0"/>
    <w:rsid w:val="00BA2D1E"/>
    <w:rsid w:val="00BB4A1A"/>
    <w:rsid w:val="00BC1478"/>
    <w:rsid w:val="00BD09B2"/>
    <w:rsid w:val="00BD5C39"/>
    <w:rsid w:val="00BD7679"/>
    <w:rsid w:val="00BE2F67"/>
    <w:rsid w:val="00BE54B3"/>
    <w:rsid w:val="00C008B4"/>
    <w:rsid w:val="00C04C37"/>
    <w:rsid w:val="00C17ABD"/>
    <w:rsid w:val="00C25029"/>
    <w:rsid w:val="00C26C67"/>
    <w:rsid w:val="00C30BC0"/>
    <w:rsid w:val="00C3123A"/>
    <w:rsid w:val="00C31776"/>
    <w:rsid w:val="00C32E41"/>
    <w:rsid w:val="00C37CA1"/>
    <w:rsid w:val="00C53E67"/>
    <w:rsid w:val="00C57C84"/>
    <w:rsid w:val="00C6134C"/>
    <w:rsid w:val="00C63006"/>
    <w:rsid w:val="00C716C1"/>
    <w:rsid w:val="00C76C7D"/>
    <w:rsid w:val="00C81F1B"/>
    <w:rsid w:val="00C821A5"/>
    <w:rsid w:val="00C82A9F"/>
    <w:rsid w:val="00C95C7D"/>
    <w:rsid w:val="00C96FA3"/>
    <w:rsid w:val="00CA4A98"/>
    <w:rsid w:val="00CA6EC9"/>
    <w:rsid w:val="00CB6F1C"/>
    <w:rsid w:val="00CD4904"/>
    <w:rsid w:val="00CD7ECC"/>
    <w:rsid w:val="00CE3211"/>
    <w:rsid w:val="00CE4B1B"/>
    <w:rsid w:val="00CF2E5B"/>
    <w:rsid w:val="00CF7F94"/>
    <w:rsid w:val="00D02268"/>
    <w:rsid w:val="00D0491D"/>
    <w:rsid w:val="00D05F9C"/>
    <w:rsid w:val="00D16830"/>
    <w:rsid w:val="00D245DB"/>
    <w:rsid w:val="00D251DB"/>
    <w:rsid w:val="00D37D44"/>
    <w:rsid w:val="00D43613"/>
    <w:rsid w:val="00D53FBF"/>
    <w:rsid w:val="00D56293"/>
    <w:rsid w:val="00D7076A"/>
    <w:rsid w:val="00D73E8F"/>
    <w:rsid w:val="00D81F5E"/>
    <w:rsid w:val="00D86EFC"/>
    <w:rsid w:val="00D87925"/>
    <w:rsid w:val="00D92269"/>
    <w:rsid w:val="00D923C9"/>
    <w:rsid w:val="00D947AB"/>
    <w:rsid w:val="00D95586"/>
    <w:rsid w:val="00DA30AB"/>
    <w:rsid w:val="00DA4337"/>
    <w:rsid w:val="00DC7A5F"/>
    <w:rsid w:val="00DE0E4F"/>
    <w:rsid w:val="00DE13A8"/>
    <w:rsid w:val="00DE176A"/>
    <w:rsid w:val="00DE1BF7"/>
    <w:rsid w:val="00DE481E"/>
    <w:rsid w:val="00DE4D23"/>
    <w:rsid w:val="00DE5DBA"/>
    <w:rsid w:val="00DE758A"/>
    <w:rsid w:val="00DF174A"/>
    <w:rsid w:val="00DF6F2B"/>
    <w:rsid w:val="00E00A6B"/>
    <w:rsid w:val="00E129EB"/>
    <w:rsid w:val="00E14A19"/>
    <w:rsid w:val="00E14E08"/>
    <w:rsid w:val="00E171F6"/>
    <w:rsid w:val="00E27990"/>
    <w:rsid w:val="00E43713"/>
    <w:rsid w:val="00E44636"/>
    <w:rsid w:val="00E629FA"/>
    <w:rsid w:val="00E77899"/>
    <w:rsid w:val="00E8783B"/>
    <w:rsid w:val="00E92C8E"/>
    <w:rsid w:val="00EA7B2C"/>
    <w:rsid w:val="00EB0AFC"/>
    <w:rsid w:val="00EC4D43"/>
    <w:rsid w:val="00ED1C2B"/>
    <w:rsid w:val="00ED374C"/>
    <w:rsid w:val="00EE6B95"/>
    <w:rsid w:val="00EE6C3C"/>
    <w:rsid w:val="00EF7725"/>
    <w:rsid w:val="00F10208"/>
    <w:rsid w:val="00F1424E"/>
    <w:rsid w:val="00F146AD"/>
    <w:rsid w:val="00F1581A"/>
    <w:rsid w:val="00F170AA"/>
    <w:rsid w:val="00F2612C"/>
    <w:rsid w:val="00F32F97"/>
    <w:rsid w:val="00F3633D"/>
    <w:rsid w:val="00F3654D"/>
    <w:rsid w:val="00F37962"/>
    <w:rsid w:val="00F5080F"/>
    <w:rsid w:val="00F55F11"/>
    <w:rsid w:val="00F76EE7"/>
    <w:rsid w:val="00F80BEB"/>
    <w:rsid w:val="00F83C17"/>
    <w:rsid w:val="00F96D7F"/>
    <w:rsid w:val="00FA1401"/>
    <w:rsid w:val="00FA15B5"/>
    <w:rsid w:val="00FB1E95"/>
    <w:rsid w:val="00FB30D5"/>
    <w:rsid w:val="00FB7469"/>
    <w:rsid w:val="00FC01B9"/>
    <w:rsid w:val="00FC1C8F"/>
    <w:rsid w:val="00FC456F"/>
    <w:rsid w:val="00FC7343"/>
    <w:rsid w:val="00FD5585"/>
    <w:rsid w:val="00FD6A81"/>
    <w:rsid w:val="00FF5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Heading1"/>
    <w:next w:val="Normal"/>
    <w:link w:val="Heading2Char"/>
    <w:qFormat/>
    <w:rsid w:val="00A067F3"/>
    <w:pPr>
      <w:outlineLvl w:val="1"/>
    </w:pPr>
    <w:rPr>
      <w:b/>
    </w:r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A067F3"/>
    <w:rPr>
      <w:rFonts w:ascii="Times New Roman" w:eastAsia="Times New Roman" w:hAnsi="Times New Roman" w:cs="Times New Roman"/>
      <w:b/>
      <w:kern w:val="28"/>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129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36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432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54B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D43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A42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53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92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E33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882D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266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833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659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4452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DE75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B6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1F41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227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341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C5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0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230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EC4D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D16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297F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814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3F34"/>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8F062E"/>
    <w:pPr>
      <w:spacing w:after="100"/>
      <w:ind w:left="220"/>
    </w:pPr>
  </w:style>
  <w:style w:type="table" w:customStyle="1" w:styleId="TableGrid27">
    <w:name w:val="Table Grid27"/>
    <w:basedOn w:val="TableNormal"/>
    <w:next w:val="TableGrid"/>
    <w:rsid w:val="007A3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90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artek.Bednarowicz@eesc.europa.eu" TargetMode="External"/><Relationship Id="rId21" Type="http://schemas.openxmlformats.org/officeDocument/2006/relationships/hyperlink" Target="https://www.eesc.europa.eu/fr/our-work/opinions-information-reports/opinions/programme-strategique-de-lue-en-faveur-de-villes-agreables-vivre" TargetMode="External"/><Relationship Id="rId42" Type="http://schemas.openxmlformats.org/officeDocument/2006/relationships/hyperlink" Target="mailto:Radoslava.Stefankova@eesc.europa.eu" TargetMode="External"/><Relationship Id="rId47" Type="http://schemas.openxmlformats.org/officeDocument/2006/relationships/hyperlink" Target="https://www.eesc.europa.eu/fr/our-work/opinions-information-reports/opinions/nouvelles-regles-relatives-aux-precurseurs-de-drogues" TargetMode="External"/><Relationship Id="rId63" Type="http://schemas.openxmlformats.org/officeDocument/2006/relationships/hyperlink" Target="https://www.eesc.europa.eu/fr/our-work/opinions-information-reports/opinions/equivalence-des-inspections-sur-pied-des-cultures-productrices-de-semences-effectuees-dans-des-pays-tiers-et-equivalence" TargetMode="External"/><Relationship Id="rId68" Type="http://schemas.openxmlformats.org/officeDocument/2006/relationships/hyperlink" Target="mailto:David.Hoic@eesc.europa.eu" TargetMode="External"/><Relationship Id="rId16"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mailto:Sergio.LorencioMatallana@eesc.europa.eu" TargetMode="External"/><Relationship Id="rId32" Type="http://schemas.openxmlformats.org/officeDocument/2006/relationships/hyperlink" Target="mailto:Gemma.Amran@eesc.europa.eu" TargetMode="External"/><Relationship Id="rId37" Type="http://schemas.openxmlformats.org/officeDocument/2006/relationships/hyperlink" Target="https://www.eesc.europa.eu/fr/our-work/opinions-information-reports/opinions/revision-des-normes-en-matiere-demissions-de-co2-pour-les-voitures-et-les-camionnettes" TargetMode="External"/><Relationship Id="rId40" Type="http://schemas.openxmlformats.org/officeDocument/2006/relationships/hyperlink" Target="mailto:Annalisa.Tessarolo@eesc.europa.eu" TargetMode="External"/><Relationship Id="rId45" Type="http://schemas.openxmlformats.org/officeDocument/2006/relationships/hyperlink" Target="https://www.eesc.europa.eu/fr/our-work/opinions-information-reports/opinions/creer-un-centre-europeen-dexcellence-clinique-pour-les-produits-pharmaceutiques" TargetMode="External"/><Relationship Id="rId53" Type="http://schemas.openxmlformats.org/officeDocument/2006/relationships/hyperlink" Target="https://www.eesc.europa.eu/fr/our-work/opinions-information-reports/opinions/marche-unique-faire-face-aux-contraintes-territoriales-injustifiees-en-matiere-dapprovisionnement" TargetMode="External"/><Relationship Id="rId58" Type="http://schemas.openxmlformats.org/officeDocument/2006/relationships/hyperlink" Target="mailto:Caroline.Verhelst@eesc.europa.eu" TargetMode="External"/><Relationship Id="rId66" Type="http://schemas.openxmlformats.org/officeDocument/2006/relationships/hyperlink" Target="mailto:Gaizka.Maloelcoro-iribe@eesc.europa.eu" TargetMode="External"/><Relationship Id="rId74" Type="http://schemas.openxmlformats.org/officeDocument/2006/relationships/footer" Target="footer5.xml"/><Relationship Id="rId5" Type="http://schemas.openxmlformats.org/officeDocument/2006/relationships/customXml" Target="../customXml/item5.xml"/><Relationship Id="rId61" Type="http://schemas.openxmlformats.org/officeDocument/2006/relationships/hyperlink" Target="https://www.eesc.europa.eu/fr/our-work/opinions-information-reports/opinions/train-de-mesures-omnibus-de-simplification-pour-la-securite-des-aliments-destines-lalimentation-humaine-et-animale" TargetMode="Externa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Georgios.Meleas@eesc.europa.eu" TargetMode="External"/><Relationship Id="rId27" Type="http://schemas.openxmlformats.org/officeDocument/2006/relationships/hyperlink" Target="https://www.eesc.europa.eu/fr/our-work/opinions-information-reports/opinions/union-equality-lgbtiq-equality-strategy-2026-2030" TargetMode="External"/><Relationship Id="rId30" Type="http://schemas.openxmlformats.org/officeDocument/2006/relationships/hyperlink" Target="mailto:Bartek.Bednarowicz@eesc.europa.eu" TargetMode="External"/><Relationship Id="rId35" Type="http://schemas.openxmlformats.org/officeDocument/2006/relationships/hyperlink" Target="https://www.eesc.europa.eu/fr/our-work/opinions-information-reports/opinions/surtourisme-locations-de-courte-duree-et-eviction-des-populations-locales-trouver-le-juste-equilibre" TargetMode="External"/><Relationship Id="rId43" Type="http://schemas.openxmlformats.org/officeDocument/2006/relationships/hyperlink" Target="https://www.eesc.europa.eu/fr/our-work/opinions-information-reports/opinions/reglement-sur-la-cybersecurite" TargetMode="External"/><Relationship Id="rId48" Type="http://schemas.openxmlformats.org/officeDocument/2006/relationships/hyperlink" Target="mailto:Radoslava.Stefankova@eesc.europa.eu" TargetMode="External"/><Relationship Id="rId56" Type="http://schemas.openxmlformats.org/officeDocument/2006/relationships/hyperlink" Target="mailto:Jana.Valant@eesc.europa.eu" TargetMode="External"/><Relationship Id="rId64" Type="http://schemas.openxmlformats.org/officeDocument/2006/relationships/hyperlink" Target="mailto:Arturo.Iniguez@eesc.europa.eu" TargetMode="External"/><Relationship Id="rId69" Type="http://schemas.openxmlformats.org/officeDocument/2006/relationships/hyperlink" Target="https://www.eesc.europa.eu/fr/our-work/opinions-information-reports/opinions/le-role-du-secteur-prive-et-de-la-societe-civile-dans-le-renforcement-de-la-cooperation-economique-dans-le-cadre-du"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esc.europa.eu/fr/our-work/opinions-information-reports/opinions/une-normalisation-strategique-pour-un-marche-unique-plus-fort" TargetMode="External"/><Relationship Id="rId72" Type="http://schemas.openxmlformats.org/officeDocument/2006/relationships/hyperlink" Target="mailto:Ioannis.Diamantopoulos@eesc.europa.e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fr/our-work/opinions-information-reports/opinions/interdiction-des-pratiques-de-conversion-dans-lunion-europeenne" TargetMode="External"/><Relationship Id="rId33" Type="http://schemas.openxmlformats.org/officeDocument/2006/relationships/hyperlink" Target="https://www.eesc.europa.eu/fr/our-work/opinions-information-reports/opinions/une-boussole-culturelle-pour-leurope" TargetMode="External"/><Relationship Id="rId38" Type="http://schemas.openxmlformats.org/officeDocument/2006/relationships/hyperlink" Target="mailto:Silvia.Staffa@eesc.europa.eu" TargetMode="External"/><Relationship Id="rId46" Type="http://schemas.openxmlformats.org/officeDocument/2006/relationships/hyperlink" Target="mailto:Radoslava.stefankova@eesc.europa.eu" TargetMode="External"/><Relationship Id="rId59" Type="http://schemas.openxmlformats.org/officeDocument/2006/relationships/hyperlink" Target="https://www.eesc.europa.eu/fr/our-work/opinions-information-reports/opinions/strategie-de-lue-pour-la-bioeconomie-vers-une-bioeconomie-circulaire-regenerative-et-competitive" TargetMode="External"/><Relationship Id="rId67" Type="http://schemas.openxmlformats.org/officeDocument/2006/relationships/hyperlink" Target="https://www.eesc.europa.eu/fr/our-work/opinions-information-reports/opinions/le-role-de-la-societe-civile-pour-soutenir-les-reformes-dans-le-cadre-des-plans-de-croissance-pour-les-balkans" TargetMode="External"/><Relationship Id="rId20" Type="http://schemas.openxmlformats.org/officeDocument/2006/relationships/footer" Target="footer3.xml"/><Relationship Id="rId41" Type="http://schemas.openxmlformats.org/officeDocument/2006/relationships/hyperlink" Target="https://www.eesc.europa.eu/fr/our-work/opinions-information-reports/opinions/agenda-du-consommateur-2030" TargetMode="External"/><Relationship Id="rId54" Type="http://schemas.openxmlformats.org/officeDocument/2006/relationships/hyperlink" Target="mailto:Annalisa.Tessarolo@eesc.europa.eu" TargetMode="External"/><Relationship Id="rId62" Type="http://schemas.openxmlformats.org/officeDocument/2006/relationships/hyperlink" Target="mailto:Martine.Delanoy@eesc.europa.eu" TargetMode="External"/><Relationship Id="rId70" Type="http://schemas.openxmlformats.org/officeDocument/2006/relationships/hyperlink" Target="mailto:Andreas.Berger@eesc.europa.eu" TargetMode="External"/><Relationship Id="rId75"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fr/our-work/opinions-information-reports/opinions/train-de-mesures-sur-les-retraites-complementaires-pepp-et-irp" TargetMode="External"/><Relationship Id="rId28" Type="http://schemas.openxmlformats.org/officeDocument/2006/relationships/hyperlink" Target="rewritten://8da35b6f-64c2-4d79-b754-e2ec3a611b38" TargetMode="External"/><Relationship Id="rId36" Type="http://schemas.openxmlformats.org/officeDocument/2006/relationships/hyperlink" Target="mailto:Silvia.Staffa@eesc.europa.eu" TargetMode="External"/><Relationship Id="rId49" Type="http://schemas.openxmlformats.org/officeDocument/2006/relationships/hyperlink" Target="https://www.eesc.europa.eu/fr/our-work/opinions-information-reports/opinions/proposition-de-reglement-revision-ciblee-des-regles-de-lue-relatives-aux-dispositifs-medicaux-et-aux-dispositifs-de" TargetMode="External"/><Relationship Id="rId57" Type="http://schemas.openxmlformats.org/officeDocument/2006/relationships/hyperlink" Target="https://www.eesc.europa.eu/fr/our-work/opinions-information-reports/opinions/comprehensive-strategy-nature-based-biodegradable-materials-foster-circularity-and-resource-efficiency-strengthen-agri" TargetMode="External"/><Relationship Id="rId10" Type="http://schemas.openxmlformats.org/officeDocument/2006/relationships/footnotes" Target="footnotes.xml"/><Relationship Id="rId31" Type="http://schemas.openxmlformats.org/officeDocument/2006/relationships/hyperlink" Target="https://www.eesc.europa.eu/fr/our-work/opinions-information-reports/opinions/strategie-de-lue-en-matiere-de-drogue" TargetMode="External"/><Relationship Id="rId44" Type="http://schemas.openxmlformats.org/officeDocument/2006/relationships/hyperlink" Target="mailto:Silvia.Staffa@eesc.europa.eu" TargetMode="External"/><Relationship Id="rId52" Type="http://schemas.openxmlformats.org/officeDocument/2006/relationships/hyperlink" Target="mailto:Silvia.Staffa@eesc.europa.eu" TargetMode="External"/><Relationship Id="rId60" Type="http://schemas.openxmlformats.org/officeDocument/2006/relationships/hyperlink" Target="mailto:Anna.Cameron@eesc.europa.eu" TargetMode="External"/><Relationship Id="rId65" Type="http://schemas.openxmlformats.org/officeDocument/2006/relationships/hyperlink" Target="https://www.eesc.europa.eu/fr/our-work/opinions-information-reports/opinions/invalidation-allowances-market-stability-reserve" TargetMode="External"/><Relationship Id="rId73"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esc.europa.eu/fr/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https://www.eesc.europa.eu/fr/our-work/opinions-information-reports/information-reports/evaluation-du-reglement-ue-20191020-sur-la-surveillance-du-marche-et-la-conformite-des-produits" TargetMode="External"/><Relationship Id="rId34" Type="http://schemas.openxmlformats.org/officeDocument/2006/relationships/hyperlink" Target="mailto:JeanMarie.Rogue@eesc.europa.eu" TargetMode="External"/><Relationship Id="rId50" Type="http://schemas.openxmlformats.org/officeDocument/2006/relationships/hyperlink" Target="mailto:Silvia.Staffa@eesc.europa.eu" TargetMode="External"/><Relationship Id="rId55" Type="http://schemas.openxmlformats.org/officeDocument/2006/relationships/hyperlink" Target="https://www.eesc.europa.eu/fr/our-work/opinions-information-reports/opinions/strategie-de-lue-en-faveur-des-start-et-des-scale-lenjeu-de-lacte-legislatif-europeen-sur-linnovation"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eesc.europa.eu/fr/our-work/opinions-information-reports/opinions/instrument-pour-linnovation-agile-et-rapide-dans-le-domaine-de-la-defense-agile" TargetMode="External"/><Relationship Id="rId2" Type="http://schemas.openxmlformats.org/officeDocument/2006/relationships/customXml" Target="../customXml/item2.xml"/><Relationship Id="rId29" Type="http://schemas.openxmlformats.org/officeDocument/2006/relationships/hyperlink" Target="https://www.eesc.europa.eu/fr/our-work/opinions-information-reports/opinions/competitivite-de-lue-et-entrepreneuriat-des-jeun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FR/TXT/?uri=uriserv:OJ.C_.2018.227.01.0076.01.FRA&amp;toc=OJ:C:2018:227:TOC" TargetMode="External"/><Relationship Id="rId7" Type="http://schemas.openxmlformats.org/officeDocument/2006/relationships/hyperlink" Target="https://eur-lex.europa.eu/legal-content/FR/TXT/?uri=uriserv%3AOJ.C_.2022.152.01.0175.01.ENG&amp;toc=OJ%3AC%3A2022%3A152%3ATOC" TargetMode="External"/><Relationship Id="rId2" Type="http://schemas.openxmlformats.org/officeDocument/2006/relationships/hyperlink" Target="https://www.eesc.europa.eu/fr/our-work/opinions-information-reports/opinions/equivalence-des-inspections-semences-du-bresil-et-de-la-moldavie-modification" TargetMode="External"/><Relationship Id="rId1" Type="http://schemas.openxmlformats.org/officeDocument/2006/relationships/hyperlink" Target="http://data.europa.eu/eli/C/2024/6880/oj" TargetMode="External"/><Relationship Id="rId6" Type="http://schemas.openxmlformats.org/officeDocument/2006/relationships/hyperlink" Target="https://www.eesc.europa.eu/fr/our-work/opinions-information-reports/opinions/revision-du-systeme-dechange-de-quotas-demission-de-lue-seqe-y-compris-le-transport-maritime-et-la-reserve-de-stabilite" TargetMode="External"/><Relationship Id="rId5" Type="http://schemas.openxmlformats.org/officeDocument/2006/relationships/hyperlink" Target="https://eur-lex.europa.eu/legal-content/FR/TXT/?uri=uriserv%3AOJ.C_.2020.429.01.0276.01.FRA&amp;toc=OJ%3AC%3A2020%3A429%3ATOC" TargetMode="External"/><Relationship Id="rId4" Type="http://schemas.openxmlformats.org/officeDocument/2006/relationships/hyperlink" Target="https://www.eesc.europa.eu/fr/our-work/opinions-information-reports/opinions/equivalence-des-semences-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VP3JK3XSEPRV-2087481956-9156</_dlc_DocId>
    <_dlc_DocIdUrl xmlns="7d640e6d-779c-472f-a269-6b546787f1c9">
      <Url>http://dm/eesc/2026/_layouts/15/DocIdRedir.aspx?ID=VP3JK3XSEPRV-2087481956-9156</Url>
      <Description>VP3JK3XSEPRV-2087481956-9156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2026-05-22T12:00:00+00:00</ProductionDate>
    <DocumentNumber xmlns="a95533f8-59af-4217-bc7a-c1167744adb0">936</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MeetingDate xmlns="7d640e6d-779c-472f-a269-6b546787f1c9">2026-06-17T12:00:00+00:00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303002</FicheNumber>
    <OriginalSender xmlns="7d640e6d-779c-472f-a269-6b546787f1c9">
      <UserInfo>
        <DisplayName>Reniere Nathalie</DisplayName>
        <AccountId>1350</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2.xml><?xml version="1.0" encoding="utf-8"?>
<ds:datastoreItem xmlns:ds="http://schemas.openxmlformats.org/officeDocument/2006/customXml" ds:itemID="{7F81E822-BD94-4CFD-8DA3-51CEFE26D02E}"/>
</file>

<file path=customXml/itemProps3.xml><?xml version="1.0" encoding="utf-8"?>
<ds:datastoreItem xmlns:ds="http://schemas.openxmlformats.org/officeDocument/2006/customXml" ds:itemID="{F0CC17BB-7ED8-47CF-857B-E1E1F9E37692}">
  <ds:schemaRefs>
    <ds:schemaRef ds:uri="http://schemas.openxmlformats.org/officeDocument/2006/bibliography"/>
  </ds:schemaRefs>
</ds:datastoreItem>
</file>

<file path=customXml/itemProps4.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5.xml><?xml version="1.0" encoding="utf-8"?>
<ds:datastoreItem xmlns:ds="http://schemas.openxmlformats.org/officeDocument/2006/customXml" ds:itemID="{4550B7D9-B944-4719-A93C-2F495E041519}">
  <ds:schemaRefs>
    <ds:schemaRef ds:uri="http://schemas.microsoft.com/sharepoint/events"/>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34</Pages>
  <Words>10673</Words>
  <Characters>67244</Characters>
  <Application>Microsoft Office Word</Application>
  <DocSecurity>0</DocSecurity>
  <Lines>1769</Lines>
  <Paragraphs>998</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76919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Synthèse des avis - 605e session plénière - avril 2026</dc:title>
  <dc:subject>ADMIN</dc:subject>
  <dc:creator/>
  <cp:keywords>COR-EESC-2022-02583-00-00-ADMIN-TRA-EN</cp:keywords>
  <dc:description>Rapporteur:  - Original language: EN - Date of document: 20/05/2022 - Date of meeting:  - External documents:  - Administrator:  SUCIU Serban</dc:description>
  <cp:lastModifiedBy/>
  <cp:revision>15</cp:revision>
  <dcterms:created xsi:type="dcterms:W3CDTF">2026-05-08T11:50:00Z</dcterms:created>
  <dcterms:modified xsi:type="dcterms:W3CDTF">2026-05-22T13:56:00Z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08/05/2026, 02/05/2022, 02/05/2022, 28/06/2021</vt:lpwstr>
  </property>
  <property fmtid="{D5CDD505-2E9C-101B-9397-08002B2CF9AE}" pid="4" name="Pref_Time">
    <vt:lpwstr>13:50:41, 12:28:29, 12:25:37, 08:41:48</vt:lpwstr>
  </property>
  <property fmtid="{D5CDD505-2E9C-101B-9397-08002B2CF9AE}" pid="5" name="Pref_User">
    <vt:lpwstr>pacup, enied, enied, enied</vt:lpwstr>
  </property>
  <property fmtid="{D5CDD505-2E9C-101B-9397-08002B2CF9AE}" pid="6" name="Pref_FileName">
    <vt:lpwstr>EESC-2026-00936-00-00-TCD-ORI.docx, Summary of opinions.docx, COR-EESC-2022-02370-00-00-ADMIN-ORI.docx, Synthese des avis Template.docx</vt:lpwstr>
  </property>
  <property fmtid="{D5CDD505-2E9C-101B-9397-08002B2CF9AE}" pid="7" name="ContentTypeId">
    <vt:lpwstr>0x010100EA97B91038054C99906057A708A1480A0042CFDF3EA65A64469BBC042F89C9AB74</vt:lpwstr>
  </property>
  <property fmtid="{D5CDD505-2E9C-101B-9397-08002B2CF9AE}" pid="8" name="_dlc_DocIdItemGuid">
    <vt:lpwstr>ba7da8a4-c32d-4425-a5fc-49f57870cf4e</vt:lpwstr>
  </property>
  <property fmtid="{D5CDD505-2E9C-101B-9397-08002B2CF9AE}" pid="9" name="AvailableTranslations">
    <vt:lpwstr>25;#FI|87606a43-d45f-42d6-b8c9-e1a3457db5b7;#4;#EN|f2175f21-25d7-44a3-96da-d6a61b075e1b;#51;#LV|46f7e311-5d9f-4663-b433-18aeccb7ace7;#13;#IT|0774613c-01ed-4e5d-a25d-11d2388de825;#37;#HU|6b229040-c589-4408-b4c1-4285663d20a8;#31;#SL|98a412ae-eb01-49e9-ae3d-585a81724cfc;#23;#FR|d2afafd3-4c81-4f60-8f52-ee33f2f54ff3;#30;#SK|46d9fce0-ef79-4f71-b89b-cd6aa82426b8;#28;#PT|50ccc04a-eadd-42ae-a0cb-acaf45f812ba;#34;#HR|2f555653-ed1a-4fe6-8362-9082d95989e5;#27;#ET|ff6c3f4c-b02c-4c3c-ab07-2c37995a7a0a;#44;#LT|a7ff5ce7-6123-4f68-865a-a57c31810414;#46;#DA|5d49c027-8956-412b-aa16-e85a0f96ad0e;#29;#CS|72f9705b-0217-4fd3-bea2-cbc7ed80e26e;#60;#EL|6d4f4d51-af9b-4650-94b4-4276bee85c91;#55;#RO|feb747a2-64cd-4299-af12-4833ddc30497;#11;#DE|f6b31e5a-26fa-4935-b661-318e46daf27e;#12;#ES|e7a6b05b-ae16-40c8-add9-68b64b03aeba;#43;#BG|1a1b3951-7821-4e6a-85f5-5673fc08bd2c;#32;#PL|1e03da61-4678-4e07-b136-b5024ca9197b;#36;#NL|55c6556c-b4f4-441d-9acf-c498d4f838bd;#45;#SV|c2ed69e7-a339-43d7-8f22-d93680a92aa0</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936</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19;#Unrestricted|826e22d7-d029-4ec0-a450-0c28ff673572</vt:lpwstr>
  </property>
  <property fmtid="{D5CDD505-2E9C-101B-9397-08002B2CF9AE}" pid="19" name="OriginalLanguage">
    <vt:lpwstr>4;#EN|f2175f21-25d7-44a3-96da-d6a61b075e1b</vt:lpwstr>
  </property>
  <property fmtid="{D5CDD505-2E9C-101B-9397-08002B2CF9AE}" pid="20" name="MeetingName">
    <vt:lpwstr>59;#SPL-CES|32d8cb1f-c9ec-4365-95c7-8385a18618ac</vt:lpwstr>
  </property>
  <property fmtid="{D5CDD505-2E9C-101B-9397-08002B2CF9AE}" pid="21" name="TaxCatchAll">
    <vt:lpwstr>60;#EL|6d4f4d51-af9b-4650-94b4-4276bee85c91;#59;#SPL-CES|32d8cb1f-c9ec-4365-95c7-8385a18618ac;#55;#RO|feb747a2-64cd-4299-af12-4833ddc30497;#51;#LV|46f7e311-5d9f-4663-b433-18aeccb7ace7;#46;#DA|5d49c027-8956-412b-aa16-e85a0f96ad0e;#45;#SV|c2ed69e7-a339-43d7-8f22-d93680a92aa0;#44;#LT|a7ff5ce7-6123-4f68-865a-a57c31810414;#43;#BG|1a1b3951-7821-4e6a-85f5-5673fc08bd2c;#37;#HU|6b229040-c589-4408-b4c1-4285663d20a8;#36;#NL|55c6556c-b4f4-441d-9acf-c498d4f838bd;#34;#HR|2f555653-ed1a-4fe6-8362-9082d95989e5;#32;#PL|1e03da61-4678-4e07-b136-b5024ca9197b;#31;#SL|98a412ae-eb01-49e9-ae3d-585a81724cfc;#30;#SK|46d9fce0-ef79-4f71-b89b-cd6aa82426b8;#29;#CS|72f9705b-0217-4fd3-bea2-cbc7ed80e26e;#28;#PT|50ccc04a-eadd-42ae-a0cb-acaf45f812ba;#27;#ET|ff6c3f4c-b02c-4c3c-ab07-2c37995a7a0a;#25;#FI|87606a43-d45f-42d6-b8c9-e1a3457db5b7;#19;#Unrestricted|826e22d7-d029-4ec0-a450-0c28ff673572;#18;#TCD|cd9d6eb6-3f4f-424a-b2d1-57c9d450eaaf;#13;#IT|0774613c-01ed-4e5d-a25d-11d2388de825;#12;#ES|e7a6b05b-ae16-40c8-add9-68b64b03aeba;#11;#DE|f6b31e5a-26fa-4935-b661-318e46daf27e;#9;#TRA|150d2a88-1431-44e6-a8ca-0bb753ab8672;#7;#Final|ea5e6674-7b27-4bac-b091-73adbb394efe;#4;#EN|f2175f21-25d7-44a3-96da-d6a61b075e1b;#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7;#Final|ea5e6674-7b27-4bac-b091-73adbb394efe</vt:lpwstr>
  </property>
  <property fmtid="{D5CDD505-2E9C-101B-9397-08002B2CF9AE}" pid="25" name="DocumentYear">
    <vt:i4>2026</vt:i4>
  </property>
  <property fmtid="{D5CDD505-2E9C-101B-9397-08002B2CF9AE}" pid="26" name="FicheNumber">
    <vt:i4>303002</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18;#TCD|cd9d6eb6-3f4f-424a-b2d1-57c9d450eaaf</vt:lpwstr>
  </property>
  <property fmtid="{D5CDD505-2E9C-101B-9397-08002B2CF9AE}" pid="31" name="RequestingService">
    <vt:lpwstr>Greffe</vt:lpwstr>
  </property>
  <property fmtid="{D5CDD505-2E9C-101B-9397-08002B2CF9AE}" pid="32" name="DocumentLanguage">
    <vt:lpwstr>23;#FR|d2afafd3-4c81-4f60-8f52-ee33f2f54ff3</vt:lpwstr>
  </property>
  <property fmtid="{D5CDD505-2E9C-101B-9397-08002B2CF9AE}" pid="33" name="AvailableTranslations_0">
    <vt:lpwstr>FI|87606a43-d45f-42d6-b8c9-e1a3457db5b7;EN|f2175f21-25d7-44a3-96da-d6a61b075e1b;LV|46f7e311-5d9f-4663-b433-18aeccb7ace7;IT|0774613c-01ed-4e5d-a25d-11d2388de825;HU|6b229040-c589-4408-b4c1-4285663d20a8;SL|98a412ae-eb01-49e9-ae3d-585a81724cfc;SK|46d9fce0-ef79-4f71-b89b-cd6aa82426b8;PT|50ccc04a-eadd-42ae-a0cb-acaf45f812ba;HR|2f555653-ed1a-4fe6-8362-9082d95989e5;ET|ff6c3f4c-b02c-4c3c-ab07-2c37995a7a0a;LT|a7ff5ce7-6123-4f68-865a-a57c31810414;DA|5d49c027-8956-412b-aa16-e85a0f96ad0e;CS|72f9705b-0217-4fd3-bea2-cbc7ed80e26e;EL|6d4f4d51-af9b-4650-94b4-4276bee85c91;RO|feb747a2-64cd-4299-af12-4833ddc30497;DE|f6b31e5a-26fa-4935-b661-318e46daf27e;ES|e7a6b05b-ae16-40c8-add9-68b64b03aeba;BG|1a1b3951-7821-4e6a-85f5-5673fc08bd2c;PL|1e03da61-4678-4e07-b136-b5024ca9197b;NL|55c6556c-b4f4-441d-9acf-c498d4f838bd;SV|c2ed69e7-a339-43d7-8f22-d93680a92aa0</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606</vt:i4>
  </property>
  <property fmtid="{D5CDD505-2E9C-101B-9397-08002B2CF9AE}" pid="40" name="MeetingDate">
    <vt:filetime>2026-06-17T12:00:00Z</vt:filetime>
  </property>
</Properties>
</file>