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5F46ABE9" w:rsidR="004D7AC0" w:rsidRDefault="003F5613" w:rsidP="004D7AC0">
      <w:pPr>
        <w:jc w:val="center"/>
      </w:pPr>
      <w:r>
        <w:rPr>
          <w:noProof/>
          <w:lang w:val="en-GB" w:eastAsia="en-GB"/>
        </w:rPr>
        <w:drawing>
          <wp:inline distT="0" distB="0" distL="0" distR="0" wp14:anchorId="13A54CE1" wp14:editId="47830830">
            <wp:extent cx="1792800" cy="1242000"/>
            <wp:effectExtent l="0" t="0" r="0" b="0"/>
            <wp:docPr id="1" name="Picture 1" title="EESCLogo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fi-quadri_M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004D7AC0">
        <w:rPr>
          <w:noProof/>
          <w:sz w:val="20"/>
          <w:lang w:val="en-US"/>
        </w:rPr>
        <mc:AlternateContent>
          <mc:Choice Requires="wps">
            <w:drawing>
              <wp:anchor distT="0" distB="0" distL="114300" distR="114300" simplePos="0" relativeHeight="251659264" behindDoc="1" locked="0" layoutInCell="0" allowOverlap="1" wp14:anchorId="4982DE48" wp14:editId="353E038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3760A28D" w:rsidR="004D7AC0" w:rsidRPr="00260E65" w:rsidRDefault="003F77B6" w:rsidP="004D7AC0">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3760A28D" w:rsidR="004D7AC0" w:rsidRPr="00260E65" w:rsidRDefault="003F77B6" w:rsidP="004D7AC0">
                      <w:pPr>
                        <w:jc w:val="center"/>
                        <w:rPr>
                          <w:rFonts w:ascii="Arial" w:hAnsi="Arial" w:cs="Arial"/>
                          <w:b/>
                          <w:bCs/>
                          <w:sz w:val="48"/>
                        </w:rPr>
                      </w:pPr>
                      <w:r>
                        <w:rPr>
                          <w:rFonts w:ascii="Arial" w:hAnsi="Arial"/>
                          <w:b/>
                          <w:sz w:val="48"/>
                        </w:rPr>
                        <w:t>FI</w:t>
                      </w:r>
                    </w:p>
                  </w:txbxContent>
                </v:textbox>
                <w10:wrap anchorx="page" anchory="page"/>
              </v:shape>
            </w:pict>
          </mc:Fallback>
        </mc:AlternateContent>
      </w:r>
    </w:p>
    <w:p w14:paraId="4982DD4E" w14:textId="77777777" w:rsidR="004D7AC0" w:rsidRDefault="004D7AC0" w:rsidP="004D7AC0"/>
    <w:p w14:paraId="4982DD4F" w14:textId="12F8AB1A" w:rsidR="004D7AC0" w:rsidRDefault="004D7AC0" w:rsidP="004D7AC0">
      <w:pPr>
        <w:jc w:val="right"/>
      </w:pPr>
      <w:r>
        <w:t xml:space="preserve">Bryssel </w:t>
      </w:r>
      <w:r w:rsidR="00DF3AF9">
        <w:t>22</w:t>
      </w:r>
      <w:r>
        <w:t xml:space="preserve">. </w:t>
      </w:r>
      <w:r w:rsidR="00DF3AF9">
        <w:t>touko</w:t>
      </w:r>
      <w:r>
        <w:t xml:space="preserve">kuuta </w:t>
      </w:r>
      <w:r w:rsidR="00DF3AF9">
        <w:t>2026</w:t>
      </w:r>
      <w:r>
        <w:t xml:space="preserve"> </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734CF363" w:rsidR="003066BE" w:rsidRDefault="00DF3AF9" w:rsidP="00600C84">
            <w:pPr>
              <w:snapToGrid w:val="0"/>
              <w:jc w:val="center"/>
              <w:rPr>
                <w:b/>
                <w:sz w:val="32"/>
                <w:szCs w:val="32"/>
              </w:rPr>
            </w:pPr>
            <w:r>
              <w:rPr>
                <w:b/>
                <w:sz w:val="32"/>
              </w:rPr>
              <w:t>605</w:t>
            </w:r>
            <w:r w:rsidR="00D81F5E">
              <w:rPr>
                <w:b/>
                <w:sz w:val="32"/>
              </w:rPr>
              <w:t>. TÄYSISTUNNOSSA</w:t>
            </w:r>
          </w:p>
          <w:p w14:paraId="4982DD54" w14:textId="77777777" w:rsidR="003066BE" w:rsidRDefault="003066BE" w:rsidP="00600C84">
            <w:pPr>
              <w:snapToGrid w:val="0"/>
              <w:jc w:val="center"/>
              <w:rPr>
                <w:b/>
                <w:sz w:val="32"/>
                <w:szCs w:val="32"/>
              </w:rPr>
            </w:pPr>
          </w:p>
          <w:p w14:paraId="4982DD55" w14:textId="5FBCD1D2" w:rsidR="003066BE" w:rsidRDefault="00DF3AF9" w:rsidP="00600C84">
            <w:pPr>
              <w:snapToGrid w:val="0"/>
              <w:jc w:val="center"/>
              <w:rPr>
                <w:b/>
                <w:sz w:val="32"/>
                <w:szCs w:val="32"/>
              </w:rPr>
            </w:pPr>
            <w:r>
              <w:rPr>
                <w:b/>
                <w:sz w:val="32"/>
              </w:rPr>
              <w:t>29</w:t>
            </w:r>
            <w:r w:rsidR="003066BE">
              <w:rPr>
                <w:b/>
                <w:sz w:val="32"/>
              </w:rPr>
              <w:t>.</w:t>
            </w:r>
            <w:r>
              <w:rPr>
                <w:b/>
                <w:sz w:val="32"/>
              </w:rPr>
              <w:t xml:space="preserve"> ja 30.</w:t>
            </w:r>
            <w:r w:rsidR="003066BE">
              <w:rPr>
                <w:b/>
                <w:sz w:val="32"/>
              </w:rPr>
              <w:t xml:space="preserve"> </w:t>
            </w:r>
            <w:r>
              <w:rPr>
                <w:b/>
                <w:sz w:val="32"/>
              </w:rPr>
              <w:t>huhti</w:t>
            </w:r>
            <w:r w:rsidR="003066BE">
              <w:rPr>
                <w:b/>
                <w:sz w:val="32"/>
              </w:rPr>
              <w:t xml:space="preserve">kuuta </w:t>
            </w:r>
            <w:r>
              <w:rPr>
                <w:b/>
                <w:sz w:val="32"/>
              </w:rPr>
              <w:t>2026</w:t>
            </w:r>
          </w:p>
          <w:p w14:paraId="4982DD56" w14:textId="77777777" w:rsidR="003066BE" w:rsidRDefault="003066BE" w:rsidP="00600C84">
            <w:pPr>
              <w:snapToGrid w:val="0"/>
              <w:jc w:val="center"/>
              <w:rPr>
                <w:b/>
                <w:sz w:val="32"/>
                <w:szCs w:val="32"/>
              </w:rPr>
            </w:pPr>
          </w:p>
          <w:p w14:paraId="4982DD57" w14:textId="3BD04811" w:rsidR="004D7AC0" w:rsidRPr="0081153B" w:rsidRDefault="00066CBB" w:rsidP="00600C84">
            <w:pPr>
              <w:snapToGrid w:val="0"/>
              <w:jc w:val="center"/>
              <w:rPr>
                <w:rFonts w:eastAsia="MS Mincho"/>
                <w:b/>
                <w:sz w:val="32"/>
                <w:szCs w:val="32"/>
              </w:rPr>
            </w:pPr>
            <w:r>
              <w:rPr>
                <w:b/>
                <w:sz w:val="32"/>
              </w:rPr>
              <w:t>ANNETUT LAUSUNNOT JA PÄÄTÖSLAUSELMAT SEKÄ TIEDONANNOT JA ARVIOINTIKERTOMUKSET</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t xml:space="preserve">Asiakirja on saatavilla unionin virallisilla kielillä </w:t>
            </w:r>
            <w:proofErr w:type="spellStart"/>
            <w:r>
              <w:t>ETSK:n</w:t>
            </w:r>
            <w:proofErr w:type="spellEnd"/>
            <w:r>
              <w:t xml:space="preserve"> verkkosivuilla osoitteessa</w:t>
            </w:r>
            <w:r>
              <w:br/>
            </w:r>
            <w:r>
              <w:br/>
            </w:r>
            <w:hyperlink r:id="rId13" w:history="1">
              <w:r>
                <w:rPr>
                  <w:rStyle w:val="Hyperlink"/>
                </w:rPr>
                <w:t>https://www.eesc.europa.eu/fi/our-work/opinions-information-reports/plenary-session-summaries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Mainitut lausunnot ovat haettavissa sähköisessä muodossa komitean hakukoneella:</w:t>
            </w:r>
            <w:r>
              <w:br/>
            </w:r>
            <w:r>
              <w:br/>
            </w:r>
            <w:hyperlink r:id="rId14"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D40A83">
          <w:footerReference w:type="default" r:id="rId15"/>
          <w:pgSz w:w="11907" w:h="16839"/>
          <w:pgMar w:top="1417" w:right="1417" w:bottom="1417" w:left="1417" w:header="709" w:footer="709" w:gutter="0"/>
          <w:cols w:space="708"/>
          <w:docGrid w:linePitch="360"/>
        </w:sectPr>
      </w:pPr>
    </w:p>
    <w:p w14:paraId="4982DD63" w14:textId="77777777" w:rsidR="004D7AC0" w:rsidRPr="00A81AFE" w:rsidRDefault="004D7AC0" w:rsidP="004D7AC0">
      <w:pPr>
        <w:rPr>
          <w:b/>
        </w:rPr>
      </w:pPr>
      <w:r>
        <w:rPr>
          <w:b/>
        </w:rPr>
        <w:lastRenderedPageBreak/>
        <w:t>Sisällys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75EAEAF3" w14:textId="3B47CD6D" w:rsidR="0064109F" w:rsidRDefault="004D7AC0">
          <w:pPr>
            <w:pStyle w:val="TOC1"/>
            <w:tabs>
              <w:tab w:val="left" w:pos="440"/>
              <w:tab w:val="right" w:leader="dot" w:pos="9063"/>
            </w:tabs>
            <w:rPr>
              <w:rFonts w:asciiTheme="minorHAnsi" w:eastAsiaTheme="minorEastAsia" w:hAnsiTheme="minorHAnsi" w:cstheme="minorBidi"/>
              <w:noProof/>
              <w:lang w:eastAsia="fi-FI"/>
            </w:rPr>
          </w:pPr>
          <w:r>
            <w:fldChar w:fldCharType="begin"/>
          </w:r>
          <w:r>
            <w:instrText xml:space="preserve"> TOC \o "1-3" \h \z \u </w:instrText>
          </w:r>
          <w:r>
            <w:fldChar w:fldCharType="separate"/>
          </w:r>
          <w:hyperlink w:anchor="_Toc229383131" w:history="1">
            <w:r w:rsidR="0064109F" w:rsidRPr="0012378B">
              <w:rPr>
                <w:rStyle w:val="Hyperlink"/>
                <w:b/>
                <w:noProof/>
              </w:rPr>
              <w:t>1.</w:t>
            </w:r>
            <w:r w:rsidR="0064109F">
              <w:rPr>
                <w:rFonts w:asciiTheme="minorHAnsi" w:eastAsiaTheme="minorEastAsia" w:hAnsiTheme="minorHAnsi" w:cstheme="minorBidi"/>
                <w:noProof/>
                <w:lang w:eastAsia="fi-FI"/>
              </w:rPr>
              <w:tab/>
            </w:r>
            <w:r w:rsidR="0064109F" w:rsidRPr="0012378B">
              <w:rPr>
                <w:rStyle w:val="Hyperlink"/>
                <w:b/>
                <w:noProof/>
              </w:rPr>
              <w:t>TALOUS- JA RAHALIITTO, TALOUDELLINEN JA SOSIAALINEN YHTEENKUULUVUUS</w:t>
            </w:r>
            <w:r w:rsidR="0064109F">
              <w:rPr>
                <w:noProof/>
                <w:webHidden/>
              </w:rPr>
              <w:tab/>
            </w:r>
            <w:r w:rsidR="0064109F">
              <w:rPr>
                <w:noProof/>
                <w:webHidden/>
              </w:rPr>
              <w:fldChar w:fldCharType="begin"/>
            </w:r>
            <w:r w:rsidR="0064109F">
              <w:rPr>
                <w:noProof/>
                <w:webHidden/>
              </w:rPr>
              <w:instrText xml:space="preserve"> PAGEREF _Toc229383131 \h </w:instrText>
            </w:r>
            <w:r w:rsidR="0064109F">
              <w:rPr>
                <w:noProof/>
                <w:webHidden/>
              </w:rPr>
            </w:r>
            <w:r w:rsidR="0064109F">
              <w:rPr>
                <w:noProof/>
                <w:webHidden/>
              </w:rPr>
              <w:fldChar w:fldCharType="separate"/>
            </w:r>
            <w:r w:rsidR="00943C9F">
              <w:rPr>
                <w:noProof/>
                <w:webHidden/>
              </w:rPr>
              <w:t>3</w:t>
            </w:r>
            <w:r w:rsidR="0064109F">
              <w:rPr>
                <w:noProof/>
                <w:webHidden/>
              </w:rPr>
              <w:fldChar w:fldCharType="end"/>
            </w:r>
          </w:hyperlink>
        </w:p>
        <w:p w14:paraId="2A8EB30A" w14:textId="040783D7" w:rsidR="0064109F" w:rsidRDefault="003665FE">
          <w:pPr>
            <w:pStyle w:val="TOC1"/>
            <w:tabs>
              <w:tab w:val="left" w:pos="440"/>
              <w:tab w:val="right" w:leader="dot" w:pos="9063"/>
            </w:tabs>
            <w:rPr>
              <w:rFonts w:asciiTheme="minorHAnsi" w:eastAsiaTheme="minorEastAsia" w:hAnsiTheme="minorHAnsi" w:cstheme="minorBidi"/>
              <w:noProof/>
              <w:lang w:eastAsia="fi-FI"/>
            </w:rPr>
          </w:pPr>
          <w:hyperlink w:anchor="_Toc229383143" w:history="1">
            <w:r w:rsidR="0064109F" w:rsidRPr="0012378B">
              <w:rPr>
                <w:rStyle w:val="Hyperlink"/>
                <w:b/>
                <w:noProof/>
              </w:rPr>
              <w:t>2.</w:t>
            </w:r>
            <w:r w:rsidR="0064109F">
              <w:rPr>
                <w:rFonts w:asciiTheme="minorHAnsi" w:eastAsiaTheme="minorEastAsia" w:hAnsiTheme="minorHAnsi" w:cstheme="minorBidi"/>
                <w:noProof/>
                <w:lang w:eastAsia="fi-FI"/>
              </w:rPr>
              <w:tab/>
            </w:r>
            <w:r w:rsidR="0064109F" w:rsidRPr="0012378B">
              <w:rPr>
                <w:rStyle w:val="Hyperlink"/>
                <w:b/>
                <w:noProof/>
              </w:rPr>
              <w:t>TYÖLLISYYS, SOSIAALIASIAT JA KANSALAISUUS</w:t>
            </w:r>
            <w:r w:rsidR="0064109F">
              <w:rPr>
                <w:noProof/>
                <w:webHidden/>
              </w:rPr>
              <w:tab/>
            </w:r>
            <w:r w:rsidR="0064109F">
              <w:rPr>
                <w:noProof/>
                <w:webHidden/>
              </w:rPr>
              <w:fldChar w:fldCharType="begin"/>
            </w:r>
            <w:r w:rsidR="0064109F">
              <w:rPr>
                <w:noProof/>
                <w:webHidden/>
              </w:rPr>
              <w:instrText xml:space="preserve"> PAGEREF _Toc229383143 \h </w:instrText>
            </w:r>
            <w:r w:rsidR="0064109F">
              <w:rPr>
                <w:noProof/>
                <w:webHidden/>
              </w:rPr>
            </w:r>
            <w:r w:rsidR="0064109F">
              <w:rPr>
                <w:noProof/>
                <w:webHidden/>
              </w:rPr>
              <w:fldChar w:fldCharType="separate"/>
            </w:r>
            <w:r w:rsidR="00943C9F">
              <w:rPr>
                <w:noProof/>
                <w:webHidden/>
              </w:rPr>
              <w:t>7</w:t>
            </w:r>
            <w:r w:rsidR="0064109F">
              <w:rPr>
                <w:noProof/>
                <w:webHidden/>
              </w:rPr>
              <w:fldChar w:fldCharType="end"/>
            </w:r>
          </w:hyperlink>
        </w:p>
        <w:p w14:paraId="71359B0E" w14:textId="0068AAFA" w:rsidR="0064109F" w:rsidRDefault="003665FE">
          <w:pPr>
            <w:pStyle w:val="TOC1"/>
            <w:tabs>
              <w:tab w:val="left" w:pos="440"/>
              <w:tab w:val="right" w:leader="dot" w:pos="9063"/>
            </w:tabs>
            <w:rPr>
              <w:rFonts w:asciiTheme="minorHAnsi" w:eastAsiaTheme="minorEastAsia" w:hAnsiTheme="minorHAnsi" w:cstheme="minorBidi"/>
              <w:noProof/>
              <w:lang w:eastAsia="fi-FI"/>
            </w:rPr>
          </w:pPr>
          <w:hyperlink w:anchor="_Toc229383157" w:history="1">
            <w:r w:rsidR="0064109F" w:rsidRPr="0012378B">
              <w:rPr>
                <w:rStyle w:val="Hyperlink"/>
                <w:b/>
                <w:noProof/>
              </w:rPr>
              <w:t>3.</w:t>
            </w:r>
            <w:r w:rsidR="0064109F">
              <w:rPr>
                <w:rFonts w:asciiTheme="minorHAnsi" w:eastAsiaTheme="minorEastAsia" w:hAnsiTheme="minorHAnsi" w:cstheme="minorBidi"/>
                <w:noProof/>
                <w:lang w:eastAsia="fi-FI"/>
              </w:rPr>
              <w:tab/>
            </w:r>
            <w:r w:rsidR="0064109F" w:rsidRPr="0012378B">
              <w:rPr>
                <w:rStyle w:val="Hyperlink"/>
                <w:b/>
                <w:noProof/>
              </w:rPr>
              <w:t>SISÄMARKKINAT, TUOTANTO JA KULUTUS</w:t>
            </w:r>
            <w:r w:rsidR="0064109F">
              <w:rPr>
                <w:noProof/>
                <w:webHidden/>
              </w:rPr>
              <w:tab/>
            </w:r>
            <w:r w:rsidR="0064109F">
              <w:rPr>
                <w:noProof/>
                <w:webHidden/>
              </w:rPr>
              <w:fldChar w:fldCharType="begin"/>
            </w:r>
            <w:r w:rsidR="0064109F">
              <w:rPr>
                <w:noProof/>
                <w:webHidden/>
              </w:rPr>
              <w:instrText xml:space="preserve"> PAGEREF _Toc229383157 \h </w:instrText>
            </w:r>
            <w:r w:rsidR="0064109F">
              <w:rPr>
                <w:noProof/>
                <w:webHidden/>
              </w:rPr>
            </w:r>
            <w:r w:rsidR="0064109F">
              <w:rPr>
                <w:noProof/>
                <w:webHidden/>
              </w:rPr>
              <w:fldChar w:fldCharType="separate"/>
            </w:r>
            <w:r w:rsidR="00943C9F">
              <w:rPr>
                <w:noProof/>
                <w:webHidden/>
              </w:rPr>
              <w:t>13</w:t>
            </w:r>
            <w:r w:rsidR="0064109F">
              <w:rPr>
                <w:noProof/>
                <w:webHidden/>
              </w:rPr>
              <w:fldChar w:fldCharType="end"/>
            </w:r>
          </w:hyperlink>
        </w:p>
        <w:p w14:paraId="308A6105" w14:textId="3CFF106D" w:rsidR="0064109F" w:rsidRDefault="003665FE">
          <w:pPr>
            <w:pStyle w:val="TOC1"/>
            <w:tabs>
              <w:tab w:val="left" w:pos="440"/>
              <w:tab w:val="right" w:leader="dot" w:pos="9063"/>
            </w:tabs>
            <w:rPr>
              <w:rFonts w:asciiTheme="minorHAnsi" w:eastAsiaTheme="minorEastAsia" w:hAnsiTheme="minorHAnsi" w:cstheme="minorBidi"/>
              <w:noProof/>
              <w:lang w:eastAsia="fi-FI"/>
            </w:rPr>
          </w:pPr>
          <w:hyperlink w:anchor="_Toc229383158" w:history="1">
            <w:r w:rsidR="0064109F" w:rsidRPr="0012378B">
              <w:rPr>
                <w:rStyle w:val="Hyperlink"/>
                <w:b/>
                <w:noProof/>
              </w:rPr>
              <w:t>4.</w:t>
            </w:r>
            <w:r w:rsidR="0064109F">
              <w:rPr>
                <w:rFonts w:asciiTheme="minorHAnsi" w:eastAsiaTheme="minorEastAsia" w:hAnsiTheme="minorHAnsi" w:cstheme="minorBidi"/>
                <w:noProof/>
                <w:lang w:eastAsia="fi-FI"/>
              </w:rPr>
              <w:tab/>
            </w:r>
            <w:r w:rsidR="0064109F" w:rsidRPr="0012378B">
              <w:rPr>
                <w:rStyle w:val="Hyperlink"/>
                <w:b/>
                <w:noProof/>
              </w:rPr>
              <w:t>MAATALOUS, MAASEUDUN KEHITTÄMINEN JA YMPÄRISTÖ</w:t>
            </w:r>
            <w:r w:rsidR="0064109F">
              <w:rPr>
                <w:noProof/>
                <w:webHidden/>
              </w:rPr>
              <w:tab/>
            </w:r>
            <w:r w:rsidR="0064109F">
              <w:rPr>
                <w:noProof/>
                <w:webHidden/>
              </w:rPr>
              <w:fldChar w:fldCharType="begin"/>
            </w:r>
            <w:r w:rsidR="0064109F">
              <w:rPr>
                <w:noProof/>
                <w:webHidden/>
              </w:rPr>
              <w:instrText xml:space="preserve"> PAGEREF _Toc229383158 \h </w:instrText>
            </w:r>
            <w:r w:rsidR="0064109F">
              <w:rPr>
                <w:noProof/>
                <w:webHidden/>
              </w:rPr>
            </w:r>
            <w:r w:rsidR="0064109F">
              <w:rPr>
                <w:noProof/>
                <w:webHidden/>
              </w:rPr>
              <w:fldChar w:fldCharType="separate"/>
            </w:r>
            <w:r w:rsidR="00943C9F">
              <w:rPr>
                <w:noProof/>
                <w:webHidden/>
              </w:rPr>
              <w:t>25</w:t>
            </w:r>
            <w:r w:rsidR="0064109F">
              <w:rPr>
                <w:noProof/>
                <w:webHidden/>
              </w:rPr>
              <w:fldChar w:fldCharType="end"/>
            </w:r>
          </w:hyperlink>
        </w:p>
        <w:p w14:paraId="12261A14" w14:textId="0D2FDD45" w:rsidR="0064109F" w:rsidRDefault="003665FE">
          <w:pPr>
            <w:pStyle w:val="TOC1"/>
            <w:tabs>
              <w:tab w:val="left" w:pos="440"/>
              <w:tab w:val="right" w:leader="dot" w:pos="9063"/>
            </w:tabs>
            <w:rPr>
              <w:rFonts w:asciiTheme="minorHAnsi" w:eastAsiaTheme="minorEastAsia" w:hAnsiTheme="minorHAnsi" w:cstheme="minorBidi"/>
              <w:noProof/>
              <w:lang w:eastAsia="fi-FI"/>
            </w:rPr>
          </w:pPr>
          <w:hyperlink w:anchor="_Toc229383182" w:history="1">
            <w:r w:rsidR="0064109F" w:rsidRPr="0012378B">
              <w:rPr>
                <w:rStyle w:val="Hyperlink"/>
                <w:b/>
                <w:noProof/>
              </w:rPr>
              <w:t>5.</w:t>
            </w:r>
            <w:r w:rsidR="0064109F">
              <w:rPr>
                <w:rFonts w:asciiTheme="minorHAnsi" w:eastAsiaTheme="minorEastAsia" w:hAnsiTheme="minorHAnsi" w:cstheme="minorBidi"/>
                <w:noProof/>
                <w:lang w:eastAsia="fi-FI"/>
              </w:rPr>
              <w:tab/>
            </w:r>
            <w:r w:rsidR="0064109F" w:rsidRPr="0012378B">
              <w:rPr>
                <w:rStyle w:val="Hyperlink"/>
                <w:b/>
                <w:noProof/>
              </w:rPr>
              <w:t>ULKOSUHTEET</w:t>
            </w:r>
            <w:r w:rsidR="0064109F">
              <w:rPr>
                <w:noProof/>
                <w:webHidden/>
              </w:rPr>
              <w:tab/>
            </w:r>
            <w:r w:rsidR="0064109F">
              <w:rPr>
                <w:noProof/>
                <w:webHidden/>
              </w:rPr>
              <w:fldChar w:fldCharType="begin"/>
            </w:r>
            <w:r w:rsidR="0064109F">
              <w:rPr>
                <w:noProof/>
                <w:webHidden/>
              </w:rPr>
              <w:instrText xml:space="preserve"> PAGEREF _Toc229383182 \h </w:instrText>
            </w:r>
            <w:r w:rsidR="0064109F">
              <w:rPr>
                <w:noProof/>
                <w:webHidden/>
              </w:rPr>
            </w:r>
            <w:r w:rsidR="0064109F">
              <w:rPr>
                <w:noProof/>
                <w:webHidden/>
              </w:rPr>
              <w:fldChar w:fldCharType="separate"/>
            </w:r>
            <w:r w:rsidR="00943C9F">
              <w:rPr>
                <w:noProof/>
                <w:webHidden/>
              </w:rPr>
              <w:t>32</w:t>
            </w:r>
            <w:r w:rsidR="0064109F">
              <w:rPr>
                <w:noProof/>
                <w:webHidden/>
              </w:rPr>
              <w:fldChar w:fldCharType="end"/>
            </w:r>
          </w:hyperlink>
        </w:p>
        <w:p w14:paraId="4FD79E04" w14:textId="5CCBD201" w:rsidR="0064109F" w:rsidRPr="0064109F" w:rsidRDefault="003665FE" w:rsidP="0064109F">
          <w:pPr>
            <w:pStyle w:val="TOC1"/>
            <w:tabs>
              <w:tab w:val="left" w:pos="440"/>
              <w:tab w:val="right" w:leader="dot" w:pos="9063"/>
            </w:tabs>
            <w:rPr>
              <w:rFonts w:asciiTheme="minorHAnsi" w:eastAsiaTheme="minorEastAsia" w:hAnsiTheme="minorHAnsi" w:cstheme="minorBidi"/>
              <w:noProof/>
              <w:lang w:eastAsia="fi-FI"/>
            </w:rPr>
          </w:pPr>
          <w:hyperlink w:anchor="_Toc229383183" w:history="1">
            <w:r w:rsidR="0064109F" w:rsidRPr="0012378B">
              <w:rPr>
                <w:rStyle w:val="Hyperlink"/>
                <w:b/>
                <w:noProof/>
              </w:rPr>
              <w:t>6.</w:t>
            </w:r>
            <w:r w:rsidR="0064109F">
              <w:rPr>
                <w:rFonts w:asciiTheme="minorHAnsi" w:eastAsiaTheme="minorEastAsia" w:hAnsiTheme="minorHAnsi" w:cstheme="minorBidi"/>
                <w:noProof/>
                <w:lang w:eastAsia="fi-FI"/>
              </w:rPr>
              <w:tab/>
            </w:r>
            <w:r w:rsidR="0064109F" w:rsidRPr="0012378B">
              <w:rPr>
                <w:rStyle w:val="Hyperlink"/>
                <w:b/>
                <w:noProof/>
              </w:rPr>
              <w:t>NEUVOA-ANTAVA VALIOKUNTA ”TEOLLISUUDEN MUUTOKSET”</w:t>
            </w:r>
            <w:r w:rsidR="0064109F">
              <w:rPr>
                <w:noProof/>
                <w:webHidden/>
              </w:rPr>
              <w:tab/>
            </w:r>
            <w:r w:rsidR="0064109F">
              <w:rPr>
                <w:noProof/>
                <w:webHidden/>
              </w:rPr>
              <w:fldChar w:fldCharType="begin"/>
            </w:r>
            <w:r w:rsidR="0064109F">
              <w:rPr>
                <w:noProof/>
                <w:webHidden/>
              </w:rPr>
              <w:instrText xml:space="preserve"> PAGEREF _Toc229383183 \h </w:instrText>
            </w:r>
            <w:r w:rsidR="0064109F">
              <w:rPr>
                <w:noProof/>
                <w:webHidden/>
              </w:rPr>
            </w:r>
            <w:r w:rsidR="0064109F">
              <w:rPr>
                <w:noProof/>
                <w:webHidden/>
              </w:rPr>
              <w:fldChar w:fldCharType="separate"/>
            </w:r>
            <w:r w:rsidR="00943C9F">
              <w:rPr>
                <w:noProof/>
                <w:webHidden/>
              </w:rPr>
              <w:t>34</w:t>
            </w:r>
            <w:r w:rsidR="0064109F">
              <w:rPr>
                <w:noProof/>
                <w:webHidden/>
              </w:rPr>
              <w:fldChar w:fldCharType="end"/>
            </w:r>
          </w:hyperlink>
        </w:p>
        <w:p w14:paraId="4982DD6A" w14:textId="1DD5D566"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4982DD6D" w14:textId="77777777" w:rsidR="004D7AC0" w:rsidRDefault="004D7AC0" w:rsidP="004D7AC0">
      <w:pPr>
        <w:pStyle w:val="Heading1"/>
        <w:rPr>
          <w:b/>
        </w:rPr>
      </w:pPr>
      <w:bookmarkStart w:id="0" w:name="_Toc229383131"/>
      <w:r>
        <w:rPr>
          <w:b/>
        </w:rPr>
        <w:lastRenderedPageBreak/>
        <w:t>TALOUS- JA RAHALIITTO, TALOUDELLINEN JA SOSIAALINEN YHTEENKUULUVUUS</w:t>
      </w:r>
      <w:bookmarkEnd w:id="0"/>
    </w:p>
    <w:p w14:paraId="4982DD6E" w14:textId="77777777" w:rsidR="004D7AC0" w:rsidRDefault="004D7AC0" w:rsidP="0064109F"/>
    <w:p w14:paraId="356CF10D" w14:textId="1D263563" w:rsidR="00DF3AF9" w:rsidRPr="00EB5D7A" w:rsidRDefault="003665FE" w:rsidP="002B6ACC">
      <w:pPr>
        <w:widowControl w:val="0"/>
        <w:numPr>
          <w:ilvl w:val="0"/>
          <w:numId w:val="2"/>
        </w:numPr>
        <w:overflowPunct w:val="0"/>
        <w:autoSpaceDE w:val="0"/>
        <w:autoSpaceDN w:val="0"/>
        <w:adjustRightInd w:val="0"/>
        <w:ind w:hanging="567"/>
        <w:textAlignment w:val="baseline"/>
        <w:rPr>
          <w:rStyle w:val="Hyperlink"/>
          <w:b/>
          <w:i/>
          <w:iCs/>
          <w:color w:val="auto"/>
          <w:sz w:val="28"/>
          <w:szCs w:val="28"/>
          <w:u w:val="none"/>
        </w:rPr>
      </w:pPr>
      <w:hyperlink r:id="rId16" w:history="1">
        <w:r w:rsidR="00DF3AF9">
          <w:rPr>
            <w:rStyle w:val="Hyperlink"/>
            <w:b/>
            <w:i/>
            <w:sz w:val="28"/>
          </w:rPr>
          <w:t>Viihtyisiä kaupunkeja koskeva EU:n toimintapoliittinen ohjelma</w:t>
        </w:r>
      </w:hyperlink>
    </w:p>
    <w:p w14:paraId="5DDACB6A" w14:textId="77777777" w:rsidR="00EB5D7A" w:rsidRPr="0064109F" w:rsidRDefault="00EB5D7A" w:rsidP="0064109F">
      <w:pPr>
        <w:widowControl w:val="0"/>
        <w:overflowPunct w:val="0"/>
        <w:autoSpaceDE w:val="0"/>
        <w:autoSpaceDN w:val="0"/>
        <w:adjustRightInd w:val="0"/>
        <w:textAlignment w:val="baseline"/>
        <w:rPr>
          <w:b/>
          <w:i/>
          <w:i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7603"/>
      </w:tblGrid>
      <w:tr w:rsidR="00DF3AF9" w:rsidRPr="00A6689B" w14:paraId="180871B4" w14:textId="77777777" w:rsidTr="00120118">
        <w:tc>
          <w:tcPr>
            <w:tcW w:w="1701" w:type="dxa"/>
          </w:tcPr>
          <w:p w14:paraId="2F685BE3" w14:textId="77777777" w:rsidR="00DF3AF9" w:rsidRDefault="00DF3AF9" w:rsidP="00120118">
            <w:pPr>
              <w:tabs>
                <w:tab w:val="center" w:pos="284"/>
              </w:tabs>
              <w:ind w:left="266" w:hanging="266"/>
              <w:rPr>
                <w:b/>
              </w:rPr>
            </w:pPr>
            <w:r>
              <w:rPr>
                <w:b/>
              </w:rPr>
              <w:t>Esittelijä</w:t>
            </w:r>
          </w:p>
          <w:p w14:paraId="5199D6F9" w14:textId="77777777" w:rsidR="00DF3AF9" w:rsidRPr="006F3C0E" w:rsidRDefault="00DF3AF9" w:rsidP="00120118">
            <w:pPr>
              <w:tabs>
                <w:tab w:val="center" w:pos="284"/>
              </w:tabs>
              <w:ind w:left="266" w:hanging="266"/>
              <w:rPr>
                <w:b/>
                <w:bCs/>
              </w:rPr>
            </w:pPr>
            <w:r>
              <w:rPr>
                <w:b/>
              </w:rPr>
              <w:t>Yhteisesittelijä</w:t>
            </w:r>
          </w:p>
        </w:tc>
        <w:tc>
          <w:tcPr>
            <w:tcW w:w="7621" w:type="dxa"/>
          </w:tcPr>
          <w:p w14:paraId="15D9018D" w14:textId="77777777" w:rsidR="00DF3AF9" w:rsidRPr="002A12EB" w:rsidRDefault="00DF3AF9" w:rsidP="00120118">
            <w:pPr>
              <w:tabs>
                <w:tab w:val="center" w:pos="284"/>
              </w:tabs>
              <w:ind w:left="266" w:hanging="266"/>
            </w:pPr>
            <w:proofErr w:type="spellStart"/>
            <w:r>
              <w:t>Florian</w:t>
            </w:r>
            <w:proofErr w:type="spellEnd"/>
            <w:r>
              <w:t xml:space="preserve"> MARIN (työntekijät – RO)</w:t>
            </w:r>
          </w:p>
          <w:p w14:paraId="74DE7401" w14:textId="77777777" w:rsidR="00DF3AF9" w:rsidRDefault="00DF3AF9" w:rsidP="00120118">
            <w:pPr>
              <w:tabs>
                <w:tab w:val="center" w:pos="284"/>
              </w:tabs>
              <w:ind w:left="266" w:hanging="266"/>
            </w:pPr>
            <w:r>
              <w:t>Roman HAKEN (kansalaisyhteiskunnan organisaatiot – CZ)</w:t>
            </w:r>
          </w:p>
          <w:p w14:paraId="411D31B3" w14:textId="5C8BA8FA" w:rsidR="00EB5D7A" w:rsidRPr="00A37E38" w:rsidRDefault="00EB5D7A" w:rsidP="00120118">
            <w:pPr>
              <w:tabs>
                <w:tab w:val="center" w:pos="284"/>
              </w:tabs>
              <w:ind w:left="266" w:hanging="266"/>
              <w:rPr>
                <w:bCs/>
              </w:rPr>
            </w:pPr>
          </w:p>
        </w:tc>
      </w:tr>
      <w:tr w:rsidR="00DF3AF9" w:rsidRPr="00111AF4" w14:paraId="6008E6D5" w14:textId="77777777" w:rsidTr="00120118">
        <w:tc>
          <w:tcPr>
            <w:tcW w:w="1701" w:type="dxa"/>
          </w:tcPr>
          <w:p w14:paraId="16FEB96B" w14:textId="77777777" w:rsidR="00DF3AF9" w:rsidRPr="00A6689B" w:rsidRDefault="00DF3AF9" w:rsidP="00120118">
            <w:pPr>
              <w:tabs>
                <w:tab w:val="center" w:pos="284"/>
              </w:tabs>
              <w:ind w:left="266" w:hanging="266"/>
              <w:rPr>
                <w:b/>
              </w:rPr>
            </w:pPr>
            <w:r>
              <w:rPr>
                <w:b/>
              </w:rPr>
              <w:t>Viiteasiakirja(t)</w:t>
            </w:r>
          </w:p>
        </w:tc>
        <w:tc>
          <w:tcPr>
            <w:tcW w:w="7621" w:type="dxa"/>
          </w:tcPr>
          <w:p w14:paraId="41885E92" w14:textId="77777777" w:rsidR="005864B0" w:rsidRDefault="00DF3AF9" w:rsidP="00120118">
            <w:pPr>
              <w:tabs>
                <w:tab w:val="center" w:pos="284"/>
              </w:tabs>
              <w:ind w:left="266" w:hanging="266"/>
            </w:pPr>
            <w:r>
              <w:t>COM(2025) 552 final</w:t>
            </w:r>
          </w:p>
          <w:p w14:paraId="451C0C19" w14:textId="4BCE39B3" w:rsidR="00DF3AF9" w:rsidRPr="00861FFD" w:rsidRDefault="00DF3AF9" w:rsidP="00120118">
            <w:pPr>
              <w:tabs>
                <w:tab w:val="center" w:pos="284"/>
              </w:tabs>
              <w:ind w:left="266" w:hanging="266"/>
            </w:pPr>
            <w:r>
              <w:t>EESC-2025-04288-00-00-AC</w:t>
            </w:r>
          </w:p>
        </w:tc>
      </w:tr>
    </w:tbl>
    <w:p w14:paraId="609B7200" w14:textId="77777777" w:rsidR="00EB5D7A" w:rsidRPr="005864B0" w:rsidRDefault="00EB5D7A" w:rsidP="005864B0">
      <w:pPr>
        <w:keepNext/>
        <w:keepLines/>
        <w:tabs>
          <w:tab w:val="center" w:pos="284"/>
        </w:tabs>
        <w:ind w:left="266" w:hanging="266"/>
        <w:rPr>
          <w:b/>
        </w:rPr>
      </w:pPr>
    </w:p>
    <w:p w14:paraId="508C6BB8" w14:textId="67311264" w:rsidR="00DF3AF9" w:rsidRPr="005864B0" w:rsidRDefault="00DF3AF9" w:rsidP="005864B0">
      <w:pPr>
        <w:keepNext/>
        <w:keepLines/>
        <w:tabs>
          <w:tab w:val="center" w:pos="284"/>
        </w:tabs>
        <w:ind w:left="266" w:hanging="266"/>
        <w:rPr>
          <w:b/>
        </w:rPr>
      </w:pPr>
      <w:r w:rsidRPr="005864B0">
        <w:rPr>
          <w:b/>
        </w:rPr>
        <w:t>Keskeiset kohdat</w:t>
      </w:r>
    </w:p>
    <w:p w14:paraId="360D52BA" w14:textId="77777777" w:rsidR="00DF3AF9" w:rsidRPr="005864B0" w:rsidRDefault="00DF3AF9" w:rsidP="005864B0">
      <w:pPr>
        <w:keepNext/>
        <w:keepLines/>
        <w:tabs>
          <w:tab w:val="center" w:pos="284"/>
        </w:tabs>
        <w:ind w:left="266" w:hanging="266"/>
        <w:rPr>
          <w:b/>
        </w:rPr>
      </w:pPr>
    </w:p>
    <w:p w14:paraId="382B7E17" w14:textId="77777777" w:rsidR="00DF3AF9" w:rsidRDefault="00DF3AF9" w:rsidP="00DF3AF9">
      <w:pPr>
        <w:rPr>
          <w:bCs/>
          <w:iCs/>
        </w:rPr>
      </w:pPr>
      <w:r>
        <w:t>ETSK</w:t>
      </w:r>
    </w:p>
    <w:p w14:paraId="77910DFF" w14:textId="77777777" w:rsidR="00DF3AF9" w:rsidRDefault="00DF3AF9" w:rsidP="002B6ACC">
      <w:pPr>
        <w:pStyle w:val="ListParagraph"/>
        <w:numPr>
          <w:ilvl w:val="0"/>
          <w:numId w:val="10"/>
        </w:numPr>
        <w:overflowPunct w:val="0"/>
        <w:autoSpaceDE w:val="0"/>
        <w:autoSpaceDN w:val="0"/>
        <w:adjustRightInd w:val="0"/>
        <w:ind w:left="426" w:hanging="426"/>
        <w:textAlignment w:val="baseline"/>
      </w:pPr>
      <w:r>
        <w:t>katsoo, että kaupungit muodostavat Euroopan unionin taloudellisen, sosiaalisen ja alueellisen kehityksen selkärangan. Ne ovat sosiaalisen, ekologisen ja taloudellisen muutoksen keskeisiä tiloja, joissa innovointi olisi suunnattava elämänlaadun parantamiseen.</w:t>
      </w:r>
    </w:p>
    <w:p w14:paraId="12D2E115" w14:textId="77777777" w:rsidR="00DF3AF9" w:rsidRDefault="00DF3AF9" w:rsidP="002B6ACC">
      <w:pPr>
        <w:pStyle w:val="ListParagraph"/>
        <w:numPr>
          <w:ilvl w:val="0"/>
          <w:numId w:val="10"/>
        </w:numPr>
        <w:overflowPunct w:val="0"/>
        <w:autoSpaceDE w:val="0"/>
        <w:autoSpaceDN w:val="0"/>
        <w:adjustRightInd w:val="0"/>
        <w:ind w:left="426" w:hanging="426"/>
        <w:textAlignment w:val="baseline"/>
      </w:pPr>
      <w:r>
        <w:t xml:space="preserve">suhtautuu myönteisesti komission monitahoiseen lähestymistapaan ja aikomukseen vahvistaa EU:n kaupunkiagendaa ja sen kattavaa visiota vauraista, elinkelpoisista ja osallistavista kaupungeista, mutta katsoo, että ehdotettu toimintapoliittinen ohjelma ei vielä vastaa asetettuja tavoitteita. </w:t>
      </w:r>
    </w:p>
    <w:p w14:paraId="3F119668" w14:textId="77777777" w:rsidR="00DF3AF9" w:rsidRDefault="00DF3AF9" w:rsidP="002B6ACC">
      <w:pPr>
        <w:pStyle w:val="ListParagraph"/>
        <w:numPr>
          <w:ilvl w:val="0"/>
          <w:numId w:val="10"/>
        </w:numPr>
        <w:overflowPunct w:val="0"/>
        <w:autoSpaceDE w:val="0"/>
        <w:autoSpaceDN w:val="0"/>
        <w:adjustRightInd w:val="0"/>
        <w:ind w:left="426" w:hanging="426"/>
        <w:textAlignment w:val="baseline"/>
      </w:pPr>
      <w:r>
        <w:t xml:space="preserve">suosittaa, että se otetaan virallisesti mukaan ehdotettuun EU:n kaupunkiagendaan alueiden komitean rinnalla, mikä heijastaa </w:t>
      </w:r>
      <w:proofErr w:type="spellStart"/>
      <w:r>
        <w:t>ETSK:n</w:t>
      </w:r>
      <w:proofErr w:type="spellEnd"/>
      <w:r>
        <w:t xml:space="preserve"> tunnustettua virallista roolia Ljubljanan sopimuksessa ja Amsterdamin julkilausumassa sekä sen aktiivista osallistumista kaikilla kaupunkiagendan toiminta-aloilla. </w:t>
      </w:r>
    </w:p>
    <w:p w14:paraId="20C3DAF7" w14:textId="77777777" w:rsidR="00DF3AF9" w:rsidRDefault="00DF3AF9" w:rsidP="002B6ACC">
      <w:pPr>
        <w:pStyle w:val="ListParagraph"/>
        <w:numPr>
          <w:ilvl w:val="0"/>
          <w:numId w:val="10"/>
        </w:numPr>
        <w:overflowPunct w:val="0"/>
        <w:autoSpaceDE w:val="0"/>
        <w:autoSpaceDN w:val="0"/>
        <w:adjustRightInd w:val="0"/>
        <w:ind w:left="426" w:hanging="426"/>
        <w:textAlignment w:val="baseline"/>
      </w:pPr>
      <w:r>
        <w:t>ehdottaa, että EU:n kaupunkiagenda ankkuroidaan lujasti monitasoiseen hallintoon, kumppanuusperiaatteeseen ja paikkalähtöiseen lähestymistapaan. Sillä on varmistettava tasapainoinen aluekehitys ja vahvistettava työmarkkina- ja kansalaisvuoropuhelua.</w:t>
      </w:r>
    </w:p>
    <w:p w14:paraId="14B3FEA3" w14:textId="77777777" w:rsidR="00DF3AF9" w:rsidRDefault="00DF3AF9" w:rsidP="002B6ACC">
      <w:pPr>
        <w:pStyle w:val="ListParagraph"/>
        <w:numPr>
          <w:ilvl w:val="0"/>
          <w:numId w:val="10"/>
        </w:numPr>
        <w:overflowPunct w:val="0"/>
        <w:autoSpaceDE w:val="0"/>
        <w:autoSpaceDN w:val="0"/>
        <w:adjustRightInd w:val="0"/>
        <w:ind w:left="426" w:hanging="426"/>
        <w:textAlignment w:val="baseline"/>
      </w:pPr>
      <w:r>
        <w:t>Tästä syystä ETSK kehottaa komissiota</w:t>
      </w:r>
    </w:p>
    <w:p w14:paraId="583C82F0" w14:textId="77777777" w:rsidR="00DF3AF9" w:rsidRDefault="00DF3AF9" w:rsidP="002B6ACC">
      <w:pPr>
        <w:pStyle w:val="ListParagraph"/>
        <w:numPr>
          <w:ilvl w:val="0"/>
          <w:numId w:val="3"/>
        </w:numPr>
        <w:overflowPunct w:val="0"/>
        <w:autoSpaceDE w:val="0"/>
        <w:autoSpaceDN w:val="0"/>
        <w:adjustRightInd w:val="0"/>
        <w:ind w:left="993"/>
        <w:textAlignment w:val="baseline"/>
      </w:pPr>
      <w:r>
        <w:t>tunnustamaan virallisesti sekä ETSK että kaupungit tasavertaisiksi kumppaneiksi EU:n kaupunkipolitiikassa eikä pitämään niitä pelkästään täytäntöönpanevina toimijoina. Tätä varten on luotava pysyvä ja jäsennelty monitasoinen hallinto.</w:t>
      </w:r>
    </w:p>
    <w:p w14:paraId="24781538" w14:textId="77777777" w:rsidR="00DF3AF9" w:rsidRDefault="00DF3AF9" w:rsidP="002B6ACC">
      <w:pPr>
        <w:pStyle w:val="ListParagraph"/>
        <w:numPr>
          <w:ilvl w:val="0"/>
          <w:numId w:val="3"/>
        </w:numPr>
        <w:overflowPunct w:val="0"/>
        <w:autoSpaceDE w:val="0"/>
        <w:autoSpaceDN w:val="0"/>
        <w:adjustRightInd w:val="0"/>
        <w:ind w:left="993"/>
        <w:textAlignment w:val="baseline"/>
      </w:pPr>
      <w:r>
        <w:t>vahvistamaan kumppanuusperiaatetta takaamalla järjestäytyneen kansalaisyhteiskunnan järjestelmällinen ja merkityksellinen osallistuminen EU:n kaupunkiagendan koko toimintapoliittisen syklin ajan.</w:t>
      </w:r>
    </w:p>
    <w:p w14:paraId="2DD2CBA1" w14:textId="77777777" w:rsidR="00DF3AF9" w:rsidRDefault="00DF3AF9" w:rsidP="002B6ACC">
      <w:pPr>
        <w:pStyle w:val="ListParagraph"/>
        <w:numPr>
          <w:ilvl w:val="0"/>
          <w:numId w:val="3"/>
        </w:numPr>
        <w:overflowPunct w:val="0"/>
        <w:autoSpaceDE w:val="0"/>
        <w:autoSpaceDN w:val="0"/>
        <w:adjustRightInd w:val="0"/>
        <w:ind w:left="993"/>
        <w:textAlignment w:val="baseline"/>
      </w:pPr>
      <w:r>
        <w:t>laatimaan EU:n kaupunkiagendalle konkreettisen ja operatiivisen toimintakehyksen, joka sisältää selkeästi määritellyt vastuualueet, aikataulut ja mitattavissa olevat indikaattorit, ja ottamaan käyttöön järjestelmälliset alueellisten vaikutusten arvioinnit, jotta voidaan arvioida EU:n lainsäädännön vaikutuksia kaupunkeihin.</w:t>
      </w:r>
    </w:p>
    <w:p w14:paraId="0ADAA181" w14:textId="77777777" w:rsidR="00DF3AF9" w:rsidRDefault="00DF3AF9" w:rsidP="002B6ACC">
      <w:pPr>
        <w:pStyle w:val="ListParagraph"/>
        <w:numPr>
          <w:ilvl w:val="0"/>
          <w:numId w:val="3"/>
        </w:numPr>
        <w:overflowPunct w:val="0"/>
        <w:autoSpaceDE w:val="0"/>
        <w:autoSpaceDN w:val="0"/>
        <w:adjustRightInd w:val="0"/>
        <w:ind w:left="993"/>
        <w:textAlignment w:val="baseline"/>
      </w:pPr>
      <w:r>
        <w:t>varmistamaan riittävä, ennakoitavissa oleva ja helposti saatavilla oleva rahoitus kaupunkikehitykselle, mukaan lukien kaupunkien mahdollisuus saada suoraan EU:n rahoitusta.</w:t>
      </w:r>
    </w:p>
    <w:p w14:paraId="00728651" w14:textId="77777777" w:rsidR="00DF3AF9" w:rsidRDefault="00DF3AF9" w:rsidP="002B6ACC">
      <w:pPr>
        <w:pStyle w:val="ListParagraph"/>
        <w:numPr>
          <w:ilvl w:val="0"/>
          <w:numId w:val="3"/>
        </w:numPr>
        <w:overflowPunct w:val="0"/>
        <w:autoSpaceDE w:val="0"/>
        <w:autoSpaceDN w:val="0"/>
        <w:adjustRightInd w:val="0"/>
        <w:ind w:left="993"/>
        <w:textAlignment w:val="baseline"/>
      </w:pPr>
      <w:r>
        <w:t>edistämään alueelliseen yhteenkuuluvuuteen sovellettavaa yhdennettyä, hankekeskeistä ja paikkalähtöistä lähestymistapaa, jolla nimenomaisesti vahvistetaan kaupunkien ja maaseutualueiden keskinäistä täydentävyyttä.</w:t>
      </w:r>
    </w:p>
    <w:p w14:paraId="44978A99" w14:textId="77777777" w:rsidR="00DF3AF9" w:rsidRDefault="00DF3AF9" w:rsidP="002B6ACC">
      <w:pPr>
        <w:pStyle w:val="ListParagraph"/>
        <w:numPr>
          <w:ilvl w:val="0"/>
          <w:numId w:val="3"/>
        </w:numPr>
        <w:overflowPunct w:val="0"/>
        <w:autoSpaceDE w:val="0"/>
        <w:autoSpaceDN w:val="0"/>
        <w:adjustRightInd w:val="0"/>
        <w:ind w:left="993"/>
        <w:textAlignment w:val="baseline"/>
      </w:pPr>
      <w:r>
        <w:lastRenderedPageBreak/>
        <w:t>kehittämään EU:n kaupunkialustalla unionitason kaupunkivuoropuhelua, jonka avulla korostetaan sitä, miten tärkeitä työmarkkinaosapuolten vuoropuhelu ja kansalaisvuoropuhelu ovat työllisyyteen liittyvissä asioissa.</w:t>
      </w:r>
    </w:p>
    <w:p w14:paraId="04ACD9C4" w14:textId="77777777" w:rsidR="00DF3AF9" w:rsidRDefault="00DF3AF9" w:rsidP="002B6ACC">
      <w:pPr>
        <w:pStyle w:val="ListParagraph"/>
        <w:numPr>
          <w:ilvl w:val="0"/>
          <w:numId w:val="3"/>
        </w:numPr>
        <w:overflowPunct w:val="0"/>
        <w:autoSpaceDE w:val="0"/>
        <w:autoSpaceDN w:val="0"/>
        <w:adjustRightInd w:val="0"/>
        <w:ind w:left="993"/>
        <w:textAlignment w:val="baseline"/>
      </w:pPr>
      <w:r>
        <w:t>lisäämään kaupungeille tarkoitettua teknisen avun rahastoa ja ottamaan käyttöön erityinen eurooppalainen aloite tai rahasto, joka keskittyy kaupunkihankkeisiin.</w:t>
      </w:r>
    </w:p>
    <w:p w14:paraId="762AEC65" w14:textId="77777777" w:rsidR="00DF3AF9" w:rsidRDefault="00DF3AF9" w:rsidP="002B6ACC">
      <w:pPr>
        <w:pStyle w:val="ListParagraph"/>
        <w:numPr>
          <w:ilvl w:val="0"/>
          <w:numId w:val="3"/>
        </w:numPr>
        <w:overflowPunct w:val="0"/>
        <w:autoSpaceDE w:val="0"/>
        <w:autoSpaceDN w:val="0"/>
        <w:adjustRightInd w:val="0"/>
        <w:ind w:left="993"/>
        <w:textAlignment w:val="baseline"/>
      </w:pPr>
      <w:r>
        <w:t xml:space="preserve">ehdottamaan selkeitä kuulemisnormeja, joilla varmistetaan työmarkkinaosapuolten ja kansalaisyhteiskunnan merkityksellinen, oikea-aikainen ja edustava osallistuminen kaikilla tasoilla. </w:t>
      </w:r>
    </w:p>
    <w:p w14:paraId="67BBE7BC" w14:textId="77777777" w:rsidR="00DF3AF9" w:rsidRDefault="00DF3AF9" w:rsidP="002B6ACC">
      <w:pPr>
        <w:pStyle w:val="ListParagraph"/>
        <w:numPr>
          <w:ilvl w:val="0"/>
          <w:numId w:val="3"/>
        </w:numPr>
        <w:overflowPunct w:val="0"/>
        <w:autoSpaceDE w:val="0"/>
        <w:autoSpaceDN w:val="0"/>
        <w:adjustRightInd w:val="0"/>
        <w:ind w:left="993"/>
        <w:textAlignment w:val="baseline"/>
      </w:pPr>
      <w:r>
        <w:t>luomaan yhtenäinen EU:n tason kehys kaupunkitietojen keräämistä ja raportointia varten sen varmistamiseksi, että indikaattorit ovat vertailukelpoisia ja seuranta on tehokasta kaikissa jäsenvaltioissa.</w:t>
      </w:r>
    </w:p>
    <w:p w14:paraId="2EB5F9AE" w14:textId="77777777" w:rsidR="00DF3AF9" w:rsidRDefault="00DF3AF9" w:rsidP="002B6ACC">
      <w:pPr>
        <w:pStyle w:val="ListParagraph"/>
        <w:numPr>
          <w:ilvl w:val="0"/>
          <w:numId w:val="3"/>
        </w:numPr>
        <w:overflowPunct w:val="0"/>
        <w:autoSpaceDE w:val="0"/>
        <w:autoSpaceDN w:val="0"/>
        <w:adjustRightInd w:val="0"/>
        <w:ind w:left="993"/>
        <w:textAlignment w:val="baseline"/>
      </w:pPr>
      <w:r>
        <w:t>tunnustamaan, että asuminen on rakenteellinen sosiaalinen ja taloudellinen kysymys eikä markkinoilla saavutettava tulos, ja vaatimaan EU:n kehystä, jolla varmistetaan kohtuuhintaisten asuntojen saatavuus.</w:t>
      </w:r>
    </w:p>
    <w:p w14:paraId="16384EA5" w14:textId="77777777" w:rsidR="00DF3AF9" w:rsidRDefault="00DF3AF9" w:rsidP="002B6ACC">
      <w:pPr>
        <w:pStyle w:val="ListParagraph"/>
        <w:numPr>
          <w:ilvl w:val="0"/>
          <w:numId w:val="9"/>
        </w:numPr>
        <w:overflowPunct w:val="0"/>
        <w:autoSpaceDE w:val="0"/>
        <w:autoSpaceDN w:val="0"/>
        <w:adjustRightInd w:val="0"/>
        <w:ind w:left="426" w:hanging="426"/>
        <w:textAlignment w:val="baseline"/>
      </w:pPr>
      <w:r>
        <w:t xml:space="preserve">katsoo, että tärkein mekanismi EU:n koheesiopolitiikan rahoituksen täytäntöönpanemiseksi yhdennetyllä ja paikkalähtöisellä tavalla on yhteisölähtöinen paikallinen kehittäminen (CLLD). Kaupunkien ja kaupunkialueiden paikallisyhteisöjen omia kehittämishankkeita (CLLD-U) on kehitettävä nykyistä pilottiasemaansa pidemmälle, ja ne on tunnustettava yhdeksi tehokkaimmista välineistä, joilla voidaan aktivoida paikallisyhteisöjä, luoda työpaikkoja, vahvistaa yhteisötaloutta ja </w:t>
      </w:r>
      <w:proofErr w:type="spellStart"/>
      <w:r>
        <w:t>osallistaa</w:t>
      </w:r>
      <w:proofErr w:type="spellEnd"/>
      <w:r>
        <w:t xml:space="preserve"> sidosryhmiä.</w:t>
      </w:r>
    </w:p>
    <w:p w14:paraId="092DDFE5" w14:textId="77777777" w:rsidR="00DF3AF9" w:rsidRDefault="00DF3AF9" w:rsidP="002B6ACC">
      <w:pPr>
        <w:pStyle w:val="ListParagraph"/>
        <w:numPr>
          <w:ilvl w:val="0"/>
          <w:numId w:val="9"/>
        </w:numPr>
        <w:overflowPunct w:val="0"/>
        <w:autoSpaceDE w:val="0"/>
        <w:autoSpaceDN w:val="0"/>
        <w:adjustRightInd w:val="0"/>
        <w:ind w:left="426" w:hanging="426"/>
        <w:textAlignment w:val="baseline"/>
      </w:pPr>
      <w:r>
        <w:t xml:space="preserve">katsoo, että olisi otettava käyttöön erityinen toimenpide CLLD-U:n vahvistamiseksi tulevaisuudessa ja varmistettava sen virallinen sisällyttäminen EU:n tason päätöksentekoprosesseihin ja asiantuntijoiden kohdennettuihin teknisiin kuulemisiin. </w:t>
      </w:r>
    </w:p>
    <w:p w14:paraId="3FF30066" w14:textId="77777777" w:rsidR="00DF3AF9" w:rsidRPr="00B73156" w:rsidRDefault="00DF3AF9" w:rsidP="00DF3AF9">
      <w:pPr>
        <w:pStyle w:val="ListParagraph"/>
        <w:ind w:left="360"/>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DF3AF9" w:rsidRPr="00A6689B" w14:paraId="09F09646" w14:textId="77777777" w:rsidTr="00120118">
        <w:tc>
          <w:tcPr>
            <w:tcW w:w="1418" w:type="dxa"/>
          </w:tcPr>
          <w:p w14:paraId="68632956" w14:textId="77777777" w:rsidR="00DF3AF9" w:rsidRPr="00A6689B" w:rsidRDefault="00DF3AF9" w:rsidP="00120118">
            <w:pPr>
              <w:rPr>
                <w:i/>
              </w:rPr>
            </w:pPr>
            <w:r>
              <w:rPr>
                <w:b/>
                <w:bCs/>
                <w:i/>
              </w:rPr>
              <w:t>Yhteydenotot</w:t>
            </w:r>
          </w:p>
        </w:tc>
        <w:tc>
          <w:tcPr>
            <w:tcW w:w="7904" w:type="dxa"/>
          </w:tcPr>
          <w:p w14:paraId="3F35B1BE" w14:textId="77777777" w:rsidR="00DF3AF9" w:rsidRPr="00165B52" w:rsidRDefault="00DF3AF9" w:rsidP="00120118">
            <w:pPr>
              <w:rPr>
                <w:i/>
              </w:rPr>
            </w:pPr>
            <w:proofErr w:type="spellStart"/>
            <w:r>
              <w:rPr>
                <w:i/>
              </w:rPr>
              <w:t>Georgios</w:t>
            </w:r>
            <w:proofErr w:type="spellEnd"/>
            <w:r>
              <w:rPr>
                <w:i/>
              </w:rPr>
              <w:t xml:space="preserve"> </w:t>
            </w:r>
            <w:proofErr w:type="spellStart"/>
            <w:r>
              <w:rPr>
                <w:i/>
              </w:rPr>
              <w:t>Meleas</w:t>
            </w:r>
            <w:proofErr w:type="spellEnd"/>
          </w:p>
        </w:tc>
      </w:tr>
      <w:tr w:rsidR="00DF3AF9" w:rsidRPr="00A6689B" w14:paraId="7DC3E909" w14:textId="77777777" w:rsidTr="00120118">
        <w:tc>
          <w:tcPr>
            <w:tcW w:w="1418" w:type="dxa"/>
          </w:tcPr>
          <w:p w14:paraId="6DC1C382" w14:textId="77777777" w:rsidR="00DF3AF9" w:rsidRPr="00A6689B" w:rsidRDefault="00DF3AF9" w:rsidP="00120118">
            <w:pPr>
              <w:rPr>
                <w:i/>
              </w:rPr>
            </w:pPr>
            <w:r>
              <w:rPr>
                <w:i/>
              </w:rPr>
              <w:t>P.</w:t>
            </w:r>
          </w:p>
        </w:tc>
        <w:tc>
          <w:tcPr>
            <w:tcW w:w="7904" w:type="dxa"/>
          </w:tcPr>
          <w:p w14:paraId="3D764864" w14:textId="77777777" w:rsidR="00DF3AF9" w:rsidRPr="002A12EB" w:rsidRDefault="00DF3AF9" w:rsidP="00120118">
            <w:pPr>
              <w:rPr>
                <w:i/>
              </w:rPr>
            </w:pPr>
            <w:r>
              <w:rPr>
                <w:i/>
              </w:rPr>
              <w:t>+32 25469795</w:t>
            </w:r>
          </w:p>
        </w:tc>
      </w:tr>
      <w:tr w:rsidR="00DF3AF9" w:rsidRPr="00A6689B" w14:paraId="48F37142" w14:textId="77777777" w:rsidTr="00120118">
        <w:tc>
          <w:tcPr>
            <w:tcW w:w="1418" w:type="dxa"/>
          </w:tcPr>
          <w:p w14:paraId="5FCFEDC3" w14:textId="77777777" w:rsidR="00DF3AF9" w:rsidRPr="00A6689B" w:rsidRDefault="00DF3AF9" w:rsidP="00120118">
            <w:pPr>
              <w:rPr>
                <w:i/>
              </w:rPr>
            </w:pPr>
            <w:r>
              <w:rPr>
                <w:i/>
              </w:rPr>
              <w:t>Sähköposti</w:t>
            </w:r>
          </w:p>
        </w:tc>
        <w:tc>
          <w:tcPr>
            <w:tcW w:w="7904" w:type="dxa"/>
          </w:tcPr>
          <w:p w14:paraId="46E13678" w14:textId="77777777" w:rsidR="00DF3AF9" w:rsidRPr="009B5E14" w:rsidRDefault="003665FE" w:rsidP="00120118">
            <w:pPr>
              <w:rPr>
                <w:i/>
                <w:iCs/>
              </w:rPr>
            </w:pPr>
            <w:hyperlink r:id="rId17" w:history="1">
              <w:r w:rsidR="00DF3AF9">
                <w:rPr>
                  <w:rStyle w:val="Hyperlink"/>
                  <w:i/>
                </w:rPr>
                <w:t>Georgios.Meleas@eesc.europa.eu</w:t>
              </w:r>
            </w:hyperlink>
          </w:p>
        </w:tc>
      </w:tr>
    </w:tbl>
    <w:p w14:paraId="4982DD97" w14:textId="51BB4897" w:rsidR="00DF3AF9" w:rsidRDefault="00DF3AF9" w:rsidP="004D7AC0">
      <w:pPr>
        <w:pStyle w:val="ListParagraph"/>
        <w:ind w:left="0"/>
      </w:pPr>
    </w:p>
    <w:p w14:paraId="18DC9A75" w14:textId="77777777" w:rsidR="00DF3AF9" w:rsidRDefault="00DF3AF9">
      <w:pPr>
        <w:spacing w:after="160" w:line="259" w:lineRule="auto"/>
        <w:jc w:val="left"/>
      </w:pPr>
      <w:r>
        <w:br w:type="page"/>
      </w:r>
    </w:p>
    <w:p w14:paraId="09B1E155" w14:textId="5669857B" w:rsidR="00DF3AF9" w:rsidRPr="00097FC2" w:rsidRDefault="003665FE" w:rsidP="002B6ACC">
      <w:pPr>
        <w:widowControl w:val="0"/>
        <w:numPr>
          <w:ilvl w:val="0"/>
          <w:numId w:val="2"/>
        </w:numPr>
        <w:overflowPunct w:val="0"/>
        <w:autoSpaceDE w:val="0"/>
        <w:autoSpaceDN w:val="0"/>
        <w:adjustRightInd w:val="0"/>
        <w:ind w:hanging="567"/>
        <w:textAlignment w:val="baseline"/>
        <w:rPr>
          <w:sz w:val="28"/>
          <w:szCs w:val="28"/>
        </w:rPr>
      </w:pPr>
      <w:hyperlink r:id="rId18" w:history="1">
        <w:r w:rsidR="00DF3AF9">
          <w:rPr>
            <w:rStyle w:val="Hyperlink"/>
            <w:b/>
            <w:i/>
            <w:sz w:val="28"/>
          </w:rPr>
          <w:t>Lisäeläkepaketti – yleiseurooppalainen yksilöllinen eläketuote ja ammatillisia lisäeläkkeitä tarjoavat laitokset</w:t>
        </w:r>
      </w:hyperlink>
    </w:p>
    <w:p w14:paraId="081E2CFC" w14:textId="77777777" w:rsidR="00DF3AF9" w:rsidRPr="00A6689B" w:rsidRDefault="00DF3AF9" w:rsidP="0064109F">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DF3AF9" w:rsidRPr="008B4307" w14:paraId="27B6A55E" w14:textId="77777777" w:rsidTr="00120118">
        <w:tc>
          <w:tcPr>
            <w:tcW w:w="1077" w:type="pct"/>
          </w:tcPr>
          <w:p w14:paraId="08B06E61" w14:textId="77777777" w:rsidR="00DF3AF9" w:rsidRPr="00A6689B" w:rsidRDefault="00DF3AF9" w:rsidP="0064109F">
            <w:pPr>
              <w:tabs>
                <w:tab w:val="center" w:pos="284"/>
              </w:tabs>
              <w:ind w:left="266" w:hanging="266"/>
              <w:rPr>
                <w:b/>
              </w:rPr>
            </w:pPr>
            <w:r>
              <w:rPr>
                <w:b/>
              </w:rPr>
              <w:t>Esittelijä</w:t>
            </w:r>
          </w:p>
        </w:tc>
        <w:tc>
          <w:tcPr>
            <w:tcW w:w="3923" w:type="pct"/>
          </w:tcPr>
          <w:p w14:paraId="738746DE" w14:textId="77777777" w:rsidR="00DF3AF9" w:rsidRPr="004E365E" w:rsidRDefault="00DF3AF9" w:rsidP="0064109F">
            <w:pPr>
              <w:tabs>
                <w:tab w:val="center" w:pos="284"/>
              </w:tabs>
              <w:ind w:left="550" w:right="-3091" w:hanging="266"/>
            </w:pPr>
            <w:r>
              <w:t>Maria del Carmen BARRERA CHAMORRO (työntekijät – ES)</w:t>
            </w:r>
          </w:p>
        </w:tc>
      </w:tr>
      <w:tr w:rsidR="00DF3AF9" w:rsidRPr="008B4307" w14:paraId="16C50F41" w14:textId="77777777" w:rsidTr="00120118">
        <w:tc>
          <w:tcPr>
            <w:tcW w:w="1077" w:type="pct"/>
          </w:tcPr>
          <w:p w14:paraId="24F2BE39" w14:textId="77777777" w:rsidR="00DF3AF9" w:rsidRPr="004E365E" w:rsidRDefault="00DF3AF9" w:rsidP="0064109F">
            <w:pPr>
              <w:tabs>
                <w:tab w:val="center" w:pos="284"/>
              </w:tabs>
              <w:ind w:left="266" w:hanging="266"/>
              <w:rPr>
                <w:b/>
                <w:lang w:val="es-ES"/>
              </w:rPr>
            </w:pPr>
          </w:p>
        </w:tc>
        <w:tc>
          <w:tcPr>
            <w:tcW w:w="3923" w:type="pct"/>
          </w:tcPr>
          <w:p w14:paraId="0F785798" w14:textId="77777777" w:rsidR="00DF3AF9" w:rsidRPr="004E365E" w:rsidRDefault="00DF3AF9" w:rsidP="0064109F">
            <w:pPr>
              <w:tabs>
                <w:tab w:val="center" w:pos="284"/>
              </w:tabs>
              <w:ind w:left="266" w:right="-3091" w:hanging="266"/>
              <w:rPr>
                <w:lang w:val="es-ES"/>
              </w:rPr>
            </w:pPr>
          </w:p>
        </w:tc>
      </w:tr>
      <w:tr w:rsidR="00DF3AF9" w:rsidRPr="00A4331E" w14:paraId="4B343958" w14:textId="77777777" w:rsidTr="00120118">
        <w:tc>
          <w:tcPr>
            <w:tcW w:w="1077" w:type="pct"/>
          </w:tcPr>
          <w:p w14:paraId="20E6EA76" w14:textId="77777777" w:rsidR="00DF3AF9" w:rsidRPr="00A6689B" w:rsidRDefault="00DF3AF9" w:rsidP="0064109F">
            <w:pPr>
              <w:tabs>
                <w:tab w:val="center" w:pos="284"/>
              </w:tabs>
              <w:ind w:left="266" w:hanging="266"/>
              <w:rPr>
                <w:b/>
              </w:rPr>
            </w:pPr>
            <w:r>
              <w:rPr>
                <w:b/>
              </w:rPr>
              <w:t>Viiteasiakirjat</w:t>
            </w:r>
          </w:p>
        </w:tc>
        <w:tc>
          <w:tcPr>
            <w:tcW w:w="3923" w:type="pct"/>
          </w:tcPr>
          <w:p w14:paraId="55BD6D09" w14:textId="77777777" w:rsidR="00DF3AF9" w:rsidRPr="004E365E" w:rsidRDefault="00DF3AF9" w:rsidP="0064109F">
            <w:pPr>
              <w:tabs>
                <w:tab w:val="center" w:pos="284"/>
              </w:tabs>
              <w:ind w:left="266" w:right="-3091" w:hanging="266"/>
            </w:pPr>
            <w:r>
              <w:tab/>
              <w:t xml:space="preserve">COM(2025) 839 </w:t>
            </w:r>
            <w:proofErr w:type="spellStart"/>
            <w:r>
              <w:t>final</w:t>
            </w:r>
            <w:proofErr w:type="spellEnd"/>
            <w:r>
              <w:t xml:space="preserve"> </w:t>
            </w:r>
          </w:p>
          <w:p w14:paraId="5F0CC6A3" w14:textId="63482356" w:rsidR="00DF3AF9" w:rsidRPr="004E365E" w:rsidRDefault="00DF3AF9" w:rsidP="0064109F">
            <w:pPr>
              <w:tabs>
                <w:tab w:val="center" w:pos="284"/>
              </w:tabs>
              <w:ind w:left="266" w:right="-3091" w:hanging="266"/>
            </w:pPr>
            <w:r>
              <w:tab/>
              <w:t xml:space="preserve">COM(2025) 840 </w:t>
            </w:r>
            <w:proofErr w:type="spellStart"/>
            <w:r>
              <w:t>final</w:t>
            </w:r>
            <w:proofErr w:type="spellEnd"/>
          </w:p>
          <w:p w14:paraId="082D494A" w14:textId="3FA1028B" w:rsidR="00DF3AF9" w:rsidRDefault="00DF3AF9" w:rsidP="0064109F">
            <w:pPr>
              <w:tabs>
                <w:tab w:val="center" w:pos="284"/>
              </w:tabs>
              <w:ind w:left="550" w:right="-3091" w:hanging="266"/>
            </w:pPr>
            <w:r>
              <w:t xml:space="preserve">COM(2025) 842 </w:t>
            </w:r>
            <w:proofErr w:type="spellStart"/>
            <w:r>
              <w:t>final</w:t>
            </w:r>
            <w:proofErr w:type="spellEnd"/>
          </w:p>
          <w:p w14:paraId="4C6148D7" w14:textId="77777777" w:rsidR="00DF3AF9" w:rsidRPr="004E365E" w:rsidRDefault="00DF3AF9" w:rsidP="0064109F">
            <w:pPr>
              <w:tabs>
                <w:tab w:val="center" w:pos="284"/>
              </w:tabs>
              <w:ind w:left="550" w:right="-3091" w:hanging="266"/>
            </w:pPr>
            <w:r>
              <w:t>EESC-2025-04204-00-00-AC</w:t>
            </w:r>
          </w:p>
        </w:tc>
      </w:tr>
    </w:tbl>
    <w:p w14:paraId="2D88CB9F" w14:textId="77777777" w:rsidR="00DF3AF9" w:rsidRPr="004E365E" w:rsidRDefault="00DF3AF9" w:rsidP="0064109F">
      <w:pPr>
        <w:tabs>
          <w:tab w:val="center" w:pos="284"/>
        </w:tabs>
        <w:ind w:left="266" w:hanging="266"/>
        <w:rPr>
          <w:b/>
          <w:lang w:val="pt-PT"/>
        </w:rPr>
      </w:pPr>
    </w:p>
    <w:p w14:paraId="73F866C1" w14:textId="77777777" w:rsidR="00DF3AF9" w:rsidRPr="00A6689B" w:rsidRDefault="00DF3AF9" w:rsidP="0064109F">
      <w:pPr>
        <w:keepNext/>
        <w:keepLines/>
        <w:tabs>
          <w:tab w:val="center" w:pos="284"/>
        </w:tabs>
        <w:ind w:left="266" w:hanging="266"/>
        <w:rPr>
          <w:b/>
        </w:rPr>
      </w:pPr>
      <w:r>
        <w:rPr>
          <w:b/>
        </w:rPr>
        <w:t>Keskeiset kohdat</w:t>
      </w:r>
    </w:p>
    <w:p w14:paraId="1B8AEBB5" w14:textId="77777777" w:rsidR="00DF3AF9" w:rsidRPr="00A6689B" w:rsidRDefault="00DF3AF9" w:rsidP="0064109F">
      <w:pPr>
        <w:keepNext/>
        <w:keepLines/>
        <w:tabs>
          <w:tab w:val="center" w:pos="284"/>
        </w:tabs>
        <w:ind w:left="266" w:hanging="266"/>
        <w:rPr>
          <w:b/>
        </w:rPr>
      </w:pPr>
    </w:p>
    <w:p w14:paraId="3B814051" w14:textId="77777777" w:rsidR="00DF3AF9" w:rsidRPr="002A48E1" w:rsidRDefault="00DF3AF9" w:rsidP="0064109F">
      <w:pPr>
        <w:rPr>
          <w:bCs/>
          <w:iCs/>
        </w:rPr>
      </w:pPr>
      <w:r>
        <w:t>ETSK</w:t>
      </w:r>
    </w:p>
    <w:p w14:paraId="688D3ACA" w14:textId="77777777" w:rsidR="00DF3AF9" w:rsidRPr="003D505B" w:rsidRDefault="00DF3AF9" w:rsidP="002B6ACC">
      <w:pPr>
        <w:pStyle w:val="Heading2"/>
        <w:numPr>
          <w:ilvl w:val="0"/>
          <w:numId w:val="11"/>
        </w:numPr>
        <w:spacing w:line="283" w:lineRule="auto"/>
        <w:ind w:left="426" w:hanging="426"/>
      </w:pPr>
      <w:bookmarkStart w:id="1" w:name="_Toc229383132"/>
      <w:r>
        <w:rPr>
          <w:b/>
        </w:rPr>
        <w:t>tunnustaa monipilarisen eläkejärjestelmän</w:t>
      </w:r>
      <w:r>
        <w:t xml:space="preserve"> edut ja katsoo, että lisäeläkkeitä ei pitäisi käyttää perusteena lakisääteisten eläkkeiden heikentämiselle, vaan olisi varmistettava, että kaikilla EU:n kansalaisilla on mahdollisuus ihmisarvoiseen ja turvattuun eläkkeeseen ja varmuus riittävästä toimeentulosta. Asianmukaisella – kansallisella tai EU:n – tasolla tarvitaan </w:t>
      </w:r>
      <w:r>
        <w:rPr>
          <w:b/>
        </w:rPr>
        <w:t>kokonaisvaltaista lähestymistapaa</w:t>
      </w:r>
      <w:r>
        <w:t>, johon olisi kuuluttava sekä työmarkkinoiden että lisäeläkejärjestelmän parantaminen.</w:t>
      </w:r>
      <w:bookmarkEnd w:id="1"/>
    </w:p>
    <w:p w14:paraId="0D154FA5" w14:textId="77777777" w:rsidR="00DF3AF9" w:rsidRPr="003D505B" w:rsidRDefault="00DF3AF9" w:rsidP="002B6ACC">
      <w:pPr>
        <w:pStyle w:val="Heading2"/>
        <w:numPr>
          <w:ilvl w:val="0"/>
          <w:numId w:val="11"/>
        </w:numPr>
        <w:spacing w:line="283" w:lineRule="auto"/>
        <w:ind w:left="426" w:hanging="426"/>
      </w:pPr>
      <w:bookmarkStart w:id="2" w:name="_Toc229383133"/>
      <w:r>
        <w:rPr>
          <w:b/>
        </w:rPr>
        <w:t>suosittaa</w:t>
      </w:r>
      <w:r>
        <w:t xml:space="preserve"> tarkoituksenmukaisia toimenpiteitä, joilla </w:t>
      </w:r>
      <w:r>
        <w:rPr>
          <w:b/>
        </w:rPr>
        <w:t>vahvistetaan osallistavaa hallintoa</w:t>
      </w:r>
      <w:r>
        <w:t xml:space="preserve"> ja edistetään työmarkkinaosapuolten osallistumista. Samalla on säilytettävä työmarkkinaosapuolten neuvotteluvapaus ja otettava huomioon EU:n järjestelmien monimuotoisuus.</w:t>
      </w:r>
      <w:bookmarkEnd w:id="2"/>
    </w:p>
    <w:p w14:paraId="059D34E0" w14:textId="77777777" w:rsidR="00DF3AF9" w:rsidRDefault="00DF3AF9" w:rsidP="002B6ACC">
      <w:pPr>
        <w:pStyle w:val="Heading2"/>
        <w:numPr>
          <w:ilvl w:val="0"/>
          <w:numId w:val="11"/>
        </w:numPr>
        <w:spacing w:line="283" w:lineRule="auto"/>
        <w:ind w:left="426" w:hanging="426"/>
      </w:pPr>
      <w:bookmarkStart w:id="3" w:name="_Toc229383134"/>
      <w:r>
        <w:rPr>
          <w:b/>
        </w:rPr>
        <w:t>suosittelee</w:t>
      </w:r>
      <w:r>
        <w:t xml:space="preserve"> </w:t>
      </w:r>
      <w:r>
        <w:rPr>
          <w:b/>
        </w:rPr>
        <w:t>ammatillisia lisäeläkkeitä tarjoavia laitoksia koskevaan direktiiviin</w:t>
      </w:r>
      <w:r>
        <w:t xml:space="preserve"> erityisiä muutoksia hajanaisuuden vähentämiseksi, yhteensopivuuden ja avoimuuden lisäämiseksi ja järjestelmien jäsenten luottamuksen varmistamiseksi.</w:t>
      </w:r>
      <w:bookmarkEnd w:id="3"/>
    </w:p>
    <w:p w14:paraId="7B02373C" w14:textId="77777777" w:rsidR="00DF3AF9" w:rsidRPr="003D505B" w:rsidRDefault="00DF3AF9" w:rsidP="002B6ACC">
      <w:pPr>
        <w:pStyle w:val="Heading2"/>
        <w:numPr>
          <w:ilvl w:val="0"/>
          <w:numId w:val="11"/>
        </w:numPr>
        <w:spacing w:line="283" w:lineRule="auto"/>
        <w:ind w:left="426" w:hanging="426"/>
      </w:pPr>
      <w:bookmarkStart w:id="4" w:name="_Toc229383135"/>
      <w:r>
        <w:rPr>
          <w:b/>
        </w:rPr>
        <w:t>suosittelee</w:t>
      </w:r>
      <w:r>
        <w:t xml:space="preserve"> </w:t>
      </w:r>
      <w:r>
        <w:rPr>
          <w:b/>
        </w:rPr>
        <w:t>yleiseurooppalaista yksilöllistä eläketuotetta koskevaan asetukseen</w:t>
      </w:r>
      <w:r>
        <w:t xml:space="preserve"> erityisiä muutoksia, jotka koskevat muun muassa tiedottamista ja neuvontaa, Euroopan vakuutus- ja lisäeläkeviranomaisen (EIOPA) roolia ja </w:t>
      </w:r>
      <w:proofErr w:type="spellStart"/>
      <w:r>
        <w:t>rajatylittäviä</w:t>
      </w:r>
      <w:proofErr w:type="spellEnd"/>
      <w:r>
        <w:t xml:space="preserve"> siirtoja.</w:t>
      </w:r>
      <w:bookmarkEnd w:id="4"/>
    </w:p>
    <w:p w14:paraId="1F0DEC0A" w14:textId="77777777" w:rsidR="00DF3AF9" w:rsidRPr="002F7DE3" w:rsidRDefault="00DF3AF9" w:rsidP="002B6ACC">
      <w:pPr>
        <w:pStyle w:val="Heading2"/>
        <w:numPr>
          <w:ilvl w:val="0"/>
          <w:numId w:val="11"/>
        </w:numPr>
        <w:spacing w:line="283" w:lineRule="auto"/>
        <w:ind w:left="426" w:hanging="426"/>
      </w:pPr>
      <w:bookmarkStart w:id="5" w:name="_Toc229383136"/>
      <w:r>
        <w:rPr>
          <w:b/>
        </w:rPr>
        <w:t>suosittelee</w:t>
      </w:r>
      <w:r>
        <w:t xml:space="preserve"> toimenpiteitä, joilla </w:t>
      </w:r>
      <w:r>
        <w:rPr>
          <w:b/>
        </w:rPr>
        <w:t>vähennetään sukupuolten välisiä eroja</w:t>
      </w:r>
      <w:r>
        <w:t xml:space="preserve"> ja </w:t>
      </w:r>
      <w:r>
        <w:rPr>
          <w:b/>
        </w:rPr>
        <w:t>vahvistetaan kansalaisten luottamusta</w:t>
      </w:r>
      <w:r>
        <w:t xml:space="preserve"> eläketuotteita kohtaan, ja katsoo, että </w:t>
      </w:r>
      <w:r>
        <w:rPr>
          <w:b/>
        </w:rPr>
        <w:t>PEPP-tuotteiden tulisi säilyä yksilöllisinä tuotteina</w:t>
      </w:r>
      <w:r>
        <w:t xml:space="preserve"> eikä niiden yhteishankintaa tulisi sallia.</w:t>
      </w:r>
      <w:bookmarkEnd w:id="5"/>
    </w:p>
    <w:p w14:paraId="7424FD31" w14:textId="77777777" w:rsidR="00DF3AF9" w:rsidRDefault="00DF3AF9" w:rsidP="002B6ACC">
      <w:pPr>
        <w:pStyle w:val="Heading2"/>
        <w:numPr>
          <w:ilvl w:val="0"/>
          <w:numId w:val="11"/>
        </w:numPr>
        <w:spacing w:line="283" w:lineRule="auto"/>
        <w:ind w:left="426" w:hanging="426"/>
      </w:pPr>
      <w:bookmarkStart w:id="6" w:name="_Toc229383137"/>
      <w:r>
        <w:rPr>
          <w:b/>
        </w:rPr>
        <w:t>kehottaa</w:t>
      </w:r>
      <w:r>
        <w:t xml:space="preserve"> lainsäätäjiä harkitsemaan ammatillisia lisäeläkkeitä tarjoavia laitoksia koskevaan direktiiviin sisältyvän </w:t>
      </w:r>
      <w:r>
        <w:rPr>
          <w:b/>
        </w:rPr>
        <w:t>varovaisuusperiaatteen muotoilemista uudelleen</w:t>
      </w:r>
      <w:r>
        <w:t xml:space="preserve">, jotta voidaan </w:t>
      </w:r>
      <w:r>
        <w:rPr>
          <w:b/>
        </w:rPr>
        <w:t>säilyttää asianmukainen tasapaino</w:t>
      </w:r>
      <w:r>
        <w:t xml:space="preserve"> sijoitusriskin ja järjestelmiin suoritettavien maksujen takaamisen välillä.</w:t>
      </w:r>
      <w:bookmarkEnd w:id="6"/>
    </w:p>
    <w:p w14:paraId="4A123E88" w14:textId="77777777" w:rsidR="00DF3AF9" w:rsidRPr="002F7DE3" w:rsidRDefault="00DF3AF9" w:rsidP="002B6ACC">
      <w:pPr>
        <w:pStyle w:val="Heading2"/>
        <w:numPr>
          <w:ilvl w:val="0"/>
          <w:numId w:val="11"/>
        </w:numPr>
        <w:spacing w:line="283" w:lineRule="auto"/>
        <w:ind w:left="426" w:hanging="426"/>
      </w:pPr>
      <w:bookmarkStart w:id="7" w:name="_Toc229383138"/>
      <w:r>
        <w:rPr>
          <w:b/>
        </w:rPr>
        <w:t>katsoo, että automaattisen jäsenyyden</w:t>
      </w:r>
      <w:r>
        <w:t xml:space="preserve"> olisi tarvittaessa pohjauduttava vahvistettuun </w:t>
      </w:r>
      <w:r>
        <w:rPr>
          <w:b/>
        </w:rPr>
        <w:t>työmarkkinavuoropuheluun</w:t>
      </w:r>
      <w:r>
        <w:t xml:space="preserve"> ja keskitettyihin sopimusneuvotteluihin niin, että työmarkkinaosapuolilla säilyy vapaus neuvotella eläkejärjestelmistä ja suunnitella niitä sekä vapaus päättää automaattisesta jäsenyydestä.</w:t>
      </w:r>
      <w:bookmarkEnd w:id="7"/>
    </w:p>
    <w:p w14:paraId="38F5B974" w14:textId="77777777" w:rsidR="00DF3AF9" w:rsidRPr="001604AB" w:rsidRDefault="00DF3AF9" w:rsidP="002B6ACC">
      <w:pPr>
        <w:pStyle w:val="Heading2"/>
        <w:numPr>
          <w:ilvl w:val="0"/>
          <w:numId w:val="11"/>
        </w:numPr>
        <w:spacing w:line="283" w:lineRule="auto"/>
        <w:ind w:left="426" w:hanging="426"/>
      </w:pPr>
      <w:bookmarkStart w:id="8" w:name="_Toc229383139"/>
      <w:r>
        <w:rPr>
          <w:b/>
        </w:rPr>
        <w:t>suosittaa</w:t>
      </w:r>
      <w:r>
        <w:t xml:space="preserve">, että Euroopan komissio perustaa </w:t>
      </w:r>
      <w:r>
        <w:rPr>
          <w:b/>
        </w:rPr>
        <w:t>seurantakomitean</w:t>
      </w:r>
      <w:r>
        <w:t xml:space="preserve">, jotta voidaan </w:t>
      </w:r>
      <w:r>
        <w:rPr>
          <w:b/>
        </w:rPr>
        <w:t>seurata tehokkaasti lisäeläkkeitä koskevaa edistymistä</w:t>
      </w:r>
      <w:r>
        <w:t xml:space="preserve">. Seurantakomiteassa olisi oltava edustettuina viranomaiset, työmarkkinaosapuolet ja kansalaisyhteiskunnan organisaatiot. Sen työtä olisi </w:t>
      </w:r>
      <w:r>
        <w:rPr>
          <w:b/>
        </w:rPr>
        <w:t>hyödynnettävä</w:t>
      </w:r>
      <w:r>
        <w:t xml:space="preserve"> tulevissa sääntelymuutoksissa sekä talouspolitiikan EU-ohjausjaksossa ja neuvoston työssä.</w:t>
      </w:r>
      <w:bookmarkEnd w:id="8"/>
    </w:p>
    <w:p w14:paraId="45D86D02" w14:textId="77777777" w:rsidR="00DF3AF9" w:rsidRDefault="00DF3AF9" w:rsidP="002B6ACC">
      <w:pPr>
        <w:pStyle w:val="Heading2"/>
        <w:numPr>
          <w:ilvl w:val="0"/>
          <w:numId w:val="11"/>
        </w:numPr>
        <w:spacing w:line="283" w:lineRule="auto"/>
        <w:ind w:left="426" w:hanging="426"/>
      </w:pPr>
      <w:bookmarkStart w:id="9" w:name="_Toc229383140"/>
      <w:r>
        <w:rPr>
          <w:b/>
        </w:rPr>
        <w:t>suosittelee toimenpiteitä</w:t>
      </w:r>
      <w:r>
        <w:t xml:space="preserve">, joilla </w:t>
      </w:r>
      <w:r>
        <w:rPr>
          <w:b/>
        </w:rPr>
        <w:t>lievennetään</w:t>
      </w:r>
      <w:r>
        <w:t xml:space="preserve"> mahdollisia eläkkeiden </w:t>
      </w:r>
      <w:r>
        <w:rPr>
          <w:b/>
        </w:rPr>
        <w:t>kestävyyttä heikentäviä</w:t>
      </w:r>
      <w:r>
        <w:t xml:space="preserve"> ja</w:t>
      </w:r>
      <w:r>
        <w:rPr>
          <w:b/>
        </w:rPr>
        <w:t xml:space="preserve"> köyhyyttä</w:t>
      </w:r>
      <w:r>
        <w:t xml:space="preserve"> ja </w:t>
      </w:r>
      <w:r>
        <w:rPr>
          <w:b/>
        </w:rPr>
        <w:t>eriarvoisuutta</w:t>
      </w:r>
      <w:r>
        <w:t xml:space="preserve"> lisääviä vaikutuksia.</w:t>
      </w:r>
      <w:bookmarkEnd w:id="9"/>
    </w:p>
    <w:p w14:paraId="1ADAC5B6" w14:textId="77777777" w:rsidR="00DF3AF9" w:rsidRPr="00E53F7F" w:rsidRDefault="00DF3AF9" w:rsidP="002B6ACC">
      <w:pPr>
        <w:pStyle w:val="Heading2"/>
        <w:numPr>
          <w:ilvl w:val="0"/>
          <w:numId w:val="11"/>
        </w:numPr>
        <w:spacing w:line="283" w:lineRule="auto"/>
        <w:ind w:left="426" w:hanging="426"/>
      </w:pPr>
      <w:bookmarkStart w:id="10" w:name="_Toc229383141"/>
      <w:r>
        <w:rPr>
          <w:b/>
        </w:rPr>
        <w:lastRenderedPageBreak/>
        <w:t>kehottaa</w:t>
      </w:r>
      <w:r>
        <w:t xml:space="preserve"> saattamaan päätökseen toimet </w:t>
      </w:r>
      <w:r>
        <w:rPr>
          <w:b/>
        </w:rPr>
        <w:t>eurooppalaisten sosiaaliturvajärjestelmien digitalisoinnin koordinoimiseksi</w:t>
      </w:r>
      <w:r>
        <w:t>.</w:t>
      </w:r>
      <w:bookmarkEnd w:id="10"/>
    </w:p>
    <w:p w14:paraId="55DFA4BE" w14:textId="77777777" w:rsidR="00DF3AF9" w:rsidRPr="00A131BE" w:rsidRDefault="00DF3AF9" w:rsidP="002B6ACC">
      <w:pPr>
        <w:pStyle w:val="Heading2"/>
        <w:numPr>
          <w:ilvl w:val="0"/>
          <w:numId w:val="11"/>
        </w:numPr>
        <w:spacing w:line="283" w:lineRule="auto"/>
        <w:ind w:left="426" w:hanging="426"/>
        <w:rPr>
          <w:bCs/>
          <w:iCs/>
        </w:rPr>
      </w:pPr>
      <w:bookmarkStart w:id="11" w:name="_Toc229383142"/>
      <w:r>
        <w:rPr>
          <w:b/>
        </w:rPr>
        <w:t>korostaa</w:t>
      </w:r>
      <w:r>
        <w:t xml:space="preserve">, että tarvitaan </w:t>
      </w:r>
      <w:r>
        <w:rPr>
          <w:b/>
        </w:rPr>
        <w:t>talousvalistusta</w:t>
      </w:r>
      <w:r>
        <w:t xml:space="preserve"> ja käyttäjäystävällisiä </w:t>
      </w:r>
      <w:r>
        <w:rPr>
          <w:b/>
        </w:rPr>
        <w:t>seurantavälineitä</w:t>
      </w:r>
      <w:r>
        <w:t xml:space="preserve"> sekä päätöksentekoa tukevaa </w:t>
      </w:r>
      <w:r>
        <w:rPr>
          <w:b/>
        </w:rPr>
        <w:t>ohjausta ja neuvontaa</w:t>
      </w:r>
      <w:r>
        <w:t>.</w:t>
      </w:r>
      <w:bookmarkEnd w:id="11"/>
    </w:p>
    <w:p w14:paraId="7FBFEDC1" w14:textId="77777777" w:rsidR="00DF3AF9" w:rsidRPr="000624A9" w:rsidRDefault="00DF3AF9" w:rsidP="00DF3AF9">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DF3AF9" w:rsidRPr="00A6689B" w14:paraId="14E2F851" w14:textId="77777777" w:rsidTr="00120118">
        <w:tc>
          <w:tcPr>
            <w:tcW w:w="1077" w:type="pct"/>
          </w:tcPr>
          <w:p w14:paraId="0110F210" w14:textId="77777777" w:rsidR="00DF3AF9" w:rsidRPr="00A6689B" w:rsidRDefault="00DF3AF9" w:rsidP="00120118">
            <w:pPr>
              <w:rPr>
                <w:i/>
              </w:rPr>
            </w:pPr>
            <w:r>
              <w:rPr>
                <w:b/>
                <w:i/>
              </w:rPr>
              <w:t>Yhteydenotot</w:t>
            </w:r>
          </w:p>
        </w:tc>
        <w:tc>
          <w:tcPr>
            <w:tcW w:w="3923" w:type="pct"/>
          </w:tcPr>
          <w:p w14:paraId="0223077D" w14:textId="77777777" w:rsidR="00DF3AF9" w:rsidRPr="00A6689B" w:rsidRDefault="00DF3AF9" w:rsidP="00120118">
            <w:pPr>
              <w:rPr>
                <w:i/>
              </w:rPr>
            </w:pPr>
            <w:r>
              <w:rPr>
                <w:i/>
              </w:rPr>
              <w:t xml:space="preserve">Sergio </w:t>
            </w:r>
            <w:proofErr w:type="spellStart"/>
            <w:r>
              <w:rPr>
                <w:i/>
              </w:rPr>
              <w:t>Lorencio</w:t>
            </w:r>
            <w:proofErr w:type="spellEnd"/>
            <w:r>
              <w:rPr>
                <w:i/>
              </w:rPr>
              <w:t xml:space="preserve"> </w:t>
            </w:r>
            <w:proofErr w:type="spellStart"/>
            <w:r>
              <w:rPr>
                <w:i/>
              </w:rPr>
              <w:t>Matallana</w:t>
            </w:r>
            <w:proofErr w:type="spellEnd"/>
          </w:p>
        </w:tc>
      </w:tr>
      <w:tr w:rsidR="00DF3AF9" w:rsidRPr="00A6689B" w14:paraId="0271E6BD" w14:textId="77777777" w:rsidTr="00120118">
        <w:tc>
          <w:tcPr>
            <w:tcW w:w="1077" w:type="pct"/>
          </w:tcPr>
          <w:p w14:paraId="625CF95A" w14:textId="77777777" w:rsidR="00DF3AF9" w:rsidRPr="00A6689B" w:rsidRDefault="00DF3AF9" w:rsidP="00120118">
            <w:pPr>
              <w:rPr>
                <w:i/>
              </w:rPr>
            </w:pPr>
            <w:r>
              <w:rPr>
                <w:i/>
              </w:rPr>
              <w:t>P.</w:t>
            </w:r>
          </w:p>
        </w:tc>
        <w:tc>
          <w:tcPr>
            <w:tcW w:w="3923" w:type="pct"/>
          </w:tcPr>
          <w:p w14:paraId="23D6CC8C" w14:textId="77777777" w:rsidR="00DF3AF9" w:rsidRPr="00A6689B" w:rsidRDefault="00DF3AF9" w:rsidP="00120118">
            <w:pPr>
              <w:rPr>
                <w:i/>
              </w:rPr>
            </w:pPr>
            <w:r>
              <w:rPr>
                <w:i/>
              </w:rPr>
              <w:t>+32 25469240</w:t>
            </w:r>
          </w:p>
        </w:tc>
      </w:tr>
      <w:tr w:rsidR="00DF3AF9" w:rsidRPr="00A6689B" w14:paraId="77563321" w14:textId="77777777" w:rsidTr="00120118">
        <w:tc>
          <w:tcPr>
            <w:tcW w:w="1077" w:type="pct"/>
          </w:tcPr>
          <w:p w14:paraId="66AD85E6" w14:textId="77777777" w:rsidR="00DF3AF9" w:rsidRPr="00A6689B" w:rsidRDefault="00DF3AF9" w:rsidP="00120118">
            <w:pPr>
              <w:rPr>
                <w:i/>
              </w:rPr>
            </w:pPr>
            <w:r>
              <w:rPr>
                <w:i/>
              </w:rPr>
              <w:t>Sähköposti</w:t>
            </w:r>
          </w:p>
        </w:tc>
        <w:tc>
          <w:tcPr>
            <w:tcW w:w="3923" w:type="pct"/>
          </w:tcPr>
          <w:p w14:paraId="29F6ACF6" w14:textId="77777777" w:rsidR="00DF3AF9" w:rsidRPr="00A6689B" w:rsidRDefault="003665FE" w:rsidP="00120118">
            <w:pPr>
              <w:rPr>
                <w:i/>
              </w:rPr>
            </w:pPr>
            <w:hyperlink r:id="rId19" w:history="1">
              <w:r w:rsidR="00DF3AF9">
                <w:rPr>
                  <w:rStyle w:val="Hyperlink"/>
                  <w:i/>
                </w:rPr>
                <w:t>Sergio.LorencioMatallana@eesc.europa.eu</w:t>
              </w:r>
            </w:hyperlink>
          </w:p>
        </w:tc>
      </w:tr>
    </w:tbl>
    <w:p w14:paraId="40F46A0E" w14:textId="77777777" w:rsidR="00DF3AF9" w:rsidRDefault="00DF3AF9" w:rsidP="00DF3AF9">
      <w:pPr>
        <w:jc w:val="center"/>
        <w:rPr>
          <w:lang w:val="nl-BE"/>
        </w:rPr>
      </w:pPr>
    </w:p>
    <w:p w14:paraId="5E21CCD1" w14:textId="77777777" w:rsidR="004D7AC0" w:rsidRDefault="004D7AC0" w:rsidP="004D7AC0">
      <w:pPr>
        <w:pStyle w:val="ListParagraph"/>
        <w:ind w:left="0"/>
      </w:pPr>
    </w:p>
    <w:p w14:paraId="4982DD98" w14:textId="77777777" w:rsidR="004D7AC0" w:rsidRDefault="004D7AC0" w:rsidP="004D7AC0">
      <w:pPr>
        <w:spacing w:after="160" w:line="259" w:lineRule="auto"/>
        <w:jc w:val="left"/>
      </w:pPr>
      <w:r>
        <w:br w:type="page"/>
      </w:r>
    </w:p>
    <w:p w14:paraId="4982DD99" w14:textId="77777777" w:rsidR="004D7AC0" w:rsidRDefault="004D7AC0" w:rsidP="004D7AC0">
      <w:pPr>
        <w:pStyle w:val="Heading1"/>
        <w:rPr>
          <w:b/>
        </w:rPr>
      </w:pPr>
      <w:bookmarkStart w:id="12" w:name="_Toc75527081"/>
      <w:bookmarkStart w:id="13" w:name="_Toc229383143"/>
      <w:r>
        <w:rPr>
          <w:b/>
        </w:rPr>
        <w:lastRenderedPageBreak/>
        <w:t>TYÖLLISYYS, SOSIAALIASIAT JA KANSALAISUUS</w:t>
      </w:r>
      <w:bookmarkEnd w:id="12"/>
      <w:bookmarkEnd w:id="13"/>
    </w:p>
    <w:p w14:paraId="4982DD9A" w14:textId="5BCD2EE9" w:rsidR="004D7AC0" w:rsidRDefault="004D7AC0" w:rsidP="004D7AC0"/>
    <w:p w14:paraId="663E6C25" w14:textId="5D8A6497" w:rsidR="00BE6201" w:rsidRPr="00097FC2" w:rsidRDefault="003665FE" w:rsidP="002B6ACC">
      <w:pPr>
        <w:widowControl w:val="0"/>
        <w:numPr>
          <w:ilvl w:val="0"/>
          <w:numId w:val="4"/>
        </w:numPr>
        <w:overflowPunct w:val="0"/>
        <w:autoSpaceDE w:val="0"/>
        <w:autoSpaceDN w:val="0"/>
        <w:adjustRightInd w:val="0"/>
        <w:ind w:left="567" w:hanging="567"/>
        <w:textAlignment w:val="baseline"/>
        <w:rPr>
          <w:rStyle w:val="Hyperlink"/>
          <w:b/>
          <w:sz w:val="28"/>
          <w:szCs w:val="28"/>
        </w:rPr>
      </w:pPr>
      <w:hyperlink r:id="rId20" w:history="1">
        <w:r w:rsidR="00BE6201">
          <w:rPr>
            <w:rStyle w:val="Hyperlink"/>
            <w:b/>
            <w:i/>
            <w:sz w:val="28"/>
          </w:rPr>
          <w:t>Kielto eheytyshoidoille Euroopan unionissa</w:t>
        </w:r>
      </w:hyperlink>
    </w:p>
    <w:p w14:paraId="03C7AB2D" w14:textId="77777777" w:rsidR="00BE6201" w:rsidRPr="0064109F" w:rsidRDefault="00BE6201" w:rsidP="009D79C3">
      <w:pPr>
        <w:tabs>
          <w:tab w:val="center" w:pos="284"/>
        </w:tabs>
        <w:ind w:left="567" w:hanging="567"/>
        <w:rPr>
          <w:lang w:val="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6237"/>
      </w:tblGrid>
      <w:tr w:rsidR="00BE6201" w:rsidRPr="00F81EBB" w14:paraId="60C4FCC5" w14:textId="77777777" w:rsidTr="00477683">
        <w:tc>
          <w:tcPr>
            <w:tcW w:w="1719" w:type="dxa"/>
          </w:tcPr>
          <w:p w14:paraId="1DFE87C2" w14:textId="77777777" w:rsidR="00BE6201" w:rsidRPr="00F81EBB" w:rsidRDefault="00BE6201" w:rsidP="009D79C3">
            <w:pPr>
              <w:tabs>
                <w:tab w:val="center" w:pos="284"/>
              </w:tabs>
              <w:ind w:left="567" w:hanging="567"/>
              <w:rPr>
                <w:b/>
              </w:rPr>
            </w:pPr>
            <w:r>
              <w:rPr>
                <w:b/>
              </w:rPr>
              <w:t>Esittelijä</w:t>
            </w:r>
          </w:p>
        </w:tc>
        <w:tc>
          <w:tcPr>
            <w:tcW w:w="6237" w:type="dxa"/>
          </w:tcPr>
          <w:p w14:paraId="48AAEFF9" w14:textId="77777777" w:rsidR="00BE6201" w:rsidRPr="00F81EBB" w:rsidRDefault="00BE6201" w:rsidP="009D79C3">
            <w:pPr>
              <w:ind w:left="567" w:hanging="567"/>
            </w:pPr>
            <w:r>
              <w:t>Pascal DEBAY (työntekijät – FR)</w:t>
            </w:r>
          </w:p>
        </w:tc>
      </w:tr>
      <w:tr w:rsidR="00BE6201" w:rsidRPr="00F81EBB" w14:paraId="5E775CAA" w14:textId="77777777" w:rsidTr="00477683">
        <w:tc>
          <w:tcPr>
            <w:tcW w:w="1719" w:type="dxa"/>
          </w:tcPr>
          <w:p w14:paraId="0021FF31" w14:textId="77777777" w:rsidR="00BE6201" w:rsidRPr="00F81EBB" w:rsidRDefault="00BE6201" w:rsidP="009D79C3">
            <w:pPr>
              <w:tabs>
                <w:tab w:val="center" w:pos="284"/>
              </w:tabs>
              <w:ind w:left="567" w:hanging="567"/>
              <w:rPr>
                <w:b/>
              </w:rPr>
            </w:pPr>
            <w:r>
              <w:rPr>
                <w:b/>
              </w:rPr>
              <w:t>Yhteisesittelijä</w:t>
            </w:r>
          </w:p>
        </w:tc>
        <w:tc>
          <w:tcPr>
            <w:tcW w:w="6237" w:type="dxa"/>
          </w:tcPr>
          <w:p w14:paraId="3347A450" w14:textId="77777777" w:rsidR="00BE6201" w:rsidRPr="00F81EBB" w:rsidRDefault="00BE6201" w:rsidP="009D79C3">
            <w:pPr>
              <w:ind w:left="567" w:hanging="567"/>
            </w:pPr>
            <w:proofErr w:type="spellStart"/>
            <w:r>
              <w:t>Ionuţ</w:t>
            </w:r>
            <w:proofErr w:type="spellEnd"/>
            <w:r>
              <w:t xml:space="preserve"> SIBIAN (kansalaisyhteiskunnan organisaatiot – RO)</w:t>
            </w:r>
          </w:p>
        </w:tc>
      </w:tr>
      <w:tr w:rsidR="00BE6201" w:rsidRPr="00F81EBB" w14:paraId="2C97AE98" w14:textId="77777777" w:rsidTr="00477683">
        <w:tc>
          <w:tcPr>
            <w:tcW w:w="1719" w:type="dxa"/>
          </w:tcPr>
          <w:p w14:paraId="242AD88D" w14:textId="77777777" w:rsidR="00BE6201" w:rsidRPr="00F81EBB" w:rsidRDefault="00BE6201" w:rsidP="009D79C3">
            <w:pPr>
              <w:tabs>
                <w:tab w:val="center" w:pos="284"/>
              </w:tabs>
              <w:ind w:left="567" w:hanging="567"/>
              <w:rPr>
                <w:b/>
                <w:lang w:val="en-IE"/>
              </w:rPr>
            </w:pPr>
          </w:p>
        </w:tc>
        <w:tc>
          <w:tcPr>
            <w:tcW w:w="6237" w:type="dxa"/>
          </w:tcPr>
          <w:p w14:paraId="1AC25731" w14:textId="77777777" w:rsidR="00BE6201" w:rsidRPr="00F81EBB" w:rsidRDefault="00BE6201" w:rsidP="009D79C3">
            <w:pPr>
              <w:ind w:left="567" w:hanging="567"/>
              <w:rPr>
                <w:lang w:val="en-IE"/>
              </w:rPr>
            </w:pPr>
          </w:p>
        </w:tc>
      </w:tr>
      <w:tr w:rsidR="00BE6201" w:rsidRPr="00F81EBB" w14:paraId="002701A0" w14:textId="77777777" w:rsidTr="00477683">
        <w:tc>
          <w:tcPr>
            <w:tcW w:w="1719" w:type="dxa"/>
          </w:tcPr>
          <w:p w14:paraId="5211D51C" w14:textId="77777777" w:rsidR="00BE6201" w:rsidRPr="00F81EBB" w:rsidRDefault="00BE6201" w:rsidP="009D79C3">
            <w:pPr>
              <w:tabs>
                <w:tab w:val="center" w:pos="284"/>
              </w:tabs>
              <w:ind w:left="567" w:hanging="567"/>
              <w:rPr>
                <w:b/>
              </w:rPr>
            </w:pPr>
            <w:r>
              <w:rPr>
                <w:b/>
              </w:rPr>
              <w:t>Viiteasiakirja(t)</w:t>
            </w:r>
          </w:p>
        </w:tc>
        <w:tc>
          <w:tcPr>
            <w:tcW w:w="6237" w:type="dxa"/>
          </w:tcPr>
          <w:p w14:paraId="11296F7D" w14:textId="77777777" w:rsidR="00BE6201" w:rsidRPr="00F81EBB" w:rsidRDefault="00BE6201" w:rsidP="009D79C3">
            <w:pPr>
              <w:tabs>
                <w:tab w:val="center" w:pos="284"/>
              </w:tabs>
              <w:ind w:left="567" w:hanging="567"/>
            </w:pPr>
            <w:r>
              <w:t>Oma-aloitteinen lausunto</w:t>
            </w:r>
          </w:p>
          <w:p w14:paraId="7DA6B97E" w14:textId="77777777" w:rsidR="00BE6201" w:rsidRPr="00F81EBB" w:rsidRDefault="00BE6201" w:rsidP="009D79C3">
            <w:pPr>
              <w:tabs>
                <w:tab w:val="center" w:pos="284"/>
              </w:tabs>
              <w:ind w:left="567" w:hanging="567"/>
            </w:pPr>
            <w:r>
              <w:t>EESC-2025-04295-00-00-AC</w:t>
            </w:r>
          </w:p>
        </w:tc>
      </w:tr>
    </w:tbl>
    <w:p w14:paraId="3A720DEE" w14:textId="77777777" w:rsidR="00477683" w:rsidRDefault="00477683" w:rsidP="009D79C3">
      <w:pPr>
        <w:keepNext/>
        <w:keepLines/>
        <w:tabs>
          <w:tab w:val="center" w:pos="284"/>
        </w:tabs>
        <w:ind w:left="266" w:hanging="266"/>
        <w:rPr>
          <w:b/>
        </w:rPr>
      </w:pPr>
    </w:p>
    <w:p w14:paraId="6E6D6A35" w14:textId="5CFAA4AF" w:rsidR="00BE6201" w:rsidRDefault="00BE6201" w:rsidP="009D79C3">
      <w:pPr>
        <w:keepNext/>
        <w:keepLines/>
        <w:tabs>
          <w:tab w:val="center" w:pos="284"/>
        </w:tabs>
        <w:ind w:left="266" w:hanging="266"/>
        <w:rPr>
          <w:b/>
        </w:rPr>
      </w:pPr>
      <w:r>
        <w:rPr>
          <w:b/>
        </w:rPr>
        <w:t>Keskeiset kohdat</w:t>
      </w:r>
    </w:p>
    <w:p w14:paraId="168CC28A" w14:textId="77777777" w:rsidR="00097FC2" w:rsidRPr="00F81EBB" w:rsidRDefault="00097FC2" w:rsidP="009D79C3">
      <w:pPr>
        <w:keepNext/>
        <w:keepLines/>
        <w:tabs>
          <w:tab w:val="center" w:pos="284"/>
        </w:tabs>
        <w:ind w:left="266" w:hanging="266"/>
        <w:rPr>
          <w:b/>
        </w:rPr>
      </w:pPr>
    </w:p>
    <w:p w14:paraId="76906FDB" w14:textId="77777777" w:rsidR="00BE6201" w:rsidRPr="00F81EBB" w:rsidRDefault="00BE6201" w:rsidP="009D79C3">
      <w:pPr>
        <w:pStyle w:val="NormalWeb"/>
        <w:spacing w:before="0" w:beforeAutospacing="0" w:after="0" w:afterAutospacing="0" w:line="288" w:lineRule="auto"/>
        <w:rPr>
          <w:b/>
          <w:bCs/>
          <w:sz w:val="22"/>
          <w:szCs w:val="22"/>
        </w:rPr>
      </w:pPr>
      <w:r>
        <w:rPr>
          <w:sz w:val="22"/>
        </w:rPr>
        <w:t>ETSK</w:t>
      </w:r>
    </w:p>
    <w:p w14:paraId="1E202776" w14:textId="11A78E3D" w:rsidR="00BE6201" w:rsidRPr="00F81EBB" w:rsidRDefault="00BE6201" w:rsidP="002B6ACC">
      <w:pPr>
        <w:pStyle w:val="Heading2"/>
        <w:numPr>
          <w:ilvl w:val="0"/>
          <w:numId w:val="12"/>
        </w:numPr>
        <w:ind w:left="426" w:hanging="426"/>
      </w:pPr>
      <w:bookmarkStart w:id="14" w:name="_Toc229383144"/>
      <w:r>
        <w:t>tuomitsee jyrkästi kaikenlaisen eheytystoiminnan, jonka tarkoituksena on henkilön</w:t>
      </w:r>
      <w:r w:rsidR="006373AD">
        <w:t xml:space="preserve"> </w:t>
      </w:r>
      <w:r>
        <w:t>seksuaalisen suuntautumisen, sukupuoli-identiteetin ja/tai sukupuolen ilmaisun muuttaminen tai tukahduttaminen, ja katsoo, että se rikkoo kidutuksen ja epäinhimillisen tai halventavan kohtelun tai rangaistuksen ehdotonta kieltoa.</w:t>
      </w:r>
      <w:bookmarkEnd w:id="14"/>
    </w:p>
    <w:p w14:paraId="529699EE" w14:textId="77777777" w:rsidR="00BE6201" w:rsidRPr="00F81EBB" w:rsidRDefault="00BE6201" w:rsidP="002B6ACC">
      <w:pPr>
        <w:pStyle w:val="Heading2"/>
        <w:numPr>
          <w:ilvl w:val="0"/>
          <w:numId w:val="12"/>
        </w:numPr>
        <w:ind w:left="426" w:hanging="426"/>
      </w:pPr>
      <w:bookmarkStart w:id="15" w:name="_Toc229383145"/>
      <w:r>
        <w:t xml:space="preserve">muistuttaa, että </w:t>
      </w:r>
      <w:proofErr w:type="spellStart"/>
      <w:r>
        <w:t>hlbtiq</w:t>
      </w:r>
      <w:proofErr w:type="spellEnd"/>
      <w:r>
        <w:t>+ -henkilöihin kohdistuva syrjintä, väkivalta ja kidutus EU:ssa ovat ristiriidassa EU:n perusoikeuksien ja -arvojen kanssa.</w:t>
      </w:r>
      <w:bookmarkEnd w:id="15"/>
    </w:p>
    <w:p w14:paraId="769C24E9" w14:textId="77777777" w:rsidR="00BE6201" w:rsidRPr="00F81EBB" w:rsidRDefault="00BE6201" w:rsidP="002B6ACC">
      <w:pPr>
        <w:pStyle w:val="Heading2"/>
        <w:numPr>
          <w:ilvl w:val="0"/>
          <w:numId w:val="12"/>
        </w:numPr>
        <w:ind w:left="426" w:hanging="426"/>
      </w:pPr>
      <w:bookmarkStart w:id="16" w:name="_Toc229383146"/>
      <w:r>
        <w:t>kehottaa Euroopan komissiota ehdottamaan eheytystoimintaa koskevaa oikeudellisesti sitovaa EU:n laajuista kieltoa, joka kattaa sekä tällaisen toiminnan harjoittamisen että sen mainostamisen, sisällyttämällä eheytystoiminnan ”EU-rikoksiin” ja tunnustamaan sen viharikokseksi, jotta varmistetaan yhdenmukainen suojelun taso kaikkialla EU:ssa.</w:t>
      </w:r>
      <w:bookmarkEnd w:id="16"/>
    </w:p>
    <w:p w14:paraId="5F40FC99" w14:textId="77777777" w:rsidR="00BE6201" w:rsidRPr="00F81EBB" w:rsidRDefault="00BE6201" w:rsidP="002B6ACC">
      <w:pPr>
        <w:pStyle w:val="Heading2"/>
        <w:numPr>
          <w:ilvl w:val="0"/>
          <w:numId w:val="12"/>
        </w:numPr>
        <w:ind w:left="426" w:hanging="426"/>
      </w:pPr>
      <w:bookmarkStart w:id="17" w:name="_Toc229383147"/>
      <w:r>
        <w:t>vaatii, että kielto on kattava ja täsmällisesti määritelty, että sitä sovelletaan sekä lapsiin että aikuisiin, että se kattaa kaikki julkiset ja yksityiset toimijat (ammatilliset ja muut kuin ammattimaiset) ja että sillä varmistetaan, että uhrit eivät koskaan joudu rikosoikeudelliseen tai siviilioikeudelliseen vastuuseen.</w:t>
      </w:r>
      <w:bookmarkEnd w:id="17"/>
    </w:p>
    <w:p w14:paraId="5B276075" w14:textId="77777777" w:rsidR="00BE6201" w:rsidRPr="00F81EBB" w:rsidRDefault="00BE6201" w:rsidP="002B6ACC">
      <w:pPr>
        <w:pStyle w:val="Heading2"/>
        <w:numPr>
          <w:ilvl w:val="0"/>
          <w:numId w:val="12"/>
        </w:numPr>
        <w:ind w:left="426" w:hanging="426"/>
      </w:pPr>
      <w:bookmarkStart w:id="18" w:name="_Toc229383148"/>
      <w:r>
        <w:t>vaatii, että kieltoon sisällytetään tehokkaita, oikeasuhteisia ja varoittavia seuraamuksia, jotka heijastavat eheytystoiminnan aiheuttamaa vakavaa haittaa.</w:t>
      </w:r>
      <w:bookmarkEnd w:id="18"/>
    </w:p>
    <w:p w14:paraId="10AC5168" w14:textId="77777777" w:rsidR="00BE6201" w:rsidRDefault="00BE6201" w:rsidP="002B6ACC">
      <w:pPr>
        <w:pStyle w:val="Heading2"/>
        <w:numPr>
          <w:ilvl w:val="0"/>
          <w:numId w:val="12"/>
        </w:numPr>
        <w:ind w:left="426" w:hanging="426"/>
      </w:pPr>
      <w:bookmarkStart w:id="19" w:name="_Toc229383149"/>
      <w:r>
        <w:t>kehottaa sisällyttämään kiellon soveltamisalaan nimenomaisesti myös sukupuoliominaisuudet, jotta voidaan suojella intersukupuolisia henkilöitä muihin kuin hoitotarkoituksiin ja ilman suostumusta toteutettavilta toimenpiteiltä, jotka pakottavat binäärisen sukupuolen omaksumiseen.</w:t>
      </w:r>
      <w:bookmarkEnd w:id="19"/>
    </w:p>
    <w:p w14:paraId="3DBBC1A6" w14:textId="77777777" w:rsidR="00BE6201" w:rsidRDefault="00BE6201" w:rsidP="002B6ACC">
      <w:pPr>
        <w:pStyle w:val="Heading2"/>
        <w:numPr>
          <w:ilvl w:val="0"/>
          <w:numId w:val="12"/>
        </w:numPr>
        <w:ind w:left="426" w:hanging="426"/>
      </w:pPr>
      <w:bookmarkStart w:id="20" w:name="_Toc229383150"/>
      <w:r>
        <w:t xml:space="preserve">suosittaa vahvoja täytäntöönpanotoimenpiteitä osana </w:t>
      </w:r>
      <w:proofErr w:type="spellStart"/>
      <w:r>
        <w:t>hlbtiq</w:t>
      </w:r>
      <w:proofErr w:type="spellEnd"/>
      <w:r>
        <w:t>+ -henkilöiden tasa-arvoa koskevaa strategiaa 2026–2030. Niihin olisi sisällyttävä vuotuinen seuranta, jota toteutetaan yhteistyössä järjestäytyneen kansalaisyhteiskunnan kanssa, kohdennettu rahoitus ammatillista koulutusta ja tasa-arvojärjestöjä varten sekä EU:n tukemat koulutus- ja tiedotusaloitteet, jotka ovat olennaisen tärkeitä tällaisten käytäntöjen tunnistamiseksi ja poistamiseksi.</w:t>
      </w:r>
      <w:bookmarkEnd w:id="20"/>
    </w:p>
    <w:p w14:paraId="6700BFFD" w14:textId="77777777" w:rsidR="00BE6201" w:rsidRPr="00E52A86" w:rsidRDefault="00BE6201" w:rsidP="00BE6201">
      <w:pPr>
        <w:rPr>
          <w:lang w:val="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4493"/>
      </w:tblGrid>
      <w:tr w:rsidR="00BE6201" w:rsidRPr="00F81EBB" w14:paraId="15A888AC" w14:textId="77777777" w:rsidTr="00120118">
        <w:tc>
          <w:tcPr>
            <w:tcW w:w="1210" w:type="dxa"/>
          </w:tcPr>
          <w:p w14:paraId="22D24014" w14:textId="77777777" w:rsidR="00BE6201" w:rsidRPr="00F81EBB" w:rsidRDefault="00BE6201" w:rsidP="00120118">
            <w:pPr>
              <w:spacing w:line="240" w:lineRule="auto"/>
              <w:rPr>
                <w:i/>
              </w:rPr>
            </w:pPr>
            <w:r>
              <w:rPr>
                <w:b/>
                <w:bCs/>
                <w:i/>
              </w:rPr>
              <w:t>Yhteydenotot</w:t>
            </w:r>
          </w:p>
        </w:tc>
        <w:tc>
          <w:tcPr>
            <w:tcW w:w="4493" w:type="dxa"/>
          </w:tcPr>
          <w:p w14:paraId="76F0F9B5" w14:textId="53322404" w:rsidR="00BE6201" w:rsidRPr="00F81EBB" w:rsidRDefault="00BE6201" w:rsidP="00120118">
            <w:pPr>
              <w:spacing w:line="240" w:lineRule="auto"/>
              <w:ind w:hanging="12"/>
              <w:rPr>
                <w:i/>
              </w:rPr>
            </w:pPr>
            <w:proofErr w:type="spellStart"/>
            <w:r>
              <w:rPr>
                <w:i/>
              </w:rPr>
              <w:t>Bartek</w:t>
            </w:r>
            <w:proofErr w:type="spellEnd"/>
            <w:r>
              <w:rPr>
                <w:i/>
              </w:rPr>
              <w:t xml:space="preserve"> </w:t>
            </w:r>
            <w:proofErr w:type="spellStart"/>
            <w:r w:rsidR="00AD5C40">
              <w:rPr>
                <w:i/>
              </w:rPr>
              <w:t>Bednarowicz</w:t>
            </w:r>
            <w:proofErr w:type="spellEnd"/>
          </w:p>
        </w:tc>
      </w:tr>
      <w:tr w:rsidR="00BE6201" w:rsidRPr="00F81EBB" w14:paraId="0A29952D" w14:textId="77777777" w:rsidTr="00120118">
        <w:tc>
          <w:tcPr>
            <w:tcW w:w="1210" w:type="dxa"/>
          </w:tcPr>
          <w:p w14:paraId="7D8FE1F5" w14:textId="77777777" w:rsidR="00BE6201" w:rsidRPr="00F81EBB" w:rsidRDefault="00BE6201" w:rsidP="00120118">
            <w:pPr>
              <w:spacing w:line="240" w:lineRule="auto"/>
              <w:rPr>
                <w:i/>
              </w:rPr>
            </w:pPr>
            <w:r>
              <w:rPr>
                <w:i/>
              </w:rPr>
              <w:t>P.</w:t>
            </w:r>
          </w:p>
        </w:tc>
        <w:tc>
          <w:tcPr>
            <w:tcW w:w="4493" w:type="dxa"/>
          </w:tcPr>
          <w:p w14:paraId="13DC6C0B" w14:textId="77777777" w:rsidR="00BE6201" w:rsidRPr="00F81EBB" w:rsidRDefault="00BE6201" w:rsidP="00120118">
            <w:pPr>
              <w:spacing w:line="240" w:lineRule="auto"/>
              <w:rPr>
                <w:i/>
              </w:rPr>
            </w:pPr>
            <w:r>
              <w:rPr>
                <w:i/>
              </w:rPr>
              <w:t>+32 25469229</w:t>
            </w:r>
          </w:p>
        </w:tc>
      </w:tr>
      <w:tr w:rsidR="00BE6201" w:rsidRPr="00F81EBB" w14:paraId="508A87E1" w14:textId="77777777" w:rsidTr="00120118">
        <w:tc>
          <w:tcPr>
            <w:tcW w:w="1210" w:type="dxa"/>
          </w:tcPr>
          <w:p w14:paraId="784C9525" w14:textId="77777777" w:rsidR="00BE6201" w:rsidRPr="00F81EBB" w:rsidRDefault="00BE6201" w:rsidP="00120118">
            <w:pPr>
              <w:spacing w:line="240" w:lineRule="auto"/>
              <w:rPr>
                <w:i/>
              </w:rPr>
            </w:pPr>
            <w:r>
              <w:rPr>
                <w:i/>
              </w:rPr>
              <w:t>Sähköposti</w:t>
            </w:r>
          </w:p>
        </w:tc>
        <w:tc>
          <w:tcPr>
            <w:tcW w:w="4493" w:type="dxa"/>
          </w:tcPr>
          <w:p w14:paraId="2D029651" w14:textId="77777777" w:rsidR="00BE6201" w:rsidRPr="00F81EBB" w:rsidRDefault="003665FE" w:rsidP="00120118">
            <w:pPr>
              <w:spacing w:line="240" w:lineRule="auto"/>
              <w:rPr>
                <w:i/>
                <w:iCs/>
              </w:rPr>
            </w:pPr>
            <w:hyperlink r:id="rId21" w:history="1">
              <w:r w:rsidR="00BE6201">
                <w:rPr>
                  <w:rStyle w:val="Hyperlink"/>
                  <w:i/>
                </w:rPr>
                <w:t>Bartek.Bednarowicz@eesc.europa.eu</w:t>
              </w:r>
            </w:hyperlink>
          </w:p>
          <w:p w14:paraId="574D6E3A" w14:textId="77777777" w:rsidR="00BE6201" w:rsidRPr="00F81EBB" w:rsidRDefault="00BE6201" w:rsidP="00120118">
            <w:pPr>
              <w:spacing w:line="240" w:lineRule="auto"/>
              <w:rPr>
                <w:i/>
                <w:lang w:val="en-IE"/>
              </w:rPr>
            </w:pPr>
          </w:p>
        </w:tc>
      </w:tr>
    </w:tbl>
    <w:p w14:paraId="6D8B9049" w14:textId="77777777" w:rsidR="00BE6201" w:rsidRDefault="00BE6201" w:rsidP="00BE6201"/>
    <w:p w14:paraId="1E2B40A6" w14:textId="77777777" w:rsidR="00BE6201" w:rsidRDefault="00BE6201" w:rsidP="00BE6201">
      <w:pPr>
        <w:spacing w:after="160" w:line="259" w:lineRule="auto"/>
        <w:jc w:val="left"/>
      </w:pPr>
      <w:r>
        <w:br w:type="page"/>
      </w:r>
    </w:p>
    <w:p w14:paraId="7C5BEB28" w14:textId="21CC062A" w:rsidR="00BE6201" w:rsidRPr="00DF7DFC" w:rsidRDefault="003665FE" w:rsidP="002B6ACC">
      <w:pPr>
        <w:pStyle w:val="ListParagraph"/>
        <w:widowControl w:val="0"/>
        <w:numPr>
          <w:ilvl w:val="0"/>
          <w:numId w:val="5"/>
        </w:numPr>
        <w:spacing w:line="276" w:lineRule="auto"/>
        <w:ind w:left="567" w:hanging="567"/>
        <w:jc w:val="left"/>
        <w:rPr>
          <w:b/>
          <w:i/>
          <w:sz w:val="28"/>
          <w:szCs w:val="28"/>
        </w:rPr>
      </w:pPr>
      <w:hyperlink r:id="rId22" w:history="1">
        <w:r w:rsidR="00BE6201">
          <w:rPr>
            <w:rStyle w:val="Hyperlink"/>
            <w:b/>
            <w:i/>
            <w:sz w:val="28"/>
          </w:rPr>
          <w:t xml:space="preserve">Tasa-arvon unioni: </w:t>
        </w:r>
        <w:proofErr w:type="spellStart"/>
        <w:r w:rsidR="00BE6201">
          <w:rPr>
            <w:rStyle w:val="Hyperlink"/>
            <w:b/>
            <w:i/>
            <w:sz w:val="28"/>
          </w:rPr>
          <w:t>hlbtiq</w:t>
        </w:r>
        <w:proofErr w:type="spellEnd"/>
        <w:r w:rsidR="00BE6201">
          <w:rPr>
            <w:rStyle w:val="Hyperlink"/>
            <w:b/>
            <w:i/>
            <w:sz w:val="28"/>
          </w:rPr>
          <w:t>+ -henkilöiden tasa-arvoa koskeva strategia 2026–2030</w:t>
        </w:r>
      </w:hyperlink>
    </w:p>
    <w:p w14:paraId="6D5948FA" w14:textId="7F3AED26" w:rsidR="00BE6201" w:rsidRPr="00CD0800" w:rsidRDefault="00BE6201" w:rsidP="00AD5C40">
      <w:pPr>
        <w:widowControl w:val="0"/>
        <w:jc w:val="center"/>
        <w:rPr>
          <w:b/>
          <w:bCs/>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BE6201" w:rsidRPr="00CD0800" w14:paraId="2717DBC2" w14:textId="77777777" w:rsidTr="00120118">
        <w:tc>
          <w:tcPr>
            <w:tcW w:w="1701" w:type="dxa"/>
          </w:tcPr>
          <w:p w14:paraId="15518AF2" w14:textId="77777777" w:rsidR="00BE6201" w:rsidRPr="00CD0800" w:rsidRDefault="00BE6201" w:rsidP="00120118">
            <w:pPr>
              <w:tabs>
                <w:tab w:val="center" w:pos="284"/>
              </w:tabs>
              <w:ind w:left="266" w:hanging="266"/>
              <w:rPr>
                <w:b/>
              </w:rPr>
            </w:pPr>
            <w:r w:rsidRPr="00CD0800">
              <w:rPr>
                <w:b/>
              </w:rPr>
              <w:t>Esittelijä</w:t>
            </w:r>
          </w:p>
        </w:tc>
        <w:tc>
          <w:tcPr>
            <w:tcW w:w="6804" w:type="dxa"/>
          </w:tcPr>
          <w:p w14:paraId="744C1D95" w14:textId="77777777" w:rsidR="00BE6201" w:rsidRPr="00CD0800" w:rsidRDefault="00BE6201" w:rsidP="00120118">
            <w:pPr>
              <w:tabs>
                <w:tab w:val="center" w:pos="284"/>
              </w:tabs>
              <w:ind w:left="266" w:hanging="266"/>
            </w:pPr>
            <w:proofErr w:type="spellStart"/>
            <w:r w:rsidRPr="00CD0800">
              <w:t>Juliane</w:t>
            </w:r>
            <w:proofErr w:type="spellEnd"/>
            <w:r w:rsidRPr="00CD0800">
              <w:t xml:space="preserve"> Marie NEIIENDAM (kansalaisyhteiskunnan organisaatiot – DK)</w:t>
            </w:r>
          </w:p>
        </w:tc>
      </w:tr>
      <w:tr w:rsidR="00BE6201" w:rsidRPr="00CD0800" w14:paraId="65A325A6" w14:textId="77777777" w:rsidTr="00120118">
        <w:tc>
          <w:tcPr>
            <w:tcW w:w="8505" w:type="dxa"/>
            <w:gridSpan w:val="2"/>
          </w:tcPr>
          <w:p w14:paraId="59567A6A" w14:textId="77777777" w:rsidR="00BE6201" w:rsidRPr="00CD0800" w:rsidRDefault="00BE6201" w:rsidP="00120118">
            <w:pPr>
              <w:tabs>
                <w:tab w:val="center" w:pos="284"/>
              </w:tabs>
              <w:ind w:left="266" w:hanging="266"/>
            </w:pPr>
          </w:p>
        </w:tc>
      </w:tr>
      <w:tr w:rsidR="00BE6201" w:rsidRPr="00CD0800" w14:paraId="36A27A66" w14:textId="77777777" w:rsidTr="00120118">
        <w:tc>
          <w:tcPr>
            <w:tcW w:w="1701" w:type="dxa"/>
            <w:vMerge w:val="restart"/>
          </w:tcPr>
          <w:p w14:paraId="3EE835C9" w14:textId="77777777" w:rsidR="00BE6201" w:rsidRPr="00CD0800" w:rsidRDefault="00BE6201" w:rsidP="00120118">
            <w:pPr>
              <w:tabs>
                <w:tab w:val="center" w:pos="284"/>
              </w:tabs>
              <w:ind w:left="266" w:hanging="266"/>
              <w:rPr>
                <w:b/>
              </w:rPr>
            </w:pPr>
            <w:r w:rsidRPr="00CD0800">
              <w:rPr>
                <w:b/>
              </w:rPr>
              <w:t xml:space="preserve">Viiteasiakirjat </w:t>
            </w:r>
          </w:p>
        </w:tc>
        <w:tc>
          <w:tcPr>
            <w:tcW w:w="6804" w:type="dxa"/>
          </w:tcPr>
          <w:p w14:paraId="6D6429BF" w14:textId="77777777" w:rsidR="00BE6201" w:rsidRPr="00CD0800" w:rsidRDefault="00BE6201" w:rsidP="00120118">
            <w:pPr>
              <w:tabs>
                <w:tab w:val="center" w:pos="284"/>
              </w:tabs>
              <w:ind w:left="266" w:hanging="266"/>
            </w:pPr>
            <w:r w:rsidRPr="00CD0800">
              <w:t xml:space="preserve">COM (2025) 725 </w:t>
            </w:r>
            <w:proofErr w:type="spellStart"/>
            <w:r w:rsidRPr="00CD0800">
              <w:t>final</w:t>
            </w:r>
            <w:proofErr w:type="spellEnd"/>
          </w:p>
        </w:tc>
      </w:tr>
      <w:tr w:rsidR="00BE6201" w:rsidRPr="00CD0800" w14:paraId="692098DD" w14:textId="77777777" w:rsidTr="00120118">
        <w:tc>
          <w:tcPr>
            <w:tcW w:w="1701" w:type="dxa"/>
            <w:vMerge/>
          </w:tcPr>
          <w:p w14:paraId="123E7832" w14:textId="77777777" w:rsidR="00BE6201" w:rsidRPr="00CD0800" w:rsidRDefault="00BE6201" w:rsidP="00120118">
            <w:pPr>
              <w:tabs>
                <w:tab w:val="center" w:pos="284"/>
              </w:tabs>
              <w:ind w:left="266" w:hanging="266"/>
              <w:rPr>
                <w:b/>
              </w:rPr>
            </w:pPr>
          </w:p>
        </w:tc>
        <w:tc>
          <w:tcPr>
            <w:tcW w:w="6804" w:type="dxa"/>
          </w:tcPr>
          <w:p w14:paraId="0195C12D" w14:textId="11A65D31" w:rsidR="00BE6201" w:rsidRPr="00CD0800" w:rsidRDefault="00BE6201" w:rsidP="00120118">
            <w:pPr>
              <w:tabs>
                <w:tab w:val="center" w:pos="284"/>
              </w:tabs>
              <w:ind w:left="266" w:hanging="266"/>
            </w:pPr>
            <w:r w:rsidRPr="00CD0800">
              <w:t>EESC-2025-03887-00-00-AC</w:t>
            </w:r>
          </w:p>
        </w:tc>
      </w:tr>
    </w:tbl>
    <w:p w14:paraId="229534FF" w14:textId="77777777" w:rsidR="00BE6201" w:rsidRPr="00CD0800" w:rsidRDefault="00BE6201" w:rsidP="00BE6201">
      <w:pPr>
        <w:tabs>
          <w:tab w:val="center" w:pos="284"/>
        </w:tabs>
        <w:ind w:left="266" w:hanging="266"/>
      </w:pPr>
    </w:p>
    <w:p w14:paraId="511EF05B" w14:textId="77777777" w:rsidR="00BE6201" w:rsidRPr="00CD0800" w:rsidRDefault="00BE6201" w:rsidP="00BE6201">
      <w:pPr>
        <w:keepNext/>
        <w:keepLines/>
        <w:tabs>
          <w:tab w:val="center" w:pos="284"/>
        </w:tabs>
        <w:ind w:left="266" w:hanging="266"/>
        <w:rPr>
          <w:b/>
        </w:rPr>
      </w:pPr>
      <w:r w:rsidRPr="00CD0800">
        <w:rPr>
          <w:b/>
        </w:rPr>
        <w:t>Keskeiset kohdat</w:t>
      </w:r>
    </w:p>
    <w:p w14:paraId="2AF7A51B" w14:textId="77777777" w:rsidR="00BE6201" w:rsidRPr="00CD0800" w:rsidRDefault="00BE6201" w:rsidP="00BE6201">
      <w:pPr>
        <w:keepNext/>
        <w:keepLines/>
        <w:tabs>
          <w:tab w:val="center" w:pos="284"/>
        </w:tabs>
        <w:ind w:left="266" w:hanging="266"/>
        <w:rPr>
          <w:b/>
        </w:rPr>
      </w:pPr>
    </w:p>
    <w:p w14:paraId="7985D2AC" w14:textId="77777777" w:rsidR="00BE6201" w:rsidRPr="00CD0800" w:rsidRDefault="00BE6201" w:rsidP="00BE6201">
      <w:pPr>
        <w:rPr>
          <w:bCs/>
          <w:iCs/>
        </w:rPr>
      </w:pPr>
      <w:r w:rsidRPr="00CD0800">
        <w:t>ETSK</w:t>
      </w:r>
    </w:p>
    <w:p w14:paraId="1DF016D5" w14:textId="77777777" w:rsidR="00BE6201" w:rsidRPr="00CD0800" w:rsidRDefault="00BE6201" w:rsidP="009F1E74">
      <w:pPr>
        <w:widowControl w:val="0"/>
        <w:numPr>
          <w:ilvl w:val="0"/>
          <w:numId w:val="13"/>
        </w:numPr>
        <w:overflowPunct w:val="0"/>
        <w:autoSpaceDE w:val="0"/>
        <w:autoSpaceDN w:val="0"/>
        <w:adjustRightInd w:val="0"/>
        <w:ind w:left="426" w:hanging="426"/>
        <w:textAlignment w:val="baseline"/>
      </w:pPr>
      <w:r w:rsidRPr="00CD0800">
        <w:t xml:space="preserve">suhtautuu myönteisesti </w:t>
      </w:r>
      <w:proofErr w:type="spellStart"/>
      <w:r w:rsidRPr="00CD0800">
        <w:t>hlbtiq</w:t>
      </w:r>
      <w:proofErr w:type="spellEnd"/>
      <w:r w:rsidRPr="00CD0800">
        <w:t>± </w:t>
      </w:r>
      <w:r w:rsidRPr="00CD0800">
        <w:noBreakHyphen/>
        <w:t xml:space="preserve">henkilöiden tasa-arvoa koskevaan uuteen strategiaan 2026–2030, mutta peräänkuuluttaa samalla vahvempia ja vankempia politiikkatoimia erityisesti transihmisten sekä muunsukupuolisten ja intersukupuolisten henkilöiden jatkuvasti kokeman syrjinnän, väkivallan, häirinnän ja syrjäytymisen poistamiseksi. </w:t>
      </w:r>
    </w:p>
    <w:p w14:paraId="1EA8B715" w14:textId="77777777" w:rsidR="00BE6201" w:rsidRPr="00CD0800" w:rsidRDefault="00BE6201" w:rsidP="009F1E74">
      <w:pPr>
        <w:widowControl w:val="0"/>
        <w:numPr>
          <w:ilvl w:val="0"/>
          <w:numId w:val="13"/>
        </w:numPr>
        <w:overflowPunct w:val="0"/>
        <w:autoSpaceDE w:val="0"/>
        <w:autoSpaceDN w:val="0"/>
        <w:adjustRightInd w:val="0"/>
        <w:ind w:left="426" w:hanging="426"/>
        <w:textAlignment w:val="baseline"/>
      </w:pPr>
      <w:r w:rsidRPr="00CD0800">
        <w:t xml:space="preserve">kehottaa tiukentamaan täytäntöönpanon valvontaa ja vastuuvelvollisuutta sitovien vertailuarvojen, järjestelmällisten rikkomusmenettelyjen, oikeusvaltioperiaatetta koskevan ehdollisuuden ja kansallisten </w:t>
      </w:r>
      <w:proofErr w:type="spellStart"/>
      <w:r w:rsidRPr="00CD0800">
        <w:t>hlbtiq±strategioiden</w:t>
      </w:r>
      <w:proofErr w:type="spellEnd"/>
      <w:r w:rsidRPr="00CD0800">
        <w:t xml:space="preserve"> täytäntöönpanon avulla. </w:t>
      </w:r>
    </w:p>
    <w:p w14:paraId="498461F7" w14:textId="77777777" w:rsidR="00BE6201" w:rsidRPr="00CD0800" w:rsidRDefault="00BE6201" w:rsidP="009F1E74">
      <w:pPr>
        <w:widowControl w:val="0"/>
        <w:numPr>
          <w:ilvl w:val="0"/>
          <w:numId w:val="13"/>
        </w:numPr>
        <w:overflowPunct w:val="0"/>
        <w:autoSpaceDE w:val="0"/>
        <w:autoSpaceDN w:val="0"/>
        <w:adjustRightInd w:val="0"/>
        <w:ind w:left="426" w:hanging="426"/>
        <w:textAlignment w:val="baseline"/>
      </w:pPr>
      <w:r w:rsidRPr="00CD0800">
        <w:t xml:space="preserve">kehottaa toteuttamaan päättäväisiä toimia perusoikeuksien ja kansalaisyhteiskunnan toimintamahdollisuuksien suojelemiseksi torjumalla heikentämispyrkimyksiä, disinformaatiota ja vihapuhetta ja varmistamalla jatkuva tuki kansalaisyhteiskunnalle. </w:t>
      </w:r>
    </w:p>
    <w:p w14:paraId="76AF298D" w14:textId="77777777" w:rsidR="00BE6201" w:rsidRPr="00CD0800" w:rsidRDefault="00BE6201" w:rsidP="009F1E74">
      <w:pPr>
        <w:widowControl w:val="0"/>
        <w:numPr>
          <w:ilvl w:val="0"/>
          <w:numId w:val="13"/>
        </w:numPr>
        <w:overflowPunct w:val="0"/>
        <w:autoSpaceDE w:val="0"/>
        <w:autoSpaceDN w:val="0"/>
        <w:adjustRightInd w:val="0"/>
        <w:ind w:left="426" w:hanging="426"/>
        <w:textAlignment w:val="baseline"/>
      </w:pPr>
      <w:r w:rsidRPr="00CD0800">
        <w:t>vaatii täyden yhdenvertaisuuden takaamista jokapäiväisessä elämässä niin, että huolehditaan terveydenhuollon, koulutuksen ja työllisyyden osallistavasta saatavuudesta ja vahvistetaan osallisuutta työpaikalla.</w:t>
      </w:r>
    </w:p>
    <w:p w14:paraId="38DA0AD9" w14:textId="77777777" w:rsidR="00BE6201" w:rsidRPr="00CD0800" w:rsidRDefault="00BE6201" w:rsidP="009F1E74">
      <w:pPr>
        <w:widowControl w:val="0"/>
        <w:numPr>
          <w:ilvl w:val="0"/>
          <w:numId w:val="13"/>
        </w:numPr>
        <w:overflowPunct w:val="0"/>
        <w:autoSpaceDE w:val="0"/>
        <w:autoSpaceDN w:val="0"/>
        <w:adjustRightInd w:val="0"/>
        <w:ind w:left="426" w:hanging="426"/>
        <w:textAlignment w:val="baseline"/>
      </w:pPr>
      <w:r w:rsidRPr="00CD0800">
        <w:t>kehottaa Euroopan komissiota ehdottamaan eheytystoimintaa koskevaa oikeudellisesti sitovaa EU:n laajuista kieltoa, joka kattaa sekä tällaisen toiminnan harjoittamisen että siitä tiedottamisen, sisällyttämällä eheytystoiminnan ”EU-rikosten” luetteloon ja tunnustamalla ne viharikoksiksi, jotta varmistetaan yhdenmukainen suojelun taso kaikkialla EU:ssa.</w:t>
      </w:r>
    </w:p>
    <w:p w14:paraId="1FDEEDCB" w14:textId="77777777" w:rsidR="00BE6201" w:rsidRPr="00CD0800" w:rsidRDefault="00BE6201" w:rsidP="009F1E74">
      <w:pPr>
        <w:widowControl w:val="0"/>
        <w:numPr>
          <w:ilvl w:val="0"/>
          <w:numId w:val="13"/>
        </w:numPr>
        <w:overflowPunct w:val="0"/>
        <w:autoSpaceDE w:val="0"/>
        <w:autoSpaceDN w:val="0"/>
        <w:adjustRightInd w:val="0"/>
        <w:ind w:left="426" w:hanging="426"/>
        <w:textAlignment w:val="baseline"/>
      </w:pPr>
      <w:r w:rsidRPr="00CD0800">
        <w:t xml:space="preserve">kehottaa puuttumaan rakenteelliseen eriarvoisuuteen sisällyttämällä </w:t>
      </w:r>
      <w:proofErr w:type="spellStart"/>
      <w:r w:rsidRPr="00CD0800">
        <w:t>hlbtiq</w:t>
      </w:r>
      <w:proofErr w:type="spellEnd"/>
      <w:r w:rsidRPr="00CD0800">
        <w:t>± </w:t>
      </w:r>
      <w:r w:rsidRPr="00CD0800">
        <w:noBreakHyphen/>
        <w:t>henkilöiden tasa-arvo sosiaalista osallisuutta, asumista ja köyhyyden torjuntaa koskeviin toimintapolitiikkoihin ja tarjoamalla kohdennettua tukea intersektionaalista syrjintää kohtaaville.</w:t>
      </w:r>
    </w:p>
    <w:p w14:paraId="465538BF" w14:textId="77777777" w:rsidR="00BE6201" w:rsidRPr="00CD0800" w:rsidRDefault="00BE6201" w:rsidP="009F1E74">
      <w:pPr>
        <w:widowControl w:val="0"/>
        <w:numPr>
          <w:ilvl w:val="0"/>
          <w:numId w:val="13"/>
        </w:numPr>
        <w:overflowPunct w:val="0"/>
        <w:autoSpaceDE w:val="0"/>
        <w:autoSpaceDN w:val="0"/>
        <w:adjustRightInd w:val="0"/>
        <w:ind w:left="426" w:hanging="426"/>
        <w:textAlignment w:val="baseline"/>
        <w:rPr>
          <w:rFonts w:asciiTheme="minorHAnsi" w:hAnsiTheme="minorHAnsi"/>
        </w:rPr>
      </w:pPr>
      <w:r w:rsidRPr="00CD0800">
        <w:t>kehottaa huolehtimaan tulevaisuuden vaatimukset huomioon ottavista ja oikeuksiin perustuvista toimintakehyksistä korjaamalla oikeudellisia puutteita, varmistamalla itsemääräämisoikeuteen perustuva sukupuolen tunnustaminen, vahvistamalla oikeussuojan saatavuutta, varmistamalla riittävä rahoitus kansalaisjärjestöille, parantamalla intersektionaalista dataa ja turvaamalla yhdenvertaisuus digitaaliteknologiaa ja tekoälyä hyödyntävissä ympäristöissä.</w:t>
      </w:r>
    </w:p>
    <w:p w14:paraId="4E6ED379" w14:textId="77777777" w:rsidR="00BE6201" w:rsidRPr="00CD0800" w:rsidRDefault="00BE6201" w:rsidP="00BE6201">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BE6201" w:rsidRPr="00CD0800" w14:paraId="7F8C07D0" w14:textId="77777777" w:rsidTr="00120118">
        <w:tc>
          <w:tcPr>
            <w:tcW w:w="1418" w:type="dxa"/>
          </w:tcPr>
          <w:p w14:paraId="0CB3ABDE" w14:textId="77777777" w:rsidR="00BE6201" w:rsidRPr="00CD0800" w:rsidRDefault="00BE6201" w:rsidP="00120118">
            <w:pPr>
              <w:rPr>
                <w:i/>
              </w:rPr>
            </w:pPr>
            <w:r w:rsidRPr="00CD0800">
              <w:rPr>
                <w:b/>
                <w:i/>
              </w:rPr>
              <w:t>Yhteydenotot</w:t>
            </w:r>
          </w:p>
        </w:tc>
        <w:tc>
          <w:tcPr>
            <w:tcW w:w="5670" w:type="dxa"/>
          </w:tcPr>
          <w:p w14:paraId="63D50E22" w14:textId="5A741274" w:rsidR="00BE6201" w:rsidRPr="00CD0800" w:rsidRDefault="00BE6201" w:rsidP="00120118">
            <w:pPr>
              <w:rPr>
                <w:i/>
              </w:rPr>
            </w:pPr>
            <w:proofErr w:type="spellStart"/>
            <w:r w:rsidRPr="00CD0800">
              <w:rPr>
                <w:i/>
              </w:rPr>
              <w:t>Bartek</w:t>
            </w:r>
            <w:proofErr w:type="spellEnd"/>
            <w:r w:rsidRPr="00CD0800">
              <w:rPr>
                <w:i/>
              </w:rPr>
              <w:t xml:space="preserve"> </w:t>
            </w:r>
            <w:proofErr w:type="spellStart"/>
            <w:r w:rsidR="00AD5C40" w:rsidRPr="00CD0800">
              <w:rPr>
                <w:i/>
              </w:rPr>
              <w:t>Bednarowicz</w:t>
            </w:r>
            <w:proofErr w:type="spellEnd"/>
          </w:p>
        </w:tc>
      </w:tr>
      <w:tr w:rsidR="00BE6201" w:rsidRPr="00CD0800" w14:paraId="3637FB6A" w14:textId="77777777" w:rsidTr="00120118">
        <w:tc>
          <w:tcPr>
            <w:tcW w:w="1418" w:type="dxa"/>
          </w:tcPr>
          <w:p w14:paraId="3A14B21F" w14:textId="77777777" w:rsidR="00BE6201" w:rsidRPr="00CD0800" w:rsidRDefault="00BE6201" w:rsidP="00120118">
            <w:pPr>
              <w:rPr>
                <w:i/>
              </w:rPr>
            </w:pPr>
            <w:r w:rsidRPr="00CD0800">
              <w:rPr>
                <w:i/>
              </w:rPr>
              <w:t>P.</w:t>
            </w:r>
          </w:p>
        </w:tc>
        <w:tc>
          <w:tcPr>
            <w:tcW w:w="5670" w:type="dxa"/>
          </w:tcPr>
          <w:p w14:paraId="470216F8" w14:textId="77777777" w:rsidR="00BE6201" w:rsidRPr="00CD0800" w:rsidRDefault="00BE6201" w:rsidP="00120118">
            <w:pPr>
              <w:rPr>
                <w:i/>
              </w:rPr>
            </w:pPr>
            <w:r w:rsidRPr="00CD0800">
              <w:rPr>
                <w:i/>
              </w:rPr>
              <w:t>+32 25469229</w:t>
            </w:r>
          </w:p>
        </w:tc>
      </w:tr>
      <w:tr w:rsidR="00BE6201" w:rsidRPr="00CD0800" w14:paraId="53D5BBA0" w14:textId="77777777" w:rsidTr="00120118">
        <w:tc>
          <w:tcPr>
            <w:tcW w:w="1418" w:type="dxa"/>
          </w:tcPr>
          <w:p w14:paraId="1CB4EAC0" w14:textId="77777777" w:rsidR="00BE6201" w:rsidRPr="00CD0800" w:rsidRDefault="00BE6201" w:rsidP="00120118">
            <w:pPr>
              <w:rPr>
                <w:i/>
              </w:rPr>
            </w:pPr>
            <w:r w:rsidRPr="00CD0800">
              <w:rPr>
                <w:i/>
              </w:rPr>
              <w:t>Sähköposti</w:t>
            </w:r>
          </w:p>
        </w:tc>
        <w:tc>
          <w:tcPr>
            <w:tcW w:w="5670" w:type="dxa"/>
          </w:tcPr>
          <w:p w14:paraId="639E8809" w14:textId="77777777" w:rsidR="00BE6201" w:rsidRPr="00CD0800" w:rsidRDefault="003665FE" w:rsidP="00120118">
            <w:pPr>
              <w:rPr>
                <w:i/>
                <w:iCs/>
              </w:rPr>
            </w:pPr>
            <w:hyperlink r:id="rId23" w:history="1">
              <w:r w:rsidR="00BE6201" w:rsidRPr="00CD0800">
                <w:rPr>
                  <w:rStyle w:val="Hyperlink"/>
                  <w:i/>
                </w:rPr>
                <w:t xml:space="preserve">Bartek.Bednarowicz@eesc.europa.eu </w:t>
              </w:r>
            </w:hyperlink>
          </w:p>
        </w:tc>
      </w:tr>
    </w:tbl>
    <w:p w14:paraId="498BDAB7" w14:textId="77777777" w:rsidR="00BE6201" w:rsidRDefault="00BE6201" w:rsidP="00BE6201"/>
    <w:p w14:paraId="15528669" w14:textId="77777777" w:rsidR="00BE6201" w:rsidRDefault="00BE6201" w:rsidP="00BE6201">
      <w:pPr>
        <w:spacing w:after="160" w:line="259" w:lineRule="auto"/>
        <w:jc w:val="left"/>
      </w:pPr>
      <w:r>
        <w:br w:type="page"/>
      </w:r>
    </w:p>
    <w:p w14:paraId="19FB1B26" w14:textId="10E17712" w:rsidR="00BE6201" w:rsidRPr="00097FC2" w:rsidRDefault="003665FE" w:rsidP="002B6ACC">
      <w:pPr>
        <w:pStyle w:val="ListParagraph"/>
        <w:widowControl w:val="0"/>
        <w:numPr>
          <w:ilvl w:val="0"/>
          <w:numId w:val="5"/>
        </w:numPr>
        <w:spacing w:line="276" w:lineRule="auto"/>
        <w:ind w:left="567" w:hanging="567"/>
        <w:jc w:val="left"/>
        <w:rPr>
          <w:sz w:val="28"/>
          <w:szCs w:val="28"/>
        </w:rPr>
      </w:pPr>
      <w:hyperlink r:id="rId24" w:history="1">
        <w:r w:rsidR="00BE6201">
          <w:rPr>
            <w:rStyle w:val="Hyperlink"/>
            <w:b/>
            <w:i/>
            <w:sz w:val="28"/>
          </w:rPr>
          <w:t>EU:n kilpailukyky ja nuorten yrittäjyys</w:t>
        </w:r>
      </w:hyperlink>
    </w:p>
    <w:p w14:paraId="514D52B3" w14:textId="77777777" w:rsidR="00BE6201" w:rsidRPr="009D6AAF" w:rsidRDefault="00BE6201" w:rsidP="00097FC2">
      <w:pPr>
        <w:widowControl w:val="0"/>
        <w:jc w:val="center"/>
        <w:rPr>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BE6201" w:rsidRPr="009D6AAF" w14:paraId="007A8572" w14:textId="77777777" w:rsidTr="00120118">
        <w:tc>
          <w:tcPr>
            <w:tcW w:w="1701" w:type="dxa"/>
          </w:tcPr>
          <w:p w14:paraId="1E6A8B53" w14:textId="77777777" w:rsidR="00BE6201" w:rsidRPr="009D6AAF" w:rsidRDefault="00BE6201" w:rsidP="00097FC2">
            <w:pPr>
              <w:tabs>
                <w:tab w:val="center" w:pos="284"/>
              </w:tabs>
              <w:ind w:left="567" w:hanging="567"/>
              <w:rPr>
                <w:b/>
              </w:rPr>
            </w:pPr>
            <w:r w:rsidRPr="009D6AAF">
              <w:rPr>
                <w:b/>
              </w:rPr>
              <w:t>Esittelijä</w:t>
            </w:r>
          </w:p>
          <w:p w14:paraId="786FB103" w14:textId="77777777" w:rsidR="00BE6201" w:rsidRPr="009D6AAF" w:rsidRDefault="00BE6201" w:rsidP="00097FC2">
            <w:pPr>
              <w:tabs>
                <w:tab w:val="center" w:pos="284"/>
              </w:tabs>
              <w:ind w:left="567" w:hanging="567"/>
              <w:rPr>
                <w:b/>
                <w:lang w:val="en-US"/>
              </w:rPr>
            </w:pPr>
          </w:p>
        </w:tc>
        <w:tc>
          <w:tcPr>
            <w:tcW w:w="6237" w:type="dxa"/>
          </w:tcPr>
          <w:p w14:paraId="4E7398F8" w14:textId="77777777" w:rsidR="00BE6201" w:rsidRDefault="00BE6201" w:rsidP="00097FC2">
            <w:pPr>
              <w:ind w:left="567" w:hanging="567"/>
            </w:pPr>
            <w:r w:rsidRPr="009D6AAF">
              <w:t>Giuseppe GUERINI (kansalaisyhteiskunnan organisaatiot – IT)</w:t>
            </w:r>
          </w:p>
          <w:p w14:paraId="6FE6B354" w14:textId="6A1BFADB" w:rsidR="00097FC2" w:rsidRPr="009D6AAF" w:rsidRDefault="00097FC2" w:rsidP="00097FC2">
            <w:pPr>
              <w:ind w:left="567" w:hanging="567"/>
            </w:pPr>
          </w:p>
        </w:tc>
      </w:tr>
      <w:tr w:rsidR="00BE6201" w:rsidRPr="009D6AAF" w14:paraId="042303EE" w14:textId="77777777" w:rsidTr="00120118">
        <w:tc>
          <w:tcPr>
            <w:tcW w:w="1701" w:type="dxa"/>
          </w:tcPr>
          <w:p w14:paraId="775E177D" w14:textId="77777777" w:rsidR="00BE6201" w:rsidRPr="009D6AAF" w:rsidRDefault="00BE6201" w:rsidP="00097FC2">
            <w:pPr>
              <w:tabs>
                <w:tab w:val="center" w:pos="284"/>
              </w:tabs>
              <w:ind w:left="567" w:hanging="567"/>
              <w:rPr>
                <w:b/>
              </w:rPr>
            </w:pPr>
            <w:r w:rsidRPr="009D6AAF">
              <w:rPr>
                <w:b/>
              </w:rPr>
              <w:t>Viiteasiakirja</w:t>
            </w:r>
          </w:p>
        </w:tc>
        <w:tc>
          <w:tcPr>
            <w:tcW w:w="6237" w:type="dxa"/>
          </w:tcPr>
          <w:p w14:paraId="2EA706E6" w14:textId="77777777" w:rsidR="00DB6C97" w:rsidRPr="00DB6C97" w:rsidRDefault="00DB6C97" w:rsidP="00097FC2">
            <w:pPr>
              <w:tabs>
                <w:tab w:val="center" w:pos="284"/>
              </w:tabs>
              <w:ind w:left="567" w:hanging="567"/>
              <w:rPr>
                <w:bCs/>
              </w:rPr>
            </w:pPr>
            <w:r w:rsidRPr="00DB6C97">
              <w:rPr>
                <w:bCs/>
              </w:rPr>
              <w:t>puheenjohtajavaltio Kyproksen pyytämä valmisteleva lausunto</w:t>
            </w:r>
          </w:p>
          <w:p w14:paraId="6FB815A3" w14:textId="1BF20498" w:rsidR="00BE6201" w:rsidRPr="009D6AAF" w:rsidRDefault="00BE6201" w:rsidP="00097FC2">
            <w:pPr>
              <w:tabs>
                <w:tab w:val="center" w:pos="284"/>
              </w:tabs>
              <w:ind w:left="567" w:hanging="567"/>
            </w:pPr>
            <w:r w:rsidRPr="009D6AAF">
              <w:t>EESC-2025-04305-00-00-AC</w:t>
            </w:r>
          </w:p>
        </w:tc>
      </w:tr>
    </w:tbl>
    <w:p w14:paraId="4E5A82B9" w14:textId="77777777" w:rsidR="00BE6201" w:rsidRDefault="00BE6201" w:rsidP="00097FC2">
      <w:pPr>
        <w:keepNext/>
        <w:keepLines/>
        <w:tabs>
          <w:tab w:val="center" w:pos="284"/>
        </w:tabs>
        <w:ind w:left="266" w:hanging="266"/>
        <w:rPr>
          <w:b/>
        </w:rPr>
      </w:pPr>
    </w:p>
    <w:p w14:paraId="0155D511" w14:textId="77777777" w:rsidR="00BE6201" w:rsidRDefault="00BE6201" w:rsidP="00097FC2">
      <w:pPr>
        <w:keepNext/>
        <w:keepLines/>
        <w:tabs>
          <w:tab w:val="center" w:pos="284"/>
        </w:tabs>
        <w:ind w:left="266" w:hanging="266"/>
        <w:rPr>
          <w:b/>
        </w:rPr>
      </w:pPr>
      <w:r w:rsidRPr="009D6AAF">
        <w:rPr>
          <w:b/>
        </w:rPr>
        <w:t>Keskeiset kohdat</w:t>
      </w:r>
    </w:p>
    <w:p w14:paraId="54DBA931" w14:textId="77777777" w:rsidR="00BE6201" w:rsidRPr="009D6AAF" w:rsidRDefault="00BE6201" w:rsidP="00097FC2">
      <w:pPr>
        <w:keepNext/>
        <w:keepLines/>
        <w:tabs>
          <w:tab w:val="center" w:pos="284"/>
        </w:tabs>
        <w:ind w:left="266" w:hanging="266"/>
        <w:rPr>
          <w:b/>
        </w:rPr>
      </w:pPr>
    </w:p>
    <w:p w14:paraId="09F6A99A" w14:textId="77777777" w:rsidR="00BE6201" w:rsidRPr="009D6AAF" w:rsidRDefault="00BE6201" w:rsidP="00097FC2">
      <w:pPr>
        <w:pStyle w:val="NormalWeb"/>
        <w:spacing w:before="0" w:beforeAutospacing="0" w:after="0" w:afterAutospacing="0" w:line="288" w:lineRule="auto"/>
        <w:jc w:val="both"/>
        <w:rPr>
          <w:sz w:val="22"/>
          <w:szCs w:val="22"/>
        </w:rPr>
      </w:pPr>
      <w:r w:rsidRPr="009D6AAF">
        <w:rPr>
          <w:sz w:val="22"/>
          <w:szCs w:val="22"/>
        </w:rPr>
        <w:t>ETSK</w:t>
      </w:r>
    </w:p>
    <w:p w14:paraId="56D52DFE" w14:textId="77777777" w:rsidR="00BE6201" w:rsidRPr="009D6AAF" w:rsidRDefault="00BE6201" w:rsidP="002B6ACC">
      <w:pPr>
        <w:pStyle w:val="Heading2"/>
        <w:numPr>
          <w:ilvl w:val="0"/>
          <w:numId w:val="14"/>
        </w:numPr>
        <w:ind w:left="426" w:hanging="426"/>
      </w:pPr>
      <w:bookmarkStart w:id="21" w:name="_Toc229383151"/>
      <w:r w:rsidRPr="009D6AAF">
        <w:t>kehottaa laatimaan kattavan ja koordinoidun EU:n ja jäsenvaltioiden strategian, jonka avulla nuorille voidaan suunnata erilaisia tukitoimenpiteitä, joissa yhdistyvät saatavilla oleva rahoitus, räätälöity koulutus, mentorointi, valmennus, yrityshautomot ja vahvat paikalliset ekosysteemit yritysten perustamisen ja kestävyyden maksimoimiseksi.</w:t>
      </w:r>
      <w:bookmarkEnd w:id="21"/>
    </w:p>
    <w:p w14:paraId="4B525A31" w14:textId="77777777" w:rsidR="00BE6201" w:rsidRPr="009D6AAF" w:rsidRDefault="00BE6201" w:rsidP="002B6ACC">
      <w:pPr>
        <w:pStyle w:val="Heading2"/>
        <w:numPr>
          <w:ilvl w:val="0"/>
          <w:numId w:val="14"/>
        </w:numPr>
        <w:ind w:left="426" w:hanging="426"/>
      </w:pPr>
      <w:bookmarkStart w:id="22" w:name="_Toc229383152"/>
      <w:r w:rsidRPr="009D6AAF">
        <w:t>peräänkuuluttaa muutosta rahoituksen saannissa laajentamalla perinteisille pankkilainoille vaihtoehtoisia nuorille räätälöityjä rahoitusvälineitä, kuten mikrorahoitusta ja vaihtoehtoista pääomaa, ja kehottaa antamaan kohdennettua tukea yhteisötalouden yrityksille ja muille vaikutuslähtöisille malleille.</w:t>
      </w:r>
      <w:bookmarkEnd w:id="22"/>
    </w:p>
    <w:p w14:paraId="315AD960" w14:textId="77777777" w:rsidR="00BE6201" w:rsidRPr="009D6AAF" w:rsidRDefault="00BE6201" w:rsidP="002B6ACC">
      <w:pPr>
        <w:pStyle w:val="Heading2"/>
        <w:numPr>
          <w:ilvl w:val="0"/>
          <w:numId w:val="14"/>
        </w:numPr>
        <w:ind w:left="426" w:hanging="426"/>
      </w:pPr>
      <w:bookmarkStart w:id="23" w:name="_Toc229383153"/>
      <w:r w:rsidRPr="009D6AAF">
        <w:t>kehottaa yksinkertaistamaan määrätietoisesti hallinnollisia ja sääntelykehyksiä EU:n, kansallisella ja paikallisella tasolla, jotta voidaan vähentää byrokratiaa, alentaa säännösten noudattamisesta aiheutuvia kustannuksia ja luoda nuorille yrittäjille vakaa ja yritysystävällinen toimintaympäristö.</w:t>
      </w:r>
      <w:bookmarkEnd w:id="23"/>
    </w:p>
    <w:p w14:paraId="05520DF9" w14:textId="77777777" w:rsidR="00BE6201" w:rsidRPr="009D6AAF" w:rsidRDefault="00BE6201" w:rsidP="002B6ACC">
      <w:pPr>
        <w:pStyle w:val="Heading2"/>
        <w:numPr>
          <w:ilvl w:val="0"/>
          <w:numId w:val="14"/>
        </w:numPr>
        <w:ind w:left="426" w:hanging="426"/>
      </w:pPr>
      <w:bookmarkStart w:id="24" w:name="_Toc229383154"/>
      <w:r w:rsidRPr="009D6AAF">
        <w:t>suosittaa, että yrittäjyyskoulutus, finanssiosaaminen ja yrittäjyyshenkisyys sisällytetään kaikkiin koulutusjärjestelmiin, erityisesti ammatillisiin sekä harjoittelu- ja opiskelujaksoja yhdisteleviin koulutusväyliin, ja samalla vahvistetaan digitaalista ja edistyneemmän tason osaamista, myös tekoälyosaamista, jotta nuoria voidaan valmistaa tulevaisuuden markkinoita varten.</w:t>
      </w:r>
      <w:bookmarkEnd w:id="24"/>
    </w:p>
    <w:p w14:paraId="37EEB19F" w14:textId="77777777" w:rsidR="00BE6201" w:rsidRPr="009D6AAF" w:rsidRDefault="00BE6201" w:rsidP="002B6ACC">
      <w:pPr>
        <w:pStyle w:val="Heading2"/>
        <w:numPr>
          <w:ilvl w:val="0"/>
          <w:numId w:val="14"/>
        </w:numPr>
        <w:ind w:left="426" w:hanging="426"/>
      </w:pPr>
      <w:bookmarkStart w:id="25" w:name="_Toc229383155"/>
      <w:r w:rsidRPr="009D6AAF">
        <w:t xml:space="preserve">kehottaa vahvistamaan tukiekosysteemejä mentoroinnin, sponsoroinnin, verkostoitumisen ja kansainvälistymismahdollisuuksien avulla sekä edistämään liikkuvuusohjelmia ja pääsyä </w:t>
      </w:r>
      <w:proofErr w:type="spellStart"/>
      <w:r w:rsidRPr="009D6AAF">
        <w:t>rajatylittäville</w:t>
      </w:r>
      <w:proofErr w:type="spellEnd"/>
      <w:r w:rsidRPr="009D6AAF">
        <w:t xml:space="preserve"> markkinoille, jotta voidaan parantaa innovointia, skaalautuvuutta ja kilpailukykyä.</w:t>
      </w:r>
      <w:bookmarkEnd w:id="25"/>
    </w:p>
    <w:p w14:paraId="5B20E206" w14:textId="77777777" w:rsidR="00BE6201" w:rsidRPr="009D6AAF" w:rsidRDefault="00BE6201" w:rsidP="002B6ACC">
      <w:pPr>
        <w:pStyle w:val="Heading2"/>
        <w:numPr>
          <w:ilvl w:val="0"/>
          <w:numId w:val="14"/>
        </w:numPr>
        <w:ind w:left="426" w:hanging="426"/>
      </w:pPr>
      <w:bookmarkStart w:id="26" w:name="_Toc229383156"/>
      <w:r w:rsidRPr="009D6AAF">
        <w:t>kehottaa niin ikään luomaan osallistavia ja kestäviä yrittäjyyspolitiikkoja, joilla kurotaan umpeen aliedustettuihin ryhmiin liittyvää kuilua, edistetään ”uuden mahdollisuuden” kulttuuria, varmistetaan riittävä sosiaalinen suojelu ja asetetaan nuorten yrittäjyys vapaaehtoiseksi mutta strategiseksi väyläksi sopeutumiskykyisille työmarkkinoille ja EU:n pitkän aikavälin kilpailukyvylle.</w:t>
      </w:r>
      <w:bookmarkEnd w:id="26"/>
    </w:p>
    <w:p w14:paraId="178BE20A" w14:textId="77777777" w:rsidR="00BE6201" w:rsidRPr="009D6AAF" w:rsidRDefault="00BE6201" w:rsidP="00097FC2"/>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809"/>
      </w:tblGrid>
      <w:tr w:rsidR="00BE6201" w:rsidRPr="009D6AAF" w14:paraId="5D40EB64" w14:textId="77777777" w:rsidTr="009D79C3">
        <w:tc>
          <w:tcPr>
            <w:tcW w:w="2263" w:type="dxa"/>
          </w:tcPr>
          <w:p w14:paraId="6C6B55A6" w14:textId="77777777" w:rsidR="00BE6201" w:rsidRPr="00097FC2" w:rsidRDefault="00BE6201" w:rsidP="00097FC2">
            <w:pPr>
              <w:rPr>
                <w:b/>
                <w:bCs/>
                <w:i/>
                <w:iCs/>
              </w:rPr>
            </w:pPr>
            <w:r w:rsidRPr="00097FC2">
              <w:rPr>
                <w:b/>
                <w:bCs/>
                <w:i/>
              </w:rPr>
              <w:t>Yhteydenotot</w:t>
            </w:r>
          </w:p>
        </w:tc>
        <w:tc>
          <w:tcPr>
            <w:tcW w:w="6809" w:type="dxa"/>
          </w:tcPr>
          <w:p w14:paraId="6CC1AE19" w14:textId="77777777" w:rsidR="00BE6201" w:rsidRPr="009D6AAF" w:rsidRDefault="00BE6201" w:rsidP="00097FC2">
            <w:pPr>
              <w:rPr>
                <w:i/>
                <w:iCs/>
              </w:rPr>
            </w:pPr>
            <w:proofErr w:type="spellStart"/>
            <w:r w:rsidRPr="009D6AAF">
              <w:rPr>
                <w:i/>
              </w:rPr>
              <w:t>Bartek</w:t>
            </w:r>
            <w:proofErr w:type="spellEnd"/>
            <w:r w:rsidRPr="009D6AAF">
              <w:rPr>
                <w:i/>
              </w:rPr>
              <w:t xml:space="preserve"> </w:t>
            </w:r>
            <w:proofErr w:type="spellStart"/>
            <w:r w:rsidRPr="009D6AAF">
              <w:rPr>
                <w:i/>
              </w:rPr>
              <w:t>Bednarowicz</w:t>
            </w:r>
            <w:proofErr w:type="spellEnd"/>
          </w:p>
        </w:tc>
      </w:tr>
      <w:tr w:rsidR="00BE6201" w:rsidRPr="009D6AAF" w14:paraId="3A2B1D27" w14:textId="77777777" w:rsidTr="009D79C3">
        <w:tc>
          <w:tcPr>
            <w:tcW w:w="2263" w:type="dxa"/>
          </w:tcPr>
          <w:p w14:paraId="1E935457" w14:textId="77777777" w:rsidR="00BE6201" w:rsidRPr="009D6AAF" w:rsidRDefault="00BE6201" w:rsidP="00097FC2">
            <w:pPr>
              <w:rPr>
                <w:i/>
                <w:iCs/>
              </w:rPr>
            </w:pPr>
            <w:r w:rsidRPr="009D6AAF">
              <w:rPr>
                <w:i/>
              </w:rPr>
              <w:t>P.</w:t>
            </w:r>
          </w:p>
        </w:tc>
        <w:tc>
          <w:tcPr>
            <w:tcW w:w="6809" w:type="dxa"/>
          </w:tcPr>
          <w:p w14:paraId="15174E7F" w14:textId="77777777" w:rsidR="00BE6201" w:rsidRPr="009D6AAF" w:rsidRDefault="00BE6201" w:rsidP="00097FC2">
            <w:pPr>
              <w:rPr>
                <w:i/>
                <w:iCs/>
              </w:rPr>
            </w:pPr>
            <w:r w:rsidRPr="009D6AAF">
              <w:rPr>
                <w:i/>
              </w:rPr>
              <w:t>+32 25469229</w:t>
            </w:r>
          </w:p>
        </w:tc>
      </w:tr>
      <w:tr w:rsidR="00BE6201" w:rsidRPr="009D6AAF" w14:paraId="7B167AE4" w14:textId="77777777" w:rsidTr="009D79C3">
        <w:tc>
          <w:tcPr>
            <w:tcW w:w="2263" w:type="dxa"/>
          </w:tcPr>
          <w:p w14:paraId="230A31CB" w14:textId="77777777" w:rsidR="00BE6201" w:rsidRPr="009D6AAF" w:rsidRDefault="00BE6201" w:rsidP="00097FC2">
            <w:pPr>
              <w:rPr>
                <w:i/>
                <w:iCs/>
              </w:rPr>
            </w:pPr>
            <w:r w:rsidRPr="009D6AAF">
              <w:rPr>
                <w:i/>
              </w:rPr>
              <w:t>Sähköposti</w:t>
            </w:r>
          </w:p>
        </w:tc>
        <w:tc>
          <w:tcPr>
            <w:tcW w:w="6809" w:type="dxa"/>
          </w:tcPr>
          <w:p w14:paraId="5924FD4E" w14:textId="77777777" w:rsidR="00BE6201" w:rsidRPr="009D6AAF" w:rsidRDefault="003665FE" w:rsidP="00097FC2">
            <w:pPr>
              <w:rPr>
                <w:i/>
                <w:iCs/>
              </w:rPr>
            </w:pPr>
            <w:hyperlink r:id="rId25" w:history="1">
              <w:r w:rsidR="00BE6201" w:rsidRPr="009D6AAF">
                <w:rPr>
                  <w:rStyle w:val="Hyperlink"/>
                  <w:i/>
                </w:rPr>
                <w:t>Bartek.Bednarowicz@eesc.europa.eu</w:t>
              </w:r>
            </w:hyperlink>
          </w:p>
        </w:tc>
      </w:tr>
    </w:tbl>
    <w:p w14:paraId="287569B3" w14:textId="77777777" w:rsidR="00BE6201" w:rsidRPr="009D6AAF" w:rsidRDefault="00BE6201" w:rsidP="00097FC2"/>
    <w:p w14:paraId="3B64CF05" w14:textId="77777777" w:rsidR="00BE6201" w:rsidRDefault="00BE6201" w:rsidP="00BE6201">
      <w:pPr>
        <w:spacing w:after="160" w:line="259" w:lineRule="auto"/>
        <w:jc w:val="left"/>
      </w:pPr>
      <w:r>
        <w:br w:type="page"/>
      </w:r>
    </w:p>
    <w:p w14:paraId="2566C83D" w14:textId="0FD5868D" w:rsidR="00BE6201" w:rsidRPr="00097FC2" w:rsidRDefault="003665FE" w:rsidP="002B6ACC">
      <w:pPr>
        <w:widowControl w:val="0"/>
        <w:numPr>
          <w:ilvl w:val="0"/>
          <w:numId w:val="4"/>
        </w:numPr>
        <w:overflowPunct w:val="0"/>
        <w:autoSpaceDE w:val="0"/>
        <w:autoSpaceDN w:val="0"/>
        <w:adjustRightInd w:val="0"/>
        <w:ind w:left="567" w:hanging="567"/>
        <w:textAlignment w:val="baseline"/>
        <w:rPr>
          <w:rStyle w:val="Hyperlink"/>
          <w:sz w:val="28"/>
          <w:szCs w:val="28"/>
        </w:rPr>
      </w:pPr>
      <w:hyperlink r:id="rId26" w:history="1">
        <w:r w:rsidR="00BE6201">
          <w:rPr>
            <w:rStyle w:val="Hyperlink"/>
            <w:b/>
            <w:i/>
            <w:sz w:val="28"/>
          </w:rPr>
          <w:t>EU:n huumausainestrategia</w:t>
        </w:r>
      </w:hyperlink>
    </w:p>
    <w:p w14:paraId="731C8255" w14:textId="77777777" w:rsidR="00BE6201" w:rsidRPr="00A4764B" w:rsidRDefault="00BE6201" w:rsidP="00097FC2">
      <w:pPr>
        <w:widowControl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BE6201" w:rsidRPr="00A4764B" w14:paraId="6AFE34D6" w14:textId="77777777" w:rsidTr="00120118">
        <w:tc>
          <w:tcPr>
            <w:tcW w:w="1701" w:type="dxa"/>
          </w:tcPr>
          <w:p w14:paraId="27C0DD3C" w14:textId="77777777" w:rsidR="00BE6201" w:rsidRPr="00A4764B" w:rsidRDefault="00BE6201" w:rsidP="00097FC2">
            <w:pPr>
              <w:tabs>
                <w:tab w:val="center" w:pos="284"/>
              </w:tabs>
              <w:ind w:left="567" w:hanging="567"/>
              <w:rPr>
                <w:b/>
              </w:rPr>
            </w:pPr>
            <w:r w:rsidRPr="00A4764B">
              <w:rPr>
                <w:b/>
              </w:rPr>
              <w:t>Esittelijä</w:t>
            </w:r>
          </w:p>
          <w:p w14:paraId="2CF3FF12" w14:textId="77777777" w:rsidR="00BE6201" w:rsidRPr="00A4764B" w:rsidRDefault="00BE6201" w:rsidP="00097FC2">
            <w:pPr>
              <w:tabs>
                <w:tab w:val="center" w:pos="284"/>
              </w:tabs>
              <w:ind w:left="567" w:hanging="567"/>
              <w:rPr>
                <w:b/>
                <w:lang w:val="en-US"/>
              </w:rPr>
            </w:pPr>
          </w:p>
        </w:tc>
        <w:tc>
          <w:tcPr>
            <w:tcW w:w="6237" w:type="dxa"/>
          </w:tcPr>
          <w:p w14:paraId="278D18D4" w14:textId="77777777" w:rsidR="00BE6201" w:rsidRPr="00A4764B" w:rsidRDefault="00BE6201" w:rsidP="00097FC2">
            <w:pPr>
              <w:ind w:left="567" w:hanging="567"/>
            </w:pPr>
            <w:r w:rsidRPr="00A4764B">
              <w:t>Diego DUTTO (kansalaisyhteiskunnan organisaatiot – IT)</w:t>
            </w:r>
          </w:p>
        </w:tc>
      </w:tr>
      <w:tr w:rsidR="00BE6201" w:rsidRPr="00A4764B" w14:paraId="222AC9D3" w14:textId="77777777" w:rsidTr="00120118">
        <w:tc>
          <w:tcPr>
            <w:tcW w:w="1701" w:type="dxa"/>
          </w:tcPr>
          <w:p w14:paraId="353DDBF2" w14:textId="77777777" w:rsidR="00BE6201" w:rsidRPr="00A4764B" w:rsidRDefault="00BE6201" w:rsidP="00097FC2">
            <w:pPr>
              <w:tabs>
                <w:tab w:val="center" w:pos="284"/>
              </w:tabs>
              <w:ind w:left="567" w:hanging="567"/>
              <w:rPr>
                <w:b/>
              </w:rPr>
            </w:pPr>
            <w:r w:rsidRPr="00A4764B">
              <w:rPr>
                <w:b/>
              </w:rPr>
              <w:t>Viiteasiakirjat</w:t>
            </w:r>
          </w:p>
        </w:tc>
        <w:tc>
          <w:tcPr>
            <w:tcW w:w="6237" w:type="dxa"/>
          </w:tcPr>
          <w:p w14:paraId="2B90B984" w14:textId="77777777" w:rsidR="00DB6C97" w:rsidRDefault="00DB6C97" w:rsidP="00097FC2">
            <w:pPr>
              <w:tabs>
                <w:tab w:val="center" w:pos="284"/>
              </w:tabs>
              <w:overflowPunct w:val="0"/>
              <w:autoSpaceDE w:val="0"/>
              <w:autoSpaceDN w:val="0"/>
              <w:adjustRightInd w:val="0"/>
              <w:ind w:left="567" w:hanging="567"/>
              <w:textAlignment w:val="baseline"/>
              <w:rPr>
                <w:lang w:val="pt-PT"/>
              </w:rPr>
            </w:pPr>
            <w:r>
              <w:rPr>
                <w:lang w:val="pt-PT"/>
              </w:rPr>
              <w:t>COM(2025) 743 final</w:t>
            </w:r>
          </w:p>
          <w:p w14:paraId="6A29BBBE" w14:textId="77777777" w:rsidR="00DB6C97" w:rsidRDefault="00DB6C97" w:rsidP="00097FC2">
            <w:pPr>
              <w:tabs>
                <w:tab w:val="center" w:pos="284"/>
              </w:tabs>
              <w:overflowPunct w:val="0"/>
              <w:autoSpaceDE w:val="0"/>
              <w:autoSpaceDN w:val="0"/>
              <w:adjustRightInd w:val="0"/>
              <w:ind w:left="567" w:hanging="567"/>
              <w:textAlignment w:val="baseline"/>
              <w:rPr>
                <w:lang w:val="pt-PT"/>
              </w:rPr>
            </w:pPr>
            <w:r>
              <w:rPr>
                <w:lang w:val="pt-PT"/>
              </w:rPr>
              <w:t>COM(2025 744 final</w:t>
            </w:r>
          </w:p>
          <w:p w14:paraId="212BA377" w14:textId="037720B3" w:rsidR="00BE6201" w:rsidRPr="00A4764B" w:rsidRDefault="00BE6201" w:rsidP="00097FC2">
            <w:pPr>
              <w:tabs>
                <w:tab w:val="center" w:pos="284"/>
              </w:tabs>
              <w:ind w:left="567" w:hanging="567"/>
            </w:pPr>
            <w:r w:rsidRPr="00A4764B">
              <w:t>EESC-2026-00238-00-00-AC</w:t>
            </w:r>
          </w:p>
        </w:tc>
      </w:tr>
    </w:tbl>
    <w:p w14:paraId="5E8D62F7" w14:textId="77777777" w:rsidR="00BE6201" w:rsidRDefault="00BE6201" w:rsidP="00097FC2">
      <w:pPr>
        <w:keepNext/>
        <w:keepLines/>
        <w:tabs>
          <w:tab w:val="center" w:pos="284"/>
        </w:tabs>
        <w:ind w:left="266" w:hanging="266"/>
        <w:rPr>
          <w:b/>
        </w:rPr>
      </w:pPr>
    </w:p>
    <w:p w14:paraId="711A8A39" w14:textId="77777777" w:rsidR="00BE6201" w:rsidRDefault="00BE6201" w:rsidP="00097FC2">
      <w:pPr>
        <w:keepNext/>
        <w:keepLines/>
        <w:tabs>
          <w:tab w:val="center" w:pos="284"/>
        </w:tabs>
        <w:ind w:left="266" w:hanging="266"/>
        <w:rPr>
          <w:b/>
        </w:rPr>
      </w:pPr>
      <w:r w:rsidRPr="00A4764B">
        <w:rPr>
          <w:b/>
        </w:rPr>
        <w:t>Keskeiset kohdat</w:t>
      </w:r>
    </w:p>
    <w:p w14:paraId="2235AD83" w14:textId="77777777" w:rsidR="00BE6201" w:rsidRPr="00A4764B" w:rsidRDefault="00BE6201" w:rsidP="00097FC2">
      <w:pPr>
        <w:keepNext/>
        <w:keepLines/>
        <w:tabs>
          <w:tab w:val="center" w:pos="284"/>
        </w:tabs>
        <w:ind w:left="266" w:hanging="266"/>
        <w:rPr>
          <w:b/>
        </w:rPr>
      </w:pPr>
    </w:p>
    <w:p w14:paraId="004E375C" w14:textId="77777777" w:rsidR="00BE6201" w:rsidRPr="00DB6C97" w:rsidRDefault="00BE6201" w:rsidP="00097FC2">
      <w:pPr>
        <w:pStyle w:val="NormalWeb"/>
        <w:spacing w:before="0" w:beforeAutospacing="0" w:after="0" w:afterAutospacing="0" w:line="288" w:lineRule="auto"/>
        <w:jc w:val="both"/>
        <w:rPr>
          <w:b/>
          <w:bCs/>
          <w:sz w:val="22"/>
          <w:szCs w:val="22"/>
        </w:rPr>
      </w:pPr>
      <w:r w:rsidRPr="00DB6C97">
        <w:rPr>
          <w:rStyle w:val="Strong"/>
          <w:b w:val="0"/>
          <w:bCs w:val="0"/>
          <w:sz w:val="22"/>
          <w:szCs w:val="22"/>
        </w:rPr>
        <w:t>ETSK</w:t>
      </w:r>
    </w:p>
    <w:p w14:paraId="53AE83CF" w14:textId="77777777" w:rsidR="00BE6201" w:rsidRPr="00A4764B" w:rsidRDefault="00BE6201" w:rsidP="002B6ACC">
      <w:pPr>
        <w:pStyle w:val="NormalWeb"/>
        <w:numPr>
          <w:ilvl w:val="0"/>
          <w:numId w:val="15"/>
        </w:numPr>
        <w:tabs>
          <w:tab w:val="clear" w:pos="720"/>
        </w:tabs>
        <w:spacing w:before="0" w:beforeAutospacing="0" w:after="0" w:afterAutospacing="0" w:line="288" w:lineRule="auto"/>
        <w:ind w:left="426" w:hanging="426"/>
        <w:jc w:val="both"/>
        <w:rPr>
          <w:spacing w:val="-2"/>
          <w:sz w:val="22"/>
          <w:szCs w:val="22"/>
        </w:rPr>
      </w:pPr>
      <w:r w:rsidRPr="00A4764B">
        <w:rPr>
          <w:spacing w:val="-2"/>
          <w:sz w:val="22"/>
          <w:szCs w:val="22"/>
        </w:rPr>
        <w:t>korostaa, että EU:n strategian tehokkuus riippuu siitä, miten hyvin sen puitteissa pystytään ennakoimaan kehityssuuntauksia. Komitea suosittaa, että komissio ei tyytyisi pelkästään reaktiivisten indikaattoreiden (huumausainetakavarikot ja huumekuolemat) käyttöön ja että se huolehtisi rakenteellisen, pakollisen tuen tarjoamisesta standardoituja seurantajärjestelmiä varten.</w:t>
      </w:r>
    </w:p>
    <w:p w14:paraId="69038FAA" w14:textId="77777777" w:rsidR="00BE6201" w:rsidRPr="00A4764B" w:rsidRDefault="00BE6201" w:rsidP="002B6ACC">
      <w:pPr>
        <w:pStyle w:val="NormalWeb"/>
        <w:numPr>
          <w:ilvl w:val="0"/>
          <w:numId w:val="15"/>
        </w:numPr>
        <w:tabs>
          <w:tab w:val="clear" w:pos="720"/>
        </w:tabs>
        <w:spacing w:before="0" w:beforeAutospacing="0" w:after="0" w:afterAutospacing="0" w:line="288" w:lineRule="auto"/>
        <w:ind w:left="426" w:hanging="426"/>
        <w:jc w:val="both"/>
        <w:rPr>
          <w:spacing w:val="-2"/>
          <w:sz w:val="22"/>
          <w:szCs w:val="22"/>
        </w:rPr>
      </w:pPr>
      <w:r w:rsidRPr="00A4764B">
        <w:rPr>
          <w:spacing w:val="-2"/>
          <w:sz w:val="22"/>
          <w:szCs w:val="22"/>
        </w:rPr>
        <w:t>panee huolestuneena merkille, että strategia painottuu hieman yksipuolisesti tavanomaisiin, laittomiin aineisiin. Nuoret ovat siirtymässä laillisten lääkkeiden alkuperäistarkoituksesta poikkeavaan käyttöön, ja komitea suosittaakin, että otetaan käyttöön lääkkeiden määräämisen valvontaa koskevat EU:n suuntaviivat ja käynnistetään erityisiä valistuskampanjoita laillisten psykoaktiivisten aineiden aiheuttaman riippuvuuden riskeistä.</w:t>
      </w:r>
    </w:p>
    <w:p w14:paraId="48AB5176" w14:textId="77777777" w:rsidR="00BE6201" w:rsidRPr="00A4764B" w:rsidRDefault="00BE6201" w:rsidP="002B6ACC">
      <w:pPr>
        <w:pStyle w:val="NormalWeb"/>
        <w:numPr>
          <w:ilvl w:val="0"/>
          <w:numId w:val="15"/>
        </w:numPr>
        <w:tabs>
          <w:tab w:val="clear" w:pos="720"/>
        </w:tabs>
        <w:spacing w:before="0" w:beforeAutospacing="0" w:after="0" w:afterAutospacing="0" w:line="288" w:lineRule="auto"/>
        <w:ind w:left="426" w:hanging="426"/>
        <w:jc w:val="both"/>
        <w:rPr>
          <w:spacing w:val="-2"/>
          <w:sz w:val="22"/>
          <w:szCs w:val="22"/>
        </w:rPr>
      </w:pPr>
      <w:r w:rsidRPr="00A4764B">
        <w:rPr>
          <w:spacing w:val="-2"/>
          <w:sz w:val="22"/>
          <w:szCs w:val="22"/>
        </w:rPr>
        <w:t>suosittaa, että opioidikipulääkkeiden käytön yleisyyttä seurataan tarkasti. On pyrittävä estämään se, että tietyt väestöryhmät – jotka eivät näytä kuuluvan riskiryhmiin – tulevat riippuvaiseksi tällaisista, laillisten kanavien kautta saatavista aineista.</w:t>
      </w:r>
    </w:p>
    <w:p w14:paraId="6F60FA80" w14:textId="77777777" w:rsidR="00BE6201" w:rsidRPr="00A4764B" w:rsidRDefault="00BE6201" w:rsidP="002B6ACC">
      <w:pPr>
        <w:pStyle w:val="NormalWeb"/>
        <w:numPr>
          <w:ilvl w:val="0"/>
          <w:numId w:val="15"/>
        </w:numPr>
        <w:tabs>
          <w:tab w:val="clear" w:pos="720"/>
        </w:tabs>
        <w:spacing w:before="0" w:beforeAutospacing="0" w:after="0" w:afterAutospacing="0" w:line="288" w:lineRule="auto"/>
        <w:ind w:left="426" w:hanging="426"/>
        <w:jc w:val="both"/>
        <w:rPr>
          <w:spacing w:val="-2"/>
          <w:sz w:val="22"/>
          <w:szCs w:val="22"/>
        </w:rPr>
      </w:pPr>
      <w:r w:rsidRPr="00A4764B">
        <w:rPr>
          <w:spacing w:val="-2"/>
          <w:sz w:val="22"/>
          <w:szCs w:val="22"/>
        </w:rPr>
        <w:t>huomauttaa tarpeesta laatia varhaista tilanteeseen puuttumista koskevat EU-tason menettelytapaohjeet, jotta sosiaali- ja terveydenhuoltopalveluja voidaan auttaa havaitsemaan uudet huumausaineiden käyttäjät jo käytön alkuvaiheessa.</w:t>
      </w:r>
    </w:p>
    <w:p w14:paraId="7676EA25" w14:textId="77777777" w:rsidR="00BE6201" w:rsidRPr="00A4764B" w:rsidRDefault="00BE6201" w:rsidP="002B6ACC">
      <w:pPr>
        <w:pStyle w:val="NormalWeb"/>
        <w:numPr>
          <w:ilvl w:val="0"/>
          <w:numId w:val="15"/>
        </w:numPr>
        <w:tabs>
          <w:tab w:val="clear" w:pos="720"/>
        </w:tabs>
        <w:spacing w:before="0" w:beforeAutospacing="0" w:after="0" w:afterAutospacing="0" w:line="288" w:lineRule="auto"/>
        <w:ind w:left="426" w:hanging="426"/>
        <w:jc w:val="both"/>
        <w:rPr>
          <w:spacing w:val="-2"/>
          <w:sz w:val="22"/>
          <w:szCs w:val="22"/>
        </w:rPr>
      </w:pPr>
      <w:r w:rsidRPr="00A4764B">
        <w:rPr>
          <w:spacing w:val="-2"/>
          <w:sz w:val="22"/>
          <w:szCs w:val="22"/>
        </w:rPr>
        <w:t>suosittaa, että määritellään konkreettiset keskeiset tulosindikaattorit ennaltaehkäisypolitiikan tehokkuuden arvioimiseksi ja että onnistumisen mittarina käytetään paitsi huumausainetakavarikkoja myös uusien riippuvuuksien vähenemistä ja sosiaalisen kuntoutuksen eri muotojen tehokkuutta.</w:t>
      </w:r>
    </w:p>
    <w:p w14:paraId="4B019224" w14:textId="77777777" w:rsidR="00BE6201" w:rsidRPr="00A4764B" w:rsidRDefault="00BE6201" w:rsidP="002B6ACC">
      <w:pPr>
        <w:pStyle w:val="NormalWeb"/>
        <w:numPr>
          <w:ilvl w:val="0"/>
          <w:numId w:val="15"/>
        </w:numPr>
        <w:tabs>
          <w:tab w:val="clear" w:pos="720"/>
        </w:tabs>
        <w:spacing w:before="0" w:beforeAutospacing="0" w:after="0" w:afterAutospacing="0" w:line="288" w:lineRule="auto"/>
        <w:ind w:left="426" w:hanging="426"/>
        <w:jc w:val="both"/>
        <w:rPr>
          <w:spacing w:val="-2"/>
          <w:sz w:val="22"/>
          <w:szCs w:val="22"/>
        </w:rPr>
      </w:pPr>
      <w:r w:rsidRPr="00A4764B">
        <w:rPr>
          <w:spacing w:val="-2"/>
          <w:sz w:val="22"/>
          <w:szCs w:val="22"/>
        </w:rPr>
        <w:t>toteaa jälleen kerran, että huumekaupan torjuntaa ja vankkaa kansanterveyspolitiikkaa ei voida pitää erillään toisistaan.</w:t>
      </w:r>
    </w:p>
    <w:p w14:paraId="16503CEE" w14:textId="77777777" w:rsidR="00BE6201" w:rsidRPr="00A4764B" w:rsidRDefault="00BE6201" w:rsidP="002B6ACC">
      <w:pPr>
        <w:pStyle w:val="NormalWeb"/>
        <w:numPr>
          <w:ilvl w:val="0"/>
          <w:numId w:val="15"/>
        </w:numPr>
        <w:tabs>
          <w:tab w:val="clear" w:pos="720"/>
        </w:tabs>
        <w:spacing w:before="0" w:beforeAutospacing="0" w:after="0" w:afterAutospacing="0" w:line="288" w:lineRule="auto"/>
        <w:ind w:left="426" w:hanging="426"/>
        <w:jc w:val="both"/>
        <w:rPr>
          <w:spacing w:val="-2"/>
          <w:sz w:val="22"/>
          <w:szCs w:val="22"/>
        </w:rPr>
      </w:pPr>
      <w:r w:rsidRPr="00A4764B">
        <w:rPr>
          <w:spacing w:val="-2"/>
          <w:sz w:val="22"/>
          <w:szCs w:val="22"/>
        </w:rPr>
        <w:t>toteaa, että toimintasuunnitelmassa keskitytään lähes yksinomaan fyysisen infrastruktuurin (satamat, logistiikkakeskukset) ja digitaalisen infrastruktuurin turvaamiseen ja yhteisöulottuvuus jää huomiotta.</w:t>
      </w:r>
    </w:p>
    <w:p w14:paraId="1F3E45BD" w14:textId="77777777" w:rsidR="00BE6201" w:rsidRPr="00A4764B" w:rsidRDefault="00BE6201" w:rsidP="002B6ACC">
      <w:pPr>
        <w:pStyle w:val="NormalWeb"/>
        <w:numPr>
          <w:ilvl w:val="0"/>
          <w:numId w:val="15"/>
        </w:numPr>
        <w:tabs>
          <w:tab w:val="clear" w:pos="720"/>
        </w:tabs>
        <w:spacing w:before="0" w:beforeAutospacing="0" w:after="0" w:afterAutospacing="0" w:line="288" w:lineRule="auto"/>
        <w:ind w:left="426" w:hanging="426"/>
        <w:jc w:val="both"/>
        <w:rPr>
          <w:spacing w:val="-2"/>
          <w:sz w:val="22"/>
          <w:szCs w:val="22"/>
        </w:rPr>
      </w:pPr>
      <w:r w:rsidRPr="00A4764B">
        <w:rPr>
          <w:spacing w:val="-2"/>
          <w:sz w:val="22"/>
          <w:szCs w:val="22"/>
        </w:rPr>
        <w:t>huomauttaa, että toimintasuunnitelmassa ei ohjeisteta jäsenvaltioita riittävästi siitä, millaista julkista toimintapolitiikkaa huumeiden käytön yleistymisen hillitsemiseksi tarvitaan.</w:t>
      </w:r>
    </w:p>
    <w:p w14:paraId="33061DE1" w14:textId="77777777" w:rsidR="00BE6201" w:rsidRPr="00A4764B" w:rsidRDefault="00BE6201" w:rsidP="00BE6201">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4493"/>
      </w:tblGrid>
      <w:tr w:rsidR="00BE6201" w:rsidRPr="00A4764B" w14:paraId="760C3988" w14:textId="77777777" w:rsidTr="00120118">
        <w:tc>
          <w:tcPr>
            <w:tcW w:w="1210" w:type="dxa"/>
          </w:tcPr>
          <w:p w14:paraId="0CB51FC0" w14:textId="77777777" w:rsidR="00BE6201" w:rsidRPr="00A4764B" w:rsidRDefault="00BE6201" w:rsidP="00120118">
            <w:pPr>
              <w:rPr>
                <w:i/>
              </w:rPr>
            </w:pPr>
            <w:r w:rsidRPr="00A4764B">
              <w:rPr>
                <w:b/>
                <w:i/>
              </w:rPr>
              <w:t>Yhteydenotot</w:t>
            </w:r>
          </w:p>
        </w:tc>
        <w:tc>
          <w:tcPr>
            <w:tcW w:w="4493" w:type="dxa"/>
          </w:tcPr>
          <w:p w14:paraId="1B8FC884" w14:textId="77777777" w:rsidR="00BE6201" w:rsidRPr="00A4764B" w:rsidRDefault="00BE6201" w:rsidP="00120118">
            <w:pPr>
              <w:ind w:hanging="12"/>
              <w:rPr>
                <w:i/>
              </w:rPr>
            </w:pPr>
            <w:proofErr w:type="spellStart"/>
            <w:r w:rsidRPr="00A4764B">
              <w:rPr>
                <w:i/>
              </w:rPr>
              <w:t>Gemma</w:t>
            </w:r>
            <w:proofErr w:type="spellEnd"/>
            <w:r w:rsidRPr="00A4764B">
              <w:rPr>
                <w:i/>
              </w:rPr>
              <w:t xml:space="preserve"> </w:t>
            </w:r>
            <w:proofErr w:type="spellStart"/>
            <w:r w:rsidRPr="00A4764B">
              <w:rPr>
                <w:i/>
              </w:rPr>
              <w:t>Amran</w:t>
            </w:r>
            <w:proofErr w:type="spellEnd"/>
          </w:p>
        </w:tc>
      </w:tr>
      <w:tr w:rsidR="00BE6201" w:rsidRPr="00A4764B" w14:paraId="48B5286F" w14:textId="77777777" w:rsidTr="00120118">
        <w:tc>
          <w:tcPr>
            <w:tcW w:w="1210" w:type="dxa"/>
          </w:tcPr>
          <w:p w14:paraId="4E07FE7B" w14:textId="77777777" w:rsidR="00BE6201" w:rsidRPr="00A4764B" w:rsidRDefault="00BE6201" w:rsidP="00120118">
            <w:pPr>
              <w:rPr>
                <w:i/>
              </w:rPr>
            </w:pPr>
            <w:r w:rsidRPr="00A4764B">
              <w:rPr>
                <w:i/>
              </w:rPr>
              <w:t>P.</w:t>
            </w:r>
          </w:p>
        </w:tc>
        <w:tc>
          <w:tcPr>
            <w:tcW w:w="4493" w:type="dxa"/>
          </w:tcPr>
          <w:p w14:paraId="23BA9A10" w14:textId="77777777" w:rsidR="00BE6201" w:rsidRPr="00A4764B" w:rsidRDefault="00BE6201" w:rsidP="00120118">
            <w:pPr>
              <w:rPr>
                <w:i/>
              </w:rPr>
            </w:pPr>
            <w:r w:rsidRPr="00A4764B">
              <w:rPr>
                <w:i/>
              </w:rPr>
              <w:t>+32 25469</w:t>
            </w:r>
            <w:r w:rsidRPr="00A4764B">
              <w:t>415</w:t>
            </w:r>
          </w:p>
        </w:tc>
      </w:tr>
      <w:tr w:rsidR="00BE6201" w:rsidRPr="00A4764B" w14:paraId="7B7C22EB" w14:textId="77777777" w:rsidTr="00120118">
        <w:tc>
          <w:tcPr>
            <w:tcW w:w="1210" w:type="dxa"/>
          </w:tcPr>
          <w:p w14:paraId="68DD153F" w14:textId="77777777" w:rsidR="00BE6201" w:rsidRPr="00A4764B" w:rsidRDefault="00BE6201" w:rsidP="00120118">
            <w:pPr>
              <w:rPr>
                <w:i/>
              </w:rPr>
            </w:pPr>
            <w:r w:rsidRPr="00A4764B">
              <w:rPr>
                <w:i/>
              </w:rPr>
              <w:t>Sähköposti</w:t>
            </w:r>
          </w:p>
        </w:tc>
        <w:tc>
          <w:tcPr>
            <w:tcW w:w="4493" w:type="dxa"/>
          </w:tcPr>
          <w:p w14:paraId="0484F373" w14:textId="77777777" w:rsidR="00BE6201" w:rsidRPr="00A4764B" w:rsidRDefault="003665FE" w:rsidP="00120118">
            <w:pPr>
              <w:rPr>
                <w:i/>
                <w:iCs/>
              </w:rPr>
            </w:pPr>
            <w:hyperlink r:id="rId27" w:history="1">
              <w:r w:rsidR="00BE6201" w:rsidRPr="00A4764B">
                <w:rPr>
                  <w:rStyle w:val="Hyperlink"/>
                  <w:i/>
                </w:rPr>
                <w:t>Gemma.Amran@eesc.europa.eu</w:t>
              </w:r>
            </w:hyperlink>
          </w:p>
        </w:tc>
      </w:tr>
    </w:tbl>
    <w:p w14:paraId="64548EA6" w14:textId="77777777" w:rsidR="00BE6201" w:rsidRDefault="00BE6201" w:rsidP="00BE6201"/>
    <w:p w14:paraId="1AF16B1F" w14:textId="77777777" w:rsidR="00BE6201" w:rsidRDefault="00BE6201" w:rsidP="00BE6201">
      <w:pPr>
        <w:spacing w:after="160" w:line="259" w:lineRule="auto"/>
        <w:jc w:val="left"/>
      </w:pPr>
      <w:r>
        <w:br w:type="page"/>
      </w:r>
    </w:p>
    <w:p w14:paraId="3AA73E8E" w14:textId="365A2E03" w:rsidR="00BE6201" w:rsidRPr="00097FC2" w:rsidRDefault="003665FE" w:rsidP="009F1E74">
      <w:pPr>
        <w:widowControl w:val="0"/>
        <w:numPr>
          <w:ilvl w:val="0"/>
          <w:numId w:val="2"/>
        </w:numPr>
        <w:overflowPunct w:val="0"/>
        <w:autoSpaceDE w:val="0"/>
        <w:autoSpaceDN w:val="0"/>
        <w:adjustRightInd w:val="0"/>
        <w:ind w:hanging="567"/>
        <w:textAlignment w:val="baseline"/>
        <w:rPr>
          <w:b/>
          <w:sz w:val="28"/>
          <w:szCs w:val="28"/>
        </w:rPr>
      </w:pPr>
      <w:hyperlink r:id="rId28" w:history="1">
        <w:r w:rsidR="00BE6201">
          <w:rPr>
            <w:rStyle w:val="Hyperlink"/>
            <w:b/>
            <w:i/>
            <w:sz w:val="28"/>
          </w:rPr>
          <w:t>Kulttuurikompassi</w:t>
        </w:r>
      </w:hyperlink>
    </w:p>
    <w:p w14:paraId="3D17B390" w14:textId="77777777" w:rsidR="00BE6201" w:rsidRPr="001C7FB5" w:rsidRDefault="00BE6201" w:rsidP="009F1E74">
      <w:pPr>
        <w:widowControl w:val="0"/>
        <w:ind w:left="266"/>
        <w:rPr>
          <w:b/>
        </w:rPr>
      </w:pPr>
    </w:p>
    <w:tbl>
      <w:tblPr>
        <w:tblStyle w:val="TableGrid"/>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529"/>
      </w:tblGrid>
      <w:tr w:rsidR="00BE6201" w:rsidRPr="00A6689B" w14:paraId="33926994" w14:textId="77777777" w:rsidTr="00120118">
        <w:tc>
          <w:tcPr>
            <w:tcW w:w="1321" w:type="pct"/>
          </w:tcPr>
          <w:p w14:paraId="51507D51" w14:textId="77777777" w:rsidR="00BE6201" w:rsidRPr="00A6689B" w:rsidRDefault="00BE6201" w:rsidP="009F1E74">
            <w:pPr>
              <w:ind w:left="-113"/>
              <w:rPr>
                <w:b/>
              </w:rPr>
            </w:pPr>
            <w:r>
              <w:rPr>
                <w:b/>
              </w:rPr>
              <w:t xml:space="preserve">Esittelijä </w:t>
            </w:r>
          </w:p>
        </w:tc>
        <w:tc>
          <w:tcPr>
            <w:tcW w:w="3679" w:type="pct"/>
          </w:tcPr>
          <w:p w14:paraId="17E47CBF" w14:textId="77777777" w:rsidR="00BE6201" w:rsidRPr="002D1FD7" w:rsidRDefault="00BE6201" w:rsidP="009F1E74">
            <w:pPr>
              <w:ind w:left="-113"/>
            </w:pPr>
            <w:r>
              <w:t>Luca JAHIER (kansalaisyhteiskunnan organisaatiot – IT)</w:t>
            </w:r>
          </w:p>
        </w:tc>
      </w:tr>
      <w:tr w:rsidR="00BE6201" w:rsidRPr="001C7FB5" w14:paraId="150257C3" w14:textId="77777777" w:rsidTr="00120118">
        <w:tc>
          <w:tcPr>
            <w:tcW w:w="5000" w:type="pct"/>
            <w:gridSpan w:val="2"/>
          </w:tcPr>
          <w:p w14:paraId="12E92377" w14:textId="77777777" w:rsidR="00BE6201" w:rsidRPr="001C7FB5" w:rsidRDefault="00BE6201" w:rsidP="009F1E74">
            <w:pPr>
              <w:ind w:left="-113"/>
              <w:rPr>
                <w:lang w:val="en-US"/>
              </w:rPr>
            </w:pPr>
          </w:p>
        </w:tc>
      </w:tr>
      <w:tr w:rsidR="00BE6201" w:rsidRPr="00A6689B" w14:paraId="21DD733A" w14:textId="77777777" w:rsidTr="00120118">
        <w:tc>
          <w:tcPr>
            <w:tcW w:w="1321" w:type="pct"/>
          </w:tcPr>
          <w:p w14:paraId="15ED8AEA" w14:textId="77777777" w:rsidR="00BE6201" w:rsidRPr="00557B11" w:rsidRDefault="00BE6201" w:rsidP="009F1E74">
            <w:pPr>
              <w:ind w:left="-113"/>
              <w:rPr>
                <w:b/>
              </w:rPr>
            </w:pPr>
            <w:r>
              <w:rPr>
                <w:b/>
              </w:rPr>
              <w:t>Viiteasiakirja(t)</w:t>
            </w:r>
          </w:p>
        </w:tc>
        <w:tc>
          <w:tcPr>
            <w:tcW w:w="3679" w:type="pct"/>
          </w:tcPr>
          <w:p w14:paraId="191B8023" w14:textId="77777777" w:rsidR="00DB6C97" w:rsidRDefault="00DB6C97" w:rsidP="009F1E74">
            <w:pPr>
              <w:overflowPunct w:val="0"/>
              <w:autoSpaceDE w:val="0"/>
              <w:autoSpaceDN w:val="0"/>
              <w:adjustRightInd w:val="0"/>
              <w:ind w:left="-113"/>
              <w:textAlignment w:val="baseline"/>
            </w:pPr>
            <w:r>
              <w:t xml:space="preserve">COM(2025) 785 </w:t>
            </w:r>
            <w:proofErr w:type="spellStart"/>
            <w:r>
              <w:t>final</w:t>
            </w:r>
            <w:proofErr w:type="spellEnd"/>
          </w:p>
          <w:p w14:paraId="4F0F8466" w14:textId="77777777" w:rsidR="00DB6C97" w:rsidRDefault="00DB6C97" w:rsidP="009F1E74">
            <w:pPr>
              <w:overflowPunct w:val="0"/>
              <w:autoSpaceDE w:val="0"/>
              <w:autoSpaceDN w:val="0"/>
              <w:adjustRightInd w:val="0"/>
              <w:ind w:left="-113"/>
              <w:textAlignment w:val="baseline"/>
            </w:pPr>
            <w:r>
              <w:t xml:space="preserve">COM(2025) 786 </w:t>
            </w:r>
            <w:proofErr w:type="spellStart"/>
            <w:r>
              <w:t>final</w:t>
            </w:r>
            <w:proofErr w:type="spellEnd"/>
          </w:p>
          <w:p w14:paraId="54F6F9E4" w14:textId="77777777" w:rsidR="00BE6201" w:rsidRPr="00557B11" w:rsidRDefault="00BE6201" w:rsidP="009F1E74">
            <w:pPr>
              <w:ind w:left="-113"/>
            </w:pPr>
            <w:r>
              <w:t>EESC-2025-04241-00-00-AC</w:t>
            </w:r>
          </w:p>
        </w:tc>
      </w:tr>
    </w:tbl>
    <w:p w14:paraId="479A31EA" w14:textId="77777777" w:rsidR="00BE6201" w:rsidRPr="001C7FB5" w:rsidRDefault="00BE6201" w:rsidP="009F1E74">
      <w:pPr>
        <w:keepNext/>
        <w:keepLines/>
        <w:tabs>
          <w:tab w:val="center" w:pos="284"/>
        </w:tabs>
        <w:ind w:left="266" w:hanging="266"/>
        <w:rPr>
          <w:b/>
        </w:rPr>
      </w:pPr>
    </w:p>
    <w:p w14:paraId="0179C08B" w14:textId="77777777" w:rsidR="00BE6201" w:rsidRPr="001C7FB5" w:rsidRDefault="00BE6201" w:rsidP="009F1E74">
      <w:pPr>
        <w:keepNext/>
        <w:keepLines/>
        <w:tabs>
          <w:tab w:val="center" w:pos="284"/>
        </w:tabs>
        <w:ind w:left="266" w:hanging="266"/>
        <w:rPr>
          <w:b/>
        </w:rPr>
      </w:pPr>
      <w:r w:rsidRPr="001C7FB5">
        <w:rPr>
          <w:b/>
        </w:rPr>
        <w:t>Keskeiset kohdat</w:t>
      </w:r>
    </w:p>
    <w:p w14:paraId="36DC4281" w14:textId="77777777" w:rsidR="00BE6201" w:rsidRPr="001C7FB5" w:rsidRDefault="00BE6201" w:rsidP="009F1E74">
      <w:pPr>
        <w:keepNext/>
        <w:keepLines/>
        <w:tabs>
          <w:tab w:val="center" w:pos="284"/>
        </w:tabs>
        <w:ind w:left="266" w:hanging="266"/>
        <w:rPr>
          <w:b/>
        </w:rPr>
      </w:pPr>
    </w:p>
    <w:p w14:paraId="3AF01692" w14:textId="77777777" w:rsidR="00BE6201" w:rsidRPr="001C7FB5" w:rsidRDefault="00BE6201" w:rsidP="00BE6201">
      <w:pPr>
        <w:contextualSpacing/>
        <w:rPr>
          <w:bCs/>
          <w:iCs/>
        </w:rPr>
      </w:pPr>
      <w:r w:rsidRPr="001C7FB5">
        <w:t>ETSK</w:t>
      </w:r>
    </w:p>
    <w:p w14:paraId="279EBDD3" w14:textId="77777777" w:rsidR="00BE6201" w:rsidRPr="00C92897" w:rsidRDefault="00BE6201" w:rsidP="002B6ACC">
      <w:pPr>
        <w:pStyle w:val="NormalWeb"/>
        <w:numPr>
          <w:ilvl w:val="0"/>
          <w:numId w:val="16"/>
        </w:numPr>
        <w:spacing w:before="0" w:beforeAutospacing="0" w:after="0" w:afterAutospacing="0" w:line="288" w:lineRule="auto"/>
        <w:ind w:left="426" w:hanging="426"/>
        <w:jc w:val="both"/>
        <w:rPr>
          <w:sz w:val="22"/>
          <w:szCs w:val="22"/>
        </w:rPr>
      </w:pPr>
      <w:r>
        <w:rPr>
          <w:b/>
          <w:sz w:val="22"/>
        </w:rPr>
        <w:t>kannattaa kulttuurikompassia</w:t>
      </w:r>
      <w:r>
        <w:rPr>
          <w:sz w:val="22"/>
        </w:rPr>
        <w:t xml:space="preserve"> tärkeänä ja oikea-aikaisena monialaisena kulttuuristrategiana, jolla edistetään kulttuuria ja eurooppalaisia kulttuuriarvoja Euroopassa ja sen ulkopuolella ja varmistetaan kukoistava kulttuuriala.</w:t>
      </w:r>
    </w:p>
    <w:p w14:paraId="0FE518E1" w14:textId="77777777" w:rsidR="00BE6201" w:rsidRPr="00C92897" w:rsidRDefault="00BE6201" w:rsidP="002B6ACC">
      <w:pPr>
        <w:pStyle w:val="NormalWeb"/>
        <w:numPr>
          <w:ilvl w:val="0"/>
          <w:numId w:val="16"/>
        </w:numPr>
        <w:spacing w:line="288" w:lineRule="auto"/>
        <w:ind w:left="426" w:hanging="426"/>
        <w:jc w:val="both"/>
        <w:rPr>
          <w:sz w:val="22"/>
          <w:szCs w:val="22"/>
        </w:rPr>
      </w:pPr>
      <w:r>
        <w:rPr>
          <w:sz w:val="22"/>
        </w:rPr>
        <w:t xml:space="preserve">korostaa </w:t>
      </w:r>
      <w:r>
        <w:rPr>
          <w:b/>
          <w:sz w:val="22"/>
        </w:rPr>
        <w:t>kulttuurin roolia demokratian vahvistamisessa</w:t>
      </w:r>
      <w:r>
        <w:rPr>
          <w:sz w:val="22"/>
        </w:rPr>
        <w:t>, populististen ja autoritaaristen narratiivien torjumisessa sekä sosiaalisen yhteenkuuluvuuden, varautumisen ja kestävän kehityksen edistämisessä.</w:t>
      </w:r>
    </w:p>
    <w:p w14:paraId="62F81F51" w14:textId="77777777" w:rsidR="00BE6201" w:rsidRPr="00C92897" w:rsidRDefault="00BE6201" w:rsidP="002B6ACC">
      <w:pPr>
        <w:pStyle w:val="NormalWeb"/>
        <w:numPr>
          <w:ilvl w:val="0"/>
          <w:numId w:val="16"/>
        </w:numPr>
        <w:spacing w:line="288" w:lineRule="auto"/>
        <w:ind w:left="426" w:hanging="426"/>
        <w:jc w:val="both"/>
        <w:rPr>
          <w:sz w:val="22"/>
          <w:szCs w:val="22"/>
        </w:rPr>
      </w:pPr>
      <w:r>
        <w:rPr>
          <w:sz w:val="22"/>
        </w:rPr>
        <w:t xml:space="preserve">suosittaa, että kulttuurikompassin ja eurooppalaisen demokratian kilven kaltaisten EU:n aloitteiden välille </w:t>
      </w:r>
      <w:r>
        <w:rPr>
          <w:b/>
          <w:sz w:val="22"/>
        </w:rPr>
        <w:t>kehitetään synergioita</w:t>
      </w:r>
      <w:r>
        <w:rPr>
          <w:sz w:val="22"/>
        </w:rPr>
        <w:t xml:space="preserve"> erityisesti digitaalialalla.</w:t>
      </w:r>
    </w:p>
    <w:p w14:paraId="63D64D60" w14:textId="77777777" w:rsidR="00BE6201" w:rsidRPr="00C92897" w:rsidRDefault="00BE6201" w:rsidP="002B6ACC">
      <w:pPr>
        <w:pStyle w:val="NormalWeb"/>
        <w:numPr>
          <w:ilvl w:val="0"/>
          <w:numId w:val="16"/>
        </w:numPr>
        <w:spacing w:line="288" w:lineRule="auto"/>
        <w:ind w:left="426" w:hanging="426"/>
        <w:jc w:val="both"/>
        <w:rPr>
          <w:sz w:val="22"/>
          <w:szCs w:val="22"/>
        </w:rPr>
      </w:pPr>
      <w:r>
        <w:rPr>
          <w:sz w:val="22"/>
        </w:rPr>
        <w:t xml:space="preserve">tähdentää, että </w:t>
      </w:r>
      <w:r>
        <w:rPr>
          <w:b/>
          <w:sz w:val="22"/>
        </w:rPr>
        <w:t>kulttuurialaa ja luovia toimialoja varten tarvitaan erityinen tekoälystrategia</w:t>
      </w:r>
      <w:r>
        <w:rPr>
          <w:sz w:val="22"/>
        </w:rPr>
        <w:t>, johon sisältyy luovan omistajuuden suojelu, lisensointimarkkinoiden kehittäminen ja tekoälysäädöksen mukainen ohjaus.</w:t>
      </w:r>
    </w:p>
    <w:p w14:paraId="2F634BBF" w14:textId="77777777" w:rsidR="00BE6201" w:rsidRPr="00C92897" w:rsidRDefault="00BE6201" w:rsidP="002B6ACC">
      <w:pPr>
        <w:pStyle w:val="NormalWeb"/>
        <w:numPr>
          <w:ilvl w:val="0"/>
          <w:numId w:val="16"/>
        </w:numPr>
        <w:spacing w:line="288" w:lineRule="auto"/>
        <w:ind w:left="426" w:hanging="426"/>
        <w:jc w:val="both"/>
        <w:rPr>
          <w:sz w:val="22"/>
          <w:szCs w:val="22"/>
        </w:rPr>
      </w:pPr>
      <w:r>
        <w:rPr>
          <w:sz w:val="22"/>
        </w:rPr>
        <w:t xml:space="preserve">kehottaa antamaan </w:t>
      </w:r>
      <w:r>
        <w:rPr>
          <w:b/>
          <w:sz w:val="22"/>
        </w:rPr>
        <w:t>seuraavassa monivuotisessa rahoituskehyksessä (2028–2034) vahvaa ja monialaista rahoitustukea</w:t>
      </w:r>
      <w:r>
        <w:rPr>
          <w:sz w:val="22"/>
        </w:rPr>
        <w:t xml:space="preserve"> muun muassa osoittamalla kaksi prosenttia EU:n talousarviosta kulttuuriin ja varmistamalla sen sisällyttäminen tärkeimpiin EU:n ohjelmiin.</w:t>
      </w:r>
    </w:p>
    <w:p w14:paraId="0F5D9922" w14:textId="77777777" w:rsidR="00BE6201" w:rsidRPr="00C92897" w:rsidRDefault="00BE6201" w:rsidP="002B6ACC">
      <w:pPr>
        <w:pStyle w:val="NormalWeb"/>
        <w:numPr>
          <w:ilvl w:val="0"/>
          <w:numId w:val="16"/>
        </w:numPr>
        <w:spacing w:line="288" w:lineRule="auto"/>
        <w:ind w:left="426" w:hanging="426"/>
        <w:jc w:val="both"/>
        <w:rPr>
          <w:sz w:val="22"/>
          <w:szCs w:val="22"/>
        </w:rPr>
      </w:pPr>
      <w:r>
        <w:rPr>
          <w:sz w:val="22"/>
        </w:rPr>
        <w:t xml:space="preserve">kehottaa </w:t>
      </w:r>
      <w:r>
        <w:rPr>
          <w:b/>
          <w:sz w:val="22"/>
        </w:rPr>
        <w:t>panemaan kulttuurikompassin vakaasti ja tavoiteperusteisesti täytäntöön selkeän toimintasuunnitelman</w:t>
      </w:r>
      <w:r>
        <w:rPr>
          <w:sz w:val="22"/>
        </w:rPr>
        <w:t xml:space="preserve">, riittävien hallinnollisten valmiuksien ja pitkän aikavälin toimintapolitiikan jatkuvuuden </w:t>
      </w:r>
      <w:r>
        <w:rPr>
          <w:b/>
          <w:sz w:val="22"/>
        </w:rPr>
        <w:t>avulla</w:t>
      </w:r>
      <w:r>
        <w:rPr>
          <w:sz w:val="22"/>
        </w:rPr>
        <w:t>.</w:t>
      </w:r>
    </w:p>
    <w:p w14:paraId="14C8706A" w14:textId="77777777" w:rsidR="00BE6201" w:rsidRPr="00C92897" w:rsidRDefault="00BE6201" w:rsidP="002B6ACC">
      <w:pPr>
        <w:pStyle w:val="NormalWeb"/>
        <w:numPr>
          <w:ilvl w:val="0"/>
          <w:numId w:val="16"/>
        </w:numPr>
        <w:spacing w:line="288" w:lineRule="auto"/>
        <w:ind w:left="426" w:hanging="426"/>
        <w:jc w:val="both"/>
        <w:rPr>
          <w:sz w:val="22"/>
          <w:szCs w:val="22"/>
        </w:rPr>
      </w:pPr>
      <w:r>
        <w:rPr>
          <w:sz w:val="22"/>
        </w:rPr>
        <w:t xml:space="preserve">suosittelee, että </w:t>
      </w:r>
      <w:r>
        <w:rPr>
          <w:b/>
          <w:sz w:val="22"/>
        </w:rPr>
        <w:t>kulttuuri- ja muut sidosryhmät</w:t>
      </w:r>
      <w:r>
        <w:rPr>
          <w:sz w:val="22"/>
        </w:rPr>
        <w:t xml:space="preserve">, mukaan lukien paikallisviranomaiset, pk-yritykset sekä kulttuuriala ja luovat alat, </w:t>
      </w:r>
      <w:r>
        <w:rPr>
          <w:b/>
          <w:sz w:val="22"/>
        </w:rPr>
        <w:t>otetaan varhaisessa vaiheessa järjestelmällisesti mukaan</w:t>
      </w:r>
      <w:r>
        <w:rPr>
          <w:sz w:val="22"/>
        </w:rPr>
        <w:t xml:space="preserve"> omistajuuden ja vaikutuksen vahvistamiseksi.</w:t>
      </w:r>
    </w:p>
    <w:p w14:paraId="688D5BC9" w14:textId="77777777" w:rsidR="00BE6201" w:rsidRPr="00C92897" w:rsidRDefault="00BE6201" w:rsidP="002B6ACC">
      <w:pPr>
        <w:pStyle w:val="NormalWeb"/>
        <w:numPr>
          <w:ilvl w:val="0"/>
          <w:numId w:val="16"/>
        </w:numPr>
        <w:spacing w:line="288" w:lineRule="auto"/>
        <w:ind w:left="426" w:hanging="426"/>
        <w:jc w:val="both"/>
        <w:rPr>
          <w:sz w:val="22"/>
          <w:szCs w:val="22"/>
        </w:rPr>
      </w:pPr>
      <w:r>
        <w:rPr>
          <w:sz w:val="22"/>
        </w:rPr>
        <w:t xml:space="preserve">kehottaa </w:t>
      </w:r>
      <w:r>
        <w:rPr>
          <w:b/>
          <w:sz w:val="22"/>
        </w:rPr>
        <w:t>integroimaan yhteisötalouden toimijat ja yhteisöperustaiset kulttuurialoitteet tiiviimmin</w:t>
      </w:r>
      <w:r>
        <w:rPr>
          <w:sz w:val="22"/>
        </w:rPr>
        <w:t xml:space="preserve"> julkiseen politiikkaan, mukaan lukien mukautetut vero- ja rahoitusvälineet.</w:t>
      </w:r>
    </w:p>
    <w:p w14:paraId="12072097" w14:textId="77777777" w:rsidR="00BE6201" w:rsidRPr="00C92897" w:rsidRDefault="00BE6201" w:rsidP="002B6ACC">
      <w:pPr>
        <w:pStyle w:val="NormalWeb"/>
        <w:numPr>
          <w:ilvl w:val="0"/>
          <w:numId w:val="16"/>
        </w:numPr>
        <w:spacing w:line="288" w:lineRule="auto"/>
        <w:ind w:left="426" w:hanging="426"/>
        <w:jc w:val="both"/>
        <w:rPr>
          <w:sz w:val="22"/>
          <w:szCs w:val="22"/>
        </w:rPr>
      </w:pPr>
      <w:r>
        <w:rPr>
          <w:b/>
          <w:sz w:val="22"/>
        </w:rPr>
        <w:t>suhtautuu myönteisesti ehdotettuun EU:n jäsenneltyyn vuoropuheluun sidosryhmien kanssa</w:t>
      </w:r>
      <w:r>
        <w:rPr>
          <w:sz w:val="22"/>
        </w:rPr>
        <w:t xml:space="preserve"> ja tarjoutuu toimimaan keskeisenä kumppanina vuorovaikutuksen helpottamisessa institutionaalisten ja alakohtaisten toimijoiden kanssa.</w:t>
      </w:r>
    </w:p>
    <w:p w14:paraId="3679E9EB" w14:textId="77777777" w:rsidR="00BE6201" w:rsidRPr="00C92897" w:rsidRDefault="00BE6201" w:rsidP="002B6ACC">
      <w:pPr>
        <w:pStyle w:val="NormalWeb"/>
        <w:numPr>
          <w:ilvl w:val="0"/>
          <w:numId w:val="16"/>
        </w:numPr>
        <w:spacing w:line="288" w:lineRule="auto"/>
        <w:ind w:left="426" w:hanging="426"/>
        <w:jc w:val="both"/>
        <w:rPr>
          <w:sz w:val="22"/>
          <w:szCs w:val="22"/>
        </w:rPr>
      </w:pPr>
      <w:r>
        <w:rPr>
          <w:sz w:val="22"/>
        </w:rPr>
        <w:t xml:space="preserve">korostaa, että kulttuuriala ja luovat alat ovat </w:t>
      </w:r>
      <w:r>
        <w:rPr>
          <w:b/>
          <w:sz w:val="22"/>
        </w:rPr>
        <w:t>strateginen taloudellinen ekosysteemi</w:t>
      </w:r>
      <w:r>
        <w:rPr>
          <w:sz w:val="22"/>
        </w:rPr>
        <w:t>, ja kehottaa integroimaan keskeiset alat, kuten peli-, elokuva-, musiikki- ja muotialat, paremmin kompassiin.</w:t>
      </w:r>
    </w:p>
    <w:p w14:paraId="7E0FA486" w14:textId="77777777" w:rsidR="00BE6201" w:rsidRPr="00C92897" w:rsidRDefault="00BE6201" w:rsidP="002B6ACC">
      <w:pPr>
        <w:pStyle w:val="NormalWeb"/>
        <w:numPr>
          <w:ilvl w:val="0"/>
          <w:numId w:val="16"/>
        </w:numPr>
        <w:spacing w:line="288" w:lineRule="auto"/>
        <w:ind w:left="426" w:hanging="426"/>
        <w:jc w:val="both"/>
        <w:rPr>
          <w:sz w:val="22"/>
          <w:szCs w:val="22"/>
        </w:rPr>
      </w:pPr>
      <w:r>
        <w:rPr>
          <w:sz w:val="22"/>
        </w:rPr>
        <w:t xml:space="preserve">tukee </w:t>
      </w:r>
      <w:r>
        <w:rPr>
          <w:b/>
          <w:sz w:val="22"/>
        </w:rPr>
        <w:t>kulttuurikasvatusta ja taitojen kehittämistä</w:t>
      </w:r>
      <w:r>
        <w:rPr>
          <w:sz w:val="22"/>
        </w:rPr>
        <w:t xml:space="preserve"> ja vaatii osallistavaa saatavuutta, kohdennettua rahoitusta ja vahvempia yhteyksiä EU:n ohjelmiin, kuten Erasmus+ -ohjelmaan ja koheesiopolitiikkaan.</w:t>
      </w:r>
    </w:p>
    <w:p w14:paraId="3927A5D0" w14:textId="77777777" w:rsidR="00BE6201" w:rsidRPr="00C92897" w:rsidRDefault="00BE6201" w:rsidP="002B6ACC">
      <w:pPr>
        <w:pStyle w:val="NormalWeb"/>
        <w:numPr>
          <w:ilvl w:val="0"/>
          <w:numId w:val="16"/>
        </w:numPr>
        <w:spacing w:line="288" w:lineRule="auto"/>
        <w:ind w:left="426" w:hanging="426"/>
        <w:jc w:val="both"/>
        <w:rPr>
          <w:sz w:val="22"/>
          <w:szCs w:val="22"/>
        </w:rPr>
      </w:pPr>
      <w:r>
        <w:rPr>
          <w:b/>
          <w:sz w:val="22"/>
        </w:rPr>
        <w:t>kannattaa EU:n taiteilijoiden peruskirjan laatimista</w:t>
      </w:r>
      <w:r>
        <w:rPr>
          <w:sz w:val="22"/>
        </w:rPr>
        <w:t>, jotta voidaan varmistaa oikeudenmukaiset työolot, vahvempi sosiaalinen suojelu ja EU:n rahoituksen kytkeminen laadukkaisiin työnormeihin.</w:t>
      </w:r>
    </w:p>
    <w:p w14:paraId="4110DD3A" w14:textId="77777777" w:rsidR="00BE6201" w:rsidRPr="00C92897" w:rsidRDefault="00BE6201" w:rsidP="002B6ACC">
      <w:pPr>
        <w:pStyle w:val="NormalWeb"/>
        <w:numPr>
          <w:ilvl w:val="0"/>
          <w:numId w:val="16"/>
        </w:numPr>
        <w:spacing w:line="288" w:lineRule="auto"/>
        <w:ind w:left="426" w:hanging="426"/>
        <w:jc w:val="both"/>
      </w:pPr>
      <w:r>
        <w:rPr>
          <w:sz w:val="22"/>
        </w:rPr>
        <w:lastRenderedPageBreak/>
        <w:t xml:space="preserve">korostaa, että </w:t>
      </w:r>
      <w:r>
        <w:rPr>
          <w:b/>
          <w:sz w:val="22"/>
        </w:rPr>
        <w:t>on tärkeää jatkaa julkisia investointeja</w:t>
      </w:r>
      <w:r>
        <w:rPr>
          <w:sz w:val="22"/>
        </w:rPr>
        <w:t xml:space="preserve"> kulttuurialaan ja luoviin toimialoihin ja samalla tukea pk-yritysten rahoituksen saannin parantamista tehostamalla EIP:n ja EIR:n välineiden käyttöönottoa ja kehittämällä täydentäviä yksityisen tuen kehyksiä.</w:t>
      </w:r>
    </w:p>
    <w:p w14:paraId="3F03CA8B" w14:textId="77777777" w:rsidR="00BE6201" w:rsidRPr="00C92897" w:rsidRDefault="00BE6201" w:rsidP="002B6ACC">
      <w:pPr>
        <w:pStyle w:val="NormalWeb"/>
        <w:numPr>
          <w:ilvl w:val="0"/>
          <w:numId w:val="16"/>
        </w:numPr>
        <w:spacing w:line="288" w:lineRule="auto"/>
        <w:ind w:left="426" w:hanging="426"/>
        <w:jc w:val="both"/>
        <w:rPr>
          <w:sz w:val="22"/>
          <w:szCs w:val="22"/>
        </w:rPr>
      </w:pPr>
      <w:r>
        <w:rPr>
          <w:sz w:val="22"/>
        </w:rPr>
        <w:t xml:space="preserve">kannattaa sitä, että </w:t>
      </w:r>
      <w:r>
        <w:rPr>
          <w:b/>
          <w:sz w:val="22"/>
        </w:rPr>
        <w:t xml:space="preserve">EU:n toimielimet </w:t>
      </w:r>
      <w:r>
        <w:rPr>
          <w:sz w:val="22"/>
        </w:rPr>
        <w:t>(ETSK ja alueiden komitea mukaan luettuina)</w:t>
      </w:r>
      <w:r>
        <w:rPr>
          <w:b/>
          <w:sz w:val="22"/>
        </w:rPr>
        <w:t xml:space="preserve"> ja sidosryhmät hyväksyvät yhteisen julistuksen</w:t>
      </w:r>
      <w:r>
        <w:rPr>
          <w:sz w:val="22"/>
        </w:rPr>
        <w:t>, jotta varmistetaan laaja sitoutuminen ja legitimiteetti.</w:t>
      </w:r>
    </w:p>
    <w:p w14:paraId="0F7E137C" w14:textId="77777777" w:rsidR="00BE6201" w:rsidRPr="001C7FB5" w:rsidRDefault="00BE6201" w:rsidP="002B6ACC">
      <w:pPr>
        <w:pStyle w:val="NormalWeb"/>
        <w:numPr>
          <w:ilvl w:val="0"/>
          <w:numId w:val="16"/>
        </w:numPr>
        <w:spacing w:before="0" w:beforeAutospacing="0" w:after="0" w:afterAutospacing="0" w:line="288" w:lineRule="auto"/>
        <w:ind w:left="426" w:hanging="426"/>
        <w:jc w:val="both"/>
      </w:pPr>
      <w:r>
        <w:rPr>
          <w:sz w:val="22"/>
        </w:rPr>
        <w:t xml:space="preserve">korostaa </w:t>
      </w:r>
      <w:r>
        <w:rPr>
          <w:b/>
          <w:sz w:val="22"/>
        </w:rPr>
        <w:t>kulttuurin kansainvälisen ulottuvuuden merkitystä</w:t>
      </w:r>
      <w:r>
        <w:rPr>
          <w:sz w:val="22"/>
        </w:rPr>
        <w:t xml:space="preserve"> ja kehottaa palauttamaan sen kokonaisuudessaan yhteiseen julistukseen sekä laatimaan kattavan toimintasuunnitelman, joka perustuu kansainvälisiä kulttuurisuhteita koskevaan EU:n strategiaan.</w:t>
      </w:r>
    </w:p>
    <w:p w14:paraId="72BE3F7B" w14:textId="77777777" w:rsidR="00BE6201" w:rsidRPr="00C92897" w:rsidRDefault="00BE6201" w:rsidP="00BE6201">
      <w:pPr>
        <w:pStyle w:val="NormalWeb"/>
        <w:spacing w:before="0" w:beforeAutospacing="0" w:after="0" w:afterAutospacing="0" w:line="288" w:lineRule="auto"/>
        <w:jc w:val="both"/>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BE6201" w:rsidRPr="00A6689B" w14:paraId="5AF87447" w14:textId="77777777" w:rsidTr="00120118">
        <w:tc>
          <w:tcPr>
            <w:tcW w:w="1556" w:type="pct"/>
          </w:tcPr>
          <w:p w14:paraId="07963DCF" w14:textId="77777777" w:rsidR="00BE6201" w:rsidRPr="00097FC2" w:rsidRDefault="00BE6201" w:rsidP="00120118">
            <w:pPr>
              <w:rPr>
                <w:b/>
                <w:bCs/>
                <w:i/>
              </w:rPr>
            </w:pPr>
            <w:r w:rsidRPr="00097FC2">
              <w:rPr>
                <w:b/>
                <w:bCs/>
                <w:i/>
              </w:rPr>
              <w:t>Yhteydenotot</w:t>
            </w:r>
          </w:p>
        </w:tc>
        <w:tc>
          <w:tcPr>
            <w:tcW w:w="3444" w:type="pct"/>
          </w:tcPr>
          <w:p w14:paraId="29CDE5DF" w14:textId="159335F6" w:rsidR="00BE6201" w:rsidRPr="00A6689B" w:rsidRDefault="00BE6201" w:rsidP="00120118">
            <w:pPr>
              <w:rPr>
                <w:i/>
              </w:rPr>
            </w:pPr>
            <w:r>
              <w:rPr>
                <w:i/>
              </w:rPr>
              <w:t xml:space="preserve">Jean Marie </w:t>
            </w:r>
            <w:proofErr w:type="spellStart"/>
            <w:r w:rsidR="00DB6C97">
              <w:rPr>
                <w:i/>
              </w:rPr>
              <w:t>Rogue</w:t>
            </w:r>
            <w:proofErr w:type="spellEnd"/>
          </w:p>
        </w:tc>
      </w:tr>
      <w:tr w:rsidR="00BE6201" w:rsidRPr="00A6689B" w14:paraId="4E854499" w14:textId="77777777" w:rsidTr="00120118">
        <w:tc>
          <w:tcPr>
            <w:tcW w:w="1556" w:type="pct"/>
          </w:tcPr>
          <w:p w14:paraId="0891A096" w14:textId="77777777" w:rsidR="00BE6201" w:rsidRPr="00A6689B" w:rsidRDefault="00BE6201" w:rsidP="00120118">
            <w:pPr>
              <w:rPr>
                <w:i/>
              </w:rPr>
            </w:pPr>
            <w:r>
              <w:rPr>
                <w:i/>
              </w:rPr>
              <w:t>Puh.</w:t>
            </w:r>
          </w:p>
        </w:tc>
        <w:tc>
          <w:tcPr>
            <w:tcW w:w="3444" w:type="pct"/>
          </w:tcPr>
          <w:p w14:paraId="55CA5755" w14:textId="77777777" w:rsidR="00BE6201" w:rsidRPr="00A6689B" w:rsidRDefault="00BE6201" w:rsidP="00120118">
            <w:pPr>
              <w:rPr>
                <w:i/>
              </w:rPr>
            </w:pPr>
            <w:r>
              <w:rPr>
                <w:i/>
              </w:rPr>
              <w:t>+32 25468909</w:t>
            </w:r>
          </w:p>
        </w:tc>
      </w:tr>
      <w:tr w:rsidR="00BE6201" w:rsidRPr="00A6689B" w14:paraId="4765E74A" w14:textId="77777777" w:rsidTr="00120118">
        <w:tc>
          <w:tcPr>
            <w:tcW w:w="1556" w:type="pct"/>
          </w:tcPr>
          <w:p w14:paraId="69A590EC" w14:textId="77777777" w:rsidR="00BE6201" w:rsidRPr="00A6689B" w:rsidRDefault="00BE6201" w:rsidP="00120118">
            <w:pPr>
              <w:rPr>
                <w:i/>
              </w:rPr>
            </w:pPr>
            <w:r>
              <w:rPr>
                <w:i/>
              </w:rPr>
              <w:t>Sähköposti</w:t>
            </w:r>
          </w:p>
        </w:tc>
        <w:tc>
          <w:tcPr>
            <w:tcW w:w="3444" w:type="pct"/>
          </w:tcPr>
          <w:p w14:paraId="0FB5AACB" w14:textId="77777777" w:rsidR="00BE6201" w:rsidRPr="00A6689B" w:rsidRDefault="003665FE" w:rsidP="00120118">
            <w:pPr>
              <w:rPr>
                <w:i/>
              </w:rPr>
            </w:pPr>
            <w:hyperlink r:id="rId29" w:history="1">
              <w:r w:rsidR="00BE6201">
                <w:rPr>
                  <w:rStyle w:val="Hyperlink"/>
                  <w:i/>
                </w:rPr>
                <w:t>JeanMarie.Rogue@eesc.europa.eu</w:t>
              </w:r>
            </w:hyperlink>
          </w:p>
        </w:tc>
      </w:tr>
    </w:tbl>
    <w:p w14:paraId="2B66EEE8" w14:textId="77777777" w:rsidR="00BE6201" w:rsidRDefault="00BE6201" w:rsidP="00BE6201"/>
    <w:p w14:paraId="4982DDC4" w14:textId="77777777" w:rsidR="004D7AC0" w:rsidRPr="00803CA6" w:rsidRDefault="004D7AC0" w:rsidP="004D7AC0">
      <w:pPr>
        <w:pStyle w:val="ListParagraph"/>
        <w:ind w:left="0"/>
      </w:pPr>
    </w:p>
    <w:p w14:paraId="4982DDC5" w14:textId="77777777" w:rsidR="004D7AC0" w:rsidRDefault="004D7AC0" w:rsidP="004D7AC0">
      <w:pPr>
        <w:spacing w:after="160" w:line="259" w:lineRule="auto"/>
        <w:jc w:val="left"/>
      </w:pPr>
      <w:r>
        <w:br w:type="page"/>
      </w:r>
    </w:p>
    <w:p w14:paraId="4982DDF3" w14:textId="77777777" w:rsidR="004D7AC0" w:rsidRDefault="004D7AC0" w:rsidP="004D7AC0">
      <w:pPr>
        <w:pStyle w:val="Heading1"/>
        <w:rPr>
          <w:b/>
        </w:rPr>
      </w:pPr>
      <w:bookmarkStart w:id="27" w:name="_Toc75527083"/>
      <w:bookmarkStart w:id="28" w:name="_Toc229383157"/>
      <w:r>
        <w:rPr>
          <w:b/>
        </w:rPr>
        <w:lastRenderedPageBreak/>
        <w:t>SISÄMARKKINAT, TUOTANTO JA KULUTUS</w:t>
      </w:r>
      <w:bookmarkEnd w:id="27"/>
      <w:bookmarkEnd w:id="28"/>
    </w:p>
    <w:p w14:paraId="4982DDF4" w14:textId="23422E78" w:rsidR="004D7AC0" w:rsidRDefault="004D7AC0" w:rsidP="004D7AC0"/>
    <w:p w14:paraId="09418EAB" w14:textId="53221D93" w:rsidR="00BE6201" w:rsidRPr="00097FC2" w:rsidRDefault="003665FE" w:rsidP="002B6ACC">
      <w:pPr>
        <w:widowControl w:val="0"/>
        <w:numPr>
          <w:ilvl w:val="0"/>
          <w:numId w:val="2"/>
        </w:numPr>
        <w:tabs>
          <w:tab w:val="left" w:pos="2127"/>
        </w:tabs>
        <w:overflowPunct w:val="0"/>
        <w:autoSpaceDE w:val="0"/>
        <w:autoSpaceDN w:val="0"/>
        <w:adjustRightInd w:val="0"/>
        <w:ind w:hanging="567"/>
        <w:textAlignment w:val="baseline"/>
        <w:rPr>
          <w:sz w:val="28"/>
          <w:szCs w:val="28"/>
        </w:rPr>
      </w:pPr>
      <w:hyperlink r:id="rId30" w:history="1">
        <w:r w:rsidR="00BE6201">
          <w:rPr>
            <w:rStyle w:val="Hyperlink"/>
            <w:b/>
            <w:i/>
            <w:sz w:val="28"/>
          </w:rPr>
          <w:t>Liikaturismi, lyhytaikaisvuokraus ja paikallisväestön syrjäytyminen</w:t>
        </w:r>
        <w:r w:rsidR="00BE6201">
          <w:rPr>
            <w:rStyle w:val="Hyperlink"/>
          </w:rPr>
          <w:t xml:space="preserve"> </w:t>
        </w:r>
        <w:r w:rsidR="00BE6201">
          <w:rPr>
            <w:rStyle w:val="Hyperlink"/>
            <w:b/>
            <w:i/>
            <w:sz w:val="28"/>
          </w:rPr>
          <w:t>– miten voidaan löytää oikea tasapaino</w:t>
        </w:r>
      </w:hyperlink>
    </w:p>
    <w:p w14:paraId="330AFC7B" w14:textId="77777777" w:rsidR="00BE6201" w:rsidRPr="00A6689B" w:rsidRDefault="00BE6201" w:rsidP="00097FC2">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BE6201" w:rsidRPr="00A6689B" w14:paraId="0E2D9499" w14:textId="77777777" w:rsidTr="00120118">
        <w:tc>
          <w:tcPr>
            <w:tcW w:w="1077" w:type="pct"/>
          </w:tcPr>
          <w:p w14:paraId="4784C3AA" w14:textId="77777777" w:rsidR="00BE6201" w:rsidRPr="00A6689B" w:rsidRDefault="00BE6201" w:rsidP="00097FC2">
            <w:pPr>
              <w:tabs>
                <w:tab w:val="center" w:pos="284"/>
              </w:tabs>
              <w:ind w:left="266" w:hanging="266"/>
              <w:rPr>
                <w:b/>
              </w:rPr>
            </w:pPr>
            <w:r>
              <w:rPr>
                <w:b/>
              </w:rPr>
              <w:t>Esittelijä</w:t>
            </w:r>
          </w:p>
        </w:tc>
        <w:tc>
          <w:tcPr>
            <w:tcW w:w="3923" w:type="pct"/>
          </w:tcPr>
          <w:p w14:paraId="4B532773" w14:textId="77777777" w:rsidR="00BE6201" w:rsidRDefault="00BE6201" w:rsidP="00097FC2">
            <w:pPr>
              <w:tabs>
                <w:tab w:val="center" w:pos="284"/>
              </w:tabs>
              <w:ind w:left="266" w:right="-3091" w:hanging="266"/>
            </w:pPr>
            <w:proofErr w:type="spellStart"/>
            <w:r>
              <w:t>Marinel</w:t>
            </w:r>
            <w:proofErr w:type="spellEnd"/>
            <w:r>
              <w:t xml:space="preserve"> </w:t>
            </w:r>
            <w:proofErr w:type="spellStart"/>
            <w:r>
              <w:t>Dănuț</w:t>
            </w:r>
            <w:proofErr w:type="spellEnd"/>
            <w:r>
              <w:t xml:space="preserve"> MUREȘAN (työnantajat – RO)</w:t>
            </w:r>
          </w:p>
          <w:p w14:paraId="501D46AF" w14:textId="77777777" w:rsidR="00BE6201" w:rsidRPr="00453AC2" w:rsidRDefault="00BE6201" w:rsidP="00097FC2">
            <w:pPr>
              <w:tabs>
                <w:tab w:val="center" w:pos="284"/>
              </w:tabs>
              <w:ind w:left="266" w:right="-3091" w:hanging="266"/>
              <w:rPr>
                <w:bCs/>
              </w:rPr>
            </w:pPr>
          </w:p>
        </w:tc>
      </w:tr>
      <w:tr w:rsidR="00BE6201" w:rsidRPr="00A6689B" w14:paraId="75A3FAB2" w14:textId="77777777" w:rsidTr="00120118">
        <w:tc>
          <w:tcPr>
            <w:tcW w:w="1077" w:type="pct"/>
          </w:tcPr>
          <w:p w14:paraId="05AA7013" w14:textId="77777777" w:rsidR="00BE6201" w:rsidRPr="00A6689B" w:rsidRDefault="00BE6201" w:rsidP="00097FC2">
            <w:pPr>
              <w:tabs>
                <w:tab w:val="center" w:pos="284"/>
              </w:tabs>
              <w:ind w:left="266" w:hanging="266"/>
              <w:rPr>
                <w:b/>
              </w:rPr>
            </w:pPr>
            <w:r>
              <w:rPr>
                <w:b/>
              </w:rPr>
              <w:t>Viiteasiakirjat</w:t>
            </w:r>
          </w:p>
        </w:tc>
        <w:tc>
          <w:tcPr>
            <w:tcW w:w="3923" w:type="pct"/>
          </w:tcPr>
          <w:p w14:paraId="769A4F1B" w14:textId="6FAE6A54" w:rsidR="00BE6201" w:rsidRDefault="00DB6C97" w:rsidP="00097FC2">
            <w:pPr>
              <w:tabs>
                <w:tab w:val="center" w:pos="284"/>
              </w:tabs>
              <w:ind w:left="266" w:right="-3091" w:hanging="266"/>
            </w:pPr>
            <w:r w:rsidRPr="00DB6C97">
              <w:rPr>
                <w:bCs/>
              </w:rPr>
              <w:t>puheenjohtajavaltio Kyproksen pyytämä valmisteleva lausunto</w:t>
            </w:r>
          </w:p>
          <w:p w14:paraId="18D9C695" w14:textId="77777777" w:rsidR="00BE6201" w:rsidRPr="00A6689B" w:rsidRDefault="00BE6201" w:rsidP="00097FC2">
            <w:pPr>
              <w:tabs>
                <w:tab w:val="center" w:pos="284"/>
              </w:tabs>
              <w:ind w:left="266" w:right="-3091" w:hanging="266"/>
            </w:pPr>
            <w:r>
              <w:t>EESC-2025-03939-00-00-AC-TRA</w:t>
            </w:r>
          </w:p>
        </w:tc>
      </w:tr>
    </w:tbl>
    <w:p w14:paraId="2ED58430" w14:textId="77777777" w:rsidR="00BE6201" w:rsidRDefault="00BE6201" w:rsidP="00097FC2">
      <w:pPr>
        <w:tabs>
          <w:tab w:val="center" w:pos="284"/>
        </w:tabs>
        <w:ind w:left="266" w:hanging="266"/>
        <w:rPr>
          <w:b/>
        </w:rPr>
      </w:pPr>
    </w:p>
    <w:p w14:paraId="503CF34A" w14:textId="77777777" w:rsidR="00BE6201" w:rsidRPr="00A6689B" w:rsidRDefault="00BE6201" w:rsidP="00097FC2">
      <w:pPr>
        <w:keepNext/>
        <w:keepLines/>
        <w:tabs>
          <w:tab w:val="center" w:pos="284"/>
        </w:tabs>
        <w:ind w:left="266" w:hanging="266"/>
        <w:rPr>
          <w:b/>
        </w:rPr>
      </w:pPr>
      <w:r>
        <w:rPr>
          <w:b/>
        </w:rPr>
        <w:t>Keskeiset kohdat</w:t>
      </w:r>
    </w:p>
    <w:p w14:paraId="4D4E2D28" w14:textId="77777777" w:rsidR="00BE6201" w:rsidRPr="00A6689B" w:rsidRDefault="00BE6201" w:rsidP="00097FC2">
      <w:pPr>
        <w:keepNext/>
        <w:keepLines/>
        <w:tabs>
          <w:tab w:val="center" w:pos="284"/>
        </w:tabs>
        <w:ind w:left="266" w:hanging="266"/>
        <w:rPr>
          <w:b/>
        </w:rPr>
      </w:pPr>
    </w:p>
    <w:p w14:paraId="4B27381D" w14:textId="77777777" w:rsidR="00BE6201" w:rsidRDefault="00BE6201" w:rsidP="00097FC2">
      <w:pPr>
        <w:rPr>
          <w:bCs/>
          <w:iCs/>
        </w:rPr>
      </w:pPr>
      <w:r>
        <w:t>ETSK</w:t>
      </w:r>
    </w:p>
    <w:p w14:paraId="3CAFADA0" w14:textId="77777777" w:rsidR="00BE6201" w:rsidRDefault="00BE6201" w:rsidP="002B6ACC">
      <w:pPr>
        <w:numPr>
          <w:ilvl w:val="0"/>
          <w:numId w:val="17"/>
        </w:numPr>
        <w:ind w:left="426" w:hanging="426"/>
      </w:pPr>
      <w:r>
        <w:t xml:space="preserve">korostaa, että matkailu on Euroopan unionille strateginen ekosysteemi, joka edistää kasvua, työllisyyttä ja sosiaalista kehitystä, ja kehottaa siirtymään kestävämpään, tasapainoisempaan ja kilpailukykyisempään malliin, joka turvaa paikallisyhteisöjen elämänlaadun. </w:t>
      </w:r>
    </w:p>
    <w:p w14:paraId="3AA49CB5" w14:textId="77777777" w:rsidR="00BE6201" w:rsidRDefault="00BE6201" w:rsidP="002B6ACC">
      <w:pPr>
        <w:numPr>
          <w:ilvl w:val="0"/>
          <w:numId w:val="17"/>
        </w:numPr>
        <w:ind w:left="426" w:hanging="426"/>
      </w:pPr>
      <w:r>
        <w:t xml:space="preserve">varoittaa liikaturismin ja lyhytaikaisvuokrauksen tietyissä matkailukohteissa aiheuttamista lisääntyvistä paineista ja </w:t>
      </w:r>
      <w:r>
        <w:rPr>
          <w:b/>
        </w:rPr>
        <w:t>peräänkuuluttaa koordinoituja EU-tason toimia</w:t>
      </w:r>
      <w:r>
        <w:t xml:space="preserve">, jotta jäsenvaltioita voidaan tukea näyttöön perustuvien, oikeasuhteisten ja paikkalähtöisten ratkaisujen kehittämisessä. </w:t>
      </w:r>
    </w:p>
    <w:p w14:paraId="581C8D77" w14:textId="77777777" w:rsidR="00BE6201" w:rsidRDefault="00BE6201" w:rsidP="002B6ACC">
      <w:pPr>
        <w:numPr>
          <w:ilvl w:val="0"/>
          <w:numId w:val="17"/>
        </w:numPr>
        <w:ind w:left="426" w:hanging="426"/>
      </w:pPr>
      <w:r>
        <w:t xml:space="preserve">ehdottaa matkailijavirtojen parempaa hallintaa varten EU:n tukemia välineitä ja strategioita, kuten digitaalisia seurantajärjestelmiä, matkailukohteiden ja -sesonkien monipuolistamista sekä vahvempia matkailun ja paikallistalouksien, kulttuurin ja perinteisen käsiteollisuuden välisiä yhteyksiä. </w:t>
      </w:r>
    </w:p>
    <w:p w14:paraId="5A6BF388" w14:textId="77777777" w:rsidR="00BE6201" w:rsidRDefault="00BE6201" w:rsidP="002B6ACC">
      <w:pPr>
        <w:numPr>
          <w:ilvl w:val="0"/>
          <w:numId w:val="17"/>
        </w:numPr>
        <w:ind w:left="426" w:hanging="426"/>
      </w:pPr>
      <w:r>
        <w:t xml:space="preserve">kannattaa julkisia ja yksityisiä investointeja yhdistäviä innovatiivisia hallinto- ja rahoitusmalleja, joilla tuetaan kestävää matkailua, kohtuuhintaista asumista ja paikallisia liiketoimintaekosysteemejä, joissa pienillä ja keskisuurilla yrityksillä ja paikallisyhteisöillä on keskeinen rooli. </w:t>
      </w:r>
    </w:p>
    <w:p w14:paraId="7A6A986C" w14:textId="77777777" w:rsidR="00BE6201" w:rsidRPr="00DA7229" w:rsidRDefault="00BE6201" w:rsidP="002B6ACC">
      <w:pPr>
        <w:widowControl w:val="0"/>
        <w:numPr>
          <w:ilvl w:val="0"/>
          <w:numId w:val="17"/>
        </w:numPr>
        <w:ind w:left="426" w:hanging="426"/>
        <w:rPr>
          <w:bCs/>
          <w:iCs/>
        </w:rPr>
      </w:pPr>
      <w:r>
        <w:t xml:space="preserve">suosittaa vahvistamaan osaamista, koulutusta ja nuorten osallistumista ja kehottaa perustamaan </w:t>
      </w:r>
      <w:r>
        <w:rPr>
          <w:b/>
        </w:rPr>
        <w:t>perinteisen käsiteollisuuden ja perinneammattien eurooppalaisen keskuksen</w:t>
      </w:r>
      <w:r>
        <w:t xml:space="preserve"> tukemaan EU:n paikallistalouksia ja kulttuurista kestävyyttä.</w:t>
      </w:r>
    </w:p>
    <w:p w14:paraId="66665647" w14:textId="77777777" w:rsidR="00BE6201" w:rsidRPr="000624A9" w:rsidRDefault="00BE6201" w:rsidP="00BE6201">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BE6201" w:rsidRPr="00A6689B" w14:paraId="4195D649" w14:textId="77777777" w:rsidTr="00120118">
        <w:tc>
          <w:tcPr>
            <w:tcW w:w="1077" w:type="pct"/>
          </w:tcPr>
          <w:p w14:paraId="7F08C31F" w14:textId="77777777" w:rsidR="00BE6201" w:rsidRPr="00097FC2" w:rsidRDefault="00BE6201" w:rsidP="00120118">
            <w:pPr>
              <w:rPr>
                <w:b/>
                <w:i/>
              </w:rPr>
            </w:pPr>
            <w:r w:rsidRPr="00097FC2">
              <w:rPr>
                <w:b/>
                <w:i/>
              </w:rPr>
              <w:t>Yhteydenotot</w:t>
            </w:r>
          </w:p>
        </w:tc>
        <w:tc>
          <w:tcPr>
            <w:tcW w:w="3923" w:type="pct"/>
          </w:tcPr>
          <w:p w14:paraId="0E327A98" w14:textId="77777777" w:rsidR="00BE6201" w:rsidRPr="00A6689B" w:rsidRDefault="00BE6201" w:rsidP="00120118">
            <w:pPr>
              <w:rPr>
                <w:i/>
              </w:rPr>
            </w:pPr>
            <w:r>
              <w:rPr>
                <w:i/>
              </w:rPr>
              <w:t xml:space="preserve">Silvia </w:t>
            </w:r>
            <w:proofErr w:type="spellStart"/>
            <w:r>
              <w:rPr>
                <w:i/>
              </w:rPr>
              <w:t>Staffa</w:t>
            </w:r>
            <w:proofErr w:type="spellEnd"/>
          </w:p>
        </w:tc>
      </w:tr>
      <w:tr w:rsidR="00BE6201" w:rsidRPr="00A6689B" w14:paraId="5AE36508" w14:textId="77777777" w:rsidTr="00120118">
        <w:tc>
          <w:tcPr>
            <w:tcW w:w="1077" w:type="pct"/>
          </w:tcPr>
          <w:p w14:paraId="2C4A89C9" w14:textId="77777777" w:rsidR="00BE6201" w:rsidRPr="00A6689B" w:rsidRDefault="00BE6201" w:rsidP="00120118">
            <w:pPr>
              <w:rPr>
                <w:i/>
              </w:rPr>
            </w:pPr>
            <w:r>
              <w:rPr>
                <w:i/>
              </w:rPr>
              <w:t>P.</w:t>
            </w:r>
          </w:p>
        </w:tc>
        <w:tc>
          <w:tcPr>
            <w:tcW w:w="3923" w:type="pct"/>
          </w:tcPr>
          <w:p w14:paraId="4294A0A3" w14:textId="77777777" w:rsidR="00BE6201" w:rsidRPr="00A6689B" w:rsidRDefault="00BE6201" w:rsidP="00120118">
            <w:pPr>
              <w:rPr>
                <w:i/>
              </w:rPr>
            </w:pPr>
            <w:r>
              <w:rPr>
                <w:i/>
              </w:rPr>
              <w:t>+32 25468378</w:t>
            </w:r>
          </w:p>
        </w:tc>
      </w:tr>
      <w:tr w:rsidR="00BE6201" w:rsidRPr="00A6689B" w14:paraId="049EB967" w14:textId="77777777" w:rsidTr="00120118">
        <w:tc>
          <w:tcPr>
            <w:tcW w:w="1077" w:type="pct"/>
          </w:tcPr>
          <w:p w14:paraId="60A7B93F" w14:textId="77777777" w:rsidR="00BE6201" w:rsidRPr="00A6689B" w:rsidRDefault="00BE6201" w:rsidP="00120118">
            <w:pPr>
              <w:rPr>
                <w:i/>
              </w:rPr>
            </w:pPr>
            <w:r>
              <w:rPr>
                <w:i/>
              </w:rPr>
              <w:t>Sähköposti</w:t>
            </w:r>
          </w:p>
        </w:tc>
        <w:tc>
          <w:tcPr>
            <w:tcW w:w="3923" w:type="pct"/>
          </w:tcPr>
          <w:p w14:paraId="1D7AA1D2" w14:textId="77777777" w:rsidR="00BE6201" w:rsidRPr="00A6689B" w:rsidRDefault="003665FE" w:rsidP="00120118">
            <w:pPr>
              <w:rPr>
                <w:i/>
              </w:rPr>
            </w:pPr>
            <w:hyperlink r:id="rId31" w:history="1">
              <w:r w:rsidR="00BE6201">
                <w:rPr>
                  <w:rStyle w:val="Hyperlink"/>
                  <w:i/>
                </w:rPr>
                <w:t>Silvia.Staffa@eesc.europa.eu</w:t>
              </w:r>
            </w:hyperlink>
          </w:p>
        </w:tc>
      </w:tr>
    </w:tbl>
    <w:p w14:paraId="3CFD89EF" w14:textId="5F7E56C7" w:rsidR="00BE6201" w:rsidRDefault="00BE6201" w:rsidP="004D7AC0"/>
    <w:p w14:paraId="0CD40808" w14:textId="77777777" w:rsidR="00BE6201" w:rsidRDefault="00BE6201">
      <w:pPr>
        <w:spacing w:after="160" w:line="259" w:lineRule="auto"/>
        <w:jc w:val="left"/>
      </w:pPr>
      <w:r>
        <w:br w:type="page"/>
      </w:r>
    </w:p>
    <w:p w14:paraId="64700EB6" w14:textId="574C8C03" w:rsidR="00BE6201" w:rsidRPr="00097FC2" w:rsidRDefault="003665FE" w:rsidP="002B6ACC">
      <w:pPr>
        <w:widowControl w:val="0"/>
        <w:numPr>
          <w:ilvl w:val="0"/>
          <w:numId w:val="2"/>
        </w:numPr>
        <w:overflowPunct w:val="0"/>
        <w:autoSpaceDE w:val="0"/>
        <w:autoSpaceDN w:val="0"/>
        <w:adjustRightInd w:val="0"/>
        <w:ind w:hanging="567"/>
        <w:textAlignment w:val="baseline"/>
        <w:rPr>
          <w:sz w:val="28"/>
          <w:szCs w:val="28"/>
        </w:rPr>
      </w:pPr>
      <w:hyperlink r:id="rId32" w:tgtFrame="_blank" w:history="1">
        <w:r w:rsidR="00BE6201">
          <w:rPr>
            <w:rStyle w:val="Hyperlink"/>
            <w:b/>
            <w:i/>
            <w:sz w:val="28"/>
          </w:rPr>
          <w:t>Henkilö- ja pakettiautojen hiilidioksidipäästönormien tarkistaminen</w:t>
        </w:r>
      </w:hyperlink>
    </w:p>
    <w:p w14:paraId="39F14CCF" w14:textId="77777777" w:rsidR="00BE6201" w:rsidRPr="00A6689B" w:rsidRDefault="00BE6201" w:rsidP="00BE6201">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5387"/>
      </w:tblGrid>
      <w:tr w:rsidR="00BE6201" w:rsidRPr="00A6689B" w14:paraId="11BD4601" w14:textId="77777777" w:rsidTr="00477683">
        <w:tc>
          <w:tcPr>
            <w:tcW w:w="1719" w:type="dxa"/>
          </w:tcPr>
          <w:p w14:paraId="791C823A" w14:textId="77777777" w:rsidR="00BE6201" w:rsidRPr="00A6689B" w:rsidRDefault="00BE6201" w:rsidP="00120118">
            <w:pPr>
              <w:tabs>
                <w:tab w:val="center" w:pos="284"/>
              </w:tabs>
              <w:ind w:left="266" w:hanging="266"/>
              <w:rPr>
                <w:b/>
              </w:rPr>
            </w:pPr>
            <w:r>
              <w:rPr>
                <w:b/>
              </w:rPr>
              <w:t>Esittelijä</w:t>
            </w:r>
          </w:p>
        </w:tc>
        <w:tc>
          <w:tcPr>
            <w:tcW w:w="5387" w:type="dxa"/>
          </w:tcPr>
          <w:p w14:paraId="55BCF3E3" w14:textId="77777777" w:rsidR="00BE6201" w:rsidRDefault="00BE6201" w:rsidP="00120118">
            <w:pPr>
              <w:tabs>
                <w:tab w:val="center" w:pos="284"/>
              </w:tabs>
              <w:ind w:left="266" w:hanging="266"/>
            </w:pPr>
            <w:proofErr w:type="spellStart"/>
            <w:r>
              <w:t>Matteo</w:t>
            </w:r>
            <w:proofErr w:type="spellEnd"/>
            <w:r>
              <w:t xml:space="preserve"> BORSANI (työnantajat – IT)</w:t>
            </w:r>
          </w:p>
          <w:p w14:paraId="4CE53F61" w14:textId="77777777" w:rsidR="00BE6201" w:rsidRPr="00A6689B" w:rsidRDefault="00BE6201" w:rsidP="00120118">
            <w:pPr>
              <w:tabs>
                <w:tab w:val="center" w:pos="284"/>
              </w:tabs>
              <w:ind w:left="266" w:hanging="266"/>
              <w:rPr>
                <w:lang w:val="en-US"/>
              </w:rPr>
            </w:pPr>
          </w:p>
        </w:tc>
      </w:tr>
      <w:tr w:rsidR="00BE6201" w:rsidRPr="001B36F2" w14:paraId="0D8E600C" w14:textId="77777777" w:rsidTr="00477683">
        <w:tc>
          <w:tcPr>
            <w:tcW w:w="1719" w:type="dxa"/>
          </w:tcPr>
          <w:p w14:paraId="3CCEE9CA" w14:textId="77777777" w:rsidR="00BE6201" w:rsidRPr="00A6689B" w:rsidRDefault="00BE6201" w:rsidP="00120118">
            <w:pPr>
              <w:tabs>
                <w:tab w:val="center" w:pos="284"/>
              </w:tabs>
              <w:ind w:left="266" w:hanging="266"/>
              <w:rPr>
                <w:b/>
              </w:rPr>
            </w:pPr>
            <w:r>
              <w:rPr>
                <w:b/>
              </w:rPr>
              <w:t>Viiteasiakirja(t)</w:t>
            </w:r>
          </w:p>
        </w:tc>
        <w:tc>
          <w:tcPr>
            <w:tcW w:w="5387" w:type="dxa"/>
          </w:tcPr>
          <w:p w14:paraId="68EBB9A8" w14:textId="75366689" w:rsidR="00BE6201" w:rsidRPr="0018587A" w:rsidRDefault="00BE6201" w:rsidP="00120118">
            <w:pPr>
              <w:tabs>
                <w:tab w:val="center" w:pos="284"/>
              </w:tabs>
              <w:ind w:left="266" w:hanging="266"/>
            </w:pPr>
            <w:r>
              <w:t xml:space="preserve">COM(2025) 995 </w:t>
            </w:r>
            <w:proofErr w:type="spellStart"/>
            <w:r>
              <w:t>final</w:t>
            </w:r>
            <w:proofErr w:type="spellEnd"/>
          </w:p>
          <w:p w14:paraId="363E429D" w14:textId="77777777" w:rsidR="00BE6201" w:rsidRPr="00DB3F9E" w:rsidRDefault="00BE6201" w:rsidP="00120118">
            <w:pPr>
              <w:tabs>
                <w:tab w:val="center" w:pos="284"/>
              </w:tabs>
              <w:ind w:left="266" w:hanging="266"/>
            </w:pPr>
            <w:r>
              <w:t>EESC-2025-04308-00-00-AC</w:t>
            </w:r>
          </w:p>
        </w:tc>
      </w:tr>
    </w:tbl>
    <w:p w14:paraId="0D76AC1D" w14:textId="77777777" w:rsidR="00BE6201" w:rsidRPr="00DB3F9E" w:rsidRDefault="00BE6201" w:rsidP="00097FC2">
      <w:pPr>
        <w:tabs>
          <w:tab w:val="center" w:pos="284"/>
        </w:tabs>
        <w:ind w:left="266" w:hanging="266"/>
        <w:rPr>
          <w:lang w:val="pt-PT"/>
        </w:rPr>
      </w:pPr>
    </w:p>
    <w:p w14:paraId="1CB57ECC" w14:textId="77777777" w:rsidR="00BE6201" w:rsidRPr="00A6689B" w:rsidRDefault="00BE6201" w:rsidP="00097FC2">
      <w:pPr>
        <w:keepNext/>
        <w:keepLines/>
        <w:tabs>
          <w:tab w:val="center" w:pos="284"/>
        </w:tabs>
        <w:ind w:left="266" w:hanging="266"/>
        <w:rPr>
          <w:b/>
        </w:rPr>
      </w:pPr>
      <w:r>
        <w:rPr>
          <w:b/>
        </w:rPr>
        <w:t>Keskeiset kohdat</w:t>
      </w:r>
    </w:p>
    <w:p w14:paraId="79CE1CAA" w14:textId="77777777" w:rsidR="00BE6201" w:rsidRPr="00A6689B" w:rsidRDefault="00BE6201" w:rsidP="00097FC2">
      <w:pPr>
        <w:keepNext/>
        <w:keepLines/>
        <w:tabs>
          <w:tab w:val="center" w:pos="284"/>
        </w:tabs>
        <w:ind w:left="266" w:hanging="266"/>
        <w:rPr>
          <w:b/>
        </w:rPr>
      </w:pPr>
    </w:p>
    <w:p w14:paraId="732EADAD" w14:textId="77777777" w:rsidR="00BE6201" w:rsidRDefault="00BE6201" w:rsidP="00097FC2">
      <w:pPr>
        <w:rPr>
          <w:bCs/>
          <w:iCs/>
        </w:rPr>
      </w:pPr>
      <w:r>
        <w:t>ETSK</w:t>
      </w:r>
    </w:p>
    <w:p w14:paraId="34DFD394" w14:textId="77777777" w:rsidR="00BE6201" w:rsidRPr="000855C2" w:rsidRDefault="00BE6201" w:rsidP="002B6ACC">
      <w:pPr>
        <w:pStyle w:val="ListParagraph"/>
        <w:numPr>
          <w:ilvl w:val="0"/>
          <w:numId w:val="18"/>
        </w:numPr>
        <w:spacing w:after="200"/>
        <w:ind w:left="426" w:hanging="426"/>
      </w:pPr>
      <w:r>
        <w:rPr>
          <w:b/>
        </w:rPr>
        <w:t>kehottaa luomaan</w:t>
      </w:r>
      <w:r>
        <w:t xml:space="preserve"> autoteollisuuden siirtymää varten </w:t>
      </w:r>
      <w:r>
        <w:rPr>
          <w:b/>
        </w:rPr>
        <w:t>tasapainoisen ja johdonmukaisen EU:n kehyksen</w:t>
      </w:r>
      <w:r>
        <w:t xml:space="preserve">, jossa voimakas panostaminen päästöttömään ja vähäpäästöiseen liikkuvuuteen yhdistyy teknologianeutraaliuden, ”valmistettu EU:ssa” </w:t>
      </w:r>
      <w:r>
        <w:noBreakHyphen/>
        <w:t>arvoketjun vahvistamisen sekä laadukkaiden työpaikkojen, teollisen kapasiteetin ja innovoinnin suojelun kanssa.</w:t>
      </w:r>
    </w:p>
    <w:p w14:paraId="09C4A1F2" w14:textId="77777777" w:rsidR="00BE6201" w:rsidRPr="000855C2" w:rsidRDefault="00BE6201" w:rsidP="002B6ACC">
      <w:pPr>
        <w:pStyle w:val="ListParagraph"/>
        <w:numPr>
          <w:ilvl w:val="0"/>
          <w:numId w:val="18"/>
        </w:numPr>
        <w:spacing w:after="200"/>
        <w:ind w:left="426" w:hanging="426"/>
      </w:pPr>
      <w:r>
        <w:rPr>
          <w:b/>
        </w:rPr>
        <w:t>kehottaa tarkistamaan</w:t>
      </w:r>
      <w:r>
        <w:t xml:space="preserve"> henkilö- ja pakettiautojen </w:t>
      </w:r>
      <w:r>
        <w:rPr>
          <w:b/>
        </w:rPr>
        <w:t>hiilidioksidinormeja käytännönläheisesti</w:t>
      </w:r>
      <w:r>
        <w:t xml:space="preserve"> markkinarealiteettien ja ilmastotavoitteiden mukaisesti, jotta voidaan palauttaa kilpailukyky ja samalla säilyttää hiilestä irtautumisen pitkän aikavälin kehityspolku.</w:t>
      </w:r>
    </w:p>
    <w:p w14:paraId="578577D6" w14:textId="77777777" w:rsidR="00BE6201" w:rsidRPr="000855C2" w:rsidRDefault="00BE6201" w:rsidP="002B6ACC">
      <w:pPr>
        <w:pStyle w:val="ListParagraph"/>
        <w:numPr>
          <w:ilvl w:val="0"/>
          <w:numId w:val="18"/>
        </w:numPr>
        <w:spacing w:after="200"/>
        <w:ind w:left="426" w:hanging="426"/>
      </w:pPr>
      <w:r>
        <w:rPr>
          <w:b/>
        </w:rPr>
        <w:t>kannattaa siirtymävaiheen teknologioiden</w:t>
      </w:r>
      <w:r>
        <w:t xml:space="preserve">, kuten hybridiajoneuvojen, kestävien uusiutuvien polttoaineiden ja vähäpäästöisten materiaalien, </w:t>
      </w:r>
      <w:r>
        <w:rPr>
          <w:b/>
        </w:rPr>
        <w:t>roolin vahvistamista</w:t>
      </w:r>
      <w:r>
        <w:t xml:space="preserve"> ja kehottaa vähentämään yksinomaan pakokaasupäästöihin perustuvien päästövaatimusten osuutta, jotta mahdollistetaan realistisempi ja sosiaalisesti tasapainoisempi siirtymä.</w:t>
      </w:r>
    </w:p>
    <w:p w14:paraId="36532C0D" w14:textId="77777777" w:rsidR="00BE6201" w:rsidRPr="000855C2" w:rsidRDefault="00BE6201" w:rsidP="002B6ACC">
      <w:pPr>
        <w:pStyle w:val="ListParagraph"/>
        <w:numPr>
          <w:ilvl w:val="0"/>
          <w:numId w:val="18"/>
        </w:numPr>
        <w:spacing w:after="200"/>
        <w:ind w:left="426" w:hanging="426"/>
      </w:pPr>
      <w:r>
        <w:rPr>
          <w:b/>
        </w:rPr>
        <w:t>pitää vuoteen 2030 asetettujen tavoitteiden osalta tervetulleena suurempaa joustavuutta</w:t>
      </w:r>
      <w:r>
        <w:t>, monivuotinen vaatimustenmukaisuus mukaan luettuna, ja peräänkuuluttaa kohdennettua tukea latausinfrastruktuurille, yritysten ajoneuvokannan sähköistämiselle ja päästöttömille kevyille hyötyajoneuvoille, joiden käyttöönotto markkinoilla on edelleen vähäistä.</w:t>
      </w:r>
    </w:p>
    <w:p w14:paraId="2FCDCA5C" w14:textId="77777777" w:rsidR="00BE6201" w:rsidRPr="000855C2" w:rsidRDefault="00BE6201" w:rsidP="002B6ACC">
      <w:pPr>
        <w:pStyle w:val="ListParagraph"/>
        <w:numPr>
          <w:ilvl w:val="0"/>
          <w:numId w:val="18"/>
        </w:numPr>
        <w:ind w:left="425" w:hanging="426"/>
      </w:pPr>
      <w:r>
        <w:rPr>
          <w:b/>
        </w:rPr>
        <w:t>suosittaa, että EU:n teollisuuden johtoasemaa vahvistetaan</w:t>
      </w:r>
      <w:r>
        <w:t xml:space="preserve"> kannustimin, esimerkiksi edistämällä komponenttien valmistamista EU:ssa, tukemalla vähäpäästöisen teräksen tuotantoa ja laajentamalla sähköajoneuvojen superbonuksia sekä ottamalla käyttöön nykyistä kattavammat päästöjen laskentamenetelmät ja varmistamalla, että siirtymän yhteydessä huolehditaan kohtuuhintaisuudesta, osallistavuudesta ja työllistävyydestä.</w:t>
      </w:r>
    </w:p>
    <w:p w14:paraId="67BA2B47" w14:textId="77777777" w:rsidR="00BE6201" w:rsidRPr="000624A9" w:rsidRDefault="00BE6201" w:rsidP="00097FC2">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BE6201" w:rsidRPr="00A6689B" w14:paraId="06A2A22B" w14:textId="77777777" w:rsidTr="00120118">
        <w:tc>
          <w:tcPr>
            <w:tcW w:w="1418" w:type="dxa"/>
          </w:tcPr>
          <w:p w14:paraId="6C1B2D1D" w14:textId="77777777" w:rsidR="00BE6201" w:rsidRPr="00097FC2" w:rsidRDefault="00BE6201" w:rsidP="00097FC2">
            <w:pPr>
              <w:rPr>
                <w:b/>
                <w:i/>
              </w:rPr>
            </w:pPr>
            <w:r w:rsidRPr="00097FC2">
              <w:rPr>
                <w:b/>
                <w:i/>
              </w:rPr>
              <w:t>Yhteydenotot</w:t>
            </w:r>
          </w:p>
        </w:tc>
        <w:tc>
          <w:tcPr>
            <w:tcW w:w="5670" w:type="dxa"/>
          </w:tcPr>
          <w:p w14:paraId="699EA812" w14:textId="17151BCE" w:rsidR="00BE6201" w:rsidRPr="00A6689B" w:rsidRDefault="00BE6201" w:rsidP="00097FC2">
            <w:pPr>
              <w:rPr>
                <w:i/>
              </w:rPr>
            </w:pPr>
            <w:r>
              <w:rPr>
                <w:i/>
              </w:rPr>
              <w:t xml:space="preserve">Silvia </w:t>
            </w:r>
            <w:proofErr w:type="spellStart"/>
            <w:r w:rsidR="00DB6C97">
              <w:rPr>
                <w:i/>
              </w:rPr>
              <w:t>Staffa</w:t>
            </w:r>
            <w:proofErr w:type="spellEnd"/>
          </w:p>
        </w:tc>
      </w:tr>
      <w:tr w:rsidR="00BE6201" w:rsidRPr="00A6689B" w14:paraId="32128ECE" w14:textId="77777777" w:rsidTr="00120118">
        <w:tc>
          <w:tcPr>
            <w:tcW w:w="1418" w:type="dxa"/>
          </w:tcPr>
          <w:p w14:paraId="2834071E" w14:textId="77777777" w:rsidR="00BE6201" w:rsidRPr="00A6689B" w:rsidRDefault="00BE6201" w:rsidP="00097FC2">
            <w:pPr>
              <w:rPr>
                <w:i/>
              </w:rPr>
            </w:pPr>
            <w:r>
              <w:rPr>
                <w:i/>
              </w:rPr>
              <w:t>P.</w:t>
            </w:r>
          </w:p>
        </w:tc>
        <w:tc>
          <w:tcPr>
            <w:tcW w:w="5670" w:type="dxa"/>
          </w:tcPr>
          <w:p w14:paraId="6F01C5EA" w14:textId="77777777" w:rsidR="00BE6201" w:rsidRPr="00A6689B" w:rsidRDefault="00BE6201" w:rsidP="00097FC2">
            <w:pPr>
              <w:rPr>
                <w:i/>
              </w:rPr>
            </w:pPr>
            <w:r>
              <w:rPr>
                <w:i/>
              </w:rPr>
              <w:t>+ 32 25468378</w:t>
            </w:r>
          </w:p>
        </w:tc>
      </w:tr>
      <w:tr w:rsidR="00BE6201" w:rsidRPr="00A6689B" w14:paraId="3DD4924A" w14:textId="77777777" w:rsidTr="00120118">
        <w:tc>
          <w:tcPr>
            <w:tcW w:w="1418" w:type="dxa"/>
          </w:tcPr>
          <w:p w14:paraId="0CFD44CA" w14:textId="77777777" w:rsidR="00BE6201" w:rsidRPr="00A6689B" w:rsidRDefault="00BE6201" w:rsidP="00097FC2">
            <w:pPr>
              <w:rPr>
                <w:i/>
              </w:rPr>
            </w:pPr>
            <w:r>
              <w:rPr>
                <w:i/>
              </w:rPr>
              <w:t>Sähköposti</w:t>
            </w:r>
          </w:p>
        </w:tc>
        <w:tc>
          <w:tcPr>
            <w:tcW w:w="5670" w:type="dxa"/>
          </w:tcPr>
          <w:p w14:paraId="43917223" w14:textId="1447D556" w:rsidR="00BE6201" w:rsidRPr="00DB6C97" w:rsidRDefault="003665FE" w:rsidP="00097FC2">
            <w:pPr>
              <w:rPr>
                <w:i/>
              </w:rPr>
            </w:pPr>
            <w:hyperlink r:id="rId33" w:history="1">
              <w:r w:rsidR="00BE6201">
                <w:rPr>
                  <w:rStyle w:val="Hyperlink"/>
                  <w:i/>
                </w:rPr>
                <w:t>Silvia.Staffa@eesc.europa.eu</w:t>
              </w:r>
            </w:hyperlink>
          </w:p>
        </w:tc>
      </w:tr>
    </w:tbl>
    <w:p w14:paraId="5FA1DBE9" w14:textId="2549461B" w:rsidR="005D66E1" w:rsidRDefault="005D66E1" w:rsidP="004D7AC0"/>
    <w:p w14:paraId="071349D6" w14:textId="77777777" w:rsidR="005D66E1" w:rsidRDefault="005D66E1">
      <w:pPr>
        <w:spacing w:after="160" w:line="259" w:lineRule="auto"/>
        <w:jc w:val="left"/>
      </w:pPr>
      <w:r>
        <w:br w:type="page"/>
      </w:r>
    </w:p>
    <w:p w14:paraId="0D54614C" w14:textId="36945D08" w:rsidR="005D66E1" w:rsidRPr="00007E01" w:rsidRDefault="003665FE" w:rsidP="009F1E74">
      <w:pPr>
        <w:pStyle w:val="ListParagraph"/>
        <w:numPr>
          <w:ilvl w:val="0"/>
          <w:numId w:val="6"/>
        </w:numPr>
        <w:spacing w:line="276" w:lineRule="auto"/>
        <w:ind w:left="567" w:hanging="567"/>
        <w:jc w:val="left"/>
        <w:rPr>
          <w:rStyle w:val="Hyperlink"/>
          <w:b/>
          <w:i/>
          <w:sz w:val="32"/>
          <w:szCs w:val="32"/>
        </w:rPr>
      </w:pPr>
      <w:hyperlink r:id="rId34" w:tgtFrame="_blank" w:history="1">
        <w:r w:rsidR="005D66E1">
          <w:rPr>
            <w:rStyle w:val="Hyperlink"/>
            <w:b/>
            <w:i/>
            <w:sz w:val="32"/>
          </w:rPr>
          <w:t>Markkinavalvonta-asetuksen arviointi</w:t>
        </w:r>
      </w:hyperlink>
    </w:p>
    <w:p w14:paraId="7925611F" w14:textId="77777777" w:rsidR="005D66E1" w:rsidRPr="00007E01" w:rsidRDefault="005D66E1" w:rsidP="00097FC2">
      <w:pPr>
        <w:rPr>
          <w:b/>
          <w:i/>
        </w:rPr>
      </w:pPr>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tblGrid>
      <w:tr w:rsidR="005D66E1" w:rsidRPr="00007E01" w14:paraId="34559924" w14:textId="77777777" w:rsidTr="00120118">
        <w:tc>
          <w:tcPr>
            <w:tcW w:w="1148" w:type="pct"/>
          </w:tcPr>
          <w:p w14:paraId="2A0BCB2A" w14:textId="77777777" w:rsidR="005D66E1" w:rsidRPr="00007E01" w:rsidRDefault="005D66E1" w:rsidP="00120118">
            <w:pPr>
              <w:tabs>
                <w:tab w:val="center" w:pos="284"/>
              </w:tabs>
              <w:ind w:left="266" w:hanging="376"/>
              <w:rPr>
                <w:b/>
              </w:rPr>
            </w:pPr>
            <w:r w:rsidRPr="00007E01">
              <w:rPr>
                <w:b/>
              </w:rPr>
              <w:t>Esittelijä</w:t>
            </w:r>
          </w:p>
          <w:p w14:paraId="217DC920" w14:textId="77777777" w:rsidR="005D66E1" w:rsidRPr="00007E01" w:rsidRDefault="005D66E1" w:rsidP="00120118">
            <w:pPr>
              <w:tabs>
                <w:tab w:val="center" w:pos="284"/>
              </w:tabs>
              <w:ind w:left="266" w:hanging="376"/>
              <w:rPr>
                <w:b/>
              </w:rPr>
            </w:pPr>
            <w:r w:rsidRPr="00007E01">
              <w:rPr>
                <w:b/>
              </w:rPr>
              <w:t>Yhteisesittelijä</w:t>
            </w:r>
          </w:p>
        </w:tc>
        <w:tc>
          <w:tcPr>
            <w:tcW w:w="3852" w:type="pct"/>
          </w:tcPr>
          <w:p w14:paraId="7199934F" w14:textId="77777777" w:rsidR="005D66E1" w:rsidRPr="00007E01" w:rsidRDefault="005D66E1" w:rsidP="00120118">
            <w:pPr>
              <w:tabs>
                <w:tab w:val="center" w:pos="284"/>
              </w:tabs>
              <w:ind w:left="266" w:hanging="266"/>
            </w:pPr>
            <w:proofErr w:type="spellStart"/>
            <w:r w:rsidRPr="00007E01">
              <w:t>Antje</w:t>
            </w:r>
            <w:proofErr w:type="spellEnd"/>
            <w:r w:rsidRPr="00007E01">
              <w:t xml:space="preserve"> GERSTEIN (työnantajat – DE)</w:t>
            </w:r>
          </w:p>
          <w:p w14:paraId="2BB530DE" w14:textId="77777777" w:rsidR="005D66E1" w:rsidRPr="00007E01" w:rsidRDefault="005D66E1" w:rsidP="00120118">
            <w:pPr>
              <w:tabs>
                <w:tab w:val="center" w:pos="284"/>
              </w:tabs>
              <w:ind w:left="266" w:hanging="266"/>
            </w:pPr>
            <w:proofErr w:type="spellStart"/>
            <w:r w:rsidRPr="00007E01">
              <w:t>Anastasis</w:t>
            </w:r>
            <w:proofErr w:type="spellEnd"/>
            <w:r w:rsidRPr="00007E01">
              <w:t xml:space="preserve"> YIAPANIS (kansalaisyhteiskunnan organisaatiot – CY)</w:t>
            </w:r>
          </w:p>
          <w:p w14:paraId="61206F2A" w14:textId="77777777" w:rsidR="005D66E1" w:rsidRPr="00007E01" w:rsidRDefault="005D66E1" w:rsidP="00120118">
            <w:pPr>
              <w:tabs>
                <w:tab w:val="center" w:pos="284"/>
              </w:tabs>
              <w:ind w:left="266" w:hanging="266"/>
              <w:rPr>
                <w:lang w:val="fr-BE"/>
              </w:rPr>
            </w:pPr>
          </w:p>
        </w:tc>
      </w:tr>
      <w:tr w:rsidR="005D66E1" w:rsidRPr="00007E01" w14:paraId="78BD4581" w14:textId="77777777" w:rsidTr="00120118">
        <w:tc>
          <w:tcPr>
            <w:tcW w:w="1148" w:type="pct"/>
            <w:vMerge w:val="restart"/>
          </w:tcPr>
          <w:p w14:paraId="52E0CFB8" w14:textId="77777777" w:rsidR="005D66E1" w:rsidRPr="00007E01" w:rsidRDefault="005D66E1" w:rsidP="00120118">
            <w:pPr>
              <w:tabs>
                <w:tab w:val="center" w:pos="284"/>
              </w:tabs>
              <w:ind w:left="266" w:hanging="376"/>
              <w:rPr>
                <w:b/>
              </w:rPr>
            </w:pPr>
            <w:r w:rsidRPr="00007E01">
              <w:rPr>
                <w:b/>
              </w:rPr>
              <w:t>Viiteasiakirjat</w:t>
            </w:r>
          </w:p>
        </w:tc>
        <w:tc>
          <w:tcPr>
            <w:tcW w:w="3852" w:type="pct"/>
          </w:tcPr>
          <w:p w14:paraId="36032A1C" w14:textId="0BE16B91" w:rsidR="00DB6C97" w:rsidRDefault="00DB6C97" w:rsidP="00120118">
            <w:pPr>
              <w:tabs>
                <w:tab w:val="center" w:pos="284"/>
              </w:tabs>
              <w:ind w:left="266" w:hanging="266"/>
            </w:pPr>
            <w:r>
              <w:t>arviointikertomus</w:t>
            </w:r>
          </w:p>
          <w:p w14:paraId="158DB74A" w14:textId="25CC9F2C" w:rsidR="005D66E1" w:rsidRPr="00007E01" w:rsidRDefault="005D66E1" w:rsidP="00120118">
            <w:pPr>
              <w:tabs>
                <w:tab w:val="center" w:pos="284"/>
              </w:tabs>
              <w:ind w:left="266" w:hanging="266"/>
            </w:pPr>
            <w:r w:rsidRPr="00007E01">
              <w:t xml:space="preserve">COM(2025) 63 </w:t>
            </w:r>
            <w:proofErr w:type="spellStart"/>
            <w:r w:rsidRPr="00007E01">
              <w:t>final</w:t>
            </w:r>
            <w:proofErr w:type="spellEnd"/>
          </w:p>
        </w:tc>
      </w:tr>
      <w:tr w:rsidR="005D66E1" w:rsidRPr="00007E01" w14:paraId="117C16CE" w14:textId="77777777" w:rsidTr="00120118">
        <w:tc>
          <w:tcPr>
            <w:tcW w:w="1148" w:type="pct"/>
            <w:vMerge/>
          </w:tcPr>
          <w:p w14:paraId="10206BD7" w14:textId="77777777" w:rsidR="005D66E1" w:rsidRPr="00007E01" w:rsidRDefault="005D66E1" w:rsidP="00120118">
            <w:pPr>
              <w:tabs>
                <w:tab w:val="center" w:pos="284"/>
              </w:tabs>
              <w:ind w:left="266" w:hanging="266"/>
              <w:rPr>
                <w:b/>
                <w:lang w:val="en-US"/>
              </w:rPr>
            </w:pPr>
          </w:p>
        </w:tc>
        <w:tc>
          <w:tcPr>
            <w:tcW w:w="3852" w:type="pct"/>
          </w:tcPr>
          <w:p w14:paraId="46D5C1E4" w14:textId="77777777" w:rsidR="005D66E1" w:rsidRPr="00007E01" w:rsidRDefault="005D66E1" w:rsidP="00120118">
            <w:pPr>
              <w:tabs>
                <w:tab w:val="center" w:pos="284"/>
              </w:tabs>
              <w:ind w:left="266" w:hanging="266"/>
            </w:pPr>
            <w:r w:rsidRPr="00007E01">
              <w:t>EESC-2025-00345-00-00-RE</w:t>
            </w:r>
          </w:p>
        </w:tc>
      </w:tr>
    </w:tbl>
    <w:p w14:paraId="6083A18B" w14:textId="77777777" w:rsidR="005D66E1" w:rsidRDefault="005D66E1" w:rsidP="005D66E1">
      <w:pPr>
        <w:keepNext/>
        <w:keepLines/>
        <w:tabs>
          <w:tab w:val="center" w:pos="284"/>
        </w:tabs>
        <w:ind w:left="266" w:hanging="266"/>
        <w:rPr>
          <w:b/>
        </w:rPr>
      </w:pPr>
    </w:p>
    <w:p w14:paraId="34D940FE" w14:textId="77777777" w:rsidR="005D66E1" w:rsidRPr="00007E01" w:rsidRDefault="005D66E1" w:rsidP="005D66E1">
      <w:pPr>
        <w:keepNext/>
        <w:keepLines/>
        <w:tabs>
          <w:tab w:val="center" w:pos="284"/>
        </w:tabs>
        <w:ind w:left="266" w:hanging="266"/>
        <w:rPr>
          <w:b/>
        </w:rPr>
      </w:pPr>
      <w:r w:rsidRPr="00007E01">
        <w:rPr>
          <w:b/>
        </w:rPr>
        <w:t>Keskeiset kohdat</w:t>
      </w:r>
    </w:p>
    <w:p w14:paraId="0D9F0E8B" w14:textId="77777777" w:rsidR="005D66E1" w:rsidRPr="00007E01" w:rsidRDefault="005D66E1" w:rsidP="005D66E1">
      <w:pPr>
        <w:keepNext/>
        <w:keepLines/>
        <w:tabs>
          <w:tab w:val="center" w:pos="284"/>
        </w:tabs>
        <w:ind w:left="266" w:hanging="266"/>
        <w:rPr>
          <w:b/>
        </w:rPr>
      </w:pPr>
    </w:p>
    <w:p w14:paraId="29FD9BCD" w14:textId="77777777" w:rsidR="005D66E1" w:rsidRPr="00007E01" w:rsidRDefault="005D66E1" w:rsidP="005D66E1">
      <w:pPr>
        <w:rPr>
          <w:bCs/>
          <w:iCs/>
        </w:rPr>
      </w:pPr>
      <w:r w:rsidRPr="00007E01">
        <w:t>ETSK suosittaa</w:t>
      </w:r>
    </w:p>
    <w:p w14:paraId="47636B8C"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edistämään konsolidoidun eurooppalaisen tuotesäädöksen hyväksymistä.</w:t>
      </w:r>
    </w:p>
    <w:p w14:paraId="4C21C395"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varmistamaan markkinavalvonta-asetuksen, yleisestä tuoteturvallisuudesta annetun asetuksen, alakohtaisen lainsäädännön ja unionin tullikoodeksin välisen johdonmukaisuuden.</w:t>
      </w:r>
    </w:p>
    <w:p w14:paraId="46591BBF"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vahvistamaan tulli- ja markkinavalvontaviranomaisten välistä jäsenneltyä yhteistyötä.</w:t>
      </w:r>
    </w:p>
    <w:p w14:paraId="638A4873"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huolehtimaan siitä, että tulevissa markkinavalvonta-asetuksen uudelleentarkasteluissa käsitellään tekoälyn ja muiden digitaaliteknologioiden erityispiirteitä.</w:t>
      </w:r>
    </w:p>
    <w:p w14:paraId="4B0A4A5B"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varmistamaan markkinavalvonta- ja tulliviranomaisille riittävät, ennakoitavissa olevat ja tulosperusteiset henkilö- ja taloudelliset resurssit sekä mitattavissa olevat täytäntöönpanoindikaattorit.</w:t>
      </w:r>
    </w:p>
    <w:p w14:paraId="64D35215"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tarjoamaan kansallisille viranomaisille tehokkaita, oikeasuhteisia ja varoittavia täytäntöönpanon valvontavälineitä.</w:t>
      </w:r>
    </w:p>
    <w:p w14:paraId="1A00E558"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 xml:space="preserve">tehostamaan täytäntöönpanon eurooppalaisia valvontavalmiuksia, jotta voidaan puuttua systeemisiin rajatylittäviin riskeihin ja laajamittaisiin digitaalisiin kauppavirtoihin. </w:t>
      </w:r>
    </w:p>
    <w:p w14:paraId="2F6B2228"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ottamaan käyttöön täytäntöönpanon selkeän riskiperusteisen valvontakehyksen.</w:t>
      </w:r>
    </w:p>
    <w:p w14:paraId="3C0A336B"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yhdenmukaistamaan markkinavalvonta-asetuksen täytäntöönpanon valvontakehyksen digipalvelusäädöksessä vahvistetun ajattelutavan kanssa osoittamalla oikeasuhteisia lisävelvollisuuksia toimijoille, joiden mittakaavaan liittyy järjestelmäriski.</w:t>
      </w:r>
    </w:p>
    <w:p w14:paraId="6E63765F"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kehittämään vaatimustenmukaisuuteen liittyvän jäsennellyn kumppanuuskehyksen, jonka avulla viranomaiset voivat tehdä ennakoivaa yhteistyötä talouden toimijoiden kanssa.</w:t>
      </w:r>
    </w:p>
    <w:p w14:paraId="78C106EE"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lisäämään markkinavalvonta-asetuksen oikeasuhteisuutta ja sovellettavuutta pk-yritysten ja mikroyritysten kannalta.</w:t>
      </w:r>
    </w:p>
    <w:p w14:paraId="2033D25F"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perustamaan vaatimustenvastaisten tuotteiden eurooppalaisen seurantakeskuksen.</w:t>
      </w:r>
    </w:p>
    <w:p w14:paraId="7F1A4E5D"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selkeyttämään vastuuketjua ja tekemään siitä toimintakelpoisen ottamalla käyttöön valtuutettuja edustajia koskevat vähimmäislaatuvaatimukset.</w:t>
      </w:r>
    </w:p>
    <w:p w14:paraId="2F3D4D68"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 xml:space="preserve">parantamaan markkinavalvontaa koskevan tieto- ja viestintäjärjestelmän, </w:t>
      </w:r>
      <w:proofErr w:type="spellStart"/>
      <w:r w:rsidRPr="00007E01">
        <w:t>Safety</w:t>
      </w:r>
      <w:proofErr w:type="spellEnd"/>
      <w:r w:rsidRPr="00007E01">
        <w:t xml:space="preserve"> Gate </w:t>
      </w:r>
      <w:r w:rsidRPr="00007E01">
        <w:noBreakHyphen/>
        <w:t xml:space="preserve">järjestelmän, tullitietokantojen ja muiden asiaankuuluvien järjestelmien </w:t>
      </w:r>
      <w:proofErr w:type="spellStart"/>
      <w:r w:rsidRPr="00007E01">
        <w:t>yhteentoimivuutta</w:t>
      </w:r>
      <w:proofErr w:type="spellEnd"/>
      <w:r w:rsidRPr="00007E01">
        <w:t>.</w:t>
      </w:r>
    </w:p>
    <w:p w14:paraId="5DCF5FED"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varmistamaan, että täytäntöönpanon tulokset julkaistaan ja niitä levitetään säännöllisesti ja helposti saatavilla olevassa muodossa.</w:t>
      </w:r>
    </w:p>
    <w:p w14:paraId="779FFC6F"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tehostamaan kansalaisyhteiskunnan ja työmarkkinaosapuolten jäsenneltyä osallistumista virallisten kuulemismekanismien ja pysyvien vuoropuhelufoorumien avulla sekä mahdollistamalla lainsäädännön kehittämiseen osallistumisen varhaisessa vaiheessa ja parantamalla tiedon ja digitaalisten rajapintojen saatavuutta viranomaisten kanssa tapahtuvaa vuorovaikutusta varten.</w:t>
      </w:r>
    </w:p>
    <w:p w14:paraId="4FA41965"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lastRenderedPageBreak/>
        <w:t>tarjoamaan valmiuksien kehittämiseen tarkoitettua tukea ja kohdennettua koulutusta sekä viranomaisille että kansalaisyhteiskunnan toimijoille.</w:t>
      </w:r>
    </w:p>
    <w:p w14:paraId="656F2742" w14:textId="77777777" w:rsidR="005D66E1" w:rsidRPr="00007E01" w:rsidRDefault="005D66E1" w:rsidP="002B6ACC">
      <w:pPr>
        <w:numPr>
          <w:ilvl w:val="0"/>
          <w:numId w:val="19"/>
        </w:numPr>
        <w:overflowPunct w:val="0"/>
        <w:autoSpaceDE w:val="0"/>
        <w:autoSpaceDN w:val="0"/>
        <w:adjustRightInd w:val="0"/>
        <w:ind w:left="426" w:hanging="426"/>
        <w:textAlignment w:val="baseline"/>
      </w:pPr>
      <w:r w:rsidRPr="00007E01">
        <w:t>ottamaan käyttöön yksinkertaiset ja tehokkaat välineet, joilla voidaan ilmoittaa vilpillisestä mainonnasta.</w:t>
      </w:r>
    </w:p>
    <w:p w14:paraId="7441FA92" w14:textId="77777777" w:rsidR="005D66E1" w:rsidRPr="00007E01" w:rsidRDefault="005D66E1" w:rsidP="005D66E1">
      <w:pPr>
        <w:ind w:left="567"/>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5D66E1" w:rsidRPr="00007E01" w14:paraId="57462F9B" w14:textId="77777777" w:rsidTr="00120118">
        <w:tc>
          <w:tcPr>
            <w:tcW w:w="1556" w:type="pct"/>
          </w:tcPr>
          <w:p w14:paraId="2236ACF3" w14:textId="77777777" w:rsidR="005D66E1" w:rsidRPr="00007E01" w:rsidRDefault="005D66E1" w:rsidP="00120118">
            <w:pPr>
              <w:spacing w:line="240" w:lineRule="auto"/>
              <w:rPr>
                <w:i/>
              </w:rPr>
            </w:pPr>
            <w:r w:rsidRPr="00007E01">
              <w:rPr>
                <w:b/>
                <w:i/>
              </w:rPr>
              <w:t>Yhteydenotot</w:t>
            </w:r>
          </w:p>
        </w:tc>
        <w:tc>
          <w:tcPr>
            <w:tcW w:w="3444" w:type="pct"/>
          </w:tcPr>
          <w:p w14:paraId="2695AE23" w14:textId="77777777" w:rsidR="005D66E1" w:rsidRPr="00007E01" w:rsidRDefault="005D66E1" w:rsidP="00120118">
            <w:pPr>
              <w:spacing w:line="240" w:lineRule="auto"/>
              <w:rPr>
                <w:i/>
              </w:rPr>
            </w:pPr>
            <w:proofErr w:type="spellStart"/>
            <w:r w:rsidRPr="00007E01">
              <w:rPr>
                <w:i/>
              </w:rPr>
              <w:t>Annalisa</w:t>
            </w:r>
            <w:proofErr w:type="spellEnd"/>
            <w:r w:rsidRPr="00007E01">
              <w:rPr>
                <w:i/>
              </w:rPr>
              <w:t xml:space="preserve"> </w:t>
            </w:r>
            <w:proofErr w:type="spellStart"/>
            <w:r w:rsidRPr="00007E01">
              <w:rPr>
                <w:i/>
              </w:rPr>
              <w:t>Tessarolo</w:t>
            </w:r>
            <w:proofErr w:type="spellEnd"/>
          </w:p>
        </w:tc>
      </w:tr>
      <w:tr w:rsidR="005D66E1" w:rsidRPr="00007E01" w14:paraId="0CD850A2" w14:textId="77777777" w:rsidTr="00120118">
        <w:tc>
          <w:tcPr>
            <w:tcW w:w="1556" w:type="pct"/>
          </w:tcPr>
          <w:p w14:paraId="3A9D44AC" w14:textId="77777777" w:rsidR="005D66E1" w:rsidRPr="00007E01" w:rsidRDefault="005D66E1" w:rsidP="00120118">
            <w:pPr>
              <w:spacing w:line="240" w:lineRule="auto"/>
              <w:rPr>
                <w:i/>
              </w:rPr>
            </w:pPr>
            <w:r w:rsidRPr="00007E01">
              <w:rPr>
                <w:i/>
              </w:rPr>
              <w:t>P.</w:t>
            </w:r>
          </w:p>
        </w:tc>
        <w:tc>
          <w:tcPr>
            <w:tcW w:w="3444" w:type="pct"/>
          </w:tcPr>
          <w:p w14:paraId="3E603B86" w14:textId="77777777" w:rsidR="005D66E1" w:rsidRPr="00007E01" w:rsidRDefault="005D66E1" w:rsidP="00120118">
            <w:pPr>
              <w:spacing w:line="240" w:lineRule="auto"/>
              <w:rPr>
                <w:i/>
              </w:rPr>
            </w:pPr>
            <w:r w:rsidRPr="00007E01">
              <w:rPr>
                <w:i/>
              </w:rPr>
              <w:t>+32 25469732</w:t>
            </w:r>
          </w:p>
        </w:tc>
      </w:tr>
      <w:tr w:rsidR="005D66E1" w:rsidRPr="00007E01" w14:paraId="38D01453" w14:textId="77777777" w:rsidTr="00120118">
        <w:tc>
          <w:tcPr>
            <w:tcW w:w="1556" w:type="pct"/>
          </w:tcPr>
          <w:p w14:paraId="619A1F3B" w14:textId="77777777" w:rsidR="005D66E1" w:rsidRPr="00007E01" w:rsidRDefault="005D66E1" w:rsidP="00120118">
            <w:pPr>
              <w:spacing w:line="240" w:lineRule="auto"/>
              <w:rPr>
                <w:i/>
              </w:rPr>
            </w:pPr>
            <w:r w:rsidRPr="00007E01">
              <w:rPr>
                <w:i/>
              </w:rPr>
              <w:t>Sähköposti</w:t>
            </w:r>
          </w:p>
        </w:tc>
        <w:tc>
          <w:tcPr>
            <w:tcW w:w="3444" w:type="pct"/>
          </w:tcPr>
          <w:p w14:paraId="70AD061A" w14:textId="77777777" w:rsidR="005D66E1" w:rsidRPr="00007E01" w:rsidRDefault="003665FE" w:rsidP="00120118">
            <w:pPr>
              <w:spacing w:line="240" w:lineRule="auto"/>
              <w:rPr>
                <w:i/>
                <w:iCs/>
              </w:rPr>
            </w:pPr>
            <w:hyperlink r:id="rId35" w:history="1">
              <w:r w:rsidR="005D66E1" w:rsidRPr="00007E01">
                <w:rPr>
                  <w:rStyle w:val="Hyperlink"/>
                  <w:i/>
                </w:rPr>
                <w:t>Annalisa.Tessarolo@eesc.europa.eu</w:t>
              </w:r>
            </w:hyperlink>
          </w:p>
        </w:tc>
      </w:tr>
    </w:tbl>
    <w:p w14:paraId="21A877D1" w14:textId="77777777" w:rsidR="005D66E1" w:rsidRPr="00007E01" w:rsidRDefault="005D66E1" w:rsidP="005D66E1">
      <w:pPr>
        <w:jc w:val="center"/>
        <w:rPr>
          <w:lang w:val="nl-BE"/>
        </w:rPr>
      </w:pPr>
    </w:p>
    <w:p w14:paraId="23739C8B" w14:textId="3BF4E30D" w:rsidR="005D66E1" w:rsidRDefault="005D66E1">
      <w:pPr>
        <w:spacing w:after="160" w:line="259" w:lineRule="auto"/>
        <w:jc w:val="left"/>
      </w:pPr>
      <w:r>
        <w:br w:type="page"/>
      </w:r>
    </w:p>
    <w:p w14:paraId="650F1150" w14:textId="697F3BCA" w:rsidR="005D66E1" w:rsidRPr="007E4A83" w:rsidRDefault="003665FE" w:rsidP="002B6ACC">
      <w:pPr>
        <w:widowControl w:val="0"/>
        <w:numPr>
          <w:ilvl w:val="0"/>
          <w:numId w:val="2"/>
        </w:numPr>
        <w:overflowPunct w:val="0"/>
        <w:autoSpaceDE w:val="0"/>
        <w:autoSpaceDN w:val="0"/>
        <w:adjustRightInd w:val="0"/>
        <w:ind w:hanging="567"/>
        <w:textAlignment w:val="baseline"/>
        <w:rPr>
          <w:sz w:val="28"/>
          <w:szCs w:val="28"/>
        </w:rPr>
      </w:pPr>
      <w:hyperlink r:id="rId36" w:history="1">
        <w:r w:rsidR="005D66E1">
          <w:rPr>
            <w:rStyle w:val="Hyperlink"/>
            <w:b/>
            <w:i/>
            <w:sz w:val="28"/>
          </w:rPr>
          <w:t>Kuluttaja-asioiden toimintaohjelma 2030</w:t>
        </w:r>
      </w:hyperlink>
    </w:p>
    <w:p w14:paraId="0E181118" w14:textId="77777777" w:rsidR="005D66E1" w:rsidRPr="005E1CA5" w:rsidRDefault="005D66E1" w:rsidP="007E4A83">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5D66E1" w:rsidRPr="005E1CA5" w14:paraId="2F8DEACD" w14:textId="77777777" w:rsidTr="00120118">
        <w:tc>
          <w:tcPr>
            <w:tcW w:w="1701" w:type="dxa"/>
          </w:tcPr>
          <w:p w14:paraId="4C546FD4" w14:textId="77777777" w:rsidR="005D66E1" w:rsidRPr="005E1CA5" w:rsidRDefault="005D66E1" w:rsidP="007E4A83">
            <w:pPr>
              <w:tabs>
                <w:tab w:val="center" w:pos="284"/>
              </w:tabs>
              <w:ind w:left="266" w:hanging="266"/>
              <w:rPr>
                <w:b/>
              </w:rPr>
            </w:pPr>
            <w:r w:rsidRPr="005E1CA5">
              <w:rPr>
                <w:b/>
              </w:rPr>
              <w:t>Esittelijä</w:t>
            </w:r>
          </w:p>
        </w:tc>
        <w:tc>
          <w:tcPr>
            <w:tcW w:w="5812" w:type="dxa"/>
          </w:tcPr>
          <w:p w14:paraId="5E52F500" w14:textId="77777777" w:rsidR="005D66E1" w:rsidRPr="005E1CA5" w:rsidRDefault="005D66E1" w:rsidP="007E4A83">
            <w:pPr>
              <w:tabs>
                <w:tab w:val="center" w:pos="284"/>
              </w:tabs>
              <w:ind w:left="266" w:hanging="266"/>
            </w:pPr>
            <w:r w:rsidRPr="005E1CA5">
              <w:t>Thierry LIBAERT (kansalaisyhteiskunnan organisaatiot – FR)</w:t>
            </w:r>
          </w:p>
        </w:tc>
      </w:tr>
      <w:tr w:rsidR="005D66E1" w:rsidRPr="005E1CA5" w14:paraId="20C53565" w14:textId="77777777" w:rsidTr="00120118">
        <w:tc>
          <w:tcPr>
            <w:tcW w:w="7513" w:type="dxa"/>
            <w:gridSpan w:val="2"/>
          </w:tcPr>
          <w:p w14:paraId="7275803A" w14:textId="77777777" w:rsidR="005D66E1" w:rsidRPr="005E1CA5" w:rsidRDefault="005D66E1" w:rsidP="007E4A83">
            <w:pPr>
              <w:tabs>
                <w:tab w:val="center" w:pos="284"/>
              </w:tabs>
              <w:ind w:left="266" w:hanging="266"/>
              <w:rPr>
                <w:lang w:val="en-US"/>
              </w:rPr>
            </w:pPr>
          </w:p>
        </w:tc>
      </w:tr>
      <w:tr w:rsidR="005D66E1" w:rsidRPr="005E1CA5" w14:paraId="070B98A0" w14:textId="77777777" w:rsidTr="00120118">
        <w:tc>
          <w:tcPr>
            <w:tcW w:w="1701" w:type="dxa"/>
          </w:tcPr>
          <w:p w14:paraId="489E3523" w14:textId="77777777" w:rsidR="005D66E1" w:rsidRPr="005E1CA5" w:rsidRDefault="005D66E1" w:rsidP="007E4A83">
            <w:pPr>
              <w:tabs>
                <w:tab w:val="center" w:pos="284"/>
              </w:tabs>
              <w:ind w:left="266" w:hanging="266"/>
              <w:rPr>
                <w:b/>
              </w:rPr>
            </w:pPr>
            <w:r w:rsidRPr="005E1CA5">
              <w:rPr>
                <w:b/>
              </w:rPr>
              <w:t>Viiteasiakirjat</w:t>
            </w:r>
          </w:p>
        </w:tc>
        <w:tc>
          <w:tcPr>
            <w:tcW w:w="5812" w:type="dxa"/>
          </w:tcPr>
          <w:p w14:paraId="78696A8F" w14:textId="77777777" w:rsidR="005D66E1" w:rsidRPr="005E1CA5" w:rsidRDefault="005D66E1" w:rsidP="007E4A83">
            <w:pPr>
              <w:tabs>
                <w:tab w:val="center" w:pos="284"/>
              </w:tabs>
              <w:ind w:left="266" w:hanging="266"/>
            </w:pPr>
            <w:r w:rsidRPr="005E1CA5">
              <w:t xml:space="preserve">COM(2025) 848 </w:t>
            </w:r>
            <w:proofErr w:type="spellStart"/>
            <w:r w:rsidRPr="005E1CA5">
              <w:t>final</w:t>
            </w:r>
            <w:proofErr w:type="spellEnd"/>
          </w:p>
          <w:p w14:paraId="7F29F0E6" w14:textId="77777777" w:rsidR="005D66E1" w:rsidRPr="005E1CA5" w:rsidRDefault="005D66E1" w:rsidP="007E4A83">
            <w:pPr>
              <w:tabs>
                <w:tab w:val="center" w:pos="284"/>
              </w:tabs>
              <w:ind w:left="266" w:hanging="266"/>
            </w:pPr>
            <w:r w:rsidRPr="005E1CA5">
              <w:t>EESC-2025-03969-00-00-AC</w:t>
            </w:r>
          </w:p>
        </w:tc>
      </w:tr>
    </w:tbl>
    <w:p w14:paraId="62EAE958" w14:textId="77777777" w:rsidR="005D66E1" w:rsidRPr="005E1CA5" w:rsidRDefault="005D66E1" w:rsidP="007E4A83">
      <w:pPr>
        <w:tabs>
          <w:tab w:val="center" w:pos="284"/>
        </w:tabs>
        <w:ind w:left="266" w:hanging="266"/>
        <w:rPr>
          <w:lang w:val="pt-PT"/>
        </w:rPr>
      </w:pPr>
    </w:p>
    <w:p w14:paraId="6906D026" w14:textId="77777777" w:rsidR="005D66E1" w:rsidRPr="005E1CA5" w:rsidRDefault="005D66E1" w:rsidP="007E4A83">
      <w:pPr>
        <w:keepNext/>
        <w:keepLines/>
        <w:tabs>
          <w:tab w:val="center" w:pos="284"/>
        </w:tabs>
        <w:ind w:left="266" w:hanging="266"/>
        <w:rPr>
          <w:b/>
        </w:rPr>
      </w:pPr>
      <w:r w:rsidRPr="005E1CA5">
        <w:rPr>
          <w:b/>
        </w:rPr>
        <w:t>Keskeiset kohdat</w:t>
      </w:r>
    </w:p>
    <w:p w14:paraId="456C3352" w14:textId="77777777" w:rsidR="005D66E1" w:rsidRPr="005E1CA5" w:rsidRDefault="005D66E1" w:rsidP="007E4A83">
      <w:pPr>
        <w:keepNext/>
        <w:keepLines/>
        <w:tabs>
          <w:tab w:val="center" w:pos="284"/>
        </w:tabs>
        <w:ind w:left="266" w:hanging="266"/>
        <w:rPr>
          <w:b/>
        </w:rPr>
      </w:pPr>
    </w:p>
    <w:p w14:paraId="62F9B1BF" w14:textId="77777777" w:rsidR="005D66E1" w:rsidRPr="005E1CA5" w:rsidRDefault="005D66E1" w:rsidP="007E4A83">
      <w:pPr>
        <w:rPr>
          <w:bCs/>
          <w:iCs/>
        </w:rPr>
      </w:pPr>
      <w:r w:rsidRPr="005E1CA5">
        <w:t>ETSK</w:t>
      </w:r>
    </w:p>
    <w:p w14:paraId="2024C7E0" w14:textId="77777777" w:rsidR="005D66E1" w:rsidRPr="005E1CA5" w:rsidRDefault="005D66E1" w:rsidP="002B6ACC">
      <w:pPr>
        <w:widowControl w:val="0"/>
        <w:numPr>
          <w:ilvl w:val="0"/>
          <w:numId w:val="20"/>
        </w:numPr>
        <w:overflowPunct w:val="0"/>
        <w:autoSpaceDE w:val="0"/>
        <w:autoSpaceDN w:val="0"/>
        <w:adjustRightInd w:val="0"/>
        <w:ind w:left="426" w:hanging="426"/>
        <w:textAlignment w:val="baseline"/>
        <w:rPr>
          <w:bCs/>
          <w:iCs/>
        </w:rPr>
      </w:pPr>
      <w:r w:rsidRPr="005E1CA5">
        <w:t>suhtautuu myönteisesti kuluttaja-asioiden toimintaohjelmaan 2025–2030. Se on sekä muodoltaan että sisällöltään erinomainen kehysteksti kuluttajansuojalle tulevina vuosina.</w:t>
      </w:r>
    </w:p>
    <w:p w14:paraId="3E14ADE6" w14:textId="77777777" w:rsidR="005D66E1" w:rsidRPr="005E1CA5" w:rsidRDefault="005D66E1" w:rsidP="002B6ACC">
      <w:pPr>
        <w:widowControl w:val="0"/>
        <w:numPr>
          <w:ilvl w:val="0"/>
          <w:numId w:val="20"/>
        </w:numPr>
        <w:overflowPunct w:val="0"/>
        <w:autoSpaceDE w:val="0"/>
        <w:autoSpaceDN w:val="0"/>
        <w:adjustRightInd w:val="0"/>
        <w:ind w:left="426" w:hanging="426"/>
        <w:textAlignment w:val="baseline"/>
        <w:rPr>
          <w:bCs/>
          <w:iCs/>
        </w:rPr>
      </w:pPr>
      <w:r w:rsidRPr="005E1CA5">
        <w:t>toivoo, että komissio ehdottaisi kuluttaja-asioihin kattavampaa visiota, joka ei rajoitu vain kuluttajien oikeuksiin.</w:t>
      </w:r>
    </w:p>
    <w:p w14:paraId="3A601C02" w14:textId="77777777" w:rsidR="005D66E1" w:rsidRPr="005E1CA5" w:rsidRDefault="005D66E1" w:rsidP="002B6ACC">
      <w:pPr>
        <w:widowControl w:val="0"/>
        <w:numPr>
          <w:ilvl w:val="0"/>
          <w:numId w:val="20"/>
        </w:numPr>
        <w:overflowPunct w:val="0"/>
        <w:autoSpaceDE w:val="0"/>
        <w:autoSpaceDN w:val="0"/>
        <w:adjustRightInd w:val="0"/>
        <w:ind w:left="426" w:hanging="426"/>
        <w:textAlignment w:val="baseline"/>
        <w:rPr>
          <w:bCs/>
          <w:iCs/>
        </w:rPr>
      </w:pPr>
      <w:r w:rsidRPr="005E1CA5">
        <w:t>kaipaisi jäsenneltyä, yksityiskohtaista ja numeroihin perustuvaa tilannekatsausta edellisestä kuluttaja-asioiden toimintaohjelmasta, jotta toimintaohjelmaa voitaisiin arvioida kattavammin.</w:t>
      </w:r>
    </w:p>
    <w:p w14:paraId="141F4F32" w14:textId="77777777" w:rsidR="005D66E1" w:rsidRPr="005E1CA5" w:rsidRDefault="005D66E1" w:rsidP="002B6ACC">
      <w:pPr>
        <w:widowControl w:val="0"/>
        <w:numPr>
          <w:ilvl w:val="0"/>
          <w:numId w:val="20"/>
        </w:numPr>
        <w:overflowPunct w:val="0"/>
        <w:autoSpaceDE w:val="0"/>
        <w:autoSpaceDN w:val="0"/>
        <w:adjustRightInd w:val="0"/>
        <w:ind w:left="426" w:hanging="426"/>
        <w:textAlignment w:val="baseline"/>
      </w:pPr>
      <w:r w:rsidRPr="005E1CA5">
        <w:t>kannattaa yksinkertaistamistoimenpiteitä mutta korostaa, ettei millään niistä saa heikentää kuluttajansuojaa.</w:t>
      </w:r>
    </w:p>
    <w:p w14:paraId="102DFC2C" w14:textId="77777777" w:rsidR="005D66E1" w:rsidRPr="005E1CA5" w:rsidRDefault="005D66E1" w:rsidP="002B6ACC">
      <w:pPr>
        <w:widowControl w:val="0"/>
        <w:numPr>
          <w:ilvl w:val="0"/>
          <w:numId w:val="20"/>
        </w:numPr>
        <w:overflowPunct w:val="0"/>
        <w:autoSpaceDE w:val="0"/>
        <w:autoSpaceDN w:val="0"/>
        <w:adjustRightInd w:val="0"/>
        <w:ind w:left="426" w:hanging="426"/>
        <w:textAlignment w:val="baseline"/>
        <w:rPr>
          <w:rFonts w:asciiTheme="minorHAnsi" w:hAnsiTheme="minorHAnsi"/>
        </w:rPr>
      </w:pPr>
      <w:r w:rsidRPr="005E1CA5">
        <w:t>katsoo, että kuluttajansuojassa on otettava huomioon tilanteiden moninaisuus: on olemassa alueita (”kauppa-aavikoita”), joilla kauppoja ei yksinkertaisesti ole, ja tietyntyyppiset kuluttajat ovat haavoittuvia.</w:t>
      </w:r>
    </w:p>
    <w:p w14:paraId="4F2FD0A4" w14:textId="77777777" w:rsidR="005D66E1" w:rsidRPr="005E1CA5" w:rsidRDefault="005D66E1" w:rsidP="002B6ACC">
      <w:pPr>
        <w:widowControl w:val="0"/>
        <w:numPr>
          <w:ilvl w:val="0"/>
          <w:numId w:val="20"/>
        </w:numPr>
        <w:overflowPunct w:val="0"/>
        <w:autoSpaceDE w:val="0"/>
        <w:autoSpaceDN w:val="0"/>
        <w:adjustRightInd w:val="0"/>
        <w:ind w:left="426" w:hanging="426"/>
        <w:textAlignment w:val="baseline"/>
        <w:rPr>
          <w:rFonts w:asciiTheme="minorHAnsi" w:hAnsiTheme="minorHAnsi"/>
        </w:rPr>
      </w:pPr>
      <w:r w:rsidRPr="005E1CA5">
        <w:t>toivoo, että erityisesti Euroopan unionin ulkopuolisten verkkokauppa-alustojen kautta tuotavien tuotteiden vaarallisuuden tarkkailua nopeutettaisiin ja tehostettaisiin.</w:t>
      </w:r>
    </w:p>
    <w:p w14:paraId="7864074E" w14:textId="77777777" w:rsidR="005D66E1" w:rsidRPr="005E1CA5" w:rsidRDefault="005D66E1" w:rsidP="002B6ACC">
      <w:pPr>
        <w:widowControl w:val="0"/>
        <w:numPr>
          <w:ilvl w:val="0"/>
          <w:numId w:val="20"/>
        </w:numPr>
        <w:overflowPunct w:val="0"/>
        <w:autoSpaceDE w:val="0"/>
        <w:autoSpaceDN w:val="0"/>
        <w:adjustRightInd w:val="0"/>
        <w:ind w:left="426" w:hanging="426"/>
        <w:textAlignment w:val="baseline"/>
        <w:rPr>
          <w:rFonts w:asciiTheme="minorHAnsi" w:hAnsiTheme="minorHAnsi"/>
        </w:rPr>
      </w:pPr>
      <w:r w:rsidRPr="005E1CA5">
        <w:t>kehottaa kiinnittämään enemmän huomiota mikrotason oikeudenjakokäytäntöihin pieniä summia koskevien riitojen ratkaisemisessa.</w:t>
      </w:r>
    </w:p>
    <w:p w14:paraId="30793279" w14:textId="77777777" w:rsidR="005D66E1" w:rsidRPr="005E1CA5" w:rsidRDefault="005D66E1" w:rsidP="002B6ACC">
      <w:pPr>
        <w:widowControl w:val="0"/>
        <w:numPr>
          <w:ilvl w:val="0"/>
          <w:numId w:val="20"/>
        </w:numPr>
        <w:overflowPunct w:val="0"/>
        <w:autoSpaceDE w:val="0"/>
        <w:autoSpaceDN w:val="0"/>
        <w:adjustRightInd w:val="0"/>
        <w:ind w:left="426" w:hanging="426"/>
        <w:textAlignment w:val="baseline"/>
        <w:rPr>
          <w:rFonts w:asciiTheme="minorHAnsi" w:hAnsiTheme="minorHAnsi"/>
        </w:rPr>
      </w:pPr>
      <w:r w:rsidRPr="005E1CA5">
        <w:t>kannattaa digitalisaatioon liittyviä toimenpiteitä, mutta kehottaa huolehtimaan siitä, että kuluttajalla on kaikissa valitusasioissa aina mahdollisuus pyytää viime kädessä ihmiseltä vastausta kysymyksiinsä.</w:t>
      </w:r>
    </w:p>
    <w:p w14:paraId="34921E9B" w14:textId="77777777" w:rsidR="005D66E1" w:rsidRPr="005E1CA5" w:rsidRDefault="005D66E1" w:rsidP="002B6ACC">
      <w:pPr>
        <w:widowControl w:val="0"/>
        <w:numPr>
          <w:ilvl w:val="0"/>
          <w:numId w:val="20"/>
        </w:numPr>
        <w:overflowPunct w:val="0"/>
        <w:autoSpaceDE w:val="0"/>
        <w:autoSpaceDN w:val="0"/>
        <w:adjustRightInd w:val="0"/>
        <w:ind w:left="426" w:hanging="426"/>
        <w:textAlignment w:val="baseline"/>
        <w:rPr>
          <w:rFonts w:asciiTheme="minorHAnsi" w:hAnsiTheme="minorHAnsi"/>
        </w:rPr>
      </w:pPr>
      <w:r w:rsidRPr="005E1CA5">
        <w:t>kehottaa komissiota kiinnittämään enemmän huomiota kiertotalouteen ja tuotteiden kestävyyteen.</w:t>
      </w:r>
    </w:p>
    <w:p w14:paraId="64ACE132" w14:textId="77777777" w:rsidR="005D66E1" w:rsidRPr="005E1CA5" w:rsidRDefault="005D66E1" w:rsidP="002B6ACC">
      <w:pPr>
        <w:widowControl w:val="0"/>
        <w:numPr>
          <w:ilvl w:val="0"/>
          <w:numId w:val="20"/>
        </w:numPr>
        <w:overflowPunct w:val="0"/>
        <w:autoSpaceDE w:val="0"/>
        <w:autoSpaceDN w:val="0"/>
        <w:adjustRightInd w:val="0"/>
        <w:ind w:left="426" w:hanging="426"/>
        <w:textAlignment w:val="baseline"/>
        <w:rPr>
          <w:rFonts w:asciiTheme="minorHAnsi" w:hAnsiTheme="minorHAnsi"/>
        </w:rPr>
      </w:pPr>
      <w:r w:rsidRPr="005E1CA5">
        <w:t>perää järeitä politiikkatoimia kuluttajien – etenkin lasten – suojelemiseksi sosiaalisen median vaikuttajien kaupallisilta viesteiltä.</w:t>
      </w:r>
    </w:p>
    <w:p w14:paraId="5748208A" w14:textId="77777777" w:rsidR="005D66E1" w:rsidRPr="005E1CA5" w:rsidRDefault="005D66E1" w:rsidP="002B6ACC">
      <w:pPr>
        <w:widowControl w:val="0"/>
        <w:numPr>
          <w:ilvl w:val="0"/>
          <w:numId w:val="20"/>
        </w:numPr>
        <w:overflowPunct w:val="0"/>
        <w:autoSpaceDE w:val="0"/>
        <w:autoSpaceDN w:val="0"/>
        <w:adjustRightInd w:val="0"/>
        <w:ind w:left="426" w:hanging="426"/>
        <w:textAlignment w:val="baseline"/>
        <w:rPr>
          <w:rFonts w:asciiTheme="minorHAnsi" w:hAnsiTheme="minorHAnsi"/>
        </w:rPr>
      </w:pPr>
      <w:r w:rsidRPr="005E1CA5">
        <w:t>kannustaa jäsenvaltioita tukemaan kuluttajajärjestöjä.</w:t>
      </w:r>
    </w:p>
    <w:p w14:paraId="0515451F" w14:textId="77777777" w:rsidR="005D66E1" w:rsidRPr="005E1CA5" w:rsidRDefault="005D66E1" w:rsidP="007E4A83">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5D66E1" w:rsidRPr="005E1CA5" w14:paraId="18026A58" w14:textId="77777777" w:rsidTr="00120118">
        <w:tc>
          <w:tcPr>
            <w:tcW w:w="1418" w:type="dxa"/>
          </w:tcPr>
          <w:p w14:paraId="1C097AD3" w14:textId="77777777" w:rsidR="005D66E1" w:rsidRPr="005E1CA5" w:rsidRDefault="005D66E1" w:rsidP="007E4A83">
            <w:pPr>
              <w:rPr>
                <w:i/>
              </w:rPr>
            </w:pPr>
            <w:r w:rsidRPr="005E1CA5">
              <w:rPr>
                <w:b/>
                <w:i/>
              </w:rPr>
              <w:t>Yhteydenotot</w:t>
            </w:r>
          </w:p>
        </w:tc>
        <w:tc>
          <w:tcPr>
            <w:tcW w:w="5670" w:type="dxa"/>
          </w:tcPr>
          <w:p w14:paraId="32B9ABD9" w14:textId="77777777" w:rsidR="005D66E1" w:rsidRPr="005E1CA5" w:rsidRDefault="005D66E1" w:rsidP="007E4A83">
            <w:pPr>
              <w:rPr>
                <w:i/>
              </w:rPr>
            </w:pPr>
            <w:proofErr w:type="spellStart"/>
            <w:r w:rsidRPr="005E1CA5">
              <w:rPr>
                <w:i/>
              </w:rPr>
              <w:t>Radoslava</w:t>
            </w:r>
            <w:proofErr w:type="spellEnd"/>
            <w:r w:rsidRPr="005E1CA5">
              <w:rPr>
                <w:i/>
              </w:rPr>
              <w:t xml:space="preserve"> </w:t>
            </w:r>
            <w:proofErr w:type="spellStart"/>
            <w:r w:rsidRPr="005E1CA5">
              <w:rPr>
                <w:i/>
              </w:rPr>
              <w:t>Stefankova</w:t>
            </w:r>
            <w:proofErr w:type="spellEnd"/>
          </w:p>
        </w:tc>
      </w:tr>
      <w:tr w:rsidR="005D66E1" w:rsidRPr="005E1CA5" w14:paraId="12433BA6" w14:textId="77777777" w:rsidTr="00120118">
        <w:tc>
          <w:tcPr>
            <w:tcW w:w="1418" w:type="dxa"/>
          </w:tcPr>
          <w:p w14:paraId="2FB66286" w14:textId="77777777" w:rsidR="005D66E1" w:rsidRPr="005E1CA5" w:rsidRDefault="005D66E1" w:rsidP="007E4A83">
            <w:pPr>
              <w:rPr>
                <w:i/>
              </w:rPr>
            </w:pPr>
            <w:r w:rsidRPr="005E1CA5">
              <w:rPr>
                <w:i/>
              </w:rPr>
              <w:t>P.</w:t>
            </w:r>
          </w:p>
        </w:tc>
        <w:tc>
          <w:tcPr>
            <w:tcW w:w="5670" w:type="dxa"/>
          </w:tcPr>
          <w:p w14:paraId="02EE7D22" w14:textId="77777777" w:rsidR="005D66E1" w:rsidRPr="005E1CA5" w:rsidRDefault="005D66E1" w:rsidP="007E4A83">
            <w:pPr>
              <w:rPr>
                <w:i/>
              </w:rPr>
            </w:pPr>
            <w:r w:rsidRPr="005E1CA5">
              <w:rPr>
                <w:i/>
              </w:rPr>
              <w:t>+32 25468188</w:t>
            </w:r>
          </w:p>
        </w:tc>
      </w:tr>
      <w:tr w:rsidR="005D66E1" w:rsidRPr="005E1CA5" w14:paraId="5D11DE7D" w14:textId="77777777" w:rsidTr="00120118">
        <w:tc>
          <w:tcPr>
            <w:tcW w:w="1418" w:type="dxa"/>
          </w:tcPr>
          <w:p w14:paraId="38540EEC" w14:textId="77777777" w:rsidR="005D66E1" w:rsidRPr="005E1CA5" w:rsidRDefault="005D66E1" w:rsidP="007E4A83">
            <w:pPr>
              <w:rPr>
                <w:i/>
              </w:rPr>
            </w:pPr>
            <w:r w:rsidRPr="005E1CA5">
              <w:rPr>
                <w:i/>
              </w:rPr>
              <w:t>Sähköposti</w:t>
            </w:r>
          </w:p>
        </w:tc>
        <w:tc>
          <w:tcPr>
            <w:tcW w:w="5670" w:type="dxa"/>
          </w:tcPr>
          <w:p w14:paraId="0BCD4662" w14:textId="77777777" w:rsidR="005D66E1" w:rsidRPr="005E1CA5" w:rsidRDefault="003665FE" w:rsidP="007E4A83">
            <w:pPr>
              <w:rPr>
                <w:i/>
              </w:rPr>
            </w:pPr>
            <w:hyperlink r:id="rId37" w:history="1">
              <w:r w:rsidR="005D66E1" w:rsidRPr="005E1CA5">
                <w:rPr>
                  <w:rStyle w:val="Hyperlink"/>
                  <w:i/>
                </w:rPr>
                <w:t>Radoslava.Stefankova@eesc.europa.eu</w:t>
              </w:r>
            </w:hyperlink>
          </w:p>
        </w:tc>
      </w:tr>
    </w:tbl>
    <w:p w14:paraId="3CB734E0" w14:textId="1835E4F7" w:rsidR="00EB49F6" w:rsidRDefault="00EB49F6" w:rsidP="007E4A83"/>
    <w:p w14:paraId="669D95EB" w14:textId="77777777" w:rsidR="00EB49F6" w:rsidRDefault="00EB49F6" w:rsidP="007E4A83">
      <w:pPr>
        <w:spacing w:after="160"/>
        <w:jc w:val="left"/>
      </w:pPr>
      <w:r>
        <w:br w:type="page"/>
      </w:r>
    </w:p>
    <w:p w14:paraId="04487B5B" w14:textId="4D5AEEBA" w:rsidR="00EB49F6" w:rsidRPr="007E4A83" w:rsidRDefault="003665FE" w:rsidP="002B6ACC">
      <w:pPr>
        <w:widowControl w:val="0"/>
        <w:numPr>
          <w:ilvl w:val="0"/>
          <w:numId w:val="2"/>
        </w:numPr>
        <w:overflowPunct w:val="0"/>
        <w:autoSpaceDE w:val="0"/>
        <w:autoSpaceDN w:val="0"/>
        <w:adjustRightInd w:val="0"/>
        <w:ind w:hanging="567"/>
        <w:textAlignment w:val="baseline"/>
        <w:rPr>
          <w:sz w:val="28"/>
          <w:szCs w:val="28"/>
        </w:rPr>
      </w:pPr>
      <w:hyperlink r:id="rId38" w:history="1">
        <w:r w:rsidR="00EB49F6">
          <w:rPr>
            <w:rStyle w:val="Hyperlink"/>
            <w:b/>
            <w:i/>
            <w:sz w:val="28"/>
          </w:rPr>
          <w:t>Kyberturvallisuusasetus</w:t>
        </w:r>
      </w:hyperlink>
    </w:p>
    <w:p w14:paraId="6BB0FA11" w14:textId="77777777" w:rsidR="00EB49F6" w:rsidRPr="00A6689B" w:rsidRDefault="00EB49F6" w:rsidP="007E4A83">
      <w:pPr>
        <w:tabs>
          <w:tab w:val="center" w:pos="284"/>
        </w:tabs>
        <w:ind w:left="266" w:hanging="266"/>
        <w:rPr>
          <w:b/>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EB49F6" w:rsidRPr="00A6689B" w14:paraId="40475033" w14:textId="77777777" w:rsidTr="00120118">
        <w:tc>
          <w:tcPr>
            <w:tcW w:w="1701" w:type="dxa"/>
          </w:tcPr>
          <w:p w14:paraId="7F765E3A" w14:textId="77777777" w:rsidR="00EB49F6" w:rsidRPr="00A6689B" w:rsidRDefault="00EB49F6" w:rsidP="00120118">
            <w:pPr>
              <w:tabs>
                <w:tab w:val="center" w:pos="284"/>
              </w:tabs>
              <w:ind w:left="266" w:hanging="266"/>
              <w:rPr>
                <w:b/>
              </w:rPr>
            </w:pPr>
            <w:r>
              <w:rPr>
                <w:b/>
              </w:rPr>
              <w:t>Esittelijä</w:t>
            </w:r>
          </w:p>
        </w:tc>
        <w:tc>
          <w:tcPr>
            <w:tcW w:w="5387" w:type="dxa"/>
          </w:tcPr>
          <w:p w14:paraId="09D09CE2" w14:textId="77777777" w:rsidR="00EB49F6" w:rsidRDefault="00EB49F6" w:rsidP="00120118">
            <w:pPr>
              <w:tabs>
                <w:tab w:val="center" w:pos="284"/>
              </w:tabs>
              <w:ind w:left="266" w:hanging="266"/>
            </w:pPr>
            <w:proofErr w:type="spellStart"/>
            <w:r>
              <w:t>Miroslav</w:t>
            </w:r>
            <w:proofErr w:type="spellEnd"/>
            <w:r>
              <w:t xml:space="preserve"> HAJNOŠ (työntekijät – SK)</w:t>
            </w:r>
          </w:p>
          <w:p w14:paraId="7B09C13E" w14:textId="128EC2B7" w:rsidR="00477683" w:rsidRPr="00A6689B" w:rsidRDefault="00477683" w:rsidP="00120118">
            <w:pPr>
              <w:tabs>
                <w:tab w:val="center" w:pos="284"/>
              </w:tabs>
              <w:ind w:left="266" w:hanging="266"/>
            </w:pPr>
          </w:p>
        </w:tc>
      </w:tr>
      <w:tr w:rsidR="00EB49F6" w:rsidRPr="005268A4" w14:paraId="16386F9E" w14:textId="77777777" w:rsidTr="00120118">
        <w:tc>
          <w:tcPr>
            <w:tcW w:w="1701" w:type="dxa"/>
          </w:tcPr>
          <w:p w14:paraId="79959C74" w14:textId="77777777" w:rsidR="00EB49F6" w:rsidRPr="00A6689B" w:rsidRDefault="00EB49F6" w:rsidP="00120118">
            <w:pPr>
              <w:tabs>
                <w:tab w:val="center" w:pos="284"/>
              </w:tabs>
              <w:ind w:left="266" w:hanging="266"/>
              <w:rPr>
                <w:b/>
              </w:rPr>
            </w:pPr>
            <w:r>
              <w:rPr>
                <w:b/>
              </w:rPr>
              <w:t>Viiteasiakirjat</w:t>
            </w:r>
          </w:p>
        </w:tc>
        <w:tc>
          <w:tcPr>
            <w:tcW w:w="5387" w:type="dxa"/>
          </w:tcPr>
          <w:p w14:paraId="7B9FF9E2" w14:textId="5707FD7C" w:rsidR="00EB49F6" w:rsidRPr="00ED36BD" w:rsidRDefault="00EB49F6" w:rsidP="00120118">
            <w:pPr>
              <w:tabs>
                <w:tab w:val="center" w:pos="284"/>
              </w:tabs>
              <w:ind w:left="266" w:hanging="266"/>
            </w:pPr>
            <w:r>
              <w:t xml:space="preserve">COM(2026) 11 </w:t>
            </w:r>
            <w:proofErr w:type="spellStart"/>
            <w:r>
              <w:t>final</w:t>
            </w:r>
            <w:proofErr w:type="spellEnd"/>
            <w:r>
              <w:t xml:space="preserve"> </w:t>
            </w:r>
          </w:p>
          <w:p w14:paraId="43425B19" w14:textId="4084F19B" w:rsidR="00EB49F6" w:rsidRPr="00312337" w:rsidRDefault="00EB49F6" w:rsidP="00120118">
            <w:pPr>
              <w:tabs>
                <w:tab w:val="center" w:pos="284"/>
              </w:tabs>
              <w:ind w:left="266" w:hanging="266"/>
            </w:pPr>
            <w:r>
              <w:t xml:space="preserve">COM(2026) 13 </w:t>
            </w:r>
            <w:proofErr w:type="spellStart"/>
            <w:r>
              <w:t>final</w:t>
            </w:r>
            <w:proofErr w:type="spellEnd"/>
          </w:p>
          <w:p w14:paraId="63AD9BA2" w14:textId="77777777" w:rsidR="00EB49F6" w:rsidRPr="00312337" w:rsidRDefault="00EB49F6" w:rsidP="00120118">
            <w:pPr>
              <w:tabs>
                <w:tab w:val="center" w:pos="284"/>
              </w:tabs>
              <w:ind w:left="266" w:hanging="266"/>
            </w:pPr>
            <w:r>
              <w:t>EESC-2026-00075-00-00-AC</w:t>
            </w:r>
          </w:p>
        </w:tc>
      </w:tr>
    </w:tbl>
    <w:p w14:paraId="0E1ECB1B" w14:textId="77777777" w:rsidR="00EB49F6" w:rsidRPr="007E4A83" w:rsidRDefault="00EB49F6" w:rsidP="007E4A83">
      <w:pPr>
        <w:tabs>
          <w:tab w:val="center" w:pos="284"/>
        </w:tabs>
        <w:ind w:left="266" w:hanging="266"/>
      </w:pPr>
      <w:r>
        <w:br w:type="textWrapping" w:clear="all"/>
      </w:r>
    </w:p>
    <w:p w14:paraId="4E6281F5" w14:textId="77777777" w:rsidR="00EB49F6" w:rsidRPr="007E4A83" w:rsidRDefault="00EB49F6" w:rsidP="007E4A83">
      <w:pPr>
        <w:keepNext/>
        <w:keepLines/>
        <w:tabs>
          <w:tab w:val="center" w:pos="284"/>
        </w:tabs>
        <w:ind w:left="266" w:hanging="266"/>
        <w:rPr>
          <w:b/>
        </w:rPr>
      </w:pPr>
      <w:r w:rsidRPr="007E4A83">
        <w:rPr>
          <w:b/>
        </w:rPr>
        <w:t>Keskeiset kohdat</w:t>
      </w:r>
    </w:p>
    <w:p w14:paraId="342061DB" w14:textId="77777777" w:rsidR="00EB49F6" w:rsidRPr="007E4A83" w:rsidRDefault="00EB49F6" w:rsidP="007E4A83">
      <w:pPr>
        <w:keepNext/>
        <w:keepLines/>
        <w:tabs>
          <w:tab w:val="center" w:pos="284"/>
        </w:tabs>
        <w:ind w:left="266" w:hanging="266"/>
        <w:rPr>
          <w:b/>
        </w:rPr>
      </w:pPr>
    </w:p>
    <w:p w14:paraId="5956DDD5" w14:textId="77777777" w:rsidR="00EB49F6" w:rsidRPr="007E4A83" w:rsidRDefault="00EB49F6" w:rsidP="007E4A83">
      <w:pPr>
        <w:rPr>
          <w:bCs/>
          <w:iCs/>
        </w:rPr>
      </w:pPr>
      <w:r w:rsidRPr="007E4A83">
        <w:t>ETSK</w:t>
      </w:r>
    </w:p>
    <w:p w14:paraId="49F60060" w14:textId="77777777" w:rsidR="00EB49F6" w:rsidRPr="007E4A83" w:rsidRDefault="00EB49F6" w:rsidP="002B6ACC">
      <w:pPr>
        <w:widowControl w:val="0"/>
        <w:numPr>
          <w:ilvl w:val="0"/>
          <w:numId w:val="21"/>
        </w:numPr>
        <w:overflowPunct w:val="0"/>
        <w:autoSpaceDE w:val="0"/>
        <w:autoSpaceDN w:val="0"/>
        <w:adjustRightInd w:val="0"/>
        <w:ind w:left="426" w:hanging="426"/>
        <w:textAlignment w:val="baseline"/>
        <w:rPr>
          <w:bCs/>
          <w:iCs/>
          <w:spacing w:val="-2"/>
        </w:rPr>
      </w:pPr>
      <w:r w:rsidRPr="007E4A83">
        <w:rPr>
          <w:spacing w:val="-2"/>
        </w:rPr>
        <w:t xml:space="preserve">suhtautuu myönteisesti kyberturvallisuusasetuksen tarkistamiseen ja NIS 2 -direktiivin muutoksiin ja korostaa, että kyberturvallisuutta on käsiteltävä </w:t>
      </w:r>
      <w:r w:rsidRPr="007E4A83">
        <w:rPr>
          <w:b/>
          <w:spacing w:val="-2"/>
        </w:rPr>
        <w:t>taloudellisen turvallisuuden ja geopoliittisen häiriönsietokyvyn kannalta keskeisenä kysymyksenä</w:t>
      </w:r>
      <w:r w:rsidRPr="007E4A83">
        <w:rPr>
          <w:spacing w:val="-2"/>
        </w:rPr>
        <w:t xml:space="preserve"> samalla kun yksinkertaistetaan sääntöjä ja vähennetään yritysten hallinnollista taakkaa.</w:t>
      </w:r>
    </w:p>
    <w:p w14:paraId="7D794900" w14:textId="77777777" w:rsidR="00EB49F6" w:rsidRPr="007E4A83" w:rsidRDefault="00EB49F6" w:rsidP="002B6ACC">
      <w:pPr>
        <w:widowControl w:val="0"/>
        <w:numPr>
          <w:ilvl w:val="0"/>
          <w:numId w:val="21"/>
        </w:numPr>
        <w:overflowPunct w:val="0"/>
        <w:autoSpaceDE w:val="0"/>
        <w:autoSpaceDN w:val="0"/>
        <w:adjustRightInd w:val="0"/>
        <w:ind w:left="426" w:hanging="426"/>
        <w:textAlignment w:val="baseline"/>
        <w:rPr>
          <w:bCs/>
          <w:iCs/>
          <w:spacing w:val="-2"/>
        </w:rPr>
      </w:pPr>
      <w:r w:rsidRPr="007E4A83">
        <w:rPr>
          <w:spacing w:val="-2"/>
        </w:rPr>
        <w:t xml:space="preserve">pyytää </w:t>
      </w:r>
      <w:r w:rsidRPr="007E4A83">
        <w:rPr>
          <w:b/>
          <w:spacing w:val="-2"/>
        </w:rPr>
        <w:t>vahvistamaan Euroopan unionin kyberturvallisuusvirastoa (ENISA) ja osoittamaan sille nykyistä enemmän resursseja</w:t>
      </w:r>
      <w:r w:rsidRPr="007E4A83">
        <w:rPr>
          <w:spacing w:val="-2"/>
        </w:rPr>
        <w:t>, mikä edellyttää selkeää ja konsolidoitua mandaattia sekä riittävää rahoitusta ja henkilöstöä, jotta virasto voi huolehtia laajentuneista vastuistaan, mukaan lukien taitojen kehittäminen ja sertifioiminen.</w:t>
      </w:r>
    </w:p>
    <w:p w14:paraId="30F274F2" w14:textId="77777777" w:rsidR="00EB49F6" w:rsidRPr="007E4A83" w:rsidRDefault="00EB49F6" w:rsidP="002B6ACC">
      <w:pPr>
        <w:widowControl w:val="0"/>
        <w:numPr>
          <w:ilvl w:val="0"/>
          <w:numId w:val="21"/>
        </w:numPr>
        <w:overflowPunct w:val="0"/>
        <w:autoSpaceDE w:val="0"/>
        <w:autoSpaceDN w:val="0"/>
        <w:adjustRightInd w:val="0"/>
        <w:ind w:left="426" w:hanging="426"/>
        <w:textAlignment w:val="baseline"/>
        <w:rPr>
          <w:bCs/>
          <w:iCs/>
          <w:spacing w:val="-2"/>
        </w:rPr>
      </w:pPr>
      <w:r w:rsidRPr="007E4A83">
        <w:rPr>
          <w:spacing w:val="-2"/>
        </w:rPr>
        <w:t xml:space="preserve">korostaa </w:t>
      </w:r>
      <w:r w:rsidRPr="007E4A83">
        <w:rPr>
          <w:b/>
          <w:spacing w:val="-2"/>
        </w:rPr>
        <w:t>työvoiman osaamisen ja koulutuksen</w:t>
      </w:r>
      <w:r w:rsidRPr="007E4A83">
        <w:rPr>
          <w:spacing w:val="-2"/>
        </w:rPr>
        <w:t xml:space="preserve"> ratkaisevaa roolia kyberturvallisuuden häiriönsietokyvyn kannalta ja kannattaa EU:n laajuisia osaamiskehyksiä ja sertifiointijärjestelmiä samalla kun varmistetaan, että ne pysyvät käytännöllisinä, oikeasuhteisina ja kaikissa jäsenvaltioissa saavutettavina.</w:t>
      </w:r>
    </w:p>
    <w:p w14:paraId="607D29C6" w14:textId="77777777" w:rsidR="00EB49F6" w:rsidRPr="007E4A83" w:rsidRDefault="00EB49F6" w:rsidP="002B6ACC">
      <w:pPr>
        <w:widowControl w:val="0"/>
        <w:numPr>
          <w:ilvl w:val="0"/>
          <w:numId w:val="21"/>
        </w:numPr>
        <w:overflowPunct w:val="0"/>
        <w:autoSpaceDE w:val="0"/>
        <w:autoSpaceDN w:val="0"/>
        <w:adjustRightInd w:val="0"/>
        <w:ind w:left="426" w:hanging="426"/>
        <w:textAlignment w:val="baseline"/>
        <w:rPr>
          <w:bCs/>
          <w:iCs/>
          <w:spacing w:val="-2"/>
        </w:rPr>
      </w:pPr>
      <w:r w:rsidRPr="007E4A83">
        <w:rPr>
          <w:spacing w:val="-2"/>
        </w:rPr>
        <w:t xml:space="preserve">painottaa kyberturvallisuuden kasvavaa merkitystä </w:t>
      </w:r>
      <w:r w:rsidRPr="007E4A83">
        <w:rPr>
          <w:b/>
          <w:spacing w:val="-2"/>
        </w:rPr>
        <w:t>demokratioiden selviytymiskyvylle</w:t>
      </w:r>
      <w:r w:rsidRPr="007E4A83">
        <w:rPr>
          <w:spacing w:val="-2"/>
        </w:rPr>
        <w:t xml:space="preserve"> ja kehottaa </w:t>
      </w:r>
      <w:r w:rsidRPr="007E4A83">
        <w:rPr>
          <w:b/>
          <w:spacing w:val="-2"/>
        </w:rPr>
        <w:t xml:space="preserve">parantamaan EU-tason koordinointia, </w:t>
      </w:r>
      <w:r w:rsidRPr="007E4A83">
        <w:rPr>
          <w:spacing w:val="-2"/>
        </w:rPr>
        <w:t>jotta vaaleja ja kriittistä infrastruktuuria voidaan suojella kyberhyökkäyksiltä, disinformaatiolta ja ulkomaiselta sekaantumiselta.</w:t>
      </w:r>
    </w:p>
    <w:p w14:paraId="3CB8842C" w14:textId="77777777" w:rsidR="00EB49F6" w:rsidRPr="007E4A83" w:rsidRDefault="00EB49F6" w:rsidP="002B6ACC">
      <w:pPr>
        <w:widowControl w:val="0"/>
        <w:numPr>
          <w:ilvl w:val="0"/>
          <w:numId w:val="21"/>
        </w:numPr>
        <w:overflowPunct w:val="0"/>
        <w:autoSpaceDE w:val="0"/>
        <w:autoSpaceDN w:val="0"/>
        <w:adjustRightInd w:val="0"/>
        <w:ind w:left="426" w:hanging="426"/>
        <w:textAlignment w:val="baseline"/>
        <w:rPr>
          <w:bCs/>
          <w:iCs/>
          <w:spacing w:val="-2"/>
        </w:rPr>
      </w:pPr>
      <w:r w:rsidRPr="007E4A83">
        <w:rPr>
          <w:spacing w:val="-2"/>
        </w:rPr>
        <w:t xml:space="preserve">kannattaa nk. sertifioi kerran, sertifioi kaikkialla -malliin perustuvaa </w:t>
      </w:r>
      <w:r w:rsidRPr="007E4A83">
        <w:rPr>
          <w:b/>
          <w:spacing w:val="-2"/>
        </w:rPr>
        <w:t>virtaviivaistettua ja tehokasta sertifiointikehystä</w:t>
      </w:r>
      <w:r w:rsidRPr="007E4A83">
        <w:rPr>
          <w:spacing w:val="-2"/>
        </w:rPr>
        <w:t xml:space="preserve">, joka takaa oikeudellisen selkeyden, avoimuuden ja oikeasuhteisuuden erityisesti pienten ja keskisuurten yritysten ja </w:t>
      </w:r>
      <w:proofErr w:type="spellStart"/>
      <w:r w:rsidRPr="007E4A83">
        <w:rPr>
          <w:spacing w:val="-2"/>
        </w:rPr>
        <w:t>rajatylittävien</w:t>
      </w:r>
      <w:proofErr w:type="spellEnd"/>
      <w:r w:rsidRPr="007E4A83">
        <w:rPr>
          <w:spacing w:val="-2"/>
        </w:rPr>
        <w:t xml:space="preserve"> toimijoiden kannalta.</w:t>
      </w:r>
    </w:p>
    <w:p w14:paraId="0DB34D66" w14:textId="77777777" w:rsidR="00EB49F6" w:rsidRPr="007E4A83" w:rsidRDefault="00EB49F6" w:rsidP="002B6ACC">
      <w:pPr>
        <w:widowControl w:val="0"/>
        <w:numPr>
          <w:ilvl w:val="0"/>
          <w:numId w:val="21"/>
        </w:numPr>
        <w:overflowPunct w:val="0"/>
        <w:autoSpaceDE w:val="0"/>
        <w:autoSpaceDN w:val="0"/>
        <w:adjustRightInd w:val="0"/>
        <w:ind w:left="426" w:hanging="426"/>
        <w:textAlignment w:val="baseline"/>
        <w:rPr>
          <w:bCs/>
          <w:iCs/>
          <w:spacing w:val="-2"/>
        </w:rPr>
      </w:pPr>
      <w:r w:rsidRPr="007E4A83">
        <w:rPr>
          <w:spacing w:val="-2"/>
        </w:rPr>
        <w:t xml:space="preserve">kehottaa soveltamaan </w:t>
      </w:r>
      <w:r w:rsidRPr="007E4A83">
        <w:rPr>
          <w:b/>
          <w:spacing w:val="-2"/>
        </w:rPr>
        <w:t>tieto- ja viestintätekniikan toimitusketjun turvallisuuteen tasapainoista lähestymistapaa</w:t>
      </w:r>
      <w:r w:rsidRPr="007E4A83">
        <w:rPr>
          <w:spacing w:val="-2"/>
        </w:rPr>
        <w:t>, johon kuuluu avoimia ja riskiperusteisia toimenpiteitä sekä taloudellisten, operatiivisten ja sosiaalisten vaikutusten kattava arviointi samalla kun vältetään kohtuuttomat vaatimusten noudattamiseen liittyvät rasitteet ja varmistetaan työmarkkinaosapuolten ja sidosryhmien vahva osallistuminen.</w:t>
      </w:r>
    </w:p>
    <w:p w14:paraId="32AD0B7C" w14:textId="77777777" w:rsidR="00EB49F6" w:rsidRPr="007E4A83" w:rsidRDefault="00EB49F6" w:rsidP="007E4A83">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EB49F6" w:rsidRPr="007E4A83" w14:paraId="78D012AA" w14:textId="77777777" w:rsidTr="00120118">
        <w:tc>
          <w:tcPr>
            <w:tcW w:w="1418" w:type="dxa"/>
          </w:tcPr>
          <w:p w14:paraId="339E6E30" w14:textId="77777777" w:rsidR="00EB49F6" w:rsidRPr="007E4A83" w:rsidRDefault="00EB49F6" w:rsidP="007E4A83">
            <w:pPr>
              <w:rPr>
                <w:i/>
              </w:rPr>
            </w:pPr>
            <w:r w:rsidRPr="007E4A83">
              <w:rPr>
                <w:b/>
                <w:i/>
              </w:rPr>
              <w:t>Yhteydenotot</w:t>
            </w:r>
          </w:p>
        </w:tc>
        <w:tc>
          <w:tcPr>
            <w:tcW w:w="5670" w:type="dxa"/>
          </w:tcPr>
          <w:p w14:paraId="5FF5EE9E" w14:textId="77777777" w:rsidR="00EB49F6" w:rsidRPr="007E4A83" w:rsidRDefault="00EB49F6" w:rsidP="007E4A83">
            <w:pPr>
              <w:rPr>
                <w:i/>
              </w:rPr>
            </w:pPr>
            <w:r w:rsidRPr="007E4A83">
              <w:rPr>
                <w:i/>
              </w:rPr>
              <w:t xml:space="preserve">Silvia </w:t>
            </w:r>
            <w:proofErr w:type="spellStart"/>
            <w:r w:rsidRPr="007E4A83">
              <w:rPr>
                <w:i/>
              </w:rPr>
              <w:t>Staffa</w:t>
            </w:r>
            <w:proofErr w:type="spellEnd"/>
          </w:p>
        </w:tc>
      </w:tr>
      <w:tr w:rsidR="00EB49F6" w:rsidRPr="007E4A83" w14:paraId="749D6FC8" w14:textId="77777777" w:rsidTr="00120118">
        <w:tc>
          <w:tcPr>
            <w:tcW w:w="1418" w:type="dxa"/>
          </w:tcPr>
          <w:p w14:paraId="6168F9D8" w14:textId="77777777" w:rsidR="00EB49F6" w:rsidRPr="007E4A83" w:rsidRDefault="00EB49F6" w:rsidP="007E4A83">
            <w:pPr>
              <w:rPr>
                <w:i/>
              </w:rPr>
            </w:pPr>
            <w:r w:rsidRPr="007E4A83">
              <w:rPr>
                <w:i/>
              </w:rPr>
              <w:t>P.</w:t>
            </w:r>
          </w:p>
        </w:tc>
        <w:tc>
          <w:tcPr>
            <w:tcW w:w="5670" w:type="dxa"/>
          </w:tcPr>
          <w:p w14:paraId="1345B780" w14:textId="77777777" w:rsidR="00EB49F6" w:rsidRPr="007E4A83" w:rsidRDefault="00EB49F6" w:rsidP="007E4A83">
            <w:pPr>
              <w:rPr>
                <w:i/>
              </w:rPr>
            </w:pPr>
            <w:r w:rsidRPr="007E4A83">
              <w:rPr>
                <w:i/>
              </w:rPr>
              <w:t>+32 25468378</w:t>
            </w:r>
          </w:p>
        </w:tc>
      </w:tr>
      <w:tr w:rsidR="00EB49F6" w:rsidRPr="007E4A83" w14:paraId="23C6DF40" w14:textId="77777777" w:rsidTr="00120118">
        <w:tc>
          <w:tcPr>
            <w:tcW w:w="1418" w:type="dxa"/>
          </w:tcPr>
          <w:p w14:paraId="56D63408" w14:textId="77777777" w:rsidR="00EB49F6" w:rsidRPr="007E4A83" w:rsidRDefault="00EB49F6" w:rsidP="007E4A83">
            <w:pPr>
              <w:rPr>
                <w:i/>
              </w:rPr>
            </w:pPr>
            <w:r w:rsidRPr="007E4A83">
              <w:rPr>
                <w:i/>
              </w:rPr>
              <w:t>Sähköposti</w:t>
            </w:r>
          </w:p>
        </w:tc>
        <w:tc>
          <w:tcPr>
            <w:tcW w:w="5670" w:type="dxa"/>
          </w:tcPr>
          <w:p w14:paraId="7296F1CB" w14:textId="77777777" w:rsidR="00EB49F6" w:rsidRPr="007E4A83" w:rsidRDefault="003665FE" w:rsidP="007E4A83">
            <w:pPr>
              <w:rPr>
                <w:i/>
                <w:lang w:val="en-US"/>
              </w:rPr>
            </w:pPr>
            <w:hyperlink r:id="rId39" w:history="1">
              <w:r w:rsidR="00EB49F6" w:rsidRPr="007E4A83">
                <w:rPr>
                  <w:rStyle w:val="Hyperlink"/>
                  <w:i/>
                </w:rPr>
                <w:t>Silvia.Staffa@eesc.europa.eu</w:t>
              </w:r>
            </w:hyperlink>
          </w:p>
        </w:tc>
      </w:tr>
    </w:tbl>
    <w:p w14:paraId="276992EA" w14:textId="406A131C" w:rsidR="00EB49F6" w:rsidRPr="007E4A83" w:rsidRDefault="00EB49F6" w:rsidP="007E4A83"/>
    <w:p w14:paraId="406BF4CF" w14:textId="77777777" w:rsidR="00EB49F6" w:rsidRDefault="00EB49F6">
      <w:pPr>
        <w:spacing w:after="160" w:line="259" w:lineRule="auto"/>
        <w:jc w:val="left"/>
      </w:pPr>
      <w:r>
        <w:br w:type="page"/>
      </w:r>
    </w:p>
    <w:p w14:paraId="5BC38CE3" w14:textId="7BBF1F0C" w:rsidR="00EB49F6" w:rsidRPr="007E4A83" w:rsidRDefault="003665FE" w:rsidP="002B6ACC">
      <w:pPr>
        <w:widowControl w:val="0"/>
        <w:numPr>
          <w:ilvl w:val="0"/>
          <w:numId w:val="2"/>
        </w:numPr>
        <w:overflowPunct w:val="0"/>
        <w:autoSpaceDE w:val="0"/>
        <w:autoSpaceDN w:val="0"/>
        <w:adjustRightInd w:val="0"/>
        <w:ind w:hanging="567"/>
        <w:textAlignment w:val="baseline"/>
        <w:rPr>
          <w:sz w:val="28"/>
          <w:szCs w:val="28"/>
        </w:rPr>
      </w:pPr>
      <w:hyperlink r:id="rId40" w:history="1">
        <w:r w:rsidR="00EB49F6">
          <w:rPr>
            <w:rStyle w:val="Hyperlink"/>
            <w:b/>
            <w:i/>
            <w:sz w:val="28"/>
          </w:rPr>
          <w:t>Euroopan lääkealan kliinisen huippuosaamisen keskuksen perustaminen</w:t>
        </w:r>
      </w:hyperlink>
    </w:p>
    <w:p w14:paraId="7800D8B9" w14:textId="77777777" w:rsidR="00EB49F6" w:rsidRPr="00D76CC2" w:rsidRDefault="00EB49F6" w:rsidP="007E4A83">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EB49F6" w:rsidRPr="00D76CC2" w14:paraId="310F0173" w14:textId="77777777" w:rsidTr="007E4A83">
        <w:tc>
          <w:tcPr>
            <w:tcW w:w="1701" w:type="dxa"/>
          </w:tcPr>
          <w:p w14:paraId="53871F80" w14:textId="77777777" w:rsidR="00EB49F6" w:rsidRPr="00D76CC2" w:rsidRDefault="00EB49F6" w:rsidP="007E4A83">
            <w:pPr>
              <w:tabs>
                <w:tab w:val="center" w:pos="284"/>
              </w:tabs>
              <w:ind w:left="266" w:hanging="266"/>
              <w:rPr>
                <w:b/>
              </w:rPr>
            </w:pPr>
            <w:r>
              <w:rPr>
                <w:b/>
              </w:rPr>
              <w:t>Esittelijä</w:t>
            </w:r>
          </w:p>
        </w:tc>
        <w:tc>
          <w:tcPr>
            <w:tcW w:w="7371" w:type="dxa"/>
          </w:tcPr>
          <w:p w14:paraId="01D059BB" w14:textId="77777777" w:rsidR="00EB49F6" w:rsidRPr="00D76CC2" w:rsidRDefault="00EB49F6" w:rsidP="007E4A83">
            <w:pPr>
              <w:tabs>
                <w:tab w:val="center" w:pos="284"/>
              </w:tabs>
              <w:ind w:left="266" w:hanging="266"/>
            </w:pPr>
            <w:proofErr w:type="spellStart"/>
            <w:r>
              <w:t>Veselin</w:t>
            </w:r>
            <w:proofErr w:type="spellEnd"/>
            <w:r>
              <w:t xml:space="preserve"> MITOV (työntekijät – BG)</w:t>
            </w:r>
          </w:p>
        </w:tc>
      </w:tr>
      <w:tr w:rsidR="00EB49F6" w:rsidRPr="00D76CC2" w14:paraId="400BEA3C" w14:textId="77777777" w:rsidTr="007E4A83">
        <w:tc>
          <w:tcPr>
            <w:tcW w:w="9072" w:type="dxa"/>
            <w:gridSpan w:val="2"/>
          </w:tcPr>
          <w:p w14:paraId="27B75A32" w14:textId="77777777" w:rsidR="00EB49F6" w:rsidRPr="00D76CC2" w:rsidRDefault="00EB49F6" w:rsidP="007E4A83">
            <w:pPr>
              <w:tabs>
                <w:tab w:val="center" w:pos="284"/>
              </w:tabs>
              <w:ind w:left="266" w:hanging="266"/>
              <w:rPr>
                <w:lang w:val="en-US"/>
              </w:rPr>
            </w:pPr>
          </w:p>
        </w:tc>
      </w:tr>
      <w:tr w:rsidR="00EB49F6" w:rsidRPr="00D76CC2" w14:paraId="206A2C10" w14:textId="77777777" w:rsidTr="007E4A83">
        <w:trPr>
          <w:trHeight w:val="404"/>
        </w:trPr>
        <w:tc>
          <w:tcPr>
            <w:tcW w:w="1701" w:type="dxa"/>
          </w:tcPr>
          <w:p w14:paraId="2425D0DF" w14:textId="77777777" w:rsidR="00EB49F6" w:rsidRPr="00D76CC2" w:rsidRDefault="00EB49F6" w:rsidP="007E4A83">
            <w:pPr>
              <w:tabs>
                <w:tab w:val="center" w:pos="284"/>
              </w:tabs>
              <w:ind w:left="266" w:hanging="266"/>
              <w:rPr>
                <w:b/>
              </w:rPr>
            </w:pPr>
            <w:r>
              <w:rPr>
                <w:b/>
              </w:rPr>
              <w:t>Viiteasiakirjat</w:t>
            </w:r>
          </w:p>
        </w:tc>
        <w:tc>
          <w:tcPr>
            <w:tcW w:w="7371" w:type="dxa"/>
          </w:tcPr>
          <w:p w14:paraId="59CAC304" w14:textId="52D38327" w:rsidR="00EB49F6" w:rsidRPr="00655405" w:rsidRDefault="000C3B46" w:rsidP="007E4A83">
            <w:pPr>
              <w:tabs>
                <w:tab w:val="center" w:pos="0"/>
              </w:tabs>
            </w:pPr>
            <w:r w:rsidRPr="00DB6C97">
              <w:rPr>
                <w:bCs/>
              </w:rPr>
              <w:t>puheenjohtajavaltio Kyproksen pyytämä valmisteleva lausunto</w:t>
            </w:r>
          </w:p>
          <w:p w14:paraId="52A85FA5" w14:textId="06505686" w:rsidR="00EB49F6" w:rsidRPr="00655405" w:rsidRDefault="00EB49F6" w:rsidP="007E4A83">
            <w:pPr>
              <w:tabs>
                <w:tab w:val="center" w:pos="284"/>
              </w:tabs>
              <w:ind w:left="266" w:hanging="266"/>
            </w:pPr>
            <w:r>
              <w:t>EESC-2025-03937-00-00-AC</w:t>
            </w:r>
          </w:p>
        </w:tc>
      </w:tr>
    </w:tbl>
    <w:p w14:paraId="2429239A" w14:textId="77777777" w:rsidR="00EB49F6" w:rsidRPr="00655405" w:rsidRDefault="00EB49F6" w:rsidP="007E4A83">
      <w:pPr>
        <w:tabs>
          <w:tab w:val="center" w:pos="284"/>
        </w:tabs>
        <w:ind w:left="266" w:hanging="266"/>
        <w:rPr>
          <w:lang w:val="en-US"/>
        </w:rPr>
      </w:pPr>
    </w:p>
    <w:p w14:paraId="594790DA" w14:textId="77777777" w:rsidR="00EB49F6" w:rsidRPr="00A6689B" w:rsidRDefault="00EB49F6" w:rsidP="007E4A83">
      <w:pPr>
        <w:keepNext/>
        <w:keepLines/>
        <w:tabs>
          <w:tab w:val="center" w:pos="284"/>
        </w:tabs>
        <w:ind w:left="266" w:hanging="266"/>
        <w:rPr>
          <w:b/>
        </w:rPr>
      </w:pPr>
      <w:r>
        <w:rPr>
          <w:b/>
        </w:rPr>
        <w:t>Keskeiset kohdat</w:t>
      </w:r>
    </w:p>
    <w:p w14:paraId="298CE718" w14:textId="77777777" w:rsidR="00EB49F6" w:rsidRPr="00A6689B" w:rsidRDefault="00EB49F6" w:rsidP="007E4A83">
      <w:pPr>
        <w:keepNext/>
        <w:keepLines/>
        <w:tabs>
          <w:tab w:val="center" w:pos="284"/>
        </w:tabs>
        <w:ind w:left="266" w:hanging="266"/>
        <w:rPr>
          <w:b/>
        </w:rPr>
      </w:pPr>
    </w:p>
    <w:p w14:paraId="1D8A4CC7" w14:textId="77777777" w:rsidR="00EB49F6" w:rsidRPr="00A6689B" w:rsidRDefault="00EB49F6" w:rsidP="007E4A83">
      <w:pPr>
        <w:rPr>
          <w:bCs/>
          <w:iCs/>
        </w:rPr>
      </w:pPr>
      <w:r>
        <w:t>ETSK</w:t>
      </w:r>
    </w:p>
    <w:p w14:paraId="5DB02597" w14:textId="77777777" w:rsidR="00EB49F6" w:rsidRPr="0006358D" w:rsidRDefault="00EB49F6" w:rsidP="002B6ACC">
      <w:pPr>
        <w:widowControl w:val="0"/>
        <w:numPr>
          <w:ilvl w:val="0"/>
          <w:numId w:val="22"/>
        </w:numPr>
        <w:overflowPunct w:val="0"/>
        <w:autoSpaceDE w:val="0"/>
        <w:autoSpaceDN w:val="0"/>
        <w:adjustRightInd w:val="0"/>
        <w:ind w:left="426" w:hanging="426"/>
        <w:textAlignment w:val="baseline"/>
        <w:rPr>
          <w:bCs/>
          <w:iCs/>
        </w:rPr>
      </w:pPr>
      <w:r>
        <w:t>suosittaa, että perustetaan Euroopan kliinisen huippuosaamisen keskus (ECCE) ohjeellisia suosituksia esittäväksi EU:n asiantuntijaelimeksi, jonka tehtävänä on antaa laadukasta kliinistä ohjeistusta tieteellisen näytön pohjalta toissijaisuus- ja suhteellisuusperiaatteita noudattaen ja siten edistää tasapuolisia mahdollisuuksia saada laadukasta hoitoa kaikkialla EU:ssa.</w:t>
      </w:r>
    </w:p>
    <w:p w14:paraId="499EEDA4" w14:textId="77777777" w:rsidR="00EB49F6" w:rsidRPr="00A6689B" w:rsidRDefault="00EB49F6" w:rsidP="002B6ACC">
      <w:pPr>
        <w:widowControl w:val="0"/>
        <w:numPr>
          <w:ilvl w:val="0"/>
          <w:numId w:val="22"/>
        </w:numPr>
        <w:overflowPunct w:val="0"/>
        <w:autoSpaceDE w:val="0"/>
        <w:autoSpaceDN w:val="0"/>
        <w:adjustRightInd w:val="0"/>
        <w:ind w:left="426" w:hanging="426"/>
        <w:textAlignment w:val="baseline"/>
        <w:rPr>
          <w:bCs/>
          <w:iCs/>
        </w:rPr>
      </w:pPr>
      <w:r>
        <w:t xml:space="preserve">katsoo, että </w:t>
      </w:r>
      <w:proofErr w:type="spellStart"/>
      <w:r>
        <w:t>ECCE:n</w:t>
      </w:r>
      <w:proofErr w:type="spellEnd"/>
      <w:r>
        <w:t xml:space="preserve"> olisi oltava osa laajempaa EU:n </w:t>
      </w:r>
      <w:proofErr w:type="spellStart"/>
      <w:r>
        <w:t>terveysresilienssistrategiaa</w:t>
      </w:r>
      <w:proofErr w:type="spellEnd"/>
      <w:r>
        <w:t>, jolla pyrittäisiin edistämään tieteellistä yhteistyötä, innovaatioiden käyttöönottoa ja EU:n strategista riippumattomuutta.</w:t>
      </w:r>
    </w:p>
    <w:p w14:paraId="710F99F9" w14:textId="77777777" w:rsidR="00EB49F6" w:rsidRPr="000353AF" w:rsidRDefault="00EB49F6" w:rsidP="002B6ACC">
      <w:pPr>
        <w:widowControl w:val="0"/>
        <w:numPr>
          <w:ilvl w:val="0"/>
          <w:numId w:val="22"/>
        </w:numPr>
        <w:overflowPunct w:val="0"/>
        <w:autoSpaceDE w:val="0"/>
        <w:autoSpaceDN w:val="0"/>
        <w:adjustRightInd w:val="0"/>
        <w:ind w:left="426" w:hanging="426"/>
        <w:textAlignment w:val="baseline"/>
        <w:rPr>
          <w:bCs/>
          <w:iCs/>
        </w:rPr>
      </w:pPr>
      <w:r>
        <w:t xml:space="preserve">toteaa, että </w:t>
      </w:r>
      <w:proofErr w:type="spellStart"/>
      <w:r>
        <w:t>ECCE:n</w:t>
      </w:r>
      <w:proofErr w:type="spellEnd"/>
      <w:r>
        <w:t xml:space="preserve"> ei pitäisi korvata EU:n ja jäsenvaltioiden nykyisiä rakenteita, vaan sen olisi täydennettävä niitä ja toimittava yhteisenä tieteellisenä auktoriteettina. Sen toiminta edellyttää vankkaa hallintojärjestelmää.</w:t>
      </w:r>
    </w:p>
    <w:p w14:paraId="7E92C6C9" w14:textId="77777777" w:rsidR="00EB49F6" w:rsidRPr="00A6689B" w:rsidRDefault="00EB49F6" w:rsidP="002B6ACC">
      <w:pPr>
        <w:widowControl w:val="0"/>
        <w:numPr>
          <w:ilvl w:val="0"/>
          <w:numId w:val="22"/>
        </w:numPr>
        <w:overflowPunct w:val="0"/>
        <w:autoSpaceDE w:val="0"/>
        <w:autoSpaceDN w:val="0"/>
        <w:adjustRightInd w:val="0"/>
        <w:ind w:left="426" w:hanging="426"/>
        <w:textAlignment w:val="baseline"/>
        <w:rPr>
          <w:bCs/>
          <w:iCs/>
        </w:rPr>
      </w:pPr>
      <w:r>
        <w:t xml:space="preserve">katsoo, että </w:t>
      </w:r>
      <w:proofErr w:type="spellStart"/>
      <w:r>
        <w:t>ECCE:llä</w:t>
      </w:r>
      <w:proofErr w:type="spellEnd"/>
      <w:r>
        <w:t xml:space="preserve"> olisi oltava selkeästi määritelty toimeksianto, jonka ytimessä ovat tieteellinen huippuosaaminen, avoimuus ja käytännön merkitys ja joka painottuu kliinisten tietojen, mm. yhteisten kliinisten arviointien tulosten ja tosielämän näytön (</w:t>
      </w:r>
      <w:proofErr w:type="spellStart"/>
      <w:r>
        <w:t>real-world</w:t>
      </w:r>
      <w:proofErr w:type="spellEnd"/>
      <w:r>
        <w:t xml:space="preserve"> </w:t>
      </w:r>
      <w:proofErr w:type="spellStart"/>
      <w:r>
        <w:t>evidence</w:t>
      </w:r>
      <w:proofErr w:type="spellEnd"/>
      <w:r>
        <w:t>, RWE), järjestelmälliseen analysointiin ja syntetisointiin. Keskuksen olisi laadittava ei-sitovia, näyttöön perustuvia lääkehoitosuosituksia ja kliinisiä toimintaohjeita kansallisen päätöksenteon tueksi.</w:t>
      </w:r>
    </w:p>
    <w:p w14:paraId="5FE10B6C" w14:textId="77777777" w:rsidR="00EB49F6" w:rsidRPr="00A6689B" w:rsidRDefault="00EB49F6" w:rsidP="002B6ACC">
      <w:pPr>
        <w:widowControl w:val="0"/>
        <w:numPr>
          <w:ilvl w:val="0"/>
          <w:numId w:val="22"/>
        </w:numPr>
        <w:overflowPunct w:val="0"/>
        <w:autoSpaceDE w:val="0"/>
        <w:autoSpaceDN w:val="0"/>
        <w:adjustRightInd w:val="0"/>
        <w:ind w:left="426" w:hanging="426"/>
        <w:textAlignment w:val="baseline"/>
      </w:pPr>
      <w:r>
        <w:t xml:space="preserve">katsoo, että </w:t>
      </w:r>
      <w:proofErr w:type="spellStart"/>
      <w:r>
        <w:t>ECCE:n</w:t>
      </w:r>
      <w:proofErr w:type="spellEnd"/>
      <w:r>
        <w:t xml:space="preserve"> olisi oltava uusi, hajautettu EU:n elin. Se olisi perustettava tieteellisen yhtenäisyyden, institutionaalisen jatkuvuuden ja riippumattomuuden varmistamiseksi, ja sen hallinnossa olisi noudatettava tasapainoista ja monitasoista mallia niin että mukana ovat jäsenvaltiot, Euroopan komissio ja järjestäytynyt kansalaisyhteiskunta.</w:t>
      </w:r>
    </w:p>
    <w:p w14:paraId="5780188E" w14:textId="77777777" w:rsidR="00EB49F6" w:rsidRPr="00EE75BE" w:rsidRDefault="00EB49F6" w:rsidP="002B6ACC">
      <w:pPr>
        <w:widowControl w:val="0"/>
        <w:numPr>
          <w:ilvl w:val="0"/>
          <w:numId w:val="22"/>
        </w:numPr>
        <w:overflowPunct w:val="0"/>
        <w:autoSpaceDE w:val="0"/>
        <w:autoSpaceDN w:val="0"/>
        <w:adjustRightInd w:val="0"/>
        <w:ind w:left="426" w:hanging="426"/>
        <w:textAlignment w:val="baseline"/>
        <w:rPr>
          <w:rFonts w:asciiTheme="minorHAnsi" w:hAnsiTheme="minorHAnsi"/>
        </w:rPr>
      </w:pPr>
      <w:r>
        <w:t xml:space="preserve">toteaa, että EU:n talousarviosta osoitettava vakaa, riittävä ja ennakoitavissa oleva rahoitus on ennakkoedellytys </w:t>
      </w:r>
      <w:proofErr w:type="spellStart"/>
      <w:r>
        <w:t>ECCE:n</w:t>
      </w:r>
      <w:proofErr w:type="spellEnd"/>
      <w:r>
        <w:t xml:space="preserve"> uskottavuudelle, riippumattomuudelle ja pitkän aikavälin tuloksellisuudelle. Mahdollista täydentävää rahoitusta on säänneltävä tiukasti ja sen on oltava täysin avointa, jotta voidaan estää sopimaton vaikuttaminen tieteellisiin tuotoksiin.</w:t>
      </w:r>
    </w:p>
    <w:p w14:paraId="683AF61F" w14:textId="77777777" w:rsidR="00EB49F6" w:rsidRPr="000624A9" w:rsidRDefault="00EB49F6" w:rsidP="007E4A83">
      <w:pPr>
        <w:widowControl w:val="0"/>
        <w:ind w:left="56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EB49F6" w:rsidRPr="00A6689B" w14:paraId="1933A064" w14:textId="77777777" w:rsidTr="00120118">
        <w:tc>
          <w:tcPr>
            <w:tcW w:w="1418" w:type="dxa"/>
          </w:tcPr>
          <w:p w14:paraId="3900EABD" w14:textId="77777777" w:rsidR="00EB49F6" w:rsidRPr="00A6689B" w:rsidRDefault="00EB49F6" w:rsidP="007E4A83">
            <w:pPr>
              <w:keepNext/>
              <w:keepLines/>
              <w:rPr>
                <w:i/>
              </w:rPr>
            </w:pPr>
            <w:r>
              <w:rPr>
                <w:b/>
                <w:i/>
              </w:rPr>
              <w:t>Yhteydenotot</w:t>
            </w:r>
          </w:p>
        </w:tc>
        <w:tc>
          <w:tcPr>
            <w:tcW w:w="5670" w:type="dxa"/>
          </w:tcPr>
          <w:p w14:paraId="733A2894" w14:textId="77777777" w:rsidR="00EB49F6" w:rsidRPr="00A6689B" w:rsidRDefault="00EB49F6" w:rsidP="007E4A83">
            <w:pPr>
              <w:keepNext/>
              <w:keepLines/>
              <w:rPr>
                <w:i/>
              </w:rPr>
            </w:pPr>
            <w:proofErr w:type="spellStart"/>
            <w:r>
              <w:rPr>
                <w:i/>
              </w:rPr>
              <w:t>Radoslava</w:t>
            </w:r>
            <w:proofErr w:type="spellEnd"/>
            <w:r>
              <w:rPr>
                <w:i/>
              </w:rPr>
              <w:t xml:space="preserve"> </w:t>
            </w:r>
            <w:proofErr w:type="spellStart"/>
            <w:r>
              <w:rPr>
                <w:i/>
              </w:rPr>
              <w:t>Stefankova</w:t>
            </w:r>
            <w:proofErr w:type="spellEnd"/>
          </w:p>
        </w:tc>
      </w:tr>
      <w:tr w:rsidR="00EB49F6" w:rsidRPr="00A6689B" w14:paraId="0E2DB917" w14:textId="77777777" w:rsidTr="00120118">
        <w:tc>
          <w:tcPr>
            <w:tcW w:w="1418" w:type="dxa"/>
          </w:tcPr>
          <w:p w14:paraId="6C9CE215" w14:textId="77777777" w:rsidR="00EB49F6" w:rsidRPr="00A6689B" w:rsidRDefault="00EB49F6" w:rsidP="007E4A83">
            <w:pPr>
              <w:keepNext/>
              <w:keepLines/>
              <w:rPr>
                <w:i/>
              </w:rPr>
            </w:pPr>
            <w:r>
              <w:rPr>
                <w:i/>
              </w:rPr>
              <w:t>P.</w:t>
            </w:r>
          </w:p>
        </w:tc>
        <w:tc>
          <w:tcPr>
            <w:tcW w:w="5670" w:type="dxa"/>
          </w:tcPr>
          <w:p w14:paraId="599A43F3" w14:textId="77777777" w:rsidR="00EB49F6" w:rsidRPr="00A6689B" w:rsidRDefault="00EB49F6" w:rsidP="007E4A83">
            <w:pPr>
              <w:keepNext/>
              <w:keepLines/>
              <w:rPr>
                <w:i/>
              </w:rPr>
            </w:pPr>
            <w:r>
              <w:rPr>
                <w:i/>
              </w:rPr>
              <w:t>+32 25468188</w:t>
            </w:r>
          </w:p>
        </w:tc>
      </w:tr>
      <w:tr w:rsidR="00EB49F6" w:rsidRPr="00A6689B" w14:paraId="2738044B" w14:textId="77777777" w:rsidTr="00120118">
        <w:tc>
          <w:tcPr>
            <w:tcW w:w="1418" w:type="dxa"/>
          </w:tcPr>
          <w:p w14:paraId="0B226BD8" w14:textId="77777777" w:rsidR="00EB49F6" w:rsidRPr="00A6689B" w:rsidRDefault="00EB49F6" w:rsidP="007E4A83">
            <w:pPr>
              <w:rPr>
                <w:i/>
              </w:rPr>
            </w:pPr>
            <w:r>
              <w:rPr>
                <w:i/>
              </w:rPr>
              <w:t>Sähköposti</w:t>
            </w:r>
          </w:p>
        </w:tc>
        <w:tc>
          <w:tcPr>
            <w:tcW w:w="5670" w:type="dxa"/>
          </w:tcPr>
          <w:p w14:paraId="428FF1B2" w14:textId="77777777" w:rsidR="00EB49F6" w:rsidRPr="00A6689B" w:rsidRDefault="003665FE" w:rsidP="007E4A83">
            <w:pPr>
              <w:rPr>
                <w:i/>
              </w:rPr>
            </w:pPr>
            <w:hyperlink r:id="rId41" w:history="1">
              <w:r w:rsidR="00EB49F6">
                <w:rPr>
                  <w:rStyle w:val="Hyperlink"/>
                  <w:i/>
                </w:rPr>
                <w:t>Radoslava.Stefankova@eesc.europa.eu</w:t>
              </w:r>
            </w:hyperlink>
          </w:p>
        </w:tc>
      </w:tr>
    </w:tbl>
    <w:p w14:paraId="6FC3AA53" w14:textId="7BE87593" w:rsidR="00B41FF0" w:rsidRDefault="00B41FF0" w:rsidP="007E4A83"/>
    <w:p w14:paraId="1FF3702E" w14:textId="77777777" w:rsidR="00B41FF0" w:rsidRDefault="00B41FF0">
      <w:pPr>
        <w:spacing w:after="160" w:line="259" w:lineRule="auto"/>
        <w:jc w:val="left"/>
      </w:pPr>
      <w:r>
        <w:br w:type="page"/>
      </w:r>
    </w:p>
    <w:p w14:paraId="18CDA7DB" w14:textId="6E6958BB" w:rsidR="00B41FF0" w:rsidRPr="00477683" w:rsidRDefault="003665FE" w:rsidP="009F1E74">
      <w:pPr>
        <w:pStyle w:val="ListParagraph"/>
        <w:widowControl w:val="0"/>
        <w:numPr>
          <w:ilvl w:val="0"/>
          <w:numId w:val="6"/>
        </w:numPr>
        <w:spacing w:line="276" w:lineRule="auto"/>
        <w:ind w:left="567" w:hanging="567"/>
        <w:jc w:val="left"/>
        <w:rPr>
          <w:rStyle w:val="Hyperlink"/>
          <w:b/>
          <w:color w:val="auto"/>
          <w:sz w:val="28"/>
          <w:szCs w:val="28"/>
          <w:u w:val="none"/>
        </w:rPr>
      </w:pPr>
      <w:hyperlink r:id="rId42" w:tgtFrame="_blank" w:history="1">
        <w:r w:rsidR="00B41FF0">
          <w:rPr>
            <w:rStyle w:val="Hyperlink"/>
            <w:b/>
            <w:i/>
            <w:sz w:val="28"/>
          </w:rPr>
          <w:t>Huumausaineiden lähtöaineet</w:t>
        </w:r>
      </w:hyperlink>
    </w:p>
    <w:p w14:paraId="151FFA0C" w14:textId="77777777" w:rsidR="00477683" w:rsidRPr="000C3B46" w:rsidRDefault="00477683" w:rsidP="007E4A83">
      <w:pPr>
        <w:widowControl w:val="0"/>
        <w:jc w:val="left"/>
        <w:rPr>
          <w:b/>
        </w:rPr>
      </w:pPr>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tblGrid>
      <w:tr w:rsidR="00B41FF0" w:rsidRPr="00395DE3" w14:paraId="761DCE4B" w14:textId="77777777" w:rsidTr="00120118">
        <w:tc>
          <w:tcPr>
            <w:tcW w:w="1148" w:type="pct"/>
          </w:tcPr>
          <w:p w14:paraId="237776AD" w14:textId="77777777" w:rsidR="00B41FF0" w:rsidRDefault="00B41FF0" w:rsidP="007E4A83">
            <w:pPr>
              <w:tabs>
                <w:tab w:val="center" w:pos="284"/>
              </w:tabs>
              <w:ind w:left="266" w:hanging="376"/>
              <w:rPr>
                <w:b/>
              </w:rPr>
            </w:pPr>
            <w:r>
              <w:rPr>
                <w:b/>
              </w:rPr>
              <w:t>Esittelijä</w:t>
            </w:r>
          </w:p>
          <w:p w14:paraId="39108F55" w14:textId="77777777" w:rsidR="00B41FF0" w:rsidRPr="00A6689B" w:rsidRDefault="00B41FF0" w:rsidP="007E4A83">
            <w:pPr>
              <w:tabs>
                <w:tab w:val="center" w:pos="284"/>
              </w:tabs>
              <w:ind w:left="266" w:hanging="376"/>
              <w:rPr>
                <w:b/>
                <w:lang w:val="en-US"/>
              </w:rPr>
            </w:pPr>
          </w:p>
        </w:tc>
        <w:tc>
          <w:tcPr>
            <w:tcW w:w="3852" w:type="pct"/>
          </w:tcPr>
          <w:p w14:paraId="7867E838" w14:textId="77777777" w:rsidR="00B41FF0" w:rsidRPr="0005375F" w:rsidRDefault="00B41FF0" w:rsidP="007E4A83">
            <w:pPr>
              <w:tabs>
                <w:tab w:val="center" w:pos="284"/>
              </w:tabs>
              <w:ind w:left="266" w:hanging="266"/>
            </w:pPr>
            <w:r>
              <w:t>Diego DUTTO (kansalaisyhteiskunnan organisaatiot – IT)</w:t>
            </w:r>
          </w:p>
          <w:p w14:paraId="4544A940" w14:textId="77777777" w:rsidR="00B41FF0" w:rsidRPr="00620179" w:rsidRDefault="00B41FF0" w:rsidP="007E4A83">
            <w:pPr>
              <w:tabs>
                <w:tab w:val="center" w:pos="284"/>
              </w:tabs>
              <w:ind w:left="266" w:hanging="266"/>
            </w:pPr>
          </w:p>
        </w:tc>
      </w:tr>
      <w:tr w:rsidR="00B41FF0" w:rsidRPr="00A6689B" w14:paraId="25FE8CC8" w14:textId="77777777" w:rsidTr="00120118">
        <w:tc>
          <w:tcPr>
            <w:tcW w:w="1148" w:type="pct"/>
            <w:vMerge w:val="restart"/>
          </w:tcPr>
          <w:p w14:paraId="70800F79" w14:textId="77777777" w:rsidR="00B41FF0" w:rsidRPr="00A6689B" w:rsidRDefault="00B41FF0" w:rsidP="007E4A83">
            <w:pPr>
              <w:tabs>
                <w:tab w:val="center" w:pos="284"/>
              </w:tabs>
              <w:ind w:left="266" w:hanging="376"/>
              <w:rPr>
                <w:b/>
              </w:rPr>
            </w:pPr>
            <w:r>
              <w:rPr>
                <w:b/>
              </w:rPr>
              <w:t>Viiteasiakirjat</w:t>
            </w:r>
          </w:p>
        </w:tc>
        <w:tc>
          <w:tcPr>
            <w:tcW w:w="3852" w:type="pct"/>
          </w:tcPr>
          <w:p w14:paraId="7BDE9B73" w14:textId="0AE08DF8" w:rsidR="00B41FF0" w:rsidRPr="00A6689B" w:rsidRDefault="00B41FF0" w:rsidP="007E4A83">
            <w:pPr>
              <w:tabs>
                <w:tab w:val="center" w:pos="284"/>
              </w:tabs>
              <w:ind w:left="266" w:hanging="266"/>
            </w:pPr>
            <w:r>
              <w:t xml:space="preserve">COM(2025) 747 </w:t>
            </w:r>
            <w:proofErr w:type="spellStart"/>
            <w:r>
              <w:t>final</w:t>
            </w:r>
            <w:proofErr w:type="spellEnd"/>
          </w:p>
        </w:tc>
      </w:tr>
      <w:tr w:rsidR="00B41FF0" w:rsidRPr="00A6689B" w14:paraId="7F08F942" w14:textId="77777777" w:rsidTr="00120118">
        <w:tc>
          <w:tcPr>
            <w:tcW w:w="1148" w:type="pct"/>
            <w:vMerge/>
          </w:tcPr>
          <w:p w14:paraId="316B8DD4" w14:textId="77777777" w:rsidR="00B41FF0" w:rsidRPr="00A6689B" w:rsidRDefault="00B41FF0" w:rsidP="007E4A83">
            <w:pPr>
              <w:tabs>
                <w:tab w:val="center" w:pos="284"/>
              </w:tabs>
              <w:ind w:left="266" w:hanging="266"/>
              <w:rPr>
                <w:b/>
                <w:lang w:val="en-US"/>
              </w:rPr>
            </w:pPr>
          </w:p>
        </w:tc>
        <w:tc>
          <w:tcPr>
            <w:tcW w:w="3852" w:type="pct"/>
          </w:tcPr>
          <w:p w14:paraId="062CC833" w14:textId="77777777" w:rsidR="00B41FF0" w:rsidRPr="00A6689B" w:rsidRDefault="00B41FF0" w:rsidP="007E4A83">
            <w:pPr>
              <w:tabs>
                <w:tab w:val="center" w:pos="284"/>
              </w:tabs>
              <w:ind w:left="266" w:hanging="266"/>
            </w:pPr>
            <w:r>
              <w:t>EESC-2025-04277-00-00-AC</w:t>
            </w:r>
          </w:p>
        </w:tc>
      </w:tr>
    </w:tbl>
    <w:p w14:paraId="164F43AD" w14:textId="77777777" w:rsidR="00B41FF0" w:rsidRDefault="00B41FF0" w:rsidP="007E4A83">
      <w:pPr>
        <w:keepNext/>
        <w:keepLines/>
        <w:tabs>
          <w:tab w:val="center" w:pos="284"/>
        </w:tabs>
        <w:ind w:left="266" w:hanging="266"/>
        <w:rPr>
          <w:b/>
        </w:rPr>
      </w:pPr>
    </w:p>
    <w:p w14:paraId="79E4107F" w14:textId="77777777" w:rsidR="00B41FF0" w:rsidRPr="00A6689B" w:rsidRDefault="00B41FF0" w:rsidP="007E4A83">
      <w:pPr>
        <w:keepNext/>
        <w:keepLines/>
        <w:tabs>
          <w:tab w:val="center" w:pos="284"/>
        </w:tabs>
        <w:ind w:left="266" w:hanging="266"/>
        <w:rPr>
          <w:b/>
        </w:rPr>
      </w:pPr>
      <w:r>
        <w:rPr>
          <w:b/>
        </w:rPr>
        <w:t>Keskeiset kohdat</w:t>
      </w:r>
    </w:p>
    <w:p w14:paraId="3D59D15F" w14:textId="77777777" w:rsidR="00B41FF0" w:rsidRPr="00A6689B" w:rsidRDefault="00B41FF0" w:rsidP="007E4A83">
      <w:pPr>
        <w:keepNext/>
        <w:keepLines/>
        <w:tabs>
          <w:tab w:val="center" w:pos="284"/>
        </w:tabs>
        <w:ind w:left="266" w:hanging="266"/>
        <w:rPr>
          <w:b/>
        </w:rPr>
      </w:pPr>
    </w:p>
    <w:p w14:paraId="39C1FF75" w14:textId="77777777" w:rsidR="00B41FF0" w:rsidRPr="00A6689B" w:rsidRDefault="00B41FF0" w:rsidP="007E4A83">
      <w:pPr>
        <w:rPr>
          <w:bCs/>
          <w:iCs/>
        </w:rPr>
      </w:pPr>
      <w:r>
        <w:t>ETSK suosittaa seuraavaa:</w:t>
      </w:r>
    </w:p>
    <w:p w14:paraId="477B1E39" w14:textId="77777777" w:rsidR="00B41FF0" w:rsidRPr="00620179" w:rsidRDefault="00B41FF0" w:rsidP="002B6ACC">
      <w:pPr>
        <w:widowControl w:val="0"/>
        <w:numPr>
          <w:ilvl w:val="0"/>
          <w:numId w:val="23"/>
        </w:numPr>
        <w:overflowPunct w:val="0"/>
        <w:autoSpaceDE w:val="0"/>
        <w:autoSpaceDN w:val="0"/>
        <w:adjustRightInd w:val="0"/>
        <w:ind w:left="426" w:hanging="426"/>
        <w:textAlignment w:val="baseline"/>
      </w:pPr>
      <w:r>
        <w:t>Varmistetaan, että pääsy huumausaineiden lähtöaineiden tietorekisteriin on täysin maksutonta.</w:t>
      </w:r>
    </w:p>
    <w:p w14:paraId="594351D0" w14:textId="77777777" w:rsidR="00B41FF0" w:rsidRPr="00620179" w:rsidRDefault="00B41FF0" w:rsidP="002B6ACC">
      <w:pPr>
        <w:widowControl w:val="0"/>
        <w:numPr>
          <w:ilvl w:val="0"/>
          <w:numId w:val="23"/>
        </w:numPr>
        <w:overflowPunct w:val="0"/>
        <w:autoSpaceDE w:val="0"/>
        <w:autoSpaceDN w:val="0"/>
        <w:adjustRightInd w:val="0"/>
        <w:ind w:left="426" w:hanging="426"/>
        <w:textAlignment w:val="baseline"/>
      </w:pPr>
      <w:r>
        <w:t>Säädetään lupien myöntämisestä perittävien maksujen osalta täysistä vapautuksista tai merkittävistä alennuksista yliopistoille, tutkimuslaitoksille ja hyväntekeväisyysjärjestöille.</w:t>
      </w:r>
    </w:p>
    <w:p w14:paraId="06A681FE" w14:textId="77777777" w:rsidR="00B41FF0" w:rsidRPr="00620179" w:rsidRDefault="00B41FF0" w:rsidP="002B6ACC">
      <w:pPr>
        <w:widowControl w:val="0"/>
        <w:numPr>
          <w:ilvl w:val="0"/>
          <w:numId w:val="23"/>
        </w:numPr>
        <w:overflowPunct w:val="0"/>
        <w:autoSpaceDE w:val="0"/>
        <w:autoSpaceDN w:val="0"/>
        <w:adjustRightInd w:val="0"/>
        <w:ind w:left="426" w:hanging="426"/>
        <w:textAlignment w:val="baseline"/>
      </w:pPr>
      <w:r>
        <w:t>Selkeytetään muuntolähtöaineiden pienten määrien käyttöä koskevia ennakkoilmoitusmenettelyjä.</w:t>
      </w:r>
    </w:p>
    <w:p w14:paraId="3CD59031" w14:textId="77777777" w:rsidR="00B41FF0" w:rsidRPr="00620179" w:rsidRDefault="00B41FF0" w:rsidP="002B6ACC">
      <w:pPr>
        <w:widowControl w:val="0"/>
        <w:numPr>
          <w:ilvl w:val="0"/>
          <w:numId w:val="23"/>
        </w:numPr>
        <w:overflowPunct w:val="0"/>
        <w:autoSpaceDE w:val="0"/>
        <w:autoSpaceDN w:val="0"/>
        <w:adjustRightInd w:val="0"/>
        <w:ind w:left="426" w:hanging="426"/>
        <w:textAlignment w:val="baseline"/>
      </w:pPr>
      <w:r>
        <w:t>Perustetaan kaikille sidosryhmille, myös kolmannen sektorin organisaatioille, tarkoitettu teknisen neuvonnan kanava, jonka kautta ainevarianttien luokituksen saa nopeasti selville.</w:t>
      </w:r>
    </w:p>
    <w:p w14:paraId="68097400" w14:textId="77777777" w:rsidR="00B41FF0" w:rsidRPr="00620179" w:rsidRDefault="00B41FF0" w:rsidP="002B6ACC">
      <w:pPr>
        <w:widowControl w:val="0"/>
        <w:numPr>
          <w:ilvl w:val="0"/>
          <w:numId w:val="23"/>
        </w:numPr>
        <w:overflowPunct w:val="0"/>
        <w:autoSpaceDE w:val="0"/>
        <w:autoSpaceDN w:val="0"/>
        <w:adjustRightInd w:val="0"/>
        <w:ind w:left="426" w:hanging="426"/>
        <w:textAlignment w:val="baseline"/>
      </w:pPr>
      <w:r>
        <w:t>Vältetään oikeudellisen epävarmuuden aiheutuminen tutkimuslaboratorioille aineryhmien yleisluonteisesta sisällyttämisestä luokkaan 3 julkaisemalla selkeät, ajantasaiset ja kattavat poikkeusluettelot.</w:t>
      </w:r>
    </w:p>
    <w:p w14:paraId="4DB419C9" w14:textId="77777777" w:rsidR="00B41FF0" w:rsidRPr="00620179" w:rsidRDefault="00B41FF0" w:rsidP="002B6ACC">
      <w:pPr>
        <w:widowControl w:val="0"/>
        <w:numPr>
          <w:ilvl w:val="0"/>
          <w:numId w:val="23"/>
        </w:numPr>
        <w:overflowPunct w:val="0"/>
        <w:autoSpaceDE w:val="0"/>
        <w:autoSpaceDN w:val="0"/>
        <w:adjustRightInd w:val="0"/>
        <w:ind w:left="426" w:hanging="426"/>
        <w:textAlignment w:val="baseline"/>
      </w:pPr>
      <w:proofErr w:type="spellStart"/>
      <w:r>
        <w:t>Osallistetaan</w:t>
      </w:r>
      <w:proofErr w:type="spellEnd"/>
      <w:r>
        <w:t xml:space="preserve"> valistus- ja koulutustoimiin riippuvuuksien ehkäisyyn ja haittojen vähentämiseen erikoistuneita kansalaisyhteiskunnan organisaatioita. </w:t>
      </w:r>
    </w:p>
    <w:p w14:paraId="114E228B" w14:textId="77777777" w:rsidR="00B41FF0" w:rsidRPr="00620179" w:rsidRDefault="00B41FF0" w:rsidP="002B6ACC">
      <w:pPr>
        <w:widowControl w:val="0"/>
        <w:numPr>
          <w:ilvl w:val="0"/>
          <w:numId w:val="23"/>
        </w:numPr>
        <w:overflowPunct w:val="0"/>
        <w:autoSpaceDE w:val="0"/>
        <w:autoSpaceDN w:val="0"/>
        <w:adjustRightInd w:val="0"/>
        <w:ind w:left="426" w:hanging="426"/>
        <w:textAlignment w:val="baseline"/>
      </w:pPr>
      <w:r>
        <w:t>Sovelletaan vastuuhenkilön nimeämistä koskevaa velvoitetta pieniin kansalaisyhteiskunnan organisaatioihin joustavasti siten, että ne voivat nimetä tähän tehtävään nykyisen henkilöstönsä jäsenen.</w:t>
      </w:r>
    </w:p>
    <w:p w14:paraId="7D8FDEE5" w14:textId="77777777" w:rsidR="00B41FF0" w:rsidRPr="00620179" w:rsidRDefault="00B41FF0" w:rsidP="002B6ACC">
      <w:pPr>
        <w:widowControl w:val="0"/>
        <w:numPr>
          <w:ilvl w:val="0"/>
          <w:numId w:val="23"/>
        </w:numPr>
        <w:overflowPunct w:val="0"/>
        <w:autoSpaceDE w:val="0"/>
        <w:autoSpaceDN w:val="0"/>
        <w:adjustRightInd w:val="0"/>
        <w:ind w:left="426" w:hanging="426"/>
        <w:textAlignment w:val="baseline"/>
      </w:pPr>
      <w:r>
        <w:t xml:space="preserve">Huolehditaan siitä, että sääntely on EU:ssa yhdenmukaista. Tämä auttaa viranomaisia aineiden kaupan ja tutkimuskäytön seurannassa kaikkialla Euroopassa. </w:t>
      </w:r>
    </w:p>
    <w:p w14:paraId="1367046F" w14:textId="77777777" w:rsidR="00B41FF0" w:rsidRDefault="00B41FF0" w:rsidP="002B6ACC">
      <w:pPr>
        <w:widowControl w:val="0"/>
        <w:numPr>
          <w:ilvl w:val="0"/>
          <w:numId w:val="23"/>
        </w:numPr>
        <w:overflowPunct w:val="0"/>
        <w:autoSpaceDE w:val="0"/>
        <w:autoSpaceDN w:val="0"/>
        <w:adjustRightInd w:val="0"/>
        <w:ind w:left="426" w:hanging="426"/>
        <w:textAlignment w:val="baseline"/>
      </w:pPr>
      <w:r>
        <w:t>Suojellaan luokan 3 lähtöaineita käyttävien tutkijoiden autonomiaa varmistamalla, että toimivaltaisten viranomaisten suorittamat tarkastukset ovat riskiperusteisia eivätkä häiritse tutkimusmenettelyjä tai vaaranna niiden luottamuksellisuutta.</w:t>
      </w:r>
    </w:p>
    <w:p w14:paraId="178C3506" w14:textId="77777777" w:rsidR="00B41FF0" w:rsidRDefault="00B41FF0" w:rsidP="007E4A83">
      <w:pPr>
        <w:widowControl w:val="0"/>
        <w:ind w:left="567"/>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B41FF0" w:rsidRPr="00A6689B" w14:paraId="79257ABF" w14:textId="77777777" w:rsidTr="00120118">
        <w:tc>
          <w:tcPr>
            <w:tcW w:w="1556" w:type="pct"/>
          </w:tcPr>
          <w:p w14:paraId="78DAE5BE" w14:textId="77777777" w:rsidR="00B41FF0" w:rsidRPr="00A6689B" w:rsidRDefault="00B41FF0" w:rsidP="007E4A83">
            <w:pPr>
              <w:rPr>
                <w:i/>
              </w:rPr>
            </w:pPr>
            <w:r>
              <w:rPr>
                <w:b/>
                <w:i/>
              </w:rPr>
              <w:t>Yhteydenotot</w:t>
            </w:r>
          </w:p>
        </w:tc>
        <w:tc>
          <w:tcPr>
            <w:tcW w:w="3444" w:type="pct"/>
          </w:tcPr>
          <w:p w14:paraId="00AC9D91" w14:textId="77777777" w:rsidR="00B41FF0" w:rsidRPr="00A6689B" w:rsidRDefault="00B41FF0" w:rsidP="007E4A83">
            <w:pPr>
              <w:rPr>
                <w:i/>
              </w:rPr>
            </w:pPr>
            <w:proofErr w:type="spellStart"/>
            <w:r>
              <w:rPr>
                <w:i/>
              </w:rPr>
              <w:t>Radoslava</w:t>
            </w:r>
            <w:proofErr w:type="spellEnd"/>
            <w:r>
              <w:rPr>
                <w:i/>
              </w:rPr>
              <w:t xml:space="preserve"> </w:t>
            </w:r>
            <w:proofErr w:type="spellStart"/>
            <w:r>
              <w:rPr>
                <w:i/>
              </w:rPr>
              <w:t>Stefankova</w:t>
            </w:r>
            <w:proofErr w:type="spellEnd"/>
          </w:p>
        </w:tc>
      </w:tr>
      <w:tr w:rsidR="00B41FF0" w:rsidRPr="00A6689B" w14:paraId="222DBD2E" w14:textId="77777777" w:rsidTr="00120118">
        <w:tc>
          <w:tcPr>
            <w:tcW w:w="1556" w:type="pct"/>
          </w:tcPr>
          <w:p w14:paraId="2DE2DEA3" w14:textId="77777777" w:rsidR="00B41FF0" w:rsidRPr="00A6689B" w:rsidRDefault="00B41FF0" w:rsidP="007E4A83">
            <w:pPr>
              <w:rPr>
                <w:i/>
              </w:rPr>
            </w:pPr>
            <w:r>
              <w:rPr>
                <w:i/>
              </w:rPr>
              <w:t>P.</w:t>
            </w:r>
          </w:p>
        </w:tc>
        <w:tc>
          <w:tcPr>
            <w:tcW w:w="3444" w:type="pct"/>
          </w:tcPr>
          <w:p w14:paraId="7383CBC8" w14:textId="77777777" w:rsidR="00B41FF0" w:rsidRPr="00A6689B" w:rsidRDefault="00B41FF0" w:rsidP="007E4A83">
            <w:pPr>
              <w:rPr>
                <w:i/>
              </w:rPr>
            </w:pPr>
            <w:r>
              <w:rPr>
                <w:i/>
              </w:rPr>
              <w:t>+32 25468188</w:t>
            </w:r>
          </w:p>
        </w:tc>
      </w:tr>
      <w:tr w:rsidR="00B41FF0" w:rsidRPr="00A6689B" w14:paraId="59C0C513" w14:textId="77777777" w:rsidTr="00120118">
        <w:tc>
          <w:tcPr>
            <w:tcW w:w="1556" w:type="pct"/>
          </w:tcPr>
          <w:p w14:paraId="4FBF5B90" w14:textId="77777777" w:rsidR="00B41FF0" w:rsidRPr="00A6689B" w:rsidRDefault="00B41FF0" w:rsidP="007E4A83">
            <w:pPr>
              <w:rPr>
                <w:i/>
              </w:rPr>
            </w:pPr>
            <w:r>
              <w:rPr>
                <w:i/>
              </w:rPr>
              <w:t>Sähköposti</w:t>
            </w:r>
          </w:p>
        </w:tc>
        <w:tc>
          <w:tcPr>
            <w:tcW w:w="3444" w:type="pct"/>
          </w:tcPr>
          <w:p w14:paraId="7B287295" w14:textId="77777777" w:rsidR="00B41FF0" w:rsidRPr="000D49D4" w:rsidRDefault="003665FE" w:rsidP="007E4A83">
            <w:pPr>
              <w:rPr>
                <w:i/>
                <w:iCs/>
              </w:rPr>
            </w:pPr>
            <w:hyperlink r:id="rId43" w:history="1">
              <w:r w:rsidR="00B41FF0">
                <w:rPr>
                  <w:rStyle w:val="Hyperlink"/>
                  <w:i/>
                </w:rPr>
                <w:t>Radoslava.Stefankova@eesc.europa.eu</w:t>
              </w:r>
            </w:hyperlink>
          </w:p>
        </w:tc>
      </w:tr>
    </w:tbl>
    <w:p w14:paraId="7E04095F" w14:textId="59C32F35" w:rsidR="00B41FF0" w:rsidRDefault="00B41FF0" w:rsidP="004D7AC0"/>
    <w:p w14:paraId="2FF6DE2B" w14:textId="77777777" w:rsidR="00B41FF0" w:rsidRDefault="00B41FF0">
      <w:pPr>
        <w:spacing w:after="160" w:line="259" w:lineRule="auto"/>
        <w:jc w:val="left"/>
      </w:pPr>
      <w:r>
        <w:br w:type="page"/>
      </w:r>
    </w:p>
    <w:p w14:paraId="54F8F23A" w14:textId="1430923C" w:rsidR="00B41FF0" w:rsidRPr="00225F45" w:rsidRDefault="003665FE" w:rsidP="002B6ACC">
      <w:pPr>
        <w:widowControl w:val="0"/>
        <w:numPr>
          <w:ilvl w:val="0"/>
          <w:numId w:val="2"/>
        </w:numPr>
        <w:overflowPunct w:val="0"/>
        <w:autoSpaceDE w:val="0"/>
        <w:autoSpaceDN w:val="0"/>
        <w:adjustRightInd w:val="0"/>
        <w:ind w:hanging="567"/>
        <w:textAlignment w:val="baseline"/>
        <w:rPr>
          <w:b/>
          <w:bCs/>
          <w:i/>
          <w:iCs/>
          <w:color w:val="0000FF"/>
          <w:sz w:val="28"/>
          <w:szCs w:val="28"/>
          <w:u w:val="single"/>
        </w:rPr>
      </w:pPr>
      <w:hyperlink r:id="rId44" w:history="1">
        <w:r w:rsidR="00B41FF0">
          <w:rPr>
            <w:rStyle w:val="Hyperlink"/>
            <w:b/>
            <w:i/>
            <w:sz w:val="28"/>
          </w:rPr>
          <w:t xml:space="preserve">Lääkinnälliset laitteet ja in </w:t>
        </w:r>
        <w:proofErr w:type="spellStart"/>
        <w:r w:rsidR="00B41FF0">
          <w:rPr>
            <w:rStyle w:val="Hyperlink"/>
            <w:b/>
            <w:i/>
            <w:sz w:val="28"/>
          </w:rPr>
          <w:t>vitro</w:t>
        </w:r>
        <w:proofErr w:type="spellEnd"/>
        <w:r w:rsidR="00B41FF0">
          <w:rPr>
            <w:rStyle w:val="Hyperlink"/>
            <w:b/>
            <w:i/>
            <w:sz w:val="28"/>
          </w:rPr>
          <w:t xml:space="preserve"> </w:t>
        </w:r>
        <w:r w:rsidR="00B41FF0">
          <w:rPr>
            <w:rStyle w:val="Hyperlink"/>
            <w:b/>
            <w:i/>
            <w:sz w:val="28"/>
          </w:rPr>
          <w:noBreakHyphen/>
          <w:t>diagnostiikka – yksinkertaistaminen</w:t>
        </w:r>
      </w:hyperlink>
    </w:p>
    <w:p w14:paraId="6D717236" w14:textId="77777777" w:rsidR="00B41FF0" w:rsidRPr="00C30379" w:rsidRDefault="00B41FF0" w:rsidP="00B41FF0">
      <w:pPr>
        <w:tabs>
          <w:tab w:val="center" w:pos="284"/>
        </w:tabs>
        <w:ind w:left="266" w:hanging="266"/>
        <w:rPr>
          <w:b/>
          <w:lang w:val="en-US"/>
        </w:rPr>
      </w:pPr>
    </w:p>
    <w:tbl>
      <w:tblPr>
        <w:tblStyle w:val="TableGrid"/>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094"/>
      </w:tblGrid>
      <w:tr w:rsidR="00B41FF0" w:rsidRPr="00C30379" w14:paraId="778D0A6A" w14:textId="77777777" w:rsidTr="00120118">
        <w:trPr>
          <w:trHeight w:val="406"/>
        </w:trPr>
        <w:tc>
          <w:tcPr>
            <w:tcW w:w="1229" w:type="pct"/>
          </w:tcPr>
          <w:p w14:paraId="343764F9" w14:textId="77777777" w:rsidR="00B41FF0" w:rsidRPr="00C30379" w:rsidRDefault="00B41FF0" w:rsidP="00120118">
            <w:pPr>
              <w:tabs>
                <w:tab w:val="center" w:pos="284"/>
              </w:tabs>
              <w:ind w:left="266" w:hanging="266"/>
              <w:rPr>
                <w:b/>
              </w:rPr>
            </w:pPr>
            <w:r w:rsidRPr="00C30379">
              <w:rPr>
                <w:b/>
              </w:rPr>
              <w:t>Esittelijä</w:t>
            </w:r>
          </w:p>
          <w:p w14:paraId="4C2978E7" w14:textId="77777777" w:rsidR="00B41FF0" w:rsidRPr="00C30379" w:rsidRDefault="00B41FF0" w:rsidP="00120118">
            <w:pPr>
              <w:tabs>
                <w:tab w:val="center" w:pos="284"/>
              </w:tabs>
              <w:ind w:left="266" w:hanging="266"/>
              <w:rPr>
                <w:b/>
                <w:lang w:val="en-US"/>
              </w:rPr>
            </w:pPr>
          </w:p>
        </w:tc>
        <w:tc>
          <w:tcPr>
            <w:tcW w:w="3771" w:type="pct"/>
          </w:tcPr>
          <w:p w14:paraId="6E100497" w14:textId="77777777" w:rsidR="00B41FF0" w:rsidRPr="00C30379" w:rsidRDefault="00B41FF0" w:rsidP="00120118">
            <w:pPr>
              <w:tabs>
                <w:tab w:val="center" w:pos="0"/>
              </w:tabs>
              <w:ind w:left="266" w:hanging="266"/>
            </w:pPr>
            <w:r w:rsidRPr="00C30379">
              <w:t>Danko RELIĆ (kansalaisyhteiskunnan organisaatiot – HR)</w:t>
            </w:r>
          </w:p>
        </w:tc>
      </w:tr>
      <w:tr w:rsidR="00B41FF0" w:rsidRPr="00C30379" w14:paraId="53B9AC82" w14:textId="77777777" w:rsidTr="00120118">
        <w:tc>
          <w:tcPr>
            <w:tcW w:w="1229" w:type="pct"/>
          </w:tcPr>
          <w:p w14:paraId="78D5848F" w14:textId="77777777" w:rsidR="00B41FF0" w:rsidRPr="00C30379" w:rsidRDefault="00B41FF0" w:rsidP="00120118">
            <w:pPr>
              <w:tabs>
                <w:tab w:val="center" w:pos="284"/>
              </w:tabs>
              <w:ind w:left="266" w:hanging="266"/>
              <w:rPr>
                <w:b/>
              </w:rPr>
            </w:pPr>
            <w:r w:rsidRPr="00C30379">
              <w:rPr>
                <w:b/>
              </w:rPr>
              <w:t>Viiteasiakirjat</w:t>
            </w:r>
          </w:p>
        </w:tc>
        <w:tc>
          <w:tcPr>
            <w:tcW w:w="3771" w:type="pct"/>
          </w:tcPr>
          <w:p w14:paraId="324B4C20" w14:textId="2D4CEF99" w:rsidR="00B41FF0" w:rsidRPr="00C30379" w:rsidRDefault="00B41FF0" w:rsidP="00120118">
            <w:pPr>
              <w:tabs>
                <w:tab w:val="center" w:pos="284"/>
              </w:tabs>
              <w:ind w:left="266" w:hanging="266"/>
            </w:pPr>
            <w:r w:rsidRPr="00C30379">
              <w:t xml:space="preserve">COM(2025) 1023 </w:t>
            </w:r>
            <w:proofErr w:type="spellStart"/>
            <w:r w:rsidRPr="00C30379">
              <w:t>final</w:t>
            </w:r>
            <w:proofErr w:type="spellEnd"/>
          </w:p>
          <w:p w14:paraId="0DB429F1" w14:textId="77777777" w:rsidR="00B41FF0" w:rsidRPr="00C30379" w:rsidRDefault="00B41FF0" w:rsidP="00120118">
            <w:pPr>
              <w:tabs>
                <w:tab w:val="center" w:pos="284"/>
              </w:tabs>
              <w:ind w:left="266" w:hanging="266"/>
            </w:pPr>
            <w:r w:rsidRPr="00C30379">
              <w:t>EESC-2025-04298-00-00-AC</w:t>
            </w:r>
          </w:p>
        </w:tc>
      </w:tr>
    </w:tbl>
    <w:p w14:paraId="151BECA4" w14:textId="77777777" w:rsidR="00B41FF0" w:rsidRPr="00C30379" w:rsidRDefault="00B41FF0" w:rsidP="00B41FF0">
      <w:pPr>
        <w:keepNext/>
        <w:keepLines/>
        <w:tabs>
          <w:tab w:val="center" w:pos="284"/>
        </w:tabs>
        <w:spacing w:line="240" w:lineRule="auto"/>
        <w:ind w:left="266" w:hanging="266"/>
        <w:rPr>
          <w:b/>
          <w:lang w:val="pt-PT"/>
        </w:rPr>
      </w:pPr>
    </w:p>
    <w:p w14:paraId="6B521B41" w14:textId="77777777" w:rsidR="00B41FF0" w:rsidRPr="00C30379" w:rsidRDefault="00B41FF0" w:rsidP="00B41FF0">
      <w:pPr>
        <w:keepNext/>
        <w:keepLines/>
        <w:tabs>
          <w:tab w:val="center" w:pos="284"/>
        </w:tabs>
        <w:spacing w:line="240" w:lineRule="auto"/>
        <w:ind w:left="266" w:hanging="266"/>
        <w:rPr>
          <w:b/>
        </w:rPr>
      </w:pPr>
      <w:r w:rsidRPr="00C30379">
        <w:rPr>
          <w:b/>
        </w:rPr>
        <w:t>Keskeiset kohdat</w:t>
      </w:r>
    </w:p>
    <w:p w14:paraId="47EC77FC" w14:textId="77777777" w:rsidR="00B41FF0" w:rsidRPr="00C30379" w:rsidRDefault="00B41FF0" w:rsidP="00B41FF0">
      <w:pPr>
        <w:keepNext/>
        <w:keepLines/>
        <w:tabs>
          <w:tab w:val="center" w:pos="284"/>
        </w:tabs>
        <w:spacing w:line="240" w:lineRule="auto"/>
        <w:ind w:left="266" w:hanging="266"/>
        <w:rPr>
          <w:bCs/>
        </w:rPr>
      </w:pPr>
    </w:p>
    <w:p w14:paraId="55C3E3A0" w14:textId="77777777" w:rsidR="00B41FF0" w:rsidRPr="00C30379" w:rsidRDefault="00B41FF0" w:rsidP="00B41FF0">
      <w:pPr>
        <w:spacing w:line="240" w:lineRule="auto"/>
        <w:rPr>
          <w:bCs/>
          <w:iCs/>
        </w:rPr>
      </w:pPr>
      <w:r w:rsidRPr="00C30379">
        <w:t>ETSK</w:t>
      </w:r>
    </w:p>
    <w:p w14:paraId="41799534" w14:textId="77777777" w:rsidR="00B41FF0" w:rsidRPr="00C30379" w:rsidRDefault="00B41FF0" w:rsidP="002B6ACC">
      <w:pPr>
        <w:pStyle w:val="ListParagraph"/>
        <w:numPr>
          <w:ilvl w:val="0"/>
          <w:numId w:val="24"/>
        </w:numPr>
        <w:spacing w:after="200"/>
        <w:ind w:left="426" w:hanging="426"/>
      </w:pPr>
      <w:r w:rsidRPr="00C30379">
        <w:t xml:space="preserve">suhtautuu myönteisesti komission ehdotukseen yksinkertaistaa ja virtaviivaistaa lääkinnällisistä laitteista annettua asetusta ja in </w:t>
      </w:r>
      <w:proofErr w:type="spellStart"/>
      <w:r w:rsidRPr="00C30379">
        <w:t>vitro</w:t>
      </w:r>
      <w:proofErr w:type="spellEnd"/>
      <w:r w:rsidRPr="00C30379">
        <w:t xml:space="preserve"> </w:t>
      </w:r>
      <w:r w:rsidRPr="00C30379">
        <w:noBreakHyphen/>
        <w:t>diagnostiikkaan tarkoitetuista lääkinnällisistä laitteista annettua asetusta sekä varmistaa samalla potilasturvallisuus ja kansanterveyden suojelu ja turvata luottamus sääntelyjärjestelmää kohtaan.</w:t>
      </w:r>
    </w:p>
    <w:p w14:paraId="705DCBF2" w14:textId="77777777" w:rsidR="00B41FF0" w:rsidRPr="00C30379" w:rsidRDefault="00B41FF0" w:rsidP="002B6ACC">
      <w:pPr>
        <w:pStyle w:val="ListParagraph"/>
        <w:numPr>
          <w:ilvl w:val="0"/>
          <w:numId w:val="24"/>
        </w:numPr>
        <w:spacing w:after="200"/>
        <w:ind w:left="426" w:hanging="426"/>
      </w:pPr>
      <w:r w:rsidRPr="00C30379">
        <w:t xml:space="preserve">korostaa, että </w:t>
      </w:r>
      <w:r w:rsidRPr="00C30379">
        <w:rPr>
          <w:b/>
        </w:rPr>
        <w:t>yksinkertaistamisen avulla on huolehdittava oikeusvarmuudesta, ennakoitavissa olevista sertifiointituloksista ja yhdenmukaistetuista käytännöistä kaikissa jäsenvaltioissa</w:t>
      </w:r>
      <w:r w:rsidRPr="00C30379">
        <w:t xml:space="preserve"> ja näin vältettävä eroavaisuuksia ilmoitettujen laitosten välillä ja suojeltava pk-yrityksiä ja mikroyrityksiä epävarmuudelta.</w:t>
      </w:r>
    </w:p>
    <w:p w14:paraId="5965FDDF" w14:textId="77777777" w:rsidR="00B41FF0" w:rsidRPr="00C30379" w:rsidRDefault="00B41FF0" w:rsidP="002B6ACC">
      <w:pPr>
        <w:pStyle w:val="ListParagraph"/>
        <w:numPr>
          <w:ilvl w:val="0"/>
          <w:numId w:val="24"/>
        </w:numPr>
        <w:spacing w:after="200"/>
        <w:ind w:left="426" w:hanging="426"/>
      </w:pPr>
      <w:r w:rsidRPr="00C30379">
        <w:t xml:space="preserve">korostaa, että </w:t>
      </w:r>
      <w:r w:rsidRPr="00C30379">
        <w:rPr>
          <w:b/>
        </w:rPr>
        <w:t>vaatimustenmukaisuuden arvioinnin ja auditointien digitalisointi ei saa johtaa vaatimusten päällekkäisyyteen eikä aiheuttaa lisäkustannuksia</w:t>
      </w:r>
      <w:r w:rsidRPr="00C30379">
        <w:t xml:space="preserve"> etenkään pk-yrityksille, työntekijöille ja terveydenhuoltohenkilöstölle ja että sitä on tuettava tarjoamalla selkeää ohjeistusta, koulutusta ja teknistä apua.</w:t>
      </w:r>
    </w:p>
    <w:p w14:paraId="38C930B3" w14:textId="77777777" w:rsidR="00B41FF0" w:rsidRPr="00C30379" w:rsidRDefault="00B41FF0" w:rsidP="002B6ACC">
      <w:pPr>
        <w:pStyle w:val="ListParagraph"/>
        <w:numPr>
          <w:ilvl w:val="0"/>
          <w:numId w:val="24"/>
        </w:numPr>
        <w:spacing w:after="200"/>
        <w:ind w:left="426" w:hanging="426"/>
      </w:pPr>
      <w:r w:rsidRPr="00C30379">
        <w:t xml:space="preserve">katsoo, että </w:t>
      </w:r>
      <w:r w:rsidRPr="00C30379">
        <w:rPr>
          <w:b/>
        </w:rPr>
        <w:t>yksinkertaistamisen hyötyjä ei saa vesittää korottamalla ilmoitettujen laitosten perimiä maksuja</w:t>
      </w:r>
      <w:r w:rsidRPr="00C30379">
        <w:t xml:space="preserve"> ja että </w:t>
      </w:r>
      <w:r w:rsidRPr="00C30379">
        <w:rPr>
          <w:b/>
        </w:rPr>
        <w:t>markkinoille saattamisen jälkeisiä valvonta- ja vaaratilannejärjestelmiä on vahvistettava</w:t>
      </w:r>
      <w:r w:rsidRPr="00C30379">
        <w:t>, sillä tämä on tärkeä vastapaino markkinoille saattamista edeltävien vaatimusten joustavoittamiselle.</w:t>
      </w:r>
    </w:p>
    <w:p w14:paraId="195E10F5" w14:textId="77777777" w:rsidR="00B41FF0" w:rsidRPr="00C30379" w:rsidRDefault="00B41FF0" w:rsidP="002B6ACC">
      <w:pPr>
        <w:pStyle w:val="ListParagraph"/>
        <w:numPr>
          <w:ilvl w:val="0"/>
          <w:numId w:val="24"/>
        </w:numPr>
        <w:ind w:left="426" w:hanging="426"/>
        <w:rPr>
          <w:bCs/>
          <w:iCs/>
        </w:rPr>
      </w:pPr>
      <w:r w:rsidRPr="00C30379">
        <w:t xml:space="preserve">kannattaa </w:t>
      </w:r>
      <w:r w:rsidRPr="00C30379">
        <w:rPr>
          <w:b/>
        </w:rPr>
        <w:t>innovointimyönteisten sääntelyväylien käyttöönottoa edistyksellisiä laitteita ja harvinaisiin sairauksiin liittyviä lääkinnällisiä laitteita varten, kunhan samalla huolehditaan avoimuudesta</w:t>
      </w:r>
      <w:r w:rsidRPr="00C30379">
        <w:t xml:space="preserve"> (esimerkiksi muassa </w:t>
      </w:r>
      <w:proofErr w:type="spellStart"/>
      <w:r w:rsidRPr="00C30379">
        <w:t>Eudamed</w:t>
      </w:r>
      <w:proofErr w:type="spellEnd"/>
      <w:r w:rsidRPr="00C30379">
        <w:t xml:space="preserve">-tietokannan avulla), ja kehottaa </w:t>
      </w:r>
      <w:r w:rsidRPr="00C30379">
        <w:rPr>
          <w:b/>
        </w:rPr>
        <w:t>ottamaan työmarkkinaosapuolet, terveydenhuollon ammattilaiset ja kansalaisyhteiskunnan</w:t>
      </w:r>
      <w:r w:rsidRPr="00C30379">
        <w:t xml:space="preserve"> järjestelmällisesti </w:t>
      </w:r>
      <w:r w:rsidRPr="00C30379">
        <w:rPr>
          <w:b/>
        </w:rPr>
        <w:t>mukaan</w:t>
      </w:r>
      <w:r w:rsidRPr="00C30379">
        <w:t xml:space="preserve"> täytäntöönpanon ja vaikutusten seurantaan.</w:t>
      </w:r>
    </w:p>
    <w:p w14:paraId="48BD36E2" w14:textId="77777777" w:rsidR="00B41FF0" w:rsidRPr="00C30379" w:rsidRDefault="00B41FF0" w:rsidP="00D51D1E">
      <w:pPr>
        <w:ind w:left="426"/>
        <w:rPr>
          <w:bCs/>
          <w:iCs/>
          <w:lang w:val="en-US"/>
        </w:rPr>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4978"/>
      </w:tblGrid>
      <w:tr w:rsidR="00B41FF0" w:rsidRPr="00C30379" w14:paraId="70A16E44" w14:textId="77777777" w:rsidTr="00120118">
        <w:tc>
          <w:tcPr>
            <w:tcW w:w="1059" w:type="pct"/>
          </w:tcPr>
          <w:p w14:paraId="1DEF5891" w14:textId="77777777" w:rsidR="00B41FF0" w:rsidRPr="00C30379" w:rsidRDefault="00B41FF0" w:rsidP="00120118">
            <w:pPr>
              <w:rPr>
                <w:i/>
              </w:rPr>
            </w:pPr>
            <w:r w:rsidRPr="00C30379">
              <w:rPr>
                <w:b/>
                <w:i/>
              </w:rPr>
              <w:t>Yhteydenotot</w:t>
            </w:r>
          </w:p>
        </w:tc>
        <w:tc>
          <w:tcPr>
            <w:tcW w:w="3941" w:type="pct"/>
          </w:tcPr>
          <w:p w14:paraId="02256BB3" w14:textId="210AE001" w:rsidR="00B41FF0" w:rsidRPr="00C30379" w:rsidRDefault="00B41FF0" w:rsidP="00120118">
            <w:pPr>
              <w:rPr>
                <w:i/>
              </w:rPr>
            </w:pPr>
            <w:r w:rsidRPr="00C30379">
              <w:rPr>
                <w:i/>
              </w:rPr>
              <w:t xml:space="preserve">Silvia </w:t>
            </w:r>
            <w:proofErr w:type="spellStart"/>
            <w:r w:rsidR="00D51D1E" w:rsidRPr="00C30379">
              <w:rPr>
                <w:i/>
              </w:rPr>
              <w:t>Staffa</w:t>
            </w:r>
            <w:proofErr w:type="spellEnd"/>
          </w:p>
        </w:tc>
      </w:tr>
      <w:tr w:rsidR="00B41FF0" w:rsidRPr="00C30379" w14:paraId="5B471F37" w14:textId="77777777" w:rsidTr="00120118">
        <w:tc>
          <w:tcPr>
            <w:tcW w:w="1059" w:type="pct"/>
          </w:tcPr>
          <w:p w14:paraId="7C102867" w14:textId="77777777" w:rsidR="00B41FF0" w:rsidRPr="00C30379" w:rsidRDefault="00B41FF0" w:rsidP="00120118">
            <w:pPr>
              <w:rPr>
                <w:i/>
              </w:rPr>
            </w:pPr>
            <w:r w:rsidRPr="00C30379">
              <w:rPr>
                <w:i/>
              </w:rPr>
              <w:t>P.</w:t>
            </w:r>
          </w:p>
        </w:tc>
        <w:tc>
          <w:tcPr>
            <w:tcW w:w="3941" w:type="pct"/>
          </w:tcPr>
          <w:p w14:paraId="12EAF85F" w14:textId="77777777" w:rsidR="00B41FF0" w:rsidRPr="00C30379" w:rsidRDefault="00B41FF0" w:rsidP="00120118">
            <w:pPr>
              <w:rPr>
                <w:i/>
              </w:rPr>
            </w:pPr>
            <w:r w:rsidRPr="00C30379">
              <w:rPr>
                <w:i/>
              </w:rPr>
              <w:t>+ 32 25468378</w:t>
            </w:r>
          </w:p>
        </w:tc>
      </w:tr>
      <w:tr w:rsidR="00B41FF0" w:rsidRPr="00C30379" w14:paraId="0CBE2A67" w14:textId="77777777" w:rsidTr="00120118">
        <w:tc>
          <w:tcPr>
            <w:tcW w:w="1059" w:type="pct"/>
          </w:tcPr>
          <w:p w14:paraId="52855E7D" w14:textId="77777777" w:rsidR="00B41FF0" w:rsidRPr="00C30379" w:rsidRDefault="00B41FF0" w:rsidP="00120118">
            <w:pPr>
              <w:rPr>
                <w:i/>
              </w:rPr>
            </w:pPr>
            <w:r w:rsidRPr="00C30379">
              <w:rPr>
                <w:i/>
              </w:rPr>
              <w:t>Sähköposti</w:t>
            </w:r>
          </w:p>
        </w:tc>
        <w:tc>
          <w:tcPr>
            <w:tcW w:w="3941" w:type="pct"/>
          </w:tcPr>
          <w:p w14:paraId="6186D59F" w14:textId="77777777" w:rsidR="00B41FF0" w:rsidRPr="00C30379" w:rsidRDefault="003665FE" w:rsidP="00120118">
            <w:pPr>
              <w:rPr>
                <w:i/>
                <w:iCs/>
              </w:rPr>
            </w:pPr>
            <w:hyperlink r:id="rId45" w:history="1">
              <w:r w:rsidR="00B41FF0" w:rsidRPr="00C30379">
                <w:rPr>
                  <w:rStyle w:val="Hyperlink"/>
                  <w:i/>
                </w:rPr>
                <w:t>Silvia.Staffa@eesc.europa.eu</w:t>
              </w:r>
            </w:hyperlink>
          </w:p>
        </w:tc>
      </w:tr>
    </w:tbl>
    <w:p w14:paraId="09D55FA7" w14:textId="4260B4B7" w:rsidR="00922CE7" w:rsidRDefault="00922CE7" w:rsidP="004D7AC0"/>
    <w:p w14:paraId="1301AA9F" w14:textId="77777777" w:rsidR="00922CE7" w:rsidRDefault="00922CE7">
      <w:pPr>
        <w:spacing w:after="160" w:line="259" w:lineRule="auto"/>
        <w:jc w:val="left"/>
      </w:pPr>
      <w:r>
        <w:br w:type="page"/>
      </w:r>
    </w:p>
    <w:p w14:paraId="29C81E83" w14:textId="5704BFB0" w:rsidR="00922CE7" w:rsidRPr="007E4A83" w:rsidRDefault="003665FE" w:rsidP="002B6ACC">
      <w:pPr>
        <w:widowControl w:val="0"/>
        <w:numPr>
          <w:ilvl w:val="0"/>
          <w:numId w:val="2"/>
        </w:numPr>
        <w:overflowPunct w:val="0"/>
        <w:autoSpaceDE w:val="0"/>
        <w:autoSpaceDN w:val="0"/>
        <w:adjustRightInd w:val="0"/>
        <w:ind w:hanging="567"/>
        <w:textAlignment w:val="baseline"/>
        <w:rPr>
          <w:sz w:val="28"/>
          <w:szCs w:val="28"/>
        </w:rPr>
      </w:pPr>
      <w:hyperlink r:id="rId46" w:history="1">
        <w:r w:rsidR="00922CE7">
          <w:rPr>
            <w:rStyle w:val="Hyperlink"/>
            <w:b/>
            <w:i/>
            <w:sz w:val="28"/>
          </w:rPr>
          <w:t>Standardointi ja sisämarkkinat</w:t>
        </w:r>
      </w:hyperlink>
    </w:p>
    <w:p w14:paraId="7D475E81" w14:textId="77777777" w:rsidR="00922CE7" w:rsidRPr="00E13F7A" w:rsidRDefault="00922CE7" w:rsidP="00922CE7">
      <w:pPr>
        <w:tabs>
          <w:tab w:val="center" w:pos="284"/>
        </w:tabs>
        <w:ind w:left="266" w:hanging="266"/>
        <w:rPr>
          <w:b/>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922CE7" w:rsidRPr="00E13F7A" w14:paraId="368C25B8" w14:textId="77777777" w:rsidTr="00120118">
        <w:tc>
          <w:tcPr>
            <w:tcW w:w="1701" w:type="dxa"/>
          </w:tcPr>
          <w:p w14:paraId="36017E10" w14:textId="77777777" w:rsidR="00922CE7" w:rsidRPr="00E13F7A" w:rsidRDefault="00922CE7" w:rsidP="00120118">
            <w:pPr>
              <w:tabs>
                <w:tab w:val="center" w:pos="284"/>
              </w:tabs>
              <w:ind w:left="266" w:hanging="266"/>
              <w:rPr>
                <w:b/>
              </w:rPr>
            </w:pPr>
            <w:r w:rsidRPr="00E13F7A">
              <w:rPr>
                <w:b/>
              </w:rPr>
              <w:t>Esittelijä</w:t>
            </w:r>
          </w:p>
        </w:tc>
        <w:tc>
          <w:tcPr>
            <w:tcW w:w="5387" w:type="dxa"/>
          </w:tcPr>
          <w:p w14:paraId="724E07BF" w14:textId="77777777" w:rsidR="00922CE7" w:rsidRPr="00E13F7A" w:rsidRDefault="00922CE7" w:rsidP="00120118">
            <w:pPr>
              <w:tabs>
                <w:tab w:val="center" w:pos="284"/>
              </w:tabs>
              <w:ind w:left="266" w:hanging="266"/>
            </w:pPr>
            <w:r w:rsidRPr="00E13F7A">
              <w:t>Angelo PAGLIARA (työntekijät – IT)</w:t>
            </w:r>
          </w:p>
        </w:tc>
      </w:tr>
      <w:tr w:rsidR="00922CE7" w:rsidRPr="00E13F7A" w14:paraId="5F215547" w14:textId="77777777" w:rsidTr="00120118">
        <w:tc>
          <w:tcPr>
            <w:tcW w:w="7088" w:type="dxa"/>
            <w:gridSpan w:val="2"/>
          </w:tcPr>
          <w:p w14:paraId="398FDD16" w14:textId="77777777" w:rsidR="00922CE7" w:rsidRPr="00E13F7A" w:rsidRDefault="00922CE7" w:rsidP="00120118">
            <w:pPr>
              <w:tabs>
                <w:tab w:val="center" w:pos="284"/>
              </w:tabs>
              <w:ind w:left="266" w:hanging="266"/>
              <w:rPr>
                <w:lang w:val="en-US"/>
              </w:rPr>
            </w:pPr>
          </w:p>
        </w:tc>
      </w:tr>
      <w:tr w:rsidR="00922CE7" w:rsidRPr="00E13F7A" w14:paraId="27189CC4" w14:textId="77777777" w:rsidTr="00120118">
        <w:tc>
          <w:tcPr>
            <w:tcW w:w="1701" w:type="dxa"/>
          </w:tcPr>
          <w:p w14:paraId="1CD17F27" w14:textId="77777777" w:rsidR="00922CE7" w:rsidRPr="00E13F7A" w:rsidRDefault="00922CE7" w:rsidP="00120118">
            <w:pPr>
              <w:tabs>
                <w:tab w:val="center" w:pos="284"/>
              </w:tabs>
              <w:ind w:left="266" w:hanging="266"/>
              <w:rPr>
                <w:b/>
              </w:rPr>
            </w:pPr>
            <w:r w:rsidRPr="00E13F7A">
              <w:rPr>
                <w:b/>
              </w:rPr>
              <w:t>Viiteasiakirjat</w:t>
            </w:r>
          </w:p>
        </w:tc>
        <w:tc>
          <w:tcPr>
            <w:tcW w:w="5387" w:type="dxa"/>
          </w:tcPr>
          <w:p w14:paraId="2C07C666" w14:textId="77777777" w:rsidR="00922CE7" w:rsidRPr="00E13F7A" w:rsidRDefault="00922CE7" w:rsidP="00120118">
            <w:pPr>
              <w:tabs>
                <w:tab w:val="center" w:pos="284"/>
              </w:tabs>
              <w:ind w:left="266" w:hanging="266"/>
            </w:pPr>
            <w:r w:rsidRPr="00E13F7A">
              <w:t>oma-aloitteinen lausunto</w:t>
            </w:r>
          </w:p>
          <w:p w14:paraId="4152F89E" w14:textId="77777777" w:rsidR="00922CE7" w:rsidRPr="00E13F7A" w:rsidRDefault="00922CE7" w:rsidP="00120118">
            <w:pPr>
              <w:tabs>
                <w:tab w:val="center" w:pos="284"/>
              </w:tabs>
              <w:ind w:left="266" w:hanging="266"/>
            </w:pPr>
            <w:r w:rsidRPr="00E13F7A">
              <w:t>EESC-2026-00549-00-00-AC</w:t>
            </w:r>
          </w:p>
        </w:tc>
      </w:tr>
    </w:tbl>
    <w:p w14:paraId="7642DD19" w14:textId="77777777" w:rsidR="00922CE7" w:rsidRPr="00E13F7A" w:rsidRDefault="00922CE7" w:rsidP="00922CE7">
      <w:pPr>
        <w:tabs>
          <w:tab w:val="center" w:pos="284"/>
        </w:tabs>
        <w:ind w:left="266" w:hanging="266"/>
      </w:pPr>
      <w:r w:rsidRPr="00E13F7A">
        <w:br w:type="textWrapping" w:clear="all"/>
      </w:r>
    </w:p>
    <w:p w14:paraId="7E28F65F" w14:textId="77777777" w:rsidR="00922CE7" w:rsidRPr="00E13F7A" w:rsidRDefault="00922CE7" w:rsidP="00922CE7">
      <w:pPr>
        <w:keepNext/>
        <w:keepLines/>
        <w:tabs>
          <w:tab w:val="center" w:pos="284"/>
        </w:tabs>
        <w:ind w:left="266" w:hanging="266"/>
        <w:rPr>
          <w:b/>
        </w:rPr>
      </w:pPr>
      <w:r w:rsidRPr="00E13F7A">
        <w:rPr>
          <w:b/>
        </w:rPr>
        <w:t>Keskeiset kohdat</w:t>
      </w:r>
    </w:p>
    <w:p w14:paraId="0480A91B" w14:textId="77777777" w:rsidR="00922CE7" w:rsidRPr="00E13F7A" w:rsidRDefault="00922CE7" w:rsidP="00922CE7">
      <w:pPr>
        <w:keepNext/>
        <w:keepLines/>
        <w:tabs>
          <w:tab w:val="center" w:pos="284"/>
        </w:tabs>
        <w:ind w:left="266" w:hanging="266"/>
        <w:rPr>
          <w:b/>
        </w:rPr>
      </w:pPr>
    </w:p>
    <w:p w14:paraId="56E41765" w14:textId="77777777" w:rsidR="00922CE7" w:rsidRPr="00E13F7A" w:rsidRDefault="00922CE7" w:rsidP="00922CE7">
      <w:pPr>
        <w:rPr>
          <w:bCs/>
          <w:iCs/>
        </w:rPr>
      </w:pPr>
      <w:r w:rsidRPr="00E13F7A">
        <w:t>ETSK</w:t>
      </w:r>
    </w:p>
    <w:p w14:paraId="65E6C9FF" w14:textId="77777777" w:rsidR="00922CE7" w:rsidRPr="00E13F7A" w:rsidRDefault="00922CE7" w:rsidP="002B6ACC">
      <w:pPr>
        <w:widowControl w:val="0"/>
        <w:numPr>
          <w:ilvl w:val="0"/>
          <w:numId w:val="25"/>
        </w:numPr>
        <w:overflowPunct w:val="0"/>
        <w:autoSpaceDE w:val="0"/>
        <w:autoSpaceDN w:val="0"/>
        <w:adjustRightInd w:val="0"/>
        <w:ind w:left="426" w:hanging="426"/>
        <w:textAlignment w:val="baseline"/>
        <w:rPr>
          <w:bCs/>
          <w:iCs/>
        </w:rPr>
      </w:pPr>
      <w:r w:rsidRPr="00E13F7A">
        <w:t xml:space="preserve">korostaa, että </w:t>
      </w:r>
      <w:r w:rsidRPr="00E13F7A">
        <w:rPr>
          <w:b/>
        </w:rPr>
        <w:t>osallistavuus</w:t>
      </w:r>
      <w:r w:rsidRPr="00E13F7A">
        <w:t xml:space="preserve"> on olennaisen tärkeää eurooppalaisen standardointijärjestelmän legitiimiyden ja tehokkuuden varmistamiseksi, ja kehottaa siksi</w:t>
      </w:r>
      <w:r w:rsidRPr="00E13F7A">
        <w:rPr>
          <w:b/>
        </w:rPr>
        <w:t xml:space="preserve"> vahvistamaan pk-yritysten, ammattiliittojen ja kansalaisyhteiskunnan organisaatioiden osallistumista</w:t>
      </w:r>
      <w:r w:rsidRPr="00E13F7A">
        <w:t xml:space="preserve"> muun muassa antamalla niille riittävää taloudellista tukea, auttamalla niitä kehittämään valmiuksiaan ja yksinkertaistamalla osallistumista.</w:t>
      </w:r>
    </w:p>
    <w:p w14:paraId="61E01626" w14:textId="77777777" w:rsidR="00922CE7" w:rsidRPr="00E13F7A" w:rsidRDefault="00922CE7" w:rsidP="002B6ACC">
      <w:pPr>
        <w:widowControl w:val="0"/>
        <w:numPr>
          <w:ilvl w:val="0"/>
          <w:numId w:val="25"/>
        </w:numPr>
        <w:overflowPunct w:val="0"/>
        <w:autoSpaceDE w:val="0"/>
        <w:autoSpaceDN w:val="0"/>
        <w:adjustRightInd w:val="0"/>
        <w:ind w:left="426" w:hanging="426"/>
        <w:textAlignment w:val="baseline"/>
        <w:rPr>
          <w:bCs/>
          <w:iCs/>
        </w:rPr>
      </w:pPr>
      <w:r w:rsidRPr="00E13F7A">
        <w:t>kehottaa ottamaan käyttöön selkeitä suojatoimia työmarkkinavuoropuhelun suojelemiseksi.</w:t>
      </w:r>
      <w:r w:rsidRPr="00E13F7A">
        <w:rPr>
          <w:b/>
        </w:rPr>
        <w:t xml:space="preserve"> Eurooppalaisten standardien on pysyttävä lainsäädäntöä tukevina teknisinä välineinä</w:t>
      </w:r>
      <w:r w:rsidRPr="00E13F7A">
        <w:t>, eikä niillä saa säännellä työntekijöiden oikeuksia, työoloja ja -ehtoja tai työehtosopimusneuvotteluihin liittyviä kysymyksiä tai puuttua näihin.</w:t>
      </w:r>
    </w:p>
    <w:p w14:paraId="6CBE99D3" w14:textId="77777777" w:rsidR="00922CE7" w:rsidRPr="00E13F7A" w:rsidRDefault="00922CE7" w:rsidP="002B6ACC">
      <w:pPr>
        <w:widowControl w:val="0"/>
        <w:numPr>
          <w:ilvl w:val="0"/>
          <w:numId w:val="25"/>
        </w:numPr>
        <w:overflowPunct w:val="0"/>
        <w:autoSpaceDE w:val="0"/>
        <w:autoSpaceDN w:val="0"/>
        <w:adjustRightInd w:val="0"/>
        <w:ind w:left="426" w:hanging="426"/>
        <w:textAlignment w:val="baseline"/>
        <w:rPr>
          <w:bCs/>
          <w:iCs/>
        </w:rPr>
      </w:pPr>
      <w:r w:rsidRPr="00E13F7A">
        <w:t>kehottaa</w:t>
      </w:r>
      <w:r w:rsidRPr="00E13F7A">
        <w:rPr>
          <w:b/>
        </w:rPr>
        <w:t xml:space="preserve"> lisäämään avoimuutta</w:t>
      </w:r>
      <w:r w:rsidRPr="00E13F7A">
        <w:t xml:space="preserve"> ja saavutettavuutta, mukaan lukien </w:t>
      </w:r>
      <w:r w:rsidRPr="00E13F7A">
        <w:rPr>
          <w:b/>
        </w:rPr>
        <w:t>standardien helpompi julkinen saatavuus, teknisten komiteoiden selkeämpi hallinnointi</w:t>
      </w:r>
      <w:r w:rsidRPr="00E13F7A">
        <w:t xml:space="preserve"> ja </w:t>
      </w:r>
      <w:r w:rsidRPr="00E13F7A">
        <w:rPr>
          <w:b/>
        </w:rPr>
        <w:t>standardointipyyntöjen ennakkoarviointi</w:t>
      </w:r>
      <w:r w:rsidRPr="00E13F7A">
        <w:t>, jotta voidaan varmistaa perusoikeuksien ja EU:n lainsäädännön noudattaminen.</w:t>
      </w:r>
    </w:p>
    <w:p w14:paraId="672034AD" w14:textId="77777777" w:rsidR="00922CE7" w:rsidRPr="00E13F7A" w:rsidRDefault="00922CE7" w:rsidP="002B6ACC">
      <w:pPr>
        <w:widowControl w:val="0"/>
        <w:numPr>
          <w:ilvl w:val="0"/>
          <w:numId w:val="25"/>
        </w:numPr>
        <w:overflowPunct w:val="0"/>
        <w:autoSpaceDE w:val="0"/>
        <w:autoSpaceDN w:val="0"/>
        <w:adjustRightInd w:val="0"/>
        <w:ind w:left="426" w:hanging="426"/>
        <w:textAlignment w:val="baseline"/>
        <w:rPr>
          <w:bCs/>
          <w:iCs/>
        </w:rPr>
      </w:pPr>
      <w:r w:rsidRPr="00E13F7A">
        <w:t xml:space="preserve">korostaa standardoinnin strategista roolia sisämarkkinoiden, kilpailukyvyn ja avoimen strategisen riippumattomuuden edistämisessä ja kehottaa samanaikaisesti vahvistamaan </w:t>
      </w:r>
      <w:r w:rsidRPr="00E13F7A">
        <w:rPr>
          <w:b/>
        </w:rPr>
        <w:t>EU:n toimien koordinointia kansainvälisessä standardoinnissa</w:t>
      </w:r>
      <w:r w:rsidRPr="00E13F7A">
        <w:t xml:space="preserve"> Euroopan etujen ja standardien korkean tason turvaamiseksi.</w:t>
      </w:r>
    </w:p>
    <w:p w14:paraId="5991C8F5" w14:textId="77777777" w:rsidR="00922CE7" w:rsidRPr="00E13F7A" w:rsidRDefault="00922CE7" w:rsidP="002B6ACC">
      <w:pPr>
        <w:widowControl w:val="0"/>
        <w:numPr>
          <w:ilvl w:val="0"/>
          <w:numId w:val="25"/>
        </w:numPr>
        <w:overflowPunct w:val="0"/>
        <w:autoSpaceDE w:val="0"/>
        <w:autoSpaceDN w:val="0"/>
        <w:adjustRightInd w:val="0"/>
        <w:ind w:left="426" w:hanging="426"/>
        <w:textAlignment w:val="baseline"/>
        <w:rPr>
          <w:bCs/>
          <w:iCs/>
        </w:rPr>
      </w:pPr>
      <w:r w:rsidRPr="00E13F7A">
        <w:t xml:space="preserve">peräänkuuluttaa tehokkaampaa ja </w:t>
      </w:r>
      <w:r w:rsidRPr="00E13F7A">
        <w:rPr>
          <w:b/>
        </w:rPr>
        <w:t>tulevaisuudenkestävää</w:t>
      </w:r>
      <w:r w:rsidRPr="00E13F7A">
        <w:t xml:space="preserve"> järjestelmää, jossa parannetaan </w:t>
      </w:r>
      <w:r w:rsidRPr="00E13F7A">
        <w:rPr>
          <w:b/>
        </w:rPr>
        <w:t>ajantasaisuutta</w:t>
      </w:r>
      <w:r w:rsidRPr="00E13F7A">
        <w:t xml:space="preserve"> ja laatua samalla kun otetaan huomioon </w:t>
      </w:r>
      <w:r w:rsidRPr="00E13F7A">
        <w:rPr>
          <w:b/>
        </w:rPr>
        <w:t>kehitteillä olevat teknologiat</w:t>
      </w:r>
      <w:r w:rsidRPr="00E13F7A">
        <w:t xml:space="preserve"> ja varmistetaan, että standardeilla tuetaan innovointia, kestävyyttä sekä </w:t>
      </w:r>
      <w:r w:rsidRPr="00E13F7A">
        <w:rPr>
          <w:b/>
        </w:rPr>
        <w:t>työntekijöiden, kuluttajien ja ympäristön suojelun korkeaa tasoa</w:t>
      </w:r>
      <w:r w:rsidRPr="00E13F7A">
        <w:t>.</w:t>
      </w:r>
    </w:p>
    <w:p w14:paraId="48D73F5D" w14:textId="77777777" w:rsidR="00922CE7" w:rsidRPr="00E13F7A" w:rsidRDefault="00922CE7" w:rsidP="00922CE7">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922CE7" w:rsidRPr="00E13F7A" w14:paraId="7FC15975" w14:textId="77777777" w:rsidTr="00120118">
        <w:tc>
          <w:tcPr>
            <w:tcW w:w="1418" w:type="dxa"/>
          </w:tcPr>
          <w:p w14:paraId="04A69CE5" w14:textId="77777777" w:rsidR="00922CE7" w:rsidRPr="00E13F7A" w:rsidRDefault="00922CE7" w:rsidP="00120118">
            <w:pPr>
              <w:rPr>
                <w:i/>
              </w:rPr>
            </w:pPr>
            <w:r w:rsidRPr="00E13F7A">
              <w:rPr>
                <w:b/>
                <w:i/>
              </w:rPr>
              <w:t>Yhteydenotot</w:t>
            </w:r>
          </w:p>
        </w:tc>
        <w:tc>
          <w:tcPr>
            <w:tcW w:w="5670" w:type="dxa"/>
          </w:tcPr>
          <w:p w14:paraId="06DDA2F6" w14:textId="77777777" w:rsidR="00922CE7" w:rsidRPr="00E13F7A" w:rsidRDefault="00922CE7" w:rsidP="00120118">
            <w:pPr>
              <w:rPr>
                <w:i/>
              </w:rPr>
            </w:pPr>
            <w:r w:rsidRPr="00E13F7A">
              <w:rPr>
                <w:i/>
              </w:rPr>
              <w:t xml:space="preserve">Silvia </w:t>
            </w:r>
            <w:proofErr w:type="spellStart"/>
            <w:r w:rsidRPr="00E13F7A">
              <w:rPr>
                <w:i/>
              </w:rPr>
              <w:t>Staffa</w:t>
            </w:r>
            <w:proofErr w:type="spellEnd"/>
          </w:p>
        </w:tc>
      </w:tr>
      <w:tr w:rsidR="00922CE7" w:rsidRPr="00E13F7A" w14:paraId="23522285" w14:textId="77777777" w:rsidTr="00120118">
        <w:tc>
          <w:tcPr>
            <w:tcW w:w="1418" w:type="dxa"/>
          </w:tcPr>
          <w:p w14:paraId="3791D025" w14:textId="77777777" w:rsidR="00922CE7" w:rsidRPr="00E13F7A" w:rsidRDefault="00922CE7" w:rsidP="00120118">
            <w:pPr>
              <w:rPr>
                <w:i/>
              </w:rPr>
            </w:pPr>
            <w:r w:rsidRPr="00E13F7A">
              <w:rPr>
                <w:i/>
              </w:rPr>
              <w:t>P.</w:t>
            </w:r>
          </w:p>
        </w:tc>
        <w:tc>
          <w:tcPr>
            <w:tcW w:w="5670" w:type="dxa"/>
          </w:tcPr>
          <w:p w14:paraId="6FEAF1FB" w14:textId="77777777" w:rsidR="00922CE7" w:rsidRPr="00E13F7A" w:rsidRDefault="00922CE7" w:rsidP="00120118">
            <w:pPr>
              <w:rPr>
                <w:i/>
              </w:rPr>
            </w:pPr>
            <w:r w:rsidRPr="00E13F7A">
              <w:rPr>
                <w:i/>
              </w:rPr>
              <w:t>+32 25468378</w:t>
            </w:r>
          </w:p>
        </w:tc>
      </w:tr>
      <w:tr w:rsidR="00922CE7" w:rsidRPr="00E13F7A" w14:paraId="4DBE5606" w14:textId="77777777" w:rsidTr="00120118">
        <w:tc>
          <w:tcPr>
            <w:tcW w:w="1418" w:type="dxa"/>
          </w:tcPr>
          <w:p w14:paraId="2103175E" w14:textId="77777777" w:rsidR="00922CE7" w:rsidRPr="00E13F7A" w:rsidRDefault="00922CE7" w:rsidP="00120118">
            <w:pPr>
              <w:rPr>
                <w:i/>
              </w:rPr>
            </w:pPr>
            <w:r w:rsidRPr="00E13F7A">
              <w:rPr>
                <w:i/>
              </w:rPr>
              <w:t>Sähköposti</w:t>
            </w:r>
          </w:p>
        </w:tc>
        <w:tc>
          <w:tcPr>
            <w:tcW w:w="5670" w:type="dxa"/>
          </w:tcPr>
          <w:p w14:paraId="0EA43CD4" w14:textId="77777777" w:rsidR="00922CE7" w:rsidRPr="00E13F7A" w:rsidRDefault="003665FE" w:rsidP="00120118">
            <w:pPr>
              <w:rPr>
                <w:i/>
              </w:rPr>
            </w:pPr>
            <w:hyperlink r:id="rId47" w:history="1">
              <w:r w:rsidR="00922CE7" w:rsidRPr="00E13F7A">
                <w:rPr>
                  <w:rStyle w:val="Hyperlink"/>
                  <w:i/>
                </w:rPr>
                <w:t>Silvia.Staffa@eesc.europa.eu</w:t>
              </w:r>
            </w:hyperlink>
          </w:p>
        </w:tc>
      </w:tr>
    </w:tbl>
    <w:p w14:paraId="0B9731DD" w14:textId="451F01CD" w:rsidR="006B41A2" w:rsidRDefault="006B41A2" w:rsidP="004D7AC0"/>
    <w:p w14:paraId="519500FE" w14:textId="77777777" w:rsidR="006B41A2" w:rsidRDefault="006B41A2">
      <w:pPr>
        <w:spacing w:after="160" w:line="259" w:lineRule="auto"/>
        <w:jc w:val="left"/>
      </w:pPr>
      <w:r>
        <w:br w:type="page"/>
      </w:r>
    </w:p>
    <w:p w14:paraId="373D483A" w14:textId="77A93EF1" w:rsidR="006B41A2" w:rsidRPr="002C0308" w:rsidRDefault="003665FE" w:rsidP="00D31A28">
      <w:pPr>
        <w:pStyle w:val="ListParagraph"/>
        <w:widowControl w:val="0"/>
        <w:numPr>
          <w:ilvl w:val="0"/>
          <w:numId w:val="6"/>
        </w:numPr>
        <w:spacing w:line="276" w:lineRule="auto"/>
        <w:ind w:left="567" w:hanging="567"/>
        <w:rPr>
          <w:rStyle w:val="Hyperlink"/>
          <w:b/>
          <w:sz w:val="28"/>
          <w:szCs w:val="28"/>
        </w:rPr>
      </w:pPr>
      <w:hyperlink r:id="rId48" w:history="1">
        <w:r w:rsidR="006B41A2">
          <w:rPr>
            <w:rStyle w:val="Hyperlink"/>
            <w:b/>
            <w:i/>
            <w:sz w:val="28"/>
          </w:rPr>
          <w:t>Sisämarkkinat – perusteettomien alueellisten toimitusrajoitusten poistaminen</w:t>
        </w:r>
      </w:hyperlink>
    </w:p>
    <w:p w14:paraId="4508BAA1" w14:textId="77777777" w:rsidR="006B41A2" w:rsidRPr="002C0308" w:rsidRDefault="006B41A2" w:rsidP="006B41A2">
      <w:pPr>
        <w:widowControl w:val="0"/>
        <w:rPr>
          <w:b/>
        </w:rPr>
      </w:pPr>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tblGrid>
      <w:tr w:rsidR="006B41A2" w:rsidRPr="002C0308" w14:paraId="0E4F9E14" w14:textId="77777777" w:rsidTr="00120118">
        <w:tc>
          <w:tcPr>
            <w:tcW w:w="1148" w:type="pct"/>
          </w:tcPr>
          <w:p w14:paraId="7AEC78FE" w14:textId="77777777" w:rsidR="006B41A2" w:rsidRPr="002C0308" w:rsidRDefault="006B41A2" w:rsidP="00120118">
            <w:pPr>
              <w:tabs>
                <w:tab w:val="center" w:pos="284"/>
              </w:tabs>
              <w:ind w:left="266" w:hanging="376"/>
              <w:rPr>
                <w:b/>
              </w:rPr>
            </w:pPr>
            <w:r w:rsidRPr="002C0308">
              <w:rPr>
                <w:b/>
              </w:rPr>
              <w:t>Esittelijä</w:t>
            </w:r>
          </w:p>
          <w:p w14:paraId="5CEAA58D" w14:textId="77777777" w:rsidR="006B41A2" w:rsidRPr="002C0308" w:rsidRDefault="006B41A2" w:rsidP="00120118">
            <w:pPr>
              <w:tabs>
                <w:tab w:val="center" w:pos="284"/>
              </w:tabs>
              <w:ind w:left="266" w:hanging="376"/>
              <w:rPr>
                <w:b/>
                <w:lang w:val="en-US"/>
              </w:rPr>
            </w:pPr>
          </w:p>
        </w:tc>
        <w:tc>
          <w:tcPr>
            <w:tcW w:w="3852" w:type="pct"/>
          </w:tcPr>
          <w:p w14:paraId="30DE070A" w14:textId="77777777" w:rsidR="006B41A2" w:rsidRPr="002C0308" w:rsidRDefault="006B41A2" w:rsidP="00120118">
            <w:pPr>
              <w:tabs>
                <w:tab w:val="center" w:pos="284"/>
              </w:tabs>
              <w:ind w:left="266" w:hanging="266"/>
            </w:pPr>
            <w:proofErr w:type="spellStart"/>
            <w:r w:rsidRPr="002C0308">
              <w:t>Antje</w:t>
            </w:r>
            <w:proofErr w:type="spellEnd"/>
            <w:r w:rsidRPr="002C0308">
              <w:t xml:space="preserve"> GERSTEIN (työnantajat – DE)</w:t>
            </w:r>
          </w:p>
          <w:p w14:paraId="50C0C4ED" w14:textId="77777777" w:rsidR="006B41A2" w:rsidRPr="002C0308" w:rsidRDefault="006B41A2" w:rsidP="00120118">
            <w:pPr>
              <w:tabs>
                <w:tab w:val="center" w:pos="284"/>
              </w:tabs>
              <w:ind w:left="266" w:hanging="266"/>
              <w:rPr>
                <w:lang w:val="fr-BE"/>
              </w:rPr>
            </w:pPr>
          </w:p>
        </w:tc>
      </w:tr>
      <w:tr w:rsidR="006B41A2" w:rsidRPr="002C0308" w14:paraId="66D95622" w14:textId="77777777" w:rsidTr="00120118">
        <w:tc>
          <w:tcPr>
            <w:tcW w:w="1148" w:type="pct"/>
            <w:vMerge w:val="restart"/>
          </w:tcPr>
          <w:p w14:paraId="1F7020E9" w14:textId="77777777" w:rsidR="006B41A2" w:rsidRPr="002C0308" w:rsidRDefault="006B41A2" w:rsidP="00120118">
            <w:pPr>
              <w:tabs>
                <w:tab w:val="center" w:pos="284"/>
              </w:tabs>
              <w:ind w:left="266" w:hanging="376"/>
              <w:rPr>
                <w:b/>
              </w:rPr>
            </w:pPr>
            <w:r w:rsidRPr="002C0308">
              <w:rPr>
                <w:b/>
              </w:rPr>
              <w:t>Viiteasiakirjat</w:t>
            </w:r>
          </w:p>
        </w:tc>
        <w:tc>
          <w:tcPr>
            <w:tcW w:w="3852" w:type="pct"/>
          </w:tcPr>
          <w:p w14:paraId="2BAB549A" w14:textId="30D3F59A" w:rsidR="006B41A2" w:rsidRPr="002C0308" w:rsidRDefault="00FB1362" w:rsidP="00120118">
            <w:pPr>
              <w:tabs>
                <w:tab w:val="center" w:pos="284"/>
              </w:tabs>
              <w:ind w:left="266" w:hanging="266"/>
            </w:pPr>
            <w:r>
              <w:t xml:space="preserve">Euroopan </w:t>
            </w:r>
            <w:r w:rsidRPr="002C0308">
              <w:t xml:space="preserve">komission </w:t>
            </w:r>
            <w:r w:rsidR="006B41A2" w:rsidRPr="002C0308">
              <w:t>pyynnöstä laadittava valmisteleva lausunto</w:t>
            </w:r>
          </w:p>
        </w:tc>
      </w:tr>
      <w:tr w:rsidR="006B41A2" w:rsidRPr="002C0308" w14:paraId="2CFCE1B5" w14:textId="77777777" w:rsidTr="00120118">
        <w:tc>
          <w:tcPr>
            <w:tcW w:w="1148" w:type="pct"/>
            <w:vMerge/>
          </w:tcPr>
          <w:p w14:paraId="3ACA4D6A" w14:textId="77777777" w:rsidR="006B41A2" w:rsidRPr="002C0308" w:rsidRDefault="006B41A2" w:rsidP="00120118">
            <w:pPr>
              <w:tabs>
                <w:tab w:val="center" w:pos="284"/>
              </w:tabs>
              <w:ind w:left="266" w:hanging="266"/>
              <w:rPr>
                <w:b/>
                <w:lang w:val="en-US"/>
              </w:rPr>
            </w:pPr>
          </w:p>
        </w:tc>
        <w:tc>
          <w:tcPr>
            <w:tcW w:w="3852" w:type="pct"/>
          </w:tcPr>
          <w:p w14:paraId="7E08A708" w14:textId="2AF70687" w:rsidR="006B41A2" w:rsidRPr="002C0308" w:rsidRDefault="006B41A2" w:rsidP="00120118">
            <w:pPr>
              <w:tabs>
                <w:tab w:val="center" w:pos="284"/>
              </w:tabs>
              <w:ind w:left="266" w:hanging="266"/>
            </w:pPr>
            <w:r w:rsidRPr="002C0308">
              <w:t>EESC-2026-00673-00-00-AC</w:t>
            </w:r>
          </w:p>
        </w:tc>
      </w:tr>
    </w:tbl>
    <w:p w14:paraId="7C6BA3B5" w14:textId="77777777" w:rsidR="006B41A2" w:rsidRPr="002C0308" w:rsidRDefault="006B41A2" w:rsidP="006B41A2">
      <w:pPr>
        <w:keepNext/>
        <w:keepLines/>
        <w:tabs>
          <w:tab w:val="center" w:pos="284"/>
        </w:tabs>
        <w:ind w:left="266" w:hanging="266"/>
        <w:rPr>
          <w:b/>
        </w:rPr>
      </w:pPr>
    </w:p>
    <w:p w14:paraId="4874577B" w14:textId="77777777" w:rsidR="006B41A2" w:rsidRPr="002C0308" w:rsidRDefault="006B41A2" w:rsidP="006B41A2">
      <w:pPr>
        <w:keepNext/>
        <w:keepLines/>
        <w:tabs>
          <w:tab w:val="center" w:pos="284"/>
        </w:tabs>
        <w:ind w:left="266" w:hanging="266"/>
        <w:rPr>
          <w:b/>
        </w:rPr>
      </w:pPr>
      <w:r w:rsidRPr="002C0308">
        <w:rPr>
          <w:b/>
        </w:rPr>
        <w:t>Keskeiset kohdat</w:t>
      </w:r>
    </w:p>
    <w:p w14:paraId="324CE5EC" w14:textId="77777777" w:rsidR="006B41A2" w:rsidRPr="002C0308" w:rsidRDefault="006B41A2" w:rsidP="006B41A2">
      <w:pPr>
        <w:keepNext/>
        <w:keepLines/>
        <w:tabs>
          <w:tab w:val="center" w:pos="284"/>
        </w:tabs>
        <w:ind w:left="266" w:hanging="266"/>
        <w:rPr>
          <w:b/>
        </w:rPr>
      </w:pPr>
    </w:p>
    <w:p w14:paraId="4B1D5936" w14:textId="77777777" w:rsidR="006B41A2" w:rsidRPr="002C0308" w:rsidRDefault="006B41A2" w:rsidP="006B41A2">
      <w:pPr>
        <w:rPr>
          <w:bCs/>
          <w:iCs/>
        </w:rPr>
      </w:pPr>
      <w:r w:rsidRPr="002C0308">
        <w:t>ETSK</w:t>
      </w:r>
    </w:p>
    <w:p w14:paraId="1C6A63B5" w14:textId="77777777" w:rsidR="006B41A2" w:rsidRPr="002C0308" w:rsidRDefault="006B41A2" w:rsidP="002B6ACC">
      <w:pPr>
        <w:widowControl w:val="0"/>
        <w:numPr>
          <w:ilvl w:val="0"/>
          <w:numId w:val="26"/>
        </w:numPr>
        <w:overflowPunct w:val="0"/>
        <w:autoSpaceDE w:val="0"/>
        <w:autoSpaceDN w:val="0"/>
        <w:adjustRightInd w:val="0"/>
        <w:ind w:left="426" w:hanging="426"/>
        <w:textAlignment w:val="baseline"/>
      </w:pPr>
      <w:r w:rsidRPr="002C0308">
        <w:t xml:space="preserve">katsoo, että alueelliset toimitusrajoitukset vahingoittavat </w:t>
      </w:r>
      <w:proofErr w:type="spellStart"/>
      <w:r w:rsidRPr="002C0308">
        <w:t>rajatylittävää</w:t>
      </w:r>
      <w:proofErr w:type="spellEnd"/>
      <w:r w:rsidRPr="002C0308">
        <w:t xml:space="preserve"> liiketoimintaa ja rikkovat lupauksen siitä, että sisämarkkinat toisivat kuluttajille valinnanvaraa ja hintakilpailua.</w:t>
      </w:r>
    </w:p>
    <w:p w14:paraId="387FE4E8" w14:textId="77777777" w:rsidR="006B41A2" w:rsidRPr="002C0308" w:rsidRDefault="006B41A2" w:rsidP="002B6ACC">
      <w:pPr>
        <w:widowControl w:val="0"/>
        <w:numPr>
          <w:ilvl w:val="0"/>
          <w:numId w:val="26"/>
        </w:numPr>
        <w:overflowPunct w:val="0"/>
        <w:autoSpaceDE w:val="0"/>
        <w:autoSpaceDN w:val="0"/>
        <w:adjustRightInd w:val="0"/>
        <w:ind w:left="426" w:hanging="426"/>
        <w:textAlignment w:val="baseline"/>
      </w:pPr>
      <w:r w:rsidRPr="002C0308">
        <w:t>katsoo myös, että on erityisen tärkeää, että kuluttajat ja työntekijät voivat saada hyvin toimivista sisämarkkinoista kaiken mahdollisen hyödyn hintojen ja tuotevalikoiman muodossa.</w:t>
      </w:r>
    </w:p>
    <w:p w14:paraId="1D7D5D11" w14:textId="77777777" w:rsidR="006B41A2" w:rsidRPr="002C0308" w:rsidRDefault="006B41A2" w:rsidP="002B6ACC">
      <w:pPr>
        <w:widowControl w:val="0"/>
        <w:numPr>
          <w:ilvl w:val="0"/>
          <w:numId w:val="26"/>
        </w:numPr>
        <w:overflowPunct w:val="0"/>
        <w:autoSpaceDE w:val="0"/>
        <w:autoSpaceDN w:val="0"/>
        <w:adjustRightInd w:val="0"/>
        <w:ind w:left="426" w:hanging="426"/>
        <w:textAlignment w:val="baseline"/>
      </w:pPr>
      <w:r w:rsidRPr="002C0308">
        <w:t xml:space="preserve">kehottaa jäsenvaltioita olemaan hyväksymättä sellaista kansallista lainsäädäntöä, joka </w:t>
      </w:r>
      <w:proofErr w:type="spellStart"/>
      <w:r w:rsidRPr="002C0308">
        <w:t>uudelleenkansallistaisi</w:t>
      </w:r>
      <w:proofErr w:type="spellEnd"/>
      <w:r w:rsidRPr="002C0308">
        <w:t xml:space="preserve"> hankintamarkkinat, ja sen sijaan poistamaan tavaroiden vapaata liikkuvuutta haittaavia perusteettomia esteitä, vaarantamatta kuitenkaan kuluttajansuojaa koskevia oikeutettuja vaatimuksia.</w:t>
      </w:r>
    </w:p>
    <w:p w14:paraId="6D682546" w14:textId="77777777" w:rsidR="006B41A2" w:rsidRPr="002C0308" w:rsidRDefault="006B41A2" w:rsidP="002B6ACC">
      <w:pPr>
        <w:widowControl w:val="0"/>
        <w:numPr>
          <w:ilvl w:val="0"/>
          <w:numId w:val="26"/>
        </w:numPr>
        <w:overflowPunct w:val="0"/>
        <w:autoSpaceDE w:val="0"/>
        <w:autoSpaceDN w:val="0"/>
        <w:adjustRightInd w:val="0"/>
        <w:ind w:left="426" w:hanging="426"/>
        <w:textAlignment w:val="baseline"/>
      </w:pPr>
      <w:r w:rsidRPr="002C0308">
        <w:t>näkee lisäarvoa siinä, että tutkitaan mahdollisuutta laatia kansallisille kilpailuviranomaisille ja asiaankuuluville sidosryhmille suuntaviivoja.</w:t>
      </w:r>
    </w:p>
    <w:p w14:paraId="4F6ACEF0" w14:textId="77777777" w:rsidR="006B41A2" w:rsidRPr="002C0308" w:rsidRDefault="006B41A2" w:rsidP="002B6ACC">
      <w:pPr>
        <w:pStyle w:val="ListParagraph"/>
        <w:numPr>
          <w:ilvl w:val="0"/>
          <w:numId w:val="26"/>
        </w:numPr>
        <w:ind w:left="426" w:hanging="426"/>
      </w:pPr>
      <w:r w:rsidRPr="002C0308">
        <w:t>pyytää Euroopan komissiota harkitsemaan lainsäädännön esittämistä digimarkkinasäädöksen tai hyvän kauppatavan vastaisista käytännöistä elintarvikealan tuotantoketjussa annetun direktiivin periaatteiden pohjalta, jotta voidaan puuttua tehokkaasti alueellisiin toimitusrajoituksiin ja varmistaa reilummat kaupalliset käytännöt toimitusketjuissa.</w:t>
      </w:r>
    </w:p>
    <w:p w14:paraId="4F91A53A" w14:textId="77777777" w:rsidR="006B41A2" w:rsidRPr="002C0308" w:rsidRDefault="006B41A2" w:rsidP="006B41A2">
      <w:pPr>
        <w:widowControl w:val="0"/>
        <w:ind w:left="567"/>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6B41A2" w:rsidRPr="002C0308" w14:paraId="5E2071DE" w14:textId="77777777" w:rsidTr="00120118">
        <w:tc>
          <w:tcPr>
            <w:tcW w:w="1556" w:type="pct"/>
          </w:tcPr>
          <w:p w14:paraId="217C8C52" w14:textId="77777777" w:rsidR="006B41A2" w:rsidRPr="002C0308" w:rsidRDefault="006B41A2" w:rsidP="00120118">
            <w:pPr>
              <w:rPr>
                <w:i/>
              </w:rPr>
            </w:pPr>
            <w:r w:rsidRPr="002C0308">
              <w:rPr>
                <w:b/>
                <w:i/>
              </w:rPr>
              <w:t>Yhteydenotot</w:t>
            </w:r>
          </w:p>
        </w:tc>
        <w:tc>
          <w:tcPr>
            <w:tcW w:w="3444" w:type="pct"/>
          </w:tcPr>
          <w:p w14:paraId="421FEEFF" w14:textId="77777777" w:rsidR="006B41A2" w:rsidRPr="002C0308" w:rsidRDefault="006B41A2" w:rsidP="00120118">
            <w:pPr>
              <w:rPr>
                <w:i/>
              </w:rPr>
            </w:pPr>
            <w:proofErr w:type="spellStart"/>
            <w:r w:rsidRPr="002C0308">
              <w:rPr>
                <w:i/>
              </w:rPr>
              <w:t>Annalisa</w:t>
            </w:r>
            <w:proofErr w:type="spellEnd"/>
            <w:r w:rsidRPr="002C0308">
              <w:rPr>
                <w:i/>
              </w:rPr>
              <w:t xml:space="preserve"> </w:t>
            </w:r>
            <w:proofErr w:type="spellStart"/>
            <w:r w:rsidRPr="002C0308">
              <w:rPr>
                <w:i/>
              </w:rPr>
              <w:t>Tessarolo</w:t>
            </w:r>
            <w:proofErr w:type="spellEnd"/>
          </w:p>
        </w:tc>
      </w:tr>
      <w:tr w:rsidR="006B41A2" w:rsidRPr="002C0308" w14:paraId="1973043A" w14:textId="77777777" w:rsidTr="00120118">
        <w:tc>
          <w:tcPr>
            <w:tcW w:w="1556" w:type="pct"/>
          </w:tcPr>
          <w:p w14:paraId="1DBD4B8F" w14:textId="77777777" w:rsidR="006B41A2" w:rsidRPr="002C0308" w:rsidRDefault="006B41A2" w:rsidP="00120118">
            <w:pPr>
              <w:rPr>
                <w:i/>
              </w:rPr>
            </w:pPr>
            <w:r w:rsidRPr="002C0308">
              <w:rPr>
                <w:i/>
              </w:rPr>
              <w:t>P.</w:t>
            </w:r>
          </w:p>
        </w:tc>
        <w:tc>
          <w:tcPr>
            <w:tcW w:w="3444" w:type="pct"/>
          </w:tcPr>
          <w:p w14:paraId="020874BC" w14:textId="77777777" w:rsidR="006B41A2" w:rsidRPr="002C0308" w:rsidRDefault="006B41A2" w:rsidP="00120118">
            <w:pPr>
              <w:rPr>
                <w:i/>
              </w:rPr>
            </w:pPr>
            <w:r w:rsidRPr="002C0308">
              <w:rPr>
                <w:i/>
              </w:rPr>
              <w:t>+32 25469732</w:t>
            </w:r>
          </w:p>
        </w:tc>
      </w:tr>
      <w:tr w:rsidR="006B41A2" w:rsidRPr="002C0308" w14:paraId="2BCD5822" w14:textId="77777777" w:rsidTr="00120118">
        <w:tc>
          <w:tcPr>
            <w:tcW w:w="1556" w:type="pct"/>
          </w:tcPr>
          <w:p w14:paraId="6C75D3D3" w14:textId="77777777" w:rsidR="006B41A2" w:rsidRPr="002C0308" w:rsidRDefault="006B41A2" w:rsidP="00120118">
            <w:pPr>
              <w:rPr>
                <w:i/>
              </w:rPr>
            </w:pPr>
            <w:r w:rsidRPr="002C0308">
              <w:rPr>
                <w:i/>
              </w:rPr>
              <w:t>Sähköposti</w:t>
            </w:r>
          </w:p>
        </w:tc>
        <w:tc>
          <w:tcPr>
            <w:tcW w:w="3444" w:type="pct"/>
          </w:tcPr>
          <w:p w14:paraId="7F4C43AE" w14:textId="77777777" w:rsidR="006B41A2" w:rsidRPr="002C0308" w:rsidRDefault="003665FE" w:rsidP="00120118">
            <w:pPr>
              <w:rPr>
                <w:i/>
                <w:iCs/>
              </w:rPr>
            </w:pPr>
            <w:hyperlink r:id="rId49" w:history="1">
              <w:r w:rsidR="006B41A2" w:rsidRPr="002C0308">
                <w:rPr>
                  <w:rStyle w:val="Hyperlink"/>
                  <w:i/>
                </w:rPr>
                <w:t>Annalisa.Tessarolo@eesc.europa.eu</w:t>
              </w:r>
            </w:hyperlink>
          </w:p>
        </w:tc>
      </w:tr>
    </w:tbl>
    <w:p w14:paraId="349B4E7E" w14:textId="507A75C6" w:rsidR="004236AE" w:rsidRDefault="004236AE" w:rsidP="004D7AC0"/>
    <w:p w14:paraId="050515AF" w14:textId="77777777" w:rsidR="004236AE" w:rsidRDefault="004236AE">
      <w:pPr>
        <w:spacing w:after="160" w:line="259" w:lineRule="auto"/>
        <w:jc w:val="left"/>
      </w:pPr>
      <w:r>
        <w:br w:type="page"/>
      </w:r>
    </w:p>
    <w:p w14:paraId="4A7B7D03" w14:textId="11FAEA1D" w:rsidR="004236AE" w:rsidRPr="007E4A83" w:rsidRDefault="003665FE" w:rsidP="002B6ACC">
      <w:pPr>
        <w:widowControl w:val="0"/>
        <w:numPr>
          <w:ilvl w:val="0"/>
          <w:numId w:val="2"/>
        </w:numPr>
        <w:overflowPunct w:val="0"/>
        <w:autoSpaceDE w:val="0"/>
        <w:autoSpaceDN w:val="0"/>
        <w:adjustRightInd w:val="0"/>
        <w:ind w:hanging="567"/>
        <w:textAlignment w:val="baseline"/>
        <w:rPr>
          <w:sz w:val="28"/>
          <w:szCs w:val="28"/>
        </w:rPr>
      </w:pPr>
      <w:hyperlink r:id="rId50" w:tgtFrame="_blank" w:history="1">
        <w:r w:rsidR="004236AE">
          <w:rPr>
            <w:rStyle w:val="Hyperlink"/>
            <w:b/>
            <w:i/>
            <w:sz w:val="28"/>
          </w:rPr>
          <w:t xml:space="preserve">EU:n </w:t>
        </w:r>
        <w:proofErr w:type="spellStart"/>
        <w:r w:rsidR="004236AE">
          <w:rPr>
            <w:rStyle w:val="Hyperlink"/>
            <w:b/>
            <w:i/>
            <w:sz w:val="28"/>
          </w:rPr>
          <w:t>start-up</w:t>
        </w:r>
        <w:proofErr w:type="spellEnd"/>
        <w:r w:rsidR="004236AE">
          <w:rPr>
            <w:rStyle w:val="Hyperlink"/>
            <w:b/>
            <w:i/>
            <w:sz w:val="28"/>
          </w:rPr>
          <w:t xml:space="preserve">- ja </w:t>
        </w:r>
        <w:proofErr w:type="spellStart"/>
        <w:r w:rsidR="004236AE">
          <w:rPr>
            <w:rStyle w:val="Hyperlink"/>
            <w:b/>
            <w:i/>
            <w:sz w:val="28"/>
          </w:rPr>
          <w:t>scale</w:t>
        </w:r>
        <w:proofErr w:type="spellEnd"/>
        <w:r w:rsidR="004236AE">
          <w:rPr>
            <w:rStyle w:val="Hyperlink"/>
            <w:b/>
            <w:i/>
            <w:sz w:val="28"/>
          </w:rPr>
          <w:t>-</w:t>
        </w:r>
        <w:proofErr w:type="spellStart"/>
        <w:r w:rsidR="004236AE">
          <w:rPr>
            <w:rStyle w:val="Hyperlink"/>
            <w:b/>
            <w:i/>
            <w:sz w:val="28"/>
          </w:rPr>
          <w:t>up</w:t>
        </w:r>
        <w:proofErr w:type="spellEnd"/>
        <w:r w:rsidR="004236AE">
          <w:rPr>
            <w:rStyle w:val="Hyperlink"/>
            <w:b/>
            <w:i/>
            <w:sz w:val="28"/>
          </w:rPr>
          <w:t>-strategia erityisesti eurooppalaisen innovaatioaloitteen näkökulmasta</w:t>
        </w:r>
      </w:hyperlink>
    </w:p>
    <w:p w14:paraId="7E77BA1F" w14:textId="77777777" w:rsidR="004236AE" w:rsidRPr="00A6689B" w:rsidRDefault="004236AE" w:rsidP="004236AE">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7353"/>
      </w:tblGrid>
      <w:tr w:rsidR="004236AE" w:rsidRPr="00A6689B" w14:paraId="5EBE8872" w14:textId="77777777" w:rsidTr="007E4A83">
        <w:tc>
          <w:tcPr>
            <w:tcW w:w="1719" w:type="dxa"/>
          </w:tcPr>
          <w:p w14:paraId="522C35E4" w14:textId="77777777" w:rsidR="004236AE" w:rsidRPr="00A6689B" w:rsidRDefault="004236AE" w:rsidP="00120118">
            <w:pPr>
              <w:tabs>
                <w:tab w:val="center" w:pos="284"/>
              </w:tabs>
              <w:ind w:left="266" w:hanging="266"/>
              <w:rPr>
                <w:b/>
              </w:rPr>
            </w:pPr>
            <w:r>
              <w:rPr>
                <w:b/>
              </w:rPr>
              <w:t>Esittelijä</w:t>
            </w:r>
          </w:p>
        </w:tc>
        <w:tc>
          <w:tcPr>
            <w:tcW w:w="7353" w:type="dxa"/>
          </w:tcPr>
          <w:p w14:paraId="0BAE9ECB" w14:textId="77777777" w:rsidR="004236AE" w:rsidRDefault="004236AE" w:rsidP="00120118">
            <w:pPr>
              <w:tabs>
                <w:tab w:val="center" w:pos="284"/>
              </w:tabs>
              <w:ind w:left="266" w:hanging="266"/>
            </w:pPr>
            <w:r>
              <w:t>Paul RÜBIG (työnantajat – AT)</w:t>
            </w:r>
          </w:p>
          <w:p w14:paraId="28870459" w14:textId="2596224D" w:rsidR="00477683" w:rsidRPr="00477683" w:rsidRDefault="00477683" w:rsidP="00120118">
            <w:pPr>
              <w:tabs>
                <w:tab w:val="center" w:pos="284"/>
              </w:tabs>
              <w:ind w:left="266" w:hanging="266"/>
            </w:pPr>
          </w:p>
        </w:tc>
      </w:tr>
      <w:tr w:rsidR="004236AE" w:rsidRPr="00A6689B" w14:paraId="253FEB2D" w14:textId="77777777" w:rsidTr="007E4A83">
        <w:tc>
          <w:tcPr>
            <w:tcW w:w="1719" w:type="dxa"/>
          </w:tcPr>
          <w:p w14:paraId="3C20E570" w14:textId="77777777" w:rsidR="004236AE" w:rsidRPr="00A6689B" w:rsidRDefault="004236AE" w:rsidP="00120118">
            <w:pPr>
              <w:tabs>
                <w:tab w:val="center" w:pos="284"/>
              </w:tabs>
              <w:ind w:left="266" w:hanging="266"/>
              <w:rPr>
                <w:b/>
              </w:rPr>
            </w:pPr>
            <w:r>
              <w:rPr>
                <w:b/>
              </w:rPr>
              <w:t>Viiteasiakirja(t)</w:t>
            </w:r>
          </w:p>
        </w:tc>
        <w:tc>
          <w:tcPr>
            <w:tcW w:w="7353" w:type="dxa"/>
          </w:tcPr>
          <w:p w14:paraId="550EC43D" w14:textId="54311309" w:rsidR="004236AE" w:rsidRPr="00BC73C4" w:rsidRDefault="00D51D1E" w:rsidP="00D51D1E">
            <w:pPr>
              <w:tabs>
                <w:tab w:val="center" w:pos="0"/>
              </w:tabs>
            </w:pPr>
            <w:r w:rsidRPr="00DB6C97">
              <w:rPr>
                <w:bCs/>
              </w:rPr>
              <w:t>puheenjohtajavaltio Kyproksen pyytämä valmisteleva lausunto</w:t>
            </w:r>
          </w:p>
          <w:p w14:paraId="328B4E19" w14:textId="77777777" w:rsidR="004236AE" w:rsidRPr="00A6689B" w:rsidRDefault="004236AE" w:rsidP="00120118">
            <w:pPr>
              <w:tabs>
                <w:tab w:val="center" w:pos="284"/>
              </w:tabs>
              <w:ind w:left="266" w:hanging="266"/>
            </w:pPr>
            <w:r>
              <w:t>EESC-2025-04126-00-00-AC</w:t>
            </w:r>
          </w:p>
        </w:tc>
      </w:tr>
    </w:tbl>
    <w:p w14:paraId="79D61E97" w14:textId="77777777" w:rsidR="00477683" w:rsidRDefault="00477683" w:rsidP="004236AE">
      <w:pPr>
        <w:keepNext/>
        <w:keepLines/>
        <w:tabs>
          <w:tab w:val="center" w:pos="284"/>
        </w:tabs>
        <w:ind w:left="266" w:hanging="266"/>
        <w:rPr>
          <w:b/>
        </w:rPr>
      </w:pPr>
    </w:p>
    <w:p w14:paraId="6ABD40EB" w14:textId="3002E348" w:rsidR="004236AE" w:rsidRPr="00A6689B" w:rsidRDefault="004236AE" w:rsidP="004236AE">
      <w:pPr>
        <w:keepNext/>
        <w:keepLines/>
        <w:tabs>
          <w:tab w:val="center" w:pos="284"/>
        </w:tabs>
        <w:ind w:left="266" w:hanging="266"/>
        <w:rPr>
          <w:b/>
        </w:rPr>
      </w:pPr>
      <w:r>
        <w:rPr>
          <w:b/>
        </w:rPr>
        <w:t>Keskeiset kohdat</w:t>
      </w:r>
    </w:p>
    <w:p w14:paraId="7970642A" w14:textId="77777777" w:rsidR="004236AE" w:rsidRPr="00A6689B" w:rsidRDefault="004236AE" w:rsidP="004236AE">
      <w:pPr>
        <w:keepNext/>
        <w:keepLines/>
        <w:tabs>
          <w:tab w:val="center" w:pos="284"/>
        </w:tabs>
        <w:ind w:left="266" w:hanging="266"/>
        <w:rPr>
          <w:b/>
        </w:rPr>
      </w:pPr>
    </w:p>
    <w:p w14:paraId="67BF9591" w14:textId="77777777" w:rsidR="004236AE" w:rsidRDefault="004236AE" w:rsidP="00D31A28">
      <w:pPr>
        <w:rPr>
          <w:bCs/>
          <w:iCs/>
        </w:rPr>
      </w:pPr>
      <w:r>
        <w:t>ETSK katsoo, että</w:t>
      </w:r>
    </w:p>
    <w:p w14:paraId="2EC124D4" w14:textId="77777777" w:rsidR="004236AE" w:rsidRPr="0072637C" w:rsidRDefault="004236AE" w:rsidP="00D31A28">
      <w:pPr>
        <w:pStyle w:val="ListParagraph"/>
        <w:numPr>
          <w:ilvl w:val="0"/>
          <w:numId w:val="27"/>
        </w:numPr>
        <w:spacing w:after="200"/>
        <w:ind w:left="426" w:hanging="426"/>
      </w:pPr>
      <w:r>
        <w:t>Euroopassa on vahvistettava huomattavasti innovointia ja tutkimusta, ja innovoinnin ja tutkimuksen tulosten kaupallistamisessa spin-</w:t>
      </w:r>
      <w:proofErr w:type="spellStart"/>
      <w:r>
        <w:t>off</w:t>
      </w:r>
      <w:proofErr w:type="spellEnd"/>
      <w:r>
        <w:t xml:space="preserve">-, </w:t>
      </w:r>
      <w:proofErr w:type="spellStart"/>
      <w:r>
        <w:t>start-up</w:t>
      </w:r>
      <w:proofErr w:type="spellEnd"/>
      <w:r>
        <w:t xml:space="preserve">- ja </w:t>
      </w:r>
      <w:proofErr w:type="spellStart"/>
      <w:r>
        <w:t>scale</w:t>
      </w:r>
      <w:proofErr w:type="spellEnd"/>
      <w:r>
        <w:t>-</w:t>
      </w:r>
      <w:proofErr w:type="spellStart"/>
      <w:r>
        <w:t>up</w:t>
      </w:r>
      <w:proofErr w:type="spellEnd"/>
      <w:r>
        <w:t>-yritysten kautta on vielä paljon tehtävää. Strategisesti tärkeillä toimialoilla ollaan yhä huolestuneempia siitä, että toimintaympäristö on käynyt Euroopassa liian hajanaiseksi, raskaaksi ja hitaaksi, jotta voitaisiin pysyä teknologian nopean maailmanlaajuisen kehityksen tahdissa.</w:t>
      </w:r>
    </w:p>
    <w:p w14:paraId="42AE9808" w14:textId="77777777" w:rsidR="004236AE" w:rsidRPr="0072637C" w:rsidRDefault="004236AE" w:rsidP="00D31A28">
      <w:pPr>
        <w:pStyle w:val="ListParagraph"/>
        <w:numPr>
          <w:ilvl w:val="0"/>
          <w:numId w:val="27"/>
        </w:numPr>
        <w:spacing w:after="200"/>
        <w:ind w:left="426" w:hanging="426"/>
      </w:pPr>
      <w:r>
        <w:t xml:space="preserve">tämä johtuu pääasiassa siitä, että markkinatalousprosesseja ymmärretään entistä heikommin ja sisämarkkinoilla on yhä hajanaisempia säännöksiä ja niiden yhä hajanaisempaa täytäntöönpanoa, mikä haittaa </w:t>
      </w:r>
      <w:proofErr w:type="spellStart"/>
      <w:r>
        <w:t>rajatylittävää</w:t>
      </w:r>
      <w:proofErr w:type="spellEnd"/>
      <w:r>
        <w:t xml:space="preserve"> markkinoiden kasvua ja teknologian siirtoa tutkimuksesta teollisuuteen.</w:t>
      </w:r>
    </w:p>
    <w:p w14:paraId="3F0B3B88" w14:textId="77777777" w:rsidR="004236AE" w:rsidRPr="0072637C" w:rsidRDefault="004236AE" w:rsidP="00D31A28">
      <w:pPr>
        <w:pStyle w:val="ListParagraph"/>
        <w:numPr>
          <w:ilvl w:val="0"/>
          <w:numId w:val="27"/>
        </w:numPr>
        <w:spacing w:after="200"/>
        <w:ind w:left="426" w:hanging="426"/>
      </w:pPr>
      <w:r>
        <w:t>lisäesteinä yrityksille ovat hitaat hallinnolliset menettelyt, rajallinen digitalisointi ja EU:n sääntelyn epäyhtenäinen soveltaminen kansallisella ja alueellisella tasolla.</w:t>
      </w:r>
    </w:p>
    <w:p w14:paraId="2CF794F8" w14:textId="77777777" w:rsidR="004236AE" w:rsidRPr="0072637C" w:rsidRDefault="004236AE" w:rsidP="00D31A28">
      <w:pPr>
        <w:pStyle w:val="ListParagraph"/>
        <w:numPr>
          <w:ilvl w:val="0"/>
          <w:numId w:val="27"/>
        </w:numPr>
        <w:spacing w:after="200"/>
        <w:ind w:left="426" w:hanging="426"/>
      </w:pPr>
      <w:r>
        <w:t xml:space="preserve">eurooppalaisella innovaatioaloitteella voidaan tarjota helpotusta </w:t>
      </w:r>
      <w:proofErr w:type="spellStart"/>
      <w:r>
        <w:t>rajatylittäville</w:t>
      </w:r>
      <w:proofErr w:type="spellEnd"/>
      <w:r>
        <w:t xml:space="preserve"> </w:t>
      </w:r>
      <w:proofErr w:type="spellStart"/>
      <w:r>
        <w:t>start-up</w:t>
      </w:r>
      <w:proofErr w:type="spellEnd"/>
      <w:r>
        <w:t xml:space="preserve">- ja </w:t>
      </w:r>
      <w:proofErr w:type="spellStart"/>
      <w:r>
        <w:t>scale</w:t>
      </w:r>
      <w:proofErr w:type="spellEnd"/>
      <w:r>
        <w:t>-</w:t>
      </w:r>
      <w:proofErr w:type="spellStart"/>
      <w:r>
        <w:t>up</w:t>
      </w:r>
      <w:proofErr w:type="spellEnd"/>
      <w:r>
        <w:t xml:space="preserve">-yrityksille, mikäli siihen sisältyy monialaisia yksinkertaistamistoimia </w:t>
      </w:r>
      <w:proofErr w:type="spellStart"/>
      <w:r>
        <w:t>start</w:t>
      </w:r>
      <w:proofErr w:type="spellEnd"/>
      <w:r>
        <w:t>-</w:t>
      </w:r>
      <w:proofErr w:type="spellStart"/>
      <w:r>
        <w:t>up</w:t>
      </w:r>
      <w:proofErr w:type="spellEnd"/>
      <w:r>
        <w:t>-yrityksille ja jos sitä voidaan soveltaa sitovana kaikissa jäsenvaltioissa, myös työntekijöiden oikeudet ja työpaikkademokratia huomioon ottaen. Komitea korostaa, että eurooppalainen innovaatioaloite olisi sovitettava yhteen oikeudenmukaisen siirtymän periaatteiden kanssa, jotta varmistetaan, että innovointi edistää talouskasvua, kilpailukykyä ja työpaikkojen luomista, samalla kun otetaan huomioon tarve tukea työntekijöitä ja alueita, joihin teknologinen ja teollinen muutos vaikuttaa.</w:t>
      </w:r>
    </w:p>
    <w:p w14:paraId="311AA94A" w14:textId="77777777" w:rsidR="004236AE" w:rsidRPr="00F957C5" w:rsidRDefault="004236AE" w:rsidP="00D31A28">
      <w:pPr>
        <w:pStyle w:val="ListParagraph"/>
        <w:numPr>
          <w:ilvl w:val="0"/>
          <w:numId w:val="27"/>
        </w:numPr>
        <w:spacing w:after="200"/>
        <w:ind w:left="426" w:hanging="426"/>
      </w:pPr>
      <w:r>
        <w:t xml:space="preserve">luettelo kriteereistä, joiden perusteella innovaatiosisältöä ja kasvunäkymiä arvioidaan, olisi tehokkaampi ja tarkempi kuin </w:t>
      </w:r>
      <w:proofErr w:type="spellStart"/>
      <w:r>
        <w:t>start-up</w:t>
      </w:r>
      <w:proofErr w:type="spellEnd"/>
      <w:r>
        <w:t xml:space="preserve">- ja </w:t>
      </w:r>
      <w:proofErr w:type="spellStart"/>
      <w:r>
        <w:t>scale</w:t>
      </w:r>
      <w:proofErr w:type="spellEnd"/>
      <w:r>
        <w:t>-</w:t>
      </w:r>
      <w:proofErr w:type="spellStart"/>
      <w:r>
        <w:t>up</w:t>
      </w:r>
      <w:proofErr w:type="spellEnd"/>
      <w:r>
        <w:t>-yritysten sitova määritelmä. Myös luokittelemalla yliopistoja sen mukaan, miten ne edistävät yritysten perustamista, voitaisiin tukea eurooppalaista innovaatioaloitetta. Lisäksi eurooppalaisella innovaatioaloitteella olisi vahvistettava tutkimus- ja teknologiaorganisaatioiden ja Euroopan innovaatio- ja teknologiainstituutin (EIT) roolia erityisesti syväteknologia- ja pääomavaltaisilla aloilla.</w:t>
      </w:r>
    </w:p>
    <w:p w14:paraId="66DD4263" w14:textId="0CF2FBC1" w:rsidR="004236AE" w:rsidRDefault="004236AE" w:rsidP="00D31A28">
      <w:pPr>
        <w:pStyle w:val="ListParagraph"/>
        <w:numPr>
          <w:ilvl w:val="0"/>
          <w:numId w:val="27"/>
        </w:numPr>
        <w:ind w:left="426" w:hanging="426"/>
      </w:pPr>
      <w:r>
        <w:t>innovointia ja kasvua edistäisivät Euroopan laajuiset verokannustimet työntekijöiden osakeomistukselle. Yritysten perustajille olisi myös tarjottava riskisuojaa sen lisäksi, että varmistetaan työntekijöille ja velkojille asianmukaiset suojatoimet nykyisten maksukyvyttömyyskehysten mukaisesti.</w:t>
      </w:r>
    </w:p>
    <w:p w14:paraId="60B0C97E" w14:textId="77777777" w:rsidR="00D51D1E" w:rsidRPr="000624A9" w:rsidRDefault="00D51D1E" w:rsidP="00D31A28">
      <w:pPr>
        <w:spacing w:line="276" w:lineRule="auto"/>
        <w:ind w:left="567" w:hanging="56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236AE" w:rsidRPr="00A6689B" w14:paraId="440A9BE6" w14:textId="77777777" w:rsidTr="00120118">
        <w:tc>
          <w:tcPr>
            <w:tcW w:w="1418" w:type="dxa"/>
          </w:tcPr>
          <w:p w14:paraId="5148CD3F" w14:textId="77777777" w:rsidR="004236AE" w:rsidRPr="00A6689B" w:rsidRDefault="004236AE" w:rsidP="00D31A28">
            <w:pPr>
              <w:spacing w:line="240" w:lineRule="auto"/>
              <w:ind w:left="567" w:hanging="567"/>
              <w:rPr>
                <w:i/>
              </w:rPr>
            </w:pPr>
            <w:r>
              <w:rPr>
                <w:b/>
                <w:bCs/>
                <w:i/>
              </w:rPr>
              <w:t>Yhteydenotot</w:t>
            </w:r>
          </w:p>
        </w:tc>
        <w:tc>
          <w:tcPr>
            <w:tcW w:w="5670" w:type="dxa"/>
          </w:tcPr>
          <w:p w14:paraId="70F6B855" w14:textId="77777777" w:rsidR="004236AE" w:rsidRPr="00A6689B" w:rsidRDefault="004236AE" w:rsidP="00D31A28">
            <w:pPr>
              <w:spacing w:line="240" w:lineRule="auto"/>
              <w:ind w:left="567" w:hanging="567"/>
              <w:rPr>
                <w:i/>
              </w:rPr>
            </w:pPr>
            <w:r>
              <w:rPr>
                <w:i/>
              </w:rPr>
              <w:t xml:space="preserve">Jana </w:t>
            </w:r>
            <w:proofErr w:type="spellStart"/>
            <w:r>
              <w:rPr>
                <w:i/>
              </w:rPr>
              <w:t>Valant</w:t>
            </w:r>
            <w:proofErr w:type="spellEnd"/>
          </w:p>
        </w:tc>
      </w:tr>
      <w:tr w:rsidR="004236AE" w:rsidRPr="00A6689B" w14:paraId="53D6E33E" w14:textId="77777777" w:rsidTr="00120118">
        <w:tc>
          <w:tcPr>
            <w:tcW w:w="1418" w:type="dxa"/>
          </w:tcPr>
          <w:p w14:paraId="660BACAE" w14:textId="77777777" w:rsidR="004236AE" w:rsidRPr="00A6689B" w:rsidRDefault="004236AE" w:rsidP="00D31A28">
            <w:pPr>
              <w:spacing w:line="240" w:lineRule="auto"/>
              <w:ind w:left="567" w:hanging="567"/>
              <w:rPr>
                <w:i/>
              </w:rPr>
            </w:pPr>
            <w:r>
              <w:rPr>
                <w:i/>
              </w:rPr>
              <w:t>P.</w:t>
            </w:r>
          </w:p>
        </w:tc>
        <w:tc>
          <w:tcPr>
            <w:tcW w:w="5670" w:type="dxa"/>
          </w:tcPr>
          <w:p w14:paraId="68EC7F27" w14:textId="77777777" w:rsidR="004236AE" w:rsidRPr="00A6689B" w:rsidRDefault="004236AE" w:rsidP="00D31A28">
            <w:pPr>
              <w:spacing w:line="240" w:lineRule="auto"/>
              <w:ind w:left="567" w:hanging="567"/>
              <w:rPr>
                <w:i/>
              </w:rPr>
            </w:pPr>
            <w:r>
              <w:rPr>
                <w:i/>
              </w:rPr>
              <w:t>+ 32 25468924</w:t>
            </w:r>
          </w:p>
        </w:tc>
      </w:tr>
      <w:tr w:rsidR="004236AE" w:rsidRPr="00A6689B" w14:paraId="3F0EBB50" w14:textId="77777777" w:rsidTr="00120118">
        <w:tc>
          <w:tcPr>
            <w:tcW w:w="1418" w:type="dxa"/>
          </w:tcPr>
          <w:p w14:paraId="75D8A6D3" w14:textId="77777777" w:rsidR="004236AE" w:rsidRPr="00A6689B" w:rsidRDefault="004236AE" w:rsidP="00D31A28">
            <w:pPr>
              <w:spacing w:line="240" w:lineRule="auto"/>
              <w:ind w:left="567" w:hanging="567"/>
              <w:rPr>
                <w:i/>
              </w:rPr>
            </w:pPr>
            <w:r>
              <w:rPr>
                <w:i/>
              </w:rPr>
              <w:t>Sähköposti</w:t>
            </w:r>
          </w:p>
        </w:tc>
        <w:tc>
          <w:tcPr>
            <w:tcW w:w="5670" w:type="dxa"/>
          </w:tcPr>
          <w:p w14:paraId="6B127B3D" w14:textId="1EFA36F3" w:rsidR="004236AE" w:rsidRPr="00D51D1E" w:rsidRDefault="003665FE" w:rsidP="00D31A28">
            <w:pPr>
              <w:spacing w:line="240" w:lineRule="auto"/>
              <w:ind w:left="567" w:hanging="567"/>
              <w:rPr>
                <w:i/>
              </w:rPr>
            </w:pPr>
            <w:hyperlink r:id="rId51" w:history="1">
              <w:r w:rsidR="004236AE">
                <w:rPr>
                  <w:rStyle w:val="Hyperlink"/>
                  <w:i/>
                </w:rPr>
                <w:t>Jana.Valant@eesc.europa.eu</w:t>
              </w:r>
            </w:hyperlink>
          </w:p>
        </w:tc>
      </w:tr>
    </w:tbl>
    <w:p w14:paraId="1A086E41" w14:textId="77777777" w:rsidR="00BE6201" w:rsidRDefault="00BE6201" w:rsidP="004D7AC0"/>
    <w:p w14:paraId="4982DE1E" w14:textId="77777777" w:rsidR="004D7AC0" w:rsidRDefault="004D7AC0" w:rsidP="004D7AC0">
      <w:pPr>
        <w:spacing w:after="160" w:line="259" w:lineRule="auto"/>
        <w:jc w:val="left"/>
      </w:pPr>
      <w:r>
        <w:br w:type="page"/>
      </w:r>
    </w:p>
    <w:p w14:paraId="4982DE1F" w14:textId="77777777" w:rsidR="004D7AC0" w:rsidRDefault="004D7AC0" w:rsidP="004D7AC0">
      <w:pPr>
        <w:pStyle w:val="Heading1"/>
        <w:rPr>
          <w:b/>
        </w:rPr>
      </w:pPr>
      <w:bookmarkStart w:id="29" w:name="_Toc70322234"/>
      <w:bookmarkStart w:id="30" w:name="_Toc75527084"/>
      <w:bookmarkStart w:id="31" w:name="_Toc229383158"/>
      <w:r>
        <w:rPr>
          <w:b/>
        </w:rPr>
        <w:lastRenderedPageBreak/>
        <w:t>MAATALOUS, MAASEUDUN KEHITTÄMINEN JA YMPÄRISTÖ</w:t>
      </w:r>
      <w:bookmarkEnd w:id="29"/>
      <w:bookmarkEnd w:id="30"/>
      <w:bookmarkEnd w:id="31"/>
    </w:p>
    <w:p w14:paraId="4982DE20" w14:textId="06470B7C" w:rsidR="004D7AC0" w:rsidRDefault="004D7AC0" w:rsidP="004D7AC0"/>
    <w:p w14:paraId="3D5CE7FD" w14:textId="408D4CF7" w:rsidR="00AF6ED5" w:rsidRPr="007E4A83" w:rsidRDefault="003665FE" w:rsidP="006373AD">
      <w:pPr>
        <w:widowControl w:val="0"/>
        <w:numPr>
          <w:ilvl w:val="0"/>
          <w:numId w:val="2"/>
        </w:numPr>
        <w:overflowPunct w:val="0"/>
        <w:autoSpaceDE w:val="0"/>
        <w:autoSpaceDN w:val="0"/>
        <w:adjustRightInd w:val="0"/>
        <w:ind w:hanging="567"/>
        <w:textAlignment w:val="baseline"/>
        <w:rPr>
          <w:rStyle w:val="Hyperlink"/>
          <w:b/>
          <w:sz w:val="28"/>
          <w:szCs w:val="28"/>
        </w:rPr>
      </w:pPr>
      <w:hyperlink r:id="rId52" w:history="1">
        <w:r w:rsidR="00AF6ED5">
          <w:rPr>
            <w:rStyle w:val="Hyperlink"/>
            <w:b/>
            <w:i/>
            <w:sz w:val="28"/>
          </w:rPr>
          <w:t>Luontopohjaiset biohajoavat materiaalit</w:t>
        </w:r>
      </w:hyperlink>
    </w:p>
    <w:p w14:paraId="303CAC47" w14:textId="77777777" w:rsidR="00AF6ED5" w:rsidRPr="00712524" w:rsidRDefault="00AF6ED5" w:rsidP="00AF6ED5">
      <w:pPr>
        <w:widowControl w:val="0"/>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AF6ED5" w:rsidRPr="00712524" w14:paraId="4B4C4EA9" w14:textId="77777777" w:rsidTr="00120118">
        <w:tc>
          <w:tcPr>
            <w:tcW w:w="1077" w:type="pct"/>
          </w:tcPr>
          <w:p w14:paraId="22A9F1B1" w14:textId="77777777" w:rsidR="00AF6ED5" w:rsidRPr="00712524" w:rsidRDefault="00AF6ED5" w:rsidP="00120118">
            <w:pPr>
              <w:tabs>
                <w:tab w:val="center" w:pos="284"/>
              </w:tabs>
              <w:ind w:left="266" w:hanging="266"/>
              <w:rPr>
                <w:b/>
              </w:rPr>
            </w:pPr>
            <w:r w:rsidRPr="00712524">
              <w:rPr>
                <w:b/>
              </w:rPr>
              <w:t>Esittelijä</w:t>
            </w:r>
          </w:p>
        </w:tc>
        <w:tc>
          <w:tcPr>
            <w:tcW w:w="3923" w:type="pct"/>
          </w:tcPr>
          <w:p w14:paraId="6CA9DB3B" w14:textId="15703BCB" w:rsidR="00AF6ED5" w:rsidRPr="00712524" w:rsidRDefault="00AF6ED5" w:rsidP="00D51D1E">
            <w:pPr>
              <w:tabs>
                <w:tab w:val="center" w:pos="284"/>
              </w:tabs>
              <w:ind w:left="266" w:hanging="266"/>
            </w:pPr>
            <w:proofErr w:type="spellStart"/>
            <w:r w:rsidRPr="00712524">
              <w:t>Stoyan</w:t>
            </w:r>
            <w:proofErr w:type="spellEnd"/>
            <w:r w:rsidRPr="00712524">
              <w:t xml:space="preserve"> TCHOUKANOV</w:t>
            </w:r>
            <w:r w:rsidR="00D51D1E">
              <w:t xml:space="preserve"> </w:t>
            </w:r>
            <w:r w:rsidR="009C236A">
              <w:t>(</w:t>
            </w:r>
            <w:r w:rsidR="00D51D1E" w:rsidRPr="00007E01">
              <w:t xml:space="preserve">kansalaisyhteiskunnan organisaatiot – </w:t>
            </w:r>
            <w:r w:rsidR="00D51D1E">
              <w:t>BG</w:t>
            </w:r>
            <w:r w:rsidR="00D51D1E" w:rsidRPr="00007E01">
              <w:t>)</w:t>
            </w:r>
          </w:p>
        </w:tc>
      </w:tr>
      <w:tr w:rsidR="00AF6ED5" w:rsidRPr="00712524" w14:paraId="0A15BDCB" w14:textId="77777777" w:rsidTr="00120118">
        <w:tc>
          <w:tcPr>
            <w:tcW w:w="1077" w:type="pct"/>
          </w:tcPr>
          <w:p w14:paraId="49727658" w14:textId="77777777" w:rsidR="00AF6ED5" w:rsidRPr="00712524" w:rsidRDefault="00AF6ED5" w:rsidP="00120118">
            <w:pPr>
              <w:tabs>
                <w:tab w:val="center" w:pos="284"/>
              </w:tabs>
              <w:ind w:left="266" w:hanging="266"/>
              <w:rPr>
                <w:b/>
              </w:rPr>
            </w:pPr>
          </w:p>
        </w:tc>
        <w:tc>
          <w:tcPr>
            <w:tcW w:w="3923" w:type="pct"/>
          </w:tcPr>
          <w:p w14:paraId="4732FCB6" w14:textId="77777777" w:rsidR="00AF6ED5" w:rsidRPr="00712524" w:rsidRDefault="00AF6ED5" w:rsidP="00120118">
            <w:pPr>
              <w:tabs>
                <w:tab w:val="center" w:pos="284"/>
              </w:tabs>
              <w:ind w:left="266" w:right="-3091" w:hanging="266"/>
            </w:pPr>
          </w:p>
        </w:tc>
      </w:tr>
      <w:tr w:rsidR="00AF6ED5" w:rsidRPr="00712524" w14:paraId="3ED28FB8" w14:textId="77777777" w:rsidTr="00120118">
        <w:tc>
          <w:tcPr>
            <w:tcW w:w="1077" w:type="pct"/>
          </w:tcPr>
          <w:p w14:paraId="7F1EC8E5" w14:textId="77777777" w:rsidR="00AF6ED5" w:rsidRPr="00712524" w:rsidRDefault="00AF6ED5" w:rsidP="00120118">
            <w:pPr>
              <w:tabs>
                <w:tab w:val="center" w:pos="284"/>
              </w:tabs>
              <w:ind w:left="266" w:hanging="266"/>
              <w:rPr>
                <w:b/>
              </w:rPr>
            </w:pPr>
            <w:r w:rsidRPr="00712524">
              <w:rPr>
                <w:b/>
              </w:rPr>
              <w:t>Viiteasiakirjat</w:t>
            </w:r>
          </w:p>
        </w:tc>
        <w:tc>
          <w:tcPr>
            <w:tcW w:w="3923" w:type="pct"/>
          </w:tcPr>
          <w:p w14:paraId="5FDFF96B" w14:textId="5E6C3323" w:rsidR="00D51D1E" w:rsidRDefault="00D51D1E" w:rsidP="00120118">
            <w:pPr>
              <w:tabs>
                <w:tab w:val="center" w:pos="284"/>
              </w:tabs>
              <w:ind w:left="266" w:right="-3091" w:hanging="266"/>
            </w:pPr>
            <w:r>
              <w:t>oma-aloitteinen lausunto</w:t>
            </w:r>
          </w:p>
          <w:p w14:paraId="5B0DE337" w14:textId="38B055FF" w:rsidR="00AF6ED5" w:rsidRPr="00712524" w:rsidRDefault="00AF6ED5" w:rsidP="00120118">
            <w:pPr>
              <w:tabs>
                <w:tab w:val="center" w:pos="284"/>
              </w:tabs>
              <w:ind w:left="266" w:right="-3091" w:hanging="266"/>
            </w:pPr>
            <w:r w:rsidRPr="00712524">
              <w:t>EESC-2025-04330-00-00-AC</w:t>
            </w:r>
          </w:p>
        </w:tc>
      </w:tr>
    </w:tbl>
    <w:p w14:paraId="2EE05E69" w14:textId="77777777" w:rsidR="00AF6ED5" w:rsidRPr="00712524" w:rsidRDefault="00AF6ED5" w:rsidP="00AF6ED5">
      <w:pPr>
        <w:tabs>
          <w:tab w:val="center" w:pos="284"/>
        </w:tabs>
        <w:ind w:left="266" w:hanging="266"/>
        <w:rPr>
          <w:b/>
        </w:rPr>
      </w:pPr>
    </w:p>
    <w:p w14:paraId="7092B071" w14:textId="77777777" w:rsidR="00AF6ED5" w:rsidRPr="00712524" w:rsidRDefault="00AF6ED5" w:rsidP="00AF6ED5">
      <w:pPr>
        <w:keepNext/>
        <w:keepLines/>
        <w:tabs>
          <w:tab w:val="center" w:pos="284"/>
        </w:tabs>
        <w:ind w:left="266" w:hanging="266"/>
        <w:rPr>
          <w:b/>
        </w:rPr>
      </w:pPr>
      <w:r w:rsidRPr="00712524">
        <w:rPr>
          <w:b/>
        </w:rPr>
        <w:t>Keskeiset kohdat</w:t>
      </w:r>
    </w:p>
    <w:p w14:paraId="4687D823" w14:textId="77777777" w:rsidR="00AF6ED5" w:rsidRPr="00712524" w:rsidRDefault="00AF6ED5" w:rsidP="00AF6ED5">
      <w:pPr>
        <w:keepNext/>
        <w:keepLines/>
        <w:tabs>
          <w:tab w:val="center" w:pos="284"/>
        </w:tabs>
        <w:ind w:left="266" w:hanging="266"/>
        <w:rPr>
          <w:b/>
        </w:rPr>
      </w:pPr>
    </w:p>
    <w:p w14:paraId="647B7E92" w14:textId="77777777" w:rsidR="00AF6ED5" w:rsidRPr="00712524" w:rsidRDefault="00AF6ED5" w:rsidP="00AF6ED5">
      <w:pPr>
        <w:rPr>
          <w:bCs/>
          <w:iCs/>
        </w:rPr>
      </w:pPr>
      <w:r w:rsidRPr="00712524">
        <w:t>ETSK</w:t>
      </w:r>
    </w:p>
    <w:p w14:paraId="70B3884B" w14:textId="77777777" w:rsidR="00AF6ED5" w:rsidRPr="00712524" w:rsidRDefault="00AF6ED5" w:rsidP="006373AD">
      <w:pPr>
        <w:pStyle w:val="Heading2"/>
        <w:numPr>
          <w:ilvl w:val="1"/>
          <w:numId w:val="28"/>
        </w:numPr>
        <w:ind w:left="426" w:hanging="426"/>
      </w:pPr>
      <w:bookmarkStart w:id="32" w:name="_Toc229383159"/>
      <w:r w:rsidRPr="00712524">
        <w:t>katsoo, että EU:lla on nyt oivallinen tilaisuus vahvistaa siirtymistään kiertobiotalouteen, jossa yhdistyvät kiertotalous, materiaalien käytön vähentäminen maapallon sietokyvyn mukaiseksi, biomassan kestävä käyttö ja teollisuuden kilpailukyky. Komitea peräänkuuluttaa tulevan kiertotaloussäädöksen ja päivitetyn EU:n biotalousstrategian pohjalta johdonmukaista ja kunnianhimoista täytäntöönpanoa, jolla poliittinen tahto muutetaan käytännön tuloksiksi teollisuuden kehityksen ja aluekehityksen aloilla.</w:t>
      </w:r>
      <w:bookmarkEnd w:id="32"/>
    </w:p>
    <w:p w14:paraId="32809C9C" w14:textId="77777777" w:rsidR="00AF6ED5" w:rsidRPr="00712524" w:rsidRDefault="00AF6ED5" w:rsidP="006373AD">
      <w:pPr>
        <w:pStyle w:val="Heading2"/>
        <w:numPr>
          <w:ilvl w:val="1"/>
          <w:numId w:val="28"/>
        </w:numPr>
        <w:ind w:left="426" w:hanging="426"/>
      </w:pPr>
      <w:bookmarkStart w:id="33" w:name="_Toc229383160"/>
      <w:r w:rsidRPr="00712524">
        <w:t>painottaa ympäristöresurssien tehokkaan käytön edellyttävän, että noudatetaan jätepuitedirektiivin mukaista jätehierarkiaa, joka perustuu elinkaariajatteluun ja ympäristön kannalta parhaaseen mahdolliseen kokonaistulokseen. Komitea kannattaakin tulossuuntautunutta ja teknologianeutraalia toimintamallia, jossa asetetaan etusijalle jätteen syntymisen ehkäiseminen, uudelleenkäyttö ja materiaalitehokkuus, otetaan huomioon sekä tekninen että biologinen kierto ja noudatetaan eriytettyjä kiertotalouden väyliä.</w:t>
      </w:r>
      <w:bookmarkEnd w:id="33"/>
    </w:p>
    <w:p w14:paraId="0B04CDCA" w14:textId="77777777" w:rsidR="00AF6ED5" w:rsidRPr="00712524" w:rsidRDefault="00AF6ED5" w:rsidP="006373AD">
      <w:pPr>
        <w:pStyle w:val="Heading2"/>
        <w:numPr>
          <w:ilvl w:val="1"/>
          <w:numId w:val="28"/>
        </w:numPr>
        <w:ind w:left="426" w:hanging="426"/>
      </w:pPr>
      <w:bookmarkStart w:id="34" w:name="_Toc229383161"/>
      <w:r w:rsidRPr="00712524">
        <w:t xml:space="preserve">korostaa, että kemiallisesti muuntamattomista luonnonpolymeereistä tuotetut materiaalit, jotka on kertakäyttömuovidirektiivissä oikeudellisesti määritelty muiksi kuin muovimateriaaleiksi ja jotka ovat REACH-asetuksen mukaisia, voivat auttaa ehkäisemään ympäristön pilaantumista, muun muassa mikromuovien pääsyä ympäristöön. Niiden merkitystä olisi arvioitava yhteinen terveys </w:t>
      </w:r>
      <w:r w:rsidRPr="00712524">
        <w:noBreakHyphen/>
        <w:t>mallin mukaisesti. Mallissa tunnustetaan ympäristötavoitteiden tinkimättömyyden, ekosysteemien sietokyvyn ja ihmisten ja eläinten terveyden väliset yhteydet.</w:t>
      </w:r>
      <w:bookmarkEnd w:id="34"/>
    </w:p>
    <w:p w14:paraId="52576BF0" w14:textId="77777777" w:rsidR="00AF6ED5" w:rsidRPr="00712524" w:rsidRDefault="00AF6ED5" w:rsidP="006373AD">
      <w:pPr>
        <w:pStyle w:val="Heading2"/>
        <w:numPr>
          <w:ilvl w:val="1"/>
          <w:numId w:val="28"/>
        </w:numPr>
        <w:ind w:left="426" w:hanging="426"/>
      </w:pPr>
      <w:bookmarkStart w:id="35" w:name="_Toc229383162"/>
      <w:r w:rsidRPr="00712524">
        <w:t>painottaa, että tällaiset materiaalit voivat tarjota tilaisuuden vahvistaa maaseutu- ja rannikkoalueiden taloutta, sillä niiden avulla voidaan hyödyntää maa- ja meritalouden sekundääribiomassaa, vahvistaa paikallisia ja alueellisia arvoketjuja, tukea sukupolvenvaihdoksia maa- ja kalataloudessa, luoda laadukkaita työpaikkoja ja edistää tällä tavoin sosiaalista yhteenkuuluvuutta. Elintarvike- ja rehuala sekä maaperän suojelu on edelleen asetettava etusijalle tässä järjestyksessä.</w:t>
      </w:r>
      <w:bookmarkEnd w:id="35"/>
    </w:p>
    <w:p w14:paraId="7ED4C0CF" w14:textId="77777777" w:rsidR="00AF6ED5" w:rsidRPr="00712524" w:rsidRDefault="00AF6ED5" w:rsidP="006373AD">
      <w:pPr>
        <w:pStyle w:val="Heading2"/>
        <w:numPr>
          <w:ilvl w:val="1"/>
          <w:numId w:val="28"/>
        </w:numPr>
        <w:ind w:left="426" w:hanging="426"/>
      </w:pPr>
      <w:bookmarkStart w:id="36" w:name="_Toc229383163"/>
      <w:r w:rsidRPr="00712524">
        <w:t>kehottaa lisäämään sääntelyn yhdenmukaisuutta EU:n tuote-, jäte- ja teollisuuslainsäädännössä ja varmistamaan, että oikeudellisesti määritelty ero muovien ja muuntamattomien luonnonpolymeerien välillä otetaan johdonmukaisesti huomioon. Pakkauslainsäädännössä olisi vältettävä tahattomia esteitä tai tosiasiallista markkinoiden ulkopuolelle sulkemista. Siinä olisi otettava huomioon sekä tekninen että biologinen kierto ja varmistettava selkeä ja yhdenmukainen kuluttajatiedotus sekä ennakoitavuus toimijoiden ja pienyritysten kannalta.</w:t>
      </w:r>
      <w:bookmarkEnd w:id="36"/>
    </w:p>
    <w:p w14:paraId="42F5B13F" w14:textId="77777777" w:rsidR="00AF6ED5" w:rsidRPr="00712524" w:rsidRDefault="00AF6ED5" w:rsidP="006373AD">
      <w:pPr>
        <w:pStyle w:val="Heading2"/>
        <w:numPr>
          <w:ilvl w:val="1"/>
          <w:numId w:val="28"/>
        </w:numPr>
        <w:ind w:left="426" w:hanging="426"/>
      </w:pPr>
      <w:bookmarkStart w:id="37" w:name="_Toc229383164"/>
      <w:r w:rsidRPr="00712524">
        <w:t xml:space="preserve">tähdentää, että pakkauksista ja pakkausjätteistä annetun asetuksen täytäntöönpano on ensisijaisen tärkeää, ja varoittaa, että kemiallisesti muuntamattomista luonnonpolymeereistä valmistetut pakkaukset voitaisiin sulkea ulkopuolelle, jos kierrätettävyyttä koskevissa säännöissä sallittaisiin </w:t>
      </w:r>
      <w:r w:rsidRPr="00712524">
        <w:lastRenderedPageBreak/>
        <w:t>ainoastaan tekninen kierto. ETSK kehottaakin komissiota varmistamaan, että pakkauksista ja pakkausjätteistä annetun asetuksen täytäntöönpanossa tunnustetaan, että muuntamattomia luonnonpolymeerejä ei luokitella muoviksi, ja hyväksytään biologinen käyttöiän jälkeinen käsittely, jos tämä johtaa ympäristön kannalta parhaaseen mahdolliseen kokonaistulokseen.</w:t>
      </w:r>
      <w:bookmarkEnd w:id="37"/>
    </w:p>
    <w:p w14:paraId="669D9507" w14:textId="77777777" w:rsidR="00AF6ED5" w:rsidRPr="00712524" w:rsidRDefault="00AF6ED5" w:rsidP="006373AD">
      <w:pPr>
        <w:pStyle w:val="Heading2"/>
        <w:numPr>
          <w:ilvl w:val="1"/>
          <w:numId w:val="28"/>
        </w:numPr>
        <w:ind w:left="426" w:hanging="426"/>
      </w:pPr>
      <w:bookmarkStart w:id="38" w:name="_Toc229383165"/>
      <w:r w:rsidRPr="00712524">
        <w:t>kehottaa komissiota varmistamaan ympäristö-, teollisuus- ja maatalouspolitiikkojen toimien koordinoinnin, jotta voidaan laajentaa kestävien materiaalien käyttöä, helpottaa niiden teollista käyttöönottoa, vahvistaa alueellisia arvoketjuja ja turvata Euroopan maailmanlaajuinen kilpailukyky kestävien materiaalien innovoinnin alalla samalla kun tuetaan yksityisiä investointeja ja innovatiivisten ratkaisujen käytön laajentamista.</w:t>
      </w:r>
      <w:bookmarkEnd w:id="38"/>
    </w:p>
    <w:p w14:paraId="466B10E6" w14:textId="77777777" w:rsidR="00AF6ED5" w:rsidRPr="00712524" w:rsidRDefault="00AF6ED5" w:rsidP="00AF6ED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AF6ED5" w:rsidRPr="00712524" w14:paraId="24AABA44" w14:textId="77777777" w:rsidTr="00120118">
        <w:tc>
          <w:tcPr>
            <w:tcW w:w="1077" w:type="pct"/>
          </w:tcPr>
          <w:p w14:paraId="14741BDA" w14:textId="77777777" w:rsidR="00AF6ED5" w:rsidRPr="00712524" w:rsidRDefault="00AF6ED5" w:rsidP="00120118">
            <w:pPr>
              <w:rPr>
                <w:i/>
              </w:rPr>
            </w:pPr>
            <w:r w:rsidRPr="00712524">
              <w:rPr>
                <w:b/>
                <w:i/>
              </w:rPr>
              <w:t>Yhteydenotot</w:t>
            </w:r>
          </w:p>
        </w:tc>
        <w:tc>
          <w:tcPr>
            <w:tcW w:w="3923" w:type="pct"/>
          </w:tcPr>
          <w:p w14:paraId="455D3AEF" w14:textId="0931516B" w:rsidR="00AF6ED5" w:rsidRPr="00712524" w:rsidRDefault="00AF6ED5" w:rsidP="00120118">
            <w:pPr>
              <w:rPr>
                <w:i/>
              </w:rPr>
            </w:pPr>
            <w:r w:rsidRPr="00712524">
              <w:rPr>
                <w:i/>
              </w:rPr>
              <w:t xml:space="preserve">Caroline </w:t>
            </w:r>
            <w:proofErr w:type="spellStart"/>
            <w:r w:rsidR="00D51D1E" w:rsidRPr="00712524">
              <w:rPr>
                <w:i/>
              </w:rPr>
              <w:t>Verhelst</w:t>
            </w:r>
            <w:proofErr w:type="spellEnd"/>
          </w:p>
        </w:tc>
      </w:tr>
      <w:tr w:rsidR="00AF6ED5" w:rsidRPr="00712524" w14:paraId="7F7BB46E" w14:textId="77777777" w:rsidTr="00120118">
        <w:tc>
          <w:tcPr>
            <w:tcW w:w="1077" w:type="pct"/>
          </w:tcPr>
          <w:p w14:paraId="44B89B91" w14:textId="77777777" w:rsidR="00AF6ED5" w:rsidRPr="00712524" w:rsidRDefault="00AF6ED5" w:rsidP="00120118">
            <w:pPr>
              <w:rPr>
                <w:i/>
              </w:rPr>
            </w:pPr>
            <w:r w:rsidRPr="00712524">
              <w:rPr>
                <w:i/>
              </w:rPr>
              <w:t>P.</w:t>
            </w:r>
          </w:p>
        </w:tc>
        <w:tc>
          <w:tcPr>
            <w:tcW w:w="3923" w:type="pct"/>
          </w:tcPr>
          <w:p w14:paraId="7934F3D9" w14:textId="77777777" w:rsidR="00AF6ED5" w:rsidRPr="00712524" w:rsidRDefault="00AF6ED5" w:rsidP="00120118">
            <w:pPr>
              <w:rPr>
                <w:i/>
              </w:rPr>
            </w:pPr>
            <w:r w:rsidRPr="00712524">
              <w:rPr>
                <w:i/>
              </w:rPr>
              <w:t>+32 25469497</w:t>
            </w:r>
          </w:p>
        </w:tc>
      </w:tr>
      <w:tr w:rsidR="00AF6ED5" w:rsidRPr="00712524" w14:paraId="13866FC7" w14:textId="77777777" w:rsidTr="00120118">
        <w:tc>
          <w:tcPr>
            <w:tcW w:w="1077" w:type="pct"/>
          </w:tcPr>
          <w:p w14:paraId="47C5CFAE" w14:textId="77777777" w:rsidR="00AF6ED5" w:rsidRPr="00712524" w:rsidRDefault="00AF6ED5" w:rsidP="00120118">
            <w:pPr>
              <w:rPr>
                <w:i/>
              </w:rPr>
            </w:pPr>
            <w:r w:rsidRPr="00712524">
              <w:rPr>
                <w:i/>
              </w:rPr>
              <w:t>Sähköposti</w:t>
            </w:r>
          </w:p>
        </w:tc>
        <w:tc>
          <w:tcPr>
            <w:tcW w:w="3923" w:type="pct"/>
          </w:tcPr>
          <w:p w14:paraId="0ABD1976" w14:textId="77777777" w:rsidR="00AF6ED5" w:rsidRPr="00712524" w:rsidRDefault="003665FE" w:rsidP="00120118">
            <w:pPr>
              <w:rPr>
                <w:i/>
              </w:rPr>
            </w:pPr>
            <w:hyperlink r:id="rId53" w:history="1">
              <w:r w:rsidR="00AF6ED5" w:rsidRPr="00712524">
                <w:rPr>
                  <w:rStyle w:val="Hyperlink"/>
                  <w:i/>
                </w:rPr>
                <w:t>Caroline.Verhelst@eesc.europa.eu</w:t>
              </w:r>
            </w:hyperlink>
            <w:r w:rsidR="00AF6ED5" w:rsidRPr="00712524">
              <w:rPr>
                <w:i/>
              </w:rPr>
              <w:t xml:space="preserve"> </w:t>
            </w:r>
          </w:p>
        </w:tc>
      </w:tr>
    </w:tbl>
    <w:p w14:paraId="6E905395" w14:textId="77777777" w:rsidR="00AF6ED5" w:rsidRDefault="00AF6ED5" w:rsidP="004D7AC0"/>
    <w:p w14:paraId="4982DE45" w14:textId="27B338D6" w:rsidR="0022426E" w:rsidRDefault="0022426E">
      <w:pPr>
        <w:spacing w:after="160" w:line="259" w:lineRule="auto"/>
        <w:jc w:val="left"/>
      </w:pPr>
      <w:r>
        <w:br w:type="page"/>
      </w:r>
    </w:p>
    <w:p w14:paraId="4E0D2EDB" w14:textId="116EB6FB" w:rsidR="0022426E" w:rsidRPr="00CA3744" w:rsidRDefault="003665FE" w:rsidP="006373AD">
      <w:pPr>
        <w:pStyle w:val="ListParagraph"/>
        <w:numPr>
          <w:ilvl w:val="0"/>
          <w:numId w:val="7"/>
        </w:numPr>
        <w:spacing w:line="276" w:lineRule="auto"/>
        <w:ind w:left="567" w:hanging="567"/>
        <w:rPr>
          <w:b/>
          <w:bCs/>
          <w:i/>
          <w:iCs/>
          <w:sz w:val="28"/>
          <w:szCs w:val="28"/>
        </w:rPr>
      </w:pPr>
      <w:hyperlink r:id="rId54" w:history="1">
        <w:r w:rsidR="0022426E">
          <w:rPr>
            <w:rStyle w:val="Hyperlink"/>
            <w:b/>
            <w:i/>
            <w:sz w:val="28"/>
          </w:rPr>
          <w:t>EU:n biotalousstrategia – Kohti kiertoon perustuvaa, uudistavaa ja kilpailukykyistä biotaloutta</w:t>
        </w:r>
      </w:hyperlink>
    </w:p>
    <w:p w14:paraId="6ACB5C4D" w14:textId="77777777" w:rsidR="0022426E" w:rsidRPr="003464D1" w:rsidRDefault="0022426E" w:rsidP="0022426E">
      <w:pPr>
        <w:widowControl w:val="0"/>
        <w:ind w:left="567"/>
        <w:rPr>
          <w:b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22426E" w:rsidRPr="00D41738" w14:paraId="7F10448B" w14:textId="77777777" w:rsidTr="00120118">
        <w:tc>
          <w:tcPr>
            <w:tcW w:w="1701" w:type="dxa"/>
          </w:tcPr>
          <w:p w14:paraId="16A0E086" w14:textId="77777777" w:rsidR="0022426E" w:rsidRPr="00A6689B" w:rsidRDefault="0022426E" w:rsidP="00120118">
            <w:pPr>
              <w:tabs>
                <w:tab w:val="center" w:pos="284"/>
              </w:tabs>
              <w:ind w:left="266" w:hanging="266"/>
              <w:rPr>
                <w:b/>
              </w:rPr>
            </w:pPr>
            <w:r>
              <w:rPr>
                <w:b/>
              </w:rPr>
              <w:t>Esittelijä</w:t>
            </w:r>
          </w:p>
        </w:tc>
        <w:tc>
          <w:tcPr>
            <w:tcW w:w="7621" w:type="dxa"/>
          </w:tcPr>
          <w:p w14:paraId="34D2338C" w14:textId="77777777" w:rsidR="0022426E" w:rsidRPr="00F43930" w:rsidRDefault="0022426E" w:rsidP="00120118">
            <w:pPr>
              <w:tabs>
                <w:tab w:val="center" w:pos="284"/>
              </w:tabs>
              <w:ind w:left="266" w:hanging="266"/>
              <w:rPr>
                <w:b/>
                <w:bCs/>
                <w:spacing w:val="-4"/>
              </w:rPr>
            </w:pPr>
            <w:proofErr w:type="spellStart"/>
            <w:r w:rsidRPr="003464D1">
              <w:rPr>
                <w:bCs/>
              </w:rPr>
              <w:t>Arnaud</w:t>
            </w:r>
            <w:proofErr w:type="spellEnd"/>
            <w:r w:rsidRPr="003464D1">
              <w:rPr>
                <w:bCs/>
              </w:rPr>
              <w:t xml:space="preserve"> SCHWARTZ</w:t>
            </w:r>
            <w:r>
              <w:t xml:space="preserve"> (kansalaisyhteiskunnan organisaatiot – FR)</w:t>
            </w:r>
          </w:p>
        </w:tc>
      </w:tr>
      <w:tr w:rsidR="0022426E" w:rsidRPr="003464D1" w14:paraId="1691EF51" w14:textId="77777777" w:rsidTr="00120118">
        <w:tc>
          <w:tcPr>
            <w:tcW w:w="1701" w:type="dxa"/>
          </w:tcPr>
          <w:p w14:paraId="2E227BAA" w14:textId="77777777" w:rsidR="0022426E" w:rsidRPr="003464D1" w:rsidRDefault="0022426E" w:rsidP="00120118">
            <w:pPr>
              <w:tabs>
                <w:tab w:val="center" w:pos="284"/>
              </w:tabs>
              <w:ind w:left="266" w:hanging="266"/>
              <w:rPr>
                <w:b/>
              </w:rPr>
            </w:pPr>
          </w:p>
        </w:tc>
        <w:tc>
          <w:tcPr>
            <w:tcW w:w="7621" w:type="dxa"/>
          </w:tcPr>
          <w:p w14:paraId="7BEEE346" w14:textId="77777777" w:rsidR="0022426E" w:rsidRPr="003464D1" w:rsidRDefault="0022426E" w:rsidP="00120118">
            <w:pPr>
              <w:tabs>
                <w:tab w:val="center" w:pos="284"/>
              </w:tabs>
              <w:ind w:left="266" w:hanging="266"/>
              <w:rPr>
                <w:b/>
                <w:bCs/>
              </w:rPr>
            </w:pPr>
          </w:p>
        </w:tc>
      </w:tr>
      <w:tr w:rsidR="0022426E" w:rsidRPr="00A6689B" w14:paraId="05943981" w14:textId="77777777" w:rsidTr="00120118">
        <w:tc>
          <w:tcPr>
            <w:tcW w:w="1701" w:type="dxa"/>
          </w:tcPr>
          <w:p w14:paraId="7796A5B4" w14:textId="77777777" w:rsidR="0022426E" w:rsidRPr="00597F63" w:rsidRDefault="0022426E" w:rsidP="00120118">
            <w:pPr>
              <w:tabs>
                <w:tab w:val="center" w:pos="284"/>
              </w:tabs>
              <w:ind w:left="266" w:hanging="266"/>
              <w:rPr>
                <w:b/>
              </w:rPr>
            </w:pPr>
            <w:r>
              <w:rPr>
                <w:b/>
              </w:rPr>
              <w:t>Viiteasiakirjat</w:t>
            </w:r>
          </w:p>
        </w:tc>
        <w:tc>
          <w:tcPr>
            <w:tcW w:w="7621" w:type="dxa"/>
          </w:tcPr>
          <w:p w14:paraId="695FDBD4" w14:textId="77777777" w:rsidR="0022426E" w:rsidRDefault="0022426E" w:rsidP="00120118">
            <w:pPr>
              <w:tabs>
                <w:tab w:val="center" w:pos="284"/>
              </w:tabs>
              <w:ind w:left="266" w:hanging="266"/>
            </w:pPr>
            <w:r>
              <w:t xml:space="preserve">COM(2025) 960 </w:t>
            </w:r>
            <w:proofErr w:type="spellStart"/>
            <w:r>
              <w:t>final</w:t>
            </w:r>
            <w:proofErr w:type="spellEnd"/>
          </w:p>
          <w:p w14:paraId="1D815485" w14:textId="77777777" w:rsidR="0022426E" w:rsidRPr="00597F63" w:rsidRDefault="0022426E" w:rsidP="00120118">
            <w:pPr>
              <w:tabs>
                <w:tab w:val="center" w:pos="284"/>
              </w:tabs>
              <w:ind w:left="266" w:hanging="266"/>
            </w:pPr>
            <w:r>
              <w:t>EESC-2025-03968-00-00-AC</w:t>
            </w:r>
          </w:p>
        </w:tc>
      </w:tr>
    </w:tbl>
    <w:p w14:paraId="226EAC68" w14:textId="77777777" w:rsidR="0022426E" w:rsidRPr="00A20B63" w:rsidRDefault="0022426E" w:rsidP="00477683">
      <w:pPr>
        <w:keepNext/>
        <w:keepLines/>
        <w:tabs>
          <w:tab w:val="center" w:pos="284"/>
        </w:tabs>
        <w:spacing w:line="240" w:lineRule="auto"/>
        <w:ind w:left="266" w:hanging="266"/>
        <w:rPr>
          <w:bCs/>
        </w:rPr>
      </w:pPr>
    </w:p>
    <w:p w14:paraId="0AD8E182" w14:textId="77777777" w:rsidR="0022426E" w:rsidRPr="00C24F1A" w:rsidRDefault="0022426E" w:rsidP="00477683">
      <w:pPr>
        <w:keepNext/>
        <w:keepLines/>
        <w:tabs>
          <w:tab w:val="center" w:pos="284"/>
        </w:tabs>
        <w:spacing w:line="240" w:lineRule="auto"/>
        <w:ind w:left="266" w:hanging="266"/>
        <w:rPr>
          <w:b/>
        </w:rPr>
      </w:pPr>
      <w:r>
        <w:rPr>
          <w:b/>
        </w:rPr>
        <w:t>Keskeiset kohdat</w:t>
      </w:r>
    </w:p>
    <w:p w14:paraId="3D4FF5E5" w14:textId="77777777" w:rsidR="0022426E" w:rsidRPr="00A20B63" w:rsidRDefault="0022426E" w:rsidP="00477683">
      <w:pPr>
        <w:keepNext/>
        <w:keepLines/>
        <w:tabs>
          <w:tab w:val="center" w:pos="284"/>
        </w:tabs>
        <w:spacing w:line="240" w:lineRule="auto"/>
        <w:ind w:left="266" w:hanging="266"/>
        <w:rPr>
          <w:bCs/>
        </w:rPr>
      </w:pPr>
    </w:p>
    <w:p w14:paraId="3F991879" w14:textId="77777777" w:rsidR="0022426E" w:rsidRDefault="0022426E" w:rsidP="0022426E">
      <w:pPr>
        <w:spacing w:line="240" w:lineRule="auto"/>
        <w:rPr>
          <w:bCs/>
          <w:iCs/>
        </w:rPr>
      </w:pPr>
      <w:r>
        <w:t>ETSK</w:t>
      </w:r>
    </w:p>
    <w:p w14:paraId="6EC811B1" w14:textId="77777777" w:rsidR="0022426E" w:rsidRDefault="0022426E" w:rsidP="006373AD">
      <w:pPr>
        <w:pStyle w:val="Heading2"/>
        <w:numPr>
          <w:ilvl w:val="1"/>
          <w:numId w:val="29"/>
        </w:numPr>
        <w:ind w:left="426" w:hanging="426"/>
      </w:pPr>
      <w:bookmarkStart w:id="39" w:name="_Toc229383166"/>
      <w:r>
        <w:t>korostaa, että on resursseiltaan rajallinen ja muun muassa fossiilisten polttoaineiden ja raaka-aineiden tuonnista hyvin riippuvainen maanosa, ja vallitseva geopoliittinen tilanne on yhä jännittyneempi. Samaan aikaan luonnonvarojen liikakäyttö on yksi suurimmista syistä biodiversiteetin jatkuvaan köyhtymiseen.</w:t>
      </w:r>
      <w:r>
        <w:rPr>
          <w:rStyle w:val="FootnoteReference"/>
        </w:rPr>
        <w:footnoteReference w:id="1"/>
      </w:r>
      <w:r>
        <w:t xml:space="preserve"> Johdonmukaisuus EU:n ilmasto- ja biodiversiteettitavoitteiden ja kiertotalouden kanssa onkin varmistettava kestävän kehityksen tavoitteiden mukaisesti. Vankka ja tarkoin määritelty </w:t>
      </w:r>
      <w:r>
        <w:rPr>
          <w:b/>
        </w:rPr>
        <w:t>biotalousstrategia voi täydentää kiertotaloudessa</w:t>
      </w:r>
      <w:r>
        <w:t xml:space="preserve"> saavutettua edistystä </w:t>
      </w:r>
      <w:r>
        <w:rPr>
          <w:b/>
        </w:rPr>
        <w:t xml:space="preserve">ja mahdollistaa </w:t>
      </w:r>
      <w:proofErr w:type="spellStart"/>
      <w:r>
        <w:rPr>
          <w:b/>
        </w:rPr>
        <w:t>vähähiilistämisen</w:t>
      </w:r>
      <w:proofErr w:type="spellEnd"/>
      <w:r>
        <w:rPr>
          <w:b/>
        </w:rPr>
        <w:t>, hyvinvoinnin ja pitkän aikavälin kilpailukyvyn maapallon kestokyvyn rajoissa</w:t>
      </w:r>
      <w:r>
        <w:t>.</w:t>
      </w:r>
      <w:bookmarkEnd w:id="39"/>
    </w:p>
    <w:p w14:paraId="0C5B92D6" w14:textId="77777777" w:rsidR="0022426E" w:rsidRDefault="0022426E" w:rsidP="006373AD">
      <w:pPr>
        <w:pStyle w:val="Heading2"/>
        <w:numPr>
          <w:ilvl w:val="1"/>
          <w:numId w:val="29"/>
        </w:numPr>
        <w:ind w:left="426" w:hanging="426"/>
      </w:pPr>
      <w:bookmarkStart w:id="40" w:name="_Toc229383167"/>
      <w:r>
        <w:t xml:space="preserve">muistuttaa, että EU voi toimia globaalina johtajana vain, jos sen toimielimet </w:t>
      </w:r>
      <w:r>
        <w:rPr>
          <w:b/>
        </w:rPr>
        <w:t>vahvistavat tiukat periaatteet ja suojatoimet</w:t>
      </w:r>
      <w:r>
        <w:t xml:space="preserve"> sille, mitä voidaan käyttää biotalouden tuotantopanoksina, oli sitten kysymys esimerkiksi maataloudesta, vesiviljelystä, metsistä, luonnosta tai yhdyskunta- ja teollisuusjätteestä peräisin olevasta primääri- tai sekundääribiomassasta. EU:n biotalousstrategiassa on keskityttävä talouden vihreään muutokseen ottaen huomioon ympäristö- ja sosiaaliset näkökohdat. Kestävä ja kiertoon perustuva biotalous vahvistaa EU:n taloutta ja kilpailukykyä, vähentää riippuvuutta fossiilisista luonnonvaroista, edistää ilmastotavoitteiden saavuttamista ja uusien työpaikkojen luomista ja tuo ympäristö- ja sosiaalisia hyötyjä. Globaalissa johtoasemassa EU:n olisi </w:t>
      </w:r>
      <w:r>
        <w:rPr>
          <w:b/>
        </w:rPr>
        <w:t>asetettava etusijalle laadukkaat työpaikat erityisesti maaseudulla ja syrjäisillä alueilla</w:t>
      </w:r>
      <w:r>
        <w:t xml:space="preserve">. Näiden periaatteiden tulisi olla määrällisesti ilmaistavia, täytäntöönpanokelpoisia ja seurattavissa toimitusketjussa, ja niitä olisi noudatettava tasapuolisesti eurooppalaisten ja tuotujen raaka-aineiden osalta. Maailmanlaajuisessa kontekstissa on tärkeää </w:t>
      </w:r>
      <w:r>
        <w:rPr>
          <w:b/>
        </w:rPr>
        <w:t>puuttua sellaiseen</w:t>
      </w:r>
      <w:r>
        <w:t xml:space="preserve"> (usein tuettujen) </w:t>
      </w:r>
      <w:r>
        <w:rPr>
          <w:b/>
        </w:rPr>
        <w:t>fossiilisten raaka-aineiden alihinnoittelusta johtuvaan epäreiluun kilpailuun</w:t>
      </w:r>
      <w:r>
        <w:t>, jossa ei oteta huomioon louhinnan, käytön ja ehtymisen ulkoisvaikutuksia.</w:t>
      </w:r>
      <w:bookmarkEnd w:id="40"/>
    </w:p>
    <w:p w14:paraId="301CE5FF" w14:textId="77777777" w:rsidR="0022426E" w:rsidRPr="0028054D" w:rsidRDefault="0022426E" w:rsidP="006373AD">
      <w:pPr>
        <w:pStyle w:val="Heading2"/>
        <w:numPr>
          <w:ilvl w:val="1"/>
          <w:numId w:val="29"/>
        </w:numPr>
        <w:ind w:left="426" w:hanging="426"/>
      </w:pPr>
      <w:bookmarkStart w:id="41" w:name="_Toc229383168"/>
      <w:r>
        <w:t xml:space="preserve">muistuttaa, että EU:n on kerrottava selkeästi biotalouden käytön ja käyttämättä jättämisen arvosta yhteiskunnalle sekä </w:t>
      </w:r>
      <w:r>
        <w:rPr>
          <w:b/>
        </w:rPr>
        <w:t>sitouduttava tiukasti jätehierarkiaan ja asetettava resurssien käytön vähentäminen etusijalle</w:t>
      </w:r>
      <w:r>
        <w:t>, jotta biotaloudesta voidaan tehdä aidosti kiertoon perustuva ja kilpailukykyinen. Vaikka ehdotetussa strategiassa mainitaan resurssitehokkuutta edistävä biomassan käyttöhierarkia, suojatoimia olisi vahvistettava luomalla pitkäaikaisia ja monijaksoisia ratkaisuja, joiden avulla kierto voidaan myös sulkea.</w:t>
      </w:r>
      <w:bookmarkEnd w:id="41"/>
    </w:p>
    <w:p w14:paraId="5FB041B3" w14:textId="77777777" w:rsidR="0022426E" w:rsidRPr="008B4F07" w:rsidRDefault="0022426E" w:rsidP="007E4A83">
      <w:pPr>
        <w:spacing w:line="240" w:lineRule="auto"/>
        <w:ind w:left="426" w:hanging="426"/>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567"/>
      </w:tblGrid>
      <w:tr w:rsidR="0022426E" w:rsidRPr="00A6689B" w14:paraId="2138C398" w14:textId="77777777" w:rsidTr="00120118">
        <w:trPr>
          <w:trHeight w:val="300"/>
        </w:trPr>
        <w:tc>
          <w:tcPr>
            <w:tcW w:w="1755" w:type="dxa"/>
          </w:tcPr>
          <w:p w14:paraId="07D5569C" w14:textId="77777777" w:rsidR="0022426E" w:rsidRPr="00A6689B" w:rsidRDefault="0022426E" w:rsidP="00120118">
            <w:pPr>
              <w:spacing w:line="240" w:lineRule="auto"/>
              <w:rPr>
                <w:i/>
                <w:iCs/>
              </w:rPr>
            </w:pPr>
            <w:r>
              <w:rPr>
                <w:b/>
                <w:i/>
              </w:rPr>
              <w:t>Yhteydenotot</w:t>
            </w:r>
          </w:p>
        </w:tc>
        <w:tc>
          <w:tcPr>
            <w:tcW w:w="7567" w:type="dxa"/>
          </w:tcPr>
          <w:p w14:paraId="1E684556" w14:textId="77777777" w:rsidR="0022426E" w:rsidRPr="003464D1" w:rsidRDefault="0022426E" w:rsidP="00120118">
            <w:pPr>
              <w:spacing w:line="240" w:lineRule="auto"/>
              <w:ind w:left="-55"/>
              <w:rPr>
                <w:i/>
                <w:iCs/>
              </w:rPr>
            </w:pPr>
            <w:r w:rsidRPr="003464D1">
              <w:rPr>
                <w:i/>
                <w:iCs/>
              </w:rPr>
              <w:t>Anna Cameron</w:t>
            </w:r>
          </w:p>
        </w:tc>
      </w:tr>
      <w:tr w:rsidR="0022426E" w:rsidRPr="00A6689B" w14:paraId="66DCCD9F" w14:textId="77777777" w:rsidTr="00120118">
        <w:trPr>
          <w:trHeight w:val="300"/>
        </w:trPr>
        <w:tc>
          <w:tcPr>
            <w:tcW w:w="1755" w:type="dxa"/>
          </w:tcPr>
          <w:p w14:paraId="19B45F69" w14:textId="77777777" w:rsidR="0022426E" w:rsidRPr="00A6689B" w:rsidRDefault="0022426E" w:rsidP="00120118">
            <w:pPr>
              <w:spacing w:line="240" w:lineRule="auto"/>
              <w:rPr>
                <w:i/>
              </w:rPr>
            </w:pPr>
            <w:r>
              <w:rPr>
                <w:i/>
              </w:rPr>
              <w:t>P.</w:t>
            </w:r>
          </w:p>
        </w:tc>
        <w:tc>
          <w:tcPr>
            <w:tcW w:w="7567" w:type="dxa"/>
          </w:tcPr>
          <w:p w14:paraId="37BCF3AC" w14:textId="77777777" w:rsidR="0022426E" w:rsidRPr="00E0431A" w:rsidRDefault="0022426E" w:rsidP="00120118">
            <w:pPr>
              <w:spacing w:line="240" w:lineRule="auto"/>
              <w:ind w:left="-55"/>
              <w:rPr>
                <w:i/>
                <w:iCs/>
              </w:rPr>
            </w:pPr>
            <w:r>
              <w:rPr>
                <w:i/>
              </w:rPr>
              <w:t>+32 25468228</w:t>
            </w:r>
          </w:p>
        </w:tc>
      </w:tr>
      <w:tr w:rsidR="0022426E" w:rsidRPr="00602AAE" w14:paraId="0F6022AD" w14:textId="77777777" w:rsidTr="00120118">
        <w:trPr>
          <w:trHeight w:val="300"/>
        </w:trPr>
        <w:tc>
          <w:tcPr>
            <w:tcW w:w="1755" w:type="dxa"/>
          </w:tcPr>
          <w:p w14:paraId="3FC9392F" w14:textId="77777777" w:rsidR="0022426E" w:rsidRPr="00A6689B" w:rsidRDefault="0022426E" w:rsidP="00120118">
            <w:pPr>
              <w:spacing w:line="240" w:lineRule="auto"/>
              <w:rPr>
                <w:i/>
              </w:rPr>
            </w:pPr>
            <w:r>
              <w:rPr>
                <w:i/>
              </w:rPr>
              <w:t>Sähköposti</w:t>
            </w:r>
          </w:p>
        </w:tc>
        <w:tc>
          <w:tcPr>
            <w:tcW w:w="7567" w:type="dxa"/>
          </w:tcPr>
          <w:p w14:paraId="25A3938C" w14:textId="77777777" w:rsidR="0022426E" w:rsidRPr="00602AAE" w:rsidRDefault="003665FE" w:rsidP="00120118">
            <w:pPr>
              <w:spacing w:line="240" w:lineRule="auto"/>
              <w:ind w:left="-55"/>
              <w:rPr>
                <w:i/>
                <w:iCs/>
                <w:color w:val="0000FF"/>
                <w:u w:val="single"/>
              </w:rPr>
            </w:pPr>
            <w:hyperlink r:id="rId55" w:history="1">
              <w:r w:rsidR="0022426E">
                <w:rPr>
                  <w:rStyle w:val="Hyperlink"/>
                  <w:i/>
                </w:rPr>
                <w:t>Anna.Cameron@eesc.europa.eu</w:t>
              </w:r>
            </w:hyperlink>
          </w:p>
        </w:tc>
      </w:tr>
    </w:tbl>
    <w:p w14:paraId="39C8EA8B" w14:textId="6180E17F" w:rsidR="0022426E" w:rsidRPr="007E4A83" w:rsidRDefault="003665FE" w:rsidP="000149E8">
      <w:pPr>
        <w:keepNext/>
        <w:keepLines/>
        <w:widowControl w:val="0"/>
        <w:numPr>
          <w:ilvl w:val="0"/>
          <w:numId w:val="2"/>
        </w:numPr>
        <w:overflowPunct w:val="0"/>
        <w:autoSpaceDE w:val="0"/>
        <w:autoSpaceDN w:val="0"/>
        <w:adjustRightInd w:val="0"/>
        <w:ind w:hanging="567"/>
        <w:textAlignment w:val="baseline"/>
        <w:rPr>
          <w:rStyle w:val="Hyperlink"/>
          <w:b/>
          <w:sz w:val="28"/>
          <w:szCs w:val="28"/>
        </w:rPr>
      </w:pPr>
      <w:hyperlink r:id="rId56" w:history="1">
        <w:r w:rsidR="0022426E">
          <w:rPr>
            <w:rStyle w:val="Hyperlink"/>
            <w:b/>
            <w:i/>
            <w:sz w:val="28"/>
          </w:rPr>
          <w:t>Elintarvikkeet ja rehut – yksinkertaistamiseen tähtäävä koontipaketti</w:t>
        </w:r>
      </w:hyperlink>
    </w:p>
    <w:p w14:paraId="6BDAABFD" w14:textId="77777777" w:rsidR="0022426E" w:rsidRPr="00356F77" w:rsidRDefault="0022426E" w:rsidP="000149E8">
      <w:pPr>
        <w:keepNext/>
        <w:keepLines/>
        <w:widowControl w:val="0"/>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22426E" w:rsidRPr="00A6689B" w14:paraId="19993420" w14:textId="77777777" w:rsidTr="00120118">
        <w:tc>
          <w:tcPr>
            <w:tcW w:w="1077" w:type="pct"/>
          </w:tcPr>
          <w:p w14:paraId="3F04EC6A" w14:textId="77777777" w:rsidR="0022426E" w:rsidRDefault="0022426E" w:rsidP="000149E8">
            <w:pPr>
              <w:keepNext/>
              <w:keepLines/>
              <w:tabs>
                <w:tab w:val="center" w:pos="284"/>
              </w:tabs>
              <w:ind w:left="266" w:hanging="266"/>
              <w:rPr>
                <w:b/>
              </w:rPr>
            </w:pPr>
            <w:r>
              <w:rPr>
                <w:b/>
              </w:rPr>
              <w:t>Esittelijä</w:t>
            </w:r>
          </w:p>
          <w:p w14:paraId="3AEE80BD" w14:textId="77777777" w:rsidR="0022426E" w:rsidRPr="00A6689B" w:rsidRDefault="0022426E" w:rsidP="000149E8">
            <w:pPr>
              <w:keepNext/>
              <w:keepLines/>
              <w:tabs>
                <w:tab w:val="center" w:pos="284"/>
              </w:tabs>
              <w:ind w:left="266" w:hanging="266"/>
              <w:rPr>
                <w:b/>
              </w:rPr>
            </w:pPr>
            <w:r>
              <w:rPr>
                <w:b/>
              </w:rPr>
              <w:t>Yhteisesittelijä</w:t>
            </w:r>
          </w:p>
        </w:tc>
        <w:tc>
          <w:tcPr>
            <w:tcW w:w="3923" w:type="pct"/>
          </w:tcPr>
          <w:p w14:paraId="6ACDB184" w14:textId="5D1F5387" w:rsidR="0022426E" w:rsidRDefault="0022426E" w:rsidP="000149E8">
            <w:pPr>
              <w:keepNext/>
              <w:keepLines/>
              <w:tabs>
                <w:tab w:val="center" w:pos="284"/>
              </w:tabs>
              <w:ind w:left="266" w:right="-3091" w:hanging="266"/>
            </w:pPr>
            <w:r>
              <w:t>Felipe MEDINA</w:t>
            </w:r>
            <w:r w:rsidR="003464D1">
              <w:t xml:space="preserve"> (työnantajat – ES)</w:t>
            </w:r>
          </w:p>
          <w:p w14:paraId="70201381" w14:textId="5772B095" w:rsidR="0022426E" w:rsidRPr="00A6689B" w:rsidRDefault="0022426E" w:rsidP="000149E8">
            <w:pPr>
              <w:keepNext/>
              <w:keepLines/>
              <w:tabs>
                <w:tab w:val="center" w:pos="284"/>
              </w:tabs>
              <w:ind w:left="266" w:hanging="266"/>
            </w:pPr>
            <w:r>
              <w:t>John COMER</w:t>
            </w:r>
            <w:r w:rsidR="003464D1">
              <w:t xml:space="preserve"> </w:t>
            </w:r>
            <w:r w:rsidR="00A62AB4">
              <w:t>(</w:t>
            </w:r>
            <w:r w:rsidR="003464D1" w:rsidRPr="00007E01">
              <w:t xml:space="preserve">kansalaisyhteiskunnan organisaatiot – </w:t>
            </w:r>
            <w:r w:rsidR="003464D1">
              <w:t>IE</w:t>
            </w:r>
            <w:r w:rsidR="003464D1" w:rsidRPr="00007E01">
              <w:t>)</w:t>
            </w:r>
          </w:p>
        </w:tc>
      </w:tr>
      <w:tr w:rsidR="0022426E" w:rsidRPr="00A6689B" w14:paraId="6BC8E454" w14:textId="77777777" w:rsidTr="00120118">
        <w:tc>
          <w:tcPr>
            <w:tcW w:w="1077" w:type="pct"/>
          </w:tcPr>
          <w:p w14:paraId="257177A2" w14:textId="77777777" w:rsidR="0022426E" w:rsidRDefault="0022426E" w:rsidP="000149E8">
            <w:pPr>
              <w:keepNext/>
              <w:keepLines/>
              <w:tabs>
                <w:tab w:val="center" w:pos="284"/>
              </w:tabs>
              <w:ind w:left="266" w:hanging="266"/>
              <w:rPr>
                <w:b/>
              </w:rPr>
            </w:pPr>
          </w:p>
        </w:tc>
        <w:tc>
          <w:tcPr>
            <w:tcW w:w="3923" w:type="pct"/>
          </w:tcPr>
          <w:p w14:paraId="0D074AAF" w14:textId="77777777" w:rsidR="0022426E" w:rsidRDefault="0022426E" w:rsidP="000149E8">
            <w:pPr>
              <w:keepNext/>
              <w:keepLines/>
              <w:tabs>
                <w:tab w:val="center" w:pos="284"/>
              </w:tabs>
              <w:ind w:left="266" w:right="-3091" w:hanging="266"/>
            </w:pPr>
          </w:p>
        </w:tc>
      </w:tr>
      <w:tr w:rsidR="003464D1" w:rsidRPr="00A6689B" w14:paraId="3F41282E" w14:textId="77777777" w:rsidTr="00120118">
        <w:tc>
          <w:tcPr>
            <w:tcW w:w="1077" w:type="pct"/>
          </w:tcPr>
          <w:p w14:paraId="14EC52AB" w14:textId="77777777" w:rsidR="003464D1" w:rsidRPr="00A6689B" w:rsidRDefault="003464D1" w:rsidP="000149E8">
            <w:pPr>
              <w:keepNext/>
              <w:keepLines/>
              <w:tabs>
                <w:tab w:val="center" w:pos="284"/>
              </w:tabs>
              <w:ind w:left="266" w:hanging="266"/>
              <w:rPr>
                <w:b/>
              </w:rPr>
            </w:pPr>
            <w:r>
              <w:rPr>
                <w:b/>
              </w:rPr>
              <w:t>Viiteasiakirjat</w:t>
            </w:r>
          </w:p>
        </w:tc>
        <w:tc>
          <w:tcPr>
            <w:tcW w:w="3923" w:type="pct"/>
          </w:tcPr>
          <w:p w14:paraId="40EC5351" w14:textId="77777777" w:rsidR="003464D1" w:rsidRDefault="003464D1" w:rsidP="000149E8">
            <w:pPr>
              <w:keepNext/>
              <w:keepLines/>
              <w:tabs>
                <w:tab w:val="center" w:pos="284"/>
              </w:tabs>
              <w:overflowPunct w:val="0"/>
              <w:autoSpaceDE w:val="0"/>
              <w:autoSpaceDN w:val="0"/>
              <w:adjustRightInd w:val="0"/>
              <w:ind w:left="266" w:right="-3091" w:hanging="266"/>
              <w:textAlignment w:val="baseline"/>
              <w:rPr>
                <w:lang w:val="en-GB"/>
              </w:rPr>
            </w:pPr>
            <w:r>
              <w:rPr>
                <w:lang w:val="en-GB"/>
              </w:rPr>
              <w:t>COM(2025) 1030 final</w:t>
            </w:r>
          </w:p>
          <w:p w14:paraId="492C302E" w14:textId="45452A7C" w:rsidR="003464D1" w:rsidRPr="00A6689B" w:rsidRDefault="003464D1" w:rsidP="000149E8">
            <w:pPr>
              <w:keepNext/>
              <w:keepLines/>
              <w:tabs>
                <w:tab w:val="center" w:pos="284"/>
              </w:tabs>
              <w:ind w:left="266" w:right="-3091" w:hanging="266"/>
            </w:pPr>
            <w:r w:rsidRPr="00403683">
              <w:rPr>
                <w:lang w:val="en-GB"/>
              </w:rPr>
              <w:t>EESC-2025-04381-00-00-AC</w:t>
            </w:r>
          </w:p>
        </w:tc>
      </w:tr>
    </w:tbl>
    <w:p w14:paraId="41AF53E3" w14:textId="77777777" w:rsidR="0022426E" w:rsidRDefault="0022426E" w:rsidP="000149E8">
      <w:pPr>
        <w:keepNext/>
        <w:keepLines/>
        <w:tabs>
          <w:tab w:val="center" w:pos="284"/>
        </w:tabs>
        <w:ind w:left="266" w:hanging="266"/>
        <w:rPr>
          <w:b/>
        </w:rPr>
      </w:pPr>
    </w:p>
    <w:p w14:paraId="7E3209DF" w14:textId="77777777" w:rsidR="0022426E" w:rsidRPr="00A6689B" w:rsidRDefault="0022426E" w:rsidP="000149E8">
      <w:pPr>
        <w:keepNext/>
        <w:keepLines/>
        <w:tabs>
          <w:tab w:val="center" w:pos="284"/>
        </w:tabs>
        <w:ind w:left="266" w:hanging="266"/>
        <w:rPr>
          <w:b/>
        </w:rPr>
      </w:pPr>
      <w:r>
        <w:rPr>
          <w:b/>
        </w:rPr>
        <w:t>Keskeiset kohdat</w:t>
      </w:r>
    </w:p>
    <w:p w14:paraId="60B1AB1E" w14:textId="77777777" w:rsidR="0022426E" w:rsidRPr="00A6689B" w:rsidRDefault="0022426E" w:rsidP="000149E8">
      <w:pPr>
        <w:keepNext/>
        <w:keepLines/>
        <w:tabs>
          <w:tab w:val="center" w:pos="284"/>
        </w:tabs>
        <w:ind w:left="266" w:hanging="266"/>
        <w:rPr>
          <w:b/>
        </w:rPr>
      </w:pPr>
    </w:p>
    <w:p w14:paraId="1AFE8886" w14:textId="77777777" w:rsidR="0022426E" w:rsidRPr="00A6689B" w:rsidRDefault="0022426E" w:rsidP="000149E8">
      <w:pPr>
        <w:keepNext/>
        <w:keepLines/>
        <w:rPr>
          <w:bCs/>
          <w:iCs/>
        </w:rPr>
      </w:pPr>
      <w:r>
        <w:t>ETSK</w:t>
      </w:r>
    </w:p>
    <w:p w14:paraId="31C8425D" w14:textId="77777777" w:rsidR="0022426E" w:rsidRDefault="0022426E" w:rsidP="000149E8">
      <w:pPr>
        <w:pStyle w:val="Heading2"/>
        <w:keepNext/>
        <w:keepLines/>
        <w:numPr>
          <w:ilvl w:val="1"/>
          <w:numId w:val="30"/>
        </w:numPr>
        <w:ind w:left="426" w:hanging="426"/>
      </w:pPr>
      <w:bookmarkStart w:id="42" w:name="_Toc229383169"/>
      <w:r>
        <w:t>suhtautuu myönteisesti elintarvikkeita ja rehuja koskevan yksinkertaistamispaketin yleiseen linjaan. Tarkoituksena on vähentää tarpeettomia hallinnollisia rasitteita ja kustannuksia. Komitea korostaa kuitenkin, että yksinkertaistaminen ei saa vaarantaa elintarvikkeiden ja rehujen turvallisuutta, ympäristönsuojelua ja kansanterveyttä koskevia EU:n tiukkoja vaatimuksia ja että pidemmälle menevä yksinkertaistaminen olisi ollut hyödyllistä.</w:t>
      </w:r>
      <w:bookmarkEnd w:id="42"/>
    </w:p>
    <w:p w14:paraId="6AA6C0C6" w14:textId="77777777" w:rsidR="0022426E" w:rsidRDefault="0022426E" w:rsidP="000149E8">
      <w:pPr>
        <w:pStyle w:val="Heading2"/>
        <w:numPr>
          <w:ilvl w:val="1"/>
          <w:numId w:val="30"/>
        </w:numPr>
        <w:ind w:left="426" w:hanging="426"/>
      </w:pPr>
      <w:bookmarkStart w:id="43" w:name="_Toc229383170"/>
      <w:r>
        <w:t>korostaa sääntelyn laadun merkitystä ja tarvetta vahvistaa kansalaisyhteiskunnan roolia lainsäädännön seurannassa ja täytäntöönpanossa.</w:t>
      </w:r>
      <w:bookmarkEnd w:id="43"/>
    </w:p>
    <w:p w14:paraId="1A3E67B7" w14:textId="77777777" w:rsidR="0022426E" w:rsidRDefault="0022426E" w:rsidP="000149E8">
      <w:pPr>
        <w:pStyle w:val="Heading2"/>
        <w:numPr>
          <w:ilvl w:val="1"/>
          <w:numId w:val="30"/>
        </w:numPr>
        <w:ind w:left="426" w:hanging="426"/>
      </w:pPr>
      <w:bookmarkStart w:id="44" w:name="_Toc229383171"/>
      <w:r>
        <w:t xml:space="preserve">pitää ehdotusta edellytysten luomisesta </w:t>
      </w:r>
      <w:proofErr w:type="spellStart"/>
      <w:r>
        <w:t>droonien</w:t>
      </w:r>
      <w:proofErr w:type="spellEnd"/>
      <w:r>
        <w:t xml:space="preserve"> käytön lisäämiselle torjunta-aineruiskutuksissa tervetulleena mutta korostaa samalla tarvetta suojella viljelijöiden ohella maaseudun muiden asukkaiden ja kaikkien työntekijöiden terveyttä sekä ympäristöä.</w:t>
      </w:r>
      <w:bookmarkEnd w:id="44"/>
    </w:p>
    <w:p w14:paraId="671D8DA7" w14:textId="77777777" w:rsidR="0022426E" w:rsidRPr="00F75C85" w:rsidRDefault="0022426E" w:rsidP="000149E8">
      <w:pPr>
        <w:pStyle w:val="Heading2"/>
        <w:numPr>
          <w:ilvl w:val="1"/>
          <w:numId w:val="30"/>
        </w:numPr>
        <w:ind w:left="426" w:hanging="426"/>
      </w:pPr>
      <w:bookmarkStart w:id="45" w:name="_Toc229383172"/>
      <w:r>
        <w:t>katsoo, että Euroopan elintarviketurvallisuusviranomaisella (EFSA) olisi oltava oikeus varoittaa tarpeesta arvioida kohdennetusti uudelleen sellaisia tehoaineita, joiden hyväksyntä on voimassa toistaiseksi, ja että siltä olisi pyydettävä lausunto mahdollisten siirtymäaikojen asianmukaisuudesta.</w:t>
      </w:r>
      <w:bookmarkEnd w:id="45"/>
      <w:r>
        <w:t xml:space="preserve"> </w:t>
      </w:r>
    </w:p>
    <w:p w14:paraId="73D02604" w14:textId="77777777" w:rsidR="0022426E" w:rsidRPr="00F75C85" w:rsidRDefault="0022426E" w:rsidP="000149E8">
      <w:pPr>
        <w:pStyle w:val="Heading2"/>
        <w:numPr>
          <w:ilvl w:val="1"/>
          <w:numId w:val="30"/>
        </w:numPr>
        <w:shd w:val="clear" w:color="auto" w:fill="FFFFFF" w:themeFill="background1"/>
        <w:ind w:left="426" w:hanging="426"/>
      </w:pPr>
      <w:bookmarkStart w:id="46" w:name="_Toc229383173"/>
      <w:r>
        <w:t>suhtautuu myönteisesti biologisten torjunta-aineiden lupamenettelyjen nopeuttamiseen ja yksinkertaistamiseen.</w:t>
      </w:r>
      <w:bookmarkEnd w:id="46"/>
      <w:r>
        <w:t xml:space="preserve"> </w:t>
      </w:r>
    </w:p>
    <w:p w14:paraId="134F6C4E" w14:textId="77777777" w:rsidR="0022426E" w:rsidRPr="00F75C85" w:rsidRDefault="0022426E" w:rsidP="000149E8">
      <w:pPr>
        <w:pStyle w:val="Heading2"/>
        <w:numPr>
          <w:ilvl w:val="1"/>
          <w:numId w:val="30"/>
        </w:numPr>
        <w:shd w:val="clear" w:color="auto" w:fill="FFFFFF" w:themeFill="background1"/>
        <w:ind w:left="426" w:hanging="426"/>
      </w:pPr>
      <w:bookmarkStart w:id="47" w:name="_Toc229383174"/>
      <w:r>
        <w:t>kehottaa yhdenmukaistamaan siirtymäajat koko EU:ssa soveltaen korkeinta suojelun tasoa ja edistämään vastavuoroista tunnustamista.</w:t>
      </w:r>
      <w:bookmarkEnd w:id="47"/>
    </w:p>
    <w:p w14:paraId="68FAA1C2" w14:textId="77777777" w:rsidR="0022426E" w:rsidRDefault="0022426E" w:rsidP="000149E8">
      <w:pPr>
        <w:pStyle w:val="Heading2"/>
        <w:numPr>
          <w:ilvl w:val="1"/>
          <w:numId w:val="30"/>
        </w:numPr>
        <w:shd w:val="clear" w:color="auto" w:fill="FFFFFF" w:themeFill="background1"/>
        <w:ind w:left="426" w:hanging="426"/>
      </w:pPr>
      <w:bookmarkStart w:id="48" w:name="_Toc229383175"/>
      <w:r>
        <w:t>kannattaa luvan myöntämistä kasvinsuojeluaineille, jotka sisältävät vientiin tarkoitettujen siementen käsittelyyn EU:ssa hyväksyttyjä tehoaineita, edellyttäen, että tällainen käyttö on kohdemaan sääntelyvaatimusten mukaista.</w:t>
      </w:r>
      <w:bookmarkEnd w:id="48"/>
    </w:p>
    <w:p w14:paraId="721C7CDE" w14:textId="77777777" w:rsidR="0022426E" w:rsidRDefault="0022426E" w:rsidP="000149E8">
      <w:pPr>
        <w:pStyle w:val="Heading2"/>
        <w:numPr>
          <w:ilvl w:val="1"/>
          <w:numId w:val="30"/>
        </w:numPr>
        <w:ind w:left="426" w:hanging="426"/>
      </w:pPr>
      <w:bookmarkStart w:id="49" w:name="_Toc229383176"/>
      <w:r>
        <w:t>ehdottaa, että yritysten tekemät yksityiset terveys- ja sertifiointianalyysit tunnustettaisiin virallisiksi, jotta vienti EU:n ulkopuolisiin maihin olisi menettelyllisesti yksinkertaisempaa. Tällaisen tunnustamisen mahdollistamiseksi olisi lisäksi tiukennettava viranomaisvalvontaa ja sakkoseuraamuksia.</w:t>
      </w:r>
      <w:bookmarkEnd w:id="49"/>
    </w:p>
    <w:p w14:paraId="49EF5858" w14:textId="77777777" w:rsidR="0022426E" w:rsidRDefault="0022426E" w:rsidP="000149E8">
      <w:pPr>
        <w:pStyle w:val="Heading2"/>
        <w:numPr>
          <w:ilvl w:val="1"/>
          <w:numId w:val="30"/>
        </w:numPr>
        <w:ind w:left="426" w:hanging="426"/>
      </w:pPr>
      <w:bookmarkStart w:id="50" w:name="_Toc229383177"/>
      <w:r>
        <w:t>tunnustaa normien vastaavuuden merkityksen mutta on huolissaan tuonnissa sallittavien enimmäismäärien poistamisesta tietyiltä aineilta, joita ei sallita EU:ssa, ja katsoo, että tällaisten merkittävien muutosten vaikutuksia on tärkeää arvioida ennalta varautumisen periaatteen mukaisesti, sillä vaikutukset voivat ulottua kaikkiin ketjun toimijoihin, jotka ovat erittäin riippuvaisia tuonnista.</w:t>
      </w:r>
      <w:bookmarkEnd w:id="50"/>
    </w:p>
    <w:p w14:paraId="7E1D0002" w14:textId="77777777" w:rsidR="0022426E" w:rsidRDefault="0022426E" w:rsidP="000149E8">
      <w:pPr>
        <w:pStyle w:val="Heading2"/>
        <w:numPr>
          <w:ilvl w:val="1"/>
          <w:numId w:val="30"/>
        </w:numPr>
        <w:ind w:left="426" w:hanging="426"/>
      </w:pPr>
      <w:bookmarkStart w:id="51" w:name="_Toc229383178"/>
      <w:r>
        <w:t>katsoo, että biologisissa torjunta-aineissa olisi oltava sallittua käyttää raskasmetalleja, kuten kuparia, kunhan ihmisten, eläinten ja maaperän terveys sekä biologinen monimuotoisuus turvataan.</w:t>
      </w:r>
      <w:bookmarkEnd w:id="51"/>
    </w:p>
    <w:p w14:paraId="399636FA" w14:textId="77777777" w:rsidR="0022426E" w:rsidRDefault="0022426E" w:rsidP="000149E8">
      <w:pPr>
        <w:pStyle w:val="Heading2"/>
        <w:numPr>
          <w:ilvl w:val="1"/>
          <w:numId w:val="30"/>
        </w:numPr>
        <w:ind w:left="426" w:hanging="426"/>
      </w:pPr>
      <w:bookmarkStart w:id="52" w:name="_Toc229383179"/>
      <w:r>
        <w:t>on sitä mieltä, että ennen korvattavan tehoaineen markkinoilta poistamista tilalle on oltava saatavilla vaihtoehto, joka on yhtä tehokas ja taloudellisesti kannattava.</w:t>
      </w:r>
      <w:bookmarkEnd w:id="52"/>
    </w:p>
    <w:p w14:paraId="52C7DE2D" w14:textId="77777777" w:rsidR="0022426E" w:rsidRDefault="0022426E" w:rsidP="000149E8">
      <w:pPr>
        <w:pStyle w:val="Heading2"/>
        <w:numPr>
          <w:ilvl w:val="1"/>
          <w:numId w:val="30"/>
        </w:numPr>
        <w:ind w:left="426" w:hanging="426"/>
      </w:pPr>
      <w:bookmarkStart w:id="53" w:name="_Toc229383180"/>
      <w:r>
        <w:lastRenderedPageBreak/>
        <w:t>katsoo, että EU:n on noudatettava uuselintarvikkeiden ja muuntogeenisten elintarvikkeiden suhteen erittäin tiukkoja avoimuus- ja turvallisuusvaatimuksia.</w:t>
      </w:r>
      <w:bookmarkEnd w:id="53"/>
    </w:p>
    <w:p w14:paraId="58A33784" w14:textId="77777777" w:rsidR="0022426E" w:rsidRPr="000624A9" w:rsidRDefault="0022426E" w:rsidP="000149E8">
      <w:pPr>
        <w:pStyle w:val="Heading2"/>
        <w:numPr>
          <w:ilvl w:val="1"/>
          <w:numId w:val="30"/>
        </w:numPr>
        <w:ind w:left="426" w:hanging="426"/>
      </w:pPr>
      <w:bookmarkStart w:id="54" w:name="_Toc229383181"/>
      <w:r>
        <w:t>kehottaa yhdenmukaistamaan siementen merkinnät siten, että niihin sisällytetään asianmukaiset varo- ja riskinhallintatoimenpiteet.</w:t>
      </w:r>
      <w:bookmarkEnd w:id="54"/>
    </w:p>
    <w:p w14:paraId="0895B4A0" w14:textId="77777777" w:rsidR="0022426E" w:rsidRDefault="0022426E" w:rsidP="0022426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22426E" w:rsidRPr="00A6689B" w14:paraId="3BB4841F" w14:textId="77777777" w:rsidTr="00120118">
        <w:tc>
          <w:tcPr>
            <w:tcW w:w="1077" w:type="pct"/>
          </w:tcPr>
          <w:p w14:paraId="723F004A" w14:textId="77777777" w:rsidR="0022426E" w:rsidRPr="00A6689B" w:rsidRDefault="0022426E" w:rsidP="00120118">
            <w:pPr>
              <w:rPr>
                <w:i/>
              </w:rPr>
            </w:pPr>
            <w:r>
              <w:rPr>
                <w:b/>
                <w:i/>
              </w:rPr>
              <w:t>Yhteydenotot</w:t>
            </w:r>
          </w:p>
        </w:tc>
        <w:tc>
          <w:tcPr>
            <w:tcW w:w="3923" w:type="pct"/>
          </w:tcPr>
          <w:p w14:paraId="75FB107D" w14:textId="5693AC50" w:rsidR="0022426E" w:rsidRPr="00A6689B" w:rsidRDefault="0022426E" w:rsidP="00120118">
            <w:pPr>
              <w:rPr>
                <w:i/>
              </w:rPr>
            </w:pPr>
            <w:proofErr w:type="spellStart"/>
            <w:r>
              <w:rPr>
                <w:i/>
              </w:rPr>
              <w:t>Martine</w:t>
            </w:r>
            <w:proofErr w:type="spellEnd"/>
            <w:r>
              <w:rPr>
                <w:i/>
              </w:rPr>
              <w:t xml:space="preserve"> </w:t>
            </w:r>
            <w:proofErr w:type="spellStart"/>
            <w:r w:rsidR="003464D1">
              <w:rPr>
                <w:i/>
              </w:rPr>
              <w:t>Delanoy</w:t>
            </w:r>
            <w:proofErr w:type="spellEnd"/>
          </w:p>
        </w:tc>
      </w:tr>
      <w:tr w:rsidR="0022426E" w:rsidRPr="00A6689B" w14:paraId="20A4B348" w14:textId="77777777" w:rsidTr="00120118">
        <w:tc>
          <w:tcPr>
            <w:tcW w:w="1077" w:type="pct"/>
          </w:tcPr>
          <w:p w14:paraId="173D64B8" w14:textId="77777777" w:rsidR="0022426E" w:rsidRPr="00A6689B" w:rsidRDefault="0022426E" w:rsidP="00120118">
            <w:pPr>
              <w:rPr>
                <w:i/>
              </w:rPr>
            </w:pPr>
            <w:r>
              <w:rPr>
                <w:i/>
              </w:rPr>
              <w:t>P.</w:t>
            </w:r>
          </w:p>
        </w:tc>
        <w:tc>
          <w:tcPr>
            <w:tcW w:w="3923" w:type="pct"/>
          </w:tcPr>
          <w:p w14:paraId="294D96F3" w14:textId="77777777" w:rsidR="0022426E" w:rsidRPr="00A6689B" w:rsidRDefault="0022426E" w:rsidP="00120118">
            <w:pPr>
              <w:rPr>
                <w:i/>
              </w:rPr>
            </w:pPr>
            <w:r>
              <w:rPr>
                <w:i/>
              </w:rPr>
              <w:t>+32 25469802</w:t>
            </w:r>
          </w:p>
        </w:tc>
      </w:tr>
      <w:tr w:rsidR="0022426E" w:rsidRPr="00A6689B" w14:paraId="0AC06E0B" w14:textId="77777777" w:rsidTr="00120118">
        <w:tc>
          <w:tcPr>
            <w:tcW w:w="1077" w:type="pct"/>
          </w:tcPr>
          <w:p w14:paraId="697EA42D" w14:textId="77777777" w:rsidR="0022426E" w:rsidRPr="00A6689B" w:rsidRDefault="0022426E" w:rsidP="00120118">
            <w:pPr>
              <w:rPr>
                <w:i/>
              </w:rPr>
            </w:pPr>
            <w:r>
              <w:rPr>
                <w:i/>
              </w:rPr>
              <w:t>Sähköposti</w:t>
            </w:r>
          </w:p>
        </w:tc>
        <w:tc>
          <w:tcPr>
            <w:tcW w:w="3923" w:type="pct"/>
          </w:tcPr>
          <w:p w14:paraId="3A6D3614" w14:textId="77777777" w:rsidR="0022426E" w:rsidRPr="00A6689B" w:rsidRDefault="003665FE" w:rsidP="00120118">
            <w:pPr>
              <w:rPr>
                <w:i/>
              </w:rPr>
            </w:pPr>
            <w:hyperlink r:id="rId57" w:history="1">
              <w:r w:rsidR="0022426E">
                <w:rPr>
                  <w:rStyle w:val="Hyperlink"/>
                  <w:i/>
                </w:rPr>
                <w:t>Martine.Delanoy@eesc.europa.eu</w:t>
              </w:r>
            </w:hyperlink>
            <w:r w:rsidR="0022426E">
              <w:rPr>
                <w:i/>
              </w:rPr>
              <w:t xml:space="preserve"> </w:t>
            </w:r>
          </w:p>
        </w:tc>
      </w:tr>
    </w:tbl>
    <w:p w14:paraId="4FE13033" w14:textId="3D515FFB" w:rsidR="0022426E" w:rsidRDefault="0022426E">
      <w:pPr>
        <w:spacing w:after="160" w:line="259" w:lineRule="auto"/>
        <w:jc w:val="left"/>
      </w:pPr>
    </w:p>
    <w:p w14:paraId="75DC009D" w14:textId="77777777" w:rsidR="0022426E" w:rsidRDefault="0022426E">
      <w:pPr>
        <w:spacing w:after="160" w:line="259" w:lineRule="auto"/>
        <w:jc w:val="left"/>
      </w:pPr>
      <w:r>
        <w:br w:type="page"/>
      </w:r>
    </w:p>
    <w:p w14:paraId="11D41943" w14:textId="07C389B8" w:rsidR="0022426E" w:rsidRPr="007E4A83" w:rsidRDefault="003665FE" w:rsidP="00CE0BE3">
      <w:pPr>
        <w:widowControl w:val="0"/>
        <w:numPr>
          <w:ilvl w:val="0"/>
          <w:numId w:val="2"/>
        </w:numPr>
        <w:overflowPunct w:val="0"/>
        <w:autoSpaceDE w:val="0"/>
        <w:autoSpaceDN w:val="0"/>
        <w:adjustRightInd w:val="0"/>
        <w:ind w:hanging="567"/>
        <w:textAlignment w:val="baseline"/>
        <w:rPr>
          <w:b/>
          <w:bCs/>
          <w:sz w:val="28"/>
          <w:szCs w:val="28"/>
        </w:rPr>
      </w:pPr>
      <w:hyperlink r:id="rId58" w:history="1">
        <w:r w:rsidR="0022426E">
          <w:rPr>
            <w:rStyle w:val="Hyperlink"/>
            <w:b/>
            <w:i/>
            <w:sz w:val="28"/>
          </w:rPr>
          <w:t>Siementen vastaavuus (kodifikaatio)</w:t>
        </w:r>
      </w:hyperlink>
      <w:r w:rsidR="0022426E">
        <w:rPr>
          <w:b/>
          <w:i/>
          <w:sz w:val="28"/>
        </w:rPr>
        <w:t xml:space="preserve"> </w:t>
      </w:r>
    </w:p>
    <w:p w14:paraId="12CF2731" w14:textId="77777777" w:rsidR="0022426E" w:rsidRPr="00801D9D" w:rsidRDefault="0022426E" w:rsidP="0022426E">
      <w:pPr>
        <w:widowControl w:val="0"/>
        <w:ind w:left="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22426E" w:rsidRPr="00A6689B" w14:paraId="11355EEC" w14:textId="77777777" w:rsidTr="00120118">
        <w:tc>
          <w:tcPr>
            <w:tcW w:w="1077" w:type="pct"/>
            <w:vMerge w:val="restart"/>
          </w:tcPr>
          <w:p w14:paraId="301F3980" w14:textId="77777777" w:rsidR="0022426E" w:rsidRPr="00A6689B" w:rsidRDefault="0022426E" w:rsidP="00120118">
            <w:pPr>
              <w:tabs>
                <w:tab w:val="center" w:pos="284"/>
              </w:tabs>
              <w:ind w:left="266" w:hanging="266"/>
              <w:rPr>
                <w:b/>
              </w:rPr>
            </w:pPr>
            <w:r>
              <w:rPr>
                <w:b/>
              </w:rPr>
              <w:t>Viiteasiakirja(t)</w:t>
            </w:r>
          </w:p>
        </w:tc>
        <w:tc>
          <w:tcPr>
            <w:tcW w:w="3923" w:type="pct"/>
          </w:tcPr>
          <w:p w14:paraId="5266886B" w14:textId="5B057AC0" w:rsidR="003464D1" w:rsidRDefault="004B6F2A" w:rsidP="00120118">
            <w:pPr>
              <w:tabs>
                <w:tab w:val="center" w:pos="284"/>
              </w:tabs>
              <w:ind w:left="266" w:right="-3091" w:hanging="266"/>
            </w:pPr>
            <w:r>
              <w:t xml:space="preserve">ryhmään </w:t>
            </w:r>
            <w:r w:rsidR="003464D1">
              <w:t>C</w:t>
            </w:r>
            <w:r>
              <w:t xml:space="preserve"> kuuluva</w:t>
            </w:r>
            <w:r w:rsidR="003464D1">
              <w:t xml:space="preserve"> lausunto</w:t>
            </w:r>
          </w:p>
          <w:p w14:paraId="38EDADE8" w14:textId="00583143" w:rsidR="0022426E" w:rsidRPr="00A6689B" w:rsidRDefault="0022426E" w:rsidP="00120118">
            <w:pPr>
              <w:tabs>
                <w:tab w:val="center" w:pos="284"/>
              </w:tabs>
              <w:ind w:left="266" w:right="-3091" w:hanging="266"/>
            </w:pPr>
            <w:r>
              <w:t xml:space="preserve">COM(2026) 128 </w:t>
            </w:r>
            <w:proofErr w:type="spellStart"/>
            <w:r>
              <w:t>final</w:t>
            </w:r>
            <w:proofErr w:type="spellEnd"/>
          </w:p>
        </w:tc>
      </w:tr>
      <w:tr w:rsidR="0022426E" w:rsidRPr="00A6689B" w14:paraId="6A8C95B6" w14:textId="77777777" w:rsidTr="00120118">
        <w:tc>
          <w:tcPr>
            <w:tcW w:w="1077" w:type="pct"/>
            <w:vMerge/>
          </w:tcPr>
          <w:p w14:paraId="47873BB5" w14:textId="77777777" w:rsidR="0022426E" w:rsidRPr="00A6689B" w:rsidRDefault="0022426E" w:rsidP="00120118">
            <w:pPr>
              <w:tabs>
                <w:tab w:val="center" w:pos="284"/>
              </w:tabs>
              <w:ind w:left="266" w:hanging="266"/>
              <w:rPr>
                <w:b/>
                <w:lang w:val="en-US"/>
              </w:rPr>
            </w:pPr>
          </w:p>
        </w:tc>
        <w:tc>
          <w:tcPr>
            <w:tcW w:w="3923" w:type="pct"/>
          </w:tcPr>
          <w:p w14:paraId="2A0A5C88" w14:textId="77777777" w:rsidR="0022426E" w:rsidRPr="00A6689B" w:rsidRDefault="0022426E" w:rsidP="00120118">
            <w:pPr>
              <w:tabs>
                <w:tab w:val="center" w:pos="284"/>
              </w:tabs>
              <w:ind w:left="266" w:right="-3091" w:hanging="266"/>
            </w:pPr>
            <w:r>
              <w:t>EESC-2026-01152-00-00-AC</w:t>
            </w:r>
          </w:p>
        </w:tc>
      </w:tr>
    </w:tbl>
    <w:p w14:paraId="2E584BD2" w14:textId="77777777" w:rsidR="0022426E" w:rsidRDefault="0022426E" w:rsidP="0022426E">
      <w:pPr>
        <w:tabs>
          <w:tab w:val="center" w:pos="284"/>
        </w:tabs>
        <w:ind w:left="266" w:hanging="266"/>
        <w:rPr>
          <w:b/>
        </w:rPr>
      </w:pPr>
    </w:p>
    <w:p w14:paraId="14CE55CA" w14:textId="77777777" w:rsidR="0022426E" w:rsidRDefault="0022426E" w:rsidP="0022426E">
      <w:pPr>
        <w:rPr>
          <w:bCs/>
          <w:iCs/>
        </w:rPr>
      </w:pPr>
      <w:r>
        <w:t>ETSK</w:t>
      </w:r>
    </w:p>
    <w:p w14:paraId="7235E941" w14:textId="14EC5FB0" w:rsidR="0022426E" w:rsidRPr="00364335" w:rsidRDefault="0022426E" w:rsidP="002B6ACC">
      <w:pPr>
        <w:widowControl w:val="0"/>
        <w:numPr>
          <w:ilvl w:val="0"/>
          <w:numId w:val="31"/>
        </w:numPr>
        <w:overflowPunct w:val="0"/>
        <w:autoSpaceDE w:val="0"/>
        <w:autoSpaceDN w:val="0"/>
        <w:adjustRightInd w:val="0"/>
        <w:ind w:left="426" w:hanging="426"/>
        <w:textAlignment w:val="baseline"/>
        <w:rPr>
          <w:bCs/>
          <w:iCs/>
        </w:rPr>
      </w:pPr>
      <w:r>
        <w:t>on jo käsitellyt aihetta 14. helmikuuta 2018 antamassaan lausunnossa EESC-2018-00043-00-00-AC-TRA</w:t>
      </w:r>
      <w:r>
        <w:rPr>
          <w:rStyle w:val="FootnoteReference"/>
        </w:rPr>
        <w:footnoteReference w:id="2"/>
      </w:r>
      <w:r>
        <w:t xml:space="preserve"> ja 18. syyskuuta 2020 antamassaan lausunnossa EESC-2020-02029-00-00-AC-TRA</w:t>
      </w:r>
      <w:r>
        <w:rPr>
          <w:rStyle w:val="FootnoteReference"/>
        </w:rPr>
        <w:footnoteReference w:id="3"/>
      </w:r>
      <w:r>
        <w:t>, ja päätti näin ollen, että se ei laadi aiheesta uutta lausuntoa vaan viittaa edellä mainituissa lausunnoissa ilmaisemaansa kantaan.</w:t>
      </w:r>
    </w:p>
    <w:p w14:paraId="1E9A0E81" w14:textId="77777777" w:rsidR="0022426E" w:rsidRPr="000624A9" w:rsidRDefault="0022426E" w:rsidP="0022426E">
      <w:pPr>
        <w:widowControl w:val="0"/>
        <w:ind w:left="709"/>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22426E" w:rsidRPr="00A6689B" w14:paraId="13A488A0" w14:textId="77777777" w:rsidTr="00120118">
        <w:tc>
          <w:tcPr>
            <w:tcW w:w="1078" w:type="pct"/>
          </w:tcPr>
          <w:p w14:paraId="172B3EF0" w14:textId="77777777" w:rsidR="0022426E" w:rsidRPr="00A6689B" w:rsidRDefault="0022426E" w:rsidP="00120118">
            <w:pPr>
              <w:rPr>
                <w:i/>
              </w:rPr>
            </w:pPr>
            <w:r>
              <w:rPr>
                <w:b/>
                <w:bCs/>
                <w:i/>
              </w:rPr>
              <w:t>Yhteydenotot</w:t>
            </w:r>
          </w:p>
        </w:tc>
        <w:tc>
          <w:tcPr>
            <w:tcW w:w="3922" w:type="pct"/>
          </w:tcPr>
          <w:p w14:paraId="711A2905" w14:textId="77777777" w:rsidR="0022426E" w:rsidRPr="00A6689B" w:rsidRDefault="0022426E" w:rsidP="00120118">
            <w:pPr>
              <w:rPr>
                <w:i/>
              </w:rPr>
            </w:pPr>
            <w:proofErr w:type="spellStart"/>
            <w:r>
              <w:rPr>
                <w:i/>
              </w:rPr>
              <w:t>Arturo</w:t>
            </w:r>
            <w:proofErr w:type="spellEnd"/>
            <w:r>
              <w:rPr>
                <w:i/>
              </w:rPr>
              <w:t xml:space="preserve"> </w:t>
            </w:r>
            <w:proofErr w:type="spellStart"/>
            <w:r>
              <w:rPr>
                <w:i/>
              </w:rPr>
              <w:t>Iniguez</w:t>
            </w:r>
            <w:proofErr w:type="spellEnd"/>
            <w:r>
              <w:rPr>
                <w:i/>
              </w:rPr>
              <w:t xml:space="preserve"> </w:t>
            </w:r>
            <w:proofErr w:type="spellStart"/>
            <w:r>
              <w:rPr>
                <w:i/>
              </w:rPr>
              <w:t>Yuste</w:t>
            </w:r>
            <w:proofErr w:type="spellEnd"/>
          </w:p>
        </w:tc>
      </w:tr>
      <w:tr w:rsidR="0022426E" w:rsidRPr="00A6689B" w14:paraId="36749FDA" w14:textId="77777777" w:rsidTr="00120118">
        <w:tc>
          <w:tcPr>
            <w:tcW w:w="1078" w:type="pct"/>
          </w:tcPr>
          <w:p w14:paraId="2A1A1381" w14:textId="77777777" w:rsidR="0022426E" w:rsidRPr="00A6689B" w:rsidRDefault="0022426E" w:rsidP="00120118">
            <w:pPr>
              <w:rPr>
                <w:i/>
              </w:rPr>
            </w:pPr>
            <w:r>
              <w:rPr>
                <w:i/>
              </w:rPr>
              <w:t>P.</w:t>
            </w:r>
          </w:p>
        </w:tc>
        <w:tc>
          <w:tcPr>
            <w:tcW w:w="3922" w:type="pct"/>
          </w:tcPr>
          <w:p w14:paraId="456B0A3D" w14:textId="77777777" w:rsidR="0022426E" w:rsidRPr="00A6689B" w:rsidRDefault="0022426E" w:rsidP="00120118">
            <w:pPr>
              <w:rPr>
                <w:i/>
              </w:rPr>
            </w:pPr>
            <w:r>
              <w:rPr>
                <w:i/>
              </w:rPr>
              <w:t>+32 25468768</w:t>
            </w:r>
          </w:p>
        </w:tc>
      </w:tr>
      <w:tr w:rsidR="0022426E" w:rsidRPr="00A6689B" w14:paraId="5CDBBB31" w14:textId="77777777" w:rsidTr="00120118">
        <w:tc>
          <w:tcPr>
            <w:tcW w:w="1078" w:type="pct"/>
          </w:tcPr>
          <w:p w14:paraId="332531EE" w14:textId="77777777" w:rsidR="0022426E" w:rsidRPr="00A6689B" w:rsidRDefault="0022426E" w:rsidP="00120118">
            <w:pPr>
              <w:rPr>
                <w:i/>
              </w:rPr>
            </w:pPr>
            <w:r>
              <w:rPr>
                <w:i/>
              </w:rPr>
              <w:t>Sähköposti</w:t>
            </w:r>
          </w:p>
        </w:tc>
        <w:tc>
          <w:tcPr>
            <w:tcW w:w="3922" w:type="pct"/>
          </w:tcPr>
          <w:p w14:paraId="34F95918" w14:textId="77777777" w:rsidR="0022426E" w:rsidRPr="00364335" w:rsidRDefault="003665FE" w:rsidP="00120118">
            <w:pPr>
              <w:rPr>
                <w:i/>
                <w:iCs/>
              </w:rPr>
            </w:pPr>
            <w:hyperlink r:id="rId59" w:history="1">
              <w:r w:rsidR="0022426E">
                <w:rPr>
                  <w:rStyle w:val="Hyperlink"/>
                  <w:i/>
                </w:rPr>
                <w:t>Arturo.Iniguez@eesc.europa.eu</w:t>
              </w:r>
            </w:hyperlink>
            <w:r w:rsidR="0022426E">
              <w:rPr>
                <w:i/>
              </w:rPr>
              <w:t xml:space="preserve"> </w:t>
            </w:r>
          </w:p>
        </w:tc>
      </w:tr>
    </w:tbl>
    <w:p w14:paraId="74A93FF5" w14:textId="77777777" w:rsidR="0022426E" w:rsidRPr="00ED55A4" w:rsidRDefault="0022426E" w:rsidP="0022426E">
      <w:pPr>
        <w:jc w:val="center"/>
      </w:pPr>
    </w:p>
    <w:p w14:paraId="144BDC5C" w14:textId="5215D450" w:rsidR="00766C5C" w:rsidRDefault="00766C5C">
      <w:pPr>
        <w:spacing w:after="160" w:line="259" w:lineRule="auto"/>
        <w:jc w:val="left"/>
      </w:pPr>
      <w:r>
        <w:br w:type="page"/>
      </w:r>
    </w:p>
    <w:p w14:paraId="19F11A34" w14:textId="4B85C737" w:rsidR="00766C5C" w:rsidRPr="007E4A83" w:rsidRDefault="003665FE" w:rsidP="00176078">
      <w:pPr>
        <w:widowControl w:val="0"/>
        <w:numPr>
          <w:ilvl w:val="0"/>
          <w:numId w:val="2"/>
        </w:numPr>
        <w:overflowPunct w:val="0"/>
        <w:autoSpaceDE w:val="0"/>
        <w:autoSpaceDN w:val="0"/>
        <w:adjustRightInd w:val="0"/>
        <w:ind w:hanging="567"/>
        <w:textAlignment w:val="baseline"/>
        <w:rPr>
          <w:b/>
          <w:sz w:val="28"/>
          <w:szCs w:val="28"/>
        </w:rPr>
      </w:pPr>
      <w:hyperlink r:id="rId60" w:history="1">
        <w:r w:rsidR="00766C5C">
          <w:rPr>
            <w:rStyle w:val="Hyperlink"/>
            <w:b/>
            <w:i/>
            <w:sz w:val="28"/>
          </w:rPr>
          <w:t>Markkinavakausvarannossa olevien päästöoikeuksien mitätöinti</w:t>
        </w:r>
      </w:hyperlink>
    </w:p>
    <w:p w14:paraId="5187045F" w14:textId="77777777" w:rsidR="00766C5C" w:rsidRPr="00801D9D" w:rsidRDefault="00766C5C" w:rsidP="007E4A83">
      <w:pPr>
        <w:widowControl w:val="0"/>
        <w:ind w:left="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766C5C" w:rsidRPr="00A6689B" w14:paraId="4FAB0393" w14:textId="77777777" w:rsidTr="00120118">
        <w:tc>
          <w:tcPr>
            <w:tcW w:w="1077" w:type="pct"/>
            <w:vMerge w:val="restart"/>
          </w:tcPr>
          <w:p w14:paraId="43BF954A" w14:textId="77777777" w:rsidR="00766C5C" w:rsidRPr="00A6689B" w:rsidRDefault="00766C5C" w:rsidP="00120118">
            <w:pPr>
              <w:tabs>
                <w:tab w:val="center" w:pos="284"/>
              </w:tabs>
              <w:ind w:left="266" w:hanging="266"/>
              <w:rPr>
                <w:b/>
              </w:rPr>
            </w:pPr>
            <w:r>
              <w:rPr>
                <w:b/>
              </w:rPr>
              <w:t>Viiteasiakirjat</w:t>
            </w:r>
          </w:p>
        </w:tc>
        <w:tc>
          <w:tcPr>
            <w:tcW w:w="3923" w:type="pct"/>
          </w:tcPr>
          <w:p w14:paraId="4F97AA3A" w14:textId="7F28725F" w:rsidR="003464D1" w:rsidRDefault="004B6F2A" w:rsidP="00120118">
            <w:pPr>
              <w:tabs>
                <w:tab w:val="center" w:pos="284"/>
              </w:tabs>
              <w:ind w:left="266" w:right="-3091" w:hanging="266"/>
            </w:pPr>
            <w:r>
              <w:t>ryhmään C kuuluva lausunto</w:t>
            </w:r>
          </w:p>
          <w:p w14:paraId="27CF1D7D" w14:textId="0BC64026" w:rsidR="00766C5C" w:rsidRPr="00A6689B" w:rsidRDefault="00766C5C" w:rsidP="00120118">
            <w:pPr>
              <w:tabs>
                <w:tab w:val="center" w:pos="284"/>
              </w:tabs>
              <w:ind w:left="266" w:right="-3091" w:hanging="266"/>
            </w:pPr>
            <w:r>
              <w:t xml:space="preserve">COM(2026) 153 </w:t>
            </w:r>
            <w:proofErr w:type="spellStart"/>
            <w:r>
              <w:t>final</w:t>
            </w:r>
            <w:proofErr w:type="spellEnd"/>
          </w:p>
        </w:tc>
      </w:tr>
      <w:tr w:rsidR="00766C5C" w:rsidRPr="00A6689B" w14:paraId="6CC74ABD" w14:textId="77777777" w:rsidTr="00120118">
        <w:tc>
          <w:tcPr>
            <w:tcW w:w="1077" w:type="pct"/>
            <w:vMerge/>
          </w:tcPr>
          <w:p w14:paraId="6EB4FCF6" w14:textId="77777777" w:rsidR="00766C5C" w:rsidRPr="00A6689B" w:rsidRDefault="00766C5C" w:rsidP="00120118">
            <w:pPr>
              <w:tabs>
                <w:tab w:val="center" w:pos="284"/>
              </w:tabs>
              <w:ind w:left="266" w:hanging="266"/>
              <w:rPr>
                <w:b/>
                <w:lang w:val="en-US"/>
              </w:rPr>
            </w:pPr>
          </w:p>
        </w:tc>
        <w:tc>
          <w:tcPr>
            <w:tcW w:w="3923" w:type="pct"/>
          </w:tcPr>
          <w:p w14:paraId="30594C0D" w14:textId="77777777" w:rsidR="00766C5C" w:rsidRPr="00A6689B" w:rsidRDefault="00766C5C" w:rsidP="00120118">
            <w:pPr>
              <w:tabs>
                <w:tab w:val="center" w:pos="284"/>
              </w:tabs>
              <w:ind w:left="266" w:right="-3091" w:hanging="266"/>
            </w:pPr>
            <w:r>
              <w:t>EESC-2026-01164-00-00-AC</w:t>
            </w:r>
          </w:p>
        </w:tc>
      </w:tr>
    </w:tbl>
    <w:p w14:paraId="348B2175" w14:textId="77777777" w:rsidR="00766C5C" w:rsidRDefault="00766C5C" w:rsidP="00766C5C">
      <w:pPr>
        <w:tabs>
          <w:tab w:val="center" w:pos="284"/>
        </w:tabs>
        <w:ind w:left="266" w:hanging="266"/>
        <w:rPr>
          <w:b/>
        </w:rPr>
      </w:pPr>
    </w:p>
    <w:p w14:paraId="3623C767" w14:textId="77777777" w:rsidR="00766C5C" w:rsidRDefault="00766C5C" w:rsidP="00766C5C">
      <w:pPr>
        <w:rPr>
          <w:bCs/>
          <w:iCs/>
        </w:rPr>
      </w:pPr>
      <w:r>
        <w:t>ETSK</w:t>
      </w:r>
    </w:p>
    <w:p w14:paraId="08CE80D6" w14:textId="77777777" w:rsidR="00766C5C" w:rsidRPr="00FA2105" w:rsidRDefault="00766C5C" w:rsidP="002B6ACC">
      <w:pPr>
        <w:widowControl w:val="0"/>
        <w:numPr>
          <w:ilvl w:val="0"/>
          <w:numId w:val="32"/>
        </w:numPr>
        <w:overflowPunct w:val="0"/>
        <w:autoSpaceDE w:val="0"/>
        <w:autoSpaceDN w:val="0"/>
        <w:adjustRightInd w:val="0"/>
        <w:ind w:left="426" w:hanging="426"/>
        <w:textAlignment w:val="baseline"/>
        <w:rPr>
          <w:bCs/>
          <w:iCs/>
        </w:rPr>
      </w:pPr>
      <w:r>
        <w:t>katsoo, että asiakirjan sisältö on täysin hyväksyttävä, ja se on jo käsitellyt aihetta 8.12.2021 antamassaan lausunnossa EESC-2021-03918-00-00-AC-TRA</w:t>
      </w:r>
      <w:r w:rsidRPr="002C0E5A">
        <w:rPr>
          <w:rStyle w:val="FootnoteReference"/>
        </w:rPr>
        <w:footnoteReference w:id="4"/>
      </w:r>
      <w:r>
        <w:t>, joten se päätti antaa esitetystä asiakirjasta myönteisen lausunnon ja viitata mainitussa lausunnossa ilmaisemaansa kantaan.</w:t>
      </w:r>
    </w:p>
    <w:p w14:paraId="014FC375" w14:textId="77777777" w:rsidR="00766C5C" w:rsidRPr="000624A9" w:rsidRDefault="00766C5C" w:rsidP="00766C5C">
      <w:pPr>
        <w:widowControl w:val="0"/>
        <w:ind w:left="709"/>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766C5C" w:rsidRPr="00A6689B" w14:paraId="30752952" w14:textId="77777777" w:rsidTr="00120118">
        <w:tc>
          <w:tcPr>
            <w:tcW w:w="1078" w:type="pct"/>
          </w:tcPr>
          <w:p w14:paraId="6C09FDD9" w14:textId="77777777" w:rsidR="00766C5C" w:rsidRPr="00A6689B" w:rsidRDefault="00766C5C" w:rsidP="00120118">
            <w:pPr>
              <w:rPr>
                <w:i/>
              </w:rPr>
            </w:pPr>
            <w:r>
              <w:rPr>
                <w:b/>
                <w:i/>
              </w:rPr>
              <w:t>Yhteydenotot</w:t>
            </w:r>
          </w:p>
        </w:tc>
        <w:tc>
          <w:tcPr>
            <w:tcW w:w="3922" w:type="pct"/>
          </w:tcPr>
          <w:p w14:paraId="565C5D53" w14:textId="4A428CD6" w:rsidR="00766C5C" w:rsidRPr="00A6689B" w:rsidRDefault="0064109F" w:rsidP="00120118">
            <w:pPr>
              <w:rPr>
                <w:i/>
              </w:rPr>
            </w:pPr>
            <w:proofErr w:type="spellStart"/>
            <w:r>
              <w:rPr>
                <w:i/>
              </w:rPr>
              <w:t>Gaizka</w:t>
            </w:r>
            <w:proofErr w:type="spellEnd"/>
            <w:r>
              <w:rPr>
                <w:i/>
              </w:rPr>
              <w:t xml:space="preserve"> </w:t>
            </w:r>
            <w:proofErr w:type="spellStart"/>
            <w:r>
              <w:rPr>
                <w:i/>
              </w:rPr>
              <w:t>Malo</w:t>
            </w:r>
            <w:proofErr w:type="spellEnd"/>
            <w:r>
              <w:rPr>
                <w:i/>
              </w:rPr>
              <w:t xml:space="preserve"> </w:t>
            </w:r>
            <w:proofErr w:type="spellStart"/>
            <w:r>
              <w:rPr>
                <w:i/>
              </w:rPr>
              <w:t>Elcoro-Iribe</w:t>
            </w:r>
            <w:proofErr w:type="spellEnd"/>
          </w:p>
        </w:tc>
      </w:tr>
      <w:tr w:rsidR="00766C5C" w:rsidRPr="00A6689B" w14:paraId="257C66FD" w14:textId="77777777" w:rsidTr="00120118">
        <w:tc>
          <w:tcPr>
            <w:tcW w:w="1078" w:type="pct"/>
          </w:tcPr>
          <w:p w14:paraId="19BF0569" w14:textId="77777777" w:rsidR="00766C5C" w:rsidRPr="00A6689B" w:rsidRDefault="00766C5C" w:rsidP="00120118">
            <w:pPr>
              <w:rPr>
                <w:i/>
              </w:rPr>
            </w:pPr>
            <w:r>
              <w:rPr>
                <w:i/>
              </w:rPr>
              <w:t>P.</w:t>
            </w:r>
          </w:p>
        </w:tc>
        <w:tc>
          <w:tcPr>
            <w:tcW w:w="3922" w:type="pct"/>
          </w:tcPr>
          <w:p w14:paraId="503F3FB8" w14:textId="77777777" w:rsidR="00766C5C" w:rsidRPr="00A6689B" w:rsidRDefault="00766C5C" w:rsidP="00120118">
            <w:pPr>
              <w:rPr>
                <w:i/>
              </w:rPr>
            </w:pPr>
            <w:r>
              <w:rPr>
                <w:i/>
              </w:rPr>
              <w:t>+32 25468526</w:t>
            </w:r>
          </w:p>
        </w:tc>
      </w:tr>
      <w:tr w:rsidR="00766C5C" w:rsidRPr="00A6689B" w14:paraId="12CDF115" w14:textId="77777777" w:rsidTr="00120118">
        <w:tc>
          <w:tcPr>
            <w:tcW w:w="1078" w:type="pct"/>
          </w:tcPr>
          <w:p w14:paraId="3087B607" w14:textId="77777777" w:rsidR="00766C5C" w:rsidRPr="00A6689B" w:rsidRDefault="00766C5C" w:rsidP="00120118">
            <w:pPr>
              <w:rPr>
                <w:i/>
              </w:rPr>
            </w:pPr>
            <w:r>
              <w:rPr>
                <w:i/>
              </w:rPr>
              <w:t>Sähköposti</w:t>
            </w:r>
          </w:p>
        </w:tc>
        <w:tc>
          <w:tcPr>
            <w:tcW w:w="3922" w:type="pct"/>
          </w:tcPr>
          <w:p w14:paraId="615EF445" w14:textId="77777777" w:rsidR="00766C5C" w:rsidRPr="00FA2105" w:rsidRDefault="003665FE" w:rsidP="00120118">
            <w:pPr>
              <w:rPr>
                <w:i/>
                <w:iCs/>
              </w:rPr>
            </w:pPr>
            <w:hyperlink r:id="rId61" w:history="1">
              <w:r w:rsidR="00766C5C">
                <w:rPr>
                  <w:rStyle w:val="Hyperlink"/>
                  <w:i/>
                </w:rPr>
                <w:t>Gaizka.Maloelcoro-iribe@eesc.europa.eu</w:t>
              </w:r>
            </w:hyperlink>
            <w:r w:rsidR="00766C5C">
              <w:rPr>
                <w:i/>
              </w:rPr>
              <w:t xml:space="preserve"> </w:t>
            </w:r>
          </w:p>
        </w:tc>
      </w:tr>
    </w:tbl>
    <w:p w14:paraId="01A66955" w14:textId="77777777" w:rsidR="00766C5C" w:rsidRPr="00A74692" w:rsidRDefault="00766C5C" w:rsidP="00766C5C">
      <w:pPr>
        <w:jc w:val="center"/>
        <w:rPr>
          <w:lang w:val="en-US"/>
        </w:rPr>
      </w:pPr>
    </w:p>
    <w:p w14:paraId="2A7ED0B7" w14:textId="77777777" w:rsidR="007F5784" w:rsidRDefault="007F5784">
      <w:pPr>
        <w:spacing w:after="160" w:line="259" w:lineRule="auto"/>
        <w:jc w:val="left"/>
      </w:pPr>
    </w:p>
    <w:p w14:paraId="715DB2BD" w14:textId="77777777" w:rsidR="007F5784" w:rsidRDefault="007F5784">
      <w:pPr>
        <w:spacing w:after="160" w:line="259" w:lineRule="auto"/>
        <w:jc w:val="left"/>
      </w:pPr>
      <w:r>
        <w:br w:type="page"/>
      </w:r>
    </w:p>
    <w:p w14:paraId="14026A78" w14:textId="4FAE1588" w:rsidR="007F5784" w:rsidRDefault="007F5784" w:rsidP="007E4A83">
      <w:pPr>
        <w:pStyle w:val="Heading1"/>
        <w:spacing w:line="240" w:lineRule="auto"/>
        <w:rPr>
          <w:b/>
        </w:rPr>
      </w:pPr>
      <w:bookmarkStart w:id="55" w:name="_Toc229383182"/>
      <w:r>
        <w:rPr>
          <w:b/>
        </w:rPr>
        <w:lastRenderedPageBreak/>
        <w:t>ULKOSUHTEET</w:t>
      </w:r>
      <w:bookmarkEnd w:id="55"/>
    </w:p>
    <w:p w14:paraId="3BBB3E68" w14:textId="26AA492A" w:rsidR="007F5784" w:rsidRPr="007E4A83" w:rsidRDefault="007F5784" w:rsidP="007E4A83">
      <w:pPr>
        <w:spacing w:line="240" w:lineRule="auto"/>
        <w:rPr>
          <w:sz w:val="18"/>
          <w:szCs w:val="18"/>
        </w:rPr>
      </w:pPr>
    </w:p>
    <w:p w14:paraId="2AF46275" w14:textId="4E7480A9" w:rsidR="00766C5C" w:rsidRPr="0064109F" w:rsidRDefault="003665FE" w:rsidP="002B6ACC">
      <w:pPr>
        <w:widowControl w:val="0"/>
        <w:numPr>
          <w:ilvl w:val="0"/>
          <w:numId w:val="2"/>
        </w:numPr>
        <w:overflowPunct w:val="0"/>
        <w:autoSpaceDE w:val="0"/>
        <w:autoSpaceDN w:val="0"/>
        <w:adjustRightInd w:val="0"/>
        <w:ind w:hanging="567"/>
        <w:textAlignment w:val="baseline"/>
        <w:rPr>
          <w:b/>
          <w:bCs/>
          <w:i/>
          <w:iCs/>
          <w:sz w:val="28"/>
          <w:szCs w:val="28"/>
        </w:rPr>
      </w:pPr>
      <w:hyperlink r:id="rId62" w:history="1">
        <w:r w:rsidR="00766C5C" w:rsidRPr="0064109F">
          <w:rPr>
            <w:rStyle w:val="Hyperlink"/>
            <w:b/>
            <w:i/>
            <w:sz w:val="28"/>
            <w:szCs w:val="28"/>
          </w:rPr>
          <w:t>Kansalaisyhteiskunnan rooli Länsi-Balkanin ja Moldovan kasvusuunnitelmien mukaisten uudistusten tukemisessa sekä Ukrainan uudistusten edistämisessä</w:t>
        </w:r>
      </w:hyperlink>
    </w:p>
    <w:p w14:paraId="7C71FDD7" w14:textId="77777777" w:rsidR="00766C5C" w:rsidRPr="007E4A83" w:rsidRDefault="00766C5C" w:rsidP="007E4A83">
      <w:pPr>
        <w:tabs>
          <w:tab w:val="center" w:pos="284"/>
        </w:tabs>
        <w:spacing w:line="240" w:lineRule="auto"/>
        <w:ind w:left="266" w:hanging="266"/>
        <w:rPr>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7353"/>
      </w:tblGrid>
      <w:tr w:rsidR="00766C5C" w:rsidRPr="00A6689B" w14:paraId="300FED1E" w14:textId="77777777" w:rsidTr="0064109F">
        <w:tc>
          <w:tcPr>
            <w:tcW w:w="1719" w:type="dxa"/>
          </w:tcPr>
          <w:p w14:paraId="3C240B0E" w14:textId="77777777" w:rsidR="00766C5C" w:rsidRPr="00A6689B" w:rsidRDefault="00766C5C" w:rsidP="0064109F">
            <w:pPr>
              <w:tabs>
                <w:tab w:val="center" w:pos="284"/>
              </w:tabs>
              <w:ind w:left="266" w:hanging="266"/>
              <w:rPr>
                <w:b/>
              </w:rPr>
            </w:pPr>
            <w:r>
              <w:rPr>
                <w:b/>
              </w:rPr>
              <w:t>Esittelijä</w:t>
            </w:r>
          </w:p>
        </w:tc>
        <w:tc>
          <w:tcPr>
            <w:tcW w:w="7353" w:type="dxa"/>
          </w:tcPr>
          <w:p w14:paraId="4DC8EBEE" w14:textId="77777777" w:rsidR="00766C5C" w:rsidRPr="00A6689B" w:rsidRDefault="00766C5C" w:rsidP="0064109F">
            <w:pPr>
              <w:tabs>
                <w:tab w:val="center" w:pos="284"/>
              </w:tabs>
              <w:ind w:left="266" w:hanging="266"/>
            </w:pPr>
            <w:r>
              <w:t>Oleg ROIBU (työnantajat – RO)</w:t>
            </w:r>
          </w:p>
        </w:tc>
      </w:tr>
      <w:tr w:rsidR="00766C5C" w:rsidRPr="00A6689B" w14:paraId="5494DEAA" w14:textId="77777777" w:rsidTr="0064109F">
        <w:tc>
          <w:tcPr>
            <w:tcW w:w="1719" w:type="dxa"/>
          </w:tcPr>
          <w:p w14:paraId="6E0861B3" w14:textId="77777777" w:rsidR="00766C5C" w:rsidRPr="00A6689B" w:rsidRDefault="00766C5C" w:rsidP="0064109F">
            <w:pPr>
              <w:tabs>
                <w:tab w:val="center" w:pos="284"/>
              </w:tabs>
              <w:ind w:left="266" w:hanging="266"/>
              <w:rPr>
                <w:b/>
              </w:rPr>
            </w:pPr>
            <w:r>
              <w:rPr>
                <w:b/>
              </w:rPr>
              <w:t>Yhteisesittelijä</w:t>
            </w:r>
          </w:p>
        </w:tc>
        <w:tc>
          <w:tcPr>
            <w:tcW w:w="7353" w:type="dxa"/>
          </w:tcPr>
          <w:p w14:paraId="6DAD4286" w14:textId="77777777" w:rsidR="00766C5C" w:rsidRDefault="00766C5C" w:rsidP="0064109F">
            <w:pPr>
              <w:tabs>
                <w:tab w:val="center" w:pos="284"/>
              </w:tabs>
              <w:ind w:left="266" w:hanging="266"/>
            </w:pPr>
            <w:proofErr w:type="spellStart"/>
            <w:r>
              <w:t>Andrej</w:t>
            </w:r>
            <w:proofErr w:type="spellEnd"/>
            <w:r>
              <w:t xml:space="preserve"> ZORKO (työntekijät – SI)</w:t>
            </w:r>
          </w:p>
          <w:p w14:paraId="52990D02" w14:textId="6BEC9216" w:rsidR="00AD5C40" w:rsidRPr="007E4A83" w:rsidRDefault="00AD5C40" w:rsidP="007E4A83">
            <w:pPr>
              <w:tabs>
                <w:tab w:val="center" w:pos="284"/>
              </w:tabs>
              <w:spacing w:line="240" w:lineRule="auto"/>
              <w:ind w:left="266" w:hanging="266"/>
              <w:rPr>
                <w:sz w:val="20"/>
                <w:szCs w:val="20"/>
              </w:rPr>
            </w:pPr>
          </w:p>
        </w:tc>
      </w:tr>
      <w:tr w:rsidR="00766C5C" w:rsidRPr="00A6689B" w14:paraId="4E66B141" w14:textId="77777777" w:rsidTr="0064109F">
        <w:tc>
          <w:tcPr>
            <w:tcW w:w="1719" w:type="dxa"/>
          </w:tcPr>
          <w:p w14:paraId="34AE1F13" w14:textId="77777777" w:rsidR="00766C5C" w:rsidRPr="00A6689B" w:rsidRDefault="00766C5C" w:rsidP="0064109F">
            <w:pPr>
              <w:tabs>
                <w:tab w:val="center" w:pos="284"/>
              </w:tabs>
              <w:ind w:left="266" w:hanging="266"/>
              <w:rPr>
                <w:b/>
              </w:rPr>
            </w:pPr>
            <w:r>
              <w:rPr>
                <w:b/>
              </w:rPr>
              <w:t>Viiteasiakirja(t)</w:t>
            </w:r>
          </w:p>
        </w:tc>
        <w:tc>
          <w:tcPr>
            <w:tcW w:w="7353" w:type="dxa"/>
          </w:tcPr>
          <w:p w14:paraId="243079B8" w14:textId="77777777" w:rsidR="0064109F" w:rsidRDefault="0064109F" w:rsidP="0064109F">
            <w:pPr>
              <w:tabs>
                <w:tab w:val="center" w:pos="284"/>
              </w:tabs>
              <w:ind w:left="266" w:hanging="266"/>
              <w:rPr>
                <w:bCs/>
              </w:rPr>
            </w:pPr>
            <w:r w:rsidRPr="00DB6C97">
              <w:rPr>
                <w:bCs/>
              </w:rPr>
              <w:t>puheenjohtajavaltio Kyproksen pyytämä valmisteleva lausunto</w:t>
            </w:r>
          </w:p>
          <w:p w14:paraId="16EAF286" w14:textId="4001E810" w:rsidR="00766C5C" w:rsidRPr="00A6689B" w:rsidRDefault="00766C5C" w:rsidP="0064109F">
            <w:pPr>
              <w:tabs>
                <w:tab w:val="center" w:pos="284"/>
              </w:tabs>
              <w:ind w:left="266" w:hanging="266"/>
            </w:pPr>
            <w:r>
              <w:t>EESC-2026-00143-00-00-AC</w:t>
            </w:r>
          </w:p>
        </w:tc>
      </w:tr>
    </w:tbl>
    <w:p w14:paraId="73EAD13A" w14:textId="77777777" w:rsidR="00AD5C40" w:rsidRPr="007E4A83" w:rsidRDefault="00AD5C40" w:rsidP="007E4A83">
      <w:pPr>
        <w:keepNext/>
        <w:keepLines/>
        <w:tabs>
          <w:tab w:val="center" w:pos="284"/>
        </w:tabs>
        <w:spacing w:line="240" w:lineRule="auto"/>
        <w:ind w:left="266" w:hanging="266"/>
        <w:rPr>
          <w:b/>
          <w:sz w:val="18"/>
          <w:szCs w:val="18"/>
        </w:rPr>
      </w:pPr>
    </w:p>
    <w:p w14:paraId="3D4FC0ED" w14:textId="251363DD" w:rsidR="00766C5C" w:rsidRDefault="00766C5C" w:rsidP="007E4A83">
      <w:pPr>
        <w:keepNext/>
        <w:keepLines/>
        <w:tabs>
          <w:tab w:val="center" w:pos="284"/>
        </w:tabs>
        <w:spacing w:line="240" w:lineRule="auto"/>
        <w:ind w:left="266" w:hanging="266"/>
        <w:rPr>
          <w:b/>
        </w:rPr>
      </w:pPr>
      <w:r>
        <w:rPr>
          <w:b/>
        </w:rPr>
        <w:t xml:space="preserve">Keskeiset kohdat </w:t>
      </w:r>
    </w:p>
    <w:p w14:paraId="37A92129" w14:textId="77777777" w:rsidR="00766C5C" w:rsidRPr="007E4A83" w:rsidRDefault="00766C5C" w:rsidP="007E4A83">
      <w:pPr>
        <w:keepNext/>
        <w:keepLines/>
        <w:tabs>
          <w:tab w:val="center" w:pos="284"/>
        </w:tabs>
        <w:spacing w:line="240" w:lineRule="auto"/>
        <w:ind w:left="266" w:hanging="266"/>
        <w:rPr>
          <w:b/>
          <w:sz w:val="18"/>
          <w:szCs w:val="18"/>
        </w:rPr>
      </w:pPr>
    </w:p>
    <w:p w14:paraId="6E69EC4C" w14:textId="77777777" w:rsidR="00766C5C" w:rsidRPr="00A6689B" w:rsidRDefault="00766C5C" w:rsidP="0064109F">
      <w:pPr>
        <w:rPr>
          <w:bCs/>
          <w:iCs/>
        </w:rPr>
      </w:pPr>
      <w:r>
        <w:t>ETSK</w:t>
      </w:r>
    </w:p>
    <w:p w14:paraId="709B079B" w14:textId="77777777" w:rsidR="00766C5C" w:rsidRDefault="00766C5C" w:rsidP="002B6ACC">
      <w:pPr>
        <w:widowControl w:val="0"/>
        <w:numPr>
          <w:ilvl w:val="0"/>
          <w:numId w:val="33"/>
        </w:numPr>
        <w:overflowPunct w:val="0"/>
        <w:autoSpaceDE w:val="0"/>
        <w:autoSpaceDN w:val="0"/>
        <w:adjustRightInd w:val="0"/>
        <w:ind w:left="426" w:hanging="426"/>
        <w:textAlignment w:val="baseline"/>
        <w:rPr>
          <w:bCs/>
          <w:iCs/>
        </w:rPr>
      </w:pPr>
      <w:r>
        <w:t xml:space="preserve">korostaa, että kaikissa Länsi-Balkania, Ukrainaa ja Moldovaa koskevissa kolmessa tukivälineessä on </w:t>
      </w:r>
      <w:r>
        <w:rPr>
          <w:b/>
        </w:rPr>
        <w:t>aktiivisesti edistettävä kansalaisyhteiskunnan osallistumista</w:t>
      </w:r>
      <w:r>
        <w:t xml:space="preserve"> rakenteellisena edellytyksenä, jolla tuetaan </w:t>
      </w:r>
      <w:r>
        <w:rPr>
          <w:b/>
        </w:rPr>
        <w:t>laajentumisprosessin kestävyyttä</w:t>
      </w:r>
      <w:r>
        <w:t>.</w:t>
      </w:r>
    </w:p>
    <w:p w14:paraId="067FCA03" w14:textId="77777777" w:rsidR="00766C5C" w:rsidRPr="00A6689B" w:rsidRDefault="00766C5C" w:rsidP="002B6ACC">
      <w:pPr>
        <w:widowControl w:val="0"/>
        <w:numPr>
          <w:ilvl w:val="0"/>
          <w:numId w:val="33"/>
        </w:numPr>
        <w:overflowPunct w:val="0"/>
        <w:autoSpaceDE w:val="0"/>
        <w:autoSpaceDN w:val="0"/>
        <w:adjustRightInd w:val="0"/>
        <w:ind w:left="426" w:hanging="426"/>
        <w:textAlignment w:val="baseline"/>
        <w:rPr>
          <w:bCs/>
          <w:iCs/>
        </w:rPr>
      </w:pPr>
      <w:r>
        <w:t xml:space="preserve">painottaa, että kansalaisyhteiskunnan sitoutumisen kolmesta tukivälineestä tuettuihin uudistuksiin olisi perustuttava </w:t>
      </w:r>
      <w:r>
        <w:rPr>
          <w:b/>
        </w:rPr>
        <w:t>työmarkkinaosapuolten ja kansalaisyhteiskunnan organisaatioiden pysyvään, aktiiviseen, jäsenneltyyn ja virallisesti institutionaaliseen rooliin</w:t>
      </w:r>
      <w:r>
        <w:t xml:space="preserve"> kansallisten viranomaisten rinnalla.</w:t>
      </w:r>
    </w:p>
    <w:p w14:paraId="6F757C93" w14:textId="77777777" w:rsidR="00766C5C" w:rsidRPr="004A258E" w:rsidRDefault="00766C5C" w:rsidP="002B6ACC">
      <w:pPr>
        <w:widowControl w:val="0"/>
        <w:numPr>
          <w:ilvl w:val="0"/>
          <w:numId w:val="33"/>
        </w:numPr>
        <w:overflowPunct w:val="0"/>
        <w:autoSpaceDE w:val="0"/>
        <w:autoSpaceDN w:val="0"/>
        <w:adjustRightInd w:val="0"/>
        <w:ind w:left="426" w:hanging="426"/>
        <w:textAlignment w:val="baseline"/>
        <w:rPr>
          <w:bCs/>
          <w:iCs/>
        </w:rPr>
      </w:pPr>
      <w:r>
        <w:t xml:space="preserve">tähdentää, että </w:t>
      </w:r>
      <w:r>
        <w:rPr>
          <w:b/>
        </w:rPr>
        <w:t>rahoituksella olisi aktiivisesti edistettävä maiden valmistautumista EU:n jäsenyyteen</w:t>
      </w:r>
      <w:r>
        <w:t xml:space="preserve"> eurooppalaisen sosiaalisen ja taloudellisen mallin mukaisesti, eikä sen pitäisi rajoittua sisämarkkinoihin yhdentymisen tukemiseen.</w:t>
      </w:r>
    </w:p>
    <w:p w14:paraId="0939090B" w14:textId="77777777" w:rsidR="00766C5C" w:rsidRPr="00191BFA" w:rsidRDefault="00766C5C" w:rsidP="002B6ACC">
      <w:pPr>
        <w:widowControl w:val="0"/>
        <w:numPr>
          <w:ilvl w:val="0"/>
          <w:numId w:val="33"/>
        </w:numPr>
        <w:overflowPunct w:val="0"/>
        <w:autoSpaceDE w:val="0"/>
        <w:autoSpaceDN w:val="0"/>
        <w:adjustRightInd w:val="0"/>
        <w:ind w:left="426" w:hanging="426"/>
        <w:textAlignment w:val="baseline"/>
      </w:pPr>
      <w:r>
        <w:t xml:space="preserve">korostaa, että </w:t>
      </w:r>
      <w:r>
        <w:rPr>
          <w:b/>
        </w:rPr>
        <w:t>määräajat eivät saa vaikuttaa haitallisesti demokraattisiin menettelyihin, julkiseen keskusteluun, pakollisiin kuulemisiin tai vuoropuheluun</w:t>
      </w:r>
      <w:r>
        <w:t xml:space="preserve"> työmarkkinaosapuolten ja kansalaisyhteiskunnan järjestöjen kanssa, eikä niillä pitäisi myöskään perustella kiireellisiä nopeutettuja sääntelymenettelyjä, joissa ohitetaan työmarkkinaosapuolet ja kansalaisyhteiskunnan organisaatiot.</w:t>
      </w:r>
    </w:p>
    <w:p w14:paraId="6C1CA55D" w14:textId="77777777" w:rsidR="00766C5C" w:rsidRPr="00963544" w:rsidRDefault="00766C5C" w:rsidP="002B6ACC">
      <w:pPr>
        <w:widowControl w:val="0"/>
        <w:numPr>
          <w:ilvl w:val="0"/>
          <w:numId w:val="33"/>
        </w:numPr>
        <w:overflowPunct w:val="0"/>
        <w:autoSpaceDE w:val="0"/>
        <w:autoSpaceDN w:val="0"/>
        <w:adjustRightInd w:val="0"/>
        <w:ind w:left="426" w:hanging="426"/>
        <w:textAlignment w:val="baseline"/>
        <w:rPr>
          <w:bCs/>
          <w:iCs/>
        </w:rPr>
      </w:pPr>
      <w:r>
        <w:t xml:space="preserve">katsoo, että hallitusten olisi luotava </w:t>
      </w:r>
      <w:r>
        <w:rPr>
          <w:b/>
        </w:rPr>
        <w:t>jäsennelty kehys työmarkkinaosapuolten väliselle vuoropuhelulle</w:t>
      </w:r>
      <w:r>
        <w:t xml:space="preserve">, jolla varmistetaan työnantajia, työntekijöitä ja kansalaisyhteiskuntaa kansallisesti edustavien ja jäsenmäärältään riittävän suurten organisaatioiden osallistuminen. Samalla olisi </w:t>
      </w:r>
      <w:r>
        <w:rPr>
          <w:b/>
        </w:rPr>
        <w:t>kunnioitettava työmarkkinaosapuolten erityistä roolia ja riippumattomuutta</w:t>
      </w:r>
      <w:r>
        <w:t>.</w:t>
      </w:r>
    </w:p>
    <w:p w14:paraId="2200CDBC" w14:textId="77777777" w:rsidR="00766C5C" w:rsidRPr="00963544" w:rsidRDefault="00766C5C" w:rsidP="002B6ACC">
      <w:pPr>
        <w:widowControl w:val="0"/>
        <w:numPr>
          <w:ilvl w:val="0"/>
          <w:numId w:val="33"/>
        </w:numPr>
        <w:overflowPunct w:val="0"/>
        <w:autoSpaceDE w:val="0"/>
        <w:autoSpaceDN w:val="0"/>
        <w:adjustRightInd w:val="0"/>
        <w:ind w:left="426" w:hanging="426"/>
        <w:textAlignment w:val="baseline"/>
        <w:rPr>
          <w:bCs/>
          <w:iCs/>
        </w:rPr>
      </w:pPr>
      <w:r>
        <w:t>suosittelee, että Euroopan komissio antaa selkeät julkiset ohjeet, jotka koskevat</w:t>
      </w:r>
      <w:r>
        <w:rPr>
          <w:b/>
        </w:rPr>
        <w:t xml:space="preserve"> uudistusohjelmien täytäntöönpanoindikaattorien</w:t>
      </w:r>
      <w:r>
        <w:t xml:space="preserve"> täysimittaisen ja osittaisen </w:t>
      </w:r>
      <w:r>
        <w:rPr>
          <w:b/>
        </w:rPr>
        <w:t>saavuttamisen</w:t>
      </w:r>
      <w:r>
        <w:t xml:space="preserve"> arvioimista (esimerkiksi todentamisnormeja) ja tapauksia, joissa aiemmin täyttyneet ehdot eivät enää täyty.</w:t>
      </w:r>
    </w:p>
    <w:p w14:paraId="13E15CF9" w14:textId="77777777" w:rsidR="00766C5C" w:rsidRPr="00115AD5" w:rsidRDefault="00766C5C" w:rsidP="002B6ACC">
      <w:pPr>
        <w:widowControl w:val="0"/>
        <w:numPr>
          <w:ilvl w:val="0"/>
          <w:numId w:val="33"/>
        </w:numPr>
        <w:overflowPunct w:val="0"/>
        <w:autoSpaceDE w:val="0"/>
        <w:autoSpaceDN w:val="0"/>
        <w:adjustRightInd w:val="0"/>
        <w:ind w:left="426" w:hanging="426"/>
        <w:textAlignment w:val="baseline"/>
        <w:rPr>
          <w:bCs/>
          <w:iCs/>
        </w:rPr>
      </w:pPr>
      <w:r>
        <w:t xml:space="preserve">kehottaa varmistamaan </w:t>
      </w:r>
      <w:r>
        <w:rPr>
          <w:b/>
        </w:rPr>
        <w:t>kansalaisyhteiskunnan organisaatioille ja työmarkkinaosapuolille</w:t>
      </w:r>
      <w:r>
        <w:t xml:space="preserve"> räätälöidyn, kestävän ja ennakoitavissa olevan </w:t>
      </w:r>
      <w:r>
        <w:rPr>
          <w:b/>
        </w:rPr>
        <w:t>taloudellisen tuen monivuotisten ja avoimien rahoitusmekanismien</w:t>
      </w:r>
      <w:r>
        <w:t xml:space="preserve"> avulla.</w:t>
      </w:r>
    </w:p>
    <w:p w14:paraId="47B86E5C" w14:textId="77777777" w:rsidR="00766C5C" w:rsidRPr="00533DFE" w:rsidRDefault="00766C5C" w:rsidP="002B6ACC">
      <w:pPr>
        <w:widowControl w:val="0"/>
        <w:numPr>
          <w:ilvl w:val="0"/>
          <w:numId w:val="33"/>
        </w:numPr>
        <w:overflowPunct w:val="0"/>
        <w:autoSpaceDE w:val="0"/>
        <w:autoSpaceDN w:val="0"/>
        <w:adjustRightInd w:val="0"/>
        <w:ind w:left="426" w:hanging="426"/>
        <w:textAlignment w:val="baseline"/>
        <w:rPr>
          <w:bCs/>
          <w:iCs/>
        </w:rPr>
      </w:pPr>
      <w:r>
        <w:t xml:space="preserve">kehottaa Euroopan komissiota </w:t>
      </w:r>
      <w:r>
        <w:rPr>
          <w:b/>
        </w:rPr>
        <w:t>hyödyntämään</w:t>
      </w:r>
      <w:r>
        <w:t xml:space="preserve"> nykyisten tukivälineiden hallinto- ja täytäntöönpanokehysten </w:t>
      </w:r>
      <w:r>
        <w:rPr>
          <w:b/>
        </w:rPr>
        <w:t>väliarviointeja</w:t>
      </w:r>
      <w:r>
        <w:t xml:space="preserve"> ja </w:t>
      </w:r>
      <w:r>
        <w:rPr>
          <w:b/>
        </w:rPr>
        <w:t>parantamaan edelleen EU:n nykyisten ja tulevien tulosperusteisten laajentumisvälineiden täytäntöönpanoa</w:t>
      </w:r>
      <w:r>
        <w:t>.</w:t>
      </w:r>
    </w:p>
    <w:p w14:paraId="096E9837" w14:textId="77777777" w:rsidR="00766C5C" w:rsidRPr="007E4A83" w:rsidRDefault="00766C5C" w:rsidP="007E4A83">
      <w:pPr>
        <w:widowControl w:val="0"/>
        <w:spacing w:line="240" w:lineRule="auto"/>
        <w:ind w:left="709"/>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766C5C" w:rsidRPr="00A6689B" w14:paraId="351F2F25" w14:textId="77777777" w:rsidTr="00120118">
        <w:tc>
          <w:tcPr>
            <w:tcW w:w="1418" w:type="dxa"/>
          </w:tcPr>
          <w:p w14:paraId="72D232D2" w14:textId="77777777" w:rsidR="00766C5C" w:rsidRPr="00A6689B" w:rsidRDefault="00766C5C" w:rsidP="0064109F">
            <w:pPr>
              <w:rPr>
                <w:i/>
              </w:rPr>
            </w:pPr>
            <w:r>
              <w:rPr>
                <w:b/>
                <w:bCs/>
                <w:i/>
              </w:rPr>
              <w:t>Yhteydenotot</w:t>
            </w:r>
          </w:p>
        </w:tc>
        <w:tc>
          <w:tcPr>
            <w:tcW w:w="5670" w:type="dxa"/>
          </w:tcPr>
          <w:p w14:paraId="04F48F04" w14:textId="77777777" w:rsidR="00766C5C" w:rsidRPr="00A6689B" w:rsidRDefault="00766C5C" w:rsidP="0064109F">
            <w:pPr>
              <w:rPr>
                <w:i/>
              </w:rPr>
            </w:pPr>
            <w:r>
              <w:rPr>
                <w:i/>
              </w:rPr>
              <w:t xml:space="preserve">David </w:t>
            </w:r>
            <w:proofErr w:type="spellStart"/>
            <w:r>
              <w:rPr>
                <w:i/>
              </w:rPr>
              <w:t>Hoić</w:t>
            </w:r>
            <w:proofErr w:type="spellEnd"/>
          </w:p>
        </w:tc>
      </w:tr>
      <w:tr w:rsidR="00766C5C" w:rsidRPr="00A6689B" w14:paraId="401F3DD4" w14:textId="77777777" w:rsidTr="00120118">
        <w:tc>
          <w:tcPr>
            <w:tcW w:w="1418" w:type="dxa"/>
          </w:tcPr>
          <w:p w14:paraId="08607C1B" w14:textId="77777777" w:rsidR="00766C5C" w:rsidRPr="00A6689B" w:rsidRDefault="00766C5C" w:rsidP="0064109F">
            <w:pPr>
              <w:rPr>
                <w:i/>
              </w:rPr>
            </w:pPr>
            <w:r>
              <w:rPr>
                <w:i/>
              </w:rPr>
              <w:t>P.</w:t>
            </w:r>
          </w:p>
        </w:tc>
        <w:tc>
          <w:tcPr>
            <w:tcW w:w="5670" w:type="dxa"/>
          </w:tcPr>
          <w:p w14:paraId="7885CD3B" w14:textId="77777777" w:rsidR="00766C5C" w:rsidRPr="00A6689B" w:rsidRDefault="00766C5C" w:rsidP="0064109F">
            <w:pPr>
              <w:rPr>
                <w:i/>
              </w:rPr>
            </w:pPr>
            <w:r>
              <w:rPr>
                <w:i/>
              </w:rPr>
              <w:t>+32 25469069</w:t>
            </w:r>
          </w:p>
        </w:tc>
      </w:tr>
      <w:tr w:rsidR="00766C5C" w:rsidRPr="00A6689B" w14:paraId="6C4F83E3" w14:textId="77777777" w:rsidTr="00120118">
        <w:tc>
          <w:tcPr>
            <w:tcW w:w="1418" w:type="dxa"/>
          </w:tcPr>
          <w:p w14:paraId="0993CF5A" w14:textId="77777777" w:rsidR="00766C5C" w:rsidRPr="00A6689B" w:rsidRDefault="00766C5C" w:rsidP="0064109F">
            <w:pPr>
              <w:rPr>
                <w:i/>
              </w:rPr>
            </w:pPr>
            <w:r>
              <w:rPr>
                <w:i/>
              </w:rPr>
              <w:t>Sähköposti</w:t>
            </w:r>
          </w:p>
        </w:tc>
        <w:tc>
          <w:tcPr>
            <w:tcW w:w="5670" w:type="dxa"/>
          </w:tcPr>
          <w:p w14:paraId="0686614D" w14:textId="77777777" w:rsidR="00766C5C" w:rsidRPr="00A6689B" w:rsidRDefault="003665FE" w:rsidP="0064109F">
            <w:pPr>
              <w:rPr>
                <w:i/>
              </w:rPr>
            </w:pPr>
            <w:hyperlink r:id="rId63" w:history="1">
              <w:r w:rsidR="00766C5C">
                <w:rPr>
                  <w:rStyle w:val="Hyperlink"/>
                  <w:i/>
                </w:rPr>
                <w:t>David.Hoic@eesc.europa.eu</w:t>
              </w:r>
            </w:hyperlink>
            <w:r w:rsidR="00766C5C">
              <w:rPr>
                <w:i/>
              </w:rPr>
              <w:t xml:space="preserve"> </w:t>
            </w:r>
          </w:p>
        </w:tc>
      </w:tr>
    </w:tbl>
    <w:p w14:paraId="1EADD81C" w14:textId="67C63AE2" w:rsidR="00766C5C" w:rsidRPr="007E4A83" w:rsidRDefault="003665FE" w:rsidP="00176078">
      <w:pPr>
        <w:keepNext/>
        <w:keepLines/>
        <w:widowControl w:val="0"/>
        <w:numPr>
          <w:ilvl w:val="0"/>
          <w:numId w:val="2"/>
        </w:numPr>
        <w:overflowPunct w:val="0"/>
        <w:autoSpaceDE w:val="0"/>
        <w:autoSpaceDN w:val="0"/>
        <w:adjustRightInd w:val="0"/>
        <w:ind w:hanging="567"/>
        <w:textAlignment w:val="baseline"/>
        <w:rPr>
          <w:sz w:val="28"/>
          <w:szCs w:val="28"/>
        </w:rPr>
      </w:pPr>
      <w:hyperlink r:id="rId64" w:history="1">
        <w:r w:rsidR="00766C5C">
          <w:rPr>
            <w:rStyle w:val="Hyperlink"/>
            <w:b/>
            <w:i/>
            <w:sz w:val="28"/>
          </w:rPr>
          <w:t>Yksityisen sektorin ja kansalaisyhteiskunnan rooli taloudellisen yhteistyön vahvistamisessa Välimeren sopimuksen puitteissa</w:t>
        </w:r>
      </w:hyperlink>
    </w:p>
    <w:p w14:paraId="0E4876E7" w14:textId="77777777" w:rsidR="00766C5C" w:rsidRPr="002B6ACC" w:rsidRDefault="00766C5C" w:rsidP="007E4A83">
      <w:pPr>
        <w:keepNext/>
        <w:keepLines/>
        <w:tabs>
          <w:tab w:val="center" w:pos="284"/>
        </w:tabs>
        <w:spacing w:line="240" w:lineRule="auto"/>
        <w:ind w:left="266" w:hanging="266"/>
        <w:rPr>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766C5C" w:rsidRPr="00A6689B" w14:paraId="7608542C" w14:textId="77777777" w:rsidTr="00120118">
        <w:trPr>
          <w:trHeight w:val="70"/>
        </w:trPr>
        <w:tc>
          <w:tcPr>
            <w:tcW w:w="1077" w:type="pct"/>
          </w:tcPr>
          <w:p w14:paraId="0D062F66" w14:textId="77777777" w:rsidR="00766C5C" w:rsidRPr="0062798E" w:rsidRDefault="00766C5C" w:rsidP="007E4A83">
            <w:pPr>
              <w:keepNext/>
              <w:keepLines/>
              <w:tabs>
                <w:tab w:val="center" w:pos="284"/>
              </w:tabs>
              <w:ind w:left="266" w:hanging="266"/>
              <w:rPr>
                <w:b/>
              </w:rPr>
            </w:pPr>
            <w:r>
              <w:rPr>
                <w:b/>
              </w:rPr>
              <w:t>Esittelijä</w:t>
            </w:r>
          </w:p>
        </w:tc>
        <w:tc>
          <w:tcPr>
            <w:tcW w:w="3923" w:type="pct"/>
          </w:tcPr>
          <w:p w14:paraId="4155075D" w14:textId="77777777" w:rsidR="00766C5C" w:rsidRPr="00A6689B" w:rsidRDefault="00766C5C" w:rsidP="007E4A83">
            <w:pPr>
              <w:keepNext/>
              <w:keepLines/>
              <w:tabs>
                <w:tab w:val="center" w:pos="284"/>
              </w:tabs>
              <w:ind w:left="266" w:right="-3091" w:hanging="266"/>
            </w:pPr>
            <w:r>
              <w:t>Thomas WAGNSONNER (työntekijät – AT)</w:t>
            </w:r>
          </w:p>
        </w:tc>
      </w:tr>
      <w:tr w:rsidR="00766C5C" w:rsidRPr="00A6689B" w14:paraId="528A0182" w14:textId="77777777" w:rsidTr="00120118">
        <w:tc>
          <w:tcPr>
            <w:tcW w:w="1077" w:type="pct"/>
          </w:tcPr>
          <w:p w14:paraId="38921093" w14:textId="77777777" w:rsidR="00766C5C" w:rsidRPr="00A6689B" w:rsidRDefault="00766C5C" w:rsidP="007E4A83">
            <w:pPr>
              <w:keepNext/>
              <w:keepLines/>
              <w:tabs>
                <w:tab w:val="center" w:pos="284"/>
              </w:tabs>
              <w:ind w:left="266" w:hanging="266"/>
              <w:rPr>
                <w:b/>
              </w:rPr>
            </w:pPr>
            <w:r>
              <w:rPr>
                <w:b/>
              </w:rPr>
              <w:t>Yhteisesittelijä</w:t>
            </w:r>
          </w:p>
        </w:tc>
        <w:tc>
          <w:tcPr>
            <w:tcW w:w="3923" w:type="pct"/>
          </w:tcPr>
          <w:p w14:paraId="5692A327" w14:textId="77777777" w:rsidR="00766C5C" w:rsidRPr="003A1BE9" w:rsidRDefault="00766C5C" w:rsidP="007E4A83">
            <w:pPr>
              <w:keepNext/>
              <w:keepLines/>
              <w:tabs>
                <w:tab w:val="center" w:pos="284"/>
              </w:tabs>
              <w:ind w:left="266" w:right="-3091" w:hanging="266"/>
            </w:pPr>
            <w:proofErr w:type="spellStart"/>
            <w:r>
              <w:t>Lidija</w:t>
            </w:r>
            <w:proofErr w:type="spellEnd"/>
            <w:r>
              <w:t xml:space="preserve"> PAVIĆ-ROGOŠIĆ (kansalaisyhteiskunnan organisaatiot – HR)</w:t>
            </w:r>
          </w:p>
        </w:tc>
      </w:tr>
      <w:tr w:rsidR="00766C5C" w:rsidRPr="002B6ACC" w14:paraId="0C08CAF3" w14:textId="77777777" w:rsidTr="00120118">
        <w:tc>
          <w:tcPr>
            <w:tcW w:w="1077" w:type="pct"/>
          </w:tcPr>
          <w:p w14:paraId="1368B91D" w14:textId="77777777" w:rsidR="00766C5C" w:rsidRPr="002B6ACC" w:rsidRDefault="00766C5C" w:rsidP="007E4A83">
            <w:pPr>
              <w:keepNext/>
              <w:keepLines/>
              <w:tabs>
                <w:tab w:val="center" w:pos="284"/>
              </w:tabs>
              <w:spacing w:line="240" w:lineRule="auto"/>
              <w:ind w:left="266" w:hanging="266"/>
              <w:rPr>
                <w:b/>
                <w:sz w:val="20"/>
                <w:szCs w:val="20"/>
              </w:rPr>
            </w:pPr>
          </w:p>
        </w:tc>
        <w:tc>
          <w:tcPr>
            <w:tcW w:w="3923" w:type="pct"/>
          </w:tcPr>
          <w:p w14:paraId="33923BB1" w14:textId="77777777" w:rsidR="00766C5C" w:rsidRPr="002B6ACC" w:rsidRDefault="00766C5C" w:rsidP="007E4A83">
            <w:pPr>
              <w:keepNext/>
              <w:keepLines/>
              <w:tabs>
                <w:tab w:val="center" w:pos="284"/>
              </w:tabs>
              <w:spacing w:line="240" w:lineRule="auto"/>
              <w:ind w:left="266" w:right="-3091" w:hanging="266"/>
              <w:rPr>
                <w:sz w:val="20"/>
                <w:szCs w:val="20"/>
              </w:rPr>
            </w:pPr>
          </w:p>
        </w:tc>
      </w:tr>
      <w:tr w:rsidR="00766C5C" w:rsidRPr="00CA288B" w14:paraId="2627DBF3" w14:textId="77777777" w:rsidTr="00120118">
        <w:tc>
          <w:tcPr>
            <w:tcW w:w="1077" w:type="pct"/>
          </w:tcPr>
          <w:p w14:paraId="485E70FE" w14:textId="77777777" w:rsidR="00766C5C" w:rsidRPr="00A6689B" w:rsidRDefault="00766C5C" w:rsidP="007E4A83">
            <w:pPr>
              <w:keepNext/>
              <w:keepLines/>
              <w:tabs>
                <w:tab w:val="center" w:pos="284"/>
              </w:tabs>
              <w:ind w:left="266" w:hanging="266"/>
              <w:rPr>
                <w:b/>
              </w:rPr>
            </w:pPr>
            <w:r>
              <w:rPr>
                <w:b/>
              </w:rPr>
              <w:t>Viiteasiakirjat</w:t>
            </w:r>
          </w:p>
        </w:tc>
        <w:tc>
          <w:tcPr>
            <w:tcW w:w="3923" w:type="pct"/>
          </w:tcPr>
          <w:p w14:paraId="401A7D4F" w14:textId="77777777" w:rsidR="0064109F" w:rsidRDefault="0064109F" w:rsidP="007E4A83">
            <w:pPr>
              <w:keepNext/>
              <w:keepLines/>
              <w:tabs>
                <w:tab w:val="center" w:pos="284"/>
              </w:tabs>
              <w:ind w:left="266" w:right="-3091" w:hanging="266"/>
              <w:rPr>
                <w:bCs/>
              </w:rPr>
            </w:pPr>
            <w:r w:rsidRPr="00DB6C97">
              <w:rPr>
                <w:bCs/>
              </w:rPr>
              <w:t>puheenjohtajavaltio Kyproksen pyytämä valmisteleva lausunto</w:t>
            </w:r>
          </w:p>
          <w:p w14:paraId="6A219A43" w14:textId="6C7ADA6D" w:rsidR="00766C5C" w:rsidRPr="00CA288B" w:rsidRDefault="00766C5C" w:rsidP="007E4A83">
            <w:pPr>
              <w:keepNext/>
              <w:keepLines/>
              <w:tabs>
                <w:tab w:val="center" w:pos="284"/>
              </w:tabs>
              <w:ind w:left="266" w:right="-3091" w:hanging="266"/>
            </w:pPr>
            <w:r>
              <w:t>EESC-2025-04127-00-00-AC</w:t>
            </w:r>
          </w:p>
        </w:tc>
      </w:tr>
    </w:tbl>
    <w:p w14:paraId="622DCA6C" w14:textId="77777777" w:rsidR="00766C5C" w:rsidRPr="002B6ACC" w:rsidRDefault="00766C5C" w:rsidP="007E4A83">
      <w:pPr>
        <w:tabs>
          <w:tab w:val="center" w:pos="284"/>
        </w:tabs>
        <w:spacing w:line="240" w:lineRule="auto"/>
        <w:rPr>
          <w:b/>
          <w:sz w:val="20"/>
          <w:szCs w:val="20"/>
        </w:rPr>
      </w:pPr>
    </w:p>
    <w:p w14:paraId="11BB8693" w14:textId="77777777" w:rsidR="00766C5C" w:rsidRPr="00201B02" w:rsidRDefault="00766C5C" w:rsidP="0064109F">
      <w:pPr>
        <w:keepNext/>
        <w:keepLines/>
        <w:tabs>
          <w:tab w:val="center" w:pos="284"/>
        </w:tabs>
        <w:ind w:left="266" w:hanging="266"/>
        <w:rPr>
          <w:b/>
        </w:rPr>
      </w:pPr>
      <w:r>
        <w:rPr>
          <w:b/>
        </w:rPr>
        <w:t>Keskeiset kohdat</w:t>
      </w:r>
    </w:p>
    <w:p w14:paraId="62267A1C" w14:textId="77777777" w:rsidR="00766C5C" w:rsidRPr="002B6ACC" w:rsidRDefault="00766C5C" w:rsidP="007E4A83">
      <w:pPr>
        <w:keepNext/>
        <w:keepLines/>
        <w:tabs>
          <w:tab w:val="center" w:pos="284"/>
        </w:tabs>
        <w:spacing w:line="240" w:lineRule="auto"/>
        <w:ind w:left="266" w:hanging="266"/>
        <w:rPr>
          <w:b/>
          <w:sz w:val="20"/>
          <w:szCs w:val="20"/>
        </w:rPr>
      </w:pPr>
    </w:p>
    <w:p w14:paraId="792773A9" w14:textId="77777777" w:rsidR="00766C5C" w:rsidRPr="002B6ACC" w:rsidRDefault="00766C5C" w:rsidP="007E4A83">
      <w:pPr>
        <w:rPr>
          <w:iCs/>
          <w:spacing w:val="-2"/>
        </w:rPr>
      </w:pPr>
      <w:r w:rsidRPr="002B6ACC">
        <w:rPr>
          <w:spacing w:val="-2"/>
        </w:rPr>
        <w:t>ETSK</w:t>
      </w:r>
    </w:p>
    <w:p w14:paraId="798D2562" w14:textId="77777777" w:rsidR="00766C5C" w:rsidRPr="002B6ACC" w:rsidRDefault="00766C5C" w:rsidP="002B6ACC">
      <w:pPr>
        <w:pStyle w:val="NormalWeb"/>
        <w:numPr>
          <w:ilvl w:val="0"/>
          <w:numId w:val="34"/>
        </w:numPr>
        <w:spacing w:before="0" w:beforeAutospacing="0" w:after="0" w:afterAutospacing="0" w:line="288" w:lineRule="auto"/>
        <w:ind w:left="425" w:hanging="425"/>
        <w:jc w:val="both"/>
        <w:rPr>
          <w:rStyle w:val="Strong"/>
          <w:b w:val="0"/>
          <w:bCs w:val="0"/>
          <w:spacing w:val="-2"/>
          <w:sz w:val="22"/>
          <w:szCs w:val="22"/>
        </w:rPr>
      </w:pPr>
      <w:r w:rsidRPr="002B6ACC">
        <w:rPr>
          <w:rStyle w:val="Strong"/>
          <w:b w:val="0"/>
          <w:bCs w:val="0"/>
          <w:spacing w:val="-2"/>
          <w:sz w:val="22"/>
        </w:rPr>
        <w:t>katsoo, että Välimeren sopimus voi onnistua vain EU:n, sen jäsenvaltioiden ja eteläisen Välimeren kumppanimaiden aidon ja tasavertaisen kumppanuuden avulla ja niin, että se tarjoaa näkyvää hyötyä tavallisille ihmisille ja yhteisöille.</w:t>
      </w:r>
    </w:p>
    <w:p w14:paraId="36E01EB5" w14:textId="77777777" w:rsidR="00766C5C" w:rsidRPr="002B6ACC" w:rsidRDefault="00766C5C" w:rsidP="002B6ACC">
      <w:pPr>
        <w:pStyle w:val="NormalWeb"/>
        <w:numPr>
          <w:ilvl w:val="0"/>
          <w:numId w:val="34"/>
        </w:numPr>
        <w:spacing w:before="0" w:beforeAutospacing="0" w:after="0" w:afterAutospacing="0" w:line="288" w:lineRule="auto"/>
        <w:ind w:left="425" w:hanging="425"/>
        <w:jc w:val="both"/>
        <w:rPr>
          <w:rStyle w:val="Strong"/>
          <w:b w:val="0"/>
          <w:bCs w:val="0"/>
          <w:spacing w:val="-2"/>
          <w:sz w:val="22"/>
          <w:szCs w:val="22"/>
        </w:rPr>
      </w:pPr>
      <w:r w:rsidRPr="002B6ACC">
        <w:rPr>
          <w:rStyle w:val="Strong"/>
          <w:b w:val="0"/>
          <w:bCs w:val="0"/>
          <w:spacing w:val="-2"/>
          <w:sz w:val="22"/>
        </w:rPr>
        <w:t>toteaa, että järjestäytynyt kansalaisyhteiskunta, muun muassa ammattiliitot, työnantajaryhmät ja kansalaisyhteiskunnan järjestöt, on otettava mukaan pysyvällä ja jäsennellyllä tavalla eikä vain satunnaisten kuulemisten kautta.</w:t>
      </w:r>
    </w:p>
    <w:p w14:paraId="4F06D434" w14:textId="77777777" w:rsidR="00766C5C" w:rsidRPr="002B6ACC" w:rsidRDefault="00766C5C" w:rsidP="002B6ACC">
      <w:pPr>
        <w:pStyle w:val="NormalWeb"/>
        <w:numPr>
          <w:ilvl w:val="0"/>
          <w:numId w:val="34"/>
        </w:numPr>
        <w:spacing w:before="0" w:beforeAutospacing="0" w:after="0" w:afterAutospacing="0" w:line="288" w:lineRule="auto"/>
        <w:ind w:left="425" w:hanging="425"/>
        <w:jc w:val="both"/>
        <w:rPr>
          <w:rStyle w:val="Strong"/>
          <w:b w:val="0"/>
          <w:bCs w:val="0"/>
          <w:spacing w:val="-2"/>
          <w:sz w:val="22"/>
          <w:szCs w:val="22"/>
        </w:rPr>
      </w:pPr>
      <w:r w:rsidRPr="002B6ACC">
        <w:rPr>
          <w:rStyle w:val="Strong"/>
          <w:b w:val="0"/>
          <w:bCs w:val="0"/>
          <w:spacing w:val="-2"/>
          <w:sz w:val="22"/>
        </w:rPr>
        <w:t xml:space="preserve">katsoo, että yksityisen sektorin, etenkin mikro- ja pk-yritysten, vahvistamiseksi alueella tarvitaan uudistuksia, joilla parannetaan rahoituksen saantia, yksinkertaistetaan menettelyjä ja tuetaan digitalisaatiota ja </w:t>
      </w:r>
      <w:proofErr w:type="spellStart"/>
      <w:r w:rsidRPr="002B6ACC">
        <w:rPr>
          <w:rStyle w:val="Strong"/>
          <w:b w:val="0"/>
          <w:bCs w:val="0"/>
          <w:spacing w:val="-2"/>
          <w:sz w:val="22"/>
        </w:rPr>
        <w:t>yhteenliitettävyyttä</w:t>
      </w:r>
      <w:proofErr w:type="spellEnd"/>
      <w:r w:rsidRPr="002B6ACC">
        <w:rPr>
          <w:rStyle w:val="Strong"/>
          <w:b w:val="0"/>
          <w:bCs w:val="0"/>
          <w:spacing w:val="-2"/>
          <w:sz w:val="22"/>
        </w:rPr>
        <w:t>, jotta yritykset voivat liittyä alueellisiin arvoketjuihin.</w:t>
      </w:r>
    </w:p>
    <w:p w14:paraId="5407AF8C" w14:textId="77777777" w:rsidR="00766C5C" w:rsidRPr="002B6ACC" w:rsidRDefault="00766C5C" w:rsidP="002B6ACC">
      <w:pPr>
        <w:pStyle w:val="NormalWeb"/>
        <w:numPr>
          <w:ilvl w:val="0"/>
          <w:numId w:val="34"/>
        </w:numPr>
        <w:spacing w:before="0" w:beforeAutospacing="0" w:after="0" w:afterAutospacing="0" w:line="288" w:lineRule="auto"/>
        <w:ind w:left="425" w:hanging="425"/>
        <w:jc w:val="both"/>
        <w:rPr>
          <w:rStyle w:val="Strong"/>
          <w:b w:val="0"/>
          <w:bCs w:val="0"/>
          <w:spacing w:val="-2"/>
          <w:sz w:val="22"/>
          <w:szCs w:val="22"/>
        </w:rPr>
      </w:pPr>
      <w:r w:rsidRPr="002B6ACC">
        <w:rPr>
          <w:rStyle w:val="Strong"/>
          <w:b w:val="0"/>
          <w:bCs w:val="0"/>
          <w:spacing w:val="-2"/>
          <w:sz w:val="22"/>
        </w:rPr>
        <w:t>katsoo, että EU:n nykyiset kauppasopimukset monien eteläisen Välimeren maiden kanssa ovat vanhentuneita ja niitä olisi nykyaikaistettava. Kansalaisyhteiskunnan olisi autettava työhön, ympäristöön ja ihmisoikeuksiin liittyvien sitoumusten seurannassa.</w:t>
      </w:r>
    </w:p>
    <w:p w14:paraId="45E673D6" w14:textId="77777777" w:rsidR="00766C5C" w:rsidRPr="002B6ACC" w:rsidRDefault="00766C5C" w:rsidP="002B6ACC">
      <w:pPr>
        <w:pStyle w:val="NormalWeb"/>
        <w:numPr>
          <w:ilvl w:val="0"/>
          <w:numId w:val="34"/>
        </w:numPr>
        <w:spacing w:before="0" w:beforeAutospacing="0" w:after="0" w:afterAutospacing="0" w:line="288" w:lineRule="auto"/>
        <w:ind w:left="425" w:hanging="425"/>
        <w:jc w:val="both"/>
        <w:rPr>
          <w:rStyle w:val="Strong"/>
          <w:b w:val="0"/>
          <w:bCs w:val="0"/>
          <w:spacing w:val="-2"/>
          <w:sz w:val="22"/>
          <w:szCs w:val="22"/>
        </w:rPr>
      </w:pPr>
      <w:r w:rsidRPr="002B6ACC">
        <w:rPr>
          <w:rStyle w:val="Strong"/>
          <w:b w:val="0"/>
          <w:bCs w:val="0"/>
          <w:spacing w:val="-2"/>
          <w:sz w:val="22"/>
        </w:rPr>
        <w:t>toteaa, että kauppa ja investoinnit olisi kytkettävä edistämään kestävää kehitystä ja ihmisarvoista työtä, muun muassa oikeudenmukaisia palkkoja, turvallisia työoloja, täytäntöönpanokelpoisia normeja ja investointeja kestäviin alueellisiin hankkeisiin.</w:t>
      </w:r>
    </w:p>
    <w:p w14:paraId="34F6BAC0" w14:textId="77777777" w:rsidR="00766C5C" w:rsidRPr="002B6ACC" w:rsidRDefault="00766C5C" w:rsidP="002B6ACC">
      <w:pPr>
        <w:pStyle w:val="NormalWeb"/>
        <w:numPr>
          <w:ilvl w:val="0"/>
          <w:numId w:val="34"/>
        </w:numPr>
        <w:spacing w:before="0" w:beforeAutospacing="0" w:after="0" w:afterAutospacing="0" w:line="288" w:lineRule="auto"/>
        <w:ind w:left="425" w:hanging="425"/>
        <w:jc w:val="both"/>
        <w:rPr>
          <w:rStyle w:val="Strong"/>
          <w:b w:val="0"/>
          <w:bCs w:val="0"/>
          <w:spacing w:val="-2"/>
          <w:sz w:val="22"/>
          <w:szCs w:val="22"/>
        </w:rPr>
      </w:pPr>
      <w:r w:rsidRPr="002B6ACC">
        <w:rPr>
          <w:rStyle w:val="Strong"/>
          <w:b w:val="0"/>
          <w:bCs w:val="0"/>
          <w:spacing w:val="-2"/>
          <w:sz w:val="22"/>
        </w:rPr>
        <w:t xml:space="preserve">tähdentää, että siirryttäessä epävirallisesta taloudesta viralliseen talouteen olisi noudatettava </w:t>
      </w:r>
      <w:proofErr w:type="spellStart"/>
      <w:r w:rsidRPr="002B6ACC">
        <w:rPr>
          <w:rStyle w:val="Strong"/>
          <w:b w:val="0"/>
          <w:bCs w:val="0"/>
          <w:spacing w:val="-2"/>
          <w:sz w:val="22"/>
        </w:rPr>
        <w:t>ILO:n</w:t>
      </w:r>
      <w:proofErr w:type="spellEnd"/>
      <w:r w:rsidRPr="002B6ACC">
        <w:rPr>
          <w:rStyle w:val="Strong"/>
          <w:b w:val="0"/>
          <w:bCs w:val="0"/>
          <w:spacing w:val="-2"/>
          <w:sz w:val="22"/>
        </w:rPr>
        <w:t xml:space="preserve"> suositusta nro 204, mikä tarkoittaa, että siirtymisen olisi oltava asteittaista, osallistavaa ja taloudellisesti realistista eikä rankaisevaa.</w:t>
      </w:r>
    </w:p>
    <w:p w14:paraId="786721B3" w14:textId="77777777" w:rsidR="00766C5C" w:rsidRPr="002B6ACC" w:rsidRDefault="00766C5C" w:rsidP="002B6ACC">
      <w:pPr>
        <w:pStyle w:val="NormalWeb"/>
        <w:numPr>
          <w:ilvl w:val="0"/>
          <w:numId w:val="34"/>
        </w:numPr>
        <w:spacing w:before="0" w:beforeAutospacing="0" w:after="0" w:afterAutospacing="0" w:line="288" w:lineRule="auto"/>
        <w:ind w:left="425" w:hanging="425"/>
        <w:jc w:val="both"/>
        <w:rPr>
          <w:rStyle w:val="Strong"/>
          <w:b w:val="0"/>
          <w:bCs w:val="0"/>
          <w:spacing w:val="-2"/>
          <w:sz w:val="22"/>
          <w:szCs w:val="22"/>
        </w:rPr>
      </w:pPr>
      <w:r w:rsidRPr="002B6ACC">
        <w:rPr>
          <w:rStyle w:val="Strong"/>
          <w:b w:val="0"/>
          <w:bCs w:val="0"/>
          <w:spacing w:val="-2"/>
          <w:sz w:val="22"/>
        </w:rPr>
        <w:t xml:space="preserve">katsoo, että sopimukseen liittyvässä toimintasuunnitelmassa olisi taattava sosiaalinen suojelu, työelämäoikeudet ja </w:t>
      </w:r>
      <w:proofErr w:type="spellStart"/>
      <w:r w:rsidRPr="002B6ACC">
        <w:rPr>
          <w:rStyle w:val="Strong"/>
          <w:b w:val="0"/>
          <w:bCs w:val="0"/>
          <w:spacing w:val="-2"/>
          <w:sz w:val="22"/>
        </w:rPr>
        <w:t>ILO:n</w:t>
      </w:r>
      <w:proofErr w:type="spellEnd"/>
      <w:r w:rsidRPr="002B6ACC">
        <w:rPr>
          <w:rStyle w:val="Strong"/>
          <w:b w:val="0"/>
          <w:bCs w:val="0"/>
          <w:spacing w:val="-2"/>
          <w:sz w:val="22"/>
        </w:rPr>
        <w:t xml:space="preserve"> keskeisten yleissopimusten noudattaminen sekä varmistettava samalla, että työmarkkinaosapuolet ja kansalaisyhteiskunta otetaan alusta alkaen mukaan Global </w:t>
      </w:r>
      <w:proofErr w:type="spellStart"/>
      <w:r w:rsidRPr="002B6ACC">
        <w:rPr>
          <w:rStyle w:val="Strong"/>
          <w:b w:val="0"/>
          <w:bCs w:val="0"/>
          <w:spacing w:val="-2"/>
          <w:sz w:val="22"/>
        </w:rPr>
        <w:t>Gateway</w:t>
      </w:r>
      <w:proofErr w:type="spellEnd"/>
      <w:r w:rsidRPr="002B6ACC">
        <w:rPr>
          <w:rStyle w:val="Strong"/>
          <w:b w:val="0"/>
          <w:bCs w:val="0"/>
          <w:spacing w:val="-2"/>
          <w:sz w:val="22"/>
        </w:rPr>
        <w:t xml:space="preserve"> -hankkeisiin ja muihin merkittäviin hankkeisiin.</w:t>
      </w:r>
    </w:p>
    <w:p w14:paraId="2784DAF2" w14:textId="77777777" w:rsidR="00766C5C" w:rsidRPr="002B6ACC" w:rsidRDefault="00766C5C" w:rsidP="002B6ACC">
      <w:pPr>
        <w:pStyle w:val="NormalWeb"/>
        <w:numPr>
          <w:ilvl w:val="0"/>
          <w:numId w:val="34"/>
        </w:numPr>
        <w:spacing w:before="0" w:beforeAutospacing="0" w:after="0" w:afterAutospacing="0" w:line="288" w:lineRule="auto"/>
        <w:ind w:left="425" w:hanging="425"/>
        <w:jc w:val="both"/>
        <w:rPr>
          <w:rStyle w:val="Strong"/>
          <w:b w:val="0"/>
          <w:bCs w:val="0"/>
          <w:spacing w:val="-2"/>
          <w:sz w:val="22"/>
          <w:szCs w:val="22"/>
        </w:rPr>
      </w:pPr>
      <w:r w:rsidRPr="002B6ACC">
        <w:rPr>
          <w:rStyle w:val="Strong"/>
          <w:b w:val="0"/>
          <w:bCs w:val="0"/>
          <w:spacing w:val="-2"/>
          <w:sz w:val="22"/>
        </w:rPr>
        <w:t>kehottaa kiinnittämään erityistä huomiota yhteisötalouden toimijoihin, naisiin ja nuoriin tarjoamalla rahoitusta, kehittämällä valmiuksia, antamalla oikeudellista tukea, toteuttamalla yrittäjyysohjelmia ja varmistamalla heidän osallistumisensa hallintoon. Työvoiman liikkuvuudessa on kunnioitettava ihmisoikeuksia ja vältettävä aivovuotoa.</w:t>
      </w:r>
    </w:p>
    <w:p w14:paraId="2ED046C3" w14:textId="6320ADA5" w:rsidR="00766C5C" w:rsidRPr="002B6ACC" w:rsidRDefault="00766C5C" w:rsidP="002B6ACC">
      <w:pPr>
        <w:pStyle w:val="NormalWeb"/>
        <w:numPr>
          <w:ilvl w:val="0"/>
          <w:numId w:val="34"/>
        </w:numPr>
        <w:spacing w:before="0" w:beforeAutospacing="0" w:after="0" w:afterAutospacing="0" w:line="288" w:lineRule="auto"/>
        <w:ind w:left="425" w:hanging="425"/>
        <w:jc w:val="both"/>
        <w:rPr>
          <w:spacing w:val="-2"/>
          <w:sz w:val="22"/>
          <w:szCs w:val="22"/>
        </w:rPr>
      </w:pPr>
      <w:r w:rsidRPr="002B6ACC">
        <w:rPr>
          <w:spacing w:val="-2"/>
          <w:sz w:val="22"/>
        </w:rPr>
        <w:t>katsoo, että EU:n rahoittamien ja kansainvälisten rahoituslaitosten välistä koordinointia olisi vahvistettava vaikutusten parantamiseksi ja että alueellisen kehityspankin tai vastaavan rahoitusmekanismin perustaminen voisi auttaa rahoittamaan infrastruktuureja, mikro- ja pk-yrityksiä, startup-yrityksiä ja yhteisötalouden hankkeita, joihin kansalaisyhteiskunta osallistuu avoimesti.</w:t>
      </w:r>
    </w:p>
    <w:p w14:paraId="77B28760" w14:textId="77777777" w:rsidR="0064109F" w:rsidRPr="002B6ACC" w:rsidRDefault="0064109F" w:rsidP="007E4A83">
      <w:pPr>
        <w:pStyle w:val="NormalWeb"/>
        <w:spacing w:before="0" w:beforeAutospacing="0" w:after="0" w:afterAutospacing="0"/>
        <w:jc w:val="both"/>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766C5C" w:rsidRPr="00A6689B" w14:paraId="750629E8" w14:textId="77777777" w:rsidTr="00120118">
        <w:tc>
          <w:tcPr>
            <w:tcW w:w="1077" w:type="pct"/>
          </w:tcPr>
          <w:p w14:paraId="77420587" w14:textId="298947CC" w:rsidR="00766C5C" w:rsidRPr="00A6689B" w:rsidRDefault="00766C5C" w:rsidP="0064109F">
            <w:pPr>
              <w:rPr>
                <w:i/>
              </w:rPr>
            </w:pPr>
            <w:r>
              <w:br w:type="page"/>
            </w:r>
            <w:r>
              <w:rPr>
                <w:b/>
                <w:i/>
              </w:rPr>
              <w:t>Yhteydenotot</w:t>
            </w:r>
          </w:p>
        </w:tc>
        <w:tc>
          <w:tcPr>
            <w:tcW w:w="3923" w:type="pct"/>
          </w:tcPr>
          <w:p w14:paraId="7DB71DFB" w14:textId="77777777" w:rsidR="00766C5C" w:rsidRPr="00A6689B" w:rsidRDefault="00766C5C" w:rsidP="0064109F">
            <w:pPr>
              <w:rPr>
                <w:i/>
              </w:rPr>
            </w:pPr>
            <w:r>
              <w:rPr>
                <w:i/>
              </w:rPr>
              <w:t>Andreas Berger</w:t>
            </w:r>
          </w:p>
        </w:tc>
      </w:tr>
      <w:tr w:rsidR="00766C5C" w:rsidRPr="00A6689B" w14:paraId="2C74C0B8" w14:textId="77777777" w:rsidTr="00120118">
        <w:tc>
          <w:tcPr>
            <w:tcW w:w="1077" w:type="pct"/>
          </w:tcPr>
          <w:p w14:paraId="08828FB6" w14:textId="77777777" w:rsidR="00766C5C" w:rsidRPr="00A6689B" w:rsidRDefault="00766C5C" w:rsidP="0064109F">
            <w:pPr>
              <w:rPr>
                <w:i/>
              </w:rPr>
            </w:pPr>
            <w:r>
              <w:rPr>
                <w:i/>
              </w:rPr>
              <w:t>P.</w:t>
            </w:r>
          </w:p>
        </w:tc>
        <w:tc>
          <w:tcPr>
            <w:tcW w:w="3923" w:type="pct"/>
          </w:tcPr>
          <w:p w14:paraId="13CFF849" w14:textId="77777777" w:rsidR="00766C5C" w:rsidRPr="00A6689B" w:rsidRDefault="00766C5C" w:rsidP="0064109F">
            <w:pPr>
              <w:rPr>
                <w:i/>
              </w:rPr>
            </w:pPr>
            <w:r>
              <w:rPr>
                <w:i/>
              </w:rPr>
              <w:t>+32 5469062</w:t>
            </w:r>
          </w:p>
        </w:tc>
      </w:tr>
      <w:tr w:rsidR="00766C5C" w:rsidRPr="00A6689B" w14:paraId="1E48DC5B" w14:textId="77777777" w:rsidTr="00120118">
        <w:tc>
          <w:tcPr>
            <w:tcW w:w="1077" w:type="pct"/>
          </w:tcPr>
          <w:p w14:paraId="16120F2A" w14:textId="77777777" w:rsidR="00766C5C" w:rsidRPr="00A6689B" w:rsidRDefault="00766C5C" w:rsidP="0064109F">
            <w:pPr>
              <w:rPr>
                <w:i/>
              </w:rPr>
            </w:pPr>
            <w:r>
              <w:rPr>
                <w:i/>
              </w:rPr>
              <w:t>Sähköposti</w:t>
            </w:r>
          </w:p>
        </w:tc>
        <w:tc>
          <w:tcPr>
            <w:tcW w:w="3923" w:type="pct"/>
          </w:tcPr>
          <w:p w14:paraId="4DDC7A33" w14:textId="77777777" w:rsidR="00766C5C" w:rsidRPr="00A6689B" w:rsidRDefault="003665FE" w:rsidP="0064109F">
            <w:pPr>
              <w:rPr>
                <w:i/>
              </w:rPr>
            </w:pPr>
            <w:hyperlink r:id="rId65" w:history="1">
              <w:r w:rsidR="00766C5C">
                <w:rPr>
                  <w:rStyle w:val="Hyperlink"/>
                  <w:i/>
                </w:rPr>
                <w:t>Andreas.Berger@eesc.europa.eu</w:t>
              </w:r>
            </w:hyperlink>
            <w:r w:rsidR="00766C5C">
              <w:rPr>
                <w:i/>
              </w:rPr>
              <w:t xml:space="preserve"> </w:t>
            </w:r>
          </w:p>
        </w:tc>
      </w:tr>
    </w:tbl>
    <w:p w14:paraId="528C73AA" w14:textId="46DE726B" w:rsidR="006D2C8A" w:rsidRPr="006D2C8A" w:rsidRDefault="006D2C8A" w:rsidP="001C7C61">
      <w:pPr>
        <w:pStyle w:val="Heading1"/>
        <w:keepNext/>
        <w:keepLines/>
        <w:spacing w:line="240" w:lineRule="auto"/>
        <w:rPr>
          <w:b/>
        </w:rPr>
      </w:pPr>
      <w:bookmarkStart w:id="56" w:name="_Toc229383183"/>
      <w:r>
        <w:rPr>
          <w:b/>
          <w:color w:val="222A35" w:themeColor="text2" w:themeShade="80"/>
        </w:rPr>
        <w:lastRenderedPageBreak/>
        <w:t>NEUVOA-ANTAVA VALIOKUNTA ”TEOLLISUUDEN MUUTOKSET”</w:t>
      </w:r>
      <w:bookmarkEnd w:id="56"/>
    </w:p>
    <w:p w14:paraId="713E272F" w14:textId="1B92BFE6" w:rsidR="006D2C8A" w:rsidRDefault="006D2C8A" w:rsidP="001C7C61">
      <w:pPr>
        <w:keepNext/>
        <w:keepLines/>
        <w:spacing w:line="240" w:lineRule="auto"/>
      </w:pPr>
    </w:p>
    <w:p w14:paraId="1F56EF58" w14:textId="0AC9C69D" w:rsidR="00766C5C" w:rsidRPr="00737C93" w:rsidRDefault="003665FE" w:rsidP="001C7C61">
      <w:pPr>
        <w:pStyle w:val="ListParagraph"/>
        <w:keepNext/>
        <w:keepLines/>
        <w:widowControl w:val="0"/>
        <w:numPr>
          <w:ilvl w:val="0"/>
          <w:numId w:val="8"/>
        </w:numPr>
        <w:spacing w:line="240" w:lineRule="auto"/>
        <w:ind w:left="567" w:hanging="567"/>
        <w:jc w:val="left"/>
        <w:rPr>
          <w:rStyle w:val="Hyperlink"/>
          <w:sz w:val="28"/>
          <w:szCs w:val="28"/>
        </w:rPr>
      </w:pPr>
      <w:hyperlink r:id="rId66" w:history="1">
        <w:r w:rsidR="00766C5C">
          <w:rPr>
            <w:rStyle w:val="Hyperlink"/>
            <w:b/>
            <w:i/>
            <w:sz w:val="28"/>
          </w:rPr>
          <w:t>Ketterää ja nopeaa puolustusalan innovointia koskeva ohjelma</w:t>
        </w:r>
      </w:hyperlink>
    </w:p>
    <w:p w14:paraId="6528C847" w14:textId="77777777" w:rsidR="00766C5C" w:rsidRPr="00737C93" w:rsidRDefault="00766C5C" w:rsidP="001C7C61">
      <w:pPr>
        <w:keepNext/>
        <w:keepLines/>
        <w:widowControl w:val="0"/>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0"/>
      </w:tblGrid>
      <w:tr w:rsidR="00766C5C" w:rsidRPr="00737C93" w14:paraId="676A6C15" w14:textId="77777777" w:rsidTr="00120118">
        <w:tc>
          <w:tcPr>
            <w:tcW w:w="1701" w:type="dxa"/>
          </w:tcPr>
          <w:p w14:paraId="6898264E" w14:textId="77777777" w:rsidR="00766C5C" w:rsidRPr="00737C93" w:rsidRDefault="00766C5C" w:rsidP="002B6ACC">
            <w:pPr>
              <w:keepNext/>
              <w:keepLines/>
              <w:tabs>
                <w:tab w:val="center" w:pos="284"/>
              </w:tabs>
              <w:ind w:left="266" w:hanging="266"/>
              <w:rPr>
                <w:b/>
              </w:rPr>
            </w:pPr>
            <w:r w:rsidRPr="00737C93">
              <w:rPr>
                <w:b/>
              </w:rPr>
              <w:t>Esittelijä</w:t>
            </w:r>
          </w:p>
        </w:tc>
        <w:tc>
          <w:tcPr>
            <w:tcW w:w="5670" w:type="dxa"/>
          </w:tcPr>
          <w:p w14:paraId="3002685C" w14:textId="77777777" w:rsidR="00766C5C" w:rsidRPr="00737C93" w:rsidRDefault="00766C5C" w:rsidP="002B6ACC">
            <w:pPr>
              <w:keepNext/>
              <w:keepLines/>
              <w:tabs>
                <w:tab w:val="center" w:pos="284"/>
              </w:tabs>
              <w:ind w:left="266" w:hanging="266"/>
            </w:pPr>
            <w:r w:rsidRPr="00737C93">
              <w:t>Monika SITÁROVÁ (työntekijät – SK)</w:t>
            </w:r>
          </w:p>
        </w:tc>
      </w:tr>
      <w:tr w:rsidR="00766C5C" w:rsidRPr="00737C93" w14:paraId="2F8E1E24" w14:textId="77777777" w:rsidTr="00120118">
        <w:tc>
          <w:tcPr>
            <w:tcW w:w="1701" w:type="dxa"/>
          </w:tcPr>
          <w:p w14:paraId="78C15996" w14:textId="77777777" w:rsidR="00766C5C" w:rsidRPr="00737C93" w:rsidRDefault="00766C5C" w:rsidP="002B6ACC">
            <w:pPr>
              <w:keepNext/>
              <w:keepLines/>
              <w:tabs>
                <w:tab w:val="center" w:pos="284"/>
              </w:tabs>
              <w:ind w:left="266" w:hanging="266"/>
              <w:rPr>
                <w:b/>
              </w:rPr>
            </w:pPr>
            <w:r w:rsidRPr="00737C93">
              <w:rPr>
                <w:b/>
              </w:rPr>
              <w:t>Yhteisesittelijä</w:t>
            </w:r>
          </w:p>
        </w:tc>
        <w:tc>
          <w:tcPr>
            <w:tcW w:w="5670" w:type="dxa"/>
          </w:tcPr>
          <w:p w14:paraId="2C96C847" w14:textId="5A3FC07D" w:rsidR="00766C5C" w:rsidRPr="00737C93" w:rsidRDefault="00766C5C" w:rsidP="002B6ACC">
            <w:pPr>
              <w:keepNext/>
              <w:keepLines/>
              <w:tabs>
                <w:tab w:val="center" w:pos="284"/>
              </w:tabs>
              <w:ind w:left="266" w:hanging="266"/>
            </w:pPr>
            <w:proofErr w:type="spellStart"/>
            <w:r w:rsidRPr="00737C93">
              <w:t>Srita</w:t>
            </w:r>
            <w:proofErr w:type="spellEnd"/>
            <w:r w:rsidRPr="00737C93">
              <w:t xml:space="preserve"> HEIDE (kat</w:t>
            </w:r>
            <w:r w:rsidR="008441A2">
              <w:t>. 3</w:t>
            </w:r>
            <w:r w:rsidRPr="00737C93">
              <w:t xml:space="preserve"> – </w:t>
            </w:r>
            <w:r w:rsidR="008441A2">
              <w:t>D</w:t>
            </w:r>
            <w:r w:rsidRPr="00737C93">
              <w:t>E)</w:t>
            </w:r>
          </w:p>
        </w:tc>
      </w:tr>
      <w:tr w:rsidR="00766C5C" w:rsidRPr="00737C93" w14:paraId="48955601" w14:textId="77777777" w:rsidTr="00120118">
        <w:tc>
          <w:tcPr>
            <w:tcW w:w="7371" w:type="dxa"/>
            <w:gridSpan w:val="2"/>
          </w:tcPr>
          <w:p w14:paraId="7A271674" w14:textId="77777777" w:rsidR="00766C5C" w:rsidRPr="00737C93" w:rsidRDefault="00766C5C" w:rsidP="001C7C61">
            <w:pPr>
              <w:keepNext/>
              <w:keepLines/>
              <w:tabs>
                <w:tab w:val="center" w:pos="284"/>
              </w:tabs>
              <w:spacing w:line="240" w:lineRule="auto"/>
              <w:ind w:left="266" w:hanging="266"/>
            </w:pPr>
          </w:p>
        </w:tc>
      </w:tr>
      <w:tr w:rsidR="00766C5C" w:rsidRPr="00737C93" w14:paraId="24080B3B" w14:textId="77777777" w:rsidTr="00120118">
        <w:tc>
          <w:tcPr>
            <w:tcW w:w="1701" w:type="dxa"/>
          </w:tcPr>
          <w:p w14:paraId="24113391" w14:textId="77777777" w:rsidR="00766C5C" w:rsidRPr="00737C93" w:rsidRDefault="00766C5C" w:rsidP="002B6ACC">
            <w:pPr>
              <w:keepNext/>
              <w:keepLines/>
              <w:tabs>
                <w:tab w:val="center" w:pos="284"/>
              </w:tabs>
              <w:ind w:left="266" w:hanging="266"/>
              <w:rPr>
                <w:b/>
              </w:rPr>
            </w:pPr>
            <w:r w:rsidRPr="00737C93">
              <w:rPr>
                <w:b/>
              </w:rPr>
              <w:t>Viiteasiakirja</w:t>
            </w:r>
          </w:p>
        </w:tc>
        <w:tc>
          <w:tcPr>
            <w:tcW w:w="5670" w:type="dxa"/>
          </w:tcPr>
          <w:p w14:paraId="4C3D6C8F" w14:textId="77777777" w:rsidR="001C7C61" w:rsidRDefault="001C7C61" w:rsidP="001C7C61">
            <w:pPr>
              <w:tabs>
                <w:tab w:val="center" w:pos="284"/>
              </w:tabs>
              <w:ind w:left="266" w:hanging="266"/>
            </w:pPr>
            <w:r>
              <w:t xml:space="preserve">COM(2026) 135 </w:t>
            </w:r>
            <w:proofErr w:type="spellStart"/>
            <w:r>
              <w:t>final</w:t>
            </w:r>
            <w:proofErr w:type="spellEnd"/>
          </w:p>
          <w:p w14:paraId="42F3F4ED" w14:textId="6B7A8C67" w:rsidR="00766C5C" w:rsidRPr="00737C93" w:rsidRDefault="001C7C61" w:rsidP="001C7C61">
            <w:pPr>
              <w:keepNext/>
              <w:keepLines/>
              <w:tabs>
                <w:tab w:val="center" w:pos="284"/>
              </w:tabs>
              <w:ind w:left="266" w:hanging="266"/>
            </w:pPr>
            <w:r w:rsidRPr="00814A54">
              <w:t>EESC-2026-01126-00-00-AC</w:t>
            </w:r>
          </w:p>
        </w:tc>
      </w:tr>
    </w:tbl>
    <w:p w14:paraId="728B6BCA" w14:textId="77777777" w:rsidR="0064109F" w:rsidRDefault="0064109F" w:rsidP="001C7C61">
      <w:pPr>
        <w:keepNext/>
        <w:keepLines/>
        <w:tabs>
          <w:tab w:val="center" w:pos="284"/>
        </w:tabs>
        <w:spacing w:line="240" w:lineRule="auto"/>
        <w:ind w:left="266" w:hanging="266"/>
        <w:rPr>
          <w:b/>
        </w:rPr>
      </w:pPr>
    </w:p>
    <w:p w14:paraId="2F8DC564" w14:textId="327FF94A" w:rsidR="00766C5C" w:rsidRPr="00737C93" w:rsidRDefault="00766C5C" w:rsidP="001C7C61">
      <w:pPr>
        <w:keepNext/>
        <w:keepLines/>
        <w:tabs>
          <w:tab w:val="center" w:pos="284"/>
        </w:tabs>
        <w:spacing w:line="240" w:lineRule="auto"/>
        <w:ind w:left="266" w:hanging="266"/>
        <w:rPr>
          <w:b/>
        </w:rPr>
      </w:pPr>
      <w:r w:rsidRPr="00737C93">
        <w:rPr>
          <w:b/>
        </w:rPr>
        <w:t>Keskeiset kohdat</w:t>
      </w:r>
    </w:p>
    <w:p w14:paraId="6CDA6897" w14:textId="77777777" w:rsidR="00766C5C" w:rsidRPr="00737C93" w:rsidRDefault="00766C5C" w:rsidP="001C7C61">
      <w:pPr>
        <w:keepNext/>
        <w:keepLines/>
        <w:tabs>
          <w:tab w:val="center" w:pos="284"/>
        </w:tabs>
        <w:spacing w:line="240" w:lineRule="auto"/>
        <w:ind w:left="266" w:hanging="266"/>
        <w:rPr>
          <w:b/>
        </w:rPr>
      </w:pPr>
    </w:p>
    <w:p w14:paraId="11EB4BD7" w14:textId="77777777" w:rsidR="00766C5C" w:rsidRPr="00737C93" w:rsidRDefault="00766C5C" w:rsidP="002B6ACC">
      <w:pPr>
        <w:keepNext/>
        <w:keepLines/>
        <w:tabs>
          <w:tab w:val="center" w:pos="284"/>
        </w:tabs>
        <w:ind w:left="266" w:hanging="266"/>
        <w:rPr>
          <w:bCs/>
        </w:rPr>
      </w:pPr>
      <w:r w:rsidRPr="00737C93">
        <w:t>ETSK</w:t>
      </w:r>
    </w:p>
    <w:p w14:paraId="6228AB29" w14:textId="77777777" w:rsidR="00766C5C" w:rsidRPr="002B6ACC" w:rsidRDefault="00766C5C" w:rsidP="00176078">
      <w:pPr>
        <w:pStyle w:val="Heading2"/>
        <w:keepNext/>
        <w:keepLines/>
        <w:numPr>
          <w:ilvl w:val="1"/>
          <w:numId w:val="35"/>
        </w:numPr>
        <w:ind w:left="426" w:hanging="426"/>
        <w:rPr>
          <w:color w:val="111111"/>
          <w:spacing w:val="-2"/>
        </w:rPr>
      </w:pPr>
      <w:bookmarkStart w:id="57" w:name="_Toc229383184"/>
      <w:r w:rsidRPr="002B6ACC">
        <w:rPr>
          <w:spacing w:val="-2"/>
        </w:rPr>
        <w:t>tukee pyrkimyksiä vauhdittaa Euroopan puolustuksen teollista ja teknologista perustaa (EDTIB) ja parantaa sen reagointikykyä ja innovointivalmiuksia muuttuvassa turvallisuusympäristössä ja suhtautuu siksi myönteisesti komission ehdottamaan AGILE-puolustuskehykseen.</w:t>
      </w:r>
      <w:bookmarkEnd w:id="57"/>
    </w:p>
    <w:p w14:paraId="4D3B3BB4" w14:textId="77777777" w:rsidR="00766C5C" w:rsidRPr="002B6ACC" w:rsidRDefault="00766C5C" w:rsidP="00176078">
      <w:pPr>
        <w:pStyle w:val="Heading2"/>
        <w:numPr>
          <w:ilvl w:val="1"/>
          <w:numId w:val="35"/>
        </w:numPr>
        <w:ind w:left="426" w:hanging="426"/>
        <w:rPr>
          <w:spacing w:val="-2"/>
        </w:rPr>
      </w:pPr>
      <w:bookmarkStart w:id="58" w:name="_Toc229383185"/>
      <w:r w:rsidRPr="002B6ACC">
        <w:rPr>
          <w:spacing w:val="-2"/>
        </w:rPr>
        <w:t>suhtautuu myönteisesti AGILE-ohjelmaan alustana, jonka avulla pk-yritykset, startup-yritykset, siviiliteknologiayritykset ja yrittäjät voivat tarjota laadukkaita ja nopeita ratkaisuja EU:n puolustusvalmiutta varten. ETSK korostaa uusien puolustusalan toimijoiden tärkeää roolia EU:n puolustusteollisuuden muutoksessa.</w:t>
      </w:r>
      <w:bookmarkEnd w:id="58"/>
      <w:r w:rsidRPr="002B6ACC">
        <w:rPr>
          <w:spacing w:val="-2"/>
        </w:rPr>
        <w:t xml:space="preserve"> </w:t>
      </w:r>
    </w:p>
    <w:p w14:paraId="746E533C" w14:textId="77777777" w:rsidR="00766C5C" w:rsidRPr="002B6ACC" w:rsidRDefault="00766C5C" w:rsidP="00176078">
      <w:pPr>
        <w:pStyle w:val="Heading2"/>
        <w:numPr>
          <w:ilvl w:val="1"/>
          <w:numId w:val="35"/>
        </w:numPr>
        <w:ind w:left="426" w:hanging="426"/>
        <w:rPr>
          <w:spacing w:val="-2"/>
        </w:rPr>
      </w:pPr>
      <w:bookmarkStart w:id="59" w:name="_Toc229383186"/>
      <w:r w:rsidRPr="002B6ACC">
        <w:rPr>
          <w:spacing w:val="-2"/>
        </w:rPr>
        <w:t>tähdentää, että nopeuttaminen ei saa tapahtua avoimuuden, vastuuvelvollisuuden ja demokraattisen valvonnan kustannuksella, sillä ne ovat edelleen olennaisen tärkeitä EU:n toimien legitimiteetin ja tehokkuuden kannalta.</w:t>
      </w:r>
      <w:bookmarkEnd w:id="59"/>
    </w:p>
    <w:p w14:paraId="477C25C0" w14:textId="77777777" w:rsidR="00766C5C" w:rsidRPr="002B6ACC" w:rsidRDefault="00766C5C" w:rsidP="00176078">
      <w:pPr>
        <w:pStyle w:val="Heading2"/>
        <w:numPr>
          <w:ilvl w:val="1"/>
          <w:numId w:val="35"/>
        </w:numPr>
        <w:ind w:left="426" w:hanging="426"/>
        <w:rPr>
          <w:spacing w:val="-2"/>
        </w:rPr>
      </w:pPr>
      <w:bookmarkStart w:id="60" w:name="_Toc229383187"/>
      <w:r w:rsidRPr="002B6ACC">
        <w:rPr>
          <w:spacing w:val="-2"/>
        </w:rPr>
        <w:t>katsoo, että AGILE-ohjelman varojen olisi täydennettävä EU:n nykyisiä puolustusohjelmia. ETSK suosittaa ohjelman määrärahojen merkittävää lisäämistä seuraavassa monivuotisessa rahoituskehyksessä pilottihankkeen arvioinnin tulosten perusteella.</w:t>
      </w:r>
      <w:bookmarkEnd w:id="60"/>
      <w:r w:rsidRPr="002B6ACC">
        <w:rPr>
          <w:spacing w:val="-2"/>
        </w:rPr>
        <w:t xml:space="preserve"> </w:t>
      </w:r>
    </w:p>
    <w:p w14:paraId="00C10175" w14:textId="77777777" w:rsidR="00766C5C" w:rsidRPr="002B6ACC" w:rsidRDefault="00766C5C" w:rsidP="00176078">
      <w:pPr>
        <w:pStyle w:val="Heading2"/>
        <w:numPr>
          <w:ilvl w:val="1"/>
          <w:numId w:val="35"/>
        </w:numPr>
        <w:ind w:left="426" w:hanging="426"/>
        <w:rPr>
          <w:spacing w:val="-2"/>
        </w:rPr>
      </w:pPr>
      <w:bookmarkStart w:id="61" w:name="_Toc229383188"/>
      <w:r w:rsidRPr="002B6ACC">
        <w:rPr>
          <w:spacing w:val="-2"/>
        </w:rPr>
        <w:t xml:space="preserve">suosittaa lisäämään säännöksiä sen varmistamiseksi, että innovatiiviset pk-yritykset, startup-yritykset ja yksittäiset yritykset kaikista jäsenvaltioista ja kaikilta toimialoilta </w:t>
      </w:r>
      <w:proofErr w:type="spellStart"/>
      <w:r w:rsidRPr="002B6ACC">
        <w:rPr>
          <w:spacing w:val="-2"/>
        </w:rPr>
        <w:t>osallistetaan</w:t>
      </w:r>
      <w:proofErr w:type="spellEnd"/>
      <w:r w:rsidRPr="002B6ACC">
        <w:rPr>
          <w:spacing w:val="-2"/>
        </w:rPr>
        <w:t xml:space="preserve"> ennakoivasti AGILE-ohjelman tiedotus-, valinta- ja arviointiprosesseihin, jotta maantieteellistä tasapainoa ja osallistavuutta voidaan vahvistaa unionin laajuisesti.</w:t>
      </w:r>
      <w:bookmarkEnd w:id="61"/>
    </w:p>
    <w:p w14:paraId="07619CA8" w14:textId="77777777" w:rsidR="00766C5C" w:rsidRPr="002B6ACC" w:rsidRDefault="00766C5C" w:rsidP="00176078">
      <w:pPr>
        <w:pStyle w:val="Heading2"/>
        <w:numPr>
          <w:ilvl w:val="1"/>
          <w:numId w:val="35"/>
        </w:numPr>
        <w:ind w:left="426" w:hanging="426"/>
        <w:rPr>
          <w:spacing w:val="-2"/>
        </w:rPr>
      </w:pPr>
      <w:bookmarkStart w:id="62" w:name="_Toc229383189"/>
      <w:r w:rsidRPr="002B6ACC">
        <w:rPr>
          <w:spacing w:val="-2"/>
        </w:rPr>
        <w:t>suosittaa ottamaan käyttöön tehokkaita ja täytäntöönpanokelpoisia toimenpiteitä, joilla varmistetaan tukikelpoisuutta koskevan 9 artiklan 5 kohdan tosiasiallinen noudattaminen. Unionin strategisen riippumattomuuden ja turvallisuusetujen turvaamiseksi tässä artiklassa olisi nimenomaisesti selvennettävä ja tiukennettava poissulkemisperusteita.</w:t>
      </w:r>
      <w:bookmarkEnd w:id="62"/>
    </w:p>
    <w:p w14:paraId="46C38085" w14:textId="0AB1AC96" w:rsidR="00766C5C" w:rsidRPr="002B6ACC" w:rsidRDefault="00766C5C" w:rsidP="00176078">
      <w:pPr>
        <w:pStyle w:val="Heading2"/>
        <w:numPr>
          <w:ilvl w:val="1"/>
          <w:numId w:val="35"/>
        </w:numPr>
        <w:ind w:left="426" w:hanging="426"/>
        <w:rPr>
          <w:spacing w:val="-2"/>
        </w:rPr>
      </w:pPr>
      <w:bookmarkStart w:id="63" w:name="_Toc229383190"/>
      <w:r w:rsidRPr="002B6ACC">
        <w:rPr>
          <w:spacing w:val="-2"/>
        </w:rPr>
        <w:t>katsoo, että AGILE-hankkeiden olisi perustuttava tiukkaan selkeästi yksilöityihin puolustusvoima</w:t>
      </w:r>
      <w:r w:rsidR="002B6ACC">
        <w:rPr>
          <w:spacing w:val="-2"/>
        </w:rPr>
        <w:softHyphen/>
      </w:r>
      <w:r w:rsidRPr="002B6ACC">
        <w:rPr>
          <w:spacing w:val="-2"/>
        </w:rPr>
        <w:t>varoja koskeviin vaatimuksiin ja vastattava tiiviisti loppukäyttäjien tarpeita. AGILE-hankkeilla olisi oltava pääsy todellisiin testausympäristöihin, mukaan lukien sotilasharjoitukset ja testausalueet, jotta voidaan validoida ratkaisuja toimintaolosuhteissa ja nopeuttaa niiden käyttöönottoa.</w:t>
      </w:r>
      <w:bookmarkEnd w:id="63"/>
    </w:p>
    <w:p w14:paraId="55264917" w14:textId="77777777" w:rsidR="00766C5C" w:rsidRPr="002B6ACC" w:rsidRDefault="00766C5C" w:rsidP="00176078">
      <w:pPr>
        <w:pStyle w:val="Heading2"/>
        <w:numPr>
          <w:ilvl w:val="1"/>
          <w:numId w:val="35"/>
        </w:numPr>
        <w:ind w:left="426" w:hanging="426"/>
        <w:rPr>
          <w:spacing w:val="-2"/>
        </w:rPr>
      </w:pPr>
      <w:bookmarkStart w:id="64" w:name="_Toc229383191"/>
      <w:r w:rsidRPr="002B6ACC">
        <w:rPr>
          <w:spacing w:val="-2"/>
        </w:rPr>
        <w:t>suosittaa, että AGILE-ohjelman täytäntöönpanoon sisällytetään erikseen EU:n työ-, sosiaali- ja ympäristölainsäädännön noudattaminen. AGILE-ohjelmaan osallistumisen edellytyksenä olisi oltava sitoutuminen osaamisen kehittämiseen, laadukkaisiin työpaikkoihin ja työntekijöiden oikeuksien kunnioittamiseen Euroopan sosiaalisen mallin mukaisesti.</w:t>
      </w:r>
      <w:bookmarkEnd w:id="64"/>
      <w:r w:rsidRPr="002B6ACC">
        <w:rPr>
          <w:spacing w:val="-2"/>
        </w:rPr>
        <w:t xml:space="preserve"> </w:t>
      </w:r>
    </w:p>
    <w:p w14:paraId="38CEE68D" w14:textId="77777777" w:rsidR="00766C5C" w:rsidRPr="00737C93" w:rsidRDefault="00766C5C" w:rsidP="001C7C61">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766C5C" w:rsidRPr="00737C93" w14:paraId="75D1AB83" w14:textId="77777777" w:rsidTr="00120118">
        <w:tc>
          <w:tcPr>
            <w:tcW w:w="1418" w:type="dxa"/>
          </w:tcPr>
          <w:p w14:paraId="746F77FA" w14:textId="77777777" w:rsidR="00766C5C" w:rsidRPr="002B6ACC" w:rsidRDefault="00766C5C" w:rsidP="00120118">
            <w:pPr>
              <w:rPr>
                <w:b/>
                <w:i/>
              </w:rPr>
            </w:pPr>
            <w:r w:rsidRPr="002B6ACC">
              <w:rPr>
                <w:b/>
                <w:i/>
              </w:rPr>
              <w:t>Yhteydenotot</w:t>
            </w:r>
          </w:p>
        </w:tc>
        <w:tc>
          <w:tcPr>
            <w:tcW w:w="5670" w:type="dxa"/>
          </w:tcPr>
          <w:p w14:paraId="735A99F8" w14:textId="5F5D10D2" w:rsidR="00766C5C" w:rsidRPr="00737C93" w:rsidRDefault="00766C5C" w:rsidP="00120118">
            <w:pPr>
              <w:rPr>
                <w:bCs/>
                <w:i/>
              </w:rPr>
            </w:pPr>
            <w:proofErr w:type="spellStart"/>
            <w:r w:rsidRPr="00737C93">
              <w:rPr>
                <w:bCs/>
                <w:i/>
              </w:rPr>
              <w:t>Ioannis</w:t>
            </w:r>
            <w:proofErr w:type="spellEnd"/>
            <w:r w:rsidRPr="00737C93">
              <w:rPr>
                <w:bCs/>
                <w:i/>
              </w:rPr>
              <w:t xml:space="preserve"> </w:t>
            </w:r>
            <w:proofErr w:type="spellStart"/>
            <w:r w:rsidR="0064109F" w:rsidRPr="00737C93">
              <w:rPr>
                <w:bCs/>
                <w:i/>
              </w:rPr>
              <w:t>Diamantopoulos</w:t>
            </w:r>
            <w:proofErr w:type="spellEnd"/>
          </w:p>
        </w:tc>
      </w:tr>
      <w:tr w:rsidR="00766C5C" w:rsidRPr="00737C93" w14:paraId="43F3EC51" w14:textId="77777777" w:rsidTr="00120118">
        <w:tc>
          <w:tcPr>
            <w:tcW w:w="1418" w:type="dxa"/>
          </w:tcPr>
          <w:p w14:paraId="07ADBA80" w14:textId="77777777" w:rsidR="00766C5C" w:rsidRPr="00737C93" w:rsidRDefault="00766C5C" w:rsidP="00120118">
            <w:pPr>
              <w:rPr>
                <w:i/>
              </w:rPr>
            </w:pPr>
            <w:r w:rsidRPr="00737C93">
              <w:rPr>
                <w:i/>
              </w:rPr>
              <w:t>P.</w:t>
            </w:r>
          </w:p>
        </w:tc>
        <w:tc>
          <w:tcPr>
            <w:tcW w:w="5670" w:type="dxa"/>
          </w:tcPr>
          <w:p w14:paraId="2ED8885C" w14:textId="77777777" w:rsidR="00766C5C" w:rsidRPr="00737C93" w:rsidRDefault="00766C5C" w:rsidP="00120118">
            <w:pPr>
              <w:rPr>
                <w:i/>
              </w:rPr>
            </w:pPr>
            <w:r w:rsidRPr="00737C93">
              <w:rPr>
                <w:i/>
              </w:rPr>
              <w:t>+32 25469170</w:t>
            </w:r>
          </w:p>
        </w:tc>
      </w:tr>
      <w:tr w:rsidR="00766C5C" w:rsidRPr="00737C93" w14:paraId="6CD9682A" w14:textId="77777777" w:rsidTr="00120118">
        <w:trPr>
          <w:trHeight w:val="244"/>
        </w:trPr>
        <w:tc>
          <w:tcPr>
            <w:tcW w:w="1418" w:type="dxa"/>
          </w:tcPr>
          <w:p w14:paraId="7FBDB06B" w14:textId="77777777" w:rsidR="00766C5C" w:rsidRPr="00737C93" w:rsidRDefault="00766C5C" w:rsidP="00120118">
            <w:pPr>
              <w:rPr>
                <w:i/>
              </w:rPr>
            </w:pPr>
            <w:r w:rsidRPr="00737C93">
              <w:rPr>
                <w:i/>
              </w:rPr>
              <w:t>Sähköposti</w:t>
            </w:r>
          </w:p>
        </w:tc>
        <w:tc>
          <w:tcPr>
            <w:tcW w:w="5670" w:type="dxa"/>
          </w:tcPr>
          <w:p w14:paraId="2B2606A3" w14:textId="77777777" w:rsidR="00766C5C" w:rsidRPr="00737C93" w:rsidRDefault="003665FE" w:rsidP="00120118">
            <w:pPr>
              <w:rPr>
                <w:i/>
              </w:rPr>
            </w:pPr>
            <w:hyperlink r:id="rId67" w:history="1">
              <w:r w:rsidR="00766C5C" w:rsidRPr="00737C93">
                <w:rPr>
                  <w:rStyle w:val="Hyperlink"/>
                  <w:i/>
                </w:rPr>
                <w:t>Ioannis.Diamantopoulos@eesc.europa.eu</w:t>
              </w:r>
            </w:hyperlink>
          </w:p>
        </w:tc>
      </w:tr>
    </w:tbl>
    <w:p w14:paraId="3FF4C5D3" w14:textId="77777777" w:rsidR="00766C5C" w:rsidRDefault="00766C5C">
      <w:pPr>
        <w:overflowPunct w:val="0"/>
        <w:autoSpaceDE w:val="0"/>
        <w:autoSpaceDN w:val="0"/>
        <w:adjustRightInd w:val="0"/>
        <w:jc w:val="center"/>
        <w:textAlignment w:val="baseline"/>
        <w:rPr>
          <w:lang w:val="nl-BE"/>
        </w:rPr>
      </w:pPr>
      <w:r>
        <w:rPr>
          <w:lang w:val="nl-BE"/>
        </w:rPr>
        <w:t>_____________</w:t>
      </w:r>
    </w:p>
    <w:sectPr w:rsidR="00766C5C" w:rsidSect="00D40A83">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6341ED2A" w:rsidR="00B518C9" w:rsidRPr="00B518C9" w:rsidRDefault="00DF3AF9" w:rsidP="00B518C9">
    <w:pPr>
      <w:pStyle w:val="Footer"/>
    </w:pPr>
    <w:r>
      <w:t>EESC-2026-00936-00-00-TCD-TRA (EN)</w:t>
    </w:r>
    <w:r w:rsidR="00B518C9">
      <w:t xml:space="preserve"> </w:t>
    </w:r>
    <w:r w:rsidR="00B518C9">
      <w:fldChar w:fldCharType="begin"/>
    </w:r>
    <w:r w:rsidR="00B518C9">
      <w:instrText xml:space="preserve"> PAGE  \* Arabic  \* MERGEFORMAT </w:instrText>
    </w:r>
    <w:r w:rsidR="00B518C9">
      <w:fldChar w:fldCharType="separate"/>
    </w:r>
    <w:r w:rsidR="00BC5FBA">
      <w:rPr>
        <w:noProof/>
      </w:rPr>
      <w:t>3</w:t>
    </w:r>
    <w:r w:rsidR="00B518C9">
      <w:fldChar w:fldCharType="end"/>
    </w:r>
    <w:r w:rsidR="00B518C9">
      <w:t>/</w:t>
    </w:r>
    <w:r w:rsidR="00B518C9">
      <w:fldChar w:fldCharType="begin"/>
    </w:r>
    <w:r w:rsidR="00B518C9">
      <w:instrText xml:space="preserve"> = </w:instrText>
    </w:r>
    <w:r w:rsidR="003665FE">
      <w:fldChar w:fldCharType="begin"/>
    </w:r>
    <w:r w:rsidR="003665FE">
      <w:instrText xml:space="preserve"> NUMPAGES </w:instrText>
    </w:r>
    <w:r w:rsidR="003665FE">
      <w:fldChar w:fldCharType="separate"/>
    </w:r>
    <w:r w:rsidR="003665FE">
      <w:rPr>
        <w:noProof/>
      </w:rPr>
      <w:instrText>34</w:instrText>
    </w:r>
    <w:r w:rsidR="003665FE">
      <w:rPr>
        <w:noProof/>
      </w:rPr>
      <w:fldChar w:fldCharType="end"/>
    </w:r>
    <w:r w:rsidR="00B518C9">
      <w:instrText xml:space="preserve"> -0 </w:instrText>
    </w:r>
    <w:r w:rsidR="00B518C9">
      <w:fldChar w:fldCharType="separate"/>
    </w:r>
    <w:r w:rsidR="003665FE">
      <w:rPr>
        <w:noProof/>
      </w:rPr>
      <w:t>34</w:t>
    </w:r>
    <w:r w:rsidR="00B518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1E256BF0" w14:textId="77777777" w:rsidR="0022426E" w:rsidRPr="00CA3744" w:rsidRDefault="0022426E" w:rsidP="0022426E">
      <w:pPr>
        <w:pStyle w:val="FootnoteText"/>
      </w:pPr>
      <w:r>
        <w:rPr>
          <w:rStyle w:val="FootnoteReference"/>
        </w:rPr>
        <w:footnoteRef/>
      </w:r>
      <w:r>
        <w:tab/>
        <w:t xml:space="preserve">EUVL C, C/2024/6880, 28.11.2024, ELI: </w:t>
      </w:r>
      <w:hyperlink r:id="rId1" w:history="1">
        <w:r>
          <w:rPr>
            <w:rStyle w:val="Hyperlink"/>
          </w:rPr>
          <w:t>http://data.europa.eu/eli/C/2024/6880/oj</w:t>
        </w:r>
      </w:hyperlink>
      <w:r>
        <w:t>.</w:t>
      </w:r>
    </w:p>
  </w:footnote>
  <w:footnote w:id="2">
    <w:p w14:paraId="38C1F38F" w14:textId="77777777" w:rsidR="0022426E" w:rsidRDefault="0022426E" w:rsidP="0022426E">
      <w:pPr>
        <w:pStyle w:val="FootnoteText"/>
      </w:pPr>
      <w:r>
        <w:rPr>
          <w:rStyle w:val="FootnoteReference"/>
        </w:rPr>
        <w:footnoteRef/>
      </w:r>
      <w:r>
        <w:tab/>
      </w:r>
      <w:proofErr w:type="spellStart"/>
      <w:r>
        <w:t>ETSK:n</w:t>
      </w:r>
      <w:proofErr w:type="spellEnd"/>
      <w:r>
        <w:t xml:space="preserve"> lausunto aiheesta </w:t>
      </w:r>
      <w:hyperlink r:id="rId2" w:history="1">
        <w:r>
          <w:rPr>
            <w:rStyle w:val="Hyperlink"/>
            <w:i/>
          </w:rPr>
          <w:t>”Tarkastusten vastaavuus – Brasiliassa ja Moldovassa tuotetut siemenet (muutos)”</w:t>
        </w:r>
      </w:hyperlink>
      <w:r>
        <w:t xml:space="preserve">, </w:t>
      </w:r>
      <w:hyperlink r:id="rId3" w:history="1">
        <w:r>
          <w:rPr>
            <w:rStyle w:val="Hyperlink"/>
          </w:rPr>
          <w:t>EUVL C 227, 28.6.2018, s. 76–77</w:t>
        </w:r>
      </w:hyperlink>
      <w:r>
        <w:t>.</w:t>
      </w:r>
    </w:p>
  </w:footnote>
  <w:footnote w:id="3">
    <w:p w14:paraId="03A998D5" w14:textId="77777777" w:rsidR="0022426E" w:rsidRDefault="0022426E" w:rsidP="0022426E">
      <w:pPr>
        <w:pStyle w:val="FootnoteText"/>
      </w:pPr>
      <w:r>
        <w:rPr>
          <w:rStyle w:val="FootnoteReference"/>
        </w:rPr>
        <w:footnoteRef/>
      </w:r>
      <w:r>
        <w:tab/>
      </w:r>
      <w:proofErr w:type="spellStart"/>
      <w:r>
        <w:t>ETSK:n</w:t>
      </w:r>
      <w:proofErr w:type="spellEnd"/>
      <w:r>
        <w:t xml:space="preserve"> lausunto aiheesta </w:t>
      </w:r>
      <w:hyperlink r:id="rId4" w:history="1">
        <w:r>
          <w:rPr>
            <w:rStyle w:val="Hyperlink"/>
            <w:i/>
          </w:rPr>
          <w:t>”Tarkastusten vastaavuus: viljakasvien siemenet Ukrainassa”</w:t>
        </w:r>
      </w:hyperlink>
      <w:r>
        <w:t xml:space="preserve">, </w:t>
      </w:r>
      <w:hyperlink r:id="rId5" w:history="1">
        <w:r>
          <w:rPr>
            <w:rStyle w:val="Hyperlink"/>
          </w:rPr>
          <w:t>EUVL C 429, 26.8.2022, s. 276</w:t>
        </w:r>
      </w:hyperlink>
    </w:p>
  </w:footnote>
  <w:footnote w:id="4">
    <w:p w14:paraId="682385EB" w14:textId="77777777" w:rsidR="00766C5C" w:rsidRDefault="00766C5C" w:rsidP="00766C5C">
      <w:pPr>
        <w:pStyle w:val="FootnoteText"/>
      </w:pPr>
      <w:r>
        <w:rPr>
          <w:rStyle w:val="FootnoteReference"/>
        </w:rPr>
        <w:footnoteRef/>
      </w:r>
      <w:r>
        <w:tab/>
      </w:r>
      <w:proofErr w:type="spellStart"/>
      <w:r>
        <w:t>ETSK:n</w:t>
      </w:r>
      <w:proofErr w:type="spellEnd"/>
      <w:r>
        <w:t xml:space="preserve"> lausunto aiheesta </w:t>
      </w:r>
      <w:hyperlink r:id="rId6">
        <w:r>
          <w:rPr>
            <w:rStyle w:val="Hyperlink"/>
            <w:i/>
          </w:rPr>
          <w:t>EU:n päästökauppajärjestelmän tarkistaminen, mukaan lukien meriliikenne ja markkinavakausvaranto</w:t>
        </w:r>
      </w:hyperlink>
      <w:r>
        <w:t xml:space="preserve">, </w:t>
      </w:r>
      <w:hyperlink r:id="rId7">
        <w:r>
          <w:rPr>
            <w:rStyle w:val="Hyperlink"/>
          </w:rPr>
          <w:t>EUVL C 152, 6.4.2022, s. 175</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0D04ACA"/>
    <w:multiLevelType w:val="multilevel"/>
    <w:tmpl w:val="EF9E0304"/>
    <w:lvl w:ilvl="0">
      <w:start w:val="1"/>
      <w:numFmt w:val="decimal"/>
      <w:lvlText w:val="%1."/>
      <w:legacy w:legacy="1" w:legacySpace="0" w:legacyIndent="0"/>
      <w:lvlJc w:val="left"/>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17223B5"/>
    <w:multiLevelType w:val="multilevel"/>
    <w:tmpl w:val="2E5E4E1A"/>
    <w:lvl w:ilvl="0">
      <w:start w:val="1"/>
      <w:numFmt w:val="decimal"/>
      <w:lvlText w:val="%1."/>
      <w:legacy w:legacy="1" w:legacySpace="0" w:legacyIndent="0"/>
      <w:lvlJc w:val="left"/>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2F80CB9"/>
    <w:multiLevelType w:val="hybridMultilevel"/>
    <w:tmpl w:val="ABA4646E"/>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5"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1EE7FAF"/>
    <w:multiLevelType w:val="hybridMultilevel"/>
    <w:tmpl w:val="4A16BB68"/>
    <w:lvl w:ilvl="0" w:tplc="8E864B0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0E3A67"/>
    <w:multiLevelType w:val="hybridMultilevel"/>
    <w:tmpl w:val="8AAA0454"/>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8" w15:restartNumberingAfterBreak="0">
    <w:nsid w:val="13ED30BD"/>
    <w:multiLevelType w:val="hybridMultilevel"/>
    <w:tmpl w:val="200604FE"/>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9" w15:restartNumberingAfterBreak="0">
    <w:nsid w:val="148D176A"/>
    <w:multiLevelType w:val="hybridMultilevel"/>
    <w:tmpl w:val="C1AA1EE4"/>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0" w15:restartNumberingAfterBreak="0">
    <w:nsid w:val="19051C69"/>
    <w:multiLevelType w:val="hybridMultilevel"/>
    <w:tmpl w:val="1AAA3F2E"/>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1"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B5E10F0"/>
    <w:multiLevelType w:val="multilevel"/>
    <w:tmpl w:val="0E120D66"/>
    <w:lvl w:ilvl="0">
      <w:start w:val="1"/>
      <w:numFmt w:val="decimal"/>
      <w:lvlText w:val="%1."/>
      <w:legacy w:legacy="1" w:legacySpace="0" w:legacyIndent="0"/>
      <w:lvlJc w:val="left"/>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3" w15:restartNumberingAfterBreak="0">
    <w:nsid w:val="1BD6098A"/>
    <w:multiLevelType w:val="multilevel"/>
    <w:tmpl w:val="23BA133A"/>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E57284"/>
    <w:multiLevelType w:val="hybridMultilevel"/>
    <w:tmpl w:val="EE106B5E"/>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5" w15:restartNumberingAfterBreak="0">
    <w:nsid w:val="25B425D6"/>
    <w:multiLevelType w:val="hybridMultilevel"/>
    <w:tmpl w:val="93DAC0F8"/>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6" w15:restartNumberingAfterBreak="0">
    <w:nsid w:val="30D80DAB"/>
    <w:multiLevelType w:val="hybridMultilevel"/>
    <w:tmpl w:val="19C4EE9A"/>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5397D58"/>
    <w:multiLevelType w:val="hybridMultilevel"/>
    <w:tmpl w:val="FB048C98"/>
    <w:lvl w:ilvl="0" w:tplc="8E864B0C">
      <w:start w:val="1"/>
      <w:numFmt w:val="bullet"/>
      <w:lvlText w:val=""/>
      <w:lvlJc w:val="left"/>
      <w:pPr>
        <w:ind w:left="720" w:hanging="360"/>
      </w:pPr>
      <w:rPr>
        <w:rFonts w:ascii="Symbol" w:hAnsi="Symbol" w:hint="default"/>
        <w:color w:val="auto"/>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18" w15:restartNumberingAfterBreak="0">
    <w:nsid w:val="354961BE"/>
    <w:multiLevelType w:val="hybridMultilevel"/>
    <w:tmpl w:val="FE7A2590"/>
    <w:lvl w:ilvl="0" w:tplc="8E864B0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70B5809"/>
    <w:multiLevelType w:val="hybridMultilevel"/>
    <w:tmpl w:val="3EB406D8"/>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0" w15:restartNumberingAfterBreak="0">
    <w:nsid w:val="3BA449BC"/>
    <w:multiLevelType w:val="hybridMultilevel"/>
    <w:tmpl w:val="D4CE8610"/>
    <w:lvl w:ilvl="0" w:tplc="8E864B0C">
      <w:start w:val="1"/>
      <w:numFmt w:val="bullet"/>
      <w:lvlText w:val=""/>
      <w:lvlJc w:val="left"/>
      <w:pPr>
        <w:ind w:left="360" w:hanging="360"/>
      </w:pPr>
      <w:rPr>
        <w:rFonts w:ascii="Symbol" w:hAnsi="Symbol" w:hint="default"/>
        <w:color w:val="auto"/>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B6DBE"/>
    <w:multiLevelType w:val="hybridMultilevel"/>
    <w:tmpl w:val="E37EEBCE"/>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3" w15:restartNumberingAfterBreak="0">
    <w:nsid w:val="41563B29"/>
    <w:multiLevelType w:val="hybridMultilevel"/>
    <w:tmpl w:val="C77A11C0"/>
    <w:lvl w:ilvl="0" w:tplc="8E864B0C">
      <w:start w:val="1"/>
      <w:numFmt w:val="bullet"/>
      <w:lvlText w:val=""/>
      <w:lvlJc w:val="left"/>
      <w:pPr>
        <w:ind w:left="360" w:hanging="360"/>
      </w:pPr>
      <w:rPr>
        <w:rFonts w:ascii="Symbol" w:hAnsi="Symbol" w:hint="default"/>
        <w:color w:val="auto"/>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4D6D088A"/>
    <w:multiLevelType w:val="hybridMultilevel"/>
    <w:tmpl w:val="9B069E7A"/>
    <w:lvl w:ilvl="0" w:tplc="8E864B0C">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4F3A3A99"/>
    <w:multiLevelType w:val="hybridMultilevel"/>
    <w:tmpl w:val="64523796"/>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6" w15:restartNumberingAfterBreak="0">
    <w:nsid w:val="5108647E"/>
    <w:multiLevelType w:val="hybridMultilevel"/>
    <w:tmpl w:val="02B05D3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605EAB"/>
    <w:multiLevelType w:val="hybridMultilevel"/>
    <w:tmpl w:val="10E0C508"/>
    <w:lvl w:ilvl="0" w:tplc="8E864B0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7E65F36"/>
    <w:multiLevelType w:val="hybridMultilevel"/>
    <w:tmpl w:val="D6261C78"/>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0" w15:restartNumberingAfterBreak="0">
    <w:nsid w:val="60A26321"/>
    <w:multiLevelType w:val="hybridMultilevel"/>
    <w:tmpl w:val="64F4775E"/>
    <w:lvl w:ilvl="0" w:tplc="8E864B0C">
      <w:start w:val="1"/>
      <w:numFmt w:val="bullet"/>
      <w:lvlText w:val=""/>
      <w:lvlJc w:val="left"/>
      <w:pPr>
        <w:ind w:left="360" w:hanging="360"/>
      </w:pPr>
      <w:rPr>
        <w:rFonts w:ascii="Symbol" w:hAnsi="Symbol" w:hint="default"/>
        <w:color w:val="auto"/>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67125CFC"/>
    <w:multiLevelType w:val="multilevel"/>
    <w:tmpl w:val="F6F23CF0"/>
    <w:lvl w:ilvl="0">
      <w:start w:val="1"/>
      <w:numFmt w:val="decimal"/>
      <w:lvlText w:val="%1."/>
      <w:legacy w:legacy="1" w:legacySpace="0" w:legacyIndent="0"/>
      <w:lvlJc w:val="left"/>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2" w15:restartNumberingAfterBreak="0">
    <w:nsid w:val="7550421F"/>
    <w:multiLevelType w:val="hybridMultilevel"/>
    <w:tmpl w:val="C452131E"/>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3"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33"/>
  </w:num>
  <w:num w:numId="4">
    <w:abstractNumId w:val="1"/>
    <w:lvlOverride w:ilvl="0">
      <w:lvl w:ilvl="0">
        <w:start w:val="1"/>
        <w:numFmt w:val="bullet"/>
        <w:lvlText w:val=""/>
        <w:lvlJc w:val="left"/>
        <w:pPr>
          <w:ind w:left="720" w:hanging="360"/>
        </w:pPr>
        <w:rPr>
          <w:rFonts w:ascii="Symbol" w:hAnsi="Symbol" w:hint="default"/>
          <w:color w:val="auto"/>
        </w:rPr>
      </w:lvl>
    </w:lvlOverride>
  </w:num>
  <w:num w:numId="5">
    <w:abstractNumId w:val="27"/>
  </w:num>
  <w:num w:numId="6">
    <w:abstractNumId w:val="11"/>
  </w:num>
  <w:num w:numId="7">
    <w:abstractNumId w:val="21"/>
  </w:num>
  <w:num w:numId="8">
    <w:abstractNumId w:val="5"/>
  </w:num>
  <w:num w:numId="9">
    <w:abstractNumId w:val="23"/>
  </w:num>
  <w:num w:numId="10">
    <w:abstractNumId w:val="30"/>
  </w:num>
  <w:num w:numId="11">
    <w:abstractNumId w:val="26"/>
  </w:num>
  <w:num w:numId="12">
    <w:abstractNumId w:val="6"/>
  </w:num>
  <w:num w:numId="13">
    <w:abstractNumId w:val="9"/>
  </w:num>
  <w:num w:numId="14">
    <w:abstractNumId w:val="20"/>
  </w:num>
  <w:num w:numId="15">
    <w:abstractNumId w:val="13"/>
  </w:num>
  <w:num w:numId="16">
    <w:abstractNumId w:val="24"/>
  </w:num>
  <w:num w:numId="17">
    <w:abstractNumId w:val="32"/>
  </w:num>
  <w:num w:numId="18">
    <w:abstractNumId w:val="18"/>
  </w:num>
  <w:num w:numId="19">
    <w:abstractNumId w:val="15"/>
  </w:num>
  <w:num w:numId="20">
    <w:abstractNumId w:val="7"/>
  </w:num>
  <w:num w:numId="21">
    <w:abstractNumId w:val="14"/>
  </w:num>
  <w:num w:numId="22">
    <w:abstractNumId w:val="8"/>
  </w:num>
  <w:num w:numId="23">
    <w:abstractNumId w:val="22"/>
  </w:num>
  <w:num w:numId="24">
    <w:abstractNumId w:val="16"/>
  </w:num>
  <w:num w:numId="25">
    <w:abstractNumId w:val="29"/>
  </w:num>
  <w:num w:numId="26">
    <w:abstractNumId w:val="10"/>
  </w:num>
  <w:num w:numId="27">
    <w:abstractNumId w:val="28"/>
  </w:num>
  <w:num w:numId="28">
    <w:abstractNumId w:val="2"/>
  </w:num>
  <w:num w:numId="29">
    <w:abstractNumId w:val="3"/>
  </w:num>
  <w:num w:numId="30">
    <w:abstractNumId w:val="31"/>
  </w:num>
  <w:num w:numId="31">
    <w:abstractNumId w:val="25"/>
  </w:num>
  <w:num w:numId="32">
    <w:abstractNumId w:val="4"/>
  </w:num>
  <w:num w:numId="33">
    <w:abstractNumId w:val="19"/>
  </w:num>
  <w:num w:numId="34">
    <w:abstractNumId w:val="17"/>
  </w:num>
  <w:num w:numId="35">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fi-FI" w:vendorID="64" w:dllVersion="6" w:nlCheck="1" w:checkStyle="0"/>
  <w:activeWritingStyle w:appName="MSWord" w:lang="fi-FI" w:vendorID="64" w:dllVersion="4096" w:nlCheck="1" w:checkStyle="0"/>
  <w:activeWritingStyle w:appName="MSWord" w:lang="nl-BE" w:vendorID="64" w:dllVersion="4096" w:nlCheck="1" w:checkStyle="0"/>
  <w:activeWritingStyle w:appName="MSWord" w:lang="en-GB"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6204"/>
    <w:rsid w:val="00010A4D"/>
    <w:rsid w:val="000149E8"/>
    <w:rsid w:val="00063DFF"/>
    <w:rsid w:val="00066CBB"/>
    <w:rsid w:val="00097FC2"/>
    <w:rsid w:val="000C3B46"/>
    <w:rsid w:val="000D394D"/>
    <w:rsid w:val="00176078"/>
    <w:rsid w:val="001C7C61"/>
    <w:rsid w:val="001E391D"/>
    <w:rsid w:val="0022426E"/>
    <w:rsid w:val="002A5636"/>
    <w:rsid w:val="002B6ACC"/>
    <w:rsid w:val="002B7981"/>
    <w:rsid w:val="002E68A0"/>
    <w:rsid w:val="003066BE"/>
    <w:rsid w:val="003227CC"/>
    <w:rsid w:val="003464D1"/>
    <w:rsid w:val="003665FE"/>
    <w:rsid w:val="003F326D"/>
    <w:rsid w:val="003F5613"/>
    <w:rsid w:val="003F77B6"/>
    <w:rsid w:val="003F79EF"/>
    <w:rsid w:val="004236AE"/>
    <w:rsid w:val="0043191A"/>
    <w:rsid w:val="00477683"/>
    <w:rsid w:val="004A5CD7"/>
    <w:rsid w:val="004B6F2A"/>
    <w:rsid w:val="004D7AC0"/>
    <w:rsid w:val="00532089"/>
    <w:rsid w:val="005864B0"/>
    <w:rsid w:val="00586B4B"/>
    <w:rsid w:val="005A0BDA"/>
    <w:rsid w:val="005D66E1"/>
    <w:rsid w:val="005E7651"/>
    <w:rsid w:val="006373AD"/>
    <w:rsid w:val="0064109F"/>
    <w:rsid w:val="00641262"/>
    <w:rsid w:val="0069225E"/>
    <w:rsid w:val="006B41A2"/>
    <w:rsid w:val="006D2C8A"/>
    <w:rsid w:val="006D2D64"/>
    <w:rsid w:val="007637DF"/>
    <w:rsid w:val="00766B1A"/>
    <w:rsid w:val="00766C5C"/>
    <w:rsid w:val="007E4A83"/>
    <w:rsid w:val="007F5784"/>
    <w:rsid w:val="008441A2"/>
    <w:rsid w:val="00845F24"/>
    <w:rsid w:val="0088219D"/>
    <w:rsid w:val="00922CE7"/>
    <w:rsid w:val="00943C9F"/>
    <w:rsid w:val="009C236A"/>
    <w:rsid w:val="009D79C3"/>
    <w:rsid w:val="009F1E74"/>
    <w:rsid w:val="00A20E9D"/>
    <w:rsid w:val="00A272B2"/>
    <w:rsid w:val="00A62AB4"/>
    <w:rsid w:val="00AD4580"/>
    <w:rsid w:val="00AD5C40"/>
    <w:rsid w:val="00AF6ED5"/>
    <w:rsid w:val="00B203DA"/>
    <w:rsid w:val="00B41FF0"/>
    <w:rsid w:val="00B518C9"/>
    <w:rsid w:val="00B61A11"/>
    <w:rsid w:val="00BC5FBA"/>
    <w:rsid w:val="00BE54B3"/>
    <w:rsid w:val="00BE6201"/>
    <w:rsid w:val="00C008B4"/>
    <w:rsid w:val="00C17ABD"/>
    <w:rsid w:val="00C26C67"/>
    <w:rsid w:val="00C821A5"/>
    <w:rsid w:val="00CE0BE3"/>
    <w:rsid w:val="00D31A28"/>
    <w:rsid w:val="00D43613"/>
    <w:rsid w:val="00D444F3"/>
    <w:rsid w:val="00D51D1E"/>
    <w:rsid w:val="00D7076A"/>
    <w:rsid w:val="00D81F5E"/>
    <w:rsid w:val="00D92269"/>
    <w:rsid w:val="00DB6C97"/>
    <w:rsid w:val="00DE176A"/>
    <w:rsid w:val="00DF3AF9"/>
    <w:rsid w:val="00E00A6B"/>
    <w:rsid w:val="00E77899"/>
    <w:rsid w:val="00EB49F6"/>
    <w:rsid w:val="00EB5D7A"/>
    <w:rsid w:val="00F76C4F"/>
    <w:rsid w:val="00F83B68"/>
    <w:rsid w:val="00F83C17"/>
    <w:rsid w:val="00F93366"/>
    <w:rsid w:val="00F96D7F"/>
    <w:rsid w:val="00FB1362"/>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NormalWeb">
    <w:name w:val="Normal (Web)"/>
    <w:basedOn w:val="Normal"/>
    <w:uiPriority w:val="99"/>
    <w:unhideWhenUsed/>
    <w:rsid w:val="00DF3AF9"/>
    <w:pPr>
      <w:spacing w:before="100" w:beforeAutospacing="1" w:after="100" w:afterAutospacing="1" w:line="240" w:lineRule="auto"/>
      <w:jc w:val="left"/>
    </w:pPr>
    <w:rPr>
      <w:sz w:val="24"/>
      <w:szCs w:val="24"/>
      <w:lang w:eastAsia="fr-B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DF3AF9"/>
    <w:rPr>
      <w:rFonts w:ascii="Times New Roman" w:eastAsia="Times New Roman" w:hAnsi="Times New Roman" w:cs="Times New Roman"/>
    </w:rPr>
  </w:style>
  <w:style w:type="character" w:styleId="Strong">
    <w:name w:val="Strong"/>
    <w:basedOn w:val="DefaultParagraphFont"/>
    <w:uiPriority w:val="22"/>
    <w:qFormat/>
    <w:rsid w:val="00BE6201"/>
    <w:rPr>
      <w:b/>
      <w:bCs/>
    </w:rPr>
  </w:style>
  <w:style w:type="paragraph" w:styleId="TOC2">
    <w:name w:val="toc 2"/>
    <w:basedOn w:val="Normal"/>
    <w:next w:val="Normal"/>
    <w:autoRedefine/>
    <w:uiPriority w:val="39"/>
    <w:unhideWhenUsed/>
    <w:rsid w:val="0064109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fi/our-work/opinions-information-reports/plenary-session-summaries" TargetMode="External"/><Relationship Id="rId18" Type="http://schemas.openxmlformats.org/officeDocument/2006/relationships/hyperlink" Target="https://www.eesc.europa.eu/fi/our-work/opinions-information-reports/opinions/supplementary-pensions-package-pepp-and-iorp" TargetMode="External"/><Relationship Id="rId26" Type="http://schemas.openxmlformats.org/officeDocument/2006/relationships/hyperlink" Target="https://www.eesc.europa.eu/fi/our-work/opinions-information-reports/opinions/eu-drugs-strategy" TargetMode="External"/><Relationship Id="rId39" Type="http://schemas.openxmlformats.org/officeDocument/2006/relationships/hyperlink" Target="mailto:Silvia.Staffa@eesc.europa.eu" TargetMode="External"/><Relationship Id="rId21" Type="http://schemas.openxmlformats.org/officeDocument/2006/relationships/hyperlink" Target="mailto:Bartek.Bednarowicz@eesc.europa.eu" TargetMode="External"/><Relationship Id="rId34" Type="http://schemas.openxmlformats.org/officeDocument/2006/relationships/hyperlink" Target="https://www.eesc.europa.eu/fi/our-work/opinions-information-reports/information-reports/evaluation-regulation-eu-20191020-market-surveillance-and-compliance-products" TargetMode="External"/><Relationship Id="rId42" Type="http://schemas.openxmlformats.org/officeDocument/2006/relationships/hyperlink" Target="https://www.eesc.europa.eu/fi/our-work/opinions-information-reports/opinions/new-rules-drug-precursors" TargetMode="External"/><Relationship Id="rId47" Type="http://schemas.openxmlformats.org/officeDocument/2006/relationships/hyperlink" Target="mailto:Silvia.Staffa@eesc.europa.eu" TargetMode="External"/><Relationship Id="rId50" Type="http://schemas.openxmlformats.org/officeDocument/2006/relationships/hyperlink" Target="https://www.eesc.europa.eu/fi/our-work/opinions-information-reports/opinions/eu-startups-and-scale-strategy-focus-european-innovation-act" TargetMode="External"/><Relationship Id="rId55" Type="http://schemas.openxmlformats.org/officeDocument/2006/relationships/hyperlink" Target="mailto:Anna.Cameron@eesc.europa.eu" TargetMode="External"/><Relationship Id="rId63" Type="http://schemas.openxmlformats.org/officeDocument/2006/relationships/hyperlink" Target="mailto:David.Hoic@eesc.europa.eu"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esc.europa.eu/fi/our-work/opinions-information-reports/opinions/eu-policy-agenda-liveable-cities" TargetMode="External"/><Relationship Id="rId29" Type="http://schemas.openxmlformats.org/officeDocument/2006/relationships/hyperlink" Target="mailto:JeanMarie.Rogue@eesc.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esc.europa.eu/fi/our-work/opinions-information-reports/opinions/eu-competitiveness-and-youth-entrepreneurship" TargetMode="External"/><Relationship Id="rId32" Type="http://schemas.openxmlformats.org/officeDocument/2006/relationships/hyperlink" Target="https://www.eesc.europa.eu/fi/our-work/opinions-information-reports/opinions/revision-co2-standards-cars-and-vans" TargetMode="External"/><Relationship Id="rId37" Type="http://schemas.openxmlformats.org/officeDocument/2006/relationships/hyperlink" Target="mailto:Radoslava.Stefankova@eesc.europa.eu" TargetMode="External"/><Relationship Id="rId40" Type="http://schemas.openxmlformats.org/officeDocument/2006/relationships/hyperlink" Target="https://www.eesc.europa.eu/fi/our-work/opinions-information-reports/opinions/developing-european-centre-clinical-excellence-pharmaceuticals" TargetMode="External"/><Relationship Id="rId45" Type="http://schemas.openxmlformats.org/officeDocument/2006/relationships/hyperlink" Target="mailto:Silvia.Staffa@eesc.europa.eu" TargetMode="External"/><Relationship Id="rId53" Type="http://schemas.openxmlformats.org/officeDocument/2006/relationships/hyperlink" Target="mailto:Caroline.Verhelst@eesc.europa.eu" TargetMode="External"/><Relationship Id="rId58" Type="http://schemas.openxmlformats.org/officeDocument/2006/relationships/hyperlink" Target="https://www.eesc.europa.eu/fi/our-work/opinions-information-reports/opinions/equivalence-field-inspections-carried-out-third-countries-seed-producing-crops-and-equivalence-seed-produced-third" TargetMode="External"/><Relationship Id="rId66" Type="http://schemas.openxmlformats.org/officeDocument/2006/relationships/hyperlink" Target="https://www.eesc.europa.eu/fi/our-work/opinions-information-reports/opinions/programme-agile-and-rapid-defence-innovation-agil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Bartek.Bednarowicz@eesc.europa.eu%20" TargetMode="External"/><Relationship Id="rId28" Type="http://schemas.openxmlformats.org/officeDocument/2006/relationships/hyperlink" Target="https://www.eesc.europa.eu/fi/our-work/opinions-information-reports/opinions/culture-compass-europe" TargetMode="External"/><Relationship Id="rId36" Type="http://schemas.openxmlformats.org/officeDocument/2006/relationships/hyperlink" Target="https://www.eesc.europa.eu/fi/our-work/opinions-information-reports/opinions/2030-consumer-agenda" TargetMode="External"/><Relationship Id="rId49" Type="http://schemas.openxmlformats.org/officeDocument/2006/relationships/hyperlink" Target="mailto:Annalisa.Tessarolo@eesc.europa.eu" TargetMode="External"/><Relationship Id="rId57" Type="http://schemas.openxmlformats.org/officeDocument/2006/relationships/hyperlink" Target="mailto:Martine.Delanoy@eesc.europa.eu" TargetMode="External"/><Relationship Id="rId61" Type="http://schemas.openxmlformats.org/officeDocument/2006/relationships/hyperlink" Target="mailto:Gaizka.Maloelcoro-iribe@eesc.europa.eu" TargetMode="External"/><Relationship Id="rId10" Type="http://schemas.openxmlformats.org/officeDocument/2006/relationships/footnotes" Target="footnotes.xml"/><Relationship Id="rId19" Type="http://schemas.openxmlformats.org/officeDocument/2006/relationships/hyperlink" Target="mailto:Sergio.LorencioMatallana@eesc.europa.eu" TargetMode="External"/><Relationship Id="rId31" Type="http://schemas.openxmlformats.org/officeDocument/2006/relationships/hyperlink" Target="mailto:Silvia.Staffa@eesc.europa.eu" TargetMode="External"/><Relationship Id="rId44" Type="http://schemas.openxmlformats.org/officeDocument/2006/relationships/hyperlink" Target="https://www.eesc.europa.eu/fi/our-work/opinions-information-reports/opinions/proposal-regulation-targeted-revision-eu-rules-medical-devices-and-vitro-diagnostics" TargetMode="External"/><Relationship Id="rId52" Type="http://schemas.openxmlformats.org/officeDocument/2006/relationships/hyperlink" Target="https://www.eesc.europa.eu/fi/our-work/opinions-information-reports/opinions/comprehensive-strategy-nature-based-biodegradable-materials-foster-circularity-and-resource-efficiency-strengthen-agri" TargetMode="External"/><Relationship Id="rId60" Type="http://schemas.openxmlformats.org/officeDocument/2006/relationships/hyperlink" Target="https://www.eesc.europa.eu/fi/our-work/opinions-information-reports/opinions/invalidation-allowances-market-stability-reserve" TargetMode="External"/><Relationship Id="rId65" Type="http://schemas.openxmlformats.org/officeDocument/2006/relationships/hyperlink" Target="mailto:Andreas.Berger@eesc.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fi/our-work/opinions-information-reports/opinions/union-equality-lgbtiq-equality-strategy-2026-2030" TargetMode="External"/><Relationship Id="rId27" Type="http://schemas.openxmlformats.org/officeDocument/2006/relationships/hyperlink" Target="mailto:Gemma.Amran@eesc.europa.eu" TargetMode="External"/><Relationship Id="rId30" Type="http://schemas.openxmlformats.org/officeDocument/2006/relationships/hyperlink" Target="https://www.eesc.europa.eu/fi/our-work/opinions-information-reports/opinions/over-tourism-short-term-rentals-and-crowding-out-local-populations-finding-right-balance" TargetMode="External"/><Relationship Id="rId35" Type="http://schemas.openxmlformats.org/officeDocument/2006/relationships/hyperlink" Target="mailto:Annalisa.Tessarolo@eesc.europa.eu" TargetMode="External"/><Relationship Id="rId43" Type="http://schemas.openxmlformats.org/officeDocument/2006/relationships/hyperlink" Target="mailto:Radoslava.Stefankova@eesc.europa.eu" TargetMode="External"/><Relationship Id="rId48" Type="http://schemas.openxmlformats.org/officeDocument/2006/relationships/hyperlink" Target="https://www.eesc.europa.eu/fi/our-work/opinions-information-reports/opinions/single-market-tackling-unjustified-territorial-supply-constraints" TargetMode="External"/><Relationship Id="rId56" Type="http://schemas.openxmlformats.org/officeDocument/2006/relationships/hyperlink" Target="https://www.eesc.europa.eu/fi/our-work/opinions-information-reports/opinions/food-and-feed-safety-simplification-omnibus" TargetMode="External"/><Relationship Id="rId64" Type="http://schemas.openxmlformats.org/officeDocument/2006/relationships/hyperlink" Target="https://www.eesc.europa.eu/fi/our-work/opinions-information-reports/opinions/role-private-sector-and-civil-society-strengthening-economic-cooperation-within-pact-mediterranean"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Jana.Valant@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Georgios.Meleas@eesc.europa.eu" TargetMode="External"/><Relationship Id="rId25" Type="http://schemas.openxmlformats.org/officeDocument/2006/relationships/hyperlink" Target="mailto:Bartek.Bednarowicz@eesc.europa.eu" TargetMode="External"/><Relationship Id="rId33" Type="http://schemas.openxmlformats.org/officeDocument/2006/relationships/hyperlink" Target="mailto:Silvia.Staffa@eesc.europa.eu" TargetMode="External"/><Relationship Id="rId38" Type="http://schemas.openxmlformats.org/officeDocument/2006/relationships/hyperlink" Target="https://www.eesc.europa.eu/fi/our-work/opinions-information-reports/opinions/cybersecurity-act-1" TargetMode="External"/><Relationship Id="rId46" Type="http://schemas.openxmlformats.org/officeDocument/2006/relationships/hyperlink" Target="https://www.eesc.europa.eu/fi/our-work/opinions-information-reports/opinions/strategic-standardisation-stronger-single-market" TargetMode="External"/><Relationship Id="rId59" Type="http://schemas.openxmlformats.org/officeDocument/2006/relationships/hyperlink" Target="mailto:Arturo.Iniguez@eesc.europa.eu" TargetMode="External"/><Relationship Id="rId67" Type="http://schemas.openxmlformats.org/officeDocument/2006/relationships/hyperlink" Target="mailto:Ioannis.Diamantopoulos@eesc.europa.eu" TargetMode="External"/><Relationship Id="rId20" Type="http://schemas.openxmlformats.org/officeDocument/2006/relationships/hyperlink" Target="https://www.eesc.europa.eu/fi/our-work/opinions-information-reports/opinions/ban-conversion-practices-european-union" TargetMode="External"/><Relationship Id="rId41" Type="http://schemas.openxmlformats.org/officeDocument/2006/relationships/hyperlink" Target="mailto:Radoslava.stefankova@eesc.europa.eu" TargetMode="External"/><Relationship Id="rId54" Type="http://schemas.openxmlformats.org/officeDocument/2006/relationships/hyperlink" Target="https://www.eesc.europa.eu/fi/our-work/opinions-information-reports/opinions/eu-bioeconomy-strategy-towards-circular-regenerative-and-competitive-bioeconomy" TargetMode="External"/><Relationship Id="rId62" Type="http://schemas.openxmlformats.org/officeDocument/2006/relationships/hyperlink" Target="https://www.eesc.europa.eu/fi/our-work/opinions-information-reports/opinions/civil-societys-role-supporting-reform-under-growth-plans-western-balkans-and-moldova-well-ukraines-reform-pat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I/TXT/?uri=uriserv:OJ.C_.2018.227.01.0076.01.FIN&amp;toc=OJ:C:2018:227:TOC" TargetMode="External"/><Relationship Id="rId7" Type="http://schemas.openxmlformats.org/officeDocument/2006/relationships/hyperlink" Target="https://eur-lex.europa.eu/legal-content/FI/TXT/?uri=uriserv%3AOJ.C_.2022.152.01.0175.01.FIN&amp;toc=OJ%3AC%3A2022%3A152%3ATOC" TargetMode="External"/><Relationship Id="rId2" Type="http://schemas.openxmlformats.org/officeDocument/2006/relationships/hyperlink" Target="https://www.eesc.europa.eu/fi/our-work/opinions-information-reports/opinions/equivalence-inspections-seed-produced-brazil-and-moldova-modification" TargetMode="External"/><Relationship Id="rId1" Type="http://schemas.openxmlformats.org/officeDocument/2006/relationships/hyperlink" Target="http://data.europa.eu/eli/C/2024/6880/oj" TargetMode="External"/><Relationship Id="rId6" Type="http://schemas.openxmlformats.org/officeDocument/2006/relationships/hyperlink" Target="https://www.eesc.europa.eu/fi/our-work/opinions-information-reports/opinions/revision-eu-emissions-trading-system-ets-including-maritime-transport-and-market-stability-reserve" TargetMode="External"/><Relationship Id="rId5" Type="http://schemas.openxmlformats.org/officeDocument/2006/relationships/hyperlink" Target="https://eur-lex.europa.eu/legal-content/FI/TXT/?uri=uriserv%3AOJ.C_.2020.429.01.0276.01.FIN&amp;toc=OJ%3AC%3A2020%3A429%3ATOC" TargetMode="External"/><Relationship Id="rId4" Type="http://schemas.openxmlformats.org/officeDocument/2006/relationships/hyperlink" Target="https://www.eesc.europa.eu/fi/our-work/opinions-information-reports/opinions/seed-equivalence-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VP3JK3XSEPRV-2087481956-8603</_dlc_DocId>
    <_dlc_DocIdUrl xmlns="7d640e6d-779c-472f-a269-6b546787f1c9">
      <Url>http://dm/eesc/2026/_layouts/15/DocIdRedir.aspx?ID=VP3JK3XSEPRV-2087481956-8603</Url>
      <Description>VP3JK3XSEPRV-2087481956-8603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2026-05-13T12:00:00+00:00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Eskelinen Juha</DisplayName>
        <AccountId>1430</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88CD9-5EE4-4EB7-B546-EA98810FD5CF}">
  <ds:schemaRefs>
    <ds:schemaRef ds:uri="http://schemas.microsoft.com/sharepoint/events"/>
  </ds:schemaRefs>
</ds:datastoreItem>
</file>

<file path=customXml/itemProps2.xml><?xml version="1.0" encoding="utf-8"?>
<ds:datastoreItem xmlns:ds="http://schemas.openxmlformats.org/officeDocument/2006/customXml" ds:itemID="{62E3C5D6-F0B5-47DB-BE7C-32FF8C4EF632}">
  <ds:schemaRefs>
    <ds:schemaRef ds:uri="http://schemas.microsoft.com/sharepoint/v3/contenttype/forms"/>
  </ds:schemaRefs>
</ds:datastoreItem>
</file>

<file path=customXml/itemProps3.xml><?xml version="1.0" encoding="utf-8"?>
<ds:datastoreItem xmlns:ds="http://schemas.openxmlformats.org/officeDocument/2006/customXml" ds:itemID="{D449B649-141F-4C3D-8901-2F6459AEBBF7}">
  <ds:schemaRefs>
    <ds:schemaRef ds:uri="http://schemas.openxmlformats.org/officeDocument/2006/bibliography"/>
  </ds:schemaRefs>
</ds:datastoreItem>
</file>

<file path=customXml/itemProps4.xml><?xml version="1.0" encoding="utf-8"?>
<ds:datastoreItem xmlns:ds="http://schemas.openxmlformats.org/officeDocument/2006/customXml" ds:itemID="{9FCA33E1-3F15-4A91-B7B6-7465861EED29}">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5.xml><?xml version="1.0" encoding="utf-8"?>
<ds:datastoreItem xmlns:ds="http://schemas.openxmlformats.org/officeDocument/2006/customXml" ds:itemID="{5549B32E-9766-4603-A474-2394535D7096}"/>
</file>

<file path=docProps/app.xml><?xml version="1.0" encoding="utf-8"?>
<Properties xmlns="http://schemas.openxmlformats.org/officeDocument/2006/extended-properties" xmlns:vt="http://schemas.openxmlformats.org/officeDocument/2006/docPropsVTypes">
  <Template>Normal.dotm</Template>
  <TotalTime>0</TotalTime>
  <Pages>34</Pages>
  <Words>7770</Words>
  <Characters>62940</Characters>
  <Application>Microsoft Office Word</Application>
  <DocSecurity>0</DocSecurity>
  <Lines>524</Lines>
  <Paragraphs>141</Paragraphs>
  <ScaleCrop>false</ScaleCrop>
  <HeadingPairs>
    <vt:vector size="2" baseType="variant">
      <vt:variant>
        <vt:lpstr>Title</vt:lpstr>
      </vt:variant>
      <vt:variant>
        <vt:i4>1</vt:i4>
      </vt:variant>
    </vt:vector>
  </HeadingPairs>
  <TitlesOfParts>
    <vt:vector size="1" baseType="lpstr">
      <vt:lpstr>Täysistunnossa annetut lausunnot - ETSK:n uusi asiakirjamalli</vt:lpstr>
    </vt:vector>
  </TitlesOfParts>
  <Manager/>
  <Company/>
  <LinksUpToDate>false</LinksUpToDate>
  <CharactersWithSpaces>70569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Annetut lausunnot - 605. täysistunto - huhtikuu 2026</dc:title>
  <dc:subject>ADMIN</dc:subject>
  <dc:creator/>
  <cp:keywords>COR-EESC-2022-02583-01-00-ADMIN-TRA-EN</cp:keywords>
  <dc:description>Rapporteur:  - Original language: EN - Date of document: 05/12/2022 - Date of meeting:  - External documents:  - Administrator:  SUCIU Serban</dc:description>
  <cp:lastModifiedBy/>
  <cp:revision>31</cp:revision>
  <dcterms:created xsi:type="dcterms:W3CDTF">2026-05-11T05:18:00Z</dcterms:created>
  <dcterms:modified xsi:type="dcterms:W3CDTF">2026-05-13T05:44:00Z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02/05/2022, 02/05/2022, 28/06/2021</vt:lpwstr>
  </property>
  <property fmtid="{D5CDD505-2E9C-101B-9397-08002B2CF9AE}" pid="4" name="Pref_Time">
    <vt:lpwstr>12:28:29, 12:25:37, 08:41:48</vt:lpwstr>
  </property>
  <property fmtid="{D5CDD505-2E9C-101B-9397-08002B2CF9AE}" pid="5" name="Pref_User">
    <vt:lpwstr>enied, enied, enied</vt:lpwstr>
  </property>
  <property fmtid="{D5CDD505-2E9C-101B-9397-08002B2CF9AE}" pid="6" name="Pref_FileName">
    <vt:lpwstr>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ec783f28-3322-4a4d-a13c-0fc7b4446bf4</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936</vt:i4>
  </property>
  <property fmtid="{D5CDD505-2E9C-101B-9397-08002B2CF9AE}" pid="14" name="DocumentYear">
    <vt:i4>2026</vt:i4>
  </property>
  <property fmtid="{D5CDD505-2E9C-101B-9397-08002B2CF9AE}" pid="15" name="DocumentVersion">
    <vt:i4>0</vt:i4>
  </property>
  <property fmtid="{D5CDD505-2E9C-101B-9397-08002B2CF9AE}" pid="16" name="FicheNumber">
    <vt:i4>303002</vt:i4>
  </property>
  <property fmtid="{D5CDD505-2E9C-101B-9397-08002B2CF9AE}" pid="17" name="DocumentStatus">
    <vt:lpwstr>9;#TRA|150d2a88-1431-44e6-a8ca-0bb753ab8672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DocumentType">
    <vt:lpwstr>18;#TCD|cd9d6eb6-3f4f-424a-b2d1-57c9d450eaaf</vt:lpwstr>
  </property>
  <property fmtid="{D5CDD505-2E9C-101B-9397-08002B2CF9AE}" pid="22" name="RequestingService">
    <vt:lpwstr>Greffe</vt:lpwstr>
  </property>
  <property fmtid="{D5CDD505-2E9C-101B-9397-08002B2CF9AE}" pid="23" name="Confidentiality">
    <vt:lpwstr>19;#Unrestricted|826e22d7-d029-4ec0-a450-0c28ff673572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59;#SPL-CES|32d8cb1f-c9ec-4365-95c7-8385a18618ac</vt:lpwstr>
  </property>
  <property fmtid="{D5CDD505-2E9C-101B-9397-08002B2CF9AE}" pid="28" name="AvailableTranslations_0">
    <vt:lpwstr>EN|f2175f21-25d7-44a3-96da-d6a61b075e1b;IT|0774613c-01ed-4e5d-a25d-11d2388de825;SL|98a412ae-eb01-49e9-ae3d-585a81724cfc;PT|50ccc04a-eadd-42ae-a0cb-acaf45f812ba;DE|f6b31e5a-26fa-4935-b661-318e46daf27e;SV|c2ed69e7-a339-43d7-8f22-d93680a92aa0</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31;#SL|98a412ae-eb01-49e9-ae3d-585a81724cfc;#28;#PT|50ccc04a-eadd-42ae-a0cb-acaf45f812ba;#59;#SPL-CES|32d8cb1f-c9ec-4365-95c7-8385a18618ac;#19;#Unrestricted|826e22d7-d029-4ec0-a450-0c28ff673572;#18;#TCD|cd9d6eb6-3f4f-424a-b2d1-57c9d450eaaf;#13;#IT|0774613c-01ed-4e5d-a25d-11d2388de825;#22;#FI|87606a43-d45f-42d6-b8c9-e1a3457db5b7;#11;#DE|f6b31e5a-26fa-4935-b661-318e46daf27e;#9;#TRA|150d2a88-1431-44e6-a8ca-0bb753ab8672;#45;#SV|c2ed69e7-a339-43d7-8f22-d93680a92aa0;#7;#Final|ea5e6674-7b27-4bac-b091-73adbb394efe;#4;#EN|f2175f21-25d7-44a3-96da-d6a61b075e1b;#1;#EESC|422833ec-8d7e-4e65-8e4e-8bed07ffb729</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Language">
    <vt:lpwstr>25;#FI|87606a43-d45f-42d6-b8c9-e1a3457db5b7</vt:lpwstr>
  </property>
  <property fmtid="{D5CDD505-2E9C-101B-9397-08002B2CF9AE}" pid="35" name="MeetingNumber">
    <vt:i4>606</vt:i4>
  </property>
  <property fmtid="{D5CDD505-2E9C-101B-9397-08002B2CF9AE}" pid="36" name="DocumentLanguage_0">
    <vt:lpwstr>FI|87606a43-d45f-42d6-b8c9-e1a3457db5b7</vt:lpwstr>
  </property>
  <property fmtid="{D5CDD505-2E9C-101B-9397-08002B2CF9AE}" pid="37" name="MeetingDate">
    <vt:filetime>2026-06-17T12:00:00Z</vt:filetime>
  </property>
  <property fmtid="{D5CDD505-2E9C-101B-9397-08002B2CF9AE}" pid="38" name="_docset_NoMedatataSyncRequired">
    <vt:lpwstr>False</vt:lpwstr>
  </property>
</Properties>
</file>