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E491AD9" w:rsidR="004D7AC0" w:rsidRDefault="00C36EAF" w:rsidP="001766B2">
      <w:pPr>
        <w:jc w:val="center"/>
      </w:pPr>
      <w:r>
        <w:rPr>
          <w:noProof/>
        </w:rPr>
        <w:drawing>
          <wp:inline distT="0" distB="0" distL="0" distR="0" wp14:anchorId="1E46697B" wp14:editId="3EAB5783">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6597E40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Brüssel, 22. mai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TÄISKOGU 605. ISTUNGJÄRK</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29.‒30. aprill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VASTUVÕETUD ARVAMUSTE, RESOLUTSIOONIDE JA TEABE/HINDAMISARUANNETE KOKKUVÕTE</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t>Käesolev dokument on kättesaadav kõigis ELi ametlikes keeltes</w:t>
            </w:r>
            <w:r>
              <w:br/>
              <w:t>komitee kodulehel:</w:t>
            </w:r>
            <w:r>
              <w:br/>
            </w:r>
            <w:r>
              <w:br/>
            </w:r>
            <w:hyperlink r:id="rId13" w:history="1">
              <w:r>
                <w:rPr>
                  <w:rStyle w:val="Hyperlink"/>
                </w:rPr>
                <w:t>https://www.eesc.europa.eu/et/our-work/opinions-information-reports/plenary-session-summaries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t>Dokumendis nimetatud arvamustega saab tutvuda internetis, kasutades komitee otsingumootorit:</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Sisukord</w:t>
      </w:r>
    </w:p>
    <w:p w14:paraId="2174B63A" w14:textId="77777777" w:rsidR="00A067F3" w:rsidRPr="00A81AFE" w:rsidRDefault="00A067F3" w:rsidP="001766B2">
      <w:pPr>
        <w:rPr>
          <w:b/>
        </w:rPr>
      </w:pPr>
    </w:p>
    <w:p w14:paraId="38B07372" w14:textId="40D2043F" w:rsidR="00C84405" w:rsidRDefault="00C84405">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\h \z \u \t "Heading 2,1" </w:instrText>
      </w:r>
      <w:r>
        <w:fldChar w:fldCharType="separate"/>
      </w:r>
      <w:hyperlink w:anchor="_Toc230329488" w:history="1">
        <w:r w:rsidRPr="004A0445">
          <w:rPr>
            <w:rStyle w:val="Hyperlink"/>
            <w:bCs/>
            <w:noProof/>
          </w:rPr>
          <w:t>1.</w:t>
        </w:r>
        <w:r>
          <w:rPr>
            <w:rFonts w:asciiTheme="minorHAnsi" w:eastAsiaTheme="minorEastAsia" w:hAnsiTheme="minorHAnsi" w:cstheme="minorBidi"/>
            <w:noProof/>
            <w:lang w:val="en-US"/>
          </w:rPr>
          <w:tab/>
        </w:r>
        <w:r w:rsidRPr="004A0445">
          <w:rPr>
            <w:rStyle w:val="Hyperlink"/>
            <w:noProof/>
          </w:rPr>
          <w:t xml:space="preserve">MAJANDUS- JA RAHALIIDU NING MAJANDUSLIKU JA SOTSIAALSE </w:t>
        </w:r>
        <w:r>
          <w:rPr>
            <w:rStyle w:val="Hyperlink"/>
            <w:noProof/>
          </w:rPr>
          <w:tab/>
        </w:r>
        <w:r w:rsidRPr="004A0445">
          <w:rPr>
            <w:rStyle w:val="Hyperlink"/>
            <w:noProof/>
          </w:rPr>
          <w:t>ÜHTEKUULUVUSE SEKTSIOON</w:t>
        </w:r>
        <w:r>
          <w:rPr>
            <w:noProof/>
            <w:webHidden/>
          </w:rPr>
          <w:tab/>
        </w:r>
        <w:r>
          <w:rPr>
            <w:noProof/>
            <w:webHidden/>
          </w:rPr>
          <w:fldChar w:fldCharType="begin"/>
        </w:r>
        <w:r>
          <w:rPr>
            <w:noProof/>
            <w:webHidden/>
          </w:rPr>
          <w:instrText xml:space="preserve"> PAGEREF _Toc230329488 \h </w:instrText>
        </w:r>
        <w:r>
          <w:rPr>
            <w:noProof/>
            <w:webHidden/>
          </w:rPr>
        </w:r>
        <w:r>
          <w:rPr>
            <w:noProof/>
            <w:webHidden/>
          </w:rPr>
          <w:fldChar w:fldCharType="separate"/>
        </w:r>
        <w:r>
          <w:rPr>
            <w:noProof/>
            <w:webHidden/>
          </w:rPr>
          <w:t>3</w:t>
        </w:r>
        <w:r>
          <w:rPr>
            <w:noProof/>
            <w:webHidden/>
          </w:rPr>
          <w:fldChar w:fldCharType="end"/>
        </w:r>
      </w:hyperlink>
    </w:p>
    <w:p w14:paraId="6449BB0C" w14:textId="68162AC2" w:rsidR="00C84405" w:rsidRDefault="00C84405">
      <w:pPr>
        <w:pStyle w:val="TOC1"/>
        <w:tabs>
          <w:tab w:val="left" w:pos="440"/>
          <w:tab w:val="right" w:leader="dot" w:pos="9063"/>
        </w:tabs>
        <w:rPr>
          <w:rFonts w:asciiTheme="minorHAnsi" w:eastAsiaTheme="minorEastAsia" w:hAnsiTheme="minorHAnsi" w:cstheme="minorBidi"/>
          <w:noProof/>
          <w:lang w:val="en-US"/>
        </w:rPr>
      </w:pPr>
      <w:hyperlink w:anchor="_Toc230329489" w:history="1">
        <w:r w:rsidRPr="004A0445">
          <w:rPr>
            <w:rStyle w:val="Hyperlink"/>
            <w:bCs/>
            <w:noProof/>
          </w:rPr>
          <w:t>2.</w:t>
        </w:r>
        <w:r>
          <w:rPr>
            <w:rFonts w:asciiTheme="minorHAnsi" w:eastAsiaTheme="minorEastAsia" w:hAnsiTheme="minorHAnsi" w:cstheme="minorBidi"/>
            <w:noProof/>
            <w:lang w:val="en-US"/>
          </w:rPr>
          <w:tab/>
        </w:r>
        <w:r w:rsidRPr="004A0445">
          <w:rPr>
            <w:rStyle w:val="Hyperlink"/>
            <w:noProof/>
          </w:rPr>
          <w:t>TÖÖHÕIVE, SOTSIAALKÜSIMUSTE JA KODAKONDSUSE SEKTSIOON</w:t>
        </w:r>
        <w:r>
          <w:rPr>
            <w:noProof/>
            <w:webHidden/>
          </w:rPr>
          <w:tab/>
        </w:r>
        <w:r>
          <w:rPr>
            <w:noProof/>
            <w:webHidden/>
          </w:rPr>
          <w:fldChar w:fldCharType="begin"/>
        </w:r>
        <w:r>
          <w:rPr>
            <w:noProof/>
            <w:webHidden/>
          </w:rPr>
          <w:instrText xml:space="preserve"> PAGEREF _Toc230329489 \h </w:instrText>
        </w:r>
        <w:r>
          <w:rPr>
            <w:noProof/>
            <w:webHidden/>
          </w:rPr>
        </w:r>
        <w:r>
          <w:rPr>
            <w:noProof/>
            <w:webHidden/>
          </w:rPr>
          <w:fldChar w:fldCharType="separate"/>
        </w:r>
        <w:r>
          <w:rPr>
            <w:noProof/>
            <w:webHidden/>
          </w:rPr>
          <w:t>7</w:t>
        </w:r>
        <w:r>
          <w:rPr>
            <w:noProof/>
            <w:webHidden/>
          </w:rPr>
          <w:fldChar w:fldCharType="end"/>
        </w:r>
      </w:hyperlink>
    </w:p>
    <w:p w14:paraId="7B99A501" w14:textId="7F5100E9" w:rsidR="00C84405" w:rsidRDefault="00C84405">
      <w:pPr>
        <w:pStyle w:val="TOC1"/>
        <w:tabs>
          <w:tab w:val="left" w:pos="440"/>
          <w:tab w:val="right" w:leader="dot" w:pos="9063"/>
        </w:tabs>
        <w:rPr>
          <w:rFonts w:asciiTheme="minorHAnsi" w:eastAsiaTheme="minorEastAsia" w:hAnsiTheme="minorHAnsi" w:cstheme="minorBidi"/>
          <w:noProof/>
          <w:lang w:val="en-US"/>
        </w:rPr>
      </w:pPr>
      <w:hyperlink w:anchor="_Toc230329490" w:history="1">
        <w:r w:rsidRPr="004A0445">
          <w:rPr>
            <w:rStyle w:val="Hyperlink"/>
            <w:bCs/>
            <w:noProof/>
          </w:rPr>
          <w:t>3.</w:t>
        </w:r>
        <w:r>
          <w:rPr>
            <w:rFonts w:asciiTheme="minorHAnsi" w:eastAsiaTheme="minorEastAsia" w:hAnsiTheme="minorHAnsi" w:cstheme="minorBidi"/>
            <w:noProof/>
            <w:lang w:val="en-US"/>
          </w:rPr>
          <w:tab/>
        </w:r>
        <w:r w:rsidRPr="004A0445">
          <w:rPr>
            <w:rStyle w:val="Hyperlink"/>
            <w:noProof/>
          </w:rPr>
          <w:t>ÜHTSE TURU, TOOTMISE JA TARBIMISE SEKTSIOON</w:t>
        </w:r>
        <w:r>
          <w:rPr>
            <w:noProof/>
            <w:webHidden/>
          </w:rPr>
          <w:tab/>
        </w:r>
        <w:r>
          <w:rPr>
            <w:noProof/>
            <w:webHidden/>
          </w:rPr>
          <w:fldChar w:fldCharType="begin"/>
        </w:r>
        <w:r>
          <w:rPr>
            <w:noProof/>
            <w:webHidden/>
          </w:rPr>
          <w:instrText xml:space="preserve"> PAGEREF _Toc230329490 \h </w:instrText>
        </w:r>
        <w:r>
          <w:rPr>
            <w:noProof/>
            <w:webHidden/>
          </w:rPr>
        </w:r>
        <w:r>
          <w:rPr>
            <w:noProof/>
            <w:webHidden/>
          </w:rPr>
          <w:fldChar w:fldCharType="separate"/>
        </w:r>
        <w:r>
          <w:rPr>
            <w:noProof/>
            <w:webHidden/>
          </w:rPr>
          <w:t>13</w:t>
        </w:r>
        <w:r>
          <w:rPr>
            <w:noProof/>
            <w:webHidden/>
          </w:rPr>
          <w:fldChar w:fldCharType="end"/>
        </w:r>
      </w:hyperlink>
    </w:p>
    <w:p w14:paraId="505C1BE9" w14:textId="10F6737B" w:rsidR="00C84405" w:rsidRDefault="00C84405">
      <w:pPr>
        <w:pStyle w:val="TOC1"/>
        <w:tabs>
          <w:tab w:val="left" w:pos="440"/>
          <w:tab w:val="right" w:leader="dot" w:pos="9063"/>
        </w:tabs>
        <w:rPr>
          <w:rFonts w:asciiTheme="minorHAnsi" w:eastAsiaTheme="minorEastAsia" w:hAnsiTheme="minorHAnsi" w:cstheme="minorBidi"/>
          <w:noProof/>
          <w:lang w:val="en-US"/>
        </w:rPr>
      </w:pPr>
      <w:hyperlink w:anchor="_Toc230329491" w:history="1">
        <w:r w:rsidRPr="004A0445">
          <w:rPr>
            <w:rStyle w:val="Hyperlink"/>
            <w:bCs/>
            <w:noProof/>
          </w:rPr>
          <w:t>4.</w:t>
        </w:r>
        <w:r>
          <w:rPr>
            <w:rFonts w:asciiTheme="minorHAnsi" w:eastAsiaTheme="minorEastAsia" w:hAnsiTheme="minorHAnsi" w:cstheme="minorBidi"/>
            <w:noProof/>
            <w:lang w:val="en-US"/>
          </w:rPr>
          <w:tab/>
        </w:r>
        <w:r w:rsidRPr="004A0445">
          <w:rPr>
            <w:rStyle w:val="Hyperlink"/>
            <w:noProof/>
          </w:rPr>
          <w:t>PÕLLUMAJANDUSE, MAAELU ARENGU JA KESKKONNA SEKTSIOON</w:t>
        </w:r>
        <w:r>
          <w:rPr>
            <w:noProof/>
            <w:webHidden/>
          </w:rPr>
          <w:tab/>
        </w:r>
        <w:r>
          <w:rPr>
            <w:noProof/>
            <w:webHidden/>
          </w:rPr>
          <w:fldChar w:fldCharType="begin"/>
        </w:r>
        <w:r>
          <w:rPr>
            <w:noProof/>
            <w:webHidden/>
          </w:rPr>
          <w:instrText xml:space="preserve"> PAGEREF _Toc230329491 \h </w:instrText>
        </w:r>
        <w:r>
          <w:rPr>
            <w:noProof/>
            <w:webHidden/>
          </w:rPr>
        </w:r>
        <w:r>
          <w:rPr>
            <w:noProof/>
            <w:webHidden/>
          </w:rPr>
          <w:fldChar w:fldCharType="separate"/>
        </w:r>
        <w:r>
          <w:rPr>
            <w:noProof/>
            <w:webHidden/>
          </w:rPr>
          <w:t>25</w:t>
        </w:r>
        <w:r>
          <w:rPr>
            <w:noProof/>
            <w:webHidden/>
          </w:rPr>
          <w:fldChar w:fldCharType="end"/>
        </w:r>
      </w:hyperlink>
    </w:p>
    <w:p w14:paraId="78A79FEB" w14:textId="7D2BAC60" w:rsidR="00C84405" w:rsidRDefault="00C84405">
      <w:pPr>
        <w:pStyle w:val="TOC1"/>
        <w:tabs>
          <w:tab w:val="left" w:pos="440"/>
          <w:tab w:val="right" w:leader="dot" w:pos="9063"/>
        </w:tabs>
        <w:rPr>
          <w:rFonts w:asciiTheme="minorHAnsi" w:eastAsiaTheme="minorEastAsia" w:hAnsiTheme="minorHAnsi" w:cstheme="minorBidi"/>
          <w:noProof/>
          <w:lang w:val="en-US"/>
        </w:rPr>
      </w:pPr>
      <w:hyperlink w:anchor="_Toc230329492" w:history="1">
        <w:r w:rsidRPr="004A0445">
          <w:rPr>
            <w:rStyle w:val="Hyperlink"/>
            <w:bCs/>
            <w:noProof/>
          </w:rPr>
          <w:t>5.</w:t>
        </w:r>
        <w:r>
          <w:rPr>
            <w:rFonts w:asciiTheme="minorHAnsi" w:eastAsiaTheme="minorEastAsia" w:hAnsiTheme="minorHAnsi" w:cstheme="minorBidi"/>
            <w:noProof/>
            <w:lang w:val="en-US"/>
          </w:rPr>
          <w:tab/>
        </w:r>
        <w:r w:rsidRPr="004A0445">
          <w:rPr>
            <w:rStyle w:val="Hyperlink"/>
            <w:noProof/>
          </w:rPr>
          <w:t>VÄLISSUHETE SEKTSIOON</w:t>
        </w:r>
        <w:r>
          <w:rPr>
            <w:noProof/>
            <w:webHidden/>
          </w:rPr>
          <w:tab/>
        </w:r>
        <w:r>
          <w:rPr>
            <w:noProof/>
            <w:webHidden/>
          </w:rPr>
          <w:fldChar w:fldCharType="begin"/>
        </w:r>
        <w:r>
          <w:rPr>
            <w:noProof/>
            <w:webHidden/>
          </w:rPr>
          <w:instrText xml:space="preserve"> PAGEREF _Toc230329492 \h </w:instrText>
        </w:r>
        <w:r>
          <w:rPr>
            <w:noProof/>
            <w:webHidden/>
          </w:rPr>
        </w:r>
        <w:r>
          <w:rPr>
            <w:noProof/>
            <w:webHidden/>
          </w:rPr>
          <w:fldChar w:fldCharType="separate"/>
        </w:r>
        <w:r>
          <w:rPr>
            <w:noProof/>
            <w:webHidden/>
          </w:rPr>
          <w:t>32</w:t>
        </w:r>
        <w:r>
          <w:rPr>
            <w:noProof/>
            <w:webHidden/>
          </w:rPr>
          <w:fldChar w:fldCharType="end"/>
        </w:r>
      </w:hyperlink>
    </w:p>
    <w:p w14:paraId="51AEF840" w14:textId="5035F3AD" w:rsidR="00C84405" w:rsidRDefault="00C84405">
      <w:pPr>
        <w:pStyle w:val="TOC1"/>
        <w:tabs>
          <w:tab w:val="left" w:pos="440"/>
          <w:tab w:val="right" w:leader="dot" w:pos="9063"/>
        </w:tabs>
        <w:rPr>
          <w:rFonts w:asciiTheme="minorHAnsi" w:eastAsiaTheme="minorEastAsia" w:hAnsiTheme="minorHAnsi" w:cstheme="minorBidi"/>
          <w:noProof/>
          <w:lang w:val="en-US"/>
        </w:rPr>
      </w:pPr>
      <w:hyperlink w:anchor="_Toc230329493" w:history="1">
        <w:r w:rsidRPr="004A0445">
          <w:rPr>
            <w:rStyle w:val="Hyperlink"/>
            <w:bCs/>
            <w:noProof/>
          </w:rPr>
          <w:t>6.</w:t>
        </w:r>
        <w:r>
          <w:rPr>
            <w:rFonts w:asciiTheme="minorHAnsi" w:eastAsiaTheme="minorEastAsia" w:hAnsiTheme="minorHAnsi" w:cstheme="minorBidi"/>
            <w:noProof/>
            <w:lang w:val="en-US"/>
          </w:rPr>
          <w:tab/>
        </w:r>
        <w:r w:rsidRPr="004A0445">
          <w:rPr>
            <w:rStyle w:val="Hyperlink"/>
            <w:noProof/>
          </w:rPr>
          <w:t>TÖÖSTUSE MUUTUSTE NÕUANDEKOMISJON</w:t>
        </w:r>
        <w:r>
          <w:rPr>
            <w:noProof/>
            <w:webHidden/>
          </w:rPr>
          <w:tab/>
        </w:r>
        <w:r>
          <w:rPr>
            <w:noProof/>
            <w:webHidden/>
          </w:rPr>
          <w:fldChar w:fldCharType="begin"/>
        </w:r>
        <w:r>
          <w:rPr>
            <w:noProof/>
            <w:webHidden/>
          </w:rPr>
          <w:instrText xml:space="preserve"> PAGEREF _Toc230329493 \h </w:instrText>
        </w:r>
        <w:r>
          <w:rPr>
            <w:noProof/>
            <w:webHidden/>
          </w:rPr>
        </w:r>
        <w:r>
          <w:rPr>
            <w:noProof/>
            <w:webHidden/>
          </w:rPr>
          <w:fldChar w:fldCharType="separate"/>
        </w:r>
        <w:r>
          <w:rPr>
            <w:noProof/>
            <w:webHidden/>
          </w:rPr>
          <w:t>36</w:t>
        </w:r>
        <w:r>
          <w:rPr>
            <w:noProof/>
            <w:webHidden/>
          </w:rPr>
          <w:fldChar w:fldCharType="end"/>
        </w:r>
      </w:hyperlink>
    </w:p>
    <w:p w14:paraId="4982DD6B" w14:textId="40768F15" w:rsidR="004D7AC0" w:rsidRDefault="00C84405"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30329488"/>
      <w:r>
        <w:t>MAJANDUS- JA RAHALIIDU NING MAJANDUSLIKU JA SOTSIAALSE ÜHTEKUULUVUSE SEKTSIOON</w:t>
      </w:r>
      <w:bookmarkEnd w:id="0"/>
    </w:p>
    <w:p w14:paraId="4982DD6E" w14:textId="77777777" w:rsidR="004D7AC0" w:rsidRDefault="004D7AC0" w:rsidP="001766B2"/>
    <w:p w14:paraId="258C871E" w14:textId="600FF6C6" w:rsidR="00F37962" w:rsidRPr="004C6742" w:rsidRDefault="00C84405"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sidR="00C36EAF">
          <w:rPr>
            <w:b/>
            <w:i/>
            <w:color w:val="0000FF"/>
            <w:sz w:val="28"/>
            <w:u w:val="single"/>
          </w:rPr>
          <w:t>ELi elamisväärsete linnade poliitiline tegevuskava</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616"/>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bCs/>
              </w:rPr>
              <w:t>Raportöör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bCs/>
              </w:rPr>
              <w:t>Kaasraportöör</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proofErr w:type="spellStart"/>
            <w:r>
              <w:t>Florian</w:t>
            </w:r>
            <w:proofErr w:type="spellEnd"/>
            <w:r>
              <w:t xml:space="preserve"> MARIN (töötajate rühm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(kodanikuühiskonna organisatsioonide rühm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 xml:space="preserve">COM(2025) 552 </w:t>
            </w:r>
            <w:proofErr w:type="spellStart"/>
            <w:r>
              <w:t>final</w:t>
            </w:r>
            <w:proofErr w:type="spellEnd"/>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Põhipunktid</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Euroopa Majandus- ja Sotsiaalkomitee:</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on seisukohal, et linnad on Euroopa Liidu majandusliku, sotsiaalse ja territoriaalse arengu selgroog. Nad on sotsiaalse, ökoloogilise ja majandusliku ümberkujundamise põhiruumid, kus innovatsioon peaks olema suunatud elukvaliteedi parandamisele;</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väljendab küll heameelt Euroopa Komisjoni keeruka lähenemisviisi ja kavatsuse üle tugevdada ELi linnapoliitika tegevuskava ning selle üldist visiooni jõukatest, elamisväärsetest ja kaasavatest linnadest, ent on seisukohal, et kavandatud tegevuskava ei vasta veel selles seatud eesmärkidele;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teeb ettepaneku, et ta kaastaks koos Euroopa Regioonide Komiteega ametlikult kavandatavasse ELi linnapoliitika tegevuskavasse, mis kajastaks talle Ljubljana lepingus ja Amsterdami paktis omistatud ametlikku rolli ning tema aktiivset osalemist kõigis ELi linnade tegevuskava valdkondades;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teeb ettepaneku, et ELi linnapoliitika tegevuskava peaks kindlalt tuginema </w:t>
      </w:r>
      <w:proofErr w:type="spellStart"/>
      <w:r>
        <w:t>mitmetasandilisele</w:t>
      </w:r>
      <w:proofErr w:type="spellEnd"/>
      <w:r>
        <w:t xml:space="preserve"> valitsemisele, partnerluse põhimõttele ja kohapõhisele lähenemisviisile. See peab tagama tasakaalustatud territoriaalse arengu ning tugevdama sotsiaal- ja kodanikuühiskonna dialoogi;</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kutsub seetõttu komisjoni üles toimima järgmiselt:</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tunnustama nii komiteed kui ka linnu ELi linnapoliitika kujundamisel mitte üksnes </w:t>
      </w:r>
      <w:proofErr w:type="spellStart"/>
      <w:r>
        <w:t>rakendajatena</w:t>
      </w:r>
      <w:proofErr w:type="spellEnd"/>
      <w:r>
        <w:t xml:space="preserve">, vaid ametlikult võrdsete partneritena, luues alalise ja struktureeritud </w:t>
      </w:r>
      <w:proofErr w:type="spellStart"/>
      <w:r>
        <w:t>mitmetasandilise</w:t>
      </w:r>
      <w:proofErr w:type="spellEnd"/>
      <w:r>
        <w:t xml:space="preserve"> valitsemiskorra;</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tugevdama partnerluse põhimõtet, tagades organiseeritud kodanikuühiskonna süstemaatilise ja sisulise kaasamise kogu ELi linnapoliitika tegevuskava poliitikatsükli vältel;</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nägema ELi linnapoliitika tegevuskava jaoks ette konkreetse ja operatiivse tegevusraamistiku, mis hõlmab selgelt määratletud kohustusi, ajakavasid ja mõõdetavaid näitajaid; Seejuures tuleks kasutusele võtta süstemaatiline territoriaalse mõju hindamine, et vaadelda ELi õigusaktide mõju linnadele;</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tagama linnaarengu asjakohase, prognoositava ja kättesaadava rahastamise, sealhulgas linnade otsese juurdepääsu ELi vahenditele;</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edendama integreeritud, projektipõhist ja kohapõhist lähenemist territoriaalsele ühtekuuluvusele, tugevdades sõnaselgelt linnade ja maapiirkondade vastastikust täiendavust;</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töötama ELi linnade platvormi raames välja ELi tasandi linnadialoogi, mille eesmärk on rõhutada sotsiaal- ja kodanikuühiskonna dialoogi rolli tähtsust tööhõiveküsimustes;</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suurendama linnadele suunatud tehnilise abi fondi ja võtma kasutusele spetsiaalse Euroopa algatuse või fondi, mis keskendub otseselt linnaprojektidele;</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pakkuma välja selged konsultatsioonistandardid, et tagada sotsiaalpartnerite ja kodanikuühiskonna sisuline, õigeaegne ja representatiivne kaasamine kõigil tasanditel;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looma ühtse ELi tasandi raamistiku linnaandmete kogumiseks ja esitamiseks, et tagada näitajate võrreldavus ja tõhus järelevalve kõigis liikmesriikides;</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tunnistama, et eluase on pigem struktuurne sotsiaalne ja majanduslik küsimus kui turutulemus, ning nõudma ELi raamistikku, millega tagatakse juurdepääs taskukohasele eluasemele;</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on seisukohal, et peamine mehhanism, mida kasutatakse Euroopa ühtekuuluvuspoliitika vahendite rakendamiseks integreeritud ja kohapõhisel viisil, on kogukonna juhitud kohalik areng. Linnades/linnapiirkondades tuleb kogukonna juhitud kohalik linnaareng viia praegusest katsestaatusest kaugemale ja seda tuleb tunnustada kui üht kõige tõhusamat vahendit kohalike kogukondade aktiveerimiseks, töökohtade loomiseks, sotsiaalmajanduse tugevdamiseks ja sidusrühmade kaasamiseks;</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leiab, et kehtestada tuleks spetsiaalne meede kogukonna juhitud kohaliku linnaarengu tulevaseks konsolideerimiseks, et see kaasataks ametlikult ELi tasandi otsustusprotsessidesse ja sihipärastesse tehnilistesse konsultatsioonidesse ekspertidega.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Kontaktisik</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E-post</w:t>
            </w:r>
          </w:p>
        </w:tc>
        <w:tc>
          <w:tcPr>
            <w:tcW w:w="7904" w:type="dxa"/>
          </w:tcPr>
          <w:p w14:paraId="122227DF" w14:textId="77777777" w:rsidR="00F37962" w:rsidRPr="00E129EB" w:rsidRDefault="00C84405" w:rsidP="002E7EFB">
            <w:pPr>
              <w:overflowPunct w:val="0"/>
              <w:autoSpaceDE w:val="0"/>
              <w:autoSpaceDN w:val="0"/>
              <w:adjustRightInd w:val="0"/>
              <w:textAlignment w:val="baseline"/>
              <w:rPr>
                <w:i/>
                <w:iCs/>
              </w:rPr>
            </w:pPr>
            <w:hyperlink r:id="rId22" w:history="1">
              <w:r w:rsidR="00C36EAF">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C84405" w:rsidP="004C6742">
      <w:pPr>
        <w:pStyle w:val="ListParagraph"/>
        <w:numPr>
          <w:ilvl w:val="0"/>
          <w:numId w:val="76"/>
        </w:numPr>
      </w:pPr>
      <w:hyperlink r:id="rId23" w:history="1">
        <w:r w:rsidR="00A067F3">
          <w:rPr>
            <w:b/>
            <w:i/>
            <w:color w:val="0000FF"/>
            <w:sz w:val="28"/>
            <w:u w:val="single"/>
          </w:rPr>
          <w:t xml:space="preserve">Täiendavate pensionide pakett: </w:t>
        </w:r>
        <w:proofErr w:type="spellStart"/>
        <w:r w:rsidR="00A067F3">
          <w:rPr>
            <w:b/>
            <w:i/>
            <w:color w:val="0000FF"/>
            <w:sz w:val="28"/>
            <w:u w:val="single"/>
          </w:rPr>
          <w:t>üleeuroopaline</w:t>
        </w:r>
        <w:proofErr w:type="spellEnd"/>
        <w:r w:rsidR="00A067F3">
          <w:rPr>
            <w:b/>
            <w:i/>
            <w:color w:val="0000FF"/>
            <w:sz w:val="28"/>
            <w:u w:val="single"/>
          </w:rPr>
          <w:t xml:space="preserve"> personaalne pensionitoode (PEPP) ja tööandja kogumispensioni asutus (IORP)</w:t>
        </w:r>
      </w:hyperlink>
    </w:p>
    <w:p w14:paraId="2C43C133" w14:textId="59A61810" w:rsidR="00F37962" w:rsidRPr="009360D7" w:rsidRDefault="00F37962" w:rsidP="004C6742">
      <w:pPr>
        <w:pStyle w:val="ListParagraph"/>
        <w:rPr>
          <w:sz w:val="20"/>
          <w:szCs w:val="20"/>
          <w:lang w:val="en-GB"/>
        </w:rPr>
      </w:pPr>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Raportöör</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proofErr w:type="spellStart"/>
            <w:r>
              <w:t>María</w:t>
            </w:r>
            <w:proofErr w:type="spellEnd"/>
            <w:r>
              <w:t xml:space="preserve"> </w:t>
            </w:r>
            <w:proofErr w:type="spellStart"/>
            <w:r>
              <w:t>del</w:t>
            </w:r>
            <w:proofErr w:type="spellEnd"/>
            <w:r>
              <w:t xml:space="preserve"> Carmen BARRERA CHAMORRO (töötajate rühm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Viitedokumendid</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w:t>
            </w:r>
            <w:proofErr w:type="spellStart"/>
            <w:r>
              <w:t>final</w:t>
            </w:r>
            <w:proofErr w:type="spellEnd"/>
            <w:r>
              <w:t xml:space="preserve">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w:t>
            </w:r>
            <w:proofErr w:type="spellStart"/>
            <w:r>
              <w:t>final</w:t>
            </w:r>
            <w:proofErr w:type="spellEnd"/>
            <w:r>
              <w:t xml:space="preserve">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842 </w:t>
            </w:r>
            <w:proofErr w:type="spellStart"/>
            <w:r>
              <w:t>final</w:t>
            </w:r>
            <w:proofErr w:type="spellEnd"/>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Põhipunktid</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Euroopa Majandus- ja Sotsiaalkomitee:</w:t>
      </w: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tunnistab</w:t>
      </w:r>
      <w:r>
        <w:t xml:space="preserve"> </w:t>
      </w:r>
      <w:proofErr w:type="spellStart"/>
      <w:r>
        <w:rPr>
          <w:b/>
        </w:rPr>
        <w:t>mitmesambalise</w:t>
      </w:r>
      <w:proofErr w:type="spellEnd"/>
      <w:r>
        <w:rPr>
          <w:b/>
        </w:rPr>
        <w:t xml:space="preserve"> pensionisüsteemi</w:t>
      </w:r>
      <w:r>
        <w:t xml:space="preserve"> eeliseid ning on veendunud, et täiendavate pensionide olemasolu ei tohi olla õigustus riiklike pensionide vähendamiseks. Tuleb tagada, et kogu Euroopa Liidu kodanikud saavad pensionile jääda väärikalt, turvaliselt ja piisava sissetulekuga. Asjakohasel tasandil – riigi või Euroopa tasandil – </w:t>
      </w:r>
      <w:r>
        <w:rPr>
          <w:b/>
        </w:rPr>
        <w:t>on vaja terviklikku lähenemisviisi</w:t>
      </w:r>
      <w:r>
        <w:t>, mis peaks hõlmama nii tööturu kui ka täiendava pensionisüsteemi parandamist;</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võtta asjakohaseid meetmeid </w:t>
      </w:r>
      <w:r>
        <w:rPr>
          <w:b/>
        </w:rPr>
        <w:t>kaasava juhtimise tõhustamiseks</w:t>
      </w:r>
      <w:r>
        <w:t xml:space="preserve"> ja sotsiaalpartnerite osalemise edendamiseks, säilitades nende läbirääkimisvabaduse ja arvestades ELi süsteemide mitmekesisust;</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teha </w:t>
      </w:r>
      <w:r>
        <w:rPr>
          <w:b/>
        </w:rPr>
        <w:t>tööandja kogumispensioni asutuste (IORP) direktiivis</w:t>
      </w:r>
      <w:r>
        <w:t xml:space="preserve"> konkreetseid muudatusi, et vähendada killustatust, suurendada sidusust ja läbipaistvust ning tagada pensioniskeemi liikmete usaldus;</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teha </w:t>
      </w:r>
      <w:proofErr w:type="spellStart"/>
      <w:r>
        <w:rPr>
          <w:b/>
        </w:rPr>
        <w:t>üleeuroopalise</w:t>
      </w:r>
      <w:proofErr w:type="spellEnd"/>
      <w:r>
        <w:rPr>
          <w:b/>
        </w:rPr>
        <w:t xml:space="preserve"> personaalse pensionitoote (PEPP) määruses</w:t>
      </w:r>
      <w:r>
        <w:t xml:space="preserve"> konkreetseid muudatusi, muu hulgas teavitamise ja nõustamise, EIOPA rolli ja piiriülese ülekandmise kohta;</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võtta meetmeid parema </w:t>
      </w:r>
      <w:r>
        <w:rPr>
          <w:b/>
        </w:rPr>
        <w:t>soolise tasakaalu</w:t>
      </w:r>
      <w:r>
        <w:t xml:space="preserve"> saavutamiseks ja </w:t>
      </w:r>
      <w:r>
        <w:rPr>
          <w:b/>
        </w:rPr>
        <w:t>üldsuse usalduse suurendamiseks</w:t>
      </w:r>
      <w:r>
        <w:t xml:space="preserve"> pensionitoodete vastu ning tagada, et </w:t>
      </w:r>
      <w:proofErr w:type="spellStart"/>
      <w:r>
        <w:rPr>
          <w:b/>
        </w:rPr>
        <w:t>PEPPid</w:t>
      </w:r>
      <w:proofErr w:type="spellEnd"/>
      <w:r>
        <w:rPr>
          <w:b/>
        </w:rPr>
        <w:t xml:space="preserve"> jäävad personaalseteks</w:t>
      </w:r>
      <w:r>
        <w:t xml:space="preserve"> toodeteks, keelates kollektiivse ostmise;</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kutsub</w:t>
      </w:r>
      <w:r>
        <w:t xml:space="preserve"> kaasseadusandjaid </w:t>
      </w:r>
      <w:r>
        <w:rPr>
          <w:b/>
        </w:rPr>
        <w:t>üles</w:t>
      </w:r>
      <w:r>
        <w:t xml:space="preserve"> kaaluma IORP direktiivis sätestatud </w:t>
      </w:r>
      <w:r>
        <w:rPr>
          <w:b/>
        </w:rPr>
        <w:t>mõistlikkuse põhimõtte ümbersõnastamist</w:t>
      </w:r>
      <w:r>
        <w:t xml:space="preserve">, et </w:t>
      </w:r>
      <w:r>
        <w:rPr>
          <w:b/>
        </w:rPr>
        <w:t>leida sobiv tasakaal</w:t>
      </w:r>
      <w:r>
        <w:t xml:space="preserve"> investeerimisriski ja pensioniskeemi sissemaksete tagamise vahel;</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et </w:t>
      </w:r>
      <w:r>
        <w:rPr>
          <w:b/>
        </w:rPr>
        <w:t>automaatne liitumine</w:t>
      </w:r>
      <w:r>
        <w:t xml:space="preserve"> oleks tugevdatud </w:t>
      </w:r>
      <w:r>
        <w:rPr>
          <w:b/>
        </w:rPr>
        <w:t>sotsiaaldialoogi</w:t>
      </w:r>
      <w:r>
        <w:t xml:space="preserve"> ja kollektiivläbirääkimiste tulemus, kui see on asjakohane, säilitades sotsiaalpartnerite vabaduse pensioniskeeme kujundada ja nende üle läbi rääkida ning otsustada automaatse liitumise üle;</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Euroopa Komisjonil luua </w:t>
      </w:r>
      <w:r>
        <w:rPr>
          <w:b/>
        </w:rPr>
        <w:t>seirekomisjoni</w:t>
      </w:r>
      <w:r>
        <w:t xml:space="preserve">, et tõhusalt </w:t>
      </w:r>
      <w:r>
        <w:rPr>
          <w:b/>
        </w:rPr>
        <w:t>jälgida täiendavate pensionidega seotud edusamme</w:t>
      </w:r>
      <w:r>
        <w:t xml:space="preserve">. Selles peaksid osalema avaliku sektori asutused, sotsiaalpartnerid ja kodanikuühiskonna organisatsioonid. Seirekomisjoni töö peaks olema </w:t>
      </w:r>
      <w:r>
        <w:rPr>
          <w:b/>
        </w:rPr>
        <w:t>aluseks</w:t>
      </w:r>
      <w:r>
        <w:t xml:space="preserve"> tulevastele regulatiivsetele muudatustele ning andma panuse Euroopa poolaasta ja nõukogu töösse;</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 võtta meetmeid, et leevendada</w:t>
      </w:r>
      <w:r>
        <w:t xml:space="preserve"> võimalikku mõju pensionide </w:t>
      </w:r>
      <w:r>
        <w:rPr>
          <w:b/>
        </w:rPr>
        <w:t>kestlikkusele</w:t>
      </w:r>
      <w:r>
        <w:t xml:space="preserve"> ning </w:t>
      </w:r>
      <w:r>
        <w:rPr>
          <w:b/>
        </w:rPr>
        <w:t>vaesuse</w:t>
      </w:r>
      <w:r>
        <w:t xml:space="preserve"> ja </w:t>
      </w:r>
      <w:r>
        <w:rPr>
          <w:b/>
        </w:rPr>
        <w:t>ebavõrdsuse</w:t>
      </w:r>
      <w:r>
        <w:t xml:space="preserve"> vähendamisele;</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soovitab</w:t>
      </w:r>
      <w:r>
        <w:t xml:space="preserve"> viia lõpule Euroopa </w:t>
      </w:r>
      <w:r>
        <w:rPr>
          <w:b/>
        </w:rPr>
        <w:t>sotsiaalkindlustussüsteemide digiülemineku</w:t>
      </w:r>
      <w:r>
        <w:t xml:space="preserve"> koordineerimise töö;</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toonitab</w:t>
      </w:r>
      <w:r>
        <w:t xml:space="preserve"> vajadust </w:t>
      </w:r>
      <w:r>
        <w:rPr>
          <w:b/>
        </w:rPr>
        <w:t>finantshariduse</w:t>
      </w:r>
      <w:r>
        <w:t xml:space="preserve"> järele, mida toetavad kasutajasõbralikud </w:t>
      </w:r>
      <w:r>
        <w:rPr>
          <w:b/>
        </w:rPr>
        <w:t>seirevahendid</w:t>
      </w:r>
      <w:r>
        <w:t xml:space="preserve"> ning juurdepääs </w:t>
      </w:r>
      <w:r>
        <w:rPr>
          <w:b/>
        </w:rPr>
        <w:t>juhendamisele ja nõustamisele</w:t>
      </w:r>
      <w:r>
        <w:t>, kui on vaja teha otsuseid.</w:t>
      </w:r>
    </w:p>
    <w:p w14:paraId="029BFBEF" w14:textId="06C845E5" w:rsidR="00C84405" w:rsidRDefault="00C84405">
      <w:pPr>
        <w:spacing w:after="160" w:line="259" w:lineRule="auto"/>
        <w:jc w:val="left"/>
        <w:rPr>
          <w:szCs w:val="20"/>
          <w:lang w:val="en-GB"/>
        </w:rPr>
      </w:pPr>
      <w:r>
        <w:rPr>
          <w:szCs w:val="20"/>
          <w:lang w:val="en-GB"/>
        </w:rPr>
        <w:br w:type="page"/>
      </w:r>
    </w:p>
    <w:p w14:paraId="4C2E09FA"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Kontaktisik</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E-post</w:t>
            </w:r>
          </w:p>
        </w:tc>
        <w:tc>
          <w:tcPr>
            <w:tcW w:w="3923" w:type="pct"/>
          </w:tcPr>
          <w:p w14:paraId="5475F81E" w14:textId="77777777" w:rsidR="00F37962" w:rsidRPr="009360D7" w:rsidRDefault="00C84405" w:rsidP="002E7EFB">
            <w:pPr>
              <w:overflowPunct w:val="0"/>
              <w:autoSpaceDE w:val="0"/>
              <w:autoSpaceDN w:val="0"/>
              <w:adjustRightInd w:val="0"/>
              <w:textAlignment w:val="baseline"/>
              <w:rPr>
                <w:i/>
              </w:rPr>
            </w:pPr>
            <w:hyperlink r:id="rId24" w:history="1">
              <w:r w:rsidR="00C36EAF">
                <w:rPr>
                  <w:i/>
                  <w:color w:val="0000FF"/>
                  <w:u w:val="single"/>
                </w:rPr>
                <w:t>Sergio.LorencioMatallana@eesc.europa.eu</w:t>
              </w:r>
            </w:hyperlink>
          </w:p>
        </w:tc>
      </w:tr>
      <w:tr w:rsidR="00BC1478" w:rsidRPr="009360D7" w14:paraId="0B098D50" w14:textId="77777777" w:rsidTr="002E7EFB">
        <w:tc>
          <w:tcPr>
            <w:tcW w:w="1077" w:type="pct"/>
          </w:tcPr>
          <w:p w14:paraId="16C6980E" w14:textId="77777777" w:rsidR="00BC1478" w:rsidRPr="009360D7" w:rsidRDefault="00BC1478" w:rsidP="002E7EFB">
            <w:pPr>
              <w:overflowPunct w:val="0"/>
              <w:autoSpaceDE w:val="0"/>
              <w:autoSpaceDN w:val="0"/>
              <w:adjustRightInd w:val="0"/>
              <w:textAlignment w:val="baseline"/>
              <w:rPr>
                <w:i/>
              </w:rPr>
            </w:pPr>
          </w:p>
        </w:tc>
        <w:tc>
          <w:tcPr>
            <w:tcW w:w="3923" w:type="pct"/>
          </w:tcPr>
          <w:p w14:paraId="5BC40BE7" w14:textId="77777777" w:rsidR="00BC1478" w:rsidRPr="009360D7" w:rsidRDefault="00BC1478" w:rsidP="002E7EFB">
            <w:pPr>
              <w:overflowPunct w:val="0"/>
              <w:autoSpaceDE w:val="0"/>
              <w:autoSpaceDN w:val="0"/>
              <w:adjustRightInd w:val="0"/>
              <w:textAlignment w:val="baseline"/>
              <w:rPr>
                <w:lang w:val="en-GB"/>
              </w:rPr>
            </w:pPr>
          </w:p>
        </w:tc>
      </w:tr>
      <w:tr w:rsidR="00BC1478" w:rsidRPr="009360D7" w14:paraId="50525A98" w14:textId="77777777" w:rsidTr="002E7EFB">
        <w:tc>
          <w:tcPr>
            <w:tcW w:w="1077" w:type="pct"/>
          </w:tcPr>
          <w:p w14:paraId="75CC5483" w14:textId="417D7763" w:rsidR="00BC1478" w:rsidRPr="009360D7" w:rsidRDefault="00BC1478" w:rsidP="002E7EFB">
            <w:pPr>
              <w:overflowPunct w:val="0"/>
              <w:autoSpaceDE w:val="0"/>
              <w:autoSpaceDN w:val="0"/>
              <w:adjustRightInd w:val="0"/>
              <w:textAlignment w:val="baseline"/>
              <w:rPr>
                <w:i/>
              </w:rPr>
            </w:pPr>
          </w:p>
        </w:tc>
        <w:tc>
          <w:tcPr>
            <w:tcW w:w="3923" w:type="pct"/>
          </w:tcPr>
          <w:p w14:paraId="3AD31ED3" w14:textId="77777777" w:rsidR="00BC1478" w:rsidRPr="009360D7" w:rsidRDefault="00BC1478" w:rsidP="002E7EFB">
            <w:pPr>
              <w:overflowPunct w:val="0"/>
              <w:autoSpaceDE w:val="0"/>
              <w:autoSpaceDN w:val="0"/>
              <w:adjustRightInd w:val="0"/>
              <w:textAlignment w:val="baseline"/>
              <w:rPr>
                <w:lang w:val="en-GB"/>
              </w:rPr>
            </w:pPr>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8" w14:textId="69FA0768" w:rsidR="004D7AC0" w:rsidRDefault="004D7AC0" w:rsidP="001766B2">
      <w:pPr>
        <w:jc w:val="left"/>
      </w:pPr>
    </w:p>
    <w:p w14:paraId="4982DD99" w14:textId="592F9C95" w:rsidR="004D7AC0" w:rsidRDefault="004D7AC0" w:rsidP="004C6742">
      <w:pPr>
        <w:pStyle w:val="Heading2"/>
      </w:pPr>
      <w:bookmarkStart w:id="1" w:name="_Toc75527081"/>
      <w:bookmarkStart w:id="2" w:name="_Toc230329489"/>
      <w:r>
        <w:t>TÖÖHÕIVE, SOTSIAALKÜSIMUSTE JA KODAKONDSUSE SEKTSIOON</w:t>
      </w:r>
      <w:bookmarkEnd w:id="1"/>
      <w:bookmarkEnd w:id="2"/>
    </w:p>
    <w:p w14:paraId="4982DD9A" w14:textId="77777777" w:rsidR="004D7AC0" w:rsidRDefault="004D7AC0" w:rsidP="001766B2"/>
    <w:p w14:paraId="0FBA9E33" w14:textId="37FB2076" w:rsidR="00943240" w:rsidRPr="00943240" w:rsidRDefault="00C84405" w:rsidP="00943240">
      <w:pPr>
        <w:widowControl w:val="0"/>
        <w:numPr>
          <w:ilvl w:val="0"/>
          <w:numId w:val="8"/>
        </w:numPr>
        <w:overflowPunct w:val="0"/>
        <w:autoSpaceDE w:val="0"/>
        <w:autoSpaceDN w:val="0"/>
        <w:adjustRightInd w:val="0"/>
        <w:ind w:left="567" w:hanging="567"/>
        <w:textAlignment w:val="baseline"/>
        <w:rPr>
          <w:b/>
        </w:rPr>
      </w:pPr>
      <w:hyperlink r:id="rId25" w:history="1">
        <w:r w:rsidR="00943240">
          <w:rPr>
            <w:b/>
            <w:i/>
            <w:color w:val="0000FF"/>
            <w:sz w:val="28"/>
            <w:u w:val="single"/>
          </w:rPr>
          <w:t>„</w:t>
        </w:r>
        <w:proofErr w:type="spellStart"/>
        <w:r w:rsidR="00943240">
          <w:rPr>
            <w:b/>
            <w:i/>
            <w:color w:val="0000FF"/>
            <w:sz w:val="28"/>
            <w:u w:val="single"/>
          </w:rPr>
          <w:t>Ümberpööramistoimingute</w:t>
        </w:r>
        <w:proofErr w:type="spellEnd"/>
        <w:r w:rsidR="00943240">
          <w:rPr>
            <w:b/>
            <w:i/>
            <w:color w:val="0000FF"/>
            <w:sz w:val="28"/>
            <w:u w:val="single"/>
          </w:rPr>
          <w:t xml:space="preserve"> keeld Euroopa Liidus“</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Raportöör</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proofErr w:type="spellStart"/>
            <w:r>
              <w:t>Pascal</w:t>
            </w:r>
            <w:proofErr w:type="spellEnd"/>
            <w:r>
              <w:t xml:space="preserve"> DEBAY (töötajate rühm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Kaasraportöör</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proofErr w:type="spellStart"/>
            <w:r>
              <w:t>Ionuţ</w:t>
            </w:r>
            <w:proofErr w:type="spellEnd"/>
            <w:r>
              <w:t xml:space="preserve"> SIBIAN (kodanikuühiskonna organisatsioonide rühm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Viitedokumendid</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omaalgatuslik arvamus</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Põhipunktid</w:t>
      </w:r>
    </w:p>
    <w:p w14:paraId="367A8012" w14:textId="77777777" w:rsidR="00943240" w:rsidRPr="00943240" w:rsidRDefault="00943240" w:rsidP="00943240">
      <w:pPr>
        <w:spacing w:before="100" w:beforeAutospacing="1" w:after="100" w:afterAutospacing="1" w:line="240" w:lineRule="auto"/>
        <w:jc w:val="left"/>
        <w:rPr>
          <w:b/>
          <w:bCs/>
        </w:rPr>
      </w:pPr>
      <w:r>
        <w:t>Euroopa Majandus- ja Sotsiaalkomitee:</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 xml:space="preserve">mõistab teravalt hukka kõik </w:t>
      </w:r>
      <w:proofErr w:type="spellStart"/>
      <w:r>
        <w:t>ümberpööramistoimingud</w:t>
      </w:r>
      <w:proofErr w:type="spellEnd"/>
      <w:r>
        <w:t xml:space="preserve">, mille eesmärk on muuta, maha suruda või kustutada isiku seksuaalset </w:t>
      </w:r>
      <w:proofErr w:type="spellStart"/>
      <w:r>
        <w:t>sättumust</w:t>
      </w:r>
      <w:proofErr w:type="spellEnd"/>
      <w:r>
        <w:t>, sooidentiteeti või soolist eneseväljendust, ning on seisukohal, et nendega rikutakse piinamise ning ebainimliku või alandava kohtlemise või karistamise täielikku keeldu;</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 xml:space="preserve">tuletab meelde, et </w:t>
      </w:r>
      <w:proofErr w:type="spellStart"/>
      <w:r>
        <w:t>LGBTIQ±inimeste</w:t>
      </w:r>
      <w:proofErr w:type="spellEnd"/>
      <w:r>
        <w:t xml:space="preserve"> vastu suunatud diskrimineerimine, vägivald ja piinamine ELis on vastuolus ELi põhiõiguste ja -väärtustega;</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 xml:space="preserve">kutsub Euroopa Komisjoni üles tegema ettepaneku kehtestada kogu ELis õiguslikult siduv </w:t>
      </w:r>
      <w:proofErr w:type="spellStart"/>
      <w:r>
        <w:t>ümberpööramistoimingute</w:t>
      </w:r>
      <w:proofErr w:type="spellEnd"/>
      <w:r>
        <w:t xml:space="preserve"> keeld, mis hõlmaks nii selliste tegevuste läbiviimist kui ka reklaamimist, lisades </w:t>
      </w:r>
      <w:proofErr w:type="spellStart"/>
      <w:r>
        <w:t>ümberpööramistoimingud</w:t>
      </w:r>
      <w:proofErr w:type="spellEnd"/>
      <w:r>
        <w:t xml:space="preserve"> ELi kuritegude hulka, ning tunnistama need vaenukuritegudeks, et tagada kogu ELis ühetaoline kaitsetase;</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 xml:space="preserve">nõuab tungivalt, et see keeld oleks kõikehõlmav ja täpselt määratletud, seda kohaldataks ühtviisi nii laste kui ka täiskasvanute suhtes, et see hõlmaks kõiki avaliku ja erasektori osalejaid (nii kutselisi kui ka mittekutselisi) ning tagaks, et </w:t>
      </w:r>
      <w:proofErr w:type="spellStart"/>
      <w:r>
        <w:t>üleelanute</w:t>
      </w:r>
      <w:proofErr w:type="spellEnd"/>
      <w:r>
        <w:t xml:space="preserve"> suhtes ei kohaldata kunagi kriminaal- ega tsiviilvastutust;</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 xml:space="preserve">nõuab, et keeld sisaldaks tõhusaid, proportsionaalseid ja hoiatavaid karistusi, mis kajastaksid </w:t>
      </w:r>
      <w:proofErr w:type="spellStart"/>
      <w:r>
        <w:t>ümberpööramistavade</w:t>
      </w:r>
      <w:proofErr w:type="spellEnd"/>
      <w:r>
        <w:t xml:space="preserve"> põhjustatud tõsist kahju;</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nõuab sootunnuste sõnaselget lisamist keelu kohaldamisalasse, et kaitsta intersoolisi isikuid mitteterapeutiliste ja nõusolekuta sekkumiste eest, millega surutakse peale binaarset soomudelit;</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 xml:space="preserve">soovitab </w:t>
      </w:r>
      <w:proofErr w:type="spellStart"/>
      <w:r>
        <w:t>LGBTIQ±inimeste</w:t>
      </w:r>
      <w:proofErr w:type="spellEnd"/>
      <w:r>
        <w:t xml:space="preserve"> võrdõiguslikkuse strateegia 2026–2030 raames tugevaid rakendusmeetmeid. Need peaksid hõlmama organiseeritud kodanikuühiskonnaga konsulteerides läbi viidavat iga-aastast järelevalvet, kutsealase koolituse ja võrdõiguslikkuse organisatsioonide sihtotstarbelist rahastamist ning ELi poolt toetatud haridus- ja üldsuse teadlikkuse suurendamise algatusi, mis on olulised selliste tavade tuvastamiseks ja kõrvaldamiseks.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Kontaktisik</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proofErr w:type="spellStart"/>
            <w:r>
              <w:rPr>
                <w:i/>
              </w:rPr>
              <w:t>Bartek</w:t>
            </w:r>
            <w:proofErr w:type="spellEnd"/>
            <w:r>
              <w:rPr>
                <w:i/>
              </w:rPr>
              <w:t xml:space="preserve"> </w:t>
            </w:r>
            <w:proofErr w:type="spellStart"/>
            <w:r>
              <w:rPr>
                <w:i/>
              </w:rPr>
              <w:t>Bednarowicz</w:t>
            </w:r>
            <w:proofErr w:type="spellEnd"/>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E-post</w:t>
            </w:r>
          </w:p>
        </w:tc>
        <w:tc>
          <w:tcPr>
            <w:tcW w:w="4493" w:type="dxa"/>
          </w:tcPr>
          <w:p w14:paraId="33C773EF" w14:textId="77777777" w:rsidR="00943240" w:rsidRPr="00943240" w:rsidRDefault="00C84405" w:rsidP="00943240">
            <w:pPr>
              <w:overflowPunct w:val="0"/>
              <w:autoSpaceDE w:val="0"/>
              <w:autoSpaceDN w:val="0"/>
              <w:adjustRightInd w:val="0"/>
              <w:spacing w:line="240" w:lineRule="auto"/>
              <w:textAlignment w:val="baseline"/>
              <w:rPr>
                <w:i/>
                <w:iCs/>
              </w:rPr>
            </w:pPr>
            <w:hyperlink r:id="rId26" w:history="1">
              <w:r w:rsidR="00C36EAF">
                <w:rPr>
                  <w:i/>
                  <w:color w:val="0000FF"/>
                  <w:u w:val="singl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19030F91" w:rsidR="00354B98" w:rsidRPr="00354B98" w:rsidRDefault="00C84405"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sidR="00C36EAF">
          <w:rPr>
            <w:b/>
            <w:i/>
            <w:color w:val="0000FF"/>
            <w:sz w:val="28"/>
            <w:u w:val="single"/>
          </w:rPr>
          <w:t>„Võrdõiguslikkuse liit: LGBTIQ+-inimeste võrdõiguslikkuse strateegia 2026–2030““</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Raportöör</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(kodanikuühiskonna organisatsioonide rühm –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Viitedokument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 xml:space="preserve">COM(2025) 725 </w:t>
            </w:r>
            <w:proofErr w:type="spellStart"/>
            <w:r>
              <w:t>final</w:t>
            </w:r>
            <w:proofErr w:type="spellEnd"/>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Põhipunktid</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Euroopa Majandus- ja Sotsiaalkomitee:</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väljendab heameelt uue </w:t>
      </w:r>
      <w:proofErr w:type="spellStart"/>
      <w:r>
        <w:t>LGBTIQ±inimeste</w:t>
      </w:r>
      <w:proofErr w:type="spellEnd"/>
      <w:r>
        <w:t xml:space="preserve"> võrdõiguslikkuse strateegia 2026–2030 üle, nõudes samal ajal jõulisemaid meetmeid, sest pidev diskrimineerimine, vägivald, ahistamine ja tõrjutus, mis mõjutavad eelkõige </w:t>
      </w:r>
      <w:proofErr w:type="spellStart"/>
      <w:r>
        <w:t>transsoolisi</w:t>
      </w:r>
      <w:proofErr w:type="spellEnd"/>
      <w:r>
        <w:t xml:space="preserve">, mittebinaarseid ja intersoolisi inimesi, nõuavad jõulisemaid poliitikameetmeid;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nõuab tugevamat jõustamist ja vastutust siduvate võrdlusaluste, süstemaatiliste rikkumismenetluste, õigusriigi tingimuslikkuse ja riiklike LGBTIQ+ strateegiate rakendamise kaudu;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kutsub üles võtma otsustavaid meetmeid põhiõiguste ja kodanikuühiskonna tegutsemisruumi kaitsmiseks, võideldes tagasilöökide, desinformatsiooni ja vaenukõne vastu ning tagades kodanikuühiskonnale püsiva toetuse;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nõuab tungivalt täielikku võrdsust igapäevaelus, tagades kaasava juurdepääsu tervishoiule, haridusele ja tööhõivele ning tugevdades kaasatust töökohal;</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kutsub Euroopa Komisjoni üles tegema ettepaneku kehtestada kogu ELis õiguslikult siduv </w:t>
      </w:r>
      <w:proofErr w:type="spellStart"/>
      <w:r>
        <w:t>ümberpööramistoimingute</w:t>
      </w:r>
      <w:proofErr w:type="spellEnd"/>
      <w:r>
        <w:t xml:space="preserve"> keeld, mis hõlmaks nii selliste tegevuste läbiviimist kui ka reklaamimist, lisades </w:t>
      </w:r>
      <w:proofErr w:type="spellStart"/>
      <w:r>
        <w:t>ümberpööramistoimingud</w:t>
      </w:r>
      <w:proofErr w:type="spellEnd"/>
      <w:r>
        <w:t xml:space="preserve"> ELi kuritegude hulka, ning tunnistama need vaenukuritegudeks, et tagada kogu ELis ühetaoline kaitsetase;</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kutsub üles võitlema struktuurse ebavõrdsuse vastu, integreerides </w:t>
      </w:r>
      <w:proofErr w:type="spellStart"/>
      <w:r>
        <w:t>LGBTIQ±inimeste</w:t>
      </w:r>
      <w:proofErr w:type="spellEnd"/>
      <w:r>
        <w:t xml:space="preserve"> võrdõiguslikkuse sotsiaalse kaasatuse, eluaseme- ja vaesusevastasesse poliitikasse, toetades sihipäraselt neid, kes seisavad silmitsi läbipõimunud diskrimineerimisega;</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 xml:space="preserve">nõuab tulevikukindlaid ja õigustel põhinevaid raamistikke, kõrvaldades õiguslikud lüngad, tagades enesemääramisel põhineva sootunnustamise, parandades õiguskaitse kättesaadavust, tagades kodanikuühiskonna organisatsioonidele piisava rahastamise, parandades </w:t>
      </w:r>
      <w:proofErr w:type="spellStart"/>
      <w:r>
        <w:t>intersektsionaalseid</w:t>
      </w:r>
      <w:proofErr w:type="spellEnd"/>
      <w:r>
        <w:t xml:space="preserve"> andmeid ning kaitstes võrdõiguslikkust digitehnoloogia ja tehisintellekti valdkonnas.</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Kontaktisik</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E-post</w:t>
            </w:r>
          </w:p>
        </w:tc>
        <w:tc>
          <w:tcPr>
            <w:tcW w:w="5670" w:type="dxa"/>
          </w:tcPr>
          <w:p w14:paraId="25F375C5" w14:textId="77777777" w:rsidR="00354B98" w:rsidRPr="00354B98" w:rsidRDefault="00C84405" w:rsidP="00354B98">
            <w:pPr>
              <w:overflowPunct w:val="0"/>
              <w:autoSpaceDE w:val="0"/>
              <w:autoSpaceDN w:val="0"/>
              <w:adjustRightInd w:val="0"/>
              <w:spacing w:line="240" w:lineRule="auto"/>
              <w:textAlignment w:val="baseline"/>
              <w:rPr>
                <w:i/>
                <w:iCs/>
              </w:rPr>
            </w:pPr>
            <w:hyperlink r:id="rId28" w:history="1">
              <w:r w:rsidR="00C36EAF">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57A2DC0" w:rsidR="005D43B9" w:rsidRPr="005D43B9" w:rsidRDefault="00C84405"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sidR="00C36EAF">
          <w:rPr>
            <w:b/>
            <w:i/>
            <w:color w:val="0000FF"/>
            <w:sz w:val="28"/>
            <w:u w:val="single"/>
          </w:rPr>
          <w:t>ELi konkurentsivõime ja noorte ettevõtlus</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Raportöör</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(kodanikuühiskonna organisatsioonide rühm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Viitedokumendid</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ettevalmistav arvamus ELi nõukogu eesistujariigi Küprose taotlusel</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Põhipunktid</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Euroopa Majandus- ja Sotsiaalkomitee:</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nõuab terviklikku ja koordineeritud ELi ja liikmesriikide strateegiat, mis pakub noortele ettevõtjatele integreeritud toetuspaketti, mis hõlmab kättesaadavat rahastamist, sihipärast koolitust, mentorlust, juhendamist, ettevõtlusinkubaatoreid ja tugevaid kohalikke ökosüsteeme, et maksimeerida ettevõtete loomist ja jätkusuutlikkust;</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soovitab hüppelist muutust rahastamisele juurdepääsul, laiendades lisaks traditsioonilistele pangalaenudele ka muid noortele mõeldud rahastamisvahendeid, sh mikrorahastamine, alternatiivne kapital ning sihipärane toetus sotsiaalsetele ettevõtetele ja muudele mõjupõhistele mudelitele;</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nõuab ELi, riikliku ja kohaliku tasandi haldus- ja õigusraamistike otsustavat lihtsustamist, et vähendada bürokraatiat ja nõuete täitmisega seotud kulusid ning luua noortele ettevõtjatele stabiilne ja ettevõtlussõbralik keskkond;</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soovitab viia ettevõtlusalane haridus, finantskirjaoskus ja ettevõtlik meelelaad sisse kõikidesse haridus- ja koolitussüsteemidesse, eelkõige kutse- ja duaalõppesse, tugevdades samal ajal digi- ja kõrgema taseme oskusi, sealhulgas tehisaru valdkonnas, et valmistada noori ette tulevasteks turgudeks;</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 xml:space="preserve">kutsub üles tugevdama toetussüsteeme, edendades mentorluse, sponsorluse, võrgustikuloomise ja rahvusvahelistumise võimalusi, sh liikuvuskavad ja juurdepääs piiriülestele turgudele, et edendada innovatsiooni, </w:t>
      </w:r>
      <w:proofErr w:type="spellStart"/>
      <w:r>
        <w:t>skaleeritavust</w:t>
      </w:r>
      <w:proofErr w:type="spellEnd"/>
      <w:r>
        <w:t xml:space="preserve"> ja konkurentsivõimet;</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nõuab kaasavat ja jätkusuutlikku ettevõtluspoliitikat, mis vähendab alaesindatud rühmade ebavõrdsust, edendab teise võimaluse saamise kultuuri, tagab piisava sotsiaalkaitse ning käsitab noorte ettevõtlust vabatahtliku, kuid strateegilise vahendina vastupanuvõimeliste tööturgude ja ELi pikaajalise konkurentsivõime saavutamisel;</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Kontaktisik</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proofErr w:type="spellStart"/>
            <w:r>
              <w:rPr>
                <w:i/>
              </w:rPr>
              <w:t>Bartek</w:t>
            </w:r>
            <w:proofErr w:type="spellEnd"/>
            <w:r>
              <w:rPr>
                <w:i/>
              </w:rPr>
              <w:t xml:space="preserve"> </w:t>
            </w:r>
            <w:proofErr w:type="spellStart"/>
            <w:r>
              <w:rPr>
                <w:i/>
              </w:rPr>
              <w:t>Bednarowicz</w:t>
            </w:r>
            <w:proofErr w:type="spellEnd"/>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E-post</w:t>
            </w:r>
          </w:p>
        </w:tc>
        <w:tc>
          <w:tcPr>
            <w:tcW w:w="7371" w:type="dxa"/>
          </w:tcPr>
          <w:p w14:paraId="22B77F87" w14:textId="77777777" w:rsidR="005D43B9" w:rsidRPr="005D43B9" w:rsidRDefault="00C84405" w:rsidP="005D43B9">
            <w:pPr>
              <w:overflowPunct w:val="0"/>
              <w:autoSpaceDE w:val="0"/>
              <w:autoSpaceDN w:val="0"/>
              <w:adjustRightInd w:val="0"/>
              <w:textAlignment w:val="baseline"/>
              <w:rPr>
                <w:i/>
                <w:iCs/>
              </w:rPr>
            </w:pPr>
            <w:hyperlink r:id="rId30" w:history="1">
              <w:r w:rsidR="00C36EAF">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709FA4FB" w:rsidR="001A42F8" w:rsidRPr="001A42F8" w:rsidRDefault="00C84405"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sidR="00C36EAF">
          <w:rPr>
            <w:b/>
            <w:i/>
            <w:color w:val="0000FF"/>
            <w:sz w:val="28"/>
            <w:u w:val="single"/>
          </w:rPr>
          <w:t xml:space="preserve">„ELi </w:t>
        </w:r>
        <w:proofErr w:type="spellStart"/>
        <w:r w:rsidR="00C36EAF">
          <w:rPr>
            <w:b/>
            <w:i/>
            <w:color w:val="0000FF"/>
            <w:sz w:val="28"/>
            <w:u w:val="single"/>
          </w:rPr>
          <w:t>narkostrateegia</w:t>
        </w:r>
        <w:proofErr w:type="spellEnd"/>
        <w:r w:rsidR="00C36EAF">
          <w:rPr>
            <w:b/>
            <w:i/>
            <w:color w:val="0000FF"/>
            <w:sz w:val="28"/>
            <w:u w:val="single"/>
          </w:rPr>
          <w:t>“</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237"/>
      </w:tblGrid>
      <w:tr w:rsidR="001A42F8" w:rsidRPr="001A42F8" w14:paraId="662136A7" w14:textId="77777777" w:rsidTr="004C6742">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Raportöör</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 xml:space="preserve">Diego </w:t>
            </w:r>
            <w:proofErr w:type="spellStart"/>
            <w:r>
              <w:t>Dutto</w:t>
            </w:r>
            <w:proofErr w:type="spellEnd"/>
            <w:r>
              <w:t xml:space="preserve"> (kodanikuühiskonna organisatsioonide rühm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Viitedokumendid</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 xml:space="preserve">COM(2025) 743 </w:t>
            </w:r>
            <w:proofErr w:type="spellStart"/>
            <w:r>
              <w:t>final</w:t>
            </w:r>
            <w:proofErr w:type="spellEnd"/>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 xml:space="preserve">COM(2025 744 </w:t>
            </w:r>
            <w:proofErr w:type="spellStart"/>
            <w:r>
              <w:t>final</w:t>
            </w:r>
            <w:proofErr w:type="spellEnd"/>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Põhipunktid</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Euroopa Majandus- ja Sotsiaalkomitee:</w:t>
      </w:r>
    </w:p>
    <w:p w14:paraId="5429D755" w14:textId="77777777" w:rsidR="001A42F8" w:rsidRPr="001A42F8" w:rsidRDefault="001A42F8" w:rsidP="002C3C5F">
      <w:pPr>
        <w:ind w:left="1134" w:hanging="1134"/>
        <w:rPr>
          <w:lang w:val="en-GB" w:eastAsia="fr-BE"/>
        </w:rPr>
      </w:pP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rõhutab, et Euroopa Liidu </w:t>
      </w:r>
      <w:proofErr w:type="spellStart"/>
      <w:r>
        <w:t>narkostrateegia</w:t>
      </w:r>
      <w:proofErr w:type="spellEnd"/>
      <w:r>
        <w:t xml:space="preserve"> tõhusus sõltub selle võimest suundumusi prognoosida. Komitee soovitab Euroopa Komisjonil minna reageerivatest näitajatest (uimastite konfiskeerimine ja surmajuhtumid) kaugemale ning näha ette kohustuslik struktuurne toetus standarditud seiresüsteemidele.</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märgib murega, et strateegia on mõnevõrra kallutatud ja keskendub traditsioonilistele ebaseaduslikele ainetele. Noored liiguvad seaduslike uimastite ettenähtust erineva kasutamise suunas. Komitee soovitab seetõttu kehtestada ELi suunised uimastite väljakirjutamise jälgimiseks ning algatada spetsiaalsed teadlikkuse suurendamise kampaaniad seaduslikest </w:t>
      </w:r>
      <w:proofErr w:type="spellStart"/>
      <w:r>
        <w:t>psühhoaktiivsetest</w:t>
      </w:r>
      <w:proofErr w:type="spellEnd"/>
      <w:r>
        <w:t xml:space="preserve"> ainetest sõltuvusse sattumise ohu kohta.</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soovitab rangelt jälgida </w:t>
      </w:r>
      <w:proofErr w:type="spellStart"/>
      <w:r>
        <w:t>opioid</w:t>
      </w:r>
      <w:proofErr w:type="spellEnd"/>
      <w:r>
        <w:t>-valuvaigistite levikut. Tuleb teha pingutusi, et vältida olukorda, kus osa ühiskonnast – mis ei näi olevat ohus – muutub seaduslike kanalite kaudu saadud ainetest sõltuvaks.</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märgib, et välja tuleks töötada ELi protokollid varajase sekkumise kohta, toetamaks sotsiaal- ja tervishoiuteenuseid, et tuvastada uued kasutajad uimastitarbimise varajases etapis;</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 xml:space="preserve">soovitab kehtestada ennetusmeetmete tõhususe hindamiseks konkreetsed peamised tulemusnäitajad, millega mõõta edukust mitte ainult uimastite konfiskeerimise, vaid ka uute sõltuvuste vähendamise ja </w:t>
      </w:r>
      <w:proofErr w:type="spellStart"/>
      <w:r>
        <w:t>taasintegreerimisvõimaluste</w:t>
      </w:r>
      <w:proofErr w:type="spellEnd"/>
      <w:r>
        <w:t xml:space="preserve"> tõhususe seisukohast.</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kordab, et uimastikaubanduse vastast võitlust ei saa lahutada tugevast rahvatervisepoliitikast;</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märgib, et tegevuskavas keskendutakse peaaegu eranditult füüsilise (sadamad, logistikakeskused) ja digitaristu turvalisusele, jättes tähelepanuta kogukonnamõõtme;</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juhib tähelepanu sellele, et tegevuskavas ei anta liikmesriikidele piisavaid suuniseid riiklike poliitikameetmete kohta, mis on vajalikud uimastitarbimise leviku vähendamiseks.</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Kontaktisik</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 xml:space="preserve">Gemma </w:t>
            </w:r>
            <w:proofErr w:type="spellStart"/>
            <w:r>
              <w:rPr>
                <w:i/>
              </w:rPr>
              <w:t>Amran</w:t>
            </w:r>
            <w:proofErr w:type="spellEnd"/>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E-post</w:t>
            </w:r>
          </w:p>
        </w:tc>
        <w:tc>
          <w:tcPr>
            <w:tcW w:w="4493" w:type="dxa"/>
          </w:tcPr>
          <w:p w14:paraId="7CF2E2AE" w14:textId="77777777" w:rsidR="001A42F8" w:rsidRPr="001A42F8" w:rsidRDefault="00C84405" w:rsidP="001A42F8">
            <w:pPr>
              <w:overflowPunct w:val="0"/>
              <w:autoSpaceDE w:val="0"/>
              <w:autoSpaceDN w:val="0"/>
              <w:adjustRightInd w:val="0"/>
              <w:spacing w:line="240" w:lineRule="auto"/>
              <w:textAlignment w:val="baseline"/>
              <w:rPr>
                <w:i/>
                <w:iCs/>
              </w:rPr>
            </w:pPr>
            <w:hyperlink r:id="rId32" w:history="1">
              <w:r w:rsidR="00C36EAF">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2333794" w:rsidR="00C53E67" w:rsidRPr="00C53E67" w:rsidRDefault="00C84405" w:rsidP="004C6742">
      <w:pPr>
        <w:widowControl w:val="0"/>
        <w:numPr>
          <w:ilvl w:val="0"/>
          <w:numId w:val="4"/>
        </w:numPr>
        <w:overflowPunct w:val="0"/>
        <w:autoSpaceDE w:val="0"/>
        <w:autoSpaceDN w:val="0"/>
        <w:adjustRightInd w:val="0"/>
        <w:ind w:hanging="567"/>
        <w:textAlignment w:val="baseline"/>
        <w:rPr>
          <w:b/>
        </w:rPr>
      </w:pPr>
      <w:hyperlink r:id="rId33" w:history="1">
        <w:r w:rsidR="00A067F3">
          <w:rPr>
            <w:b/>
            <w:i/>
            <w:color w:val="0000FF"/>
            <w:sz w:val="28"/>
            <w:u w:val="single"/>
          </w:rPr>
          <w:t>„Euroopa kultuurikompass““</w:t>
        </w:r>
      </w:hyperlink>
    </w:p>
    <w:p w14:paraId="35E79844" w14:textId="77777777" w:rsidR="00C53E67" w:rsidRDefault="00C53E67" w:rsidP="00C53E67">
      <w:pPr>
        <w:widowControl w:val="0"/>
        <w:overflowPunct w:val="0"/>
        <w:autoSpaceDE w:val="0"/>
        <w:autoSpaceDN w:val="0"/>
        <w:adjustRightInd w:val="0"/>
        <w:ind w:left="266"/>
        <w:textAlignment w:val="baseline"/>
        <w:rPr>
          <w:b/>
          <w:sz w:val="18"/>
          <w:szCs w:val="18"/>
          <w:lang w:val="en-GB"/>
        </w:rPr>
      </w:pPr>
    </w:p>
    <w:p w14:paraId="4A204B30" w14:textId="77777777" w:rsidR="001D292C" w:rsidRPr="00C53E67" w:rsidRDefault="001D292C" w:rsidP="00C53E67">
      <w:pPr>
        <w:widowControl w:val="0"/>
        <w:overflowPunct w:val="0"/>
        <w:autoSpaceDE w:val="0"/>
        <w:autoSpaceDN w:val="0"/>
        <w:adjustRightInd w:val="0"/>
        <w:ind w:left="266"/>
        <w:textAlignment w:val="baseline"/>
        <w:rPr>
          <w:b/>
          <w:sz w:val="18"/>
          <w:szCs w:val="18"/>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Raportöör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proofErr w:type="spellStart"/>
            <w:r>
              <w:t>Luca</w:t>
            </w:r>
            <w:proofErr w:type="spellEnd"/>
            <w:r>
              <w:t xml:space="preserve"> JAHIER (kodanikuühiskonna organisatsioonide rühm –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Viitedokumendid</w:t>
            </w:r>
          </w:p>
        </w:tc>
        <w:tc>
          <w:tcPr>
            <w:tcW w:w="3679" w:type="pct"/>
          </w:tcPr>
          <w:p w14:paraId="3649F935" w14:textId="5EC0AA86" w:rsidR="00DE1BF7" w:rsidRDefault="00DE1BF7" w:rsidP="00C53E67">
            <w:pPr>
              <w:overflowPunct w:val="0"/>
              <w:autoSpaceDE w:val="0"/>
              <w:autoSpaceDN w:val="0"/>
              <w:adjustRightInd w:val="0"/>
              <w:ind w:left="-113"/>
              <w:textAlignment w:val="baseline"/>
            </w:pPr>
            <w:r>
              <w:t xml:space="preserve">COM(2025) 785 </w:t>
            </w:r>
            <w:proofErr w:type="spellStart"/>
            <w:r>
              <w:t>final</w:t>
            </w:r>
            <w:proofErr w:type="spellEnd"/>
          </w:p>
          <w:p w14:paraId="72ADC23E" w14:textId="431F11BB" w:rsidR="00DE1BF7" w:rsidRDefault="00DE1BF7" w:rsidP="00C53E67">
            <w:pPr>
              <w:overflowPunct w:val="0"/>
              <w:autoSpaceDE w:val="0"/>
              <w:autoSpaceDN w:val="0"/>
              <w:adjustRightInd w:val="0"/>
              <w:ind w:left="-113"/>
              <w:textAlignment w:val="baseline"/>
            </w:pPr>
            <w:r>
              <w:t xml:space="preserve">COM(2025) 786 </w:t>
            </w:r>
            <w:proofErr w:type="spellStart"/>
            <w:r>
              <w:t>final</w:t>
            </w:r>
            <w:proofErr w:type="spellEnd"/>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8"/>
          <w:szCs w:val="18"/>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Põhipunktid</w:t>
      </w:r>
    </w:p>
    <w:p w14:paraId="2BEAC91B"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sz w:val="16"/>
          <w:szCs w:val="16"/>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rPr>
          <w:bCs/>
          <w:iCs/>
        </w:rPr>
      </w:pPr>
      <w:r>
        <w:t>Euroopa Majandus- ja Sotsiaalkomitee:</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toetab täielikult Euroopa kultuurikompassi</w:t>
      </w:r>
      <w:r>
        <w:t xml:space="preserve"> kui õigeaegset valdkonnaülest strateegiat kultuuri ja Euroopa väärtuste edendamiseks ning areneva kultuurisektori tagamiseks;</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rõhutab </w:t>
      </w:r>
      <w:r>
        <w:rPr>
          <w:b/>
        </w:rPr>
        <w:t>kultuuri rolli demokraatia tugevdamisel</w:t>
      </w:r>
      <w:r>
        <w:t>, populistlike ja autoritaarsete narratiivide vastu võitlemisel ning sotsiaalse ühtekuuluvuse, valmisoleku ja kestliku arengu edendamisel;</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soovitab </w:t>
      </w:r>
      <w:r>
        <w:rPr>
          <w:b/>
        </w:rPr>
        <w:t>arendada koostoimet</w:t>
      </w:r>
      <w:r>
        <w:t xml:space="preserve"> kultuurikompassi ja selliste algatuste vahel nagu Euroopa demokraatia kaitsekilp, eelkõige digivaldkonnas;</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rõhutab, et </w:t>
      </w:r>
      <w:r>
        <w:rPr>
          <w:b/>
        </w:rPr>
        <w:t>kultuuri- ja loomesektorite jaoks on vaja spetsiaalset tehisintellektistrateegiat</w:t>
      </w:r>
      <w:r>
        <w:t>, sealhulgas tuleb kaitsta loometöö omandiõigust, arendada litsentsimisturge ja koostada suunised tehisintellekti käsitleva määruse raames;</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nõuab järgmises mitmeaastases finantsraamistikus </w:t>
      </w:r>
      <w:r>
        <w:rPr>
          <w:b/>
        </w:rPr>
        <w:t>aastateks 2028–2034 tugevat ja valdkonnaülest rahalist toetust</w:t>
      </w:r>
      <w:r>
        <w:t>, sealhulgas ELi eelarvest 2 % eraldamist kultuurile ja selle integreerimist peamistesse ELi programmidesse;</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nõuab </w:t>
      </w:r>
      <w:r>
        <w:rPr>
          <w:b/>
        </w:rPr>
        <w:t>kultuurikompassi kindlat ja eesmärgipõhist rakendamist selgelt määratletud tegevuskava</w:t>
      </w:r>
      <w:r>
        <w:t xml:space="preserve">, piisava haldussuutlikkuse ja poliitika pikaajalise järjepidevuse </w:t>
      </w:r>
      <w:r>
        <w:rPr>
          <w:b/>
        </w:rPr>
        <w:t>alusel</w:t>
      </w:r>
      <w:r>
        <w:t>;</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soovitab </w:t>
      </w:r>
      <w:r>
        <w:rPr>
          <w:b/>
        </w:rPr>
        <w:t>varases etapis ja süstemaatiliselt kaasata kultuurisektori ja selle väliseid sidusrühmi</w:t>
      </w:r>
      <w:r>
        <w:t xml:space="preserve">, sealhulgas kohalikke omavalitsusi, </w:t>
      </w:r>
      <w:proofErr w:type="spellStart"/>
      <w:r>
        <w:t>VKEsid</w:t>
      </w:r>
      <w:proofErr w:type="spellEnd"/>
      <w:r>
        <w:t xml:space="preserve"> ning kultuuri- ja loomesektoreid, et tugevdada omavastutust ja mõju;</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nõuab </w:t>
      </w:r>
      <w:r>
        <w:rPr>
          <w:b/>
        </w:rPr>
        <w:t>sotsiaalmajanduses osalejate</w:t>
      </w:r>
      <w:r>
        <w:t xml:space="preserve"> ja kogukonnapõhiste kultuurialgatuste </w:t>
      </w:r>
      <w:r>
        <w:rPr>
          <w:b/>
        </w:rPr>
        <w:t>aktiivsemat integreerimist</w:t>
      </w:r>
      <w:r>
        <w:t xml:space="preserve"> avalikku poliitikasse, sealhulgas kohandatud fiskaal- ja finantsmeetmeid;</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tunnustab kavandatud struktureeritud ELi dialoogi sidusrühmadega</w:t>
      </w:r>
      <w:r>
        <w:t xml:space="preserve"> ja on valmis olema peamine partner, et hõlbustada teabevahetust institutsiooniliste ja valdkondlike osalejatega;</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rõhutab, et kultuuri- ja loomesektorid on </w:t>
      </w:r>
      <w:r>
        <w:rPr>
          <w:b/>
        </w:rPr>
        <w:t>strateegiline majanduslik ökosüsteem</w:t>
      </w:r>
      <w:r>
        <w:t>, ning nõuab peamiste sektorite, nagu hasartmängud, film, muusika ja mood, paremat integreerimist kompassi;</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toetab </w:t>
      </w:r>
      <w:r>
        <w:rPr>
          <w:b/>
        </w:rPr>
        <w:t>kultuuriharidust ja oskuste arendamist</w:t>
      </w:r>
      <w:r>
        <w:t>, nõudes kaasavat juurdepääsu, sihtotstarbelist rahastamist ja tugevamaid seoseid ELi programmidega, nagu programm „</w:t>
      </w:r>
      <w:proofErr w:type="spellStart"/>
      <w:r>
        <w:t>Erasmus</w:t>
      </w:r>
      <w:proofErr w:type="spellEnd"/>
      <w:r>
        <w:t>+“ ja ühtekuuluvuspoliitika;</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pooldab ELi loovisikute harta koostamist</w:t>
      </w:r>
      <w:r>
        <w:t>, et tagada õiglased töötingimused, tugevam sotsiaalkaitse ja ELi rahastamise vastavusse viimine kvaliteetse tööhõive standarditega;</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rõhutab, et </w:t>
      </w:r>
      <w:r>
        <w:rPr>
          <w:b/>
        </w:rPr>
        <w:t>olulised on jätkusuutlikud avaliku sektori investeeringud</w:t>
      </w:r>
      <w:r>
        <w:t xml:space="preserve"> kultuuri- ja loomesektoritesse, toetades samal ajal </w:t>
      </w:r>
      <w:proofErr w:type="spellStart"/>
      <w:r>
        <w:t>VKEde</w:t>
      </w:r>
      <w:proofErr w:type="spellEnd"/>
      <w:r>
        <w:t xml:space="preserve"> paremat juurdepääsu rahastamisele EIP ja </w:t>
      </w:r>
      <w:proofErr w:type="spellStart"/>
      <w:r>
        <w:t>EIFi</w:t>
      </w:r>
      <w:proofErr w:type="spellEnd"/>
      <w:r>
        <w:t xml:space="preserve"> vahendite tõhusama kasutuselevõtu kaudu ning täiendavate erasektori toetusraamistike väljatöötamist;</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toetab </w:t>
      </w:r>
      <w:proofErr w:type="spellStart"/>
      <w:r>
        <w:rPr>
          <w:b/>
        </w:rPr>
        <w:t>ühisdeklaratsiooni</w:t>
      </w:r>
      <w:proofErr w:type="spellEnd"/>
      <w:r>
        <w:rPr>
          <w:b/>
        </w:rPr>
        <w:t xml:space="preserve"> institutsioonilist heakskiitmist</w:t>
      </w:r>
      <w:r>
        <w:t xml:space="preserve"> ELi institutsioonide (sealhulgas Euroopa Majandus- ja Sotsiaalkomitee ning Euroopa Regioonide Komitee) ja sidusrühmade poolt, et tagada laialdane isevastutus ja legitiimsus;</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rõhutab </w:t>
      </w:r>
      <w:r>
        <w:rPr>
          <w:b/>
        </w:rPr>
        <w:t>kultuuri rahvusvahelise mõõtme tähtsust</w:t>
      </w:r>
      <w:r>
        <w:t xml:space="preserve"> ja nõuab selle täielikku ennistamist </w:t>
      </w:r>
      <w:proofErr w:type="spellStart"/>
      <w:r>
        <w:t>ühisdeklaratsioonis</w:t>
      </w:r>
      <w:proofErr w:type="spellEnd"/>
      <w:r>
        <w:t>. Samuti nõuab komitee terviklikku tegevuskava, mis põhineb ELi rahvusvaheliste kultuurisuhete strateegial.</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Kontaktisik</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 xml:space="preserve">Jean Marie </w:t>
            </w:r>
            <w:proofErr w:type="spellStart"/>
            <w:r>
              <w:rPr>
                <w:i/>
              </w:rPr>
              <w:t>Rogue</w:t>
            </w:r>
            <w:proofErr w:type="spellEnd"/>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E-post</w:t>
            </w:r>
          </w:p>
        </w:tc>
        <w:tc>
          <w:tcPr>
            <w:tcW w:w="3444" w:type="pct"/>
          </w:tcPr>
          <w:p w14:paraId="18C49AA7" w14:textId="77777777" w:rsidR="00C53E67" w:rsidRPr="00C53E67" w:rsidRDefault="00C84405" w:rsidP="00C53E67">
            <w:pPr>
              <w:overflowPunct w:val="0"/>
              <w:autoSpaceDE w:val="0"/>
              <w:autoSpaceDN w:val="0"/>
              <w:adjustRightInd w:val="0"/>
              <w:spacing w:line="240" w:lineRule="auto"/>
              <w:textAlignment w:val="baseline"/>
              <w:rPr>
                <w:i/>
              </w:rPr>
            </w:pPr>
            <w:hyperlink r:id="rId34" w:history="1">
              <w:r w:rsidR="00C36EAF">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2" w14:textId="586617C5" w:rsidR="004D7AC0" w:rsidRDefault="004D7AC0" w:rsidP="001766B2">
      <w:pPr>
        <w:jc w:val="left"/>
      </w:pPr>
    </w:p>
    <w:p w14:paraId="4982DDF3" w14:textId="77616464" w:rsidR="004D7AC0" w:rsidRDefault="004D7AC0" w:rsidP="004C6742">
      <w:pPr>
        <w:pStyle w:val="Heading2"/>
      </w:pPr>
      <w:bookmarkStart w:id="16" w:name="_Toc75527083"/>
      <w:bookmarkStart w:id="17" w:name="_Toc230329490"/>
      <w:r>
        <w:t>ÜHTSE TURU, TOOTMISE JA TARBIMISE SEKTSIOON</w:t>
      </w:r>
      <w:bookmarkEnd w:id="16"/>
      <w:bookmarkEnd w:id="17"/>
    </w:p>
    <w:p w14:paraId="4982DDF4" w14:textId="77777777" w:rsidR="004D7AC0" w:rsidRDefault="004D7AC0" w:rsidP="001766B2"/>
    <w:p w14:paraId="566598A4" w14:textId="35BAC290" w:rsidR="00392AE5" w:rsidRPr="00392AE5" w:rsidRDefault="00C8440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sidR="00392AE5">
          <w:rPr>
            <w:b/>
            <w:i/>
            <w:color w:val="0000FF"/>
            <w:sz w:val="28"/>
            <w:u w:val="single"/>
          </w:rPr>
          <w:t>Ülemäärane turism, lühiajaline üürimine ja kohalike elanike väljatõrjumine – õige tasakaalu leidmine</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 xml:space="preserve">Marinel </w:t>
            </w:r>
            <w:proofErr w:type="spellStart"/>
            <w:r>
              <w:t>Dănuț</w:t>
            </w:r>
            <w:proofErr w:type="spellEnd"/>
            <w:r>
              <w:t xml:space="preserve"> MUREŞAN (tööandjate rühm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Ettevalmistav arvamus ELi nõukogu eesistujariigi Küprose taotlusel</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Põhipunktid</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Euroopa Majandus- ja Sotsiaalkomitee:</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rõhutab, et turism on Euroopa Liidu jaoks strateegiline ökosüsteem, mis edendab majanduskasvu, tööhõivet ja sotsiaalset arengut, ning nõuab üleminekut säästvamale, tasakaalustatumale ja konkurentsivõimelisemale mudelile, mis säilitab kohalike kogukondade elukvaliteedi;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hoiatab </w:t>
      </w:r>
      <w:proofErr w:type="spellStart"/>
      <w:r>
        <w:t>ületurismi</w:t>
      </w:r>
      <w:proofErr w:type="spellEnd"/>
      <w:r>
        <w:t xml:space="preserve"> ja lühiajalise üürimise kasvava surve eest teatavates sihtkohtades ning </w:t>
      </w:r>
      <w:r>
        <w:rPr>
          <w:b/>
        </w:rPr>
        <w:t>nõuab koordineeritud ELi meetmeid</w:t>
      </w:r>
      <w:r>
        <w:t xml:space="preserve">, et toetada liikmesriike tõenduspõhiste, proportsionaalsete ja kohapõhiste lahenduste väljatöötamisel;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teeb ettepaneku luua turismivoogude paremaks haldamiseks ELi toetatavaid vahendeid ja strateegiaid, sealhulgas digitaalsed seiresüsteemid, sihtkohtade ja hooaegade mitmekesistamine ning tugevamad seosed turismi ja kohaliku majanduse, kultuuri ja traditsioonilise käsitöö vahel;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pooldab uuenduslikke juhtimis- ja rahastamismudeleid, mis ühendavad avaliku ja erasektori investeeringuid, et toetada säästvat turismi, taskukohast eluaset ja kohalikke ettevõtluse ökosüsteeme, milles on suur roll </w:t>
      </w:r>
      <w:proofErr w:type="spellStart"/>
      <w:r>
        <w:t>VKEdel</w:t>
      </w:r>
      <w:proofErr w:type="spellEnd"/>
      <w:r>
        <w:t xml:space="preserve"> ja kohalikel kogukondadel;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soovitab tugevdada oskusi, koolitust ja noorte kaasatust ning kutsub üles looma </w:t>
      </w:r>
      <w:r>
        <w:rPr>
          <w:b/>
        </w:rPr>
        <w:t>Euroopa käsitööndus- ja traditsiooniliste ametite keskuse</w:t>
      </w:r>
      <w:r>
        <w:t>, et toetada kogu ELis kohalikku majandust ja kultuurilist jätkusuutlikkust;</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Kontaktisik</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E-post</w:t>
            </w:r>
          </w:p>
        </w:tc>
        <w:tc>
          <w:tcPr>
            <w:tcW w:w="3923" w:type="pct"/>
          </w:tcPr>
          <w:p w14:paraId="0EBCDB0C" w14:textId="77777777" w:rsidR="00392AE5" w:rsidRPr="00392AE5" w:rsidRDefault="00C84405" w:rsidP="00392AE5">
            <w:pPr>
              <w:overflowPunct w:val="0"/>
              <w:autoSpaceDE w:val="0"/>
              <w:autoSpaceDN w:val="0"/>
              <w:adjustRightInd w:val="0"/>
              <w:spacing w:line="240" w:lineRule="auto"/>
              <w:textAlignment w:val="baseline"/>
              <w:rPr>
                <w:i/>
              </w:rPr>
            </w:pPr>
            <w:hyperlink r:id="rId36" w:history="1">
              <w:r w:rsidR="00C36EAF">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41EB3DEB" w:rsidR="008E331E" w:rsidRPr="008E331E" w:rsidRDefault="00C84405"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sidR="00C36EAF">
          <w:rPr>
            <w:b/>
            <w:i/>
            <w:color w:val="0000FF"/>
            <w:sz w:val="28"/>
            <w:u w:val="single"/>
          </w:rPr>
          <w:t>Sõiduautode ja kaubikute CO</w:t>
        </w:r>
        <w:r w:rsidR="00C36EAF">
          <w:rPr>
            <w:b/>
            <w:i/>
            <w:color w:val="0000FF"/>
            <w:sz w:val="28"/>
            <w:u w:val="single"/>
            <w:vertAlign w:val="subscript"/>
          </w:rPr>
          <w:t>2</w:t>
        </w:r>
        <w:r w:rsidR="00C36EAF">
          <w:rPr>
            <w:b/>
            <w:i/>
            <w:color w:val="0000FF"/>
            <w:sz w:val="28"/>
            <w:u w:val="single"/>
          </w:rPr>
          <w:t xml:space="preserve"> heite normide läbivaatamine</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Raportöör</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proofErr w:type="spellStart"/>
            <w:r>
              <w:t>Matteo</w:t>
            </w:r>
            <w:proofErr w:type="spellEnd"/>
            <w:r>
              <w:t xml:space="preserve"> BORSANI (tööandjate rühm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w:t>
            </w:r>
            <w:proofErr w:type="spellStart"/>
            <w:r>
              <w:t>final</w:t>
            </w:r>
            <w:proofErr w:type="spellEnd"/>
            <w:r>
              <w:t xml:space="preserve">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Põhipunktid</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Euroopa Majandus- ja Sotsiaalkomitee:</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nõuab tasakaalustatud ja sidusat ELi raamistikku</w:t>
      </w:r>
      <w:r>
        <w:t xml:space="preserve"> autotööstuse üleminekuks, ühendades tugeva tõuke heiteta ja vähese heitega liikuvuse suunas tehnoloogianeutraalsusega, tugevdatud „Valmistatud Euroopas“ väärtusahelaga ning kvaliteetsete töökohtade, tööstussuutlikkuse ja innovatsiooni kaitsega;</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ärgitab</w:t>
      </w:r>
      <w:r>
        <w:t xml:space="preserve"> tungivalt sõiduautode ja kaubikute </w:t>
      </w:r>
      <w:r>
        <w:rPr>
          <w:b/>
        </w:rPr>
        <w:t>CO2 heite norme pragmaatiliselt läbi vaatama</w:t>
      </w:r>
      <w:r>
        <w:t xml:space="preserve"> kooskõlas turuolukorra ja kliimaeesmärkidega, et taastada konkurentsivõime, säilitades samal ajal CO2 heite vähendamise pikaajalise trajektoori;</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pooldab üleminekutehnoloogiate</w:t>
      </w:r>
      <w:r>
        <w:t xml:space="preserve">, sealhulgas hübriidsõidukite, kestlike taastuvkütuste ja vähese heitega materjalide </w:t>
      </w:r>
      <w:r>
        <w:rPr>
          <w:b/>
        </w:rPr>
        <w:t>suuremat rolli</w:t>
      </w:r>
      <w:r>
        <w:t xml:space="preserve"> ning kutsub üles vähem tuginema üksnes summutitoru heitgaasidele, et võimaldada realistlikumat ja sotsiaalselt tasakaalustatumat üleminekut;</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väljendab heameelt suurema paindlikkuse üle 2030. aasta eesmärkide saavutamisel</w:t>
      </w:r>
      <w:r>
        <w:t>, sealhulgas mitmeaastaste nõuete täitmisel, ning nõuab sihipärast toetust laadimistaristule, ettevõtete sõidukiparkide elektrifitseerimisele ja väikestele tarbesõidukitele, mille kasutuselevõtt turul on endiselt piiratud;</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soovitab tugevdada ELi juhtpositsiooni</w:t>
      </w:r>
      <w:r>
        <w:t xml:space="preserve"> tööstuses selliste stiimulite abil nagu ELis valmistatud komponentide sisaldus, vähese heitega terase toetamine ja elektrisõidukite laiendatud erisoodustused koos terviklikuma heitemetoodika ja üleminekuga, mis jääb taskukohaseks, kaasavaks ja </w:t>
      </w:r>
      <w:proofErr w:type="spellStart"/>
      <w:r>
        <w:t>töövõimalusterohkeks</w:t>
      </w:r>
      <w:proofErr w:type="spellEnd"/>
      <w:r>
        <w:t>;</w:t>
      </w:r>
    </w:p>
    <w:p w14:paraId="5E4844AB" w14:textId="77777777" w:rsidR="008E331E" w:rsidRPr="008E331E" w:rsidRDefault="008E331E" w:rsidP="004C6742">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Kontaktisik</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E-post</w:t>
            </w:r>
          </w:p>
        </w:tc>
        <w:tc>
          <w:tcPr>
            <w:tcW w:w="5670" w:type="dxa"/>
          </w:tcPr>
          <w:p w14:paraId="07ADD844" w14:textId="77777777" w:rsidR="008E331E" w:rsidRPr="008E331E" w:rsidRDefault="00C84405" w:rsidP="008E331E">
            <w:pPr>
              <w:overflowPunct w:val="0"/>
              <w:autoSpaceDE w:val="0"/>
              <w:autoSpaceDN w:val="0"/>
              <w:adjustRightInd w:val="0"/>
              <w:spacing w:line="240" w:lineRule="auto"/>
              <w:textAlignment w:val="baseline"/>
              <w:rPr>
                <w:i/>
              </w:rPr>
            </w:pPr>
            <w:hyperlink r:id="rId38" w:history="1">
              <w:r w:rsidR="00C36EAF">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221A2447" w:rsidR="00882D0D" w:rsidRPr="004C6742" w:rsidRDefault="00C84405"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sidR="00882D0D">
          <w:rPr>
            <w:b/>
            <w:i/>
            <w:color w:val="0000FF"/>
            <w:sz w:val="32"/>
            <w:u w:val="single"/>
          </w:rPr>
          <w:t>Määruse (EL) 2019/1020 (turujärelevalve ja toodete vastavuse kohta) hindamine</w:t>
        </w:r>
      </w:hyperlink>
    </w:p>
    <w:p w14:paraId="3DC7A7FA" w14:textId="77777777" w:rsidR="002A0F5D" w:rsidRPr="00882D0D" w:rsidRDefault="002A0F5D" w:rsidP="004C6742">
      <w:pPr>
        <w:widowControl w:val="0"/>
        <w:overflowPunct w:val="0"/>
        <w:autoSpaceDE w:val="0"/>
        <w:autoSpaceDN w:val="0"/>
        <w:adjustRightInd w:val="0"/>
        <w:spacing w:after="200" w:line="276" w:lineRule="auto"/>
        <w:ind w:left="360"/>
        <w:contextualSpacing/>
        <w:jc w:val="left"/>
        <w:textAlignment w:val="baseline"/>
        <w:rPr>
          <w:b/>
          <w:i/>
          <w:sz w:val="32"/>
          <w:szCs w:val="32"/>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Raportöör</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bCs/>
              </w:rPr>
              <w:t>Kaasraportöör</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proofErr w:type="spellStart"/>
            <w:r>
              <w:t>Antje</w:t>
            </w:r>
            <w:proofErr w:type="spellEnd"/>
            <w:r>
              <w:t xml:space="preserve"> GERSTEIN (tööandjate rühm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(kodanikuühiskonna organisatsioonide rühm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Viitedokumendid</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Hindamisaruanne</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 xml:space="preserve">COM(2025) 63 </w:t>
            </w:r>
            <w:proofErr w:type="spellStart"/>
            <w:r>
              <w:t>final</w:t>
            </w:r>
            <w:proofErr w:type="spellEnd"/>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Põhipunktid</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Euroopa Majandus- ja Sotsiaalkomitee soovitab järgmist:</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edendada konsolideeritud Euroopa tootemääruse vastuvõtmist;</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tagada kooskõla turujärelevalve määruse, üldise tooteohutuse määruse, valdkondlike õigusaktide ja liidu tolliseadustiku vahel;</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tugevdada struktureeritud koostööd tolli- ja turujärelevalveasutuste vahel;</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käsitleda turujärelevalve määruse tulevaste läbivaatamiste käigus tehisaru ja muude digitehnoloogiate eriomadusi;</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tagada turujärelevalve- ja tolliasutustele piisavad, prognoositavad ja tulemuspõhised </w:t>
      </w:r>
      <w:proofErr w:type="spellStart"/>
      <w:r>
        <w:t>inim</w:t>
      </w:r>
      <w:proofErr w:type="spellEnd"/>
      <w:r>
        <w:t>- ja rahalised ressursid koos mõõdetavate rakendusnäitajatega;</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anda riikide ametiasutustele tõhusad, proportsionaalsed ja hoiatavad nõuete täitmise tagamise vahendid;</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luua Euroopa tasandil tugevdatud täitmise tagamise võime, et olla suuteline tegelema süsteemsete piiriüleste riskide ja ulatuslike digitaalsete kaubavoogudega;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võtta vastu selge riskipõhine täitmise tagamise raamistik;</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viia määruse täitmise tagamise raamistik kooskõlla digiteenuste määruse loogikaga, kehtestades proportsionaalsed lisakohustused osalejatele, kelle suurus tekitab süsteemseid vastavusriske;</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töötada välja nõuetele vastavuse partnerluse struktureeritud raamistik, mis võimaldab ametiasutustel teha ennetavat koostööd ettevõtjatega;</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muuta turujärelevalve määrus proportsionaalsemaks ning </w:t>
      </w:r>
      <w:proofErr w:type="spellStart"/>
      <w:r>
        <w:t>VKEdele</w:t>
      </w:r>
      <w:proofErr w:type="spellEnd"/>
      <w:r>
        <w:t xml:space="preserve"> ja mikroettevõtjatele hõlpsamini ligipääsetavaks;</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luua nõuetele mittevastavate toodete Euroopa vaatluskeskus;</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selgitada vastutusahelat ja muuta see toimimiskõlblikuks, kehtestades volitatud esindajatele minimaalsed kvaliteedikriteeriumid;</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parandada turujärelevalve info- ja teavitussüsteemi (ICSMS), portaali „</w:t>
      </w:r>
      <w:proofErr w:type="spellStart"/>
      <w:r>
        <w:t>Safety</w:t>
      </w:r>
      <w:proofErr w:type="spellEnd"/>
      <w:r>
        <w:t xml:space="preserve"> Gate“, tolliandmebaaside ja muude asjakohaste süsteemide koostalitlusvõimet;</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kindlustada täitmise tagamise tulemuste korrapärane ja kättesaadav avaldamine ja levitamine;</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tugevdada kodanikuühiskonna ja sotsiaalpartnerite struktureeritud kaasamist ametlike konsultatsioonimehhanismide, alaliste dialoogiplatvormide, varajase seadusandlikus arengus osalemise ning parema juurdepääsu kaudu teabele ja digitaalsetele liidestele ametiasutustega suhtlemiseks);</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pakkuda nii ametiasutustele kui ka kodanikuühiskonna osalejatele suutlikkuse suurendamise toetust ja sihipärast koolitust;</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võtta kasutusele lihtsad ja tõhusad vahendid petturlikust reklaamist teatamiseks.</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Kontaktisik</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E-post</w:t>
            </w:r>
          </w:p>
        </w:tc>
        <w:tc>
          <w:tcPr>
            <w:tcW w:w="3444" w:type="pct"/>
          </w:tcPr>
          <w:p w14:paraId="22B253E8" w14:textId="77777777" w:rsidR="00882D0D" w:rsidRPr="00882D0D" w:rsidRDefault="00C84405" w:rsidP="00882D0D">
            <w:pPr>
              <w:overflowPunct w:val="0"/>
              <w:autoSpaceDE w:val="0"/>
              <w:autoSpaceDN w:val="0"/>
              <w:adjustRightInd w:val="0"/>
              <w:spacing w:line="240" w:lineRule="auto"/>
              <w:textAlignment w:val="baseline"/>
              <w:rPr>
                <w:i/>
                <w:iCs/>
              </w:rPr>
            </w:pPr>
            <w:hyperlink r:id="rId40" w:history="1">
              <w:r w:rsidR="00C36EAF">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1D1D0069" w14:textId="2910BB3B" w:rsidR="007C6EFD" w:rsidRDefault="007C6EFD">
      <w:pPr>
        <w:spacing w:after="160" w:line="259" w:lineRule="auto"/>
        <w:jc w:val="left"/>
      </w:pPr>
    </w:p>
    <w:p w14:paraId="58C55E8F" w14:textId="45F5002C" w:rsidR="00426604" w:rsidRPr="00426604" w:rsidRDefault="00C84405"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sidR="00C36EAF">
          <w:rPr>
            <w:b/>
            <w:i/>
            <w:color w:val="0000FF"/>
            <w:sz w:val="28"/>
            <w:u w:val="single"/>
          </w:rPr>
          <w:t>Tarbijakaitse tegevuskava aastani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Raportöör</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 xml:space="preserve">Thierry </w:t>
            </w:r>
            <w:proofErr w:type="spellStart"/>
            <w:r>
              <w:t>Libaert</w:t>
            </w:r>
            <w:proofErr w:type="spellEnd"/>
            <w:r>
              <w:t xml:space="preserve"> (kodanikuühiskonna organisatsioonide rühm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Viitedokumendid</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 xml:space="preserve">COM(2025) 848 </w:t>
            </w:r>
            <w:proofErr w:type="spellStart"/>
            <w:r>
              <w:t>final</w:t>
            </w:r>
            <w:proofErr w:type="spellEnd"/>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Põhipunktid</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Euroopa Majandus- ja Sotsiaalkomitee:</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väljendab heameelt 2025–2030. aasta tarbijakaitse tegevuskava üle. See on nii vormilt kui ka sisult suurepärane tarbijakaitse raamtekst eelolevateks aastateks;</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soovib, et komisjon võiks välja pakkuda terviklikuma visiooni tarbijatest, milles ei piirdutaks vaid õiguste küsimusega;</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peab vajalikuks eelmise tegevuskava struktureeritud, üksikasjalikku ja andmepõhist ülevaadet, et võimaldada põhjalikumat hindamist;</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toetab lihtsustamismeetmeid, kuid rõhutab, et need ei tohi mingil juhul õõnestada tarbijakaitset;</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 xml:space="preserve">märgib, et tarbijakaitses tuleb tingimata arvesse võtta olukordade mitmekesisust, eelkõige seoses aladega, kus puuduvad kauplused (nn kaubanduskõrbed), ja teatavat liiki tarbijate </w:t>
      </w:r>
      <w:proofErr w:type="spellStart"/>
      <w:r>
        <w:t>haavatavusega</w:t>
      </w:r>
      <w:proofErr w:type="spellEnd"/>
      <w:r>
        <w:t>;</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soovib, et eelkõige väljaspool Euroopa Liitu asuvate e-kaubanduse platvormide kaudu imporditud toodete ohtlikkuse järelevalve oleks kiirem ja intensiivsem;</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kutsub üles pöörama suuremat tähelepanu nn mikroõiguse tavadele, et lahendada väikeste summadega seotud vaidlusi;</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 xml:space="preserve">toetab </w:t>
      </w:r>
      <w:proofErr w:type="spellStart"/>
      <w:r>
        <w:t>digiteerimismeetmeid</w:t>
      </w:r>
      <w:proofErr w:type="spellEnd"/>
      <w:r>
        <w:t>, kuid soovib, et kaebuse korral peaks tarbijal olema viimase abinõuna alati võimalik pöörduda inimesest teenindaja poole;</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kutsub komisjoni üles näitama rohkem huvi toodete ringluse ja kestlikkuse vastu;</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soovitab tugevat tarbijakaitsepoliitikat vastukaaluks suunamõjutajate kaubanduslikele sõnumitele, eriti kui need on suunatud lastele;</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innustab liikmesriike toetama tarbijaühendusi.</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Kontaktisik</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E-post</w:t>
            </w:r>
          </w:p>
        </w:tc>
        <w:tc>
          <w:tcPr>
            <w:tcW w:w="5670" w:type="dxa"/>
          </w:tcPr>
          <w:p w14:paraId="21BA9078" w14:textId="77777777" w:rsidR="00426604" w:rsidRPr="00426604" w:rsidRDefault="00C84405" w:rsidP="00426604">
            <w:pPr>
              <w:overflowPunct w:val="0"/>
              <w:autoSpaceDE w:val="0"/>
              <w:autoSpaceDN w:val="0"/>
              <w:adjustRightInd w:val="0"/>
              <w:spacing w:line="240" w:lineRule="auto"/>
              <w:textAlignment w:val="baseline"/>
              <w:rPr>
                <w:i/>
              </w:rPr>
            </w:pPr>
            <w:hyperlink r:id="rId42" w:history="1">
              <w:r w:rsidR="00C36EAF">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2356C935" w:rsidR="00A83352" w:rsidRPr="00A83352" w:rsidRDefault="00C84405"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sidR="00C36EAF">
          <w:rPr>
            <w:b/>
            <w:i/>
            <w:color w:val="0000FF"/>
            <w:sz w:val="28"/>
            <w:u w:val="single"/>
          </w:rPr>
          <w:t>„</w:t>
        </w:r>
        <w:proofErr w:type="spellStart"/>
        <w:r w:rsidR="00C36EAF">
          <w:rPr>
            <w:b/>
            <w:i/>
            <w:color w:val="0000FF"/>
            <w:sz w:val="28"/>
            <w:u w:val="single"/>
          </w:rPr>
          <w:t>Küberturvalisuse</w:t>
        </w:r>
        <w:proofErr w:type="spellEnd"/>
        <w:r w:rsidR="00C36EAF">
          <w:rPr>
            <w:b/>
            <w:i/>
            <w:color w:val="0000FF"/>
            <w:sz w:val="28"/>
            <w:u w:val="single"/>
          </w:rPr>
          <w:t xml:space="preserve"> määrus“</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Raportöör</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proofErr w:type="spellStart"/>
            <w:r>
              <w:t>Miroslav</w:t>
            </w:r>
            <w:proofErr w:type="spellEnd"/>
            <w:r>
              <w:t xml:space="preserve"> HAJNOŠ (töötajate rühm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Viitedokumendid</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w:t>
            </w:r>
            <w:proofErr w:type="spellStart"/>
            <w:r>
              <w:t>final</w:t>
            </w:r>
            <w:proofErr w:type="spellEnd"/>
            <w:r>
              <w:t xml:space="preserve">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w:t>
            </w:r>
            <w:proofErr w:type="spellStart"/>
            <w:r>
              <w:t>final</w:t>
            </w:r>
            <w:proofErr w:type="spellEnd"/>
            <w:r>
              <w:t xml:space="preserve">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387C4E93" w14:textId="77777777" w:rsidR="004D2D6F" w:rsidRDefault="004D2D6F" w:rsidP="00843847">
            <w:pPr>
              <w:tabs>
                <w:tab w:val="center" w:pos="-1198"/>
              </w:tabs>
              <w:overflowPunct w:val="0"/>
              <w:autoSpaceDE w:val="0"/>
              <w:autoSpaceDN w:val="0"/>
              <w:adjustRightInd w:val="0"/>
              <w:ind w:left="-1668" w:hanging="1464"/>
              <w:jc w:val="left"/>
              <w:textAlignment w:val="baseline"/>
            </w:pPr>
            <w:r>
              <w:t>Euroopa Majandus- ja Sotsiaalkomitee:</w:t>
            </w:r>
          </w:p>
          <w:p w14:paraId="0B733C5A" w14:textId="48DD0FA0" w:rsidR="004D2D6F" w:rsidRPr="007A3096" w:rsidRDefault="004D2D6F" w:rsidP="00B56575">
            <w:pPr>
              <w:tabs>
                <w:tab w:val="center" w:pos="284"/>
              </w:tabs>
              <w:overflowPunct w:val="0"/>
              <w:autoSpaceDE w:val="0"/>
              <w:autoSpaceDN w:val="0"/>
              <w:adjustRightInd w:val="0"/>
              <w:ind w:left="266" w:hanging="266"/>
              <w:textAlignment w:val="baseline"/>
              <w:rPr>
                <w:lang w:val="pt-PT"/>
              </w:rPr>
            </w:pP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Põhipunktid</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Euroopa Majandus- ja Sotsiaalkomitee: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väljendab heameelt </w:t>
      </w:r>
      <w:proofErr w:type="spellStart"/>
      <w:r>
        <w:t>küberturvalisuse</w:t>
      </w:r>
      <w:proofErr w:type="spellEnd"/>
      <w:r>
        <w:t xml:space="preserve"> määruse läbivaatamise ja </w:t>
      </w:r>
      <w:proofErr w:type="spellStart"/>
      <w:r>
        <w:t>küberturvalisuse</w:t>
      </w:r>
      <w:proofErr w:type="spellEnd"/>
      <w:r>
        <w:t xml:space="preserve"> 2. direktiivi ajakohastamise üle. </w:t>
      </w:r>
      <w:proofErr w:type="spellStart"/>
      <w:r>
        <w:t>Küberturvalisust</w:t>
      </w:r>
      <w:proofErr w:type="spellEnd"/>
      <w:r>
        <w:t xml:space="preserve"> tuleb käsitleda </w:t>
      </w:r>
      <w:r>
        <w:rPr>
          <w:b/>
        </w:rPr>
        <w:t>majandusjulgeoleku ja geopoliitilise vastupanuvõime põhiküsimusena</w:t>
      </w:r>
      <w:r>
        <w:t>. Samal ajal tuleb lihtsustada eeskirju ja vähendada ettevõtjate halduskoormust;</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kutsub üles </w:t>
      </w:r>
      <w:r>
        <w:rPr>
          <w:b/>
        </w:rPr>
        <w:t xml:space="preserve">Euroopa Liidu </w:t>
      </w:r>
      <w:proofErr w:type="spellStart"/>
      <w:r>
        <w:rPr>
          <w:b/>
        </w:rPr>
        <w:t>Küberturvalisuse</w:t>
      </w:r>
      <w:proofErr w:type="spellEnd"/>
      <w:r>
        <w:rPr>
          <w:b/>
        </w:rPr>
        <w:t xml:space="preserve"> Ametit (ENISA) tugevdama</w:t>
      </w:r>
      <w:r>
        <w:t xml:space="preserve"> ja paremini rahastama. Ametil peavad olema selged konsolideeritud volitused ning piisavad rahalised vahendid ja töötajad, et tulemuslikult täita oma laiendatud kohustusi, k.a oskuste täiendamise ja sertifitseerimise vallas;</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rõhutab </w:t>
      </w:r>
      <w:r>
        <w:rPr>
          <w:b/>
        </w:rPr>
        <w:t>tööjõu oskuste ja koolituse</w:t>
      </w:r>
      <w:r>
        <w:t xml:space="preserve"> otsustavat rolli </w:t>
      </w:r>
      <w:proofErr w:type="spellStart"/>
      <w:r>
        <w:t>küberturvalisuse</w:t>
      </w:r>
      <w:proofErr w:type="spellEnd"/>
      <w:r>
        <w:t xml:space="preserve"> vastupidavuses. Toetada tuleb kogu ELi hõlmavaid oskuste raamistikke ja sertifitseerimissüsteeme, tagades samal ajal, et need jäävad kõigis liikmesriikides praktiliseks, koordineerituks ja kättesaadavaks;</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toonitab </w:t>
      </w:r>
      <w:proofErr w:type="spellStart"/>
      <w:r>
        <w:t>küberturvalisuse</w:t>
      </w:r>
      <w:proofErr w:type="spellEnd"/>
      <w:r>
        <w:t xml:space="preserve"> kasvavat tähtsust </w:t>
      </w:r>
      <w:r>
        <w:rPr>
          <w:b/>
        </w:rPr>
        <w:t>demokraatliku vastupanuvõime</w:t>
      </w:r>
      <w:r>
        <w:t xml:space="preserve"> jaoks, nõudes </w:t>
      </w:r>
      <w:r>
        <w:rPr>
          <w:b/>
        </w:rPr>
        <w:t>tõhustatud ELi koordineerimist,</w:t>
      </w:r>
      <w:r>
        <w:t xml:space="preserve"> et kaitsta valimisi ja elutähtsat taristut </w:t>
      </w:r>
      <w:proofErr w:type="spellStart"/>
      <w:r>
        <w:t>küberrünnete</w:t>
      </w:r>
      <w:proofErr w:type="spellEnd"/>
      <w:r>
        <w:t xml:space="preserve">, desinformatsiooni ja </w:t>
      </w:r>
      <w:proofErr w:type="spellStart"/>
      <w:r>
        <w:t>välissekkumise</w:t>
      </w:r>
      <w:proofErr w:type="spellEnd"/>
      <w:r>
        <w:t xml:space="preserve"> eest;</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toetab </w:t>
      </w:r>
      <w:r>
        <w:rPr>
          <w:b/>
        </w:rPr>
        <w:t>ühtlustatud ja tõhusat sertifitseerimisraamistikku</w:t>
      </w:r>
      <w:r>
        <w:t xml:space="preserve">, mis põhineb lähenemisviisil „sertifitseeri üks kord ja ole sertifitseeritud kõikjal“. See tagab õigusselguse, läbipaistvuse ja proportsionaalsuse, eelkõige </w:t>
      </w:r>
      <w:proofErr w:type="spellStart"/>
      <w:r>
        <w:t>VKEde</w:t>
      </w:r>
      <w:proofErr w:type="spellEnd"/>
      <w:r>
        <w:t xml:space="preserve"> ja piiriüleste ettevõtjate jaoks;</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nõuab </w:t>
      </w:r>
      <w:r>
        <w:rPr>
          <w:b/>
        </w:rPr>
        <w:t>IKT tarneahela turvalisuse tasakaalustatud käsitlust</w:t>
      </w:r>
      <w:r>
        <w:t>, mis hõlmab läbipaistvaid riskipõhiseid meetmeid ning majandusliku, tegevusliku ja sotsiaalse mõju täielikku hindamist. Samal ajal tuleb vältida liigset nõuete järgimise koormust ning kaasata jõuliselt sotsiaalpartnerid ja sidusrühmad.</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Kontaktisik</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E-post</w:t>
            </w:r>
          </w:p>
        </w:tc>
        <w:tc>
          <w:tcPr>
            <w:tcW w:w="5670" w:type="dxa"/>
          </w:tcPr>
          <w:p w14:paraId="1D8269C1" w14:textId="77777777" w:rsidR="00A83352" w:rsidRPr="00A83352" w:rsidRDefault="00C84405" w:rsidP="00A83352">
            <w:pPr>
              <w:overflowPunct w:val="0"/>
              <w:autoSpaceDE w:val="0"/>
              <w:autoSpaceDN w:val="0"/>
              <w:adjustRightInd w:val="0"/>
              <w:spacing w:line="240" w:lineRule="auto"/>
              <w:textAlignment w:val="baseline"/>
              <w:rPr>
                <w:i/>
              </w:rPr>
            </w:pPr>
            <w:hyperlink r:id="rId44" w:history="1">
              <w:r w:rsidR="00C36EAF">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67875F69" w:rsidR="00665940" w:rsidRPr="00665940" w:rsidRDefault="00C84405"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sidR="00C36EAF">
          <w:rPr>
            <w:b/>
            <w:i/>
            <w:color w:val="0000FF"/>
            <w:sz w:val="28"/>
            <w:u w:val="single"/>
          </w:rPr>
          <w:t>„Euroopa ravimite kliinilise tipptaseme keskuse rajamine“</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Raportöör</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proofErr w:type="spellStart"/>
            <w:r>
              <w:t>Veselin</w:t>
            </w:r>
            <w:proofErr w:type="spellEnd"/>
            <w:r>
              <w:t xml:space="preserve"> MITOV (töötajate rühm –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Viitedokumendid</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ettevalmistav arvamus ELi nõukogu eesistujariigi Küprose taotlusel</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Põhipunktid</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Euroopa Majandus- ja Sotsiaalkomitee:</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soovitab luua mittesiduva ELi referentasutusena Euroopa kliinilise tipptaseme keskuse, et muuta teaduslikud tõendid kvaliteetseteks kliinilisteks suunisteks, järgides täielikult subsidiaarsuse ja proportsionaalsuse põhimõtet ning edendades õiglast juurdepääsu kvaliteetsele ravile kogu ELis.</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leiab, et Euroopa kliinilise tipptaseme keskus tuleks integreerida laiemasse ELi tervishoiualase vastupanuvõime strateegiasse, et edendada teaduskoostööd, uuenduste kasutuselevõttu ja ELi strateegilist autonoomiat;</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on seisukohal, et keskus peaks täiendama, mitte asendama olemasolevaid ELi ja riiklikke struktuure, olema ühine teaduslik referentsasutus ja tegutsema tugevas juhtimisraamistikus;</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 xml:space="preserve">leiab, et keskuse volitused peaksid olema selgelt määratletud ning keskenduma teaduslikule tipptasemele, läbipaistvusele ja praktilisele asjakohasusele, pöörates tähelepanu kliiniliste andmete, sealhulgas kliiniliste </w:t>
      </w:r>
      <w:proofErr w:type="spellStart"/>
      <w:r>
        <w:t>ühishindamiste</w:t>
      </w:r>
      <w:proofErr w:type="spellEnd"/>
      <w:r>
        <w:t xml:space="preserve"> ja tegelikes tingimustes saadud tõendite süstemaatilisele analüüsile ja sünteesile. Keskus peaks välja töötama mittesiduvad ja tõenduspõhised </w:t>
      </w:r>
      <w:proofErr w:type="spellStart"/>
      <w:r>
        <w:t>farmakoteraapia</w:t>
      </w:r>
      <w:proofErr w:type="spellEnd"/>
      <w:r>
        <w:t xml:space="preserve"> soovitused ja kliinilised protokollid, et toetada riiklike otsuste tegemist.</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 xml:space="preserve">soovitab luua keskuse uue detsentraliseeritud ELi organina, et tagada teaduslik järjepidevus, institutsiooniline sidusus ja sõltumatus. Keskust juhitaks tasakaalustatud </w:t>
      </w:r>
      <w:proofErr w:type="spellStart"/>
      <w:r>
        <w:t>mitmetasandilise</w:t>
      </w:r>
      <w:proofErr w:type="spellEnd"/>
      <w:r>
        <w:t xml:space="preserve"> mudeli alusel, mis ühendab liikmesriike, Euroopa Komisjoni ja organiseeritud kodanikuühiskonda.</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leiab, et stabiilne, piisav ja prognoositav rahastamine ELi eelarvest on keskuse usaldusväärsuse, sõltumatuse ja pikaajalise tõhususe eeltingimus. Igasugune täiendav rahastamine peab olema rangelt reguleeritud ja täielikult läbipaistev, et vältida lubamatut mõju teadusväljunditele.</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Kontaktisik</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E-post</w:t>
            </w:r>
          </w:p>
        </w:tc>
        <w:tc>
          <w:tcPr>
            <w:tcW w:w="5670" w:type="dxa"/>
          </w:tcPr>
          <w:p w14:paraId="51562D55" w14:textId="77777777" w:rsidR="00665940" w:rsidRPr="00665940" w:rsidRDefault="00C84405" w:rsidP="00665940">
            <w:pPr>
              <w:overflowPunct w:val="0"/>
              <w:autoSpaceDE w:val="0"/>
              <w:autoSpaceDN w:val="0"/>
              <w:adjustRightInd w:val="0"/>
              <w:spacing w:line="240" w:lineRule="auto"/>
              <w:textAlignment w:val="baseline"/>
              <w:rPr>
                <w:i/>
              </w:rPr>
            </w:pPr>
            <w:hyperlink r:id="rId46" w:history="1">
              <w:r w:rsidR="00C36EAF">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E21D025" w:rsidR="00445258" w:rsidRPr="00445258" w:rsidRDefault="00C84405"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sidR="00445258">
          <w:rPr>
            <w:b/>
            <w:i/>
            <w:color w:val="0000FF"/>
            <w:sz w:val="28"/>
            <w:u w:val="single"/>
          </w:rPr>
          <w:t>Uued õigusnormid uimastite lähteaine kohta</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Raportöör</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(kodanikuühiskonna organisatsioonide rühm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Viitedokumendid</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w:t>
            </w:r>
            <w:proofErr w:type="spellStart"/>
            <w:r>
              <w:t>final</w:t>
            </w:r>
            <w:proofErr w:type="spellEnd"/>
            <w:r>
              <w:t xml:space="preserve">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Põhipunktid</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Komitee soovitab järgmist:</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tagada, et juurdepääs uimasti lähteainete andmekogule on täiesti tasuta;</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näha ette lubade väljastamise lõivust vabastamine või selle märkimisväärne vähendamine ülikoolide, teadusasutuste ja heategevusorganisatsioonide puhul;</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proofErr w:type="spellStart"/>
      <w:r>
        <w:t>sujundada</w:t>
      </w:r>
      <w:proofErr w:type="spellEnd"/>
      <w:r>
        <w:t xml:space="preserve"> </w:t>
      </w:r>
      <w:proofErr w:type="spellStart"/>
      <w:r>
        <w:t>eelteatamismenetlust</w:t>
      </w:r>
      <w:proofErr w:type="spellEnd"/>
      <w:r>
        <w:t xml:space="preserve"> eellähteainete väikestes kogustes kasutamise puhul;</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luua kõigi sidusrühmade, sealhulgas kolmanda sektori organisatsioonide jaoks spetsiaalne tehniliste suuniste kanal, kust saab kiiresti selgitusi aine variantide klassifitseerimise kohta;</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vältida teaduslaborite õiguskindlusetust, mis tuleneb üldistavalt määratletud ainete rühmana 3. kategooriasse lisamisest, avaldades selged, õigeaegsed ja ammendavad erandite loetelud;</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kaasata sõltuvuse ennetamisele ja kahju vähendamisele spetsialiseerunud kodanikuühiskonna organisatsioonid teadlikkuse suurendamisse ja koolitustegevusse;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kohaldada kohustust määrata vastutav ametnik väikeste kodanikuühiskonna organisatsioonide suhtes paindlikult, võimaldades määrata ametisse olemasoleva </w:t>
      </w:r>
      <w:proofErr w:type="spellStart"/>
      <w:r>
        <w:t>sisetöötaja</w:t>
      </w:r>
      <w:proofErr w:type="spellEnd"/>
      <w:r>
        <w:t>;</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saavutada ELis ühtlustatud reguleerimine. See aitab asutustel jälgida ainetega kauplemist ja nende kasutamist teadusuuringutes kogu Euroopas.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kaitsta 3. kategooria lähteaineid kasutavate teadlaste sõltumatust, tagades, et pädevate asutuste kontrollid on riskipõhised ega mõjuta teadusuuringute protokollide konfidentsiaalsust ega terviklust;</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Kontaktisik</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E-post</w:t>
            </w:r>
          </w:p>
        </w:tc>
        <w:tc>
          <w:tcPr>
            <w:tcW w:w="3444" w:type="pct"/>
          </w:tcPr>
          <w:p w14:paraId="7DA66FD2" w14:textId="77777777" w:rsidR="00445258" w:rsidRPr="00445258" w:rsidRDefault="00C84405" w:rsidP="00445258">
            <w:pPr>
              <w:overflowPunct w:val="0"/>
              <w:autoSpaceDE w:val="0"/>
              <w:autoSpaceDN w:val="0"/>
              <w:adjustRightInd w:val="0"/>
              <w:spacing w:line="240" w:lineRule="auto"/>
              <w:textAlignment w:val="baseline"/>
              <w:rPr>
                <w:i/>
                <w:iCs/>
              </w:rPr>
            </w:pPr>
            <w:hyperlink r:id="rId48" w:history="1">
              <w:r w:rsidR="00C36EAF">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7960F288" w:rsidR="00DE758A" w:rsidRPr="00DE758A" w:rsidRDefault="00C84405"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sidR="00DE758A">
          <w:rPr>
            <w:b/>
            <w:i/>
            <w:color w:val="0000FF"/>
            <w:sz w:val="28"/>
            <w:u w:val="single"/>
          </w:rPr>
          <w:t xml:space="preserve">Määruse ettepanek – meditsiiniseadmeid ja </w:t>
        </w:r>
        <w:r w:rsidR="00DE758A">
          <w:rPr>
            <w:b/>
            <w:i/>
            <w:iCs/>
            <w:color w:val="0000FF"/>
            <w:sz w:val="28"/>
            <w:u w:val="single"/>
          </w:rPr>
          <w:t xml:space="preserve">in </w:t>
        </w:r>
        <w:proofErr w:type="spellStart"/>
        <w:r w:rsidR="00DE758A">
          <w:rPr>
            <w:b/>
            <w:i/>
            <w:iCs/>
            <w:color w:val="0000FF"/>
            <w:sz w:val="28"/>
            <w:u w:val="single"/>
          </w:rPr>
          <w:t>vitro</w:t>
        </w:r>
        <w:proofErr w:type="spellEnd"/>
        <w:r w:rsidR="00DE758A">
          <w:rPr>
            <w:b/>
            <w:i/>
            <w:color w:val="0000FF"/>
            <w:sz w:val="28"/>
            <w:u w:val="single"/>
          </w:rPr>
          <w:t xml:space="preserve"> diagnostikat käsitlevate ELi eeskirjade sihipärane läbivaatamine</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Raportöör</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proofErr w:type="spellStart"/>
            <w:r>
              <w:t>Danko</w:t>
            </w:r>
            <w:proofErr w:type="spellEnd"/>
            <w:r>
              <w:t xml:space="preserve"> RELIĆ (kodanikuühiskonna organisatsioonide rühm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Viitedokumendid</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w:t>
            </w:r>
            <w:proofErr w:type="spellStart"/>
            <w:r>
              <w:t>final</w:t>
            </w:r>
            <w:proofErr w:type="spellEnd"/>
            <w:r>
              <w:t xml:space="preserve">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Põhipunktid</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Euroopa Majandus- ja Sotsiaalkomitee:</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 xml:space="preserve">väljendab heameelt komisjoni ettepaneku üle lihtsustada ja ühtlustada meditsiiniseadmete määrust ja in </w:t>
      </w:r>
      <w:proofErr w:type="spellStart"/>
      <w:r>
        <w:t>vitro</w:t>
      </w:r>
      <w:proofErr w:type="spellEnd"/>
      <w:r>
        <w:t xml:space="preserve"> diagnostikameditsiiniseadmete määrust ning tagada samal ajal patsientide ohutus, rahvatervise kaitse ja õigussüsteemi usaldusväärsus;</w:t>
      </w:r>
    </w:p>
    <w:p w14:paraId="3F3B23CD" w14:textId="77777777" w:rsidR="00DE758A" w:rsidRPr="004C6742" w:rsidRDefault="00DE758A" w:rsidP="004C6742">
      <w:pPr>
        <w:pStyle w:val="ListParagraph"/>
        <w:numPr>
          <w:ilvl w:val="0"/>
          <w:numId w:val="77"/>
        </w:numPr>
        <w:ind w:left="567" w:hanging="567"/>
      </w:pPr>
      <w:r>
        <w:t xml:space="preserve">rõhutab, et </w:t>
      </w:r>
      <w:r>
        <w:rPr>
          <w:b/>
        </w:rPr>
        <w:t>lihtsustamine peab tagama õiguskindluse, prognoositavad sertifitseerimistulemused ja ühtlustatud tavad kõigis liikmesriikides</w:t>
      </w:r>
      <w:r>
        <w:t xml:space="preserve">, vältima erinevusi teavitatud asutuste vahel ning </w:t>
      </w:r>
      <w:proofErr w:type="spellStart"/>
      <w:r>
        <w:t>kaitstma</w:t>
      </w:r>
      <w:proofErr w:type="spellEnd"/>
      <w:r>
        <w:t xml:space="preserve"> </w:t>
      </w:r>
      <w:proofErr w:type="spellStart"/>
      <w:r>
        <w:t>VKEsid</w:t>
      </w:r>
      <w:proofErr w:type="spellEnd"/>
      <w:r>
        <w:t xml:space="preserve"> ja mikroettevõtjaid ebakindluse eest;</w:t>
      </w:r>
    </w:p>
    <w:p w14:paraId="5AD93FCB" w14:textId="77777777" w:rsidR="00DE758A" w:rsidRPr="004C6742" w:rsidRDefault="00DE758A" w:rsidP="004C6742">
      <w:pPr>
        <w:pStyle w:val="ListParagraph"/>
        <w:numPr>
          <w:ilvl w:val="0"/>
          <w:numId w:val="77"/>
        </w:numPr>
        <w:ind w:left="567" w:hanging="567"/>
      </w:pPr>
      <w:r>
        <w:t xml:space="preserve">toonitab, et </w:t>
      </w:r>
      <w:r>
        <w:rPr>
          <w:b/>
        </w:rPr>
        <w:t xml:space="preserve">vastavushindamise ja auditite </w:t>
      </w:r>
      <w:proofErr w:type="spellStart"/>
      <w:r>
        <w:rPr>
          <w:b/>
        </w:rPr>
        <w:t>digiteerimisel</w:t>
      </w:r>
      <w:proofErr w:type="spellEnd"/>
      <w:r>
        <w:rPr>
          <w:b/>
        </w:rPr>
        <w:t xml:space="preserve"> tuleb vältida nõuete dubleerimist ja lisakulusid</w:t>
      </w:r>
      <w:r>
        <w:t xml:space="preserve">, eelkõige </w:t>
      </w:r>
      <w:proofErr w:type="spellStart"/>
      <w:r>
        <w:t>VKEde</w:t>
      </w:r>
      <w:proofErr w:type="spellEnd"/>
      <w:r>
        <w:t>, töötajate ja tervishoiutöötajate jaoks, ning kaasnema peaksid selged suunised, koolitus ja tehniline tugi;</w:t>
      </w:r>
    </w:p>
    <w:p w14:paraId="5B714428" w14:textId="77777777" w:rsidR="00DE758A" w:rsidRPr="004C6742" w:rsidRDefault="00DE758A" w:rsidP="004C6742">
      <w:pPr>
        <w:pStyle w:val="ListParagraph"/>
        <w:numPr>
          <w:ilvl w:val="0"/>
          <w:numId w:val="77"/>
        </w:numPr>
        <w:ind w:left="567" w:hanging="567"/>
      </w:pPr>
      <w:r>
        <w:t xml:space="preserve">rõhutab, et </w:t>
      </w:r>
      <w:r>
        <w:rPr>
          <w:b/>
        </w:rPr>
        <w:t>teavitatud asutuste tasude suurendamine ei tohi lihtsustamist takistada ning et turustamisjärgse järelevalve ja seire süsteeme tuleb tugevdada</w:t>
      </w:r>
      <w:r>
        <w:t xml:space="preserve"> kui peamist kompenseerimismehhanismi paindlikumate turustamiseelsete nõuete jaoks;</w:t>
      </w:r>
    </w:p>
    <w:p w14:paraId="2350A493" w14:textId="77777777" w:rsidR="00DE758A" w:rsidRPr="004C6742" w:rsidRDefault="00DE758A" w:rsidP="004C6742">
      <w:pPr>
        <w:pStyle w:val="ListParagraph"/>
        <w:numPr>
          <w:ilvl w:val="0"/>
          <w:numId w:val="77"/>
        </w:numPr>
        <w:ind w:left="567" w:hanging="567"/>
      </w:pPr>
      <w:r>
        <w:t xml:space="preserve">toetab </w:t>
      </w:r>
      <w:r>
        <w:rPr>
          <w:b/>
        </w:rPr>
        <w:t>innovatsioonisõbralikke regulatiivseid võimalusi läbimurdeliste ja harvikseadmete jaoks nii, et samas tagatakse läbipaistvus</w:t>
      </w:r>
      <w:r>
        <w:t xml:space="preserve"> (sh Euroopa meditsiiniseadmete andmebaasi (EUDAMED) kaudu), ning nõuab </w:t>
      </w:r>
      <w:r>
        <w:rPr>
          <w:b/>
        </w:rPr>
        <w:t>sotsiaalpartnerite, tervishoiutöötajate ja kodanikuühiskonna süstemaatilist kaasamist</w:t>
      </w:r>
      <w:r>
        <w:t xml:space="preserve"> rakendamise ja mõju jälgimisse.</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Kontaktisik</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E-post</w:t>
            </w:r>
          </w:p>
        </w:tc>
        <w:tc>
          <w:tcPr>
            <w:tcW w:w="3941" w:type="pct"/>
          </w:tcPr>
          <w:p w14:paraId="7476247D" w14:textId="77777777" w:rsidR="00DE758A" w:rsidRPr="00DE758A" w:rsidRDefault="00C84405" w:rsidP="00DE758A">
            <w:pPr>
              <w:overflowPunct w:val="0"/>
              <w:autoSpaceDE w:val="0"/>
              <w:autoSpaceDN w:val="0"/>
              <w:adjustRightInd w:val="0"/>
              <w:spacing w:line="240" w:lineRule="auto"/>
              <w:textAlignment w:val="baseline"/>
              <w:rPr>
                <w:i/>
                <w:iCs/>
              </w:rPr>
            </w:pPr>
            <w:hyperlink r:id="rId50" w:history="1">
              <w:r w:rsidR="00C36EAF">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2EFA7F4B" w:rsidR="00CB6F1C" w:rsidRPr="00CB6F1C" w:rsidRDefault="00C84405"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sidR="00CB6F1C">
          <w:rPr>
            <w:b/>
            <w:i/>
            <w:color w:val="0000FF"/>
            <w:sz w:val="28"/>
            <w:u w:val="single"/>
          </w:rPr>
          <w:t>Strateegiline standardimine tugevama ühtse turu nimel</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Raportöör</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proofErr w:type="spellStart"/>
            <w:r>
              <w:t>Angelo</w:t>
            </w:r>
            <w:proofErr w:type="spellEnd"/>
            <w:r>
              <w:t xml:space="preserve"> PAGLIARA (töötajate rühm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Viitedokumendid</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omaalgatuslik arvamus</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Põhipunktid</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Euroopa Majandus- ja Sotsiaalkomitee:</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rõhutab </w:t>
      </w:r>
      <w:r>
        <w:rPr>
          <w:b/>
        </w:rPr>
        <w:t>kaasatuse</w:t>
      </w:r>
      <w:r>
        <w:t xml:space="preserve"> hädavajalikkust selleks, et standardimissüsteem oleks legitiimne ja tulemuslik, ning nõuab </w:t>
      </w:r>
      <w:proofErr w:type="spellStart"/>
      <w:r>
        <w:rPr>
          <w:b/>
        </w:rPr>
        <w:t>VKEde</w:t>
      </w:r>
      <w:proofErr w:type="spellEnd"/>
      <w:r>
        <w:rPr>
          <w:b/>
        </w:rPr>
        <w:t>, ametiühingute ja kodanikuühiskonna organisatsioonide suuremat osalust</w:t>
      </w:r>
      <w:r>
        <w:t>, mida toetavad asjakohane rahastus, suutlikkuse suurendamine ja lihtsustatud juurdepääs;</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nõuab selgeid sotsiaaldialoogi kaitse meetmeid ja rõhutab, et </w:t>
      </w:r>
      <w:r>
        <w:rPr>
          <w:b/>
        </w:rPr>
        <w:t>Euroopa standardimine peab jääma ELi õigusakte toetavaks tehniliseks vahendiks</w:t>
      </w:r>
      <w:r>
        <w:t xml:space="preserve"> ega tohi reguleerida ega mõjutada töötajate õigusi, töötingimusi ega kollektiivläbirääkimisi;</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soovitab </w:t>
      </w:r>
      <w:r>
        <w:rPr>
          <w:b/>
        </w:rPr>
        <w:t>suuremat läbipaistvust</w:t>
      </w:r>
      <w:r>
        <w:t xml:space="preserve"> ja juurdepääsetavust, sealhulgas üldsuse </w:t>
      </w:r>
      <w:r>
        <w:rPr>
          <w:b/>
        </w:rPr>
        <w:t>lihtsamat juurdepääsu standarditele, tehniliste komiteede selgemat juhtimist ja standardimistaotluste eelhindamist</w:t>
      </w:r>
      <w:r>
        <w:t>, et tagada vastavus põhiõigustele ja ELi õigusaktidele;</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rõhutab standardimise strateegilist rolli ühtse turu, konkurentsivõime ja avatud strateegilise autonoomia edendamisel, ning kutsub samal ajal tungivalt üles tugevdama </w:t>
      </w:r>
      <w:r>
        <w:rPr>
          <w:b/>
        </w:rPr>
        <w:t>ELi koordineerimist rahvusvaheliste standardite kehtestamisel</w:t>
      </w:r>
      <w:r>
        <w:t>, et kaitsta Euroopa huve ja kõrgeid standardeid;</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pooldab tõhusamat ja </w:t>
      </w:r>
      <w:r>
        <w:rPr>
          <w:b/>
        </w:rPr>
        <w:t>tulevikukindlamat</w:t>
      </w:r>
      <w:r>
        <w:t xml:space="preserve"> süsteemi, mis parandab </w:t>
      </w:r>
      <w:r>
        <w:rPr>
          <w:b/>
        </w:rPr>
        <w:t>ajakohasust</w:t>
      </w:r>
      <w:r>
        <w:t xml:space="preserve"> ja kvaliteeti, tegeledes samal ajal </w:t>
      </w:r>
      <w:r>
        <w:rPr>
          <w:b/>
        </w:rPr>
        <w:t>kujunemisjärgus tehnoloogiatega</w:t>
      </w:r>
      <w:r>
        <w:t xml:space="preserve"> ning tagades, et standardid toetavad innovatsiooni, kestlikkust ning </w:t>
      </w:r>
      <w:r>
        <w:rPr>
          <w:b/>
        </w:rPr>
        <w:t>töötajate, tarbijate ja keskkonna kõrgetasemelist kaitset</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Kontaktisik</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E-post</w:t>
            </w:r>
          </w:p>
        </w:tc>
        <w:tc>
          <w:tcPr>
            <w:tcW w:w="5670" w:type="dxa"/>
          </w:tcPr>
          <w:p w14:paraId="06BF328F" w14:textId="77777777" w:rsidR="00CB6F1C" w:rsidRPr="00CB6F1C" w:rsidRDefault="00C84405" w:rsidP="00CB6F1C">
            <w:pPr>
              <w:overflowPunct w:val="0"/>
              <w:autoSpaceDE w:val="0"/>
              <w:autoSpaceDN w:val="0"/>
              <w:adjustRightInd w:val="0"/>
              <w:spacing w:line="240" w:lineRule="auto"/>
              <w:textAlignment w:val="baseline"/>
              <w:rPr>
                <w:i/>
              </w:rPr>
            </w:pPr>
            <w:hyperlink r:id="rId52" w:history="1">
              <w:r w:rsidR="00C36EAF">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919CFDB" w:rsidR="001F4150" w:rsidRPr="001F4150" w:rsidRDefault="00C84405"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sidR="00A067F3">
          <w:rPr>
            <w:b/>
            <w:i/>
            <w:color w:val="0000FF"/>
            <w:sz w:val="28"/>
            <w:u w:val="single"/>
          </w:rPr>
          <w:t>„Ühtne turg – põhjendamatute territoriaalsete tarnepiirangute kõrvaldamine“</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Raportöör</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proofErr w:type="spellStart"/>
            <w:r>
              <w:t>Antje</w:t>
            </w:r>
            <w:proofErr w:type="spellEnd"/>
            <w:r>
              <w:t xml:space="preserve"> GERSTEIN (tööandjate rühm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Viitedokumendid</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ettevalmistav arvamus Euroopa Komisjoni taotlusel</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Põhipunktid</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Euroopa Majandus- ja Sotsiaalkomitee:</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leiab, et territoriaalsed tarnepiirangud kahjustavad piiriülest äritegevust ning murravad ühtse turu lubadust pakkuda tarbijatele valikuvõimalusi ja hinnakonkurentsi;</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leiab, et on eriti oluline, et tarbijad ja töötajad saaksid kasutada hästi toimiva ühtse turu kõiki võimalikke eeliseid hindade ja tootevaliku osas;</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 xml:space="preserve">kutsub liikmesriike üles mitte vastu võtma riiklikke õigusakte, mis </w:t>
      </w:r>
      <w:proofErr w:type="spellStart"/>
      <w:r>
        <w:t>taasriigistaksid</w:t>
      </w:r>
      <w:proofErr w:type="spellEnd"/>
      <w:r>
        <w:t xml:space="preserve"> veelgi suuremal määral hanketurgu, vaid kõrvaldama selle asemel kaupade vaba liikumist takistavad põhjendamatud tõkked, kahjustamata seejuures õigustatud tarbijakaitsenõudeid;</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näeb lisaväärtust selles, et uuritaks võimalust koostada suunised riikide konkurentsiasutustele ja asjaomastele sidusrühmadele;</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palub Euroopa Komisjonil kaaluda sellise õigusakti kavandamist, mis põhineks digiturgude määruse või põllumajanduslike toiduainete tarneahelas esinevaid ebaausaid kaubandustavasid käsitleva direktiivi põhimõtetel, et tegeleda tõhusalt territoriaalsete tarnepiirangute küsimusega ja tagada tarneahelas senisest õiglasemad kaubandustavad.</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Kontaktisik</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E-post</w:t>
            </w:r>
          </w:p>
        </w:tc>
        <w:tc>
          <w:tcPr>
            <w:tcW w:w="3444" w:type="pct"/>
          </w:tcPr>
          <w:p w14:paraId="67D97326" w14:textId="77777777" w:rsidR="001F4150" w:rsidRPr="001F4150" w:rsidRDefault="00C84405" w:rsidP="001F4150">
            <w:pPr>
              <w:overflowPunct w:val="0"/>
              <w:autoSpaceDE w:val="0"/>
              <w:autoSpaceDN w:val="0"/>
              <w:adjustRightInd w:val="0"/>
              <w:spacing w:line="240" w:lineRule="auto"/>
              <w:textAlignment w:val="baseline"/>
              <w:rPr>
                <w:i/>
                <w:iCs/>
              </w:rPr>
            </w:pPr>
            <w:hyperlink r:id="rId54" w:history="1">
              <w:r w:rsidR="00C36EAF">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5604570F" w:rsidR="00227AA1" w:rsidRPr="00227AA1" w:rsidRDefault="00C84405"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sidR="00C36EAF">
          <w:rPr>
            <w:b/>
            <w:i/>
            <w:color w:val="0000FF"/>
            <w:sz w:val="28"/>
            <w:u w:val="single"/>
          </w:rPr>
          <w:t>ELi idu- ja kasvufirmade strateegia eritähelepanuga Euroopa innovatsiooniaktil</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Raportöör</w:t>
            </w:r>
          </w:p>
        </w:tc>
        <w:tc>
          <w:tcPr>
            <w:tcW w:w="6663"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Paul RÜBIG (tööandjate rühm –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4C6742">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Viitedokumendid</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ettevalmistav arvamus ELi nõukogu eesistujariigi Küprose taotlusel</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Põhipunktid</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Komitee on järgmisel arvamusel:</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Euroopa peab oluliselt tugevdama innovatsiooni ja teadusuuringuid ning tal tuleb tasa teha suur mahajäämus asjaomaste tulemuste turustamises jagu-, idu- ja kasvufirmade kaudu.</w:t>
      </w:r>
      <w:r>
        <w:rPr>
          <w:rFonts w:ascii="Calibri" w:hAnsi="Calibri"/>
        </w:rPr>
        <w:t xml:space="preserve"> </w:t>
      </w:r>
      <w:r>
        <w:t>Strateegiliselt olulistes tööstusharudes on tekkinud üha suurenev mure, et Euroopa keskkond on muutunud liiga killustatuks, liiga tihedaks ja liiga aeglaseks, et pidada sammu üleilmse kiire tehnoloogilise arenguga.</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Selle peamised põhjused on arusaama vähenemine turumajanduslikest protsessidest ning ühtse turu üha killustatumad eeskirjad ja nende kohaldamine, mis takistavad piiriülese turu kasvu ja tehnoloogiasiiret teadusuuringutest tööstusesse.</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Ettevõtete jaoks on lisatakistus aeglased haldusprotsessid, piiratud digiüleminek ning ELi määruste ebaühtlane kohaldamine riiklikul ja piirkondlikul tasandil.</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 xml:space="preserve">Euroopa innovatsiooniakt võib pakkuda piiriülestele idu- ja kasvufirmadele leevendust, kui see sisaldab idufirmade jaoks </w:t>
      </w:r>
      <w:proofErr w:type="spellStart"/>
      <w:r>
        <w:t>valdkondadevahelisi</w:t>
      </w:r>
      <w:proofErr w:type="spellEnd"/>
      <w:r>
        <w:t xml:space="preserve"> lihtsustusi ja selle täitmist saab kõikides liikmesriikides kohustuslikus korras tagada, võttes arvesse ka töötajate õigusi ja osalust. Komitee rõhutab, et Euroopa innovatsiooniakt peaks olema kooskõlas õiglase ülemineku põhimõtetega, tagades, et innovatsioon aitab kaasa majanduskasvule, konkurentsivõimele ja töökohtade loomisele, võttes samal ajal arvesse vajadust toetada töötajaid ja piirkondi, keda tehnoloogiline ja tööstuslik ümberkujundamine mõjutab.</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Innovatsioonisisu ja kasvuväljavaadete hindamiskriteeriumide kataloog oleks tõhusam ja täpsem kui idu- ja kasvufirmade siduv määratlus. Euroopa innovatsiooniakti võiks toetada ka asutajasõbralike ülikoolide pingerida. Lisaks tuleks Euroopa innovatsiooniaktiga tugevdada teadus- ja tehnoloogiaorganisatsioonide ning Euroopa Innovatsiooni- ja Tehnoloogiainstituudi (EIT) rolli eelkõige süvatehnoloogia- ja kapitalimahukates sektorites.</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proofErr w:type="spellStart"/>
      <w:r>
        <w:t>Üleeuroopalised</w:t>
      </w:r>
      <w:proofErr w:type="spellEnd"/>
      <w:r>
        <w:t xml:space="preserve"> maksusoodustused töötajate aktsiaosalusele edendaksid innovatsiooni ja kasvu. Asutajatele tuleks pakkuda ka kaitset riskide eest ning tagada töötajatele ja võlausaldajatele asjakohased kaitsemeetmed kooskõlas kehtivate maksejõuetusraamistikega.</w:t>
      </w:r>
    </w:p>
    <w:p w14:paraId="5C529301" w14:textId="77777777" w:rsidR="00336295" w:rsidRPr="00227AA1" w:rsidRDefault="00336295" w:rsidP="00227AA1">
      <w:pPr>
        <w:numPr>
          <w:ilvl w:val="0"/>
          <w:numId w:val="14"/>
        </w:numPr>
        <w:overflowPunct w:val="0"/>
        <w:autoSpaceDE w:val="0"/>
        <w:autoSpaceDN w:val="0"/>
        <w:adjustRightInd w:val="0"/>
        <w:spacing w:after="200" w:line="276" w:lineRule="auto"/>
        <w:ind w:left="567" w:hanging="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Kontaktisik</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 xml:space="preserve">Jana </w:t>
            </w:r>
            <w:proofErr w:type="spellStart"/>
            <w:r>
              <w:rPr>
                <w:i/>
              </w:rPr>
              <w:t>Valant</w:t>
            </w:r>
            <w:proofErr w:type="spellEnd"/>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E-post</w:t>
            </w:r>
          </w:p>
        </w:tc>
        <w:tc>
          <w:tcPr>
            <w:tcW w:w="5670" w:type="dxa"/>
          </w:tcPr>
          <w:p w14:paraId="30AFF7EB" w14:textId="77777777" w:rsidR="00227AA1" w:rsidRPr="00227AA1" w:rsidRDefault="00C84405" w:rsidP="00227AA1">
            <w:pPr>
              <w:overflowPunct w:val="0"/>
              <w:autoSpaceDE w:val="0"/>
              <w:autoSpaceDN w:val="0"/>
              <w:adjustRightInd w:val="0"/>
              <w:spacing w:line="240" w:lineRule="auto"/>
              <w:textAlignment w:val="baseline"/>
              <w:rPr>
                <w:i/>
              </w:rPr>
            </w:pPr>
            <w:hyperlink r:id="rId56" w:history="1">
              <w:r w:rsidR="00C36EAF">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30329491"/>
      <w:r>
        <w:t>PÕLLUMAJANDUSE, MAAELU ARENGU JA KESKKONNA SEKTSIOON</w:t>
      </w:r>
      <w:bookmarkEnd w:id="18"/>
      <w:bookmarkEnd w:id="19"/>
      <w:bookmarkEnd w:id="20"/>
    </w:p>
    <w:p w14:paraId="4982DE20" w14:textId="77777777" w:rsidR="004D7AC0" w:rsidRDefault="004D7AC0" w:rsidP="001766B2"/>
    <w:p w14:paraId="38C8A97D" w14:textId="1D29CA87" w:rsidR="00341FC2" w:rsidRPr="004C6742" w:rsidRDefault="00C84405" w:rsidP="004C6742">
      <w:pPr>
        <w:widowControl w:val="0"/>
        <w:numPr>
          <w:ilvl w:val="0"/>
          <w:numId w:val="4"/>
        </w:numPr>
        <w:overflowPunct w:val="0"/>
        <w:autoSpaceDE w:val="0"/>
        <w:autoSpaceDN w:val="0"/>
        <w:adjustRightInd w:val="0"/>
        <w:ind w:hanging="567"/>
        <w:textAlignment w:val="baseline"/>
        <w:rPr>
          <w:b/>
        </w:rPr>
      </w:pPr>
      <w:hyperlink r:id="rId57" w:history="1">
        <w:r w:rsidR="00341FC2">
          <w:rPr>
            <w:b/>
            <w:i/>
            <w:color w:val="0000FF"/>
            <w:sz w:val="28"/>
            <w:u w:val="single"/>
          </w:rPr>
          <w:t xml:space="preserve">„Terviklik strateegia looduslike biolagunevate materjalide kohta, et edendada ringlust ja ressursitõhusust, tugevdada põllumajanduslikku toidutööstust ning laiendada ELi </w:t>
        </w:r>
        <w:proofErr w:type="spellStart"/>
        <w:r w:rsidR="00341FC2">
          <w:rPr>
            <w:b/>
            <w:i/>
            <w:color w:val="0000FF"/>
            <w:sz w:val="28"/>
            <w:u w:val="single"/>
          </w:rPr>
          <w:t>biomajandust</w:t>
        </w:r>
        <w:proofErr w:type="spellEnd"/>
        <w:r w:rsidR="00341FC2">
          <w:rPr>
            <w:b/>
            <w:i/>
            <w:color w:val="0000FF"/>
            <w:sz w:val="28"/>
            <w:u w:val="single"/>
          </w:rPr>
          <w:t>“</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proofErr w:type="spellStart"/>
            <w:r>
              <w:t>Stoyan</w:t>
            </w:r>
            <w:proofErr w:type="spellEnd"/>
            <w:r>
              <w:t xml:space="preserve"> TCHOUKANOV (kodanikuühiskonna organisatsioonide rühm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omaalgatuslik arvamus</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Põhipunktid</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Euroopa Majandus- ja Sotsiaalkomitee:</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 xml:space="preserve">leiab, et Euroopa Liidul on hästi ajastatud võimalus tugevdada üleminekut ringluspõhisele </w:t>
      </w:r>
      <w:proofErr w:type="spellStart"/>
      <w:r>
        <w:t>biomajandusele</w:t>
      </w:r>
      <w:proofErr w:type="spellEnd"/>
      <w:r>
        <w:t xml:space="preserve">, milles on ühendatud ringlus, materjalide vähendamine Maa taluvuspiires, </w:t>
      </w:r>
      <w:proofErr w:type="spellStart"/>
      <w:r>
        <w:t>biomassi</w:t>
      </w:r>
      <w:proofErr w:type="spellEnd"/>
      <w:r>
        <w:t xml:space="preserve"> kestlik kasutus ja tööstuse konkurentsivõime. Tuginedes tulevasele ringmajanduse õigusaktile ja ajakohastatud ELi </w:t>
      </w:r>
      <w:proofErr w:type="spellStart"/>
      <w:r>
        <w:t>biomajanduse</w:t>
      </w:r>
      <w:proofErr w:type="spellEnd"/>
      <w:r>
        <w:t xml:space="preserve"> strateegiale, kutsub komitee üles need sidusalt ja jõuliselt ellu viima, et anda poliitiline tõuge tööstuse ja piirkondliku arengu praktiliste tulemuste saavutamiseks;</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rõhutab, et keskkonnaressursside tõhusa kasutamise tagamiseks on vaja jäätmehierarhiat kohaldada kooskõlas jäätmete raamdirektiiviga, tuginedes olelusringil põhinevale mõtteviisile ja parimale üldisele keskkonnatulemusele. Seepärast toetab komitee tulemustele suunatud ja tehnoloogianeutraalset lähenemisviisi, milles seatakse esikohale jäätmetekke vältimine, korduskasutamine ja materjalitõhusus ning tunnustatakse nii tehnilisi kui ka bioloogilisi tsükleid eri ringlusviiside kaudu;</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 xml:space="preserve">toonitab, et materjalid, mis on saadud keemiliselt modifitseerimata looduslikest polümeeridest, mis ühekordsete plasttoodete direktiivi kohaselt ei ole õiguslikult tunnistatud plast ja on kooskõlas </w:t>
      </w:r>
      <w:proofErr w:type="spellStart"/>
      <w:r>
        <w:t>REACHi</w:t>
      </w:r>
      <w:proofErr w:type="spellEnd"/>
      <w:r>
        <w:t xml:space="preserve"> määrusega (kemikaalide registreerimist, hindamist, autoriseerimist ja piiramist käsitlev määrus), võivad aidata vältida reostust, sealhulgas vähendada mikroplasti leket. Nende rolli tuleks hinnata kooskõlas terviseühtsuse põhimõttega, tunnistades keskkonnaalase terviklikkuse, ökosüsteemi vastupanuvõime ning inimeste ja loomade tervise vahelisi seoseid;</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 xml:space="preserve">juhib tähelepanu selliste materjalide potentsiaalile maapiirkondade ja rannikualade majanduse tugevdamisel. Nimelt võimaldavad need põllumajandusliku ja merelise sekundaarse </w:t>
      </w:r>
      <w:proofErr w:type="spellStart"/>
      <w:r>
        <w:t>biomassi</w:t>
      </w:r>
      <w:proofErr w:type="spellEnd"/>
      <w:r>
        <w:t xml:space="preserve"> väärtustamist, tugevdavad kohalikke ja piirkondlikke väärtusahelaid, toetavad põlvkonnavahetust põllumajanduses ja kalanduses, loovad kvaliteetseid töökohti ning aitavad sel viisil kaasa sotsiaalsele ühtekuuluvusele. Komitee rõhutab, et nende kasutust toidu, sööda ja mullakaitse vallas tuleb – selles järjekorras – jätkuvalt pidada esmatähtsaks;</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nõuab ELi toote-, jäätme- ja tööstusalaste õigusaktide suuremat regulatiivset sidusust, et järjepidevalt tagataks plasti ja modifitseerimata looduslike polümeeride õiguslikult kehtestatud eristamine. Pakendeid käsitlevates õigusaktides tuleks vältida soovimatuid tõkkeid või de facto turult väljajätmist, kajastada nii tehnilist kui ka bioloogilist ringlust ning tagada selge ja ühtlustatud teave tarbijatele ning </w:t>
      </w:r>
      <w:proofErr w:type="spellStart"/>
      <w:r>
        <w:t>prognoositavus</w:t>
      </w:r>
      <w:proofErr w:type="spellEnd"/>
      <w:r>
        <w:t xml:space="preserve"> ettevõtjatele ja väikeettevõtjatele;</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 xml:space="preserve">toonitab, kui oluline on rakendada pakendite ja pakendijäätmete määrust prioriteetsena. Komitee hoiatab, et keemiliselt modifitseerimata looduslikest polümeeridest valmistatud pakendid võib turult välja jätta, kui </w:t>
      </w:r>
      <w:proofErr w:type="spellStart"/>
      <w:r>
        <w:t>ringlussevõetavuse</w:t>
      </w:r>
      <w:proofErr w:type="spellEnd"/>
      <w:r>
        <w:t xml:space="preserve"> eeskirjad võimaldavad üksnes tehnilist ringlussevõttu. Seepärast kutsub ta komisjoni üles tagama, et pakendite ja pakendijäätmete määruse rakendamisel tunnistatakse, et need ei ole plast, ning võimaldatakse olelusringi lõpus bioloogilisi lahendusi, kui see annab parima tulemuse keskkonna jaoks;</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kutsub komisjoni üles tagama keskkonna-, tööstus- ja põllumajanduspoliitikas koordineeritud tegevuse. Nii saab võimaldada kestlike materjalide ulatuslikumat rakendamist, hõlbustada tööstuslikku kasutuselevõttu, tugevdada piirkondlikke väärtusahelaid ja tagada Euroopa ülemaailmne konkurentsivõime kestliku materjaliinnovatsiooni valdkonnas, toetades samal ajal erainvesteeringuid ja uuenduslike lahenduste laialdasemat kasutuselevõttu.</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Kontaktisik</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 xml:space="preserve">Caroline </w:t>
            </w:r>
            <w:proofErr w:type="spellStart"/>
            <w:r>
              <w:rPr>
                <w:i/>
              </w:rPr>
              <w:t>Verhelst</w:t>
            </w:r>
            <w:proofErr w:type="spellEnd"/>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E-post</w:t>
            </w:r>
          </w:p>
        </w:tc>
        <w:tc>
          <w:tcPr>
            <w:tcW w:w="3923" w:type="pct"/>
          </w:tcPr>
          <w:p w14:paraId="06E89BE5" w14:textId="77777777" w:rsidR="00341FC2" w:rsidRPr="00341FC2" w:rsidRDefault="00C84405" w:rsidP="00341FC2">
            <w:pPr>
              <w:overflowPunct w:val="0"/>
              <w:autoSpaceDE w:val="0"/>
              <w:autoSpaceDN w:val="0"/>
              <w:adjustRightInd w:val="0"/>
              <w:textAlignment w:val="baseline"/>
              <w:rPr>
                <w:i/>
              </w:rPr>
            </w:pPr>
            <w:hyperlink r:id="rId58" w:history="1">
              <w:r w:rsidR="00C36EAF">
                <w:rPr>
                  <w:i/>
                  <w:color w:val="0000FF"/>
                  <w:u w:val="single"/>
                </w:rPr>
                <w:t>Caroline.Verhelst@eesc.europa.eu</w:t>
              </w:r>
            </w:hyperlink>
            <w:r w:rsidR="00C36EAF">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C38035D" w:rsidR="000C5A16" w:rsidRPr="004C6742" w:rsidRDefault="00C84405"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sidR="000C5A16">
          <w:rPr>
            <w:b/>
            <w:i/>
            <w:color w:val="0000FF"/>
            <w:sz w:val="28"/>
            <w:u w:val="single"/>
          </w:rPr>
          <w:t xml:space="preserve">ELi </w:t>
        </w:r>
        <w:proofErr w:type="spellStart"/>
        <w:r w:rsidR="000C5A16">
          <w:rPr>
            <w:b/>
            <w:i/>
            <w:color w:val="0000FF"/>
            <w:sz w:val="28"/>
            <w:u w:val="single"/>
          </w:rPr>
          <w:t>biomajanduse</w:t>
        </w:r>
        <w:proofErr w:type="spellEnd"/>
        <w:r w:rsidR="000C5A16">
          <w:rPr>
            <w:b/>
            <w:i/>
            <w:color w:val="0000FF"/>
            <w:sz w:val="28"/>
            <w:u w:val="single"/>
          </w:rPr>
          <w:t xml:space="preserve"> strateegia- </w:t>
        </w:r>
        <w:r w:rsidR="000C5A16">
          <w:rPr>
            <w:b/>
            <w:i/>
            <w:color w:val="0000FF"/>
            <w:sz w:val="28"/>
            <w:u w:val="single"/>
          </w:rPr>
          <w:br/>
          <w:t xml:space="preserve">ringluspõhise, taastava ja konkurentsivõimelise </w:t>
        </w:r>
        <w:proofErr w:type="spellStart"/>
        <w:r w:rsidR="000C5A16">
          <w:rPr>
            <w:b/>
            <w:i/>
            <w:color w:val="0000FF"/>
            <w:sz w:val="28"/>
            <w:u w:val="single"/>
          </w:rPr>
          <w:t>biomajanduse</w:t>
        </w:r>
        <w:proofErr w:type="spellEnd"/>
        <w:r w:rsidR="000C5A16">
          <w:rPr>
            <w:b/>
            <w:i/>
            <w:color w:val="0000FF"/>
            <w:sz w:val="28"/>
            <w:u w:val="single"/>
          </w:rPr>
          <w:t xml:space="preserve"> suunas</w:t>
        </w:r>
      </w:hyperlink>
    </w:p>
    <w:p w14:paraId="191C8AF2" w14:textId="77777777" w:rsidR="0014411E" w:rsidRPr="004C6742" w:rsidRDefault="0014411E" w:rsidP="004C6742">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616"/>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Raportöör</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proofErr w:type="spellStart"/>
            <w:r>
              <w:t>Arnaud</w:t>
            </w:r>
            <w:proofErr w:type="spellEnd"/>
            <w:r>
              <w:t xml:space="preserve"> SCHWARTZ (kodanikuühiskonna organisatsioonide rühm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Viitedokumendid</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 xml:space="preserve">COM(2025) 960 </w:t>
            </w:r>
            <w:proofErr w:type="spellStart"/>
            <w:r>
              <w:t>final</w:t>
            </w:r>
            <w:proofErr w:type="spellEnd"/>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6E491DEA" w14:textId="77777777" w:rsidR="000C5A16" w:rsidRDefault="000C5A16" w:rsidP="000C5A16">
      <w:pPr>
        <w:keepNext/>
        <w:keepLines/>
        <w:tabs>
          <w:tab w:val="center" w:pos="284"/>
        </w:tabs>
        <w:overflowPunct w:val="0"/>
        <w:autoSpaceDE w:val="0"/>
        <w:autoSpaceDN w:val="0"/>
        <w:adjustRightInd w:val="0"/>
        <w:ind w:left="266" w:hanging="266"/>
        <w:textAlignment w:val="baseline"/>
        <w:rPr>
          <w:bCs/>
          <w:lang w:val="en-GB"/>
        </w:rPr>
      </w:pPr>
    </w:p>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Põhipunktid</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Euroopa Majandus- ja Sotsiaalkomitee:</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rõhutab, et Euroopa on piiratud ressurssidega ja suures ulatuses impordist, muu hulgas fossiilkütuste ja tooraine impordist sõltuv maailmajagu, kus valitsev geopoliitiline olukord muutub üha pingelisemaks. Samal ajal on loodusvarade liigkasutus üks peamisi elurikkuse jätkuva vähenemise põhjuseid</w:t>
      </w:r>
      <w:r w:rsidRPr="00944198">
        <w:rPr>
          <w:sz w:val="24"/>
          <w:szCs w:val="20"/>
          <w:vertAlign w:val="superscript"/>
          <w:lang w:val="en-GB"/>
        </w:rPr>
        <w:footnoteReference w:id="1"/>
      </w:r>
      <w:r>
        <w:t xml:space="preserve">. Kooskõlas kestliku arengu eesmärkidega tuleb tagada sidusus ELi kliima- ja elurikkuse eesmärkide ning ringmajanduse vahel. Tugev ja täpselt määratletud </w:t>
      </w:r>
      <w:proofErr w:type="spellStart"/>
      <w:r>
        <w:rPr>
          <w:b/>
        </w:rPr>
        <w:t>biomajanduse</w:t>
      </w:r>
      <w:proofErr w:type="spellEnd"/>
      <w:r>
        <w:rPr>
          <w:b/>
        </w:rPr>
        <w:t xml:space="preserve"> strateegia</w:t>
      </w:r>
      <w:r>
        <w:t xml:space="preserve"> </w:t>
      </w:r>
      <w:r>
        <w:rPr>
          <w:b/>
        </w:rPr>
        <w:t xml:space="preserve">täiendab ringmajanduse valdkonnas </w:t>
      </w:r>
      <w:r>
        <w:t xml:space="preserve">tehtavaid edusamme </w:t>
      </w:r>
      <w:r>
        <w:rPr>
          <w:b/>
        </w:rPr>
        <w:t>ning võimaldab süsinikuheite vähendamist, heaolu ja pikaajalist konkurentsivõimet Maa taluvuspiirides</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Euroopa Liit saab ülemaailmse juhtrolli haarata ainult siis, kui tema institutsioonid </w:t>
      </w:r>
      <w:r>
        <w:rPr>
          <w:b/>
        </w:rPr>
        <w:t>kehtestavad ranged põhimõtted ja kaitsemeetmed</w:t>
      </w:r>
      <w:r>
        <w:t xml:space="preserve"> seoses sellega, mida saab kasutada </w:t>
      </w:r>
      <w:proofErr w:type="spellStart"/>
      <w:r>
        <w:t>biomajanduse</w:t>
      </w:r>
      <w:proofErr w:type="spellEnd"/>
      <w:r>
        <w:t xml:space="preserve"> sisendina, olgu siis tegemist näiteks põllumajandusest, vesiviljelusest, metsadest, loodusest või olme-/tööstusjäätmetest pärineva esmase või teisese </w:t>
      </w:r>
      <w:proofErr w:type="spellStart"/>
      <w:r>
        <w:t>biomassiga</w:t>
      </w:r>
      <w:proofErr w:type="spellEnd"/>
      <w:r>
        <w:t xml:space="preserve">. ELi </w:t>
      </w:r>
      <w:proofErr w:type="spellStart"/>
      <w:r>
        <w:t>biomajanduse</w:t>
      </w:r>
      <w:proofErr w:type="spellEnd"/>
      <w:r>
        <w:t xml:space="preserve"> strateegias tuleb keskenduda majanduse rohepöördele, võttes arvesse keskkonna- ja sotsiaalaspekte. Kestlik ja ringluspõhine </w:t>
      </w:r>
      <w:proofErr w:type="spellStart"/>
      <w:r>
        <w:t>biomajandus</w:t>
      </w:r>
      <w:proofErr w:type="spellEnd"/>
      <w:r>
        <w:t xml:space="preserve"> tugevdab ELi majandust ja konkurentsivõimet, vähendab sõltuvust fossiilsetest ressurssidest, aitab saavutada kliimaeesmärke ja luua uusi töökohti ning toob keskkonnaalast ja sotsiaalset kasu. Selles juhtrollis </w:t>
      </w:r>
      <w:r>
        <w:rPr>
          <w:b/>
        </w:rPr>
        <w:t>tuleks seada esikohale kvaliteetsed töökohad, eelkõige maapiirkondades ja äärealadel</w:t>
      </w:r>
      <w:r>
        <w:t xml:space="preserve">. Need põhimõtted peaksid olema kvantifitseeritavad, jõustatavad ja kontrollitavad kogu tarneahelas ning neid tuleks kohaldada võrdselt Euroopa ja imporditud lähteainete suhtes. Üleilmses kontekstis on oluline </w:t>
      </w:r>
      <w:r>
        <w:rPr>
          <w:b/>
        </w:rPr>
        <w:t xml:space="preserve">võidelda ebaausa konkurentsiga, mis tuleneb liiga madala hinnaga </w:t>
      </w:r>
      <w:r>
        <w:t>(sageli subsideeritud)</w:t>
      </w:r>
      <w:r>
        <w:rPr>
          <w:b/>
        </w:rPr>
        <w:t xml:space="preserve"> fossiilsetest lähteainetest</w:t>
      </w:r>
      <w:r>
        <w:t>, mille puhul ei võeta arvesse tootmise, kasutamise ja ammendumise välismõjusid.</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Kontaktisik</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 xml:space="preserve">Anna </w:t>
            </w:r>
            <w:proofErr w:type="spellStart"/>
            <w:r>
              <w:rPr>
                <w:sz w:val="20"/>
              </w:rPr>
              <w:t>Cameron</w:t>
            </w:r>
            <w:proofErr w:type="spellEnd"/>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E-post</w:t>
            </w:r>
          </w:p>
        </w:tc>
        <w:tc>
          <w:tcPr>
            <w:tcW w:w="7567" w:type="dxa"/>
          </w:tcPr>
          <w:p w14:paraId="53CEC4E5" w14:textId="77777777" w:rsidR="0039093C" w:rsidRPr="004C6742" w:rsidRDefault="00C84405" w:rsidP="004853F6">
            <w:pPr>
              <w:overflowPunct w:val="0"/>
              <w:autoSpaceDE w:val="0"/>
              <w:autoSpaceDN w:val="0"/>
              <w:adjustRightInd w:val="0"/>
              <w:spacing w:line="276" w:lineRule="auto"/>
              <w:textAlignment w:val="baseline"/>
              <w:outlineLvl w:val="1"/>
              <w:rPr>
                <w:i/>
                <w:iCs/>
                <w:sz w:val="20"/>
                <w:szCs w:val="20"/>
                <w:u w:val="single"/>
              </w:rPr>
            </w:pPr>
            <w:hyperlink r:id="rId60" w:history="1">
              <w:r w:rsidR="0039093C">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2604F6A5" w14:textId="77777777" w:rsidR="007323B9" w:rsidRPr="004C6742" w:rsidRDefault="007323B9" w:rsidP="004C6742">
      <w:pPr>
        <w:widowControl w:val="0"/>
        <w:overflowPunct w:val="0"/>
        <w:autoSpaceDE w:val="0"/>
        <w:autoSpaceDN w:val="0"/>
        <w:adjustRightInd w:val="0"/>
        <w:ind w:left="284"/>
        <w:textAlignment w:val="baseline"/>
        <w:rPr>
          <w:b/>
          <w:lang w:val="en-GB"/>
        </w:rPr>
      </w:pPr>
    </w:p>
    <w:p w14:paraId="48D068B9" w14:textId="7ED02479" w:rsidR="00403683" w:rsidRPr="004C6742" w:rsidRDefault="00C84405" w:rsidP="004C6742">
      <w:pPr>
        <w:widowControl w:val="0"/>
        <w:numPr>
          <w:ilvl w:val="0"/>
          <w:numId w:val="4"/>
        </w:numPr>
        <w:overflowPunct w:val="0"/>
        <w:autoSpaceDE w:val="0"/>
        <w:autoSpaceDN w:val="0"/>
        <w:adjustRightInd w:val="0"/>
        <w:ind w:hanging="567"/>
        <w:textAlignment w:val="baseline"/>
        <w:rPr>
          <w:b/>
        </w:rPr>
      </w:pPr>
      <w:hyperlink r:id="rId61" w:history="1">
        <w:r w:rsidR="00A067F3">
          <w:rPr>
            <w:b/>
            <w:i/>
            <w:color w:val="0000FF"/>
            <w:sz w:val="28"/>
            <w:u w:val="single"/>
          </w:rPr>
          <w:t>Toidu- ja söödaohutusnõuete lihtsustamise koondpakett</w:t>
        </w:r>
      </w:hyperlink>
    </w:p>
    <w:p w14:paraId="2887B6E5" w14:textId="77777777" w:rsidR="00D245DB" w:rsidRDefault="00D245DB" w:rsidP="00D245DB">
      <w:pPr>
        <w:widowControl w:val="0"/>
        <w:overflowPunct w:val="0"/>
        <w:autoSpaceDE w:val="0"/>
        <w:autoSpaceDN w:val="0"/>
        <w:adjustRightInd w:val="0"/>
        <w:textAlignment w:val="baseline"/>
        <w:rPr>
          <w:b/>
        </w:rPr>
      </w:pPr>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Raportöör</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bCs/>
              </w:rPr>
              <w:t>Kaasraportöör</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(tööandjate rühm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(kodanikuühiskonna organisatsioonide rühm – IE)</w:t>
            </w:r>
          </w:p>
          <w:p w14:paraId="5CFB0DE6" w14:textId="77777777" w:rsidR="00F10208" w:rsidRDefault="00F10208" w:rsidP="00403683">
            <w:pPr>
              <w:tabs>
                <w:tab w:val="center" w:pos="284"/>
              </w:tabs>
              <w:overflowPunct w:val="0"/>
              <w:autoSpaceDE w:val="0"/>
              <w:autoSpaceDN w:val="0"/>
              <w:adjustRightInd w:val="0"/>
              <w:ind w:left="266" w:right="-3091" w:hanging="266"/>
              <w:textAlignment w:val="baseline"/>
            </w:pP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 xml:space="preserve">COM(2025) 1030 </w:t>
            </w:r>
            <w:proofErr w:type="spellStart"/>
            <w:r>
              <w:t>final</w:t>
            </w:r>
            <w:proofErr w:type="spellEnd"/>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Põhipunktid</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Euroopa Majandus- ja Sotsiaalkomitee:</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väljendab heameelt toidu- ja söödaohutusnõuete lihtsustamise paketi üldise suunitluse üle, mis peaks vähendama tarbetut halduskoormust ja kulusid, kuid rõhutab, et mis tahes lihtsustamisega ei tohi kahjustada ELi toidu- ja söödaohutuse, keskkonnakaitse ega rahvatervise kõrgeid standardeid ning et edasine lihtsustamine oleks olnud abiks;</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rõhutab reguleerimise kvaliteedi tähtsust ja vajadust tugevdada kodanikuühiskonna rolli õigusaktide järelevalves ja jõustamisel;</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 xml:space="preserve">väljendab heameelt ettepaneku üle hõlbustada </w:t>
      </w:r>
      <w:proofErr w:type="spellStart"/>
      <w:r>
        <w:t>droonide</w:t>
      </w:r>
      <w:proofErr w:type="spellEnd"/>
      <w:r>
        <w:t xml:space="preserve"> laialdasemat kasutamist pestitsiidide pihustamiseks, rõhutades samal ajal vajadust tagada nõuetekohaselt tervise- ja keskkonnakaitse maapiirkondade elanike puhul, kes ei tegele põllumajandusega, ning kõigi töötajate puhul;</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leiab, et Euroopa Toiduohutusametil peaks olema õigus juhtida tähelepanu vajadusele tähtajatu heakskiidu saanud toimeainete sihipärase uuesti hindamise järele ning et ametilt küsitaks riskihindamise käigus arvamust mis tahes konkreetse ajapikenduse asjakohasuse kohta;</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suhtub positiivselt bioloogilise kahjuritõrje toodetele loa andmise menetluste kiirendamisse ja lihtsustamisse.</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nõuab ajapikenduste ühtlustamist kogu ELis kõrgeimal kaitsetasemel ja vastastikuse tunnustamise hõlbustamist;</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toetab seda, et ekspordiks ettenähtud seemneid on lubatud töödelda ELi heakskiidetud toimeaineid sisaldavate taimekaitsevahenditega, tingimusel et selline kasutus vastab sihtriigi regulatiivsetele nõuetele;</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teeb ettepaneku tunnustada ettevõtjate eraõiguslikke sanitaar- ja sertifitseerimisanalüüse ametlikena, et lihtsustada taimekaitsevahendite kolmandatesse riikidesse eksportimise menetlust. See nõuaks ametiasutustelt rangemate kontrollide ja trahvide kehtestamist, et võimaldada sellist tunnustamist;</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tunnistab standardite samaväärsuse tähtsust, kuid on mures impordile kehtestatud jääkide piirnormide kaotamise pärast teatavate ainete puhul, mis ei ole ELis lubatud, ning leiab, et selliste oluliste muudatuste puhul on tähtis hinnata mõju kooskõlas ettevaatuspõhimõttega ja arvestades võimalikku mõju kõigile ahelas osalejatele, kes sõltuvad suurel määral impordist;</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 xml:space="preserve">on seisukohal, et </w:t>
      </w:r>
      <w:proofErr w:type="spellStart"/>
      <w:r>
        <w:t>biotõrjeainetes</w:t>
      </w:r>
      <w:proofErr w:type="spellEnd"/>
      <w:r>
        <w:t xml:space="preserve"> peaks olema lubatud kasutada raskmetalle, näiteks vaske, tingimusel et on tagatud inimeste ja loomade tervis, mulla hea seisund ning bioloogiline mitmekesisus.</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on seisukohal, et enne asendamisele kuuluva toimeaine turult kõrvaldamist peaks olema kättesaadav majanduslikult elujõuline alternatiiv, millel on samaväärne tõhusus;</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 xml:space="preserve">leiab, et EL peab </w:t>
      </w:r>
      <w:proofErr w:type="spellStart"/>
      <w:r>
        <w:t>uuendtoidu</w:t>
      </w:r>
      <w:proofErr w:type="spellEnd"/>
      <w:r>
        <w:t xml:space="preserve"> ja geneetiliselt muundatud toidu puhul järgima kõrgeimaid läbipaistvuse ja ohutuse standardeid;</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 xml:space="preserve">nõuab seemnete märgistamise ühtlustamist, et see hõlmaks asjakohaseid ettevaatus- ja </w:t>
      </w:r>
      <w:proofErr w:type="spellStart"/>
      <w:r>
        <w:t>riskijuhtimismeetmeid</w:t>
      </w:r>
      <w:proofErr w:type="spellEnd"/>
      <w:r>
        <w:t>.</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Kontaktisik</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 xml:space="preserve">Martine </w:t>
            </w:r>
            <w:proofErr w:type="spellStart"/>
            <w:r>
              <w:rPr>
                <w:i/>
              </w:rPr>
              <w:t>Delanoy</w:t>
            </w:r>
            <w:proofErr w:type="spellEnd"/>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E-post</w:t>
            </w:r>
          </w:p>
        </w:tc>
        <w:tc>
          <w:tcPr>
            <w:tcW w:w="3923" w:type="pct"/>
          </w:tcPr>
          <w:p w14:paraId="40D17F4B" w14:textId="77777777" w:rsidR="00403683" w:rsidRDefault="00C84405" w:rsidP="00403683">
            <w:pPr>
              <w:overflowPunct w:val="0"/>
              <w:autoSpaceDE w:val="0"/>
              <w:autoSpaceDN w:val="0"/>
              <w:adjustRightInd w:val="0"/>
              <w:textAlignment w:val="baseline"/>
              <w:rPr>
                <w:i/>
              </w:rPr>
            </w:pPr>
            <w:hyperlink r:id="rId62" w:history="1">
              <w:r w:rsidR="00C36EAF">
                <w:rPr>
                  <w:i/>
                  <w:color w:val="0000FF"/>
                  <w:u w:val="single"/>
                </w:rPr>
                <w:t>Martine.Delanoy@eesc.europa.eu</w:t>
              </w:r>
            </w:hyperlink>
            <w:r w:rsidR="00C36EAF">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7DB24ABB"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Kolmandates riikides teostatud seemnekultuuride põldtunnustamiste samaväärsus ja kolmandates riikides kasvatatud seemne samaväärsus</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C-kategooria arvamus</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 xml:space="preserve">COM(2026) 128 </w:t>
            </w:r>
            <w:proofErr w:type="spellStart"/>
            <w:r>
              <w:t>final</w:t>
            </w:r>
            <w:proofErr w:type="spellEnd"/>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Komitee on kõnealuses küsimuses oma seisukohta juba väljendanud 14. veebruaril 2018 vastu võetud arvamuses EESC-2018-00043-00-00-AC-TRA</w:t>
      </w:r>
      <w:r w:rsidR="002B30F4" w:rsidRPr="002B30F4">
        <w:rPr>
          <w:sz w:val="24"/>
          <w:vertAlign w:val="superscript"/>
          <w:lang w:val="en-GB"/>
        </w:rPr>
        <w:footnoteReference w:id="2"/>
      </w:r>
      <w:r>
        <w:t xml:space="preserve"> ja 18. septembril 2020 vastu võetud arvamuses EESC-2020-02029-00-00-AC-TRA-EN,</w:t>
      </w:r>
      <w:r w:rsidR="002B30F4" w:rsidRPr="002B30F4">
        <w:rPr>
          <w:sz w:val="24"/>
          <w:vertAlign w:val="superscript"/>
          <w:lang w:val="en-GB"/>
        </w:rPr>
        <w:footnoteReference w:id="3"/>
      </w:r>
      <w:r>
        <w:t xml:space="preserve"> otsustas komitee loobuda sel teemal uue arvamuse koostamisest ning viidata eelnimetatud dokumentides väljendatud seisukohale.</w:t>
      </w:r>
    </w:p>
    <w:p w14:paraId="23AFABFB" w14:textId="193EFDF4" w:rsidR="00A230F1" w:rsidRDefault="00A230F1" w:rsidP="00A230F1">
      <w:pPr>
        <w:overflowPunct w:val="0"/>
        <w:autoSpaceDE w:val="0"/>
        <w:autoSpaceDN w:val="0"/>
        <w:adjustRightInd w:val="0"/>
        <w:textAlignment w:val="baseline"/>
        <w:rPr>
          <w:szCs w:val="20"/>
          <w:lang w:val="en-GB"/>
        </w:rPr>
      </w:pP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Kontaktisik</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proofErr w:type="spellStart"/>
            <w:r>
              <w:rPr>
                <w:i/>
              </w:rPr>
              <w:t>Arturo</w:t>
            </w:r>
            <w:proofErr w:type="spellEnd"/>
            <w:r>
              <w:rPr>
                <w:i/>
              </w:rPr>
              <w:t xml:space="preserve"> </w:t>
            </w:r>
            <w:proofErr w:type="spellStart"/>
            <w:r>
              <w:rPr>
                <w:i/>
              </w:rPr>
              <w:t>Iniguez</w:t>
            </w:r>
            <w:proofErr w:type="spellEnd"/>
            <w:r>
              <w:rPr>
                <w:i/>
              </w:rPr>
              <w:t xml:space="preserve"> </w:t>
            </w:r>
            <w:proofErr w:type="spellStart"/>
            <w:r>
              <w:rPr>
                <w:i/>
              </w:rPr>
              <w:t>Yuste</w:t>
            </w:r>
            <w:proofErr w:type="spellEnd"/>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E-post</w:t>
            </w:r>
          </w:p>
        </w:tc>
        <w:tc>
          <w:tcPr>
            <w:tcW w:w="3922" w:type="pct"/>
          </w:tcPr>
          <w:p w14:paraId="1FAC504A" w14:textId="77777777" w:rsidR="00A230F1" w:rsidRPr="00A230F1" w:rsidRDefault="00C84405" w:rsidP="00A230F1">
            <w:pPr>
              <w:overflowPunct w:val="0"/>
              <w:autoSpaceDE w:val="0"/>
              <w:autoSpaceDN w:val="0"/>
              <w:adjustRightInd w:val="0"/>
              <w:textAlignment w:val="baseline"/>
              <w:rPr>
                <w:i/>
                <w:iCs/>
              </w:rPr>
            </w:pPr>
            <w:hyperlink r:id="rId64" w:history="1">
              <w:r w:rsidR="00C36EAF">
                <w:rPr>
                  <w:i/>
                  <w:color w:val="0000FF"/>
                  <w:u w:val="single"/>
                </w:rPr>
                <w:t>Arturo.Iniguez@eesc.europa.eu</w:t>
              </w:r>
            </w:hyperlink>
            <w:r w:rsidR="00C36EAF">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331BEA9D" w:rsidR="00EC4D43" w:rsidRPr="00EC4D43" w:rsidRDefault="00C84405" w:rsidP="004C6742">
      <w:pPr>
        <w:widowControl w:val="0"/>
        <w:numPr>
          <w:ilvl w:val="0"/>
          <w:numId w:val="4"/>
        </w:numPr>
        <w:overflowPunct w:val="0"/>
        <w:autoSpaceDE w:val="0"/>
        <w:autoSpaceDN w:val="0"/>
        <w:adjustRightInd w:val="0"/>
        <w:ind w:hanging="567"/>
        <w:textAlignment w:val="baseline"/>
        <w:rPr>
          <w:b/>
        </w:rPr>
      </w:pPr>
      <w:hyperlink r:id="rId65" w:history="1">
        <w:r w:rsidR="00A067F3">
          <w:rPr>
            <w:b/>
            <w:i/>
            <w:color w:val="0000FF"/>
            <w:sz w:val="28"/>
            <w:u w:val="single"/>
          </w:rPr>
          <w:t>Turustabiilsusreservis hoitavate lubatud heitkoguse ühikute kehtetuks tunnistamine</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C-kategooria arvamus</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 xml:space="preserve">COM(2026) 153 </w:t>
            </w:r>
            <w:proofErr w:type="spellStart"/>
            <w:r>
              <w:t>final</w:t>
            </w:r>
            <w:proofErr w:type="spellEnd"/>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Komitee nõustub ettepaneku sisuga ning on oma seisukohta kõnealusel teemal juba väljendanud varasemas arvamuses EESC-2021-03918-00-00-AC-TRA, mis võeti vastu 8. detsembril 2021,</w:t>
      </w:r>
      <w:r w:rsidR="008548EA" w:rsidRPr="008548EA">
        <w:rPr>
          <w:sz w:val="24"/>
          <w:szCs w:val="20"/>
          <w:vertAlign w:val="superscript"/>
          <w:lang w:val="en-GB"/>
        </w:rPr>
        <w:footnoteReference w:id="4"/>
      </w:r>
      <w:r>
        <w:t xml:space="preserve"> otsustas komitee esitada kõnealust ettepanekut pooldava arvamuse ning viidata eelnimetatud dokumendis väljendatud seisukohale.</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Kontaktisik</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E-post</w:t>
            </w:r>
          </w:p>
        </w:tc>
        <w:tc>
          <w:tcPr>
            <w:tcW w:w="3922" w:type="pct"/>
          </w:tcPr>
          <w:p w14:paraId="4685C922" w14:textId="77777777" w:rsidR="00EC4D43" w:rsidRPr="00EC4D43" w:rsidRDefault="00C84405" w:rsidP="00EC4D43">
            <w:pPr>
              <w:overflowPunct w:val="0"/>
              <w:autoSpaceDE w:val="0"/>
              <w:autoSpaceDN w:val="0"/>
              <w:adjustRightInd w:val="0"/>
              <w:textAlignment w:val="baseline"/>
              <w:rPr>
                <w:i/>
                <w:iCs/>
              </w:rPr>
            </w:pPr>
            <w:hyperlink r:id="rId66" w:history="1">
              <w:r w:rsidR="00C36EAF">
                <w:rPr>
                  <w:i/>
                  <w:color w:val="0000FF"/>
                  <w:u w:val="single"/>
                </w:rPr>
                <w:t>Gaizka.Maloelcoro-iribe@eesc.europa.eu</w:t>
              </w:r>
            </w:hyperlink>
            <w:r w:rsidR="00C36EAF">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715DB2BD" w14:textId="48BF0F05" w:rsidR="007F5784" w:rsidRDefault="007F5784" w:rsidP="001766B2">
      <w:pPr>
        <w:jc w:val="left"/>
      </w:pPr>
    </w:p>
    <w:p w14:paraId="14026A78" w14:textId="34519E14" w:rsidR="007F5784" w:rsidRDefault="007F5784" w:rsidP="004C6742">
      <w:pPr>
        <w:pStyle w:val="Heading2"/>
      </w:pPr>
      <w:bookmarkStart w:id="41" w:name="_Toc230329492"/>
      <w:r>
        <w:t>VÄLISSUHETE SEKTSIOON</w:t>
      </w:r>
      <w:bookmarkEnd w:id="41"/>
    </w:p>
    <w:p w14:paraId="3BBB3E68" w14:textId="77777777" w:rsidR="007F5784" w:rsidRDefault="007F5784" w:rsidP="001766B2"/>
    <w:p w14:paraId="1A338A4C" w14:textId="4F132571" w:rsidR="00D16830" w:rsidRPr="00D16830" w:rsidRDefault="00C84405"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sidR="00D16830">
          <w:rPr>
            <w:b/>
            <w:i/>
            <w:color w:val="0000FF"/>
            <w:sz w:val="24"/>
            <w:u w:val="single"/>
          </w:rPr>
          <w:t>Kodanikuühiskonna roll reformide toetamisel Lääne-Balkani ja Moldova majanduskasvu kavade ning Ukraina reformiprotsessi raames</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Raportöör</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(tööandjate rühm – RO)</w:t>
            </w:r>
          </w:p>
        </w:tc>
      </w:tr>
      <w:tr w:rsidR="00D16830" w:rsidRPr="00D16830" w14:paraId="16FB2AA9" w14:textId="77777777" w:rsidTr="004C6742">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bCs/>
              </w:rPr>
              <w:t>Kaasraportöör</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proofErr w:type="spellStart"/>
            <w:r>
              <w:t>Andrej</w:t>
            </w:r>
            <w:proofErr w:type="spellEnd"/>
            <w:r>
              <w:t xml:space="preserve"> ZORKO (töötajate rühm – SI)</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Viitedokumendid</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ettevalmistav arvamus ELi nõukogu eesistujariigi Küprose taotlusel</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Põhipunktid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Euroopa Majandus- ja Sotsiaalkomitee:</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rõhutab, et kõigi kolme rahastu, st Lääne-Balkani, Ukraina ja Moldova rahastu puhul tuleb </w:t>
      </w:r>
      <w:r>
        <w:rPr>
          <w:b/>
        </w:rPr>
        <w:t>laienemisprotsessi jätkusuutlikkuse</w:t>
      </w:r>
      <w:r>
        <w:t xml:space="preserve"> struktuurse alustingimusena </w:t>
      </w:r>
      <w:r>
        <w:rPr>
          <w:b/>
        </w:rPr>
        <w:t>aktiivselt kaasata kodanikuühiskonda</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Euroopa Majandus- ja Sotsiaalkomitee (edaspidi „komitee“) rõhutab, et kodanikuühiskonna isevastutus kolmest rahastust toetatavate reformide eest peaks seisnema selles, et riiklike ametiasutuste kõrval on </w:t>
      </w:r>
      <w:r>
        <w:rPr>
          <w:b/>
        </w:rPr>
        <w:t>alaline, aktiivne, struktureeritud ja ametlikult institutsionaliseeritud roll ka sotsiaalpartneritel ja kodanikuühiskonna organisatsioonidel.</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rõhutab, et </w:t>
      </w:r>
      <w:r>
        <w:rPr>
          <w:b/>
        </w:rPr>
        <w:t xml:space="preserve">rahastus peaks aktiivselt kaasa aitama riikide ELi </w:t>
      </w:r>
      <w:proofErr w:type="spellStart"/>
      <w:r>
        <w:rPr>
          <w:b/>
        </w:rPr>
        <w:t>liikmesuseks</w:t>
      </w:r>
      <w:proofErr w:type="spellEnd"/>
      <w:r>
        <w:t xml:space="preserve"> ettevalmistamisele kooskõlas Euroopa sotsiaal- ja majandusmudeliga ega tohiks piirduda ühtse turuga integreerumise toetamisega;</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Komitee rõhutab, et </w:t>
      </w:r>
      <w:r>
        <w:rPr>
          <w:b/>
        </w:rPr>
        <w:t>tähtajad ei tohiks kahjustada demokraatlikke menetlusi, avalikku arutelu, kohustuslikku konsulteerimist ega dialoogi</w:t>
      </w:r>
      <w:r>
        <w:t xml:space="preserve"> sotsiaalpartnerite ja kodanikuühiskonna organisatsioonidega ning tähtaegu ei tohiks kasutada selliste erakorraliste seadusandlike järeleandmiste õigustusena, mille tõttu jäetakse sotsiaalpartnerid ja kodanikuühiskonna organisatsioonid kõrvale.</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märgib, et valitsused peaksid looma </w:t>
      </w:r>
      <w:r>
        <w:rPr>
          <w:b/>
        </w:rPr>
        <w:t>struktureeritud sotsiaaldialoogi raamistiku</w:t>
      </w:r>
      <w:r>
        <w:t xml:space="preserve">, millega tagatakse selliste tööandjate, töötajate ja kodanikuühiskonna organisatsioonide riiklike esindusorganisatsioonide kaasamine, kuhu kuulub piisav arv liikmeid. Samal ajal tuleb </w:t>
      </w:r>
      <w:r>
        <w:rPr>
          <w:b/>
        </w:rPr>
        <w:t>austada sotsiaalpartnerite konkreetset rolli ja autonoomiat</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Komitee soovitab Euroopa Komisjonil anda selgeid avalikke suuniseid, mille abil hinnata </w:t>
      </w:r>
      <w:r>
        <w:rPr>
          <w:b/>
        </w:rPr>
        <w:t xml:space="preserve">reformikava rakendamise näitajate, </w:t>
      </w:r>
      <w:r>
        <w:t xml:space="preserve">sealhulgas kontrollistandardite täielikku ja osalist </w:t>
      </w:r>
      <w:r>
        <w:rPr>
          <w:b/>
        </w:rPr>
        <w:t>saavutamist</w:t>
      </w:r>
      <w:r>
        <w:t xml:space="preserve"> ning varem täidetud tingimuste tagasipööramist.</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soovitab tagada</w:t>
      </w:r>
      <w:r>
        <w:rPr>
          <w:b/>
        </w:rPr>
        <w:t xml:space="preserve"> mitmeaastase ja läbipaistva rahastamismehhanismi kaudu </w:t>
      </w:r>
      <w:r>
        <w:t>kohandatud kestliku ja prognoositava</w:t>
      </w:r>
      <w:r>
        <w:rPr>
          <w:b/>
        </w:rPr>
        <w:t xml:space="preserve"> rahalise toetuse kodanikuühiskonna organisatsioonidele ja sotsiaalpartneritele;</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kutsub komisjoni üles </w:t>
      </w:r>
      <w:r>
        <w:rPr>
          <w:b/>
        </w:rPr>
        <w:t>tuginema</w:t>
      </w:r>
      <w:r>
        <w:t xml:space="preserve"> praeguste rahastute juhtimis- ja rakendamisraamistike </w:t>
      </w:r>
      <w:r>
        <w:rPr>
          <w:b/>
        </w:rPr>
        <w:t>vahehindamisele</w:t>
      </w:r>
      <w:r>
        <w:t xml:space="preserve"> ning </w:t>
      </w:r>
      <w:r>
        <w:rPr>
          <w:b/>
        </w:rPr>
        <w:t>veelgi parandama praeguste ja tulevaste asjakohaste ELi tulemuspõhiste laienemisvahendite rakendamist</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Kontaktisik</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E-post</w:t>
            </w:r>
          </w:p>
        </w:tc>
        <w:tc>
          <w:tcPr>
            <w:tcW w:w="5670" w:type="dxa"/>
          </w:tcPr>
          <w:p w14:paraId="104A20AD" w14:textId="77777777" w:rsidR="00D16830" w:rsidRPr="00D16830" w:rsidRDefault="00C84405" w:rsidP="00D16830">
            <w:pPr>
              <w:overflowPunct w:val="0"/>
              <w:autoSpaceDE w:val="0"/>
              <w:autoSpaceDN w:val="0"/>
              <w:adjustRightInd w:val="0"/>
              <w:spacing w:line="240" w:lineRule="auto"/>
              <w:textAlignment w:val="baseline"/>
              <w:rPr>
                <w:i/>
              </w:rPr>
            </w:pPr>
            <w:hyperlink r:id="rId68" w:history="1">
              <w:r w:rsidR="00C36EAF">
                <w:rPr>
                  <w:i/>
                  <w:color w:val="0000FF"/>
                  <w:u w:val="single"/>
                </w:rPr>
                <w:t>David.Hoic@eesc.europa.eu</w:t>
              </w:r>
            </w:hyperlink>
            <w:r w:rsidR="00C36EAF">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0EC2F0DB" w:rsidR="00A3691D" w:rsidRDefault="00A3691D">
      <w:pPr>
        <w:spacing w:after="160" w:line="259" w:lineRule="auto"/>
        <w:jc w:val="left"/>
      </w:pPr>
    </w:p>
    <w:p w14:paraId="41D04A86" w14:textId="49CFB439" w:rsidR="00297F0C" w:rsidRPr="00297F0C" w:rsidRDefault="00C84405"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sidR="00297F0C">
          <w:rPr>
            <w:b/>
            <w:i/>
            <w:color w:val="0000FF"/>
            <w:sz w:val="28"/>
            <w:u w:val="single"/>
          </w:rPr>
          <w:t>Erasektori ja kodanikuühiskonna roll majanduskoostöö tugevdamisel Vahemere piirkonna leppe raames</w:t>
        </w:r>
      </w:hyperlink>
    </w:p>
    <w:p w14:paraId="6EC7DE74" w14:textId="77777777" w:rsidR="00297F0C" w:rsidRPr="00297F0C" w:rsidRDefault="00297F0C" w:rsidP="00297F0C">
      <w:pPr>
        <w:widowControl w:val="0"/>
        <w:overflowPunct w:val="0"/>
        <w:autoSpaceDE w:val="0"/>
        <w:autoSpaceDN w:val="0"/>
        <w:adjustRightInd w:val="0"/>
        <w:ind w:left="567"/>
        <w:jc w:val="left"/>
        <w:textAlignment w:val="baseline"/>
        <w:rPr>
          <w:sz w:val="20"/>
          <w:szCs w:val="20"/>
          <w:lang w:val="en-GB"/>
        </w:rPr>
      </w:pPr>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Raportöör</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(töötajate rühm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bCs/>
              </w:rPr>
              <w:t>Kaasraportöör</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proofErr w:type="spellStart"/>
            <w:r>
              <w:t>Lidija</w:t>
            </w:r>
            <w:proofErr w:type="spellEnd"/>
            <w:r>
              <w:t xml:space="preserve"> PAVIĆ-ROGOŠIĆ (kodanikuühiskonna organisatsioonide rühm – HR)</w:t>
            </w:r>
          </w:p>
          <w:p w14:paraId="112D4104" w14:textId="77777777" w:rsidR="00F76EE7" w:rsidRDefault="00F76EE7" w:rsidP="00297F0C">
            <w:pPr>
              <w:tabs>
                <w:tab w:val="center" w:pos="284"/>
              </w:tabs>
              <w:overflowPunct w:val="0"/>
              <w:autoSpaceDE w:val="0"/>
              <w:autoSpaceDN w:val="0"/>
              <w:adjustRightInd w:val="0"/>
              <w:ind w:left="266" w:right="-3091" w:hanging="266"/>
              <w:textAlignment w:val="baseline"/>
            </w:pP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Viitedokumendid</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ettevalmistav arvamus ELi nõukogu eesistujariigi Küprose taotlusel</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Põhipunktid</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Euroopa Majandus- ja Sotsiaalkomitee:</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on veendunud, et Vahemere piirkonna lepe saab olla edukas ainult ELi, selle liikmesriikide ja Vahemere lõunapiirkonna partnerite tõelise ja võrdse partnerluse kaudu, mis toob nähtavat kasu tavakodanikele ja kogukondadele;</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märgib, et organiseeritud kodanikuühiskond tuleb kaasata püsivalt ja struktureeritult, mitte pelgalt harvade konsultatsioonide kaudu, kaasates ametiühinguid, tööandjate rühmi ja kodanikuühiskonna organisatsioone;</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on veendunud, et erasektori, eelkõige </w:t>
      </w:r>
      <w:proofErr w:type="spellStart"/>
      <w:r>
        <w:t>MVKEde</w:t>
      </w:r>
      <w:proofErr w:type="spellEnd"/>
      <w:r>
        <w:t xml:space="preserve"> tugevdamiseks vajab piirkond reforme, mis parandavad juurdepääsu rahastamisele, pakuvad lihtsustatud menetlusi ning </w:t>
      </w:r>
      <w:proofErr w:type="spellStart"/>
      <w:r>
        <w:t>digiteerimise</w:t>
      </w:r>
      <w:proofErr w:type="spellEnd"/>
      <w:r>
        <w:t xml:space="preserve"> ja </w:t>
      </w:r>
      <w:proofErr w:type="spellStart"/>
      <w:r>
        <w:t>ühendatuse</w:t>
      </w:r>
      <w:proofErr w:type="spellEnd"/>
      <w:r>
        <w:t xml:space="preserve"> toetamist, et ettevõtted saaksid ühineda piirkondlike väärtusahelatega;</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on seisukohal, et kehtivad ELi kaubanduslepingud paljude Vahemere lõunapiirkonna riikidega on aegunud ja neid tuleks ajakohastada, kusjuures kodanikuühiskond aitab jälgida töö-, keskkonna- ja </w:t>
      </w:r>
      <w:proofErr w:type="spellStart"/>
      <w:r>
        <w:t>inimõigustealaseid</w:t>
      </w:r>
      <w:proofErr w:type="spellEnd"/>
      <w:r>
        <w:t xml:space="preserve"> kohustusi;</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on veendunud, et kaubandus ja investeeringud peaksid olema seotud kestliku arengu ja inimväärse tööga, hõlmates õiglast töötasu, turvalisi töötingimusi, jõustatavaid standardeid ning investeeringuid kestlikesse piirkondlikesse projektidesse;</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rõhutab, et üleminekul mitteametlikult majanduselt ametlikule majandusele tuleb juhinduda ILO soovitusest nr 204, et protsess ei ole karistuslik, vaid järkjärguline, kaasav ja majanduslikult elujõuline;</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 xml:space="preserve">on veendunud, et leppe tegevuskava peaks tagama nii sotsiaalkaitse, töötajate õigused ja ILO põhikonventsioonide järgimise kui ka selle, et strateegia „Global </w:t>
      </w:r>
      <w:proofErr w:type="spellStart"/>
      <w:r>
        <w:t>Gateway</w:t>
      </w:r>
      <w:proofErr w:type="spellEnd"/>
      <w:r>
        <w:t>“ ja muud suurprojektid kaasavad sotsiaalpartnereid ja kodanikuühiskonda algusest peale;</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nõuab, et erilist tähelepanu pöörataks sotsiaalmajanduses osalejatele, naistele ja noortele rahastamise, suutlikkuse suurendamise, õigusabi, ettevõtlusprogrammide ja juhtimises osalemise kaudu, samal ajal kui tööjõu liikuvuses tuleb silmas pidada inimõigusi ja vältida ajude äravoolu;</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 xml:space="preserve">leiab, et mõju suurendamiseks tuleks tugevdada koordineerimist ELi rahastatavate ja rahvusvaheliste finantsasutuste vahel ning kaaluda regionaalarengupanga vms rahastamismehhanismi loomist, et toetada taristuprojekte, </w:t>
      </w:r>
      <w:proofErr w:type="spellStart"/>
      <w:r>
        <w:t>MVKEsid</w:t>
      </w:r>
      <w:proofErr w:type="spellEnd"/>
      <w:r>
        <w:t>, idufirmasid ja sotsiaalmajanduses osalejaid organiseeritud kodanikuühiskonna läbipaistval osalusel.</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br w:type="page"/>
            </w:r>
            <w:r>
              <w:rPr>
                <w:b/>
                <w:i/>
              </w:rPr>
              <w:t>Kontaktisik</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 xml:space="preserve">Andreas </w:t>
            </w:r>
            <w:proofErr w:type="spellStart"/>
            <w:r>
              <w:rPr>
                <w:i/>
              </w:rPr>
              <w:t>Berger</w:t>
            </w:r>
            <w:proofErr w:type="spellEnd"/>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E-post</w:t>
            </w:r>
          </w:p>
        </w:tc>
        <w:tc>
          <w:tcPr>
            <w:tcW w:w="3923" w:type="pct"/>
          </w:tcPr>
          <w:p w14:paraId="6FC2A286" w14:textId="77777777" w:rsidR="00297F0C" w:rsidRPr="00297F0C" w:rsidRDefault="00C84405" w:rsidP="00297F0C">
            <w:pPr>
              <w:overflowPunct w:val="0"/>
              <w:autoSpaceDE w:val="0"/>
              <w:autoSpaceDN w:val="0"/>
              <w:adjustRightInd w:val="0"/>
              <w:textAlignment w:val="baseline"/>
              <w:rPr>
                <w:i/>
              </w:rPr>
            </w:pPr>
            <w:hyperlink r:id="rId70" w:history="1">
              <w:r w:rsidR="00C36EAF">
                <w:rPr>
                  <w:i/>
                  <w:color w:val="0000FF"/>
                  <w:u w:val="single"/>
                </w:rPr>
                <w:t>Andreas.Berger@eesc.europa.eu</w:t>
              </w:r>
            </w:hyperlink>
            <w:r w:rsidR="00C36EAF">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1BF4DE49" w14:textId="77777777" w:rsidR="007F5784" w:rsidRDefault="007F5784" w:rsidP="0066696D">
      <w:pPr>
        <w:pStyle w:val="ListParagraph"/>
        <w:ind w:left="567" w:hanging="567"/>
        <w:jc w:val="left"/>
      </w:pPr>
    </w:p>
    <w:p w14:paraId="528C73AA" w14:textId="46DE726B" w:rsidR="006D2C8A" w:rsidRPr="006D2C8A" w:rsidRDefault="006D2C8A" w:rsidP="004C6742">
      <w:pPr>
        <w:pStyle w:val="Heading2"/>
      </w:pPr>
      <w:bookmarkStart w:id="42" w:name="_Toc229140651"/>
      <w:bookmarkStart w:id="43" w:name="_Toc229140658"/>
      <w:bookmarkStart w:id="44" w:name="_Toc230329493"/>
      <w:bookmarkEnd w:id="42"/>
      <w:bookmarkEnd w:id="43"/>
      <w:r>
        <w:t>TÖÖSTUSE MUUTUSTE NÕUANDEKOMISJON</w:t>
      </w:r>
      <w:bookmarkEnd w:id="44"/>
    </w:p>
    <w:p w14:paraId="713E272F" w14:textId="77777777" w:rsidR="006D2C8A" w:rsidRDefault="006D2C8A" w:rsidP="001766B2"/>
    <w:p w14:paraId="1B9F790A" w14:textId="7126C76E" w:rsidR="00814A54" w:rsidRPr="00814A54" w:rsidRDefault="00C84405" w:rsidP="00814A54">
      <w:pPr>
        <w:widowControl w:val="0"/>
        <w:numPr>
          <w:ilvl w:val="0"/>
          <w:numId w:val="19"/>
        </w:numPr>
        <w:spacing w:after="200" w:line="276" w:lineRule="auto"/>
        <w:ind w:left="567" w:hanging="567"/>
        <w:contextualSpacing/>
        <w:jc w:val="left"/>
        <w:rPr>
          <w:sz w:val="28"/>
          <w:szCs w:val="28"/>
        </w:rPr>
      </w:pPr>
      <w:hyperlink r:id="rId71" w:history="1">
        <w:r w:rsidR="00814A54">
          <w:rPr>
            <w:b/>
            <w:i/>
            <w:color w:val="0000FF"/>
            <w:sz w:val="28"/>
            <w:u w:val="single"/>
          </w:rPr>
          <w:t>Erksa ja kiire kaitseinnovatsiooni programm „Agile“</w:t>
        </w:r>
      </w:hyperlink>
      <w:r w:rsidR="00814A54">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670"/>
      </w:tblGrid>
      <w:tr w:rsidR="00814A54" w:rsidRPr="00814A54" w14:paraId="37988BA0" w14:textId="77777777" w:rsidTr="002E7EFB">
        <w:tc>
          <w:tcPr>
            <w:tcW w:w="1701" w:type="dxa"/>
          </w:tcPr>
          <w:p w14:paraId="4FF33EA9" w14:textId="77777777" w:rsidR="00814A54" w:rsidRDefault="00814A54" w:rsidP="00814A54">
            <w:pPr>
              <w:tabs>
                <w:tab w:val="center" w:pos="284"/>
              </w:tabs>
              <w:rPr>
                <w:b/>
              </w:rPr>
            </w:pPr>
          </w:p>
          <w:p w14:paraId="44EB374B" w14:textId="77777777" w:rsidR="007173CF" w:rsidRPr="00814A54" w:rsidRDefault="007173CF" w:rsidP="00814A54">
            <w:pPr>
              <w:tabs>
                <w:tab w:val="center" w:pos="284"/>
              </w:tabs>
              <w:rPr>
                <w:b/>
              </w:rPr>
            </w:pPr>
          </w:p>
          <w:p w14:paraId="41B7C4EB" w14:textId="77777777" w:rsidR="00814A54" w:rsidRPr="00814A54" w:rsidRDefault="00814A54" w:rsidP="00814A54">
            <w:pPr>
              <w:tabs>
                <w:tab w:val="center" w:pos="284"/>
              </w:tabs>
              <w:ind w:left="266" w:hanging="266"/>
              <w:rPr>
                <w:b/>
              </w:rPr>
            </w:pPr>
            <w:r>
              <w:rPr>
                <w:b/>
              </w:rPr>
              <w:t>Raportöör</w:t>
            </w:r>
          </w:p>
        </w:tc>
        <w:tc>
          <w:tcPr>
            <w:tcW w:w="5670" w:type="dxa"/>
          </w:tcPr>
          <w:p w14:paraId="420A37F3" w14:textId="77777777" w:rsidR="00814A54" w:rsidRPr="00814A54" w:rsidRDefault="00814A54" w:rsidP="00814A54">
            <w:pPr>
              <w:tabs>
                <w:tab w:val="center" w:pos="284"/>
              </w:tabs>
              <w:ind w:left="266" w:hanging="266"/>
            </w:pPr>
          </w:p>
          <w:p w14:paraId="6883D11C" w14:textId="77777777" w:rsidR="007173CF" w:rsidRDefault="007173CF" w:rsidP="00814A54">
            <w:pPr>
              <w:tabs>
                <w:tab w:val="center" w:pos="284"/>
              </w:tabs>
              <w:ind w:left="266" w:hanging="266"/>
            </w:pPr>
          </w:p>
          <w:p w14:paraId="1D11312F" w14:textId="073C09C2" w:rsidR="00814A54" w:rsidRPr="00814A54" w:rsidRDefault="00814A54" w:rsidP="00814A54">
            <w:pPr>
              <w:tabs>
                <w:tab w:val="center" w:pos="284"/>
              </w:tabs>
              <w:ind w:left="266" w:hanging="266"/>
            </w:pPr>
            <w:r>
              <w:t>Monika SITÁROVÁ (töötajate rühm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bCs/>
              </w:rPr>
              <w:t>Kaasraportöör</w:t>
            </w:r>
          </w:p>
        </w:tc>
        <w:tc>
          <w:tcPr>
            <w:tcW w:w="5670" w:type="dxa"/>
          </w:tcPr>
          <w:p w14:paraId="691AA178" w14:textId="77BDBBFF" w:rsidR="00814A54" w:rsidRPr="00814A54" w:rsidRDefault="00814A54" w:rsidP="00814A54">
            <w:pPr>
              <w:tabs>
                <w:tab w:val="center" w:pos="284"/>
              </w:tabs>
              <w:ind w:left="266" w:hanging="266"/>
            </w:pPr>
            <w:proofErr w:type="spellStart"/>
            <w:r>
              <w:t>Srita</w:t>
            </w:r>
            <w:proofErr w:type="spellEnd"/>
            <w:r>
              <w:t xml:space="preserve"> HEIDE (DE – 3. kat)</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Viitedokumendid</w:t>
            </w:r>
          </w:p>
        </w:tc>
        <w:tc>
          <w:tcPr>
            <w:tcW w:w="5670" w:type="dxa"/>
          </w:tcPr>
          <w:p w14:paraId="699F0B48" w14:textId="3F25C095" w:rsidR="00BA2BB0" w:rsidRDefault="00BA2BB0" w:rsidP="00814A54">
            <w:pPr>
              <w:tabs>
                <w:tab w:val="center" w:pos="284"/>
              </w:tabs>
              <w:ind w:left="266" w:hanging="266"/>
            </w:pPr>
            <w:r>
              <w:t xml:space="preserve">COM(2026) 135 </w:t>
            </w:r>
            <w:proofErr w:type="spellStart"/>
            <w:r>
              <w:t>final</w:t>
            </w:r>
            <w:proofErr w:type="spellEnd"/>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Põhipunktid</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Euroopa Majandus- ja Sotsiaalkomitee:</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toetab jõupingutusi, mille eesmärk on kiirendada Euroopa kaitsesektori tehnoloogilise ja tööstusliku baasi (EKTTB) arengut ning parandada selle reageerimis- ja innovatsioonivõimet, võttes arvesse muutuvat julgeolekukeskkonda, ning väljendab seepärast heameelt komisjoni kavandatud kaitseraamistiku AGILE üle;</w:t>
      </w:r>
      <w:bookmarkEnd w:id="45"/>
    </w:p>
    <w:p w14:paraId="7C3494F3" w14:textId="77777777" w:rsidR="00814A54" w:rsidRPr="00814A54" w:rsidRDefault="00814A54" w:rsidP="004C6742">
      <w:pPr>
        <w:numPr>
          <w:ilvl w:val="1"/>
          <w:numId w:val="65"/>
        </w:numPr>
        <w:outlineLvl w:val="1"/>
      </w:pPr>
      <w:bookmarkStart w:id="46" w:name="_Toc228805458"/>
      <w:r>
        <w:t xml:space="preserve">väljendab heameelt selle üle, et programm „Agile“ kujutab endast </w:t>
      </w:r>
      <w:proofErr w:type="spellStart"/>
      <w:r>
        <w:t>VKEdele</w:t>
      </w:r>
      <w:proofErr w:type="spellEnd"/>
      <w:r>
        <w:t>, idufirmadele, tsiviiltehnoloogia ettevõtetele ja ettevõtjatele platvormi, mille kaudu pakkuda kvaliteetseid ja kiireid ELi kaitsevalmiduse tagamise lahendusi. Komitee rõhutab uute kaitsevaldkonna osalejate olulist rolli ELi kaitsetööstuse ümberkujundamisel;</w:t>
      </w:r>
      <w:bookmarkEnd w:id="46"/>
      <w:r>
        <w:t xml:space="preserve"> </w:t>
      </w:r>
    </w:p>
    <w:p w14:paraId="084337D9" w14:textId="77777777" w:rsidR="00814A54" w:rsidRPr="00814A54" w:rsidRDefault="00814A54" w:rsidP="004C6742">
      <w:pPr>
        <w:numPr>
          <w:ilvl w:val="1"/>
          <w:numId w:val="65"/>
        </w:numPr>
        <w:outlineLvl w:val="1"/>
      </w:pPr>
      <w:bookmarkStart w:id="47" w:name="_Toc228805459"/>
      <w:r>
        <w:t>toonitab, et kiirendada ei tohi läbipaistvuse, vastutuse ja demokraatliku kontrolli arvelt, sest need on ELi tegevuse õiguspärasuse ja tulemuslikkuse seisukohast jätkuvalt olulised.</w:t>
      </w:r>
      <w:bookmarkEnd w:id="47"/>
    </w:p>
    <w:p w14:paraId="15C24631" w14:textId="77777777" w:rsidR="00814A54" w:rsidRPr="00814A54" w:rsidRDefault="00814A54" w:rsidP="004C6742">
      <w:pPr>
        <w:numPr>
          <w:ilvl w:val="1"/>
          <w:numId w:val="65"/>
        </w:numPr>
        <w:outlineLvl w:val="1"/>
      </w:pPr>
      <w:bookmarkStart w:id="48" w:name="_Toc228805460"/>
      <w:r>
        <w:t>nõuab, et programm „Agile“ vahendid täiendaksid olemasolevaid ELi kaitseprogramme. Komitee soovitab katseprogrammi hindamise tulemuste põhjal selle vahendi eelarvet järgmisel mitmeaastase finantsraamistiku perioodil märkimisväärselt suurendada;</w:t>
      </w:r>
      <w:bookmarkEnd w:id="48"/>
      <w:r>
        <w:t xml:space="preserve"> </w:t>
      </w:r>
    </w:p>
    <w:p w14:paraId="590B8EC8" w14:textId="77777777" w:rsidR="00814A54" w:rsidRPr="00814A54" w:rsidRDefault="00814A54" w:rsidP="004C6742">
      <w:pPr>
        <w:numPr>
          <w:ilvl w:val="1"/>
          <w:numId w:val="65"/>
        </w:numPr>
        <w:outlineLvl w:val="1"/>
      </w:pPr>
      <w:bookmarkStart w:id="49" w:name="_Toc228805461"/>
      <w:r>
        <w:t xml:space="preserve">soovitab lisada sätted, millega tagatakse, et programm „Agile“ teavitus-, valiku- ja hindamisprotsessid kaasavad proaktiivselt kõigi liikmesriikide ja sektorite innovaatilisi </w:t>
      </w:r>
      <w:proofErr w:type="spellStart"/>
      <w:r>
        <w:t>VKEsid</w:t>
      </w:r>
      <w:proofErr w:type="spellEnd"/>
      <w:r>
        <w:t>, idufirmasid ja üksikettevõtjaid, et tugevdada geograafilist tasakaalu ja kaasatust kogu liidus.</w:t>
      </w:r>
      <w:bookmarkEnd w:id="49"/>
    </w:p>
    <w:p w14:paraId="2B71655A" w14:textId="77777777" w:rsidR="00814A54" w:rsidRPr="00814A54" w:rsidRDefault="00814A54" w:rsidP="004C6742">
      <w:pPr>
        <w:numPr>
          <w:ilvl w:val="1"/>
          <w:numId w:val="65"/>
        </w:numPr>
        <w:outlineLvl w:val="1"/>
      </w:pPr>
      <w:bookmarkStart w:id="50" w:name="_Toc228805462"/>
      <w:r>
        <w:t>soovitab kehtestada jõulised ja jõustatavad meetmed, et tagada toetuskõlblikkust käsitleva artikli 9 lõike 5 tulemuslik järgimine. Liidu strateegilise autonoomia ja julgeolekuhuvide kaitseks tuleks selles artiklis menetlusest kõrvalejätmise kriteeriume ühemõtteliselt selgitada ja karmistada;</w:t>
      </w:r>
      <w:bookmarkEnd w:id="50"/>
    </w:p>
    <w:p w14:paraId="3849E73E" w14:textId="77777777" w:rsidR="00814A54" w:rsidRPr="00814A54" w:rsidRDefault="00814A54" w:rsidP="004C6742">
      <w:pPr>
        <w:numPr>
          <w:ilvl w:val="1"/>
          <w:numId w:val="65"/>
        </w:numPr>
        <w:outlineLvl w:val="1"/>
      </w:pPr>
      <w:bookmarkStart w:id="51" w:name="_Toc228805463"/>
      <w:r>
        <w:t>leiab, et programm „Agile“ projektid peaksid rangelt lähtuma selgelt kindlaks määratud kaitsevõime nõuetest ja olema tihedas kooskõlas lõppkasutajate vajadustega. Komitee rõhutab, et programm „Agile“ projektidel peaks olema juurdepääs tegelikele testimiskeskkondadele, sealhulgas sõjalistele õppustele ja katsetamiskohtadele, et valideerida lahendusi operatiivtingimustes ja kiirendada nende kasutuselevõttu;</w:t>
      </w:r>
      <w:bookmarkEnd w:id="51"/>
    </w:p>
    <w:p w14:paraId="0638FC2F" w14:textId="77777777" w:rsidR="00814A54" w:rsidRPr="00814A54" w:rsidRDefault="00814A54" w:rsidP="004C6742">
      <w:pPr>
        <w:numPr>
          <w:ilvl w:val="1"/>
          <w:numId w:val="65"/>
        </w:numPr>
        <w:outlineLvl w:val="1"/>
      </w:pPr>
      <w:bookmarkStart w:id="52" w:name="_Toc228805464"/>
      <w:r>
        <w:t>soovitab võtta programmi „Agile“ rakendamisel sõnaselgelt arvesse ELi töö-, sotsiaal- ja keskkonnaalaste õigusaktide järgimist. Komitee rõhutab, et programmis „Agile“ osalemine peaks sõltuma pühendumisest oskuste arendamisele, kvaliteetsele tööhõivele ja töötajate õiguste täielikule austamisele kooskõlas Euroopa sotsiaalse mudeliga.</w:t>
      </w:r>
      <w:bookmarkEnd w:id="52"/>
      <w:r>
        <w:t xml:space="preserve"> </w:t>
      </w:r>
    </w:p>
    <w:p w14:paraId="532F5590" w14:textId="3171604F" w:rsidR="00C84405" w:rsidRDefault="00C84405">
      <w:pPr>
        <w:spacing w:after="160" w:line="259" w:lineRule="auto"/>
        <w:jc w:val="left"/>
      </w:pPr>
      <w:r>
        <w:br w:type="page"/>
      </w:r>
    </w:p>
    <w:p w14:paraId="65888EBD"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t>Kontaktisik</w:t>
            </w:r>
          </w:p>
        </w:tc>
        <w:tc>
          <w:tcPr>
            <w:tcW w:w="5670" w:type="dxa"/>
          </w:tcPr>
          <w:p w14:paraId="42A1FC82" w14:textId="7A465A63" w:rsidR="00814A54" w:rsidRPr="004C6742" w:rsidRDefault="00814A54" w:rsidP="00814A54">
            <w:pPr>
              <w:spacing w:line="240" w:lineRule="auto"/>
              <w:rPr>
                <w:bCs/>
                <w:i/>
              </w:rPr>
            </w:pPr>
            <w:proofErr w:type="spellStart"/>
            <w:r>
              <w:rPr>
                <w:i/>
              </w:rPr>
              <w:t>Ioannis</w:t>
            </w:r>
            <w:proofErr w:type="spellEnd"/>
            <w:r>
              <w:rPr>
                <w:i/>
              </w:rPr>
              <w:t xml:space="preserve"> </w:t>
            </w:r>
            <w:proofErr w:type="spellStart"/>
            <w:r>
              <w:rPr>
                <w:i/>
              </w:rPr>
              <w:t>Diamantopoulos</w:t>
            </w:r>
            <w:proofErr w:type="spellEnd"/>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E-post</w:t>
            </w:r>
          </w:p>
        </w:tc>
        <w:tc>
          <w:tcPr>
            <w:tcW w:w="5670" w:type="dxa"/>
          </w:tcPr>
          <w:p w14:paraId="210C9375" w14:textId="77777777" w:rsidR="00814A54" w:rsidRPr="00814A54" w:rsidRDefault="00C84405" w:rsidP="00814A54">
            <w:pPr>
              <w:spacing w:line="240" w:lineRule="auto"/>
              <w:rPr>
                <w:i/>
              </w:rPr>
            </w:pPr>
            <w:hyperlink r:id="rId72" w:history="1">
              <w:r w:rsidR="00C36EAF">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C84405">
      <w:fldChar w:fldCharType="begin"/>
    </w:r>
    <w:r w:rsidR="00C84405">
      <w:instrText xml:space="preserve"> NUMPAGES </w:instrText>
    </w:r>
    <w:r w:rsidR="00C84405">
      <w:fldChar w:fldCharType="separate"/>
    </w:r>
    <w:r w:rsidR="0004480F">
      <w:t>1</w:t>
    </w:r>
    <w:r w:rsidR="00C844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C84405">
      <w:fldChar w:fldCharType="begin"/>
    </w:r>
    <w:r w:rsidR="00C84405">
      <w:instrText xml:space="preserve"> NUMPAGES </w:instrText>
    </w:r>
    <w:r w:rsidR="00C84405">
      <w:fldChar w:fldCharType="separate"/>
    </w:r>
    <w:r>
      <w:t>33</w:t>
    </w:r>
    <w:r w:rsidR="00C8440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BD72B3" w:rsidRDefault="00944198" w:rsidP="00944198">
      <w:pPr>
        <w:pStyle w:val="FootnoteText"/>
      </w:pPr>
      <w:r>
        <w:rPr>
          <w:rStyle w:val="FootnoteReference"/>
        </w:rPr>
        <w:footnoteRef/>
      </w:r>
      <w:r>
        <w:tab/>
        <w:t xml:space="preserve">ELT C, C/2024/6880, 28.11.2024, ELI: </w:t>
      </w:r>
      <w:hyperlink r:id="rId1" w:history="1">
        <w:r>
          <w:rPr>
            <w:rStyle w:val="Hyperlink"/>
          </w:rPr>
          <w:t>http://data.europa.eu/eli/C/2024/6880/oj</w:t>
        </w:r>
      </w:hyperlink>
      <w:r>
        <w:t>.</w:t>
      </w:r>
    </w:p>
  </w:footnote>
  <w:footnote w:id="2">
    <w:p w14:paraId="6A5DF5FB" w14:textId="77777777" w:rsidR="002B30F4" w:rsidRDefault="002B30F4" w:rsidP="002B30F4">
      <w:pPr>
        <w:pStyle w:val="FootnoteText"/>
      </w:pPr>
      <w:r>
        <w:rPr>
          <w:rStyle w:val="FootnoteReference"/>
        </w:rPr>
        <w:footnoteRef/>
      </w:r>
      <w:r>
        <w:tab/>
        <w:t xml:space="preserve">Euroopa Majandus- ja Sotsiaalkomitee arvamus </w:t>
      </w:r>
      <w:hyperlink r:id="rId2" w:history="1">
        <w:r>
          <w:rPr>
            <w:rStyle w:val="Hyperlink"/>
            <w:i/>
          </w:rPr>
          <w:t>„Brasiilias ja Moldovas kasvatatavate seemnekultuuride põldtunnustamise samaväärsus (muutmine)“</w:t>
        </w:r>
      </w:hyperlink>
      <w:r>
        <w:t xml:space="preserve">, </w:t>
      </w:r>
      <w:hyperlink r:id="rId3" w:history="1">
        <w:r>
          <w:rPr>
            <w:rStyle w:val="Hyperlink"/>
          </w:rPr>
          <w:t>ELT C227, 28.06.2018, lk 76-77</w:t>
        </w:r>
      </w:hyperlink>
      <w:r>
        <w:t>.</w:t>
      </w:r>
    </w:p>
  </w:footnote>
  <w:footnote w:id="3">
    <w:p w14:paraId="31B28570" w14:textId="0A8711BB" w:rsidR="002B30F4" w:rsidRDefault="002B30F4" w:rsidP="002B30F4">
      <w:pPr>
        <w:pStyle w:val="FootnoteText"/>
      </w:pPr>
      <w:r>
        <w:rPr>
          <w:rStyle w:val="FootnoteReference"/>
        </w:rPr>
        <w:footnoteRef/>
      </w:r>
      <w:r>
        <w:tab/>
        <w:t xml:space="preserve">Euroopa Majandus- ja Sotsiaalkomitee arvamus </w:t>
      </w:r>
      <w:hyperlink r:id="rId4" w:history="1">
        <w:r>
          <w:rPr>
            <w:rStyle w:val="Hyperlink"/>
            <w:i/>
          </w:rPr>
          <w:t>„Seemnekultuuride samaväärsus – Ukraina“</w:t>
        </w:r>
      </w:hyperlink>
      <w:r>
        <w:rPr>
          <w:i/>
        </w:rPr>
        <w:t>,</w:t>
      </w:r>
      <w:r>
        <w:t xml:space="preserve"> </w:t>
      </w:r>
      <w:hyperlink r:id="rId5" w:history="1">
        <w:r>
          <w:rPr>
            <w:rStyle w:val="Hyperlink"/>
          </w:rPr>
          <w:t>ELT C 429, 11.12.2020, lk 276</w:t>
        </w:r>
      </w:hyperlink>
      <w:r>
        <w:t>.</w:t>
      </w:r>
    </w:p>
  </w:footnote>
  <w:footnote w:id="4">
    <w:p w14:paraId="704BA872" w14:textId="77777777" w:rsidR="008548EA" w:rsidRDefault="008548EA" w:rsidP="008548EA">
      <w:pPr>
        <w:pStyle w:val="FootnoteText"/>
      </w:pPr>
      <w:r>
        <w:rPr>
          <w:rStyle w:val="FootnoteReference"/>
        </w:rPr>
        <w:footnoteRef/>
      </w:r>
      <w:r>
        <w:tab/>
        <w:t xml:space="preserve">Euroopa Majandus- ja Sotsiaalkomitee arvamus </w:t>
      </w:r>
      <w:hyperlink r:id="rId6">
        <w:r>
          <w:rPr>
            <w:rStyle w:val="Hyperlink"/>
            <w:i/>
          </w:rPr>
          <w:t>„ELi heitkogustega kauplemise süsteemi läbivaatamine: meretranspordi hõlmamine ja turustabiilsusreserv</w:t>
        </w:r>
      </w:hyperlink>
      <w:r>
        <w:t xml:space="preserve">, </w:t>
      </w:r>
      <w:hyperlink r:id="rId7">
        <w:r>
          <w:rPr>
            <w:rStyle w:val="Hyperlink"/>
          </w:rPr>
          <w:t>ELT C 152, 6.4.2022, lk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1"/>
  </w:num>
  <w:num w:numId="3">
    <w:abstractNumId w:val="6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2"/>
  </w:num>
  <w:num w:numId="6">
    <w:abstractNumId w:val="69"/>
  </w:num>
  <w:num w:numId="7">
    <w:abstractNumId w:val="25"/>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6"/>
  </w:num>
  <w:num w:numId="10">
    <w:abstractNumId w:val="46"/>
  </w:num>
  <w:num w:numId="11">
    <w:abstractNumId w:val="58"/>
  </w:num>
  <w:num w:numId="12">
    <w:abstractNumId w:val="47"/>
  </w:num>
  <w:num w:numId="13">
    <w:abstractNumId w:val="60"/>
  </w:num>
  <w:num w:numId="14">
    <w:abstractNumId w:val="54"/>
  </w:num>
  <w:num w:numId="15">
    <w:abstractNumId w:val="10"/>
  </w:num>
  <w:num w:numId="16">
    <w:abstractNumId w:val="53"/>
  </w:num>
  <w:num w:numId="17">
    <w:abstractNumId w:val="32"/>
  </w:num>
  <w:num w:numId="18">
    <w:abstractNumId w:val="23"/>
  </w:num>
  <w:num w:numId="19">
    <w:abstractNumId w:val="8"/>
  </w:num>
  <w:num w:numId="20">
    <w:abstractNumId w:val="71"/>
  </w:num>
  <w:num w:numId="21">
    <w:abstractNumId w:val="51"/>
  </w:num>
  <w:num w:numId="22">
    <w:abstractNumId w:val="3"/>
  </w:num>
  <w:num w:numId="23">
    <w:abstractNumId w:val="39"/>
  </w:num>
  <w:num w:numId="24">
    <w:abstractNumId w:val="40"/>
  </w:num>
  <w:num w:numId="25">
    <w:abstractNumId w:val="55"/>
  </w:num>
  <w:num w:numId="26">
    <w:abstractNumId w:val="14"/>
  </w:num>
  <w:num w:numId="27">
    <w:abstractNumId w:val="11"/>
  </w:num>
  <w:num w:numId="28">
    <w:abstractNumId w:val="37"/>
  </w:num>
  <w:num w:numId="29">
    <w:abstractNumId w:val="38"/>
  </w:num>
  <w:num w:numId="30">
    <w:abstractNumId w:val="31"/>
  </w:num>
  <w:num w:numId="31">
    <w:abstractNumId w:val="45"/>
  </w:num>
  <w:num w:numId="32">
    <w:abstractNumId w:val="7"/>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19"/>
  </w:num>
  <w:num w:numId="35">
    <w:abstractNumId w:val="65"/>
  </w:num>
  <w:num w:numId="36">
    <w:abstractNumId w:val="43"/>
  </w:num>
  <w:num w:numId="37">
    <w:abstractNumId w:val="33"/>
  </w:num>
  <w:num w:numId="38">
    <w:abstractNumId w:val="36"/>
  </w:num>
  <w:num w:numId="39">
    <w:abstractNumId w:val="63"/>
  </w:num>
  <w:num w:numId="40">
    <w:abstractNumId w:val="6"/>
  </w:num>
  <w:num w:numId="41">
    <w:abstractNumId w:val="48"/>
  </w:num>
  <w:num w:numId="42">
    <w:abstractNumId w:val="67"/>
  </w:num>
  <w:num w:numId="43">
    <w:abstractNumId w:val="13"/>
  </w:num>
  <w:num w:numId="44">
    <w:abstractNumId w:val="18"/>
  </w:num>
  <w:num w:numId="45">
    <w:abstractNumId w:val="4"/>
  </w:num>
  <w:num w:numId="46">
    <w:abstractNumId w:val="64"/>
  </w:num>
  <w:num w:numId="47">
    <w:abstractNumId w:val="41"/>
  </w:num>
  <w:num w:numId="48">
    <w:abstractNumId w:val="12"/>
  </w:num>
  <w:num w:numId="49">
    <w:abstractNumId w:val="57"/>
  </w:num>
  <w:num w:numId="50">
    <w:abstractNumId w:val="26"/>
  </w:num>
  <w:num w:numId="51">
    <w:abstractNumId w:val="66"/>
  </w:num>
  <w:num w:numId="52">
    <w:abstractNumId w:val="50"/>
  </w:num>
  <w:num w:numId="53">
    <w:abstractNumId w:val="22"/>
  </w:num>
  <w:num w:numId="54">
    <w:abstractNumId w:val="5"/>
  </w:num>
  <w:num w:numId="55">
    <w:abstractNumId w:val="52"/>
  </w:num>
  <w:num w:numId="56">
    <w:abstractNumId w:val="9"/>
  </w:num>
  <w:num w:numId="57">
    <w:abstractNumId w:val="30"/>
  </w:num>
  <w:num w:numId="58">
    <w:abstractNumId w:val="44"/>
  </w:num>
  <w:num w:numId="59">
    <w:abstractNumId w:val="28"/>
  </w:num>
  <w:num w:numId="60">
    <w:abstractNumId w:val="27"/>
  </w:num>
  <w:num w:numId="61">
    <w:abstractNumId w:val="20"/>
  </w:num>
  <w:num w:numId="62">
    <w:abstractNumId w:val="49"/>
  </w:num>
  <w:num w:numId="63">
    <w:abstractNumId w:val="29"/>
  </w:num>
  <w:num w:numId="64">
    <w:abstractNumId w:val="21"/>
  </w:num>
  <w:num w:numId="65">
    <w:abstractNumId w:val="35"/>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4"/>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7"/>
  </w:num>
  <w:num w:numId="70">
    <w:abstractNumId w:val="34"/>
  </w:num>
  <w:num w:numId="71">
    <w:abstractNumId w:val="2"/>
  </w:num>
  <w:num w:numId="72">
    <w:abstractNumId w:val="16"/>
  </w:num>
  <w:num w:numId="73">
    <w:abstractNumId w:val="59"/>
  </w:num>
  <w:num w:numId="74">
    <w:abstractNumId w:val="72"/>
  </w:num>
  <w:num w:numId="75">
    <w:abstractNumId w:val="42"/>
  </w:num>
  <w:num w:numId="76">
    <w:abstractNumId w:val="15"/>
  </w:num>
  <w:num w:numId="7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6EAF"/>
    <w:rsid w:val="00C37CA1"/>
    <w:rsid w:val="00C53E67"/>
    <w:rsid w:val="00C57C84"/>
    <w:rsid w:val="00C6134C"/>
    <w:rsid w:val="00C63006"/>
    <w:rsid w:val="00C716C1"/>
    <w:rsid w:val="00C76C7D"/>
    <w:rsid w:val="00C81F1B"/>
    <w:rsid w:val="00C821A5"/>
    <w:rsid w:val="00C82A9F"/>
    <w:rsid w:val="00C84405"/>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Bartek.Bednarowicz@eesc.europa.eu" TargetMode="External"/><Relationship Id="rId39" Type="http://schemas.openxmlformats.org/officeDocument/2006/relationships/hyperlink" Target="https://www.eesc.europa.eu/et/our-work/opinions-information-reports/information-reports/evaluation-regulation-eu-20191020-market-surveillance-and-compliance-products" TargetMode="External"/><Relationship Id="rId21" Type="http://schemas.openxmlformats.org/officeDocument/2006/relationships/hyperlink" Target="https://www.eesc.europa.eu/et/our-work/opinions-information-reports/opinions/eu-policy-agenda-liveable-cities" TargetMode="External"/><Relationship Id="rId34" Type="http://schemas.openxmlformats.org/officeDocument/2006/relationships/hyperlink" Target="mailto:JeanMarie.Rogue@eesc.europa.eu"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et/our-work/opinions-information-reports/opinions/new-rules-drug-precursors"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et/our-work/opinions-information-reports/opinions/eu-startups-and-scale-strategy-focus-european-innovation-act" TargetMode="External"/><Relationship Id="rId63" Type="http://schemas.openxmlformats.org/officeDocument/2006/relationships/hyperlink" Target="https://www.eesc.europa.eu/et/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et/our-work/opinions-information-reports/opinions/programme-agile-and-rapid-defence-innovation-agile"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esc.europa.eu/et/our-work/opinions-information-reports/opinions/eu-competitiveness-and-youth-entrepreneurship" TargetMode="Externa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et/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et/our-work/opinions-information-reports/opinions/developing-european-centre-clinical-excellence-pharmaceuticals" TargetMode="External"/><Relationship Id="rId53" Type="http://schemas.openxmlformats.org/officeDocument/2006/relationships/hyperlink" Target="https://www.eesc.europa.eu/et/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et/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et/our-work/opinions-information-reports/opinions/proposal-regulation-targeted-revision-eu-rules-medical-devices-and-vitro-diagnostics" TargetMode="External"/><Relationship Id="rId57" Type="http://schemas.openxmlformats.org/officeDocument/2006/relationships/hyperlink" Target="https://www.eesc.europa.eu/et/our-work/opinions-information-reports/opinions/comprehensive-strategy-nature-based-biodegradable-materials-foster-circularity-and-resource-efficiency-strengthen-agri" TargetMode="External"/><Relationship Id="rId61" Type="http://schemas.openxmlformats.org/officeDocument/2006/relationships/hyperlink" Target="https://www.eesc.europa.eu/et/our-work/opinions-information-reports/opinions/food-and-feed-safety-simplification-omnibus"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et/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et/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et/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et/our-work/opinions-information-reports/opinions/over-tourism-short-term-rentals-and-crowding-out-local-populations-finding-right-balance" TargetMode="External"/><Relationship Id="rId43" Type="http://schemas.openxmlformats.org/officeDocument/2006/relationships/hyperlink" Target="https://www.eesc.europa.eu/et/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et/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t/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t/our-work/opinions-information-reports/opinions/ban-conversion-practices-european-union" TargetMode="External"/><Relationship Id="rId33" Type="http://schemas.openxmlformats.org/officeDocument/2006/relationships/hyperlink" Target="https://www.eesc.europa.eu/et/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et/our-work/opinions-information-reports/opinions/eu-bioeconomy-strategy-towards-circular-regenerative-and-competitive-bioeconomy" TargetMode="External"/><Relationship Id="rId67" Type="http://schemas.openxmlformats.org/officeDocument/2006/relationships/hyperlink" Target="https://www.eesc.europa.eu/et/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et/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uriserv:OJ.C_.2018.227.01.0076.01.ENG&amp;toc=OJ:C:2018:227:TOC" TargetMode="External"/><Relationship Id="rId7" Type="http://schemas.openxmlformats.org/officeDocument/2006/relationships/hyperlink" Target="https://eur-lex.europa.eu/legal-content/ET/TXT/?uri=uriserv%3AOJ.C_.2022.152.01.0175.01.EST&amp;toc=OJ%3AC%3A2022%3A152%3ATOC" TargetMode="External"/><Relationship Id="rId2" Type="http://schemas.openxmlformats.org/officeDocument/2006/relationships/hyperlink" Target="https://www.eesc.europa.eu/et/our-work/opinions-information-reports/opinions/equivalence-inspections-seed-produced-brazil-and-moldova-modification" TargetMode="External"/><Relationship Id="rId1" Type="http://schemas.openxmlformats.org/officeDocument/2006/relationships/hyperlink" Target="https://eur-lex.europa.eu/eli/C/2024/6880/oj?eliuri=eli%3AC%3A2024%3A6880%3Aoj&amp;locale=et" TargetMode="External"/><Relationship Id="rId6" Type="http://schemas.openxmlformats.org/officeDocument/2006/relationships/hyperlink" Target="https://www.eesc.europa.eu/et/our-work/opinions-information-reports/opinions/revision-eu-emissions-trading-system-ets-including-maritime-transport-and-market-stability-reserve" TargetMode="External"/><Relationship Id="rId5" Type="http://schemas.openxmlformats.org/officeDocument/2006/relationships/hyperlink" Target="https://eur-lex.europa.eu/legal-content/ET/TXT/?uri=uriserv%3AOJ.C_.2020.429.01.0276.01.ENG&amp;toc=OJ%3AC%3A2020%3A429%3ATOC" TargetMode="External"/><Relationship Id="rId4" Type="http://schemas.openxmlformats.org/officeDocument/2006/relationships/hyperlink" Target="https://www.eesc.europa.eu/et/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VP3JK3XSEPRV-2087481956-9101</_dlc_DocId>
    <_dlc_DocIdUrl xmlns="7d640e6d-779c-472f-a269-6b546787f1c9">
      <Url>http://dm/eesc/2026/_layouts/15/DocIdRedir.aspx?ID=VP3JK3XSEPRV-2087481956-9101</Url>
      <Description>VP3JK3XSEPRV-2087481956-9101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Rosenberg Aili</DisplayName>
        <AccountId>1355</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2.xml><?xml version="1.0" encoding="utf-8"?>
<ds:datastoreItem xmlns:ds="http://schemas.openxmlformats.org/officeDocument/2006/customXml" ds:itemID="{4D669C69-737A-4C4E-BEF1-279C77E2C518}"/>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9723</Words>
  <Characters>55426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VASTUVÕETUD ARVAMUSTE KOKKUVÕTE - täiskogu 650. istungjärk - aprill 2026</dc:title>
  <dc:subject>ADMIN</dc:subject>
  <dc:creator/>
  <cp:keywords>COR-EESC-2022-02583-00-00-ADMIN-TRA-EN</cp:keywords>
  <dc:description>Rapporteur:  - Original language: EN - Date of document: 20/05/2022 - Date of meeting:  - External documents:  - Administrator:  SUCIU Serban</dc:description>
  <cp:lastModifiedBy/>
  <cp:revision>8</cp:revision>
  <dcterms:created xsi:type="dcterms:W3CDTF">2026-05-08T11:50:00Z</dcterms:created>
  <dcterms:modified xsi:type="dcterms:W3CDTF">2026-05-22T06:05:00Z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ecc4826a-ed92-491f-a5d5-77caf90058de</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32;#PL|1e03da61-4678-4e07-b136-b5024ca9197b;#31;#SL|98a412ae-eb01-49e9-ae3d-585a81724cfc;#28;#PT|50ccc04a-eadd-42ae-a0cb-acaf45f812b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27;#ET|ff6c3f4c-b02c-4c3c-ab07-2c37995a7a0a</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LT|a7ff5ce7-6123-4f68-865a-a57c31810414;DA|5d49c027-8956-412b-aa16-e85a0f96ad0e;DE|f6b31e5a-26fa-4935-b661-318e46daf27e;ES|e7a6b05b-ae16-40c8-add9-68b64b03aeba;PL|1e03da61-4678-4e07-b136-b5024ca9197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