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057A0FBF" w:rsidR="004D7AC0" w:rsidRDefault="00C76D56" w:rsidP="001766B2">
      <w:pPr>
        <w:jc w:val="center"/>
      </w:pPr>
      <w:r>
        <w:rPr>
          <w:noProof/>
        </w:rPr>
        <w:drawing>
          <wp:inline distT="0" distB="0" distL="0" distR="0" wp14:anchorId="355E2D4B" wp14:editId="36FA98CF">
            <wp:extent cx="1792605" cy="1239520"/>
            <wp:effectExtent l="0" t="0" r="0" b="0"/>
            <wp:docPr id="188292953" name="Picture 1" title="EESCLogo_ES"/>
            <wp:cNvGraphicFramePr/>
            <a:graphic xmlns:a="http://schemas.openxmlformats.org/drawingml/2006/main">
              <a:graphicData uri="http://schemas.openxmlformats.org/drawingml/2006/picture">
                <pic:pic xmlns:pic="http://schemas.openxmlformats.org/drawingml/2006/picture">
                  <pic:nvPicPr>
                    <pic:cNvPr id="188292953" name="Picture 1" title="EESCLogo_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36BACA9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ES</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Bruselas, 22 de mayo de 2026</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605.º PLENO</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29 y 30 de abril de 2026</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SÍNTESIS DE LOS DICTÁMENES Y RESOLUCIONES APROBADOS Y DE LOS INFORMES DE EVALUACIÓN</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56DD8A97" w:rsidR="004D7AC0" w:rsidRPr="0081153B" w:rsidRDefault="004D7AC0" w:rsidP="001766B2">
            <w:pPr>
              <w:snapToGrid w:val="0"/>
              <w:jc w:val="center"/>
            </w:pPr>
            <w:r>
              <w:t xml:space="preserve">Este documento puede consultarse en todas las lenguas oficiales de la Unión Europea en el sitio internet del CESE en la siguiente dirección: </w:t>
            </w:r>
            <w:r>
              <w:br/>
            </w:r>
            <w:r>
              <w:br/>
            </w:r>
            <w:hyperlink r:id="rId13" w:history="1">
              <w:r>
                <w:rPr>
                  <w:rStyle w:val="Hyperlink"/>
                </w:rPr>
                <w:t>https://www.eesc.europa.eu/es/our-work/opinions-information-reports/plenary-session-summaries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7345127B" w:rsidR="004D7AC0" w:rsidRPr="00044561" w:rsidRDefault="004D7AC0" w:rsidP="001766B2">
            <w:pPr>
              <w:snapToGrid w:val="0"/>
              <w:jc w:val="center"/>
            </w:pPr>
            <w:r>
              <w:t xml:space="preserve">Los dictámenes mencionados pueden consultarse en línea </w:t>
            </w:r>
            <w:r>
              <w:br/>
              <w:t>utilizando el motor de búsqueda del CESE:</w:t>
            </w:r>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Índice:</w:t>
      </w:r>
    </w:p>
    <w:p w14:paraId="2174B63A" w14:textId="77777777" w:rsidR="00A067F3" w:rsidRPr="00A81AFE" w:rsidRDefault="00A067F3" w:rsidP="001766B2">
      <w:pPr>
        <w:rPr>
          <w:b/>
        </w:rPr>
      </w:pPr>
    </w:p>
    <w:p w14:paraId="5FB13FD1" w14:textId="234BB9D8" w:rsidR="00016D49" w:rsidRDefault="00A067F3">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r>
        <w:fldChar w:fldCharType="begin"/>
      </w:r>
      <w:r>
        <w:instrText xml:space="preserve"> TOC \h \z \u \t "Heading 2,1" </w:instrText>
      </w:r>
      <w:r>
        <w:fldChar w:fldCharType="separate"/>
      </w:r>
      <w:hyperlink w:anchor="_Toc229565852" w:history="1">
        <w:r w:rsidR="00016D49" w:rsidRPr="00D21CEA">
          <w:rPr>
            <w:rStyle w:val="Hyperlink"/>
            <w:bCs/>
            <w:noProof/>
          </w:rPr>
          <w:t>1.</w:t>
        </w:r>
        <w:r w:rsidR="00016D49">
          <w:rPr>
            <w:rFonts w:asciiTheme="minorHAnsi" w:eastAsiaTheme="minorEastAsia" w:hAnsiTheme="minorHAnsi" w:cstheme="minorBidi"/>
            <w:noProof/>
            <w:kern w:val="2"/>
            <w:sz w:val="24"/>
            <w:szCs w:val="24"/>
            <w:lang w:val="fr-BE" w:eastAsia="fr-BE"/>
            <w14:ligatures w14:val="standardContextual"/>
          </w:rPr>
          <w:tab/>
        </w:r>
        <w:r w:rsidR="00016D49" w:rsidRPr="00D21CEA">
          <w:rPr>
            <w:rStyle w:val="Hyperlink"/>
            <w:noProof/>
          </w:rPr>
          <w:t>UNIÓN ECONÓMICA Y MONETARIA Y COHESIÓN ECONÓMICA Y SOCIAL</w:t>
        </w:r>
        <w:r w:rsidR="00016D49">
          <w:rPr>
            <w:noProof/>
            <w:webHidden/>
          </w:rPr>
          <w:tab/>
        </w:r>
        <w:r w:rsidR="00016D49">
          <w:rPr>
            <w:noProof/>
            <w:webHidden/>
          </w:rPr>
          <w:fldChar w:fldCharType="begin"/>
        </w:r>
        <w:r w:rsidR="00016D49">
          <w:rPr>
            <w:noProof/>
            <w:webHidden/>
          </w:rPr>
          <w:instrText xml:space="preserve"> PAGEREF _Toc229565852 \h </w:instrText>
        </w:r>
        <w:r w:rsidR="00016D49">
          <w:rPr>
            <w:noProof/>
            <w:webHidden/>
          </w:rPr>
        </w:r>
        <w:r w:rsidR="00016D49">
          <w:rPr>
            <w:noProof/>
            <w:webHidden/>
          </w:rPr>
          <w:fldChar w:fldCharType="separate"/>
        </w:r>
        <w:r w:rsidR="00016D49">
          <w:rPr>
            <w:noProof/>
            <w:webHidden/>
          </w:rPr>
          <w:t>3</w:t>
        </w:r>
        <w:r w:rsidR="00016D49">
          <w:rPr>
            <w:noProof/>
            <w:webHidden/>
          </w:rPr>
          <w:fldChar w:fldCharType="end"/>
        </w:r>
      </w:hyperlink>
    </w:p>
    <w:p w14:paraId="2DEA0FE4" w14:textId="52B4A5D7" w:rsidR="00016D49" w:rsidRDefault="00016D49">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29565853" w:history="1">
        <w:r w:rsidRPr="00D21CEA">
          <w:rPr>
            <w:rStyle w:val="Hyperlink"/>
            <w:bCs/>
            <w:noProof/>
          </w:rPr>
          <w:t>2.</w:t>
        </w:r>
        <w:r>
          <w:rPr>
            <w:rFonts w:asciiTheme="minorHAnsi" w:eastAsiaTheme="minorEastAsia" w:hAnsiTheme="minorHAnsi" w:cstheme="minorBidi"/>
            <w:noProof/>
            <w:kern w:val="2"/>
            <w:sz w:val="24"/>
            <w:szCs w:val="24"/>
            <w:lang w:val="fr-BE" w:eastAsia="fr-BE"/>
            <w14:ligatures w14:val="standardContextual"/>
          </w:rPr>
          <w:tab/>
        </w:r>
        <w:r w:rsidRPr="00D21CEA">
          <w:rPr>
            <w:rStyle w:val="Hyperlink"/>
            <w:noProof/>
          </w:rPr>
          <w:t>EMPLEO, ASUNTOS SOCIALES Y CIUDADANÍA</w:t>
        </w:r>
        <w:r>
          <w:rPr>
            <w:noProof/>
            <w:webHidden/>
          </w:rPr>
          <w:tab/>
        </w:r>
        <w:r>
          <w:rPr>
            <w:noProof/>
            <w:webHidden/>
          </w:rPr>
          <w:fldChar w:fldCharType="begin"/>
        </w:r>
        <w:r>
          <w:rPr>
            <w:noProof/>
            <w:webHidden/>
          </w:rPr>
          <w:instrText xml:space="preserve"> PAGEREF _Toc229565853 \h </w:instrText>
        </w:r>
        <w:r>
          <w:rPr>
            <w:noProof/>
            <w:webHidden/>
          </w:rPr>
        </w:r>
        <w:r>
          <w:rPr>
            <w:noProof/>
            <w:webHidden/>
          </w:rPr>
          <w:fldChar w:fldCharType="separate"/>
        </w:r>
        <w:r>
          <w:rPr>
            <w:noProof/>
            <w:webHidden/>
          </w:rPr>
          <w:t>7</w:t>
        </w:r>
        <w:r>
          <w:rPr>
            <w:noProof/>
            <w:webHidden/>
          </w:rPr>
          <w:fldChar w:fldCharType="end"/>
        </w:r>
      </w:hyperlink>
    </w:p>
    <w:p w14:paraId="077064F0" w14:textId="155ABCF7" w:rsidR="00016D49" w:rsidRDefault="00016D49">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29565854" w:history="1">
        <w:r w:rsidRPr="00D21CEA">
          <w:rPr>
            <w:rStyle w:val="Hyperlink"/>
            <w:bCs/>
            <w:noProof/>
          </w:rPr>
          <w:t>3.</w:t>
        </w:r>
        <w:r>
          <w:rPr>
            <w:rFonts w:asciiTheme="minorHAnsi" w:eastAsiaTheme="minorEastAsia" w:hAnsiTheme="minorHAnsi" w:cstheme="minorBidi"/>
            <w:noProof/>
            <w:kern w:val="2"/>
            <w:sz w:val="24"/>
            <w:szCs w:val="24"/>
            <w:lang w:val="fr-BE" w:eastAsia="fr-BE"/>
            <w14:ligatures w14:val="standardContextual"/>
          </w:rPr>
          <w:tab/>
        </w:r>
        <w:r w:rsidRPr="00D21CEA">
          <w:rPr>
            <w:rStyle w:val="Hyperlink"/>
            <w:noProof/>
          </w:rPr>
          <w:t>MERCADO ÚNICO, PRODUCCIÓN Y CONSUMO</w:t>
        </w:r>
        <w:r>
          <w:rPr>
            <w:noProof/>
            <w:webHidden/>
          </w:rPr>
          <w:tab/>
        </w:r>
        <w:r>
          <w:rPr>
            <w:noProof/>
            <w:webHidden/>
          </w:rPr>
          <w:fldChar w:fldCharType="begin"/>
        </w:r>
        <w:r>
          <w:rPr>
            <w:noProof/>
            <w:webHidden/>
          </w:rPr>
          <w:instrText xml:space="preserve"> PAGEREF _Toc229565854 \h </w:instrText>
        </w:r>
        <w:r>
          <w:rPr>
            <w:noProof/>
            <w:webHidden/>
          </w:rPr>
        </w:r>
        <w:r>
          <w:rPr>
            <w:noProof/>
            <w:webHidden/>
          </w:rPr>
          <w:fldChar w:fldCharType="separate"/>
        </w:r>
        <w:r>
          <w:rPr>
            <w:noProof/>
            <w:webHidden/>
          </w:rPr>
          <w:t>16</w:t>
        </w:r>
        <w:r>
          <w:rPr>
            <w:noProof/>
            <w:webHidden/>
          </w:rPr>
          <w:fldChar w:fldCharType="end"/>
        </w:r>
      </w:hyperlink>
    </w:p>
    <w:p w14:paraId="7DDD0D1F" w14:textId="655A3744" w:rsidR="00016D49" w:rsidRDefault="00016D49">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29565855" w:history="1">
        <w:r w:rsidRPr="00D21CEA">
          <w:rPr>
            <w:rStyle w:val="Hyperlink"/>
            <w:bCs/>
            <w:noProof/>
          </w:rPr>
          <w:t>4.</w:t>
        </w:r>
        <w:r>
          <w:rPr>
            <w:rFonts w:asciiTheme="minorHAnsi" w:eastAsiaTheme="minorEastAsia" w:hAnsiTheme="minorHAnsi" w:cstheme="minorBidi"/>
            <w:noProof/>
            <w:kern w:val="2"/>
            <w:sz w:val="24"/>
            <w:szCs w:val="24"/>
            <w:lang w:val="fr-BE" w:eastAsia="fr-BE"/>
            <w14:ligatures w14:val="standardContextual"/>
          </w:rPr>
          <w:tab/>
        </w:r>
        <w:r w:rsidRPr="00D21CEA">
          <w:rPr>
            <w:rStyle w:val="Hyperlink"/>
            <w:noProof/>
          </w:rPr>
          <w:t>AGRICULTURA, DESARROLLO RURAL Y MEDIO AMBIENTE</w:t>
        </w:r>
        <w:r>
          <w:rPr>
            <w:noProof/>
            <w:webHidden/>
          </w:rPr>
          <w:tab/>
        </w:r>
        <w:r>
          <w:rPr>
            <w:noProof/>
            <w:webHidden/>
          </w:rPr>
          <w:fldChar w:fldCharType="begin"/>
        </w:r>
        <w:r>
          <w:rPr>
            <w:noProof/>
            <w:webHidden/>
          </w:rPr>
          <w:instrText xml:space="preserve"> PAGEREF _Toc229565855 \h </w:instrText>
        </w:r>
        <w:r>
          <w:rPr>
            <w:noProof/>
            <w:webHidden/>
          </w:rPr>
        </w:r>
        <w:r>
          <w:rPr>
            <w:noProof/>
            <w:webHidden/>
          </w:rPr>
          <w:fldChar w:fldCharType="separate"/>
        </w:r>
        <w:r>
          <w:rPr>
            <w:noProof/>
            <w:webHidden/>
          </w:rPr>
          <w:t>30</w:t>
        </w:r>
        <w:r>
          <w:rPr>
            <w:noProof/>
            <w:webHidden/>
          </w:rPr>
          <w:fldChar w:fldCharType="end"/>
        </w:r>
      </w:hyperlink>
    </w:p>
    <w:p w14:paraId="244D5879" w14:textId="1691A9FB" w:rsidR="00016D49" w:rsidRDefault="00016D49">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29565856" w:history="1">
        <w:r w:rsidRPr="00D21CEA">
          <w:rPr>
            <w:rStyle w:val="Hyperlink"/>
            <w:bCs/>
            <w:noProof/>
          </w:rPr>
          <w:t>5.</w:t>
        </w:r>
        <w:r>
          <w:rPr>
            <w:rFonts w:asciiTheme="minorHAnsi" w:eastAsiaTheme="minorEastAsia" w:hAnsiTheme="minorHAnsi" w:cstheme="minorBidi"/>
            <w:noProof/>
            <w:kern w:val="2"/>
            <w:sz w:val="24"/>
            <w:szCs w:val="24"/>
            <w:lang w:val="fr-BE" w:eastAsia="fr-BE"/>
            <w14:ligatures w14:val="standardContextual"/>
          </w:rPr>
          <w:tab/>
        </w:r>
        <w:r w:rsidRPr="00D21CEA">
          <w:rPr>
            <w:rStyle w:val="Hyperlink"/>
            <w:noProof/>
          </w:rPr>
          <w:t>RELACIONES EXTERIORES</w:t>
        </w:r>
        <w:r>
          <w:rPr>
            <w:noProof/>
            <w:webHidden/>
          </w:rPr>
          <w:tab/>
        </w:r>
        <w:r>
          <w:rPr>
            <w:noProof/>
            <w:webHidden/>
          </w:rPr>
          <w:fldChar w:fldCharType="begin"/>
        </w:r>
        <w:r>
          <w:rPr>
            <w:noProof/>
            <w:webHidden/>
          </w:rPr>
          <w:instrText xml:space="preserve"> PAGEREF _Toc229565856 \h </w:instrText>
        </w:r>
        <w:r>
          <w:rPr>
            <w:noProof/>
            <w:webHidden/>
          </w:rPr>
        </w:r>
        <w:r>
          <w:rPr>
            <w:noProof/>
            <w:webHidden/>
          </w:rPr>
          <w:fldChar w:fldCharType="separate"/>
        </w:r>
        <w:r>
          <w:rPr>
            <w:noProof/>
            <w:webHidden/>
          </w:rPr>
          <w:t>38</w:t>
        </w:r>
        <w:r>
          <w:rPr>
            <w:noProof/>
            <w:webHidden/>
          </w:rPr>
          <w:fldChar w:fldCharType="end"/>
        </w:r>
      </w:hyperlink>
    </w:p>
    <w:p w14:paraId="4647D753" w14:textId="4D9DE3FF" w:rsidR="00016D49" w:rsidRDefault="00016D49">
      <w:pPr>
        <w:pStyle w:val="TOC1"/>
        <w:tabs>
          <w:tab w:val="left" w:pos="480"/>
          <w:tab w:val="right" w:leader="dot" w:pos="9063"/>
        </w:tabs>
        <w:rPr>
          <w:rFonts w:asciiTheme="minorHAnsi" w:eastAsiaTheme="minorEastAsia" w:hAnsiTheme="minorHAnsi" w:cstheme="minorBidi"/>
          <w:noProof/>
          <w:kern w:val="2"/>
          <w:sz w:val="24"/>
          <w:szCs w:val="24"/>
          <w:lang w:val="fr-BE" w:eastAsia="fr-BE"/>
          <w14:ligatures w14:val="standardContextual"/>
        </w:rPr>
      </w:pPr>
      <w:hyperlink w:anchor="_Toc229565857" w:history="1">
        <w:r w:rsidRPr="00D21CEA">
          <w:rPr>
            <w:rStyle w:val="Hyperlink"/>
            <w:bCs/>
            <w:noProof/>
          </w:rPr>
          <w:t>6.</w:t>
        </w:r>
        <w:r>
          <w:rPr>
            <w:rFonts w:asciiTheme="minorHAnsi" w:eastAsiaTheme="minorEastAsia" w:hAnsiTheme="minorHAnsi" w:cstheme="minorBidi"/>
            <w:noProof/>
            <w:kern w:val="2"/>
            <w:sz w:val="24"/>
            <w:szCs w:val="24"/>
            <w:lang w:val="fr-BE" w:eastAsia="fr-BE"/>
            <w14:ligatures w14:val="standardContextual"/>
          </w:rPr>
          <w:tab/>
        </w:r>
        <w:r w:rsidRPr="00D21CEA">
          <w:rPr>
            <w:rStyle w:val="Hyperlink"/>
            <w:noProof/>
          </w:rPr>
          <w:t>COMISIÓN CONSULTIVA DE LAS TRANSFORMACIONES INDUSTRIALES</w:t>
        </w:r>
        <w:r>
          <w:rPr>
            <w:noProof/>
            <w:webHidden/>
          </w:rPr>
          <w:tab/>
        </w:r>
        <w:r>
          <w:rPr>
            <w:noProof/>
            <w:webHidden/>
          </w:rPr>
          <w:fldChar w:fldCharType="begin"/>
        </w:r>
        <w:r>
          <w:rPr>
            <w:noProof/>
            <w:webHidden/>
          </w:rPr>
          <w:instrText xml:space="preserve"> PAGEREF _Toc229565857 \h </w:instrText>
        </w:r>
        <w:r>
          <w:rPr>
            <w:noProof/>
            <w:webHidden/>
          </w:rPr>
        </w:r>
        <w:r>
          <w:rPr>
            <w:noProof/>
            <w:webHidden/>
          </w:rPr>
          <w:fldChar w:fldCharType="separate"/>
        </w:r>
        <w:r>
          <w:rPr>
            <w:noProof/>
            <w:webHidden/>
          </w:rPr>
          <w:t>42</w:t>
        </w:r>
        <w:r>
          <w:rPr>
            <w:noProof/>
            <w:webHidden/>
          </w:rPr>
          <w:fldChar w:fldCharType="end"/>
        </w:r>
      </w:hyperlink>
    </w:p>
    <w:p w14:paraId="4982DD6B" w14:textId="4D1C5BED" w:rsidR="004D7AC0" w:rsidRDefault="00A067F3" w:rsidP="001766B2">
      <w:r>
        <w:fldChar w:fldCharType="end"/>
      </w:r>
    </w:p>
    <w:p w14:paraId="4982DD6C" w14:textId="77777777" w:rsidR="004D7AC0" w:rsidRDefault="004D7AC0" w:rsidP="001766B2">
      <w:pPr>
        <w:jc w:val="left"/>
      </w:pPr>
      <w:r>
        <w:br w:type="page"/>
      </w:r>
    </w:p>
    <w:p w14:paraId="4982DD6D" w14:textId="48287E99" w:rsidR="004D7AC0" w:rsidRPr="00A067F3" w:rsidRDefault="004D7AC0" w:rsidP="004C6742">
      <w:pPr>
        <w:pStyle w:val="Heading2"/>
      </w:pPr>
      <w:bookmarkStart w:id="0" w:name="_Toc229565852"/>
      <w:r>
        <w:lastRenderedPageBreak/>
        <w:t>UNIÓN ECONÓMICA Y MONETARIA Y COHESIÓN ECONÓMICA Y SOCIAL</w:t>
      </w:r>
      <w:bookmarkEnd w:id="0"/>
    </w:p>
    <w:p w14:paraId="4982DD6E" w14:textId="77777777" w:rsidR="004D7AC0" w:rsidRDefault="004D7AC0" w:rsidP="001766B2"/>
    <w:p w14:paraId="258C871E" w14:textId="32DACCA0" w:rsidR="00F37962" w:rsidRPr="004C6742" w:rsidRDefault="00C76D56"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Pr>
            <w:b/>
            <w:i/>
            <w:color w:val="0000FF"/>
            <w:sz w:val="28"/>
            <w:u w:val="single"/>
          </w:rPr>
          <w:t>Agenda política de la UE para unas ciudades habitables</w:t>
        </w:r>
      </w:hyperlink>
    </w:p>
    <w:p w14:paraId="050FF4D0" w14:textId="77777777" w:rsidR="00435FF5" w:rsidRPr="00016D49" w:rsidRDefault="00435FF5" w:rsidP="004C6742">
      <w:pPr>
        <w:widowControl w:val="0"/>
        <w:overflowPunct w:val="0"/>
        <w:autoSpaceDE w:val="0"/>
        <w:autoSpaceDN w:val="0"/>
        <w:adjustRightInd w:val="0"/>
        <w:spacing w:after="120"/>
        <w:ind w:left="284" w:hanging="284"/>
        <w:textAlignment w:val="baseline"/>
        <w:rPr>
          <w:b/>
          <w:i/>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Ponente</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rPr>
              <w:t>Coponente</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r>
              <w:t>Florian MARIN (Grupo de Trabajadores – RO)</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Roman HAKEN (Grupo de Organizaciones de la Sociedad Civil – CZ)</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Referencia</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r>
              <w:t>COM(2025) 552 final</w:t>
            </w:r>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Puntos clave</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r>
        <w:t>El CESE:</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considera que las ciudades son la columna vertebral del desarrollo económico, social y territorial de la Unión Europea. Son espacios clave para la transformación social, ecológica y económica, en los que la innovación debería centrarse en la mejora de la calidad de vida;</w:t>
      </w:r>
    </w:p>
    <w:p w14:paraId="4B3A1070"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si bien acoge con satisfacción el complejo enfoque y la intención de la Comisión de reforzar la Agenda de la UE para las Ciudades y su visión general de unas ciudades prósperas, habitables e inclusivas, considera que la Agenda propuesta aún no se ajusta a sus ambiciones declaradas;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recomienda que se le incluya formalmente, junto con el Comité de las Regiones, en la propuesta de Agenda de la UE para las Ciudades a fin de reflejar el papel formal que le reconocen el Acuerdo de Liubliana y el Pacto de Ámsterdam, así como su </w:t>
      </w:r>
      <w:proofErr w:type="gramStart"/>
      <w:r>
        <w:t>participación activa</w:t>
      </w:r>
      <w:proofErr w:type="gramEnd"/>
      <w:r>
        <w:t xml:space="preserve"> en todos los ámbitos de la agenda urbana; </w:t>
      </w:r>
    </w:p>
    <w:p w14:paraId="37634D38"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propone que la Agenda de la UE para las Ciudades esté firmemente anclada en la gobernanza multinivel, el principio de asociación y un enfoque de base local. Debe garantizar un desarrollo territorial equilibrado y reforzar el diálogo social y cívico;</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por ello, invita a la Comisión a que:</w:t>
      </w:r>
    </w:p>
    <w:p w14:paraId="56F86CF4" w14:textId="22B5EA19" w:rsidR="00F37962" w:rsidRPr="00E129EB" w:rsidRDefault="00F37962" w:rsidP="00F37962">
      <w:pPr>
        <w:numPr>
          <w:ilvl w:val="0"/>
          <w:numId w:val="6"/>
        </w:numPr>
        <w:overflowPunct w:val="0"/>
        <w:autoSpaceDE w:val="0"/>
        <w:autoSpaceDN w:val="0"/>
        <w:adjustRightInd w:val="0"/>
        <w:contextualSpacing/>
        <w:textAlignment w:val="baseline"/>
        <w:rPr>
          <w:szCs w:val="20"/>
        </w:rPr>
      </w:pPr>
      <w:r>
        <w:t>reconozca formalmente tanto al CESE como a las ciudades como socios en pie de igualdad en la elaboración de las políticas urbanas de la UE y no solo como agentes ejecutivos, mediante el establecimiento de mecanismos de gobernanza multinivel permanentes y estructurados;</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refuerce el principio de asociación garantizando la participación sistemática y significativa de la sociedad civil organizada a lo largo de todo el ciclo político de la Agenda de la UE para las Ciudades;</w:t>
      </w:r>
    </w:p>
    <w:p w14:paraId="1A186602" w14:textId="0A0810CD" w:rsidR="00F37962" w:rsidRPr="00E129EB" w:rsidRDefault="00F37962" w:rsidP="00F37962">
      <w:pPr>
        <w:numPr>
          <w:ilvl w:val="0"/>
          <w:numId w:val="6"/>
        </w:numPr>
        <w:overflowPunct w:val="0"/>
        <w:autoSpaceDE w:val="0"/>
        <w:autoSpaceDN w:val="0"/>
        <w:adjustRightInd w:val="0"/>
        <w:contextualSpacing/>
        <w:textAlignment w:val="baseline"/>
        <w:rPr>
          <w:szCs w:val="20"/>
        </w:rPr>
      </w:pPr>
      <w:r>
        <w:t>dote a la Agenda de la UE para las Ciudades de un marco de acción concreto y operativo, que incluya responsabilidades, plazos e indicadores mensurables claramente definidos, con evaluaciones sistemáticas del impacto territorial para evaluar los efectos de la legislación de la Unión en las ciudades;</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t>garantice una financiación adecuada, previsible y accesible para el desarrollo urbano, en especial el acceso directo de las ciudades a la financiación de la UE;</w:t>
      </w:r>
    </w:p>
    <w:p w14:paraId="79FB5343" w14:textId="2EAD5A15" w:rsidR="00F37962" w:rsidRPr="00E129EB" w:rsidRDefault="00F37962" w:rsidP="00F37962">
      <w:pPr>
        <w:numPr>
          <w:ilvl w:val="0"/>
          <w:numId w:val="6"/>
        </w:numPr>
        <w:overflowPunct w:val="0"/>
        <w:autoSpaceDE w:val="0"/>
        <w:autoSpaceDN w:val="0"/>
        <w:adjustRightInd w:val="0"/>
        <w:contextualSpacing/>
        <w:textAlignment w:val="baseline"/>
        <w:rPr>
          <w:szCs w:val="20"/>
        </w:rPr>
      </w:pPr>
      <w:r>
        <w:t>promueva un enfoque integrado, orientado a proyectos y de base local para la cohesión territorial, mediante el refuerzo explícito de la complementariedad entre las ciudades y las zonas rurales;</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lastRenderedPageBreak/>
        <w:t>desarrolle un diálogo urbano a escala de la UE en el marco de la plataforma de las ciudades de la UE destinado a destacar la importancia de las funciones del diálogo social y cívico en las cuestiones relacionadas con el empleo;</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t>aumente el fondo de asistencia técnica dedicado a las ciudades e introduzca una iniciativa o fondo europeo específico centrado directamente en proyectos urbanos;</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proponga normas de consulta claras para garantizar una participación significativa, oportuna y representativa de los interlocutores sociales y la sociedad civil a todos los niveles;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establezca un marco unificado a escala de la Unión para la recogida y notificación de datos urbanos a fin de garantizar que los indicadores sean comparables y que el seguimiento sea eficaz en todos los Estados miembros;</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reconozca que la vivienda es una cuestión social y económica de carácter estructural más que un producto del mercado, y pida un marco de la UE que garantice el acceso a una vivienda asequible;</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considera que el principal mecanismo utilizado para ejecutar la financiación de la política de cohesión europea de manera integrada y de base local es el desarrollo local participativo (DLP). El desarrollo local participativo en las ciudades y zonas urbanas (DLP-U) debe ir más allá de la fase piloto en la que se halla actualmente y ser reconocido como uno de los instrumentos más eficaces para activar las comunidades locales, generar empleo, reforzar la economía social e implicar a las partes interesadas;</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considera que debe introducirse una medida específica para consolidar el DLP-U en el futuro, de forma que se garantice su inclusión formal en los procesos de toma de decisiones a escala de la UE y en consultas técnicas específicas con expertos.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87"/>
      </w:tblGrid>
      <w:tr w:rsidR="00F37962" w:rsidRPr="00E129EB" w14:paraId="51E81DDF" w14:textId="77777777" w:rsidTr="00016D49">
        <w:tc>
          <w:tcPr>
            <w:tcW w:w="2235" w:type="dxa"/>
          </w:tcPr>
          <w:p w14:paraId="59A59456" w14:textId="77777777" w:rsidR="00F37962" w:rsidRPr="00E129EB" w:rsidRDefault="00F37962" w:rsidP="002E7EFB">
            <w:pPr>
              <w:overflowPunct w:val="0"/>
              <w:autoSpaceDE w:val="0"/>
              <w:autoSpaceDN w:val="0"/>
              <w:adjustRightInd w:val="0"/>
              <w:textAlignment w:val="baseline"/>
              <w:rPr>
                <w:i/>
              </w:rPr>
            </w:pPr>
            <w:r>
              <w:rPr>
                <w:b/>
                <w:i/>
              </w:rPr>
              <w:t>Contacto:</w:t>
            </w:r>
          </w:p>
        </w:tc>
        <w:tc>
          <w:tcPr>
            <w:tcW w:w="7087" w:type="dxa"/>
          </w:tcPr>
          <w:p w14:paraId="40387B89" w14:textId="50D56D72" w:rsidR="00F37962" w:rsidRPr="00E129EB" w:rsidRDefault="00F37962" w:rsidP="002E7EFB">
            <w:pPr>
              <w:overflowPunct w:val="0"/>
              <w:autoSpaceDE w:val="0"/>
              <w:autoSpaceDN w:val="0"/>
              <w:adjustRightInd w:val="0"/>
              <w:textAlignment w:val="baseline"/>
              <w:rPr>
                <w:i/>
              </w:rPr>
            </w:pPr>
            <w:r>
              <w:rPr>
                <w:i/>
              </w:rPr>
              <w:t>Georgios MELEAS</w:t>
            </w:r>
          </w:p>
        </w:tc>
      </w:tr>
      <w:tr w:rsidR="00F37962" w:rsidRPr="00E129EB" w14:paraId="0506E28A" w14:textId="77777777" w:rsidTr="00016D49">
        <w:tc>
          <w:tcPr>
            <w:tcW w:w="2235" w:type="dxa"/>
          </w:tcPr>
          <w:p w14:paraId="50CECB74" w14:textId="77777777" w:rsidR="00F37962" w:rsidRPr="00E129EB" w:rsidRDefault="00F37962" w:rsidP="002E7EFB">
            <w:pPr>
              <w:overflowPunct w:val="0"/>
              <w:autoSpaceDE w:val="0"/>
              <w:autoSpaceDN w:val="0"/>
              <w:adjustRightInd w:val="0"/>
              <w:textAlignment w:val="baseline"/>
              <w:rPr>
                <w:i/>
              </w:rPr>
            </w:pPr>
            <w:r>
              <w:rPr>
                <w:i/>
              </w:rPr>
              <w:t>Teléfono:</w:t>
            </w:r>
          </w:p>
        </w:tc>
        <w:tc>
          <w:tcPr>
            <w:tcW w:w="7087" w:type="dxa"/>
          </w:tcPr>
          <w:p w14:paraId="285FFA02" w14:textId="69C35846" w:rsidR="00F37962" w:rsidRPr="00E129EB" w:rsidRDefault="00F37962" w:rsidP="002E7EFB">
            <w:pPr>
              <w:overflowPunct w:val="0"/>
              <w:autoSpaceDE w:val="0"/>
              <w:autoSpaceDN w:val="0"/>
              <w:adjustRightInd w:val="0"/>
              <w:textAlignment w:val="baseline"/>
              <w:rPr>
                <w:i/>
              </w:rPr>
            </w:pPr>
            <w:r>
              <w:rPr>
                <w:i/>
              </w:rPr>
              <w:t>+32 25469795</w:t>
            </w:r>
          </w:p>
        </w:tc>
      </w:tr>
      <w:tr w:rsidR="00F37962" w:rsidRPr="00E129EB" w14:paraId="436042E5" w14:textId="77777777" w:rsidTr="00016D49">
        <w:tc>
          <w:tcPr>
            <w:tcW w:w="2235" w:type="dxa"/>
          </w:tcPr>
          <w:p w14:paraId="742D8A5E" w14:textId="77777777" w:rsidR="00F37962" w:rsidRPr="00E129EB" w:rsidRDefault="00F37962" w:rsidP="002E7EFB">
            <w:pPr>
              <w:overflowPunct w:val="0"/>
              <w:autoSpaceDE w:val="0"/>
              <w:autoSpaceDN w:val="0"/>
              <w:adjustRightInd w:val="0"/>
              <w:textAlignment w:val="baseline"/>
              <w:rPr>
                <w:i/>
              </w:rPr>
            </w:pPr>
            <w:r>
              <w:rPr>
                <w:i/>
              </w:rPr>
              <w:t>Correo electrónico:</w:t>
            </w:r>
          </w:p>
        </w:tc>
        <w:tc>
          <w:tcPr>
            <w:tcW w:w="7087" w:type="dxa"/>
          </w:tcPr>
          <w:p w14:paraId="122227DF" w14:textId="15C9D0C1" w:rsidR="00F37962" w:rsidRPr="00E129EB" w:rsidRDefault="00C76D56" w:rsidP="002E7EFB">
            <w:pPr>
              <w:overflowPunct w:val="0"/>
              <w:autoSpaceDE w:val="0"/>
              <w:autoSpaceDN w:val="0"/>
              <w:adjustRightInd w:val="0"/>
              <w:textAlignment w:val="baseline"/>
              <w:rPr>
                <w:i/>
                <w:iCs/>
              </w:rPr>
            </w:pPr>
            <w:hyperlink r:id="rId22" w:history="1">
              <w:r>
                <w:rPr>
                  <w:i/>
                  <w:color w:val="0000FF"/>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73C62429" w:rsidR="00F37962" w:rsidRDefault="00A067F3" w:rsidP="004C6742">
      <w:pPr>
        <w:pStyle w:val="ListParagraph"/>
        <w:numPr>
          <w:ilvl w:val="0"/>
          <w:numId w:val="76"/>
        </w:numPr>
      </w:pPr>
      <w:hyperlink r:id="rId23" w:history="1">
        <w:r>
          <w:rPr>
            <w:b/>
            <w:i/>
            <w:color w:val="0000FF"/>
            <w:sz w:val="28"/>
            <w:u w:val="single"/>
          </w:rPr>
          <w:t>Paquete de pensiones complementarias: producto paneuropeo de pensiones individuales y fondo de pensiones de empleo</w:t>
        </w:r>
      </w:hyperlink>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0DA0566E" w14:textId="77777777" w:rsidTr="002E7EFB">
        <w:tc>
          <w:tcPr>
            <w:tcW w:w="1077" w:type="pct"/>
          </w:tcPr>
          <w:p w14:paraId="4046C9F6"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Ponente</w:t>
            </w:r>
          </w:p>
        </w:tc>
        <w:tc>
          <w:tcPr>
            <w:tcW w:w="3923" w:type="pct"/>
          </w:tcPr>
          <w:p w14:paraId="76BEB7DB" w14:textId="53F5F0D5"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María del Carmen BARRERA CHAMORRO (Grupo de Trabajadores – ES)</w:t>
            </w:r>
          </w:p>
        </w:tc>
      </w:tr>
      <w:tr w:rsidR="00F37962" w:rsidRPr="009360D7" w14:paraId="68747D90" w14:textId="77777777" w:rsidTr="002E7EFB">
        <w:tc>
          <w:tcPr>
            <w:tcW w:w="1077" w:type="pct"/>
          </w:tcPr>
          <w:p w14:paraId="5B2075D4"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p>
        </w:tc>
        <w:tc>
          <w:tcPr>
            <w:tcW w:w="3923" w:type="pct"/>
          </w:tcPr>
          <w:p w14:paraId="075524E1" w14:textId="77777777" w:rsidR="00F37962" w:rsidRPr="009360D7" w:rsidRDefault="00F37962" w:rsidP="004C6742">
            <w:pPr>
              <w:tabs>
                <w:tab w:val="center" w:pos="284"/>
              </w:tabs>
              <w:overflowPunct w:val="0"/>
              <w:autoSpaceDE w:val="0"/>
              <w:autoSpaceDN w:val="0"/>
              <w:adjustRightInd w:val="0"/>
              <w:spacing w:line="240" w:lineRule="auto"/>
              <w:ind w:left="266" w:right="-3091" w:hanging="266"/>
              <w:textAlignment w:val="baseline"/>
            </w:pPr>
          </w:p>
        </w:tc>
      </w:tr>
      <w:tr w:rsidR="00F37962" w:rsidRPr="009360D7" w14:paraId="5E5AA138" w14:textId="77777777" w:rsidTr="002E7EFB">
        <w:tc>
          <w:tcPr>
            <w:tcW w:w="1077" w:type="pct"/>
          </w:tcPr>
          <w:p w14:paraId="5801F57F" w14:textId="77E8F668"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Referencia</w:t>
            </w:r>
            <w:r w:rsidR="00016D49">
              <w:rPr>
                <w:b/>
              </w:rPr>
              <w:t>s</w:t>
            </w:r>
          </w:p>
        </w:tc>
        <w:tc>
          <w:tcPr>
            <w:tcW w:w="3923" w:type="pct"/>
          </w:tcPr>
          <w:p w14:paraId="5E33F076"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839 final </w:t>
            </w:r>
          </w:p>
          <w:p w14:paraId="099CCB38" w14:textId="1D24FF1C"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840 final </w:t>
            </w:r>
          </w:p>
          <w:p w14:paraId="5F2CC97B" w14:textId="2F5BA5F2"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COM(2025) 842 final</w:t>
            </w:r>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Puntos clave</w:t>
      </w:r>
    </w:p>
    <w:p w14:paraId="65428812"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p>
    <w:p w14:paraId="446B0743" w14:textId="77777777" w:rsidR="00F37962" w:rsidRDefault="00F37962" w:rsidP="00F37962">
      <w:pPr>
        <w:overflowPunct w:val="0"/>
        <w:autoSpaceDE w:val="0"/>
        <w:autoSpaceDN w:val="0"/>
        <w:adjustRightInd w:val="0"/>
        <w:textAlignment w:val="baseline"/>
      </w:pPr>
      <w:r>
        <w:t>El CESE:</w:t>
      </w:r>
    </w:p>
    <w:p w14:paraId="60A157A3" w14:textId="77777777" w:rsidR="00016D49" w:rsidRDefault="00016D49" w:rsidP="00F37962">
      <w:pPr>
        <w:overflowPunct w:val="0"/>
        <w:autoSpaceDE w:val="0"/>
        <w:autoSpaceDN w:val="0"/>
        <w:adjustRightInd w:val="0"/>
        <w:textAlignment w:val="baseline"/>
        <w:rPr>
          <w:bCs/>
          <w:iCs/>
        </w:rPr>
      </w:pPr>
    </w:p>
    <w:p w14:paraId="3B37DD9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reconoce</w:t>
      </w:r>
      <w:r>
        <w:t xml:space="preserve"> los efectos beneficiosos de un </w:t>
      </w:r>
      <w:r>
        <w:rPr>
          <w:b/>
        </w:rPr>
        <w:t>sistema de pensiones de varios pilares</w:t>
      </w:r>
      <w:r>
        <w:t xml:space="preserve"> y considera que la existencia de pensiones complementarias no debe servir de justificación para debilitar las pensiones públicas, para garantizar que los ciudadanos de toda la Unión Europea puedan jubilarse con dignidad, seguridad y unos ingresos adecuados. </w:t>
      </w:r>
      <w:r>
        <w:rPr>
          <w:b/>
        </w:rPr>
        <w:t>Es necesario un enfoque holístico</w:t>
      </w:r>
      <w:r>
        <w:t xml:space="preserve"> al nivel adecuado, ya sea este el nacional o el europeo, que incluya la mejora del mercado de trabajo y del sistema de pensiones complementarias;</w:t>
      </w:r>
    </w:p>
    <w:p w14:paraId="693DE00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recomienda</w:t>
      </w:r>
      <w:r>
        <w:t xml:space="preserve"> medidas adecuadas de </w:t>
      </w:r>
      <w:r>
        <w:rPr>
          <w:b/>
        </w:rPr>
        <w:t>refuerzo de la gobernanza participativa</w:t>
      </w:r>
      <w:r>
        <w:t xml:space="preserve"> que promuevan la participación de los agentes sociales, preservando su libertad de negociación y respetando la diversidad de sistemas dentro de la UE;</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recomienda</w:t>
      </w:r>
      <w:r>
        <w:t xml:space="preserve"> modificaciones específicas de la </w:t>
      </w:r>
      <w:r>
        <w:rPr>
          <w:b/>
        </w:rPr>
        <w:t>Directiva sobre fondos de pensiones de empleo</w:t>
      </w:r>
      <w:r>
        <w:t xml:space="preserve"> con el objetivo de reducir la fragmentación, aumentar la comparabilidad y la transparencia y asegurar la confianza de los partícipes;</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recomienda</w:t>
      </w:r>
      <w:r>
        <w:t xml:space="preserve"> modificaciones específicas del </w:t>
      </w:r>
      <w:r>
        <w:rPr>
          <w:b/>
        </w:rPr>
        <w:t>Reglamento sobre los PEPP</w:t>
      </w:r>
      <w:r>
        <w:t>, en particular en materia de información y asesoramiento, el papel de la AESPJ y las transferencias transfronterizas;</w:t>
      </w:r>
    </w:p>
    <w:p w14:paraId="653F0F93"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recomienda</w:t>
      </w:r>
      <w:r>
        <w:t xml:space="preserve"> medidas para mejorar el </w:t>
      </w:r>
      <w:r>
        <w:rPr>
          <w:b/>
        </w:rPr>
        <w:t>equilibrio entre los géneros</w:t>
      </w:r>
      <w:r>
        <w:t xml:space="preserve"> y </w:t>
      </w:r>
      <w:r>
        <w:rPr>
          <w:b/>
        </w:rPr>
        <w:t>reforzar la confianza pública</w:t>
      </w:r>
      <w:r>
        <w:t xml:space="preserve"> en los productos de pensiones y </w:t>
      </w:r>
      <w:r>
        <w:rPr>
          <w:b/>
        </w:rPr>
        <w:t>que los PEPP permanezcan como productos individuales</w:t>
      </w:r>
      <w:r>
        <w:t xml:space="preserve"> y no se permita su adquisición colectiva;</w:t>
      </w:r>
    </w:p>
    <w:p w14:paraId="3F455E5B"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emplaza</w:t>
      </w:r>
      <w:r>
        <w:t xml:space="preserve"> a los colegisladores a que estudien la </w:t>
      </w:r>
      <w:r>
        <w:rPr>
          <w:b/>
        </w:rPr>
        <w:t>reformulación de la «regla de la persona prudente»</w:t>
      </w:r>
      <w:r>
        <w:t xml:space="preserve"> incluida en la Directiva sobre FPE, a fin de </w:t>
      </w:r>
      <w:r>
        <w:rPr>
          <w:b/>
        </w:rPr>
        <w:t>mantener un equilibrio adecuado</w:t>
      </w:r>
      <w:r>
        <w:t xml:space="preserve"> entre el riesgo de inversión y la garantía de las cotizaciones a los planes;</w:t>
      </w:r>
    </w:p>
    <w:p w14:paraId="6341AEB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recomienda</w:t>
      </w:r>
      <w:r>
        <w:t xml:space="preserve"> que la </w:t>
      </w:r>
      <w:r>
        <w:rPr>
          <w:b/>
        </w:rPr>
        <w:t>afiliación automática</w:t>
      </w:r>
      <w:r>
        <w:t xml:space="preserve"> sea, en su caso, resultado del refuerzo del </w:t>
      </w:r>
      <w:r>
        <w:rPr>
          <w:b/>
        </w:rPr>
        <w:t>diálogo social</w:t>
      </w:r>
      <w:r>
        <w:t xml:space="preserve"> y la negociación colectiva, respetando la libertad de los interlocutores sociales para negociar, diseñar y decidir sobre la afiliación automática;</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recomienda</w:t>
      </w:r>
      <w:r>
        <w:t xml:space="preserve"> que la Comisión Europea cree un </w:t>
      </w:r>
      <w:r>
        <w:rPr>
          <w:b/>
        </w:rPr>
        <w:t>comité de seguimiento</w:t>
      </w:r>
      <w:r>
        <w:t xml:space="preserve"> para </w:t>
      </w:r>
      <w:r>
        <w:rPr>
          <w:b/>
        </w:rPr>
        <w:t>supervisar eficazmente el progreso de las pensiones complementarias</w:t>
      </w:r>
      <w:r>
        <w:t xml:space="preserve">. Debe contar con la participación de las </w:t>
      </w:r>
      <w:proofErr w:type="gramStart"/>
      <w:r>
        <w:t>autoridades públicas</w:t>
      </w:r>
      <w:proofErr w:type="gramEnd"/>
      <w:r>
        <w:t xml:space="preserve">, los agentes sociales y las organizaciones de la sociedad civil. Su trabajo debería </w:t>
      </w:r>
      <w:r>
        <w:rPr>
          <w:b/>
        </w:rPr>
        <w:t>informar</w:t>
      </w:r>
      <w:r>
        <w:t xml:space="preserve"> futuros cambios normativos y contribuir a los trabajos del Semestre Europeo y del Consejo;</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recomienda medidas</w:t>
      </w:r>
      <w:r>
        <w:t xml:space="preserve"> para </w:t>
      </w:r>
      <w:r>
        <w:rPr>
          <w:b/>
        </w:rPr>
        <w:t>mitigar</w:t>
      </w:r>
      <w:r>
        <w:t xml:space="preserve"> las posibles repercusiones sobre la </w:t>
      </w:r>
      <w:r>
        <w:rPr>
          <w:b/>
        </w:rPr>
        <w:t>sostenibilidad</w:t>
      </w:r>
      <w:r>
        <w:t xml:space="preserve"> de las pensiones y sobre la </w:t>
      </w:r>
      <w:r>
        <w:rPr>
          <w:b/>
        </w:rPr>
        <w:t>pobreza</w:t>
      </w:r>
      <w:r>
        <w:t xml:space="preserve"> y la </w:t>
      </w:r>
      <w:r>
        <w:rPr>
          <w:b/>
        </w:rPr>
        <w:t>desigualdad</w:t>
      </w:r>
      <w:r>
        <w:t>;</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recomienda</w:t>
      </w:r>
      <w:r>
        <w:t xml:space="preserve"> que se complete la implementación de la coordinación de la </w:t>
      </w:r>
      <w:r>
        <w:rPr>
          <w:b/>
        </w:rPr>
        <w:t>digitalización de los sistemas de seguridad social europeos</w:t>
      </w:r>
      <w:r>
        <w:t>;</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rPr>
        <w:lastRenderedPageBreak/>
        <w:t>insiste</w:t>
      </w:r>
      <w:r>
        <w:t xml:space="preserve"> en la necesidad de una </w:t>
      </w:r>
      <w:r>
        <w:rPr>
          <w:b/>
        </w:rPr>
        <w:t>educación financiera</w:t>
      </w:r>
      <w:r>
        <w:t xml:space="preserve"> respaldada por </w:t>
      </w:r>
      <w:r>
        <w:rPr>
          <w:b/>
        </w:rPr>
        <w:t>herramientas de seguimiento</w:t>
      </w:r>
      <w:r>
        <w:t xml:space="preserve"> fáciles de usar y acceso a </w:t>
      </w:r>
      <w:r>
        <w:rPr>
          <w:b/>
        </w:rPr>
        <w:t>orientación y asesoramiento</w:t>
      </w:r>
      <w:r>
        <w:t xml:space="preserve"> para tomar decisiones.</w:t>
      </w:r>
    </w:p>
    <w:p w14:paraId="029BFBEF" w14:textId="77777777" w:rsidR="00613302" w:rsidRPr="009360D7" w:rsidRDefault="00613302" w:rsidP="00F37962">
      <w:pPr>
        <w:widowControl w:val="0"/>
        <w:overflowPunct w:val="0"/>
        <w:autoSpaceDE w:val="0"/>
        <w:autoSpaceDN w:val="0"/>
        <w:adjustRightInd w:val="0"/>
        <w:ind w:left="709"/>
        <w:textAlignment w:val="baseline"/>
        <w:rPr>
          <w:szCs w:val="20"/>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2F150675" w14:textId="77777777" w:rsidTr="002E7EFB">
        <w:tc>
          <w:tcPr>
            <w:tcW w:w="1077" w:type="pct"/>
          </w:tcPr>
          <w:p w14:paraId="0E22D454" w14:textId="77777777" w:rsidR="00F37962" w:rsidRPr="009360D7" w:rsidRDefault="00F37962" w:rsidP="002E7EFB">
            <w:pPr>
              <w:overflowPunct w:val="0"/>
              <w:autoSpaceDE w:val="0"/>
              <w:autoSpaceDN w:val="0"/>
              <w:adjustRightInd w:val="0"/>
              <w:textAlignment w:val="baseline"/>
              <w:rPr>
                <w:i/>
              </w:rPr>
            </w:pPr>
            <w:r>
              <w:rPr>
                <w:b/>
                <w:i/>
              </w:rPr>
              <w:t>Contacto:</w:t>
            </w:r>
          </w:p>
        </w:tc>
        <w:tc>
          <w:tcPr>
            <w:tcW w:w="3923" w:type="pct"/>
          </w:tcPr>
          <w:p w14:paraId="69384752" w14:textId="77777777" w:rsidR="00F37962" w:rsidRPr="009360D7" w:rsidRDefault="00F37962" w:rsidP="002E7EFB">
            <w:pPr>
              <w:overflowPunct w:val="0"/>
              <w:autoSpaceDE w:val="0"/>
              <w:autoSpaceDN w:val="0"/>
              <w:adjustRightInd w:val="0"/>
              <w:textAlignment w:val="baseline"/>
              <w:rPr>
                <w:i/>
              </w:rPr>
            </w:pPr>
            <w:r>
              <w:rPr>
                <w:i/>
              </w:rPr>
              <w:t>Sergio LORENCIO MATALLANA</w:t>
            </w:r>
          </w:p>
        </w:tc>
      </w:tr>
      <w:tr w:rsidR="00F37962" w:rsidRPr="009360D7" w14:paraId="6F824D39" w14:textId="77777777" w:rsidTr="002E7EFB">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Pr>
                <w:i/>
              </w:rPr>
              <w:t>Teléfono:</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Pr>
                <w:i/>
              </w:rPr>
              <w:t>+32 25469240</w:t>
            </w:r>
          </w:p>
        </w:tc>
      </w:tr>
      <w:tr w:rsidR="00F37962" w:rsidRPr="009360D7" w14:paraId="4CBC8AD0" w14:textId="77777777" w:rsidTr="002E7EFB">
        <w:tc>
          <w:tcPr>
            <w:tcW w:w="1077" w:type="pct"/>
          </w:tcPr>
          <w:p w14:paraId="74D96EA0" w14:textId="77777777" w:rsidR="00F37962" w:rsidRPr="009360D7" w:rsidRDefault="00F37962" w:rsidP="002E7EFB">
            <w:pPr>
              <w:overflowPunct w:val="0"/>
              <w:autoSpaceDE w:val="0"/>
              <w:autoSpaceDN w:val="0"/>
              <w:adjustRightInd w:val="0"/>
              <w:textAlignment w:val="baseline"/>
              <w:rPr>
                <w:i/>
              </w:rPr>
            </w:pPr>
            <w:r>
              <w:rPr>
                <w:i/>
              </w:rPr>
              <w:t>Correo electrónico:</w:t>
            </w:r>
          </w:p>
        </w:tc>
        <w:tc>
          <w:tcPr>
            <w:tcW w:w="3923" w:type="pct"/>
          </w:tcPr>
          <w:p w14:paraId="5475F81E" w14:textId="4F7BF5F0" w:rsidR="00F37962" w:rsidRPr="009360D7" w:rsidRDefault="00C76D56" w:rsidP="002E7EFB">
            <w:pPr>
              <w:overflowPunct w:val="0"/>
              <w:autoSpaceDE w:val="0"/>
              <w:autoSpaceDN w:val="0"/>
              <w:adjustRightInd w:val="0"/>
              <w:textAlignment w:val="baseline"/>
              <w:rPr>
                <w:i/>
              </w:rPr>
            </w:pPr>
            <w:hyperlink r:id="rId24" w:history="1">
              <w:r>
                <w:rPr>
                  <w:i/>
                  <w:color w:val="0000FF"/>
                  <w:u w:val="single"/>
                </w:rPr>
                <w:t>Sergio.LorencioMatallana@eesc.europa.eu</w:t>
              </w:r>
            </w:hyperlink>
          </w:p>
        </w:tc>
      </w:tr>
    </w:tbl>
    <w:p w14:paraId="23A0EDCC" w14:textId="77777777" w:rsidR="00A067F3" w:rsidRDefault="00A067F3">
      <w:pPr>
        <w:spacing w:after="160" w:line="259" w:lineRule="auto"/>
        <w:jc w:val="left"/>
      </w:pPr>
      <w:r>
        <w:br w:type="page"/>
      </w:r>
    </w:p>
    <w:p w14:paraId="4982DD99" w14:textId="592F9C95" w:rsidR="004D7AC0" w:rsidRDefault="004D7AC0" w:rsidP="004C6742">
      <w:pPr>
        <w:pStyle w:val="Heading2"/>
      </w:pPr>
      <w:bookmarkStart w:id="1" w:name="_Toc75527081"/>
      <w:bookmarkStart w:id="2" w:name="_Toc229565853"/>
      <w:r>
        <w:lastRenderedPageBreak/>
        <w:t>EMPLEO, ASUNTOS SOCIALES Y CIUDADANÍA</w:t>
      </w:r>
      <w:bookmarkEnd w:id="1"/>
      <w:bookmarkEnd w:id="2"/>
    </w:p>
    <w:p w14:paraId="4982DD9A" w14:textId="77777777" w:rsidR="004D7AC0" w:rsidRDefault="004D7AC0" w:rsidP="001766B2"/>
    <w:p w14:paraId="0553C86C" w14:textId="0255F32B" w:rsidR="00943240" w:rsidRPr="00016D49" w:rsidRDefault="00943240" w:rsidP="00943240">
      <w:pPr>
        <w:widowControl w:val="0"/>
        <w:numPr>
          <w:ilvl w:val="0"/>
          <w:numId w:val="8"/>
        </w:numPr>
        <w:overflowPunct w:val="0"/>
        <w:autoSpaceDE w:val="0"/>
        <w:autoSpaceDN w:val="0"/>
        <w:adjustRightInd w:val="0"/>
        <w:ind w:left="567" w:hanging="567"/>
        <w:textAlignment w:val="baseline"/>
        <w:rPr>
          <w:b/>
        </w:rPr>
      </w:pPr>
      <w:hyperlink r:id="rId25" w:history="1">
        <w:r>
          <w:rPr>
            <w:b/>
            <w:i/>
            <w:color w:val="0000FF"/>
            <w:sz w:val="28"/>
            <w:u w:val="single"/>
          </w:rPr>
          <w:t>Prohibición de las prácticas de conversión en la Unión Europea</w:t>
        </w:r>
      </w:hyperlink>
    </w:p>
    <w:p w14:paraId="0DD8BE16" w14:textId="77777777" w:rsidR="00537B03" w:rsidRPr="00016D49" w:rsidRDefault="00537B03" w:rsidP="00943240">
      <w:pPr>
        <w:tabs>
          <w:tab w:val="center" w:pos="284"/>
        </w:tabs>
        <w:overflowPunct w:val="0"/>
        <w:autoSpaceDE w:val="0"/>
        <w:autoSpaceDN w:val="0"/>
        <w:adjustRightInd w:val="0"/>
        <w:ind w:left="567" w:hanging="567"/>
        <w:textAlignment w:val="baseline"/>
        <w:rPr>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943240" w:rsidRPr="00943240" w14:paraId="4E8345CE" w14:textId="77777777" w:rsidTr="002E7EFB">
        <w:tc>
          <w:tcPr>
            <w:tcW w:w="1701"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Ponente</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pPr>
            <w:r>
              <w:t>Pascal DEBAY (Grupo de Trabajadores – FR)</w:t>
            </w:r>
          </w:p>
        </w:tc>
      </w:tr>
      <w:tr w:rsidR="00943240" w:rsidRPr="00943240" w14:paraId="007125B5" w14:textId="77777777" w:rsidTr="002E7EFB">
        <w:tc>
          <w:tcPr>
            <w:tcW w:w="1701"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Coponente</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pPr>
            <w:r>
              <w:t>Ionuţ SIBIAN (Grupo de Organizaciones de la Sociedad Civil – RO)</w:t>
            </w:r>
          </w:p>
        </w:tc>
      </w:tr>
      <w:tr w:rsidR="00943240" w:rsidRPr="00943240" w14:paraId="2715214D" w14:textId="77777777" w:rsidTr="002E7EFB">
        <w:tc>
          <w:tcPr>
            <w:tcW w:w="1701"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6237"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2E7EFB">
        <w:tc>
          <w:tcPr>
            <w:tcW w:w="1701"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Referencias</w:t>
            </w:r>
          </w:p>
        </w:tc>
        <w:tc>
          <w:tcPr>
            <w:tcW w:w="6237"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pPr>
            <w:r>
              <w:t>Dictamen de iniciativa</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r>
              <w:t>EESC-2025-04295-00-00-AC</w:t>
            </w:r>
          </w:p>
        </w:tc>
      </w:tr>
      <w:tr w:rsidR="00943240" w:rsidRPr="00943240" w14:paraId="536F2D4C" w14:textId="77777777" w:rsidTr="002E7EFB">
        <w:tc>
          <w:tcPr>
            <w:tcW w:w="1701"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Puntos clave</w:t>
      </w:r>
    </w:p>
    <w:p w14:paraId="367A8012" w14:textId="77777777" w:rsidR="00943240" w:rsidRPr="00943240" w:rsidRDefault="00943240" w:rsidP="00943240">
      <w:pPr>
        <w:spacing w:before="100" w:beforeAutospacing="1" w:after="100" w:afterAutospacing="1" w:line="240" w:lineRule="auto"/>
        <w:jc w:val="left"/>
        <w:rPr>
          <w:b/>
          <w:bCs/>
        </w:rPr>
      </w:pPr>
      <w:r>
        <w:t>El CESE:</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condena enérgicamente cualquier forma de práctica de conversión destinada a cambiar, reprimir o suprimir la orientación sexual, la identidad de género o la expresión de género de una persona y considera que estas prácticas constituyen una violación de la prohibición absoluta de la tortura y los tratos o penas inhumanos o degradantes;</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recuerda que la discriminación, la violencia y la tortura contra personas LGBTIQ+ dentro de la UE son incompatibles con los derechos y valores fundamentales de la Unión;</w:t>
      </w:r>
      <w:bookmarkEnd w:id="4"/>
    </w:p>
    <w:p w14:paraId="4C8743D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pide a la Comisión Europea que presente una propuesta de prohibición jurídicamente vinculante de las prácticas de conversión en la UE, que abarque tanto la realización como la publicidad de dichas actividades, mediante la inclusión de las prácticas de conversión en la lista de «eurodelitos», y que las reconozca como delitos de odio, a fin de garantizar un nivel uniforme de protección en toda la UE;</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insta a que la prohibición esté formulada en términos exhaustivos y precisos, se aplique tanto a los menores como a los adultos, abarque a todos los actores públicos, privados, profesionales y no profesionales, y garantice que nunca se imponga una responsabilidad penal o civil a los supervivientes;</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insiste en que la prohibición establezca sanciones efectivas, proporcionadas y disuasorias que reflejen los graves daños causados por las prácticas de conversión;</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pide la inclusión explícita de las características sexuales con el fin de proteger a las personas intersexuales de intervenciones no terapéuticas y no consentidas, al forzar la conformidad con una concepción binaria del género;</w:t>
      </w:r>
      <w:bookmarkEnd w:id="8"/>
    </w:p>
    <w:p w14:paraId="7E83397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recomienda que se adopten medidas de aplicación firmes como parte de la Estrategia para la Igualdad de las Personas LGBTIQ+ 2026-2030. Estas deben incluir una evaluación anual llevada a cabo en consulta con la sociedad civil organizada, financiación específica destinada a la formación de profesionales y a las organizaciones de igualdad, e iniciativas de educación y sensibilización pública apoyadas por la UE, que son fundamentales para detectar y erradicar estas prácticas.</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468"/>
      </w:tblGrid>
      <w:tr w:rsidR="00943240" w:rsidRPr="00943240" w14:paraId="4E107AFC" w14:textId="77777777" w:rsidTr="00016D49">
        <w:tc>
          <w:tcPr>
            <w:tcW w:w="2235"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Contacto:</w:t>
            </w:r>
          </w:p>
        </w:tc>
        <w:tc>
          <w:tcPr>
            <w:tcW w:w="3468"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r>
              <w:rPr>
                <w:i/>
              </w:rPr>
              <w:t>Bartek BEDNAROWICZ</w:t>
            </w:r>
          </w:p>
        </w:tc>
      </w:tr>
      <w:tr w:rsidR="00943240" w:rsidRPr="00943240" w14:paraId="7B668718" w14:textId="77777777" w:rsidTr="00016D49">
        <w:tc>
          <w:tcPr>
            <w:tcW w:w="2235"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Teléfono:</w:t>
            </w:r>
          </w:p>
        </w:tc>
        <w:tc>
          <w:tcPr>
            <w:tcW w:w="3468"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+32 25469229</w:t>
            </w:r>
          </w:p>
        </w:tc>
      </w:tr>
      <w:tr w:rsidR="00943240" w:rsidRPr="00943240" w14:paraId="65C7A403" w14:textId="77777777" w:rsidTr="00016D49">
        <w:tc>
          <w:tcPr>
            <w:tcW w:w="2235"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Correo electrónico:</w:t>
            </w:r>
          </w:p>
        </w:tc>
        <w:tc>
          <w:tcPr>
            <w:tcW w:w="3468" w:type="dxa"/>
          </w:tcPr>
          <w:p w14:paraId="05B7586B" w14:textId="551E0FA6" w:rsidR="00943240" w:rsidRPr="00016D49" w:rsidRDefault="00C76D56" w:rsidP="00943240">
            <w:pPr>
              <w:overflowPunct w:val="0"/>
              <w:autoSpaceDE w:val="0"/>
              <w:autoSpaceDN w:val="0"/>
              <w:adjustRightInd w:val="0"/>
              <w:spacing w:line="240" w:lineRule="auto"/>
              <w:textAlignment w:val="baseline"/>
              <w:rPr>
                <w:i/>
                <w:iCs/>
              </w:rPr>
            </w:pPr>
            <w:hyperlink r:id="rId26" w:history="1">
              <w:r>
                <w:rPr>
                  <w:i/>
                  <w:color w:val="0000FF"/>
                  <w:u w:val="single"/>
                </w:rPr>
                <w:t>Bartek.Bednarowicz@eesc.europa.eu</w:t>
              </w:r>
            </w:hyperlink>
          </w:p>
        </w:tc>
      </w:tr>
    </w:tbl>
    <w:p w14:paraId="49BF2B8A" w14:textId="77777777" w:rsidR="004F74E4" w:rsidRDefault="004F74E4">
      <w:pPr>
        <w:spacing w:after="160" w:line="259" w:lineRule="auto"/>
        <w:jc w:val="left"/>
      </w:pPr>
      <w:r>
        <w:br w:type="page"/>
      </w:r>
    </w:p>
    <w:p w14:paraId="37568C0D" w14:textId="72BF17AE" w:rsidR="00354B98" w:rsidRPr="00354B98" w:rsidRDefault="00C76D56"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rPr>
      </w:pPr>
      <w:hyperlink r:id="rId27" w:history="1">
        <w:r>
          <w:rPr>
            <w:b/>
            <w:i/>
            <w:color w:val="0000FF"/>
            <w:sz w:val="28"/>
            <w:u w:val="single"/>
          </w:rPr>
          <w:t>Unión de la Igualdad: Estrategia para la Igualdad de las Personas LGTBIQ+ 2026-2030</w:t>
        </w:r>
      </w:hyperlink>
    </w:p>
    <w:p w14:paraId="0E47B1B5" w14:textId="2D9E1616" w:rsidR="00354B98" w:rsidRPr="00016D49" w:rsidRDefault="00354B98" w:rsidP="004C6742">
      <w:pPr>
        <w:widowControl w:val="0"/>
        <w:overflowPunct w:val="0"/>
        <w:autoSpaceDE w:val="0"/>
        <w:autoSpaceDN w:val="0"/>
        <w:adjustRightInd w:val="0"/>
        <w:jc w:val="left"/>
        <w:textAlignment w:val="baseline"/>
        <w:rPr>
          <w:b/>
          <w:bCs/>
          <w:i/>
          <w:iCs/>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54"/>
      </w:tblGrid>
      <w:tr w:rsidR="00354B98" w:rsidRPr="00354B98" w14:paraId="5A523F39" w14:textId="77777777" w:rsidTr="00016D49">
        <w:tc>
          <w:tcPr>
            <w:tcW w:w="1701"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Ponente</w:t>
            </w:r>
          </w:p>
        </w:tc>
        <w:tc>
          <w:tcPr>
            <w:tcW w:w="7054"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(Grupo de Organizaciones de la Sociedad Civil – DK)</w:t>
            </w:r>
          </w:p>
        </w:tc>
      </w:tr>
      <w:tr w:rsidR="00354B98" w:rsidRPr="00354B98" w14:paraId="4E110D3A" w14:textId="77777777" w:rsidTr="00016D49">
        <w:tc>
          <w:tcPr>
            <w:tcW w:w="8755"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016D49">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Referencias </w:t>
            </w:r>
          </w:p>
        </w:tc>
        <w:tc>
          <w:tcPr>
            <w:tcW w:w="7054"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r>
              <w:t>COM(2025) 725 final</w:t>
            </w:r>
          </w:p>
        </w:tc>
      </w:tr>
      <w:tr w:rsidR="00354B98" w:rsidRPr="00354B98" w14:paraId="1CC90C32" w14:textId="77777777" w:rsidTr="00016D49">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7054"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Puntos clave</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El CESE:</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acoge con satisfacción la nueva Estrategia para la Igualdad de las Personas LGBTIQ+ 2026-2030, al tiempo que pide una acción más firme, ya que la discriminación, la violencia, el acoso y la exclusión persistentes, que afectan especialmente a las personas trans, no binarias e intersexuales, requieren medidas políticas más sólidas; </w:t>
      </w:r>
    </w:p>
    <w:p w14:paraId="6D5257E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exige una aplicación y una rendición de cuentas más estrictas mediante parámetros de referencia vinculantes, procedimientos de infracción sistemáticos, condicionalidad del Estado de Derecho y aplicación de las estrategias nacionales para las personas LGBTIQ+;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pide que se adopten medidas decisivas para proteger los derechos fundamentales y el espacio cívico contrarrestando la actual involución en esos ámbitos, la desinformación y la incitación al odio, y garantizando un apoyo sostenido a la sociedad civil;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insta a la plena igualdad en la vida cotidiana garantizando un acceso inclusivo a la asistencia sanitaria, la educación y el empleo mediante el refuerzo de la inclusión en el lugar de trabajo;</w:t>
      </w:r>
    </w:p>
    <w:p w14:paraId="0449885B"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pide a la Comisión Europea que presente una propuesta de prohibición jurídicamente vinculante de las prácticas de conversión en la UE, que abarque tanto la realización como la publicidad de dichas actividades, mediante la inclusión de las prácticas de conversión en la lista de «eurodelitos», y que las reconozca como delitos de odio, a fin de garantizar un nivel uniforme de protección en toda la UE;</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pide que se aborden las desigualdades estructurales mediante la integración de la igualdad de las personas LGBTIQ+ en las políticas de inclusión social, vivienda y lucha contra la pobreza, con un apoyo específico a quienes sufran discriminación interseccional;</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exige marcos con perspectivas de futuro y basados en derechos que colmen las lagunas jurídicas, garanticen el reconocimiento de la autodeterminación de género, refuercen el acceso a la justicia, garanticen una financiación adecuada para las organizaciones de la sociedad civil, mejoren los datos interseccionales y salvaguarden la igualdad en las tecnologías digitales y la IA.</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354B98" w:rsidRPr="00354B98" w14:paraId="3184797F" w14:textId="77777777" w:rsidTr="00016D49">
        <w:tc>
          <w:tcPr>
            <w:tcW w:w="2235" w:type="dxa"/>
          </w:tcPr>
          <w:p w14:paraId="2A28D240" w14:textId="77777777" w:rsidR="00354B98" w:rsidRPr="00354B98" w:rsidRDefault="00354B98" w:rsidP="00354B98">
            <w:pPr>
              <w:overflowPunct w:val="0"/>
              <w:autoSpaceDE w:val="0"/>
              <w:autoSpaceDN w:val="0"/>
              <w:adjustRightInd w:val="0"/>
              <w:spacing w:line="240" w:lineRule="auto"/>
              <w:textAlignment w:val="baseline"/>
              <w:rPr>
                <w:i/>
              </w:rPr>
            </w:pPr>
            <w:r>
              <w:rPr>
                <w:b/>
                <w:i/>
              </w:rPr>
              <w:t>Contacto:</w:t>
            </w:r>
          </w:p>
        </w:tc>
        <w:tc>
          <w:tcPr>
            <w:tcW w:w="4853"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r>
              <w:rPr>
                <w:i/>
              </w:rPr>
              <w:t>Bartek BEDNAROWICZ</w:t>
            </w:r>
          </w:p>
        </w:tc>
      </w:tr>
      <w:tr w:rsidR="00354B98" w:rsidRPr="00354B98" w14:paraId="0E1F3D07" w14:textId="77777777" w:rsidTr="00016D49">
        <w:tc>
          <w:tcPr>
            <w:tcW w:w="2235"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Teléfono:</w:t>
            </w:r>
          </w:p>
        </w:tc>
        <w:tc>
          <w:tcPr>
            <w:tcW w:w="4853"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+32 25469229</w:t>
            </w:r>
          </w:p>
        </w:tc>
      </w:tr>
      <w:tr w:rsidR="00354B98" w:rsidRPr="00354B98" w14:paraId="07F9D924" w14:textId="77777777" w:rsidTr="00016D49">
        <w:tc>
          <w:tcPr>
            <w:tcW w:w="2235"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Correo electrónico:</w:t>
            </w:r>
          </w:p>
        </w:tc>
        <w:tc>
          <w:tcPr>
            <w:tcW w:w="4853" w:type="dxa"/>
          </w:tcPr>
          <w:p w14:paraId="25F375C5" w14:textId="15CF1C2D" w:rsidR="00354B98" w:rsidRPr="00354B98" w:rsidRDefault="00C76D56" w:rsidP="00354B98">
            <w:pPr>
              <w:overflowPunct w:val="0"/>
              <w:autoSpaceDE w:val="0"/>
              <w:autoSpaceDN w:val="0"/>
              <w:adjustRightInd w:val="0"/>
              <w:spacing w:line="240" w:lineRule="auto"/>
              <w:textAlignment w:val="baseline"/>
              <w:rPr>
                <w:i/>
                <w:iCs/>
              </w:rPr>
            </w:pPr>
            <w:hyperlink r:id="rId28" w:history="1">
              <w:r>
                <w:rPr>
                  <w:i/>
                  <w:color w:val="0000FF"/>
                  <w:u w:val="single"/>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42F1AF4B" w:rsidR="005D43B9" w:rsidRPr="005D43B9" w:rsidRDefault="00C76D56"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Pr>
            <w:b/>
            <w:i/>
            <w:color w:val="0000FF"/>
            <w:sz w:val="28"/>
            <w:u w:val="single"/>
          </w:rPr>
          <w:t>Competitividad y emprendimiento juvenil en la UE</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12"/>
      </w:tblGrid>
      <w:tr w:rsidR="005D43B9" w:rsidRPr="005D43B9" w14:paraId="2FF33FAA" w14:textId="77777777" w:rsidTr="00016D49">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Ponente</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912"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Giuseppe GUERINI (Grupo de Organizaciones de la Sociedad Civil – IT)</w:t>
            </w:r>
          </w:p>
        </w:tc>
      </w:tr>
      <w:tr w:rsidR="005D43B9" w:rsidRPr="005D43B9" w14:paraId="118E6E00" w14:textId="77777777" w:rsidTr="00016D49">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Referencia</w:t>
            </w:r>
          </w:p>
        </w:tc>
        <w:tc>
          <w:tcPr>
            <w:tcW w:w="6912" w:type="dxa"/>
          </w:tcPr>
          <w:p w14:paraId="2EF0047D" w14:textId="66FB81B3" w:rsidR="004A4B18" w:rsidRDefault="005E01B5" w:rsidP="005D43B9">
            <w:pPr>
              <w:tabs>
                <w:tab w:val="center" w:pos="284"/>
              </w:tabs>
              <w:overflowPunct w:val="0"/>
              <w:autoSpaceDE w:val="0"/>
              <w:autoSpaceDN w:val="0"/>
              <w:adjustRightInd w:val="0"/>
              <w:spacing w:line="240" w:lineRule="auto"/>
              <w:ind w:left="567" w:hanging="567"/>
              <w:textAlignment w:val="baseline"/>
            </w:pPr>
            <w:r>
              <w:t>Dictamen exploratorio solicitado por la Presidencia chipriota del Consejo de la UE</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r>
              <w:t>EESC-2025-04305-00-00-AC</w:t>
            </w:r>
          </w:p>
        </w:tc>
      </w:tr>
      <w:tr w:rsidR="005D43B9" w:rsidRPr="005D43B9" w14:paraId="2A0968A0" w14:textId="77777777" w:rsidTr="00016D49">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912"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Puntos clave</w:t>
      </w:r>
    </w:p>
    <w:p w14:paraId="79AD68CC" w14:textId="77777777" w:rsidR="005D43B9" w:rsidRPr="005D43B9" w:rsidRDefault="005D43B9" w:rsidP="005D43B9">
      <w:pPr>
        <w:spacing w:before="100" w:beforeAutospacing="1" w:after="100" w:afterAutospacing="1" w:line="240" w:lineRule="auto"/>
        <w:rPr>
          <w:sz w:val="24"/>
          <w:szCs w:val="24"/>
        </w:rPr>
      </w:pPr>
      <w:r>
        <w:rPr>
          <w:sz w:val="24"/>
        </w:rPr>
        <w:t>El CESE:</w:t>
      </w:r>
    </w:p>
    <w:p w14:paraId="0C9A4C8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solicita una estrategia exhaustiva y coordinada de la UE y de los Estados miembros que ofrezca un paquete integrado de apoyo a jóvenes emprendedores y combine financiación accesible, formación a medida, servicios de tutoría y orientación, programas de incubación de empresas y unos ecosistemas locales sólidos que maximicen la creación de empresas y la sostenibilidad;</w:t>
      </w:r>
      <w:bookmarkEnd w:id="10"/>
    </w:p>
    <w:p w14:paraId="1676989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pide un cambio radical en el acceso a la financiación, con la expansión de instrumentos de financiación adaptados a la juventud más allá de los créditos bancarios tradicionales, por ejemplo de microfinanciación, capitalización alternativa y apoyo específico a las empresas de la economía social y a otros modelos orientados al impacto social;</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insta a la simplificación decisiva de los marcos administrativos y normativos a escala local, nacional y de la UE para reducir la burocracia, disminuir los costes de cumplimiento y crear un entorno estable y favorable al emprendimiento de jóvenes emprendedores;</w:t>
      </w:r>
      <w:bookmarkEnd w:id="12"/>
    </w:p>
    <w:p w14:paraId="6B1C43BE"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recomienda integrar la educación empresarial, la alfabetización financiera y la mentalidad emprendedora en todos los sistemas de educación y formación, en particular en los itinerarios profesionales y duales, y reforzar las capacidades digitales y las competencias avanzadas —también en el uso de la inteligencia artificial—, a fin de preparar a la juventud para los mercados futuros;</w:t>
      </w:r>
      <w:bookmarkEnd w:id="13"/>
    </w:p>
    <w:p w14:paraId="365FBE52"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pide ecosistemas de apoyo más sólidos, con iniciativas de tutoría y patrocinio, oportunidades de creación de redes y ayudas a la internacionalización, así como programas de movilidad y acceso a los mercados transfronterizos, reforzando así la innovación, la escalabilidad y la competitividad;</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insta a que se adopten políticas de emprendimiento inclusivas y sostenibles que colmen las lagunas de los grupos infrarrepresentados, promuevan una cultura del derecho a una segunda oportunidad, garanticen una protección social adecuada y posicionen el emprendimiento juvenil como una vía voluntaria pero estratégica para lograr unos mercados laborales resilientes y una competitividad europea a largo plazo.</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5D43B9" w:rsidRDefault="005D43B9" w:rsidP="005D43B9">
            <w:pPr>
              <w:overflowPunct w:val="0"/>
              <w:autoSpaceDE w:val="0"/>
              <w:autoSpaceDN w:val="0"/>
              <w:adjustRightInd w:val="0"/>
              <w:textAlignment w:val="baseline"/>
              <w:rPr>
                <w:i/>
                <w:iCs/>
              </w:rPr>
            </w:pPr>
            <w:r>
              <w:rPr>
                <w:i/>
              </w:rPr>
              <w:t>Contacto:</w:t>
            </w:r>
          </w:p>
        </w:tc>
        <w:tc>
          <w:tcPr>
            <w:tcW w:w="7371" w:type="dxa"/>
          </w:tcPr>
          <w:p w14:paraId="756B92DB" w14:textId="77777777" w:rsidR="005D43B9" w:rsidRPr="005D43B9" w:rsidRDefault="005D43B9" w:rsidP="005D43B9">
            <w:pPr>
              <w:overflowPunct w:val="0"/>
              <w:autoSpaceDE w:val="0"/>
              <w:autoSpaceDN w:val="0"/>
              <w:adjustRightInd w:val="0"/>
              <w:textAlignment w:val="baseline"/>
              <w:rPr>
                <w:i/>
                <w:iCs/>
              </w:rPr>
            </w:pPr>
            <w:r>
              <w:rPr>
                <w:i/>
              </w:rPr>
              <w:t>Bartek BEDNAROWICZ</w:t>
            </w:r>
          </w:p>
        </w:tc>
      </w:tr>
      <w:tr w:rsidR="005D43B9" w:rsidRPr="005D43B9" w14:paraId="11B3891D" w14:textId="77777777" w:rsidTr="002E7EFB">
        <w:tc>
          <w:tcPr>
            <w:tcW w:w="2263"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Teléfono:</w:t>
            </w:r>
          </w:p>
        </w:tc>
        <w:tc>
          <w:tcPr>
            <w:tcW w:w="7371" w:type="dxa"/>
          </w:tcPr>
          <w:p w14:paraId="346E976A" w14:textId="77777777" w:rsidR="005D43B9" w:rsidRPr="005D43B9" w:rsidRDefault="005D43B9" w:rsidP="005D43B9">
            <w:pPr>
              <w:overflowPunct w:val="0"/>
              <w:autoSpaceDE w:val="0"/>
              <w:autoSpaceDN w:val="0"/>
              <w:adjustRightInd w:val="0"/>
              <w:textAlignment w:val="baseline"/>
              <w:rPr>
                <w:i/>
                <w:iCs/>
              </w:rPr>
            </w:pPr>
            <w:r>
              <w:rPr>
                <w:i/>
              </w:rPr>
              <w:t>+32 25469229</w:t>
            </w:r>
          </w:p>
        </w:tc>
      </w:tr>
      <w:tr w:rsidR="005D43B9" w:rsidRPr="005D43B9" w14:paraId="74A431CF" w14:textId="77777777" w:rsidTr="002E7EFB">
        <w:tc>
          <w:tcPr>
            <w:tcW w:w="2263" w:type="dxa"/>
          </w:tcPr>
          <w:p w14:paraId="2F9FDB94" w14:textId="77777777" w:rsidR="005D43B9" w:rsidRPr="005D43B9" w:rsidRDefault="005D43B9" w:rsidP="005D43B9">
            <w:pPr>
              <w:overflowPunct w:val="0"/>
              <w:autoSpaceDE w:val="0"/>
              <w:autoSpaceDN w:val="0"/>
              <w:adjustRightInd w:val="0"/>
              <w:textAlignment w:val="baseline"/>
              <w:rPr>
                <w:i/>
                <w:iCs/>
              </w:rPr>
            </w:pPr>
            <w:r>
              <w:rPr>
                <w:i/>
              </w:rPr>
              <w:t>Correo electrónico:</w:t>
            </w:r>
          </w:p>
        </w:tc>
        <w:tc>
          <w:tcPr>
            <w:tcW w:w="7371" w:type="dxa"/>
          </w:tcPr>
          <w:p w14:paraId="22B77F87" w14:textId="159FFAA0" w:rsidR="005D43B9" w:rsidRPr="005D43B9" w:rsidRDefault="00C76D56" w:rsidP="005D43B9">
            <w:pPr>
              <w:overflowPunct w:val="0"/>
              <w:autoSpaceDE w:val="0"/>
              <w:autoSpaceDN w:val="0"/>
              <w:adjustRightInd w:val="0"/>
              <w:textAlignment w:val="baseline"/>
              <w:rPr>
                <w:i/>
                <w:iCs/>
              </w:rPr>
            </w:pPr>
            <w:hyperlink r:id="rId30" w:history="1">
              <w:r>
                <w:rPr>
                  <w:i/>
                  <w:color w:val="0000FF"/>
                  <w:u w:val="single"/>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0429F5F1" w:rsidR="001A42F8" w:rsidRPr="001A42F8" w:rsidRDefault="00C76D56"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Pr>
            <w:b/>
            <w:i/>
            <w:color w:val="0000FF"/>
            <w:sz w:val="28"/>
            <w:u w:val="single"/>
          </w:rPr>
          <w:t>Estrategia de la UE sobre Drogas</w:t>
        </w:r>
      </w:hyperlink>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1A42F8" w14:paraId="662136A7" w14:textId="77777777" w:rsidTr="004C6742">
        <w:tc>
          <w:tcPr>
            <w:tcW w:w="1701" w:type="dxa"/>
          </w:tcPr>
          <w:p w14:paraId="639EA8AB" w14:textId="77777777" w:rsidR="001A42F8" w:rsidRPr="00016D49" w:rsidRDefault="001A42F8" w:rsidP="001A42F8">
            <w:pPr>
              <w:tabs>
                <w:tab w:val="center" w:pos="284"/>
              </w:tabs>
              <w:overflowPunct w:val="0"/>
              <w:autoSpaceDE w:val="0"/>
              <w:autoSpaceDN w:val="0"/>
              <w:adjustRightInd w:val="0"/>
              <w:ind w:left="567" w:hanging="567"/>
              <w:textAlignment w:val="baseline"/>
              <w:rPr>
                <w:b/>
                <w:sz w:val="22"/>
                <w:szCs w:val="22"/>
              </w:rPr>
            </w:pPr>
          </w:p>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Ponente</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4074A82C" w14:textId="77777777" w:rsidR="001A42F8" w:rsidRPr="001A42F8" w:rsidRDefault="001A42F8" w:rsidP="004C6742">
            <w:pPr>
              <w:overflowPunct w:val="0"/>
              <w:autoSpaceDE w:val="0"/>
              <w:autoSpaceDN w:val="0"/>
              <w:adjustRightInd w:val="0"/>
              <w:ind w:left="567" w:hanging="567"/>
              <w:jc w:val="left"/>
              <w:textAlignment w:val="baseline"/>
            </w:pPr>
          </w:p>
          <w:p w14:paraId="56646FC8" w14:textId="63FDEAFD" w:rsidR="001A42F8" w:rsidRPr="001A42F8" w:rsidRDefault="001A42F8" w:rsidP="001A42F8">
            <w:pPr>
              <w:overflowPunct w:val="0"/>
              <w:autoSpaceDE w:val="0"/>
              <w:autoSpaceDN w:val="0"/>
              <w:adjustRightInd w:val="0"/>
              <w:ind w:left="567" w:hanging="567"/>
              <w:textAlignment w:val="baseline"/>
            </w:pPr>
            <w:r>
              <w:t>Diego DUTTO (Grupo de Organizaciones de la Sociedad Civil – IT)</w:t>
            </w:r>
          </w:p>
        </w:tc>
      </w:tr>
      <w:tr w:rsidR="001A42F8" w:rsidRPr="001A42F8" w14:paraId="090EED85" w14:textId="77777777" w:rsidTr="004C6742">
        <w:tc>
          <w:tcPr>
            <w:tcW w:w="1701"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Referencias</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r>
              <w:t>COM(2025)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pPr>
            <w:r>
              <w:t>COM(2025 744 final</w:t>
            </w:r>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r>
              <w:t>EESC-2026-00238-00-00-AC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55C710FF" w14:textId="00AF6832" w:rsidR="001A42F8" w:rsidRPr="00016D49" w:rsidRDefault="001A42F8" w:rsidP="00016D49">
      <w:pPr>
        <w:keepNext/>
        <w:keepLines/>
        <w:tabs>
          <w:tab w:val="center" w:pos="284"/>
        </w:tabs>
        <w:overflowPunct w:val="0"/>
        <w:autoSpaceDE w:val="0"/>
        <w:autoSpaceDN w:val="0"/>
        <w:adjustRightInd w:val="0"/>
        <w:ind w:left="266" w:hanging="266"/>
        <w:textAlignment w:val="baseline"/>
        <w:rPr>
          <w:b/>
        </w:rPr>
      </w:pPr>
      <w:r>
        <w:rPr>
          <w:b/>
        </w:rPr>
        <w:t>Puntos clave</w:t>
      </w:r>
    </w:p>
    <w:p w14:paraId="5429D755" w14:textId="643D02EE" w:rsidR="001A42F8" w:rsidRPr="00016D49" w:rsidRDefault="001A42F8" w:rsidP="00016D49">
      <w:pPr>
        <w:spacing w:before="100" w:beforeAutospacing="1" w:after="100" w:afterAutospacing="1" w:line="240" w:lineRule="auto"/>
      </w:pPr>
      <w:r>
        <w:rPr>
          <w:b/>
        </w:rPr>
        <w:t>El CESE:</w:t>
      </w:r>
    </w:p>
    <w:p w14:paraId="6436B95C"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subraya que la eficacia de la Estrategia de la UE dependerá de su capacidad para anticipar las tendencias. Recomienda que la Comisión vaya más allá de los indicadores reactivos (incautaciones de drogas y muertes) y prevea un apoyo estructural y obligatorio a sistemas de seguimiento normalizados.</w:t>
      </w:r>
    </w:p>
    <w:p w14:paraId="2271E454"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observa con preocupación que la Estrategia tiende a centrarse en las sustancias ilegales tradicionales. Las personas jóvenes se están decantando por el uso no contemplado de drogas legales. El CESE recomienda que se introduzcan directrices de la UE para el seguimiento de la prescripción de medicamentos y que se pongan en marcha campañas específicas de concienciación sobre el riesgo de adicción a las sustancias psicoactivas legales.</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recomienda que se haga un seguimiento riguroso de la prevalencia de los analgésicos opioides. Debe hacerse más por evitar que una parte de la sociedad, que no parece estar en riesgo, se convierta en adicta a estas sustancias, obtenidas a través de canales legales.</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señala que deben desarrollarse protocolos de intervención temprana de la UE para apoyar a los servicios sociales y sanitarios en la detección de nuevas adicciones en las fases iniciales del consumo;</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recomienda establecer indicadores clave de resultados específicos para evaluar la eficacia de las políticas de prevención, que midan el éxito no solo en términos de incautaciones de drogas, sino también en relación con la reducción de nuevos casos de adicción y la eficacia de las vías de reinserción;</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reitera que la lucha contra el narcotráfico no puede separarse de una sólida política de salud pública;</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señala que el plan de acción se centra casi exclusivamente en la protección de las infraestructuras físicas (puertos, centros logísticos) y digitales, sin tener en cuenta la dimensión comunitaria;</w:t>
      </w:r>
    </w:p>
    <w:p w14:paraId="1DC9D9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señala asimismo que el plan de acción no ofrece orientaciones suficientes a los Estados miembros sobre las políticas públicas necesarias para reducir la proliferación del consumo de drogas.</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468"/>
      </w:tblGrid>
      <w:tr w:rsidR="001A42F8" w:rsidRPr="001A42F8" w14:paraId="6F6F0875" w14:textId="77777777" w:rsidTr="00016D49">
        <w:tc>
          <w:tcPr>
            <w:tcW w:w="2235"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Pr>
                <w:b/>
                <w:i/>
              </w:rPr>
              <w:t>Contacto:</w:t>
            </w:r>
          </w:p>
        </w:tc>
        <w:tc>
          <w:tcPr>
            <w:tcW w:w="3468" w:type="dxa"/>
          </w:tcPr>
          <w:p w14:paraId="51601E16" w14:textId="77777777" w:rsidR="001A42F8" w:rsidRPr="001A42F8" w:rsidRDefault="001A42F8" w:rsidP="001A42F8">
            <w:pPr>
              <w:overflowPunct w:val="0"/>
              <w:autoSpaceDE w:val="0"/>
              <w:autoSpaceDN w:val="0"/>
              <w:adjustRightInd w:val="0"/>
              <w:spacing w:line="240" w:lineRule="auto"/>
              <w:ind w:hanging="12"/>
              <w:textAlignment w:val="baseline"/>
              <w:rPr>
                <w:i/>
              </w:rPr>
            </w:pPr>
            <w:r>
              <w:rPr>
                <w:i/>
              </w:rPr>
              <w:t>Gemma AMRAN</w:t>
            </w:r>
          </w:p>
        </w:tc>
      </w:tr>
      <w:tr w:rsidR="001A42F8" w:rsidRPr="001A42F8" w14:paraId="6CBEA581" w14:textId="77777777" w:rsidTr="00016D49">
        <w:tc>
          <w:tcPr>
            <w:tcW w:w="2235"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Pr>
                <w:i/>
              </w:rPr>
              <w:t>Teléfono:</w:t>
            </w:r>
          </w:p>
        </w:tc>
        <w:tc>
          <w:tcPr>
            <w:tcW w:w="3468"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Pr>
                <w:i/>
              </w:rPr>
              <w:t>+32 25469</w:t>
            </w:r>
            <w:r>
              <w:t>415</w:t>
            </w:r>
          </w:p>
        </w:tc>
      </w:tr>
      <w:tr w:rsidR="001A42F8" w:rsidRPr="001A42F8" w14:paraId="0CEF3057" w14:textId="77777777" w:rsidTr="00016D49">
        <w:tc>
          <w:tcPr>
            <w:tcW w:w="2235"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Pr>
                <w:i/>
              </w:rPr>
              <w:t>Correo electrónico:</w:t>
            </w:r>
          </w:p>
        </w:tc>
        <w:tc>
          <w:tcPr>
            <w:tcW w:w="3468" w:type="dxa"/>
          </w:tcPr>
          <w:p w14:paraId="7CF2E2AE" w14:textId="44EFC4B9" w:rsidR="001A42F8" w:rsidRPr="001A42F8" w:rsidRDefault="00C76D56" w:rsidP="001A42F8">
            <w:pPr>
              <w:overflowPunct w:val="0"/>
              <w:autoSpaceDE w:val="0"/>
              <w:autoSpaceDN w:val="0"/>
              <w:adjustRightInd w:val="0"/>
              <w:spacing w:line="240" w:lineRule="auto"/>
              <w:textAlignment w:val="baseline"/>
              <w:rPr>
                <w:i/>
                <w:iCs/>
              </w:rPr>
            </w:pPr>
            <w:hyperlink r:id="rId32" w:history="1">
              <w:r>
                <w:rPr>
                  <w:i/>
                  <w:color w:val="0000FF"/>
                  <w:u w:val="single"/>
                </w:rPr>
                <w:t>Gemma.Amran@eesc.europa.eu</w:t>
              </w:r>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5F144336" w:rsidR="00C53E67" w:rsidRPr="00C53E67" w:rsidRDefault="00A067F3" w:rsidP="004C6742">
      <w:pPr>
        <w:widowControl w:val="0"/>
        <w:numPr>
          <w:ilvl w:val="0"/>
          <w:numId w:val="4"/>
        </w:numPr>
        <w:overflowPunct w:val="0"/>
        <w:autoSpaceDE w:val="0"/>
        <w:autoSpaceDN w:val="0"/>
        <w:adjustRightInd w:val="0"/>
        <w:ind w:hanging="567"/>
        <w:textAlignment w:val="baseline"/>
        <w:rPr>
          <w:b/>
        </w:rPr>
      </w:pPr>
      <w:hyperlink r:id="rId33" w:history="1">
        <w:r>
          <w:rPr>
            <w:b/>
            <w:i/>
            <w:color w:val="0000FF"/>
            <w:sz w:val="28"/>
            <w:u w:val="single"/>
          </w:rPr>
          <w:t>Una Brújula de la Cultura para Europa</w:t>
        </w:r>
      </w:hyperlink>
    </w:p>
    <w:p w14:paraId="4A204B30" w14:textId="77777777" w:rsidR="001D292C" w:rsidRPr="00016D49" w:rsidRDefault="001D292C" w:rsidP="00C53E67">
      <w:pPr>
        <w:widowControl w:val="0"/>
        <w:overflowPunct w:val="0"/>
        <w:autoSpaceDE w:val="0"/>
        <w:autoSpaceDN w:val="0"/>
        <w:adjustRightInd w:val="0"/>
        <w:ind w:left="266"/>
        <w:textAlignment w:val="baseline"/>
        <w:rPr>
          <w:b/>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C53E67" w:rsidRPr="00C53E67" w14:paraId="2091F211" w14:textId="77777777" w:rsidTr="002E7EFB">
        <w:tc>
          <w:tcPr>
            <w:tcW w:w="1321" w:type="pct"/>
          </w:tcPr>
          <w:p w14:paraId="10C92D44" w14:textId="77777777" w:rsidR="00C53E67" w:rsidRPr="00C53E67" w:rsidRDefault="00C53E67" w:rsidP="00C53E67">
            <w:pPr>
              <w:overflowPunct w:val="0"/>
              <w:autoSpaceDE w:val="0"/>
              <w:autoSpaceDN w:val="0"/>
              <w:adjustRightInd w:val="0"/>
              <w:ind w:left="-113"/>
              <w:textAlignment w:val="baseline"/>
              <w:rPr>
                <w:b/>
              </w:rPr>
            </w:pPr>
            <w:r>
              <w:rPr>
                <w:b/>
              </w:rPr>
              <w:t xml:space="preserve">Ponente </w:t>
            </w:r>
          </w:p>
        </w:tc>
        <w:tc>
          <w:tcPr>
            <w:tcW w:w="3679" w:type="pct"/>
          </w:tcPr>
          <w:p w14:paraId="10DA44E6" w14:textId="77777777" w:rsidR="00C53E67" w:rsidRPr="00C53E67" w:rsidRDefault="00C53E67" w:rsidP="00C53E67">
            <w:pPr>
              <w:overflowPunct w:val="0"/>
              <w:autoSpaceDE w:val="0"/>
              <w:autoSpaceDN w:val="0"/>
              <w:adjustRightInd w:val="0"/>
              <w:ind w:left="-113"/>
              <w:textAlignment w:val="baseline"/>
            </w:pPr>
            <w:r>
              <w:t>Luca JAHIER (Grupo de Organizaciones de la Sociedad Civil – IT)</w:t>
            </w:r>
          </w:p>
        </w:tc>
      </w:tr>
      <w:tr w:rsidR="00C53E67" w:rsidRPr="00C53E67" w14:paraId="12DAA263" w14:textId="77777777" w:rsidTr="002E7EFB">
        <w:tc>
          <w:tcPr>
            <w:tcW w:w="5000" w:type="pct"/>
            <w:gridSpan w:val="2"/>
          </w:tcPr>
          <w:p w14:paraId="1A0026BB" w14:textId="77777777" w:rsidR="00C53E67" w:rsidRPr="00C53E67" w:rsidRDefault="00C53E67" w:rsidP="00C53E67">
            <w:pPr>
              <w:overflowPunct w:val="0"/>
              <w:autoSpaceDE w:val="0"/>
              <w:autoSpaceDN w:val="0"/>
              <w:adjustRightInd w:val="0"/>
              <w:spacing w:line="160" w:lineRule="exact"/>
              <w:ind w:left="-113"/>
              <w:textAlignment w:val="baseline"/>
              <w:rPr>
                <w:sz w:val="14"/>
                <w:szCs w:val="14"/>
              </w:rPr>
            </w:pPr>
          </w:p>
        </w:tc>
      </w:tr>
      <w:tr w:rsidR="00C53E67" w:rsidRPr="00C53E67" w14:paraId="1917B1A6" w14:textId="77777777" w:rsidTr="002E7EFB">
        <w:tc>
          <w:tcPr>
            <w:tcW w:w="1321" w:type="pct"/>
          </w:tcPr>
          <w:p w14:paraId="68946A42" w14:textId="77777777" w:rsidR="00C53E67" w:rsidRPr="00C53E67" w:rsidRDefault="00C53E67" w:rsidP="00C53E67">
            <w:pPr>
              <w:overflowPunct w:val="0"/>
              <w:autoSpaceDE w:val="0"/>
              <w:autoSpaceDN w:val="0"/>
              <w:adjustRightInd w:val="0"/>
              <w:ind w:left="-113"/>
              <w:textAlignment w:val="baseline"/>
              <w:rPr>
                <w:b/>
              </w:rPr>
            </w:pPr>
            <w:r>
              <w:rPr>
                <w:b/>
              </w:rPr>
              <w:t>Referencias</w:t>
            </w:r>
          </w:p>
        </w:tc>
        <w:tc>
          <w:tcPr>
            <w:tcW w:w="3679" w:type="pct"/>
          </w:tcPr>
          <w:p w14:paraId="3649F935" w14:textId="5EC0AA86" w:rsidR="00DE1BF7" w:rsidRDefault="00DE1BF7" w:rsidP="00C53E67">
            <w:pPr>
              <w:overflowPunct w:val="0"/>
              <w:autoSpaceDE w:val="0"/>
              <w:autoSpaceDN w:val="0"/>
              <w:adjustRightInd w:val="0"/>
              <w:ind w:left="-113"/>
              <w:textAlignment w:val="baseline"/>
            </w:pPr>
            <w:r>
              <w:t>COM(2025) 785 final</w:t>
            </w:r>
          </w:p>
          <w:p w14:paraId="72ADC23E" w14:textId="431F11BB" w:rsidR="00DE1BF7" w:rsidRDefault="00DE1BF7" w:rsidP="00C53E67">
            <w:pPr>
              <w:overflowPunct w:val="0"/>
              <w:autoSpaceDE w:val="0"/>
              <w:autoSpaceDN w:val="0"/>
              <w:adjustRightInd w:val="0"/>
              <w:ind w:left="-113"/>
              <w:textAlignment w:val="baseline"/>
            </w:pPr>
            <w:r>
              <w:t>COM(2025) 786 final</w:t>
            </w:r>
          </w:p>
          <w:p w14:paraId="20BD4BF5" w14:textId="0E4CE06A" w:rsidR="00C53E67" w:rsidRPr="00C53E67" w:rsidRDefault="00C53E67" w:rsidP="00C53E67">
            <w:pPr>
              <w:overflowPunct w:val="0"/>
              <w:autoSpaceDE w:val="0"/>
              <w:autoSpaceDN w:val="0"/>
              <w:adjustRightInd w:val="0"/>
              <w:ind w:left="-113"/>
              <w:textAlignment w:val="baseline"/>
            </w:pPr>
            <w:r>
              <w:t>EESC-2025-04241-00-00-AC</w:t>
            </w:r>
          </w:p>
        </w:tc>
      </w:tr>
    </w:tbl>
    <w:p w14:paraId="3D06F742" w14:textId="77777777" w:rsidR="00C53E67" w:rsidRPr="00016D49" w:rsidRDefault="00C53E67" w:rsidP="00C53E67">
      <w:pPr>
        <w:keepNext/>
        <w:keepLines/>
        <w:tabs>
          <w:tab w:val="center" w:pos="284"/>
        </w:tabs>
        <w:overflowPunct w:val="0"/>
        <w:autoSpaceDE w:val="0"/>
        <w:autoSpaceDN w:val="0"/>
        <w:adjustRightInd w:val="0"/>
        <w:ind w:left="266" w:hanging="266"/>
        <w:textAlignment w:val="baseline"/>
        <w:rPr>
          <w:b/>
          <w:lang w:val="en-GB"/>
        </w:rPr>
      </w:pPr>
    </w:p>
    <w:p w14:paraId="4F488388" w14:textId="77777777" w:rsidR="00C53E67" w:rsidRPr="00C53E67" w:rsidRDefault="00C53E67" w:rsidP="00C53E67">
      <w:pPr>
        <w:keepNext/>
        <w:keepLines/>
        <w:tabs>
          <w:tab w:val="center" w:pos="284"/>
        </w:tabs>
        <w:overflowPunct w:val="0"/>
        <w:autoSpaceDE w:val="0"/>
        <w:autoSpaceDN w:val="0"/>
        <w:adjustRightInd w:val="0"/>
        <w:ind w:left="266" w:hanging="266"/>
        <w:textAlignment w:val="baseline"/>
        <w:rPr>
          <w:b/>
        </w:rPr>
      </w:pPr>
      <w:r>
        <w:rPr>
          <w:b/>
        </w:rPr>
        <w:t>Puntos clave</w:t>
      </w:r>
    </w:p>
    <w:p w14:paraId="2BEAC91B" w14:textId="77777777" w:rsidR="00C53E67" w:rsidRPr="00016D49" w:rsidRDefault="00C53E67" w:rsidP="00C53E67">
      <w:pPr>
        <w:keepNext/>
        <w:keepLines/>
        <w:tabs>
          <w:tab w:val="center" w:pos="284"/>
        </w:tabs>
        <w:overflowPunct w:val="0"/>
        <w:autoSpaceDE w:val="0"/>
        <w:autoSpaceDN w:val="0"/>
        <w:adjustRightInd w:val="0"/>
        <w:ind w:left="266" w:hanging="266"/>
        <w:textAlignment w:val="baseline"/>
        <w:rPr>
          <w:b/>
          <w:lang w:val="en-GB"/>
        </w:rPr>
      </w:pPr>
    </w:p>
    <w:p w14:paraId="6931DC56" w14:textId="77777777" w:rsidR="00C53E67" w:rsidRDefault="00C53E67" w:rsidP="00C53E67">
      <w:pPr>
        <w:overflowPunct w:val="0"/>
        <w:autoSpaceDE w:val="0"/>
        <w:autoSpaceDN w:val="0"/>
        <w:adjustRightInd w:val="0"/>
        <w:spacing w:line="240" w:lineRule="auto"/>
        <w:contextualSpacing/>
        <w:textAlignment w:val="baseline"/>
      </w:pPr>
      <w:r>
        <w:t>El CESE:</w:t>
      </w:r>
    </w:p>
    <w:p w14:paraId="1D2968E0" w14:textId="77777777" w:rsidR="00016D49" w:rsidRDefault="00016D49" w:rsidP="00C53E67">
      <w:pPr>
        <w:overflowPunct w:val="0"/>
        <w:autoSpaceDE w:val="0"/>
        <w:autoSpaceDN w:val="0"/>
        <w:adjustRightInd w:val="0"/>
        <w:spacing w:line="240" w:lineRule="auto"/>
        <w:contextualSpacing/>
        <w:textAlignment w:val="baseline"/>
        <w:rPr>
          <w:bCs/>
          <w:iCs/>
        </w:rPr>
      </w:pPr>
    </w:p>
    <w:p w14:paraId="38DEACAE" w14:textId="77777777" w:rsidR="00C53E67" w:rsidRPr="00C53E67" w:rsidRDefault="00C53E67" w:rsidP="004C6742">
      <w:pPr>
        <w:numPr>
          <w:ilvl w:val="0"/>
          <w:numId w:val="27"/>
        </w:numPr>
        <w:overflowPunct w:val="0"/>
        <w:autoSpaceDE w:val="0"/>
        <w:autoSpaceDN w:val="0"/>
        <w:adjustRightInd w:val="0"/>
        <w:spacing w:line="276" w:lineRule="auto"/>
        <w:textAlignment w:val="baseline"/>
      </w:pPr>
      <w:r>
        <w:rPr>
          <w:b/>
        </w:rPr>
        <w:t>apoya plenamente la Brújula de la Cultura para Europa</w:t>
      </w:r>
      <w:r>
        <w:t>, ya que constituye una estrategia transversal oportuna que promueve la cultura y los valores europeos y garantiza un sector cultural floreciente;</w:t>
      </w:r>
    </w:p>
    <w:p w14:paraId="51935618"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hace hincapié en que </w:t>
      </w:r>
      <w:r>
        <w:rPr>
          <w:b/>
        </w:rPr>
        <w:t>la cultura es un vector que permite consolidar la democracia</w:t>
      </w:r>
      <w:r>
        <w:t>, contrarrestar los discursos populistas y autoritarios y fomentar la cohesión social, la preparación y el desarrollo sostenible;</w:t>
      </w:r>
    </w:p>
    <w:p w14:paraId="1C5AAA1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recomienda </w:t>
      </w:r>
      <w:r>
        <w:rPr>
          <w:b/>
        </w:rPr>
        <w:t>desarrollar sinergias</w:t>
      </w:r>
      <w:r>
        <w:t xml:space="preserve"> entre la Brújula de la Cultura y las iniciativas como el Escudo Europeo de la Democracia, en particular en el ámbito digital;</w:t>
      </w:r>
    </w:p>
    <w:p w14:paraId="5D3CFA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subraya la necesidad de contar con una </w:t>
      </w:r>
      <w:r>
        <w:rPr>
          <w:b/>
        </w:rPr>
        <w:t>estrategia específica de IA para los sectores cultural y creativo</w:t>
      </w:r>
      <w:r>
        <w:t>, incluida la protección de la propiedad creativa, el desarrollo de un mercado de concesión de licencias y la elaboración de directrices en el marco del Reglamento de Inteligencia Artificial;</w:t>
      </w:r>
    </w:p>
    <w:p w14:paraId="076C2D8F"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pide un </w:t>
      </w:r>
      <w:r>
        <w:rPr>
          <w:b/>
        </w:rPr>
        <w:t>apoyo financiero sólido y transversal en el futuro MFP 2028-2034</w:t>
      </w:r>
      <w:r>
        <w:t xml:space="preserve"> y, en particular, que se asigne el 2 % del presupuesto de la UE a la cultura y se garantice su integración en los principales programas de la Unión;</w:t>
      </w:r>
    </w:p>
    <w:p w14:paraId="5C1C74F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pide que </w:t>
      </w:r>
      <w:r>
        <w:rPr>
          <w:b/>
        </w:rPr>
        <w:t>la Brújula de la Cultura se aplique de manera sólida y sobre la base de objetivos, mediante un plan de acción claramente definido</w:t>
      </w:r>
      <w:r>
        <w:t>, una capacidad organizativa adecuada y la continuidad de las políticas a largo plazo;</w:t>
      </w:r>
    </w:p>
    <w:p w14:paraId="4ABFA2B6"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recomienda </w:t>
      </w:r>
      <w:r>
        <w:rPr>
          <w:b/>
        </w:rPr>
        <w:t>una participación sistemática y en una fase temprana de las partes interesadas culturales y no culturales</w:t>
      </w:r>
      <w:r>
        <w:t>, que incluya a las autoridades locales, las pymes y los sectores cultural y creativo, con el fin de reforzar la responsabilización y el impacto;</w:t>
      </w:r>
    </w:p>
    <w:p w14:paraId="34D1F37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pide una </w:t>
      </w:r>
      <w:r>
        <w:rPr>
          <w:b/>
        </w:rPr>
        <w:t>integración más sólida de los agentes de la economía social</w:t>
      </w:r>
      <w:r>
        <w:t xml:space="preserve"> y las iniciativas culturales basadas en la comunidad en las políticas públicas, incluida la adaptación de los instrumentos fiscales y financieros;</w:t>
      </w:r>
    </w:p>
    <w:p w14:paraId="7574E8ED"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acoge con satisfacción la propuesta de un diálogo estructurado de la UE con las partes interesadas</w:t>
      </w:r>
      <w:r>
        <w:t xml:space="preserve"> y se ofrece a actuar como socio clave para facilitar los intercambios con los agentes institucionales y sectoriales;</w:t>
      </w:r>
    </w:p>
    <w:p w14:paraId="2118B2C0"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destaca que los sectores cultural y creativo constituyen </w:t>
      </w:r>
      <w:r>
        <w:rPr>
          <w:b/>
        </w:rPr>
        <w:t>un ecosistema económico estratégico</w:t>
      </w:r>
      <w:r>
        <w:t xml:space="preserve"> y pide una mejor integración de industrias clave como los juegos, el cine, la música y la moda en la Brújula;</w:t>
      </w:r>
    </w:p>
    <w:p w14:paraId="4B8E43E5"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apoya </w:t>
      </w:r>
      <w:r>
        <w:rPr>
          <w:b/>
        </w:rPr>
        <w:t>la educación cultural y el desarrollo de capacidades</w:t>
      </w:r>
      <w:r>
        <w:t xml:space="preserve"> y pide un acceso inclusivo, financiación específica y vínculos más sólidos con programas de la UE como Erasmus+ y la política de cohesión;</w:t>
      </w:r>
    </w:p>
    <w:p w14:paraId="2BCF815C"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apoya la elaboración de una Carta de los Artistas de la UE</w:t>
      </w:r>
      <w:r>
        <w:t xml:space="preserve"> a fin de garantizar unas condiciones de trabajo justas, una mayor protección social y la armonización de la financiación de la Unión con las normas de empleo de calidad;</w:t>
      </w:r>
    </w:p>
    <w:p w14:paraId="52A25F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lastRenderedPageBreak/>
        <w:t xml:space="preserve">hace hincapié en la </w:t>
      </w:r>
      <w:r>
        <w:rPr>
          <w:b/>
        </w:rPr>
        <w:t>importancia de una inversión pública sostenida</w:t>
      </w:r>
      <w:r>
        <w:t xml:space="preserve"> en los sectores cultural y creativo, al tiempo que apoya un mejor acceso a la financiación para las pymes mediante una mayor movilización de los instrumentos del BEI y del FEI, junto con el desarrollo de marcos complementarios de apoyo privado;</w:t>
      </w:r>
    </w:p>
    <w:p w14:paraId="3A3FD42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apoya el </w:t>
      </w:r>
      <w:r>
        <w:rPr>
          <w:b/>
        </w:rPr>
        <w:t>respaldo institucional a la Declaración conjunta</w:t>
      </w:r>
      <w:r>
        <w:t xml:space="preserve"> por parte de las instituciones de la UE (incluidos el CESE y el Comité de las Regiones) y las partes interesadas para garantizar una amplia responsabilización y legitimidad;</w:t>
      </w:r>
    </w:p>
    <w:p w14:paraId="3DBA33EF" w14:textId="77777777" w:rsidR="00C53E67" w:rsidRPr="004C6742" w:rsidRDefault="00C53E67" w:rsidP="008F6AA0">
      <w:pPr>
        <w:numPr>
          <w:ilvl w:val="0"/>
          <w:numId w:val="27"/>
        </w:numPr>
        <w:overflowPunct w:val="0"/>
        <w:autoSpaceDE w:val="0"/>
        <w:autoSpaceDN w:val="0"/>
        <w:adjustRightInd w:val="0"/>
        <w:spacing w:line="276" w:lineRule="auto"/>
        <w:textAlignment w:val="baseline"/>
        <w:rPr>
          <w:sz w:val="24"/>
          <w:szCs w:val="24"/>
        </w:rPr>
      </w:pPr>
      <w:r>
        <w:t xml:space="preserve">subraya la </w:t>
      </w:r>
      <w:r>
        <w:rPr>
          <w:b/>
        </w:rPr>
        <w:t>importancia de la dimensión internacional de la cultura</w:t>
      </w:r>
      <w:r>
        <w:t>; pide que se restablezca plenamente en la Declaración conjunta y que se elabore un plan de acción exhaustivo basado en la estrategia de la UE para las relaciones culturales internacionales.</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97"/>
      </w:tblGrid>
      <w:tr w:rsidR="00C53E67" w:rsidRPr="00C53E67" w14:paraId="272A79A3" w14:textId="77777777" w:rsidTr="00016D49">
        <w:tc>
          <w:tcPr>
            <w:tcW w:w="1711"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Contacto:</w:t>
            </w:r>
          </w:p>
        </w:tc>
        <w:tc>
          <w:tcPr>
            <w:tcW w:w="3289"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Jean-Marie ROGUE</w:t>
            </w:r>
          </w:p>
        </w:tc>
      </w:tr>
      <w:tr w:rsidR="00C53E67" w:rsidRPr="00C53E67" w14:paraId="6943624D" w14:textId="77777777" w:rsidTr="00016D49">
        <w:tc>
          <w:tcPr>
            <w:tcW w:w="1711"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Teléfono:</w:t>
            </w:r>
          </w:p>
        </w:tc>
        <w:tc>
          <w:tcPr>
            <w:tcW w:w="3289"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+32 25468909</w:t>
            </w:r>
          </w:p>
        </w:tc>
      </w:tr>
      <w:tr w:rsidR="00C53E67" w:rsidRPr="00C53E67" w14:paraId="496DCA57" w14:textId="77777777" w:rsidTr="00016D49">
        <w:tc>
          <w:tcPr>
            <w:tcW w:w="1711"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Correo electrónico:</w:t>
            </w:r>
          </w:p>
        </w:tc>
        <w:tc>
          <w:tcPr>
            <w:tcW w:w="3289" w:type="pct"/>
          </w:tcPr>
          <w:p w14:paraId="18C49AA7" w14:textId="27C297F6" w:rsidR="00C53E67" w:rsidRPr="00C53E67" w:rsidRDefault="00C76D56" w:rsidP="00C53E67">
            <w:pPr>
              <w:overflowPunct w:val="0"/>
              <w:autoSpaceDE w:val="0"/>
              <w:autoSpaceDN w:val="0"/>
              <w:adjustRightInd w:val="0"/>
              <w:spacing w:line="240" w:lineRule="auto"/>
              <w:textAlignment w:val="baseline"/>
              <w:rPr>
                <w:i/>
              </w:rPr>
            </w:pPr>
            <w:hyperlink r:id="rId34" w:history="1">
              <w:r>
                <w:rPr>
                  <w:i/>
                  <w:color w:val="0000FF"/>
                  <w:u w:val="single"/>
                </w:rPr>
                <w:t>JeanMarie.Rogue@eesc.europa.eu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3" w14:textId="77616464" w:rsidR="004D7AC0" w:rsidRDefault="004D7AC0" w:rsidP="004C6742">
      <w:pPr>
        <w:pStyle w:val="Heading2"/>
      </w:pPr>
      <w:bookmarkStart w:id="16" w:name="_Toc75527083"/>
      <w:bookmarkStart w:id="17" w:name="_Toc229565854"/>
      <w:r>
        <w:lastRenderedPageBreak/>
        <w:t>MERCADO ÚNICO, PRODUCCIÓN Y CONSUMO</w:t>
      </w:r>
      <w:bookmarkEnd w:id="16"/>
      <w:bookmarkEnd w:id="17"/>
    </w:p>
    <w:p w14:paraId="4982DDF4" w14:textId="77777777" w:rsidR="004D7AC0" w:rsidRDefault="004D7AC0" w:rsidP="001766B2"/>
    <w:p w14:paraId="566598A4" w14:textId="64B4CDE7" w:rsidR="00392AE5" w:rsidRPr="00392AE5" w:rsidRDefault="00392AE5"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5" w:history="1">
        <w:r>
          <w:rPr>
            <w:color w:val="0000FF"/>
            <w:u w:val="single"/>
          </w:rPr>
          <w:t>Sobreturismo, alquileres de corta duración y exclusión de las poblaciones locales: cómo encontrar el equilibrio adecuado</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4123F63B" w14:textId="58C6E72D" w:rsidR="00392AE5" w:rsidRDefault="00392AE5" w:rsidP="00392AE5">
            <w:pPr>
              <w:tabs>
                <w:tab w:val="center" w:pos="284"/>
              </w:tabs>
              <w:overflowPunct w:val="0"/>
              <w:autoSpaceDE w:val="0"/>
              <w:autoSpaceDN w:val="0"/>
              <w:adjustRightInd w:val="0"/>
              <w:ind w:left="266" w:right="-3091" w:hanging="266"/>
              <w:textAlignment w:val="baseline"/>
            </w:pPr>
            <w:r>
              <w:t>Marinel Dănuț MUREŞAN (Grupo de Empresarios –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Referencia</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t>Dictamen exploratorio solicitado por la Presidencia chipriota del Consejo de la UE</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Puntos clave</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El CESE:</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subraya que el turismo es un ecosistema estratégico para la Unión que impulsa el crecimiento, el empleo y el desarrollo social, y pide un cambio hacia un modelo más sostenible, equilibrado y competitivo que salvaguarde la calidad de vida de las comunidades locales; </w:t>
      </w:r>
    </w:p>
    <w:p w14:paraId="7E1A2FA7"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advierte de las crecientes presiones del sobreturismo y los alquileres de corta duración en determinados destinos, y </w:t>
      </w:r>
      <w:r>
        <w:rPr>
          <w:b/>
        </w:rPr>
        <w:t>pide una acción coordinada de la Unión</w:t>
      </w:r>
      <w:r>
        <w:t xml:space="preserve"> para apoyar a los Estados miembros en el desarrollo de soluciones basadas en datos contrastados, proporcionadas y de base local; </w:t>
      </w:r>
    </w:p>
    <w:p w14:paraId="4DA31274"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propone una serie de herramientas y estrategias apoyadas por la Unión para gestionar mejor los flujos turísticos, entre ellas sistemas de seguimiento digital, la diversificación de destinos y temporadas, y unos vínculos más sólidos entre el turismo y las economías locales, la cultura y la artesanía tradicional; </w:t>
      </w:r>
    </w:p>
    <w:p w14:paraId="0407BE7E"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aboga por modelos innovadores de gobernanza y financiación que combinen la inversión pública y privada para apoyar el turismo sostenible, la vivienda asequible y los ecosistemas empresariales locales, con un papel importante para las pymes y las comunidades locales; </w:t>
      </w:r>
    </w:p>
    <w:p w14:paraId="38238CCA" w14:textId="77777777" w:rsidR="00392AE5" w:rsidRPr="00392AE5"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t xml:space="preserve">recomienda reforzar las capacidades, la formación y la participación de la juventud, y pide la creación de un </w:t>
      </w:r>
      <w:r>
        <w:rPr>
          <w:b/>
        </w:rPr>
        <w:t>centro europeo de la artesanía y los oficios tradicionales</w:t>
      </w:r>
      <w:r>
        <w:t xml:space="preserve"> para apoyar las economías locales y la sostenibilidad cultural en toda la UE.</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392AE5" w:rsidRPr="00392AE5" w14:paraId="519A6FBB" w14:textId="77777777" w:rsidTr="00016D49">
        <w:tc>
          <w:tcPr>
            <w:tcW w:w="1203" w:type="pct"/>
          </w:tcPr>
          <w:p w14:paraId="2511DD3A" w14:textId="77777777" w:rsidR="00392AE5" w:rsidRPr="00392AE5" w:rsidRDefault="00392AE5" w:rsidP="00392AE5">
            <w:pPr>
              <w:overflowPunct w:val="0"/>
              <w:autoSpaceDE w:val="0"/>
              <w:autoSpaceDN w:val="0"/>
              <w:adjustRightInd w:val="0"/>
              <w:textAlignment w:val="baseline"/>
              <w:rPr>
                <w:i/>
              </w:rPr>
            </w:pPr>
            <w:r>
              <w:rPr>
                <w:b/>
                <w:i/>
              </w:rPr>
              <w:t>Contacto:</w:t>
            </w:r>
          </w:p>
        </w:tc>
        <w:tc>
          <w:tcPr>
            <w:tcW w:w="3797" w:type="pct"/>
          </w:tcPr>
          <w:p w14:paraId="3960CCB8" w14:textId="77777777" w:rsidR="00392AE5" w:rsidRPr="00392AE5" w:rsidRDefault="00392AE5" w:rsidP="00392AE5">
            <w:pPr>
              <w:overflowPunct w:val="0"/>
              <w:autoSpaceDE w:val="0"/>
              <w:autoSpaceDN w:val="0"/>
              <w:adjustRightInd w:val="0"/>
              <w:textAlignment w:val="baseline"/>
              <w:rPr>
                <w:i/>
              </w:rPr>
            </w:pPr>
            <w:r>
              <w:rPr>
                <w:i/>
              </w:rPr>
              <w:t>Silvia STAFFA</w:t>
            </w:r>
          </w:p>
        </w:tc>
      </w:tr>
      <w:tr w:rsidR="00392AE5" w:rsidRPr="00392AE5" w14:paraId="3AF34B7F" w14:textId="77777777" w:rsidTr="00016D49">
        <w:tc>
          <w:tcPr>
            <w:tcW w:w="1203" w:type="pct"/>
          </w:tcPr>
          <w:p w14:paraId="2CBD3E50" w14:textId="77777777" w:rsidR="00392AE5" w:rsidRPr="00392AE5" w:rsidRDefault="00392AE5" w:rsidP="00392AE5">
            <w:pPr>
              <w:overflowPunct w:val="0"/>
              <w:autoSpaceDE w:val="0"/>
              <w:autoSpaceDN w:val="0"/>
              <w:adjustRightInd w:val="0"/>
              <w:textAlignment w:val="baseline"/>
              <w:rPr>
                <w:i/>
              </w:rPr>
            </w:pPr>
            <w:r>
              <w:rPr>
                <w:i/>
              </w:rPr>
              <w:t>Teléfono:</w:t>
            </w:r>
          </w:p>
        </w:tc>
        <w:tc>
          <w:tcPr>
            <w:tcW w:w="3797" w:type="pct"/>
          </w:tcPr>
          <w:p w14:paraId="730C53AF" w14:textId="77777777" w:rsidR="00392AE5" w:rsidRPr="00392AE5" w:rsidRDefault="00392AE5" w:rsidP="00392AE5">
            <w:pPr>
              <w:overflowPunct w:val="0"/>
              <w:autoSpaceDE w:val="0"/>
              <w:autoSpaceDN w:val="0"/>
              <w:adjustRightInd w:val="0"/>
              <w:textAlignment w:val="baseline"/>
              <w:rPr>
                <w:i/>
              </w:rPr>
            </w:pPr>
            <w:r>
              <w:rPr>
                <w:i/>
              </w:rPr>
              <w:t>+32 25468378</w:t>
            </w:r>
          </w:p>
        </w:tc>
      </w:tr>
      <w:tr w:rsidR="00392AE5" w:rsidRPr="00392AE5" w14:paraId="7E2C07CA" w14:textId="77777777" w:rsidTr="00016D49">
        <w:tc>
          <w:tcPr>
            <w:tcW w:w="1203" w:type="pct"/>
          </w:tcPr>
          <w:p w14:paraId="22A428C5" w14:textId="77777777" w:rsidR="00392AE5" w:rsidRPr="00392AE5" w:rsidRDefault="00392AE5" w:rsidP="00392AE5">
            <w:pPr>
              <w:overflowPunct w:val="0"/>
              <w:autoSpaceDE w:val="0"/>
              <w:autoSpaceDN w:val="0"/>
              <w:adjustRightInd w:val="0"/>
              <w:textAlignment w:val="baseline"/>
              <w:rPr>
                <w:i/>
              </w:rPr>
            </w:pPr>
            <w:r>
              <w:rPr>
                <w:i/>
              </w:rPr>
              <w:t>Correo electrónico:</w:t>
            </w:r>
          </w:p>
        </w:tc>
        <w:tc>
          <w:tcPr>
            <w:tcW w:w="3797" w:type="pct"/>
          </w:tcPr>
          <w:p w14:paraId="0EBCDB0C" w14:textId="09937ACE" w:rsidR="00392AE5" w:rsidRPr="00392AE5" w:rsidRDefault="00C76D56" w:rsidP="00392AE5">
            <w:pPr>
              <w:overflowPunct w:val="0"/>
              <w:autoSpaceDE w:val="0"/>
              <w:autoSpaceDN w:val="0"/>
              <w:adjustRightInd w:val="0"/>
              <w:spacing w:line="240" w:lineRule="auto"/>
              <w:textAlignment w:val="baseline"/>
              <w:rPr>
                <w:i/>
              </w:rPr>
            </w:pPr>
            <w:hyperlink r:id="rId36" w:history="1">
              <w:r>
                <w:rPr>
                  <w:i/>
                  <w:color w:val="0000FF"/>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5D13E721" w:rsidR="008E331E" w:rsidRPr="008E331E" w:rsidRDefault="00C76D56" w:rsidP="008E331E">
      <w:pPr>
        <w:widowControl w:val="0"/>
        <w:numPr>
          <w:ilvl w:val="0"/>
          <w:numId w:val="4"/>
        </w:numPr>
        <w:overflowPunct w:val="0"/>
        <w:autoSpaceDE w:val="0"/>
        <w:autoSpaceDN w:val="0"/>
        <w:adjustRightInd w:val="0"/>
        <w:ind w:hanging="567"/>
        <w:textAlignment w:val="baseline"/>
        <w:rPr>
          <w:sz w:val="20"/>
          <w:szCs w:val="20"/>
        </w:rPr>
      </w:pPr>
      <w:hyperlink r:id="rId37" w:tgtFrame="_blank" w:history="1">
        <w:r>
          <w:rPr>
            <w:b/>
            <w:i/>
            <w:color w:val="0000FF"/>
            <w:sz w:val="28"/>
            <w:u w:val="single"/>
          </w:rPr>
          <w:t>Normas en materia de emisiones de CO</w:t>
        </w:r>
        <w:r>
          <w:rPr>
            <w:b/>
            <w:i/>
            <w:color w:val="0000FF"/>
            <w:sz w:val="28"/>
            <w:u w:val="single"/>
            <w:vertAlign w:val="subscript"/>
          </w:rPr>
          <w:t>2</w:t>
        </w:r>
        <w:r>
          <w:rPr>
            <w:b/>
            <w:i/>
            <w:color w:val="0000FF"/>
            <w:sz w:val="28"/>
            <w:u w:val="single"/>
          </w:rPr>
          <w:t xml:space="preserve"> para turismos y furgonetas / Revisión</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8E331E" w14:paraId="3544A5AD" w14:textId="77777777" w:rsidTr="002E7EFB">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Ponente</w:t>
            </w:r>
          </w:p>
        </w:tc>
        <w:tc>
          <w:tcPr>
            <w:tcW w:w="5387" w:type="dxa"/>
          </w:tcPr>
          <w:p w14:paraId="3D9FC490" w14:textId="4BF23B15" w:rsidR="008E331E" w:rsidRPr="008E331E" w:rsidRDefault="008E331E" w:rsidP="008E331E">
            <w:pPr>
              <w:tabs>
                <w:tab w:val="center" w:pos="284"/>
              </w:tabs>
              <w:overflowPunct w:val="0"/>
              <w:autoSpaceDE w:val="0"/>
              <w:autoSpaceDN w:val="0"/>
              <w:adjustRightInd w:val="0"/>
              <w:ind w:left="266" w:hanging="266"/>
              <w:textAlignment w:val="baseline"/>
            </w:pPr>
            <w:r>
              <w:t>Matteo Carlo BORSANI (Grupo de Empresarios – IT)</w:t>
            </w:r>
          </w:p>
        </w:tc>
      </w:tr>
      <w:tr w:rsidR="008E331E" w:rsidRPr="008E331E" w14:paraId="5175195B" w14:textId="77777777" w:rsidTr="002E7EFB">
        <w:tc>
          <w:tcPr>
            <w:tcW w:w="7088"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8E331E" w14:paraId="0E58D564" w14:textId="77777777" w:rsidTr="002E7EFB">
        <w:tc>
          <w:tcPr>
            <w:tcW w:w="1701" w:type="dxa"/>
          </w:tcPr>
          <w:p w14:paraId="145A97E5"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Referencias</w:t>
            </w:r>
          </w:p>
        </w:tc>
        <w:tc>
          <w:tcPr>
            <w:tcW w:w="5387" w:type="dxa"/>
          </w:tcPr>
          <w:p w14:paraId="7281EBE1" w14:textId="0C5497BF" w:rsidR="008E331E" w:rsidRPr="008E331E" w:rsidRDefault="008E331E" w:rsidP="008E331E">
            <w:pPr>
              <w:tabs>
                <w:tab w:val="center" w:pos="284"/>
              </w:tabs>
              <w:overflowPunct w:val="0"/>
              <w:autoSpaceDE w:val="0"/>
              <w:autoSpaceDN w:val="0"/>
              <w:adjustRightInd w:val="0"/>
              <w:ind w:left="266" w:hanging="266"/>
              <w:textAlignment w:val="baseline"/>
            </w:pPr>
            <w:r>
              <w:t xml:space="preserve">COM(2025) 995 final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pPr>
            <w:r>
              <w:t>EESC-2025-04308-00-00-AC</w:t>
            </w: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Puntos clave</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El CESE:</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pide un marco de la Unión equilibrado y coherente</w:t>
      </w:r>
      <w:r>
        <w:t xml:space="preserve"> para la transición del sector automovilístico, que combine un fuerte impulso a la movilidad de emisión cero y de baja emisión con neutralidad tecnológica, el refuerzo de la dimensión «Fabricado en la UE» en la cadena de valor y la protección del empleo de calidad, la capacidad industrial y la innovación;</w:t>
      </w:r>
    </w:p>
    <w:p w14:paraId="432BFC18"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insta a una revisión pragmática de las normas en materia de emisiones de CO</w:t>
      </w:r>
      <w:r>
        <w:rPr>
          <w:b/>
          <w:vertAlign w:val="subscript"/>
        </w:rPr>
        <w:t>2</w:t>
      </w:r>
      <w:r>
        <w:t xml:space="preserve"> para turismos y furgonetas, en consonancia con las realidades del mercado y los objetivos climáticos, a fin de restablecer la competitividad, manteniendo al mismo tiempo la trayectoria de descarbonización a largo plazo;</w:t>
      </w:r>
    </w:p>
    <w:p w14:paraId="0972F5CB"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aboga por un papel más importante para las tecnologías de transición</w:t>
      </w:r>
      <w:r>
        <w:t>, incluidos los vehículos híbridos, los combustibles renovables sostenibles y los materiales de bajas emisiones, y pide que se reduzca la dependencia exclusiva de las emisiones de gases de escape para permitir una transición más realista y socialmente equilibrada;</w:t>
      </w:r>
    </w:p>
    <w:p w14:paraId="1A4C34C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acoge con satisfacción la introducción de medidas de flexibilidad para cumplir los objetivos de 2030</w:t>
      </w:r>
      <w:r>
        <w:t>, en particular el cumplimiento plurianual, y pide un apoyo específico a las infraestructuras de recarga y a la electrificación de las flotas de vehículos de empresa y de vehículos comerciales ligeros, cuya adopción por el mercado sigue siendo limitada;</w:t>
      </w:r>
    </w:p>
    <w:p w14:paraId="789098F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recomienda reforzar el liderazgo industrial de la UE</w:t>
      </w:r>
      <w:r>
        <w:t xml:space="preserve"> mediante incentivos como la etiqueta «Fabricado en la UE», el apoyo al acero de bajas emisiones y la ampliación de los supercréditos para vehículos eléctricos, junto con una metodología de emisiones más exhaustiva y una transición que mantenga la asequibilidad, la inclusividad y la generación de empleo.</w:t>
      </w: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8E331E" w:rsidRPr="008E331E" w14:paraId="1B085562" w14:textId="77777777" w:rsidTr="00016D49">
        <w:tc>
          <w:tcPr>
            <w:tcW w:w="2235"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Contacto:</w:t>
            </w:r>
          </w:p>
        </w:tc>
        <w:tc>
          <w:tcPr>
            <w:tcW w:w="4853"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Silvia STAFFA</w:t>
            </w:r>
          </w:p>
        </w:tc>
      </w:tr>
      <w:tr w:rsidR="008E331E" w:rsidRPr="008E331E" w14:paraId="0B08C9F9" w14:textId="77777777" w:rsidTr="00016D49">
        <w:tc>
          <w:tcPr>
            <w:tcW w:w="2235"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Teléfono:</w:t>
            </w:r>
          </w:p>
        </w:tc>
        <w:tc>
          <w:tcPr>
            <w:tcW w:w="4853"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+ 32 25468378</w:t>
            </w:r>
          </w:p>
        </w:tc>
      </w:tr>
      <w:tr w:rsidR="008E331E" w:rsidRPr="008E331E" w14:paraId="5F4D2CBA" w14:textId="77777777" w:rsidTr="00016D49">
        <w:tc>
          <w:tcPr>
            <w:tcW w:w="2235"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Correo electrónico:</w:t>
            </w:r>
          </w:p>
        </w:tc>
        <w:tc>
          <w:tcPr>
            <w:tcW w:w="4853" w:type="dxa"/>
          </w:tcPr>
          <w:p w14:paraId="334E5630" w14:textId="5952CA9F" w:rsidR="008E331E" w:rsidRPr="008E331E" w:rsidRDefault="00C76D56" w:rsidP="008E331E">
            <w:pPr>
              <w:overflowPunct w:val="0"/>
              <w:autoSpaceDE w:val="0"/>
              <w:autoSpaceDN w:val="0"/>
              <w:adjustRightInd w:val="0"/>
              <w:spacing w:line="240" w:lineRule="auto"/>
              <w:textAlignment w:val="baseline"/>
              <w:rPr>
                <w:i/>
              </w:rPr>
            </w:pPr>
            <w:hyperlink r:id="rId38" w:history="1">
              <w:r>
                <w:rPr>
                  <w:i/>
                  <w:color w:val="0000FF"/>
                  <w:u w:val="single"/>
                </w:rPr>
                <w:t>Silvia.Staffa@eesc.europa.eu</w:t>
              </w:r>
            </w:hyperlink>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4D77303F" w:rsidR="00882D0D" w:rsidRPr="004C6742" w:rsidRDefault="00882D0D"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32"/>
          <w:szCs w:val="32"/>
        </w:rPr>
      </w:pPr>
      <w:hyperlink r:id="rId39" w:tgtFrame="_blank" w:history="1">
        <w:r>
          <w:rPr>
            <w:b/>
            <w:i/>
            <w:color w:val="0000FF"/>
            <w:sz w:val="32"/>
            <w:u w:val="single"/>
          </w:rPr>
          <w:t>Evaluación del Reglamento (UE) 2019/1020 relativo a la vigilancia del mercado y a la conformidad de los productos</w:t>
        </w:r>
      </w:hyperlink>
    </w:p>
    <w:p w14:paraId="3DC7A7FA" w14:textId="77777777" w:rsidR="002A0F5D" w:rsidRPr="00016D49" w:rsidRDefault="002A0F5D" w:rsidP="004C6742">
      <w:pPr>
        <w:widowControl w:val="0"/>
        <w:overflowPunct w:val="0"/>
        <w:autoSpaceDE w:val="0"/>
        <w:autoSpaceDN w:val="0"/>
        <w:adjustRightInd w:val="0"/>
        <w:spacing w:after="200" w:line="276" w:lineRule="auto"/>
        <w:ind w:left="360"/>
        <w:contextualSpacing/>
        <w:jc w:val="left"/>
        <w:textAlignment w:val="baseline"/>
        <w:rPr>
          <w:b/>
          <w:i/>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882D0D" w14:paraId="5D4233BC" w14:textId="77777777" w:rsidTr="002E7EFB">
        <w:tc>
          <w:tcPr>
            <w:tcW w:w="1148"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Ponente</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Coponente</w:t>
            </w:r>
          </w:p>
        </w:tc>
        <w:tc>
          <w:tcPr>
            <w:tcW w:w="3852"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r>
              <w:t>Antje GERSTEIN (Grupo de Empresarios –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r>
              <w:t>Anastasis YIAPANIS (Grupo de Organizaciones de la Sociedad Civil – CY)</w:t>
            </w:r>
          </w:p>
          <w:p w14:paraId="0D785ADB" w14:textId="77777777" w:rsidR="00882D0D" w:rsidRPr="00882D0D" w:rsidRDefault="00882D0D" w:rsidP="00882D0D">
            <w:pPr>
              <w:tabs>
                <w:tab w:val="center" w:pos="284"/>
              </w:tabs>
              <w:overflowPunct w:val="0"/>
              <w:autoSpaceDE w:val="0"/>
              <w:autoSpaceDN w:val="0"/>
              <w:adjustRightInd w:val="0"/>
              <w:ind w:left="266" w:hanging="266"/>
              <w:textAlignment w:val="baseline"/>
              <w:rPr>
                <w:lang w:val="fr-BE"/>
              </w:rPr>
            </w:pPr>
          </w:p>
        </w:tc>
      </w:tr>
      <w:tr w:rsidR="00882D0D" w:rsidRPr="00882D0D" w14:paraId="1AC48DDB" w14:textId="77777777" w:rsidTr="002E7EFB">
        <w:tc>
          <w:tcPr>
            <w:tcW w:w="1148"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Referencias</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Informe de evaluación</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r>
              <w:t>COM(2025) 63 final</w:t>
            </w:r>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t>EESC-2025-003345-00-00-RE</w:t>
            </w:r>
          </w:p>
        </w:tc>
      </w:tr>
    </w:tbl>
    <w:p w14:paraId="6360B4EC" w14:textId="77777777" w:rsidR="00016D49" w:rsidRDefault="00016D49" w:rsidP="00882D0D">
      <w:pPr>
        <w:keepNext/>
        <w:keepLines/>
        <w:tabs>
          <w:tab w:val="center" w:pos="284"/>
        </w:tabs>
        <w:overflowPunct w:val="0"/>
        <w:autoSpaceDE w:val="0"/>
        <w:autoSpaceDN w:val="0"/>
        <w:adjustRightInd w:val="0"/>
        <w:ind w:left="266" w:hanging="266"/>
        <w:textAlignment w:val="baseline"/>
        <w:rPr>
          <w:b/>
        </w:rPr>
      </w:pPr>
    </w:p>
    <w:p w14:paraId="7E28CB07" w14:textId="58342448"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Puntos clave</w:t>
      </w:r>
    </w:p>
    <w:p w14:paraId="7E01B620"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El CESE recomienda:</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promover la aprobación de una Ley Europea de Productos consolidada;</w:t>
      </w:r>
    </w:p>
    <w:p w14:paraId="331BAAD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velar por la coherencia entre el Reglamento relativo a la vigilancia del mercado, el Reglamento sobre la Seguridad General de los Productos, la legislación sectorial específica y el Código Aduanero de la Unión;</w:t>
      </w:r>
    </w:p>
    <w:p w14:paraId="47770594"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reforzar la cooperación estructurada entre las autoridades aduaneras y las autoridades de vigilancia del mercado;</w:t>
      </w:r>
    </w:p>
    <w:p w14:paraId="3C1DCD11"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que las futuras revisiones del Reglamento relativo a la vigilancia del mercado aborden las características específicas de la inteligencia artificial y otras tecnologías digitales;</w:t>
      </w:r>
    </w:p>
    <w:p w14:paraId="5E50D7E5"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garantizar unos recursos humanos y financieros adecuados, predecibles y basados en el rendimiento para las autoridades aduaneras y de vigilancia del mercado, combinados con indicadores de ejecución cuantificables;</w:t>
      </w:r>
    </w:p>
    <w:p w14:paraId="5E775A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proporcionar a las autoridades nacionales herramientas de control del cumplimiento eficaces, proporcionadas y disuasorias;</w:t>
      </w:r>
    </w:p>
    <w:p w14:paraId="23D44F67"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crear una capacidad europea reforzada de control del cumplimiento que pueda abordar los riesgos transfronterizos sistémicos y los flujos del comercio digital a gran escala; </w:t>
      </w:r>
    </w:p>
    <w:p w14:paraId="22F6F36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adoptar un marco de control del cumplimiento claro y basado en el riesgo;</w:t>
      </w:r>
    </w:p>
    <w:p w14:paraId="76E510E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adaptar el marco de control del cumplimiento del Reglamento relativo a la vigilancia del mercado a la lógica establecida en virtud del Reglamento de Servicios Digitales mediante la introducción de responsabilidades adicionales proporcionadas para los operadores cuya dimensión genere riesgos sistémicos de cumplimiento;</w:t>
      </w:r>
    </w:p>
    <w:p w14:paraId="4CC6879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desarrollar un marco estructurado de asociación para el cumplimiento que permita a las autoridades trabajar de forma proactiva con los operadores económicos;</w:t>
      </w:r>
    </w:p>
    <w:p w14:paraId="774CC10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lograr que el Reglamento relativo a la vigilancia del mercado sea más proporcionado y accesible para las pymes y las microempresas;</w:t>
      </w:r>
    </w:p>
    <w:p w14:paraId="569668E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crear un observatorio europeo de productos no conformes;</w:t>
      </w:r>
    </w:p>
    <w:p w14:paraId="6343892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aclarar la cadena de responsabilidad y asegurar que sea práctica mediante la introducción de criterios mínimos de calidad para los representantes autorizados;</w:t>
      </w:r>
    </w:p>
    <w:p w14:paraId="30F2C8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mejorar la interoperabilidad entre el sistema de información y comunicación para la vigilancia del mercado (ICSMS), el Sistema de Alerta Rápida «Safety Gate», las bases de datos aduaneras y otros sistemas pertinentes;</w:t>
      </w:r>
    </w:p>
    <w:p w14:paraId="6CFF330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garantizar la publicación y difusión periódicas y accesibles de los resultados del control del </w:t>
      </w:r>
      <w:r>
        <w:lastRenderedPageBreak/>
        <w:t>cumplimiento;</w:t>
      </w:r>
    </w:p>
    <w:p w14:paraId="1556111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Mejorar la participación estructurada de la sociedad civil y los interlocutores sociales a través de mecanismos formales de consulta, plataformas de diálogo permanente, participación en el proceso legislativo desde sus fases iniciales y mejora del acceso a la información y a las interfaces digitales para la interacción con las autoridades.</w:t>
      </w:r>
    </w:p>
    <w:p w14:paraId="21DADFB3"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proporcionar apoyo al desarrollo de capacidades y formación específica tanto para las autoridades como para los agentes de la sociedad civil;</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introducir herramientas sencillas y eficaces para denunciar la publicidad fraudulenta.</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97"/>
      </w:tblGrid>
      <w:tr w:rsidR="00882D0D" w:rsidRPr="00882D0D" w14:paraId="027E516E" w14:textId="77777777" w:rsidTr="00016D49">
        <w:tc>
          <w:tcPr>
            <w:tcW w:w="1711"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Contacto:</w:t>
            </w:r>
          </w:p>
        </w:tc>
        <w:tc>
          <w:tcPr>
            <w:tcW w:w="3289"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Annalisa TESSAROLO</w:t>
            </w:r>
          </w:p>
        </w:tc>
      </w:tr>
      <w:tr w:rsidR="00882D0D" w:rsidRPr="00882D0D" w14:paraId="48F3F374" w14:textId="77777777" w:rsidTr="00016D49">
        <w:tc>
          <w:tcPr>
            <w:tcW w:w="1711"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Teléfono:</w:t>
            </w:r>
          </w:p>
        </w:tc>
        <w:tc>
          <w:tcPr>
            <w:tcW w:w="3289"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+32 25469732</w:t>
            </w:r>
          </w:p>
        </w:tc>
      </w:tr>
      <w:tr w:rsidR="00882D0D" w:rsidRPr="00882D0D" w14:paraId="2E49B53D" w14:textId="77777777" w:rsidTr="00016D49">
        <w:tc>
          <w:tcPr>
            <w:tcW w:w="1711"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Correo electrónico:</w:t>
            </w:r>
          </w:p>
        </w:tc>
        <w:tc>
          <w:tcPr>
            <w:tcW w:w="3289" w:type="pct"/>
          </w:tcPr>
          <w:p w14:paraId="22B253E8" w14:textId="6544A095" w:rsidR="00882D0D" w:rsidRPr="00882D0D" w:rsidRDefault="00C76D56" w:rsidP="00882D0D">
            <w:pPr>
              <w:overflowPunct w:val="0"/>
              <w:autoSpaceDE w:val="0"/>
              <w:autoSpaceDN w:val="0"/>
              <w:adjustRightInd w:val="0"/>
              <w:spacing w:line="240" w:lineRule="auto"/>
              <w:textAlignment w:val="baseline"/>
              <w:rPr>
                <w:i/>
                <w:iCs/>
              </w:rPr>
            </w:pPr>
            <w:hyperlink r:id="rId40" w:history="1">
              <w:r>
                <w:rPr>
                  <w:i/>
                  <w:color w:val="0000FF"/>
                  <w:u w:val="single"/>
                </w:rPr>
                <w:t>Annalisa.Tessarolo@eesc.europa.eu</w:t>
              </w:r>
            </w:hyperlink>
          </w:p>
        </w:tc>
      </w:tr>
    </w:tbl>
    <w:p w14:paraId="5CBAA359" w14:textId="1C551085" w:rsidR="00A067F3" w:rsidRDefault="00A067F3">
      <w:pPr>
        <w:spacing w:after="160" w:line="259" w:lineRule="auto"/>
        <w:jc w:val="left"/>
        <w:rPr>
          <w:szCs w:val="20"/>
          <w:lang w:val="nl-BE"/>
        </w:rPr>
      </w:pPr>
    </w:p>
    <w:p w14:paraId="0667917E" w14:textId="77777777" w:rsidR="00A067F3" w:rsidRDefault="00A067F3">
      <w:pPr>
        <w:spacing w:after="160" w:line="259" w:lineRule="auto"/>
        <w:jc w:val="left"/>
        <w:rPr>
          <w:szCs w:val="20"/>
        </w:rPr>
      </w:pPr>
      <w:r>
        <w:br w:type="page"/>
      </w:r>
    </w:p>
    <w:p w14:paraId="58C55E8F" w14:textId="3DD3E751" w:rsidR="00426604" w:rsidRPr="00426604" w:rsidRDefault="00C76D56"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Pr>
            <w:b/>
            <w:i/>
            <w:color w:val="0000FF"/>
            <w:sz w:val="28"/>
            <w:u w:val="single"/>
          </w:rPr>
          <w:t>Agenda del Consumidor 2030</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04"/>
      </w:tblGrid>
      <w:tr w:rsidR="00426604" w:rsidRPr="00426604" w14:paraId="7FCA49AB" w14:textId="77777777" w:rsidTr="00016D49">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Ponente</w:t>
            </w:r>
          </w:p>
        </w:tc>
        <w:tc>
          <w:tcPr>
            <w:tcW w:w="6204"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Thierry LIBAERT (Grupo de Organizaciones de la Sociedad Civil – FR)</w:t>
            </w:r>
          </w:p>
        </w:tc>
      </w:tr>
      <w:tr w:rsidR="00426604" w:rsidRPr="00426604" w14:paraId="55BCB3CD" w14:textId="77777777" w:rsidTr="00016D49">
        <w:tc>
          <w:tcPr>
            <w:tcW w:w="7905"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016D49">
        <w:tc>
          <w:tcPr>
            <w:tcW w:w="1701" w:type="dxa"/>
            <w:vMerge w:val="restart"/>
          </w:tcPr>
          <w:p w14:paraId="434AA7EC"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Referencias</w:t>
            </w:r>
          </w:p>
        </w:tc>
        <w:tc>
          <w:tcPr>
            <w:tcW w:w="6204"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pPr>
            <w:r>
              <w:t>COM(2025) 848 final</w:t>
            </w:r>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pPr>
            <w:r>
              <w:t>EESC-2025-03969-00-00-AC</w:t>
            </w:r>
          </w:p>
        </w:tc>
      </w:tr>
      <w:tr w:rsidR="00426604" w:rsidRPr="00426604" w14:paraId="020B5F42" w14:textId="77777777" w:rsidTr="00016D49">
        <w:tc>
          <w:tcPr>
            <w:tcW w:w="1701"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pt-PT"/>
              </w:rPr>
            </w:pPr>
          </w:p>
        </w:tc>
        <w:tc>
          <w:tcPr>
            <w:tcW w:w="6204"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Puntos clave</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El CESE:</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acoge favorablemente la Agenda del Consumidor 2025-2030 como un excelente texto marco en materia de protección de los consumidores para los próximos años, tanto en su forma como en su contenido;</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desea que la Comisión proponga una visión más global con respecto a los consumidores, que no se limite a una cuestión de derechos;</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agradecería disponer de un balance de la Agenda anterior estructurado, detallado y con cifras a fin de llevar a cabo una evaluación más exhaustiva;</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apoya las medidas de simplificación, aunque insiste en que ninguna de ellas debe menoscabar la protección de los consumidores;</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considera que la protección de los consumidores debe tener necesariamente en cuenta la diversidad de situaciones, en particular en lo que respecta a los desiertos comerciales y la vulnerabilidad de determinados tipos de consumidores;</w:t>
      </w:r>
    </w:p>
    <w:p w14:paraId="3000A78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aboga por una mayor rapidez e intensidad en el control de la peligrosidad de los productos que se importan, por ejemplo a través de plataformas de comercio electrónico situadas fuera de la Unión Europea;</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pide que se preste mayor atención a las prácticas de microjusticia para la resolución de litigios de escasa cuantía;</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apoya las medidas de digitalización, pero insiste en que, para cualquier reclamación, los consumidores tengan siempre como último recurso a un interlocutor humano que pueda responder a sus preguntas;</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pide a la Comisión que aumente su interés por la circularidad y la sostenibilidad de los productos;</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recomienda establecer una política sólida de protección de los consumidores frente a los mensajes comerciales difundidos por influyentes, sobre todo cuando van dirigidos a los menores;</w:t>
      </w:r>
    </w:p>
    <w:p w14:paraId="0F934297"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anima a los Estados miembros a que apoyen a las asociaciones de consumidores.</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426604" w:rsidRPr="00426604" w14:paraId="1EC4B28B" w14:textId="77777777" w:rsidTr="00016D49">
        <w:tc>
          <w:tcPr>
            <w:tcW w:w="2235"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Contacto:</w:t>
            </w:r>
          </w:p>
        </w:tc>
        <w:tc>
          <w:tcPr>
            <w:tcW w:w="4853"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r>
              <w:rPr>
                <w:i/>
              </w:rPr>
              <w:t>Radoslava STEFANKOVA</w:t>
            </w:r>
          </w:p>
        </w:tc>
      </w:tr>
      <w:tr w:rsidR="00426604" w:rsidRPr="00426604" w14:paraId="1EEA77FB" w14:textId="77777777" w:rsidTr="00016D49">
        <w:tc>
          <w:tcPr>
            <w:tcW w:w="2235"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Teléfono:</w:t>
            </w:r>
          </w:p>
        </w:tc>
        <w:tc>
          <w:tcPr>
            <w:tcW w:w="4853"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+32 25468188</w:t>
            </w:r>
          </w:p>
        </w:tc>
      </w:tr>
      <w:tr w:rsidR="00426604" w:rsidRPr="00426604" w14:paraId="2BB4FECE" w14:textId="77777777" w:rsidTr="00016D49">
        <w:tc>
          <w:tcPr>
            <w:tcW w:w="2235"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Correo electrónico:</w:t>
            </w:r>
          </w:p>
        </w:tc>
        <w:tc>
          <w:tcPr>
            <w:tcW w:w="4853" w:type="dxa"/>
          </w:tcPr>
          <w:p w14:paraId="21BA9078" w14:textId="7D961687" w:rsidR="00426604" w:rsidRPr="00426604" w:rsidRDefault="00C76D56" w:rsidP="00426604">
            <w:pPr>
              <w:overflowPunct w:val="0"/>
              <w:autoSpaceDE w:val="0"/>
              <w:autoSpaceDN w:val="0"/>
              <w:adjustRightInd w:val="0"/>
              <w:spacing w:line="240" w:lineRule="auto"/>
              <w:textAlignment w:val="baseline"/>
              <w:rPr>
                <w:i/>
              </w:rPr>
            </w:pPr>
            <w:hyperlink r:id="rId42" w:history="1">
              <w:r>
                <w:rPr>
                  <w:i/>
                  <w:color w:val="0000FF"/>
                  <w:u w:val="single"/>
                </w:rPr>
                <w:t>Radoslava.Stefankova@eesc.europa.eu</w:t>
              </w:r>
            </w:hyperlink>
          </w:p>
          <w:p w14:paraId="0D4503F1" w14:textId="77777777" w:rsidR="00426604" w:rsidRPr="00426604" w:rsidRDefault="00426604" w:rsidP="00426604">
            <w:pPr>
              <w:overflowPunct w:val="0"/>
              <w:autoSpaceDE w:val="0"/>
              <w:autoSpaceDN w:val="0"/>
              <w:adjustRightInd w:val="0"/>
              <w:spacing w:line="240" w:lineRule="auto"/>
              <w:textAlignment w:val="baseline"/>
              <w:rPr>
                <w:i/>
              </w:rPr>
            </w:pPr>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387E71F2" w:rsidR="00A83352" w:rsidRPr="00A83352" w:rsidRDefault="00C76D56"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Pr>
            <w:b/>
            <w:i/>
            <w:color w:val="0000FF"/>
            <w:sz w:val="28"/>
            <w:u w:val="single"/>
          </w:rPr>
          <w:t>Reglamento sobre la Ciberseguridad</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Ponente</w:t>
            </w:r>
          </w:p>
        </w:tc>
        <w:tc>
          <w:tcPr>
            <w:tcW w:w="6946" w:type="dxa"/>
          </w:tcPr>
          <w:p w14:paraId="0214D104" w14:textId="5371BD6F" w:rsidR="007A3096" w:rsidRPr="007A3096" w:rsidRDefault="007A3096" w:rsidP="00B56575">
            <w:pPr>
              <w:tabs>
                <w:tab w:val="center" w:pos="284"/>
              </w:tabs>
              <w:overflowPunct w:val="0"/>
              <w:autoSpaceDE w:val="0"/>
              <w:autoSpaceDN w:val="0"/>
              <w:adjustRightInd w:val="0"/>
              <w:ind w:left="266" w:hanging="266"/>
              <w:textAlignment w:val="baseline"/>
            </w:pPr>
            <w:r>
              <w:t>Miroslav HAJNOŠ (Grupo de Trabajadores –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Referencias</w:t>
            </w:r>
          </w:p>
        </w:tc>
        <w:tc>
          <w:tcPr>
            <w:tcW w:w="6946" w:type="dxa"/>
          </w:tcPr>
          <w:p w14:paraId="482A2846" w14:textId="4D7D3A98" w:rsidR="007A3096" w:rsidRPr="007A3096" w:rsidRDefault="007A3096" w:rsidP="00B56575">
            <w:pPr>
              <w:tabs>
                <w:tab w:val="center" w:pos="284"/>
              </w:tabs>
              <w:overflowPunct w:val="0"/>
              <w:autoSpaceDE w:val="0"/>
              <w:autoSpaceDN w:val="0"/>
              <w:adjustRightInd w:val="0"/>
              <w:ind w:left="266" w:hanging="266"/>
              <w:textAlignment w:val="baseline"/>
            </w:pPr>
            <w:r>
              <w:t xml:space="preserve">COM(2026) 11 final </w:t>
            </w:r>
          </w:p>
          <w:p w14:paraId="1457E830" w14:textId="583DA8F1" w:rsidR="007A3096" w:rsidRPr="007A3096" w:rsidRDefault="007A3096" w:rsidP="00B56575">
            <w:pPr>
              <w:tabs>
                <w:tab w:val="center" w:pos="284"/>
              </w:tabs>
              <w:overflowPunct w:val="0"/>
              <w:autoSpaceDE w:val="0"/>
              <w:autoSpaceDN w:val="0"/>
              <w:adjustRightInd w:val="0"/>
              <w:ind w:left="266" w:right="1458" w:hanging="266"/>
              <w:textAlignment w:val="baseline"/>
            </w:pPr>
            <w:r>
              <w:t xml:space="preserve">COM(2026) 13 final </w:t>
            </w:r>
          </w:p>
          <w:p w14:paraId="426BA912" w14:textId="77777777" w:rsidR="007A3096" w:rsidRDefault="007A3096" w:rsidP="00B56575">
            <w:pPr>
              <w:tabs>
                <w:tab w:val="center" w:pos="284"/>
              </w:tabs>
              <w:overflowPunct w:val="0"/>
              <w:autoSpaceDE w:val="0"/>
              <w:autoSpaceDN w:val="0"/>
              <w:adjustRightInd w:val="0"/>
              <w:ind w:left="266" w:hanging="266"/>
              <w:textAlignment w:val="baseline"/>
            </w:pPr>
            <w:r>
              <w:t>EESC-2026-00075-00-00-AC</w:t>
            </w:r>
          </w:p>
          <w:p w14:paraId="0B733C5A" w14:textId="12017461" w:rsidR="004D2D6F" w:rsidRPr="00016D49" w:rsidRDefault="004D2D6F" w:rsidP="00016D49">
            <w:pPr>
              <w:tabs>
                <w:tab w:val="center" w:pos="-1198"/>
              </w:tabs>
              <w:overflowPunct w:val="0"/>
              <w:autoSpaceDE w:val="0"/>
              <w:autoSpaceDN w:val="0"/>
              <w:adjustRightInd w:val="0"/>
              <w:ind w:left="-1668" w:hanging="1464"/>
              <w:jc w:val="left"/>
              <w:textAlignment w:val="baseline"/>
            </w:pPr>
            <w:r>
              <w:t>El CESE:</w:t>
            </w: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Puntos clave</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El CESE: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4C6742">
      <w:pPr>
        <w:widowControl w:val="0"/>
        <w:numPr>
          <w:ilvl w:val="0"/>
          <w:numId w:val="37"/>
        </w:numPr>
        <w:overflowPunct w:val="0"/>
        <w:autoSpaceDE w:val="0"/>
        <w:autoSpaceDN w:val="0"/>
        <w:adjustRightInd w:val="0"/>
        <w:ind w:left="284" w:hanging="284"/>
        <w:textAlignment w:val="baseline"/>
        <w:rPr>
          <w:bCs/>
          <w:iCs/>
        </w:rPr>
      </w:pPr>
      <w:r>
        <w:t xml:space="preserve">acoge con satisfacción la revisión del Reglamento sobre la Ciberseguridad y la actualización de la Directiva SRI 2, y destaca que la ciberseguridad debe tratarse como una </w:t>
      </w:r>
      <w:r>
        <w:rPr>
          <w:b/>
        </w:rPr>
        <w:t>cuestión fundamental de seguridad económica y resiliencia geopolítica</w:t>
      </w:r>
      <w:r>
        <w:t>, al tiempo que se simplifican las normas y se reducen las cargas administrativas para las empresas;</w:t>
      </w:r>
    </w:p>
    <w:p w14:paraId="31A5FE88"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pide una </w:t>
      </w:r>
      <w:r>
        <w:rPr>
          <w:b/>
        </w:rPr>
        <w:t>ENISA más fuerte y dotada con mayores recursos</w:t>
      </w:r>
      <w:r>
        <w:t>, con un mandato claro y consolidado y una financiación y un personal suficientes para cumplir eficazmente sus responsabilidades ampliadas, también en lo que respecta al desarrollo de capacidades y la certificación;</w:t>
      </w:r>
    </w:p>
    <w:p w14:paraId="48226406"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destaca el papel fundamental de </w:t>
      </w:r>
      <w:r>
        <w:rPr>
          <w:b/>
        </w:rPr>
        <w:t>las capacidades y la formación del personal</w:t>
      </w:r>
      <w:r>
        <w:t xml:space="preserve"> en la resiliencia en materia de ciberseguridad, y apoya los marcos de capacidades y los esquemas de certificación a escala de la Unión, velando al mismo tiempo por que sigan estando coordinados y siendo prácticos y accesibles en todos los Estados miembros;</w:t>
      </w:r>
    </w:p>
    <w:p w14:paraId="6A6411FE"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destaca la creciente importancia de la ciberseguridad para la </w:t>
      </w:r>
      <w:r>
        <w:rPr>
          <w:b/>
        </w:rPr>
        <w:t>resiliencia democrática</w:t>
      </w:r>
      <w:r>
        <w:t xml:space="preserve">, e insta a </w:t>
      </w:r>
      <w:r>
        <w:rPr>
          <w:b/>
        </w:rPr>
        <w:t>mejorar la coordinación de la Unión</w:t>
      </w:r>
      <w:r>
        <w:t xml:space="preserve"> para proteger las elecciones y las infraestructuras críticas de los ciberataques, la desinformación y las injerencias extranjeras;</w:t>
      </w:r>
    </w:p>
    <w:p w14:paraId="1C1338FC"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apoya un </w:t>
      </w:r>
      <w:r>
        <w:rPr>
          <w:b/>
        </w:rPr>
        <w:t>marco de certificación racionalizado y eficaz</w:t>
      </w:r>
      <w:r>
        <w:t>, basado en un enfoque de «certificado una vez, certificado en todas partes», que garantice la claridad jurídica, la transparencia y la proporcionalidad, en particular para las pymes y los operadores transfronterizos;</w:t>
      </w:r>
    </w:p>
    <w:p w14:paraId="287DCAC1"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insta a adoptar un </w:t>
      </w:r>
      <w:r>
        <w:rPr>
          <w:b/>
        </w:rPr>
        <w:t>enfoque equilibrado en relación con la seguridad de la cadena de suministro de TIC</w:t>
      </w:r>
      <w:r>
        <w:t>, con medidas transparentes y basadas en el riesgo y una evaluación completa de las repercusiones económicas, operativas y sociales, al mismo tiempo que se evitan cargas de cumplimiento excesivas y se garantiza una participación significativa de los interlocutores sociales y las partes interesadas.</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A83352" w:rsidRPr="00A83352" w14:paraId="6378B503" w14:textId="77777777" w:rsidTr="00016D49">
        <w:tc>
          <w:tcPr>
            <w:tcW w:w="2235"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Contacto:</w:t>
            </w:r>
          </w:p>
        </w:tc>
        <w:tc>
          <w:tcPr>
            <w:tcW w:w="4853"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Silvia STAFFA</w:t>
            </w:r>
          </w:p>
        </w:tc>
      </w:tr>
      <w:tr w:rsidR="00A83352" w:rsidRPr="00A83352" w14:paraId="3427545F" w14:textId="77777777" w:rsidTr="00016D49">
        <w:tc>
          <w:tcPr>
            <w:tcW w:w="2235"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Teléfono:</w:t>
            </w:r>
          </w:p>
        </w:tc>
        <w:tc>
          <w:tcPr>
            <w:tcW w:w="4853"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+32 25468378</w:t>
            </w:r>
          </w:p>
        </w:tc>
      </w:tr>
      <w:tr w:rsidR="00A83352" w:rsidRPr="00A83352" w14:paraId="72DC4E78" w14:textId="77777777" w:rsidTr="00016D49">
        <w:tc>
          <w:tcPr>
            <w:tcW w:w="2235"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Correo electrónico:</w:t>
            </w:r>
          </w:p>
        </w:tc>
        <w:tc>
          <w:tcPr>
            <w:tcW w:w="4853" w:type="dxa"/>
          </w:tcPr>
          <w:p w14:paraId="1D8269C1" w14:textId="46CFDBA5" w:rsidR="00A83352" w:rsidRPr="00A83352" w:rsidRDefault="00C76D56" w:rsidP="00A83352">
            <w:pPr>
              <w:overflowPunct w:val="0"/>
              <w:autoSpaceDE w:val="0"/>
              <w:autoSpaceDN w:val="0"/>
              <w:adjustRightInd w:val="0"/>
              <w:spacing w:line="240" w:lineRule="auto"/>
              <w:textAlignment w:val="baseline"/>
              <w:rPr>
                <w:i/>
              </w:rPr>
            </w:pPr>
            <w:hyperlink r:id="rId44" w:history="1">
              <w:r>
                <w:rPr>
                  <w:i/>
                  <w:color w:val="0000FF"/>
                  <w:u w:val="single"/>
                </w:rPr>
                <w:t>Silvia.Staffa@eesc.europa.eu</w:t>
              </w:r>
            </w:hyperlink>
          </w:p>
          <w:p w14:paraId="2F1FD287" w14:textId="77777777" w:rsidR="00A83352" w:rsidRPr="00A83352" w:rsidRDefault="00A83352" w:rsidP="00A83352">
            <w:pPr>
              <w:overflowPunct w:val="0"/>
              <w:autoSpaceDE w:val="0"/>
              <w:autoSpaceDN w:val="0"/>
              <w:adjustRightInd w:val="0"/>
              <w:spacing w:line="240" w:lineRule="auto"/>
              <w:textAlignment w:val="baseline"/>
              <w:rPr>
                <w:i/>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00A18C05" w:rsidR="00665940" w:rsidRPr="00665940" w:rsidRDefault="00C76D56"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Pr>
            <w:b/>
            <w:i/>
            <w:color w:val="0000FF"/>
            <w:sz w:val="28"/>
            <w:u w:val="single"/>
          </w:rPr>
          <w:t>Creación de un Centro Europeo de Excelencia Clínica para los Productos Farmacéuticos</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665940" w:rsidRPr="00665940" w14:paraId="42EBD1F0" w14:textId="77777777" w:rsidTr="00016D49">
        <w:tc>
          <w:tcPr>
            <w:tcW w:w="1701"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Ponente</w:t>
            </w:r>
          </w:p>
        </w:tc>
        <w:tc>
          <w:tcPr>
            <w:tcW w:w="7479"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r>
              <w:t>Veselin MITOV (Grupo de Trabajadores – BG)</w:t>
            </w:r>
          </w:p>
        </w:tc>
      </w:tr>
      <w:tr w:rsidR="00665940" w:rsidRPr="00665940" w14:paraId="4D35B05F" w14:textId="77777777" w:rsidTr="00016D49">
        <w:tc>
          <w:tcPr>
            <w:tcW w:w="9180"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016D49">
        <w:trPr>
          <w:trHeight w:val="404"/>
        </w:trPr>
        <w:tc>
          <w:tcPr>
            <w:tcW w:w="1701"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Referencia</w:t>
            </w:r>
          </w:p>
        </w:tc>
        <w:tc>
          <w:tcPr>
            <w:tcW w:w="7479" w:type="dxa"/>
          </w:tcPr>
          <w:p w14:paraId="0BCAF6AE" w14:textId="03E7889E" w:rsidR="00665940" w:rsidRPr="00665940" w:rsidRDefault="00665940" w:rsidP="00F170AA">
            <w:pPr>
              <w:tabs>
                <w:tab w:val="center" w:pos="284"/>
              </w:tabs>
              <w:overflowPunct w:val="0"/>
              <w:autoSpaceDE w:val="0"/>
              <w:autoSpaceDN w:val="0"/>
              <w:adjustRightInd w:val="0"/>
              <w:ind w:left="266" w:right="-254" w:hanging="266"/>
              <w:textAlignment w:val="baseline"/>
            </w:pPr>
            <w:r>
              <w:t>Dictamen exploratorio solicitado por la Presidencia chipriota del Consejo de la UE</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Puntos clave</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El CESE:</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recomienda crear un Centro Europeo de Excelencia Clínica, concebido como un organismo de referencia no vinculante de la UE, encargado de traducir los datos científicos en orientaciones clínicas de alta calidad, respetando plenamente los principios de subsidiariedad y proporcionalidad, con el fin de promover un acceso equitativo a una asistencia sanitaria de elevada calidad en toda la UE;</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considera que el Centro debe integrarse en una estrategia más amplia de resiliencia sanitaria de la UE para impulsar la cooperación científica, la adopción de innovaciones y la autonomía estratégica de la UE;</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estima que el Centro debe complementar, y no sustituir, las estructuras nacionales y de la UE existentes, servir de punto de referencia científica común y operar dentro de un marco de gobernanza sólido;</w:t>
      </w:r>
    </w:p>
    <w:p w14:paraId="05280080"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opina que el mandato del Centro debe definirse claramente y centrarse en la excelencia científica, la transparencia y la relevancia práctica, prestando especial atención al análisis y la síntesis sistemáticos de datos clínicos, incluidas las evaluaciones clínicas conjuntas y los datos de la vida real. Debe elaborar recomendaciones de farmacoterapia y protocolos clínicos no vinculantes y basados en datos contrastados para apoyar la toma de decisiones a nivel nacional;</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recomienda crear el Centro como un nuevo organismo descentralizado de la UE para garantizar la coherencia científica, la continuidad institucional y la independencia, regido por un modelo equilibrado de varios niveles que abarque a los Estados miembros, la Comisión Europea y la sociedad civil organizada;</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considera que una financiación estable, adecuada y previsible con cargo al presupuesto de la UE es un requisito previo para la credibilidad, la independencia y la eficacia a largo plazo del Centro. Toda financiación complementaria debe ser objeto de una estricta regulación y plenamente transparente, a fin de evitar influencias indebidas en los resultados científicos.</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665940" w:rsidRPr="00665940" w14:paraId="62BF535A" w14:textId="77777777" w:rsidTr="00016D49">
        <w:tc>
          <w:tcPr>
            <w:tcW w:w="2235"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Contacto:</w:t>
            </w:r>
          </w:p>
        </w:tc>
        <w:tc>
          <w:tcPr>
            <w:tcW w:w="4853"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r>
              <w:rPr>
                <w:i/>
              </w:rPr>
              <w:t>Radoslava STEFANKOVA</w:t>
            </w:r>
          </w:p>
        </w:tc>
      </w:tr>
      <w:tr w:rsidR="00665940" w:rsidRPr="00665940" w14:paraId="50843905" w14:textId="77777777" w:rsidTr="00016D49">
        <w:tc>
          <w:tcPr>
            <w:tcW w:w="2235"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Teléfono:</w:t>
            </w:r>
          </w:p>
        </w:tc>
        <w:tc>
          <w:tcPr>
            <w:tcW w:w="4853"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+32 25468188</w:t>
            </w:r>
          </w:p>
        </w:tc>
      </w:tr>
      <w:tr w:rsidR="00665940" w:rsidRPr="00665940" w14:paraId="7215EA9F" w14:textId="77777777" w:rsidTr="00016D49">
        <w:tc>
          <w:tcPr>
            <w:tcW w:w="2235"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Correo electrónico:</w:t>
            </w:r>
          </w:p>
        </w:tc>
        <w:tc>
          <w:tcPr>
            <w:tcW w:w="4853" w:type="dxa"/>
          </w:tcPr>
          <w:p w14:paraId="51562D55" w14:textId="240F0FA1" w:rsidR="00665940" w:rsidRPr="00665940" w:rsidRDefault="00C76D56" w:rsidP="00665940">
            <w:pPr>
              <w:overflowPunct w:val="0"/>
              <w:autoSpaceDE w:val="0"/>
              <w:autoSpaceDN w:val="0"/>
              <w:adjustRightInd w:val="0"/>
              <w:spacing w:line="240" w:lineRule="auto"/>
              <w:textAlignment w:val="baseline"/>
              <w:rPr>
                <w:i/>
              </w:rPr>
            </w:pPr>
            <w:hyperlink r:id="rId46" w:history="1">
              <w:r>
                <w:rPr>
                  <w:i/>
                  <w:color w:val="0000FF"/>
                  <w:u w:val="single"/>
                </w:rPr>
                <w:t>Radoslava.Stefankova@eesc.europa.eu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11A9F6CA" w:rsidR="00445258" w:rsidRPr="00445258" w:rsidRDefault="00445258"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Pr>
            <w:b/>
            <w:i/>
            <w:color w:val="0000FF"/>
            <w:sz w:val="28"/>
            <w:u w:val="single"/>
          </w:rPr>
          <w:t>Precursores de drogas</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445258" w14:paraId="7E507868" w14:textId="77777777" w:rsidTr="002E7EFB">
        <w:tc>
          <w:tcPr>
            <w:tcW w:w="1148" w:type="pct"/>
          </w:tcPr>
          <w:p w14:paraId="3292FCF5"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Ponente</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5A2AAF34" w14:textId="77777777" w:rsidR="00445258" w:rsidRPr="00445258" w:rsidRDefault="00445258" w:rsidP="00445258">
            <w:pPr>
              <w:tabs>
                <w:tab w:val="center" w:pos="284"/>
              </w:tabs>
              <w:overflowPunct w:val="0"/>
              <w:autoSpaceDE w:val="0"/>
              <w:autoSpaceDN w:val="0"/>
              <w:adjustRightInd w:val="0"/>
              <w:ind w:left="266" w:hanging="266"/>
              <w:textAlignment w:val="baseline"/>
            </w:pPr>
          </w:p>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Diego DUTTO (Grupo de Organizaciones de la Sociedad Civil –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2E7EFB">
        <w:tc>
          <w:tcPr>
            <w:tcW w:w="1148"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Referencias</w:t>
            </w:r>
          </w:p>
        </w:tc>
        <w:tc>
          <w:tcPr>
            <w:tcW w:w="3852"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r>
              <w:t xml:space="preserve">COM(2025) 747 final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Puntos clave</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El CESE formula las siguientes recomendaciones:</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garantizar que el acceso al «repositorio de información sobre precursores de drogas» sea totalmente gratuito;</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conceder exenciones totales o reducciones significativas de las tasas por la tramitación de la solicitud de una licencia para universidades, institutos de investigación y organizaciones filantrópicas;</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racionalizar los procedimientos de notificación previa para el uso de pequeñas cantidades de precursores de diseño;</w:t>
      </w:r>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crear un canal de orientación técnica específico para todas las partes interesadas, incluidas las organizaciones del tercer sector, que permita una rápida aclaración de la clasificación de las variantes de sustancias;</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evitar la inseguridad jurídica que la inclusión genérica de grupos de sustancias en la categoría 3 causa a los laboratorios de investigación mediante la publicación de listas de exenciones claras, oportunas y exhaustivas;</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implicar a las organizaciones de la sociedad civil especializadas en la prevención de las adicciones y la reducción de los daños en las actividades de sensibilización y formación;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aplicar de manera flexible la obligación de nombrar a una «persona responsable» en el caso de las pequeñas organizaciones civiles, y permitir designar a un miembro del personal interno en activo;</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establecer una regulación homogénea en la UE, ya que esta ayudará a las autoridades a efectuar el seguimiento del comercio de sustancias y el uso de sustancias en la investigación en toda Europa. </w:t>
      </w:r>
    </w:p>
    <w:p w14:paraId="6673E6C9"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proteger la autonomía de los investigadores que utilicen precursores de la categoría 3 garantizando que los controles por parte de las autoridades competentes (artículo 28) se basen en el riesgo y no interfieran con la confidencialidad o la integridad de los protocolos de investigación científica;</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97"/>
      </w:tblGrid>
      <w:tr w:rsidR="00445258" w:rsidRPr="00445258" w14:paraId="34E47DF7" w14:textId="77777777" w:rsidTr="00016D49">
        <w:tc>
          <w:tcPr>
            <w:tcW w:w="1711"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Contacto:</w:t>
            </w:r>
          </w:p>
        </w:tc>
        <w:tc>
          <w:tcPr>
            <w:tcW w:w="3289"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r>
              <w:rPr>
                <w:i/>
              </w:rPr>
              <w:t>Radoslava STEFANKOVA</w:t>
            </w:r>
          </w:p>
        </w:tc>
      </w:tr>
      <w:tr w:rsidR="00445258" w:rsidRPr="00445258" w14:paraId="12D23E6C" w14:textId="77777777" w:rsidTr="00016D49">
        <w:tc>
          <w:tcPr>
            <w:tcW w:w="1711"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Teléfono:</w:t>
            </w:r>
          </w:p>
        </w:tc>
        <w:tc>
          <w:tcPr>
            <w:tcW w:w="3289"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+32 25468188</w:t>
            </w:r>
          </w:p>
        </w:tc>
      </w:tr>
      <w:tr w:rsidR="00445258" w:rsidRPr="00445258" w14:paraId="751CD754" w14:textId="77777777" w:rsidTr="00016D49">
        <w:tc>
          <w:tcPr>
            <w:tcW w:w="1711"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Correo electrónico:</w:t>
            </w:r>
          </w:p>
        </w:tc>
        <w:tc>
          <w:tcPr>
            <w:tcW w:w="3289" w:type="pct"/>
          </w:tcPr>
          <w:p w14:paraId="7DA66FD2" w14:textId="3D428C40" w:rsidR="00445258" w:rsidRPr="00445258" w:rsidRDefault="00C76D56" w:rsidP="00445258">
            <w:pPr>
              <w:overflowPunct w:val="0"/>
              <w:autoSpaceDE w:val="0"/>
              <w:autoSpaceDN w:val="0"/>
              <w:adjustRightInd w:val="0"/>
              <w:spacing w:line="240" w:lineRule="auto"/>
              <w:textAlignment w:val="baseline"/>
              <w:rPr>
                <w:i/>
                <w:iCs/>
              </w:rPr>
            </w:pPr>
            <w:hyperlink r:id="rId48" w:history="1">
              <w:r>
                <w:rPr>
                  <w:i/>
                  <w:color w:val="0000FF"/>
                  <w:u w:val="single"/>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74C48698" w:rsidR="00DE758A" w:rsidRPr="00DE758A" w:rsidRDefault="00DE758A"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Pr>
            <w:b/>
            <w:i/>
            <w:color w:val="0000FF"/>
            <w:sz w:val="28"/>
            <w:u w:val="single"/>
          </w:rPr>
          <w:t>Productos sanitarios y productos sanitarios para diagnóstico in vitro / Simplificación</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Ponente</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r>
              <w:t>Danko RELIĆ (Grupo de Organizaciones de la Sociedad Civil –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Referencias</w:t>
            </w:r>
          </w:p>
        </w:tc>
        <w:tc>
          <w:tcPr>
            <w:tcW w:w="3771" w:type="pct"/>
          </w:tcPr>
          <w:p w14:paraId="6D00FAF5" w14:textId="56D763D6" w:rsidR="00DE758A" w:rsidRPr="00DE758A" w:rsidRDefault="00DE758A" w:rsidP="00DE758A">
            <w:pPr>
              <w:tabs>
                <w:tab w:val="center" w:pos="284"/>
              </w:tabs>
              <w:overflowPunct w:val="0"/>
              <w:autoSpaceDE w:val="0"/>
              <w:autoSpaceDN w:val="0"/>
              <w:adjustRightInd w:val="0"/>
              <w:ind w:left="266" w:hanging="266"/>
              <w:textAlignment w:val="baseline"/>
            </w:pPr>
            <w:r>
              <w:t xml:space="preserve">COM(2025) 1023 final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Puntos clave</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El CESE:</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r>
        <w:t xml:space="preserve">acoge con satisfacción la propuesta de la Comisión de simplificar y racionalizar el Reglamento sobre los productos sanitarios y el Reglamento sobre los productos sanitarios para diagnóstico </w:t>
      </w:r>
      <w:r>
        <w:rPr>
          <w:i/>
          <w:iCs/>
        </w:rPr>
        <w:t>in vitro</w:t>
      </w:r>
      <w:r>
        <w:t>, al tiempo que se salvaguarda la seguridad de los pacientes, la protección de la salud pública y la confianza en el sistema regulador;</w:t>
      </w:r>
    </w:p>
    <w:p w14:paraId="3F3B23CD" w14:textId="77777777" w:rsidR="00DE758A" w:rsidRPr="004C6742" w:rsidRDefault="00DE758A" w:rsidP="004C6742">
      <w:pPr>
        <w:pStyle w:val="ListParagraph"/>
        <w:numPr>
          <w:ilvl w:val="0"/>
          <w:numId w:val="77"/>
        </w:numPr>
        <w:ind w:left="567" w:hanging="567"/>
      </w:pPr>
      <w:r>
        <w:t xml:space="preserve">destaca que </w:t>
      </w:r>
      <w:r>
        <w:rPr>
          <w:b/>
        </w:rPr>
        <w:t>la simplificación debe garantizar la seguridad jurídica, unos resultados de certificación previsibles y unas prácticas armonizadas en todos los Estados miembros</w:t>
      </w:r>
      <w:r>
        <w:t>, evitando que haya divergencias entre los organismos notificados y se generen incertidumbres para las pymes y las microempresas;</w:t>
      </w:r>
    </w:p>
    <w:p w14:paraId="5AD93FCB" w14:textId="77777777" w:rsidR="00DE758A" w:rsidRPr="004C6742" w:rsidRDefault="00DE758A" w:rsidP="004C6742">
      <w:pPr>
        <w:pStyle w:val="ListParagraph"/>
        <w:numPr>
          <w:ilvl w:val="0"/>
          <w:numId w:val="77"/>
        </w:numPr>
        <w:ind w:left="567" w:hanging="567"/>
      </w:pPr>
      <w:r>
        <w:t xml:space="preserve">hace hincapié en que </w:t>
      </w:r>
      <w:r>
        <w:rPr>
          <w:b/>
        </w:rPr>
        <w:t>la digitalización de los procedimientos de evaluación de la conformidad y las auditorías debe evitar la duplicación de requisitos y costes adicionales</w:t>
      </w:r>
      <w:r>
        <w:t>, en particular para las pymes, los trabajadores y el personal sanitario, y estar sustentada en orientaciones claras, formación y asistencia técnica;</w:t>
      </w:r>
    </w:p>
    <w:p w14:paraId="5B714428" w14:textId="77777777" w:rsidR="00DE758A" w:rsidRPr="004C6742" w:rsidRDefault="00DE758A" w:rsidP="004C6742">
      <w:pPr>
        <w:pStyle w:val="ListParagraph"/>
        <w:numPr>
          <w:ilvl w:val="0"/>
          <w:numId w:val="77"/>
        </w:numPr>
        <w:ind w:left="567" w:hanging="567"/>
      </w:pPr>
      <w:r>
        <w:t>insiste en que l</w:t>
      </w:r>
      <w:r>
        <w:rPr>
          <w:b/>
        </w:rPr>
        <w:t>a simplificación no debe verse socavada por el aumento de las tasas que cobran los organismos notificados</w:t>
      </w:r>
      <w:r>
        <w:t xml:space="preserve"> y en que </w:t>
      </w:r>
      <w:r>
        <w:rPr>
          <w:b/>
        </w:rPr>
        <w:t>deben reforzarse los sistemas de seguimiento y vigilancia poscomercialización</w:t>
      </w:r>
      <w:r>
        <w:t xml:space="preserve"> como mecanismo compensatorio clave ante una mayor flexibilidad de los requisitos previos a la comercialización;</w:t>
      </w:r>
    </w:p>
    <w:p w14:paraId="2350A493" w14:textId="77777777" w:rsidR="00DE758A" w:rsidRPr="004C6742" w:rsidRDefault="00DE758A" w:rsidP="004C6742">
      <w:pPr>
        <w:pStyle w:val="ListParagraph"/>
        <w:numPr>
          <w:ilvl w:val="0"/>
          <w:numId w:val="77"/>
        </w:numPr>
        <w:ind w:left="567" w:hanging="567"/>
      </w:pPr>
      <w:r>
        <w:t xml:space="preserve">apoya la introducción de </w:t>
      </w:r>
      <w:r>
        <w:rPr>
          <w:b/>
        </w:rPr>
        <w:t>vías reguladoras propicias para los productos de vanguardia y huérfanos, velando al mismo tiempo por la transparencia</w:t>
      </w:r>
      <w:r>
        <w:t xml:space="preserve"> (también a través de Eudamed, la Base de Datos Europea sobre Productos Sanitarios), y pide la </w:t>
      </w:r>
      <w:r>
        <w:rPr>
          <w:b/>
        </w:rPr>
        <w:t>participación sistemática de los interlocutores sociales, los profesionales sanitarios y la sociedad civil</w:t>
      </w:r>
      <w:r>
        <w:t xml:space="preserve"> en el seguimiento de la aplicación y su impacto.</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97"/>
      </w:tblGrid>
      <w:tr w:rsidR="00DE758A" w:rsidRPr="00DE758A" w14:paraId="5DE0DD71" w14:textId="77777777" w:rsidTr="00016D49">
        <w:tc>
          <w:tcPr>
            <w:tcW w:w="1711"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Contacto:</w:t>
            </w:r>
          </w:p>
        </w:tc>
        <w:tc>
          <w:tcPr>
            <w:tcW w:w="3289"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Silvia STAFFA</w:t>
            </w:r>
          </w:p>
        </w:tc>
      </w:tr>
      <w:tr w:rsidR="00DE758A" w:rsidRPr="00DE758A" w14:paraId="3624305D" w14:textId="77777777" w:rsidTr="00016D49">
        <w:tc>
          <w:tcPr>
            <w:tcW w:w="1711"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Teléfono:</w:t>
            </w:r>
          </w:p>
        </w:tc>
        <w:tc>
          <w:tcPr>
            <w:tcW w:w="3289"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+ 32 25468378</w:t>
            </w:r>
          </w:p>
        </w:tc>
      </w:tr>
      <w:tr w:rsidR="00DE758A" w:rsidRPr="00DE758A" w14:paraId="7362C1AC" w14:textId="77777777" w:rsidTr="00016D49">
        <w:tc>
          <w:tcPr>
            <w:tcW w:w="1711"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Correo electrónico:</w:t>
            </w:r>
          </w:p>
        </w:tc>
        <w:tc>
          <w:tcPr>
            <w:tcW w:w="3289" w:type="pct"/>
          </w:tcPr>
          <w:p w14:paraId="7476247D" w14:textId="05858620" w:rsidR="00DE758A" w:rsidRPr="00DE758A" w:rsidRDefault="00C76D56" w:rsidP="00DE758A">
            <w:pPr>
              <w:overflowPunct w:val="0"/>
              <w:autoSpaceDE w:val="0"/>
              <w:autoSpaceDN w:val="0"/>
              <w:adjustRightInd w:val="0"/>
              <w:spacing w:line="240" w:lineRule="auto"/>
              <w:textAlignment w:val="baseline"/>
              <w:rPr>
                <w:i/>
                <w:iCs/>
              </w:rPr>
            </w:pPr>
            <w:hyperlink r:id="rId50" w:history="1">
              <w:r>
                <w:rPr>
                  <w:i/>
                  <w:color w:val="0000FF"/>
                  <w:u w:val="single"/>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6AC84A1C" w:rsidR="00CB6F1C" w:rsidRPr="00CB6F1C" w:rsidRDefault="00CB6F1C"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Pr>
            <w:b/>
            <w:i/>
            <w:color w:val="0000FF"/>
            <w:sz w:val="28"/>
            <w:u w:val="single"/>
          </w:rPr>
          <w:t>Una normalización estratégica para un mercado único más sólido</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Ponente</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r>
              <w:t>Angelo PAGLIARA (Grupo de Trabajadores –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Referencia</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t>Dictamen de iniciativa</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t>EESC-2026-00549-00-00-AC</w:t>
            </w: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Puntos clave</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El CESE:</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destaca que la </w:t>
      </w:r>
      <w:r>
        <w:rPr>
          <w:b/>
        </w:rPr>
        <w:t>inclusividad</w:t>
      </w:r>
      <w:r>
        <w:t xml:space="preserve"> es esencial para un sistema de normalización legítimo y eficaz, y pide una </w:t>
      </w:r>
      <w:r>
        <w:rPr>
          <w:b/>
        </w:rPr>
        <w:t>mayor participación de las pymes, los sindicatos y la sociedad civil</w:t>
      </w:r>
      <w:r>
        <w:t>, respaldada por una financiación adecuada, el desarrollo de capacidades y un acceso simplificado;</w:t>
      </w:r>
    </w:p>
    <w:p w14:paraId="0EF2C81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pide salvaguardias claras para proteger el diálogo social, insistiendo en que </w:t>
      </w:r>
      <w:r>
        <w:rPr>
          <w:b/>
        </w:rPr>
        <w:t>las normas europeas deben seguir siendo herramientas técnicas de apoyo a la legislación</w:t>
      </w:r>
      <w:r>
        <w:t xml:space="preserve"> y no deben entrar a regular cuestiones relacionadas con los derechos de los trabajadores, las condiciones de trabajo o la negociación colectiva, ni tampoco interferir en ellas;</w:t>
      </w:r>
    </w:p>
    <w:p w14:paraId="12F2C5A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recomienda una </w:t>
      </w:r>
      <w:r>
        <w:rPr>
          <w:b/>
        </w:rPr>
        <w:t>mayor transparencia</w:t>
      </w:r>
      <w:r>
        <w:t xml:space="preserve"> y accesibilidad, incluido un </w:t>
      </w:r>
      <w:r>
        <w:rPr>
          <w:b/>
        </w:rPr>
        <w:t>acceso público más fácil a las normas</w:t>
      </w:r>
      <w:r>
        <w:t xml:space="preserve">, una </w:t>
      </w:r>
      <w:r>
        <w:rPr>
          <w:b/>
        </w:rPr>
        <w:t>gobernanza más clara de las comisiones técnicas</w:t>
      </w:r>
      <w:r>
        <w:t xml:space="preserve"> y una </w:t>
      </w:r>
      <w:r>
        <w:rPr>
          <w:b/>
        </w:rPr>
        <w:t xml:space="preserve">evaluación </w:t>
      </w:r>
      <w:r>
        <w:rPr>
          <w:b/>
          <w:i/>
        </w:rPr>
        <w:t>ex ante</w:t>
      </w:r>
      <w:r>
        <w:rPr>
          <w:b/>
        </w:rPr>
        <w:t xml:space="preserve"> de las peticiones de normalización</w:t>
      </w:r>
      <w:r>
        <w:t xml:space="preserve"> para garantizar que se respeten los derechos fundamentales y la legislación de la Unión;</w:t>
      </w:r>
    </w:p>
    <w:p w14:paraId="0695E42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destaca el papel estratégico de la normalización a la hora de impulsar el mercado único, la competitividad y la autonomía estratégica abierta, al tiempo que insta a una </w:t>
      </w:r>
      <w:r>
        <w:rPr>
          <w:b/>
        </w:rPr>
        <w:t>mayor coordinación de la Unión en el establecimiento de normas internacionales</w:t>
      </w:r>
      <w:r>
        <w:t xml:space="preserve"> para salvaguardar los intereses europeos y unas normas exigentes;</w:t>
      </w:r>
    </w:p>
    <w:p w14:paraId="3F5E5408"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aboga por un sistema más eficiente y </w:t>
      </w:r>
      <w:r>
        <w:rPr>
          <w:b/>
        </w:rPr>
        <w:t>preparado para el futuro</w:t>
      </w:r>
      <w:r>
        <w:t xml:space="preserve"> que posibilite mejoras en términos de puntualidad y calidad al tiempo que aborda las </w:t>
      </w:r>
      <w:r>
        <w:rPr>
          <w:b/>
        </w:rPr>
        <w:t>tecnologías emergentes</w:t>
      </w:r>
      <w:r>
        <w:t xml:space="preserve"> y garantiza que las normas apoyen la innovación, la sostenibilidad y unos </w:t>
      </w:r>
      <w:r>
        <w:rPr>
          <w:b/>
        </w:rPr>
        <w:t>altos niveles de protección de los trabajadores, los consumidores y el medio ambiente</w:t>
      </w:r>
      <w: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CB6F1C" w:rsidRPr="00CB6F1C" w14:paraId="10996137" w14:textId="77777777" w:rsidTr="00016D49">
        <w:tc>
          <w:tcPr>
            <w:tcW w:w="2235"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Contacto:</w:t>
            </w:r>
          </w:p>
        </w:tc>
        <w:tc>
          <w:tcPr>
            <w:tcW w:w="4853"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Silvia STAFFA</w:t>
            </w:r>
          </w:p>
        </w:tc>
      </w:tr>
      <w:tr w:rsidR="00CB6F1C" w:rsidRPr="00CB6F1C" w14:paraId="79343DDB" w14:textId="77777777" w:rsidTr="00016D49">
        <w:tc>
          <w:tcPr>
            <w:tcW w:w="2235"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Teléfono:</w:t>
            </w:r>
          </w:p>
        </w:tc>
        <w:tc>
          <w:tcPr>
            <w:tcW w:w="4853"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+32 25468378</w:t>
            </w:r>
          </w:p>
        </w:tc>
      </w:tr>
      <w:tr w:rsidR="00CB6F1C" w:rsidRPr="00CB6F1C" w14:paraId="47D09906" w14:textId="77777777" w:rsidTr="00016D49">
        <w:tc>
          <w:tcPr>
            <w:tcW w:w="2235"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Correo electrónico:</w:t>
            </w:r>
          </w:p>
        </w:tc>
        <w:tc>
          <w:tcPr>
            <w:tcW w:w="4853" w:type="dxa"/>
          </w:tcPr>
          <w:p w14:paraId="06BF328F" w14:textId="6743544C" w:rsidR="00CB6F1C" w:rsidRPr="00CB6F1C" w:rsidRDefault="00C76D56" w:rsidP="00CB6F1C">
            <w:pPr>
              <w:overflowPunct w:val="0"/>
              <w:autoSpaceDE w:val="0"/>
              <w:autoSpaceDN w:val="0"/>
              <w:adjustRightInd w:val="0"/>
              <w:spacing w:line="240" w:lineRule="auto"/>
              <w:textAlignment w:val="baseline"/>
              <w:rPr>
                <w:i/>
              </w:rPr>
            </w:pPr>
            <w:hyperlink r:id="rId52" w:history="1">
              <w:r>
                <w:rPr>
                  <w:i/>
                  <w:color w:val="0000FF"/>
                  <w:u w:val="single"/>
                </w:rPr>
                <w:t>Silvia.Staffa@eesc.europa.eu</w:t>
              </w:r>
            </w:hyperlink>
          </w:p>
          <w:p w14:paraId="7003408F" w14:textId="77777777" w:rsidR="00CB6F1C" w:rsidRPr="00CB6F1C" w:rsidRDefault="00CB6F1C" w:rsidP="00CB6F1C">
            <w:pPr>
              <w:overflowPunct w:val="0"/>
              <w:autoSpaceDE w:val="0"/>
              <w:autoSpaceDN w:val="0"/>
              <w:adjustRightInd w:val="0"/>
              <w:spacing w:line="240" w:lineRule="auto"/>
              <w:textAlignment w:val="baseline"/>
              <w:rPr>
                <w:i/>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01C3FFFA" w:rsidR="001F4150" w:rsidRPr="001F4150" w:rsidRDefault="00A067F3"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Pr>
            <w:b/>
            <w:i/>
            <w:color w:val="0000FF"/>
            <w:sz w:val="28"/>
            <w:u w:val="single"/>
          </w:rPr>
          <w:t>Mercado único – Abordar las restricciones territoriales injustificadas del suministro</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1F4150" w14:paraId="27380A90" w14:textId="77777777" w:rsidTr="002E7EFB">
        <w:tc>
          <w:tcPr>
            <w:tcW w:w="1148" w:type="pct"/>
          </w:tcPr>
          <w:p w14:paraId="2F79F3A7"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p w14:paraId="7485093C"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Ponente</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1F4150" w:rsidRDefault="001F4150" w:rsidP="001F4150">
            <w:pPr>
              <w:tabs>
                <w:tab w:val="center" w:pos="284"/>
              </w:tabs>
              <w:overflowPunct w:val="0"/>
              <w:autoSpaceDE w:val="0"/>
              <w:autoSpaceDN w:val="0"/>
              <w:adjustRightInd w:val="0"/>
              <w:ind w:left="266" w:hanging="266"/>
              <w:textAlignment w:val="baseline"/>
            </w:pPr>
          </w:p>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r>
              <w:t>Antje GERSTEIN (Grupo de Empresarios –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Referencia</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Dictamen exploratorio solicitado por la Comisión Europea</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Puntos clave</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El CESE:</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considera que las restricciones territoriales de suministro perjudican a las empresas transfronterizas y vulneran la promesa del mercado único de ofrecer a los consumidores posibilidades de elección y competencia en los precios;</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estima que es especialmente importante para los consumidores y los trabajadores aprovechar todos los beneficios potenciales de un mercado único que funcione correctamente en términos de precios y elección de productos;</w:t>
      </w:r>
    </w:p>
    <w:p w14:paraId="15925C71"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insta a los Estados miembros a que no adopten legislación nacional que renacionalice aún más el mercado de abastecimiento, y a que, en su lugar, eliminen los obstáculos injustificados a la libre circulación de mercancías, sin menoscabar por ello los requisitos legítimos en materia de protección de los consumidores;</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ve un valor añadido en considerar la posibilidad de crear directrices para las autoridades nacionales de competencia y las partes interesadas pertinentes;</w:t>
      </w:r>
    </w:p>
    <w:p w14:paraId="7CFAE062" w14:textId="77777777"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pide a la Comisión Europea que considere proponer legislación basada en los principios del Reglamento de Mercados Digitales o de la Directiva relativa a las prácticas comerciales desleales en la cadena agroalimentaria, con el fin de abordar eficazmente las restricciones territoriales de suministro y garantizar prácticas comerciales más justas en la cadena de suministro.</w:t>
      </w: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97"/>
      </w:tblGrid>
      <w:tr w:rsidR="001F4150" w:rsidRPr="001F4150" w14:paraId="040FF66B" w14:textId="77777777" w:rsidTr="00016D49">
        <w:tc>
          <w:tcPr>
            <w:tcW w:w="1711"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Contacto:</w:t>
            </w:r>
          </w:p>
        </w:tc>
        <w:tc>
          <w:tcPr>
            <w:tcW w:w="3289"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Annalisa TESSAROLO</w:t>
            </w:r>
          </w:p>
        </w:tc>
      </w:tr>
      <w:tr w:rsidR="001F4150" w:rsidRPr="001F4150" w14:paraId="5B08B574" w14:textId="77777777" w:rsidTr="00016D49">
        <w:tc>
          <w:tcPr>
            <w:tcW w:w="1711"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Teléfono:</w:t>
            </w:r>
          </w:p>
        </w:tc>
        <w:tc>
          <w:tcPr>
            <w:tcW w:w="3289"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+32 25469732</w:t>
            </w:r>
          </w:p>
        </w:tc>
      </w:tr>
      <w:tr w:rsidR="001F4150" w:rsidRPr="001F4150" w14:paraId="1C237976" w14:textId="77777777" w:rsidTr="00016D49">
        <w:tc>
          <w:tcPr>
            <w:tcW w:w="1711"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Correo electrónico:</w:t>
            </w:r>
          </w:p>
        </w:tc>
        <w:tc>
          <w:tcPr>
            <w:tcW w:w="3289" w:type="pct"/>
          </w:tcPr>
          <w:p w14:paraId="67D97326" w14:textId="475A3B46" w:rsidR="001F4150" w:rsidRPr="001F4150" w:rsidRDefault="00C76D56" w:rsidP="001F4150">
            <w:pPr>
              <w:overflowPunct w:val="0"/>
              <w:autoSpaceDE w:val="0"/>
              <w:autoSpaceDN w:val="0"/>
              <w:adjustRightInd w:val="0"/>
              <w:spacing w:line="240" w:lineRule="auto"/>
              <w:textAlignment w:val="baseline"/>
              <w:rPr>
                <w:i/>
                <w:iCs/>
              </w:rPr>
            </w:pPr>
            <w:hyperlink r:id="rId54" w:history="1">
              <w:r>
                <w:rPr>
                  <w:i/>
                  <w:color w:val="0000FF"/>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10B82431" w:rsidR="00227AA1" w:rsidRPr="00227AA1" w:rsidRDefault="00C76D56"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Pr>
            <w:b/>
            <w:i/>
            <w:color w:val="0000FF"/>
            <w:sz w:val="28"/>
            <w:u w:val="single"/>
          </w:rPr>
          <w:t>Estrategia de la UE para las empresas emergentes y en expansión, con especial atención al acto legislativo sobre la innovación europea</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227AA1" w:rsidRPr="00227AA1" w14:paraId="6C2F2EA8" w14:textId="77777777" w:rsidTr="00016D49">
        <w:tc>
          <w:tcPr>
            <w:tcW w:w="1701"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Ponente</w:t>
            </w:r>
          </w:p>
        </w:tc>
        <w:tc>
          <w:tcPr>
            <w:tcW w:w="7479" w:type="dxa"/>
          </w:tcPr>
          <w:p w14:paraId="5142010D" w14:textId="5A5766AF" w:rsidR="00227AA1" w:rsidRPr="00227AA1" w:rsidRDefault="00227AA1" w:rsidP="00227AA1">
            <w:pPr>
              <w:tabs>
                <w:tab w:val="center" w:pos="284"/>
              </w:tabs>
              <w:overflowPunct w:val="0"/>
              <w:autoSpaceDE w:val="0"/>
              <w:autoSpaceDN w:val="0"/>
              <w:adjustRightInd w:val="0"/>
              <w:ind w:left="266" w:hanging="266"/>
              <w:textAlignment w:val="baseline"/>
            </w:pPr>
            <w:r>
              <w:t>Paul RÜBIG (Grupo de Empresarios – AT)</w:t>
            </w:r>
          </w:p>
        </w:tc>
      </w:tr>
      <w:tr w:rsidR="00227AA1" w:rsidRPr="00227AA1" w14:paraId="35AF9FA7" w14:textId="77777777" w:rsidTr="00016D49">
        <w:tc>
          <w:tcPr>
            <w:tcW w:w="9180"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016D49">
        <w:tc>
          <w:tcPr>
            <w:tcW w:w="1701"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Referencia</w:t>
            </w:r>
          </w:p>
        </w:tc>
        <w:tc>
          <w:tcPr>
            <w:tcW w:w="7479" w:type="dxa"/>
          </w:tcPr>
          <w:p w14:paraId="05D43623" w14:textId="3773BAC0" w:rsidR="00227AA1" w:rsidRPr="00227AA1" w:rsidRDefault="00227AA1" w:rsidP="00227AA1">
            <w:pPr>
              <w:tabs>
                <w:tab w:val="center" w:pos="284"/>
              </w:tabs>
              <w:overflowPunct w:val="0"/>
              <w:autoSpaceDE w:val="0"/>
              <w:autoSpaceDN w:val="0"/>
              <w:adjustRightInd w:val="0"/>
              <w:ind w:left="266" w:hanging="266"/>
              <w:textAlignment w:val="baseline"/>
            </w:pPr>
            <w:r>
              <w:t>Dictamen exploratorio solicitado por la Presidencia chipriota del Consejo de la UE</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t>EESC-2025-04126-00-00-AC</w:t>
            </w:r>
          </w:p>
        </w:tc>
      </w:tr>
      <w:tr w:rsidR="00227AA1" w:rsidRPr="00227AA1" w14:paraId="2384CA2A" w14:textId="77777777" w:rsidTr="00016D49">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7479"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Puntos clave</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El CESE considera que:</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Europa necesita reforzar considerablemente la innovación y la investigación, y todavía queda un largo camino por recorrer en lo que respecta a la comercialización de los frutos de esta innovación e investigación a través de empresas derivadas, emergentes y en expansión.</w:t>
      </w:r>
      <w:r>
        <w:rPr>
          <w:rFonts w:ascii="Calibri" w:hAnsi="Calibri"/>
        </w:rPr>
        <w:t xml:space="preserve"> </w:t>
      </w:r>
      <w:r>
        <w:t>En sectores de importancia estratégica, existe una creciente preocupación por que el entorno europeo se haya vuelto demasiado fragmentado, complejo y lento para seguir el ritmo de los rápidos avances tecnológicos a escala mundial;</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esto se debe, principalmente, a una menor comprensión de los procesos de la economía de mercado y a la creciente fragmentación de las normas que regulan el mercado interior y de su aplicación, lo cual dificulta la expansión transfronteriza del mercado y la transferencia de tecnología desde el ámbito de la investigación al de la industria;</w:t>
      </w:r>
    </w:p>
    <w:p w14:paraId="1B8E4833"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la lentitud de los procesos administrativos, la limitada digitalización y la aplicación incoherente de la normativa de la UE a escala nacional y regional plantean nuevos obstáculos para las empresas;</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el acto legislativo sobre la innovación europea puede ofrecer facilidades a las empresas emergentes y en expansión transfronterizas estableciendo simplificaciones transversales para las empresas emergentes, y puede aplicarse de manera vinculante en todos los Estados miembros, teniendo en cuenta también los derechos de los trabajadores y la participación de los empleados. El Comité subraya que el acto legislativo sobre la innovación europea debe ajustarse a los principios de una transición justa, garantizando que la innovación contribuya al crecimiento económico, la competitividad y la creación de empleo y teniendo en cuenta, al mismo tiempo, la necesidad de acompañar a los trabajadores y a las regiones afectados por la transformación tecnológica e industrial;</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 xml:space="preserve">un catálogo de criterios para evaluar el contenido innovador y las perspectivas de crecimiento sería más eficiente y preciso que una definición vinculante de los conceptos de «empresa emergente» y «empresa en expansión». Del mismo modo, un </w:t>
      </w:r>
      <w:r>
        <w:rPr>
          <w:i/>
          <w:iCs/>
        </w:rPr>
        <w:t>ranking</w:t>
      </w:r>
      <w:r>
        <w:t xml:space="preserve"> de las universidades más favorables al emprendimiento también podría resultar de gran apoyo al acto legislativo sobre la innovación europea. Además, el acto legislativo sobre la innovación europea debe reforzar el papel de las organizaciones de investigación y tecnología y del Instituto Europeo de Innovación y Tecnología, en particular en los sectores de tecnología profunda e intensivos en capital;</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r>
        <w:t>podría fomentarse la innovación y el crecimiento mediante incentivos fiscales a escala europea que favorezcan la participación accionarial de los trabajadores. Asimismo, debe ofrecerse protección contra los riesgos a los emprendedores, además de garantizarse salvaguardias adecuadas para los trabajadores y los acreedores en consonancia con los marcos vigentes en materia de insolvencia.</w:t>
      </w:r>
    </w:p>
    <w:p w14:paraId="5C529301" w14:textId="77777777" w:rsidR="00336295" w:rsidRPr="00227AA1" w:rsidRDefault="00336295" w:rsidP="00016D49">
      <w:pPr>
        <w:overflowPunct w:val="0"/>
        <w:autoSpaceDE w:val="0"/>
        <w:autoSpaceDN w:val="0"/>
        <w:adjustRightInd w:val="0"/>
        <w:spacing w:after="200" w:line="276" w:lineRule="auto"/>
        <w:ind w:left="567"/>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227AA1" w:rsidRPr="00227AA1" w14:paraId="5F5314FB" w14:textId="77777777" w:rsidTr="00016D49">
        <w:tc>
          <w:tcPr>
            <w:tcW w:w="2235"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Pr>
                <w:b/>
                <w:i/>
              </w:rPr>
              <w:t>Contacto:</w:t>
            </w:r>
          </w:p>
        </w:tc>
        <w:tc>
          <w:tcPr>
            <w:tcW w:w="4853"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Pr>
                <w:i/>
              </w:rPr>
              <w:t>Jana VALANT</w:t>
            </w:r>
          </w:p>
        </w:tc>
      </w:tr>
      <w:tr w:rsidR="00227AA1" w:rsidRPr="00227AA1" w14:paraId="3B10A3F9" w14:textId="77777777" w:rsidTr="00016D49">
        <w:tc>
          <w:tcPr>
            <w:tcW w:w="2235"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Pr>
                <w:i/>
              </w:rPr>
              <w:t>Teléfono:</w:t>
            </w:r>
          </w:p>
        </w:tc>
        <w:tc>
          <w:tcPr>
            <w:tcW w:w="4853" w:type="dxa"/>
          </w:tcPr>
          <w:p w14:paraId="173082A5" w14:textId="52E4D874" w:rsidR="00227AA1" w:rsidRPr="00227AA1" w:rsidRDefault="00227AA1" w:rsidP="00227AA1">
            <w:pPr>
              <w:overflowPunct w:val="0"/>
              <w:autoSpaceDE w:val="0"/>
              <w:autoSpaceDN w:val="0"/>
              <w:adjustRightInd w:val="0"/>
              <w:spacing w:line="240" w:lineRule="auto"/>
              <w:textAlignment w:val="baseline"/>
              <w:rPr>
                <w:i/>
              </w:rPr>
            </w:pPr>
            <w:r>
              <w:rPr>
                <w:i/>
              </w:rPr>
              <w:t>+32 25468924</w:t>
            </w:r>
          </w:p>
        </w:tc>
      </w:tr>
      <w:tr w:rsidR="00227AA1" w:rsidRPr="00227AA1" w14:paraId="06425715" w14:textId="77777777" w:rsidTr="00016D49">
        <w:tc>
          <w:tcPr>
            <w:tcW w:w="2235"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Correo electrónico:</w:t>
            </w:r>
          </w:p>
        </w:tc>
        <w:tc>
          <w:tcPr>
            <w:tcW w:w="4853" w:type="dxa"/>
          </w:tcPr>
          <w:p w14:paraId="69C6AF5C" w14:textId="610110F9" w:rsidR="00227AA1" w:rsidRPr="00227AA1" w:rsidRDefault="00C76D56" w:rsidP="00227AA1">
            <w:pPr>
              <w:overflowPunct w:val="0"/>
              <w:autoSpaceDE w:val="0"/>
              <w:autoSpaceDN w:val="0"/>
              <w:adjustRightInd w:val="0"/>
              <w:spacing w:line="240" w:lineRule="auto"/>
              <w:textAlignment w:val="baseline"/>
              <w:rPr>
                <w:i/>
              </w:rPr>
            </w:pPr>
            <w:hyperlink r:id="rId56" w:history="1">
              <w:r>
                <w:rPr>
                  <w:i/>
                  <w:color w:val="0000FF"/>
                  <w:u w:val="single"/>
                </w:rPr>
                <w:t>Jana.Valant@eesc.europa.eu</w:t>
              </w:r>
            </w:hyperlink>
          </w:p>
        </w:tc>
      </w:tr>
    </w:tbl>
    <w:p w14:paraId="4982DE1E" w14:textId="77777777" w:rsidR="004D7AC0" w:rsidRPr="00016D49" w:rsidRDefault="004D7AC0" w:rsidP="001766B2">
      <w:pPr>
        <w:jc w:val="left"/>
        <w:rPr>
          <w:sz w:val="2"/>
          <w:szCs w:val="2"/>
        </w:rPr>
      </w:pPr>
      <w:r w:rsidRPr="00016D49">
        <w:rPr>
          <w:sz w:val="2"/>
          <w:szCs w:val="2"/>
        </w:rPr>
        <w:br w:type="page"/>
      </w:r>
    </w:p>
    <w:p w14:paraId="4982DE1F" w14:textId="1B0F62B5" w:rsidR="004D7AC0" w:rsidRDefault="004D7AC0" w:rsidP="004C6742">
      <w:pPr>
        <w:pStyle w:val="Heading2"/>
      </w:pPr>
      <w:bookmarkStart w:id="18" w:name="_Toc70322234"/>
      <w:bookmarkStart w:id="19" w:name="_Toc75527084"/>
      <w:bookmarkStart w:id="20" w:name="_Toc229565855"/>
      <w:r>
        <w:lastRenderedPageBreak/>
        <w:t>AGRICULTURA, DESARROLLO RURAL Y MEDIO AMBIENTE</w:t>
      </w:r>
      <w:bookmarkEnd w:id="18"/>
      <w:bookmarkEnd w:id="19"/>
      <w:bookmarkEnd w:id="20"/>
    </w:p>
    <w:p w14:paraId="4982DE20" w14:textId="77777777" w:rsidR="004D7AC0" w:rsidRPr="00016D49" w:rsidRDefault="004D7AC0" w:rsidP="00016D49">
      <w:pPr>
        <w:tabs>
          <w:tab w:val="center" w:pos="284"/>
        </w:tabs>
        <w:overflowPunct w:val="0"/>
        <w:autoSpaceDE w:val="0"/>
        <w:autoSpaceDN w:val="0"/>
        <w:adjustRightInd w:val="0"/>
        <w:ind w:left="266" w:hanging="266"/>
        <w:textAlignment w:val="baseline"/>
        <w:rPr>
          <w:b/>
          <w:i/>
          <w:color w:val="0000FF"/>
          <w:u w:val="single"/>
        </w:rPr>
      </w:pPr>
    </w:p>
    <w:p w14:paraId="38C8A97D" w14:textId="77C1B805" w:rsidR="00341FC2" w:rsidRPr="004C6742" w:rsidRDefault="00341FC2" w:rsidP="004C6742">
      <w:pPr>
        <w:widowControl w:val="0"/>
        <w:numPr>
          <w:ilvl w:val="0"/>
          <w:numId w:val="4"/>
        </w:numPr>
        <w:overflowPunct w:val="0"/>
        <w:autoSpaceDE w:val="0"/>
        <w:autoSpaceDN w:val="0"/>
        <w:adjustRightInd w:val="0"/>
        <w:ind w:hanging="567"/>
        <w:textAlignment w:val="baseline"/>
        <w:rPr>
          <w:b/>
        </w:rPr>
      </w:pPr>
      <w:hyperlink r:id="rId57" w:history="1">
        <w:r w:rsidRPr="00016D49">
          <w:rPr>
            <w:b/>
            <w:i/>
            <w:color w:val="0000FF"/>
            <w:sz w:val="28"/>
            <w:u w:val="single"/>
          </w:rPr>
          <w:t>Una estrategia integral de promoción de los materiales biodegradables basados en la naturaleza a fin de fomentar la circularidad y la eficiencia en el uso de los recursos, reforzar el sector agroalimentario e impulsar la bioeconomía de la UE</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r>
              <w:t xml:space="preserve">Stoyan TCHOUKANOV (Grupo de Organizaciones de la Sociedad Civil – BG)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Referencia</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pPr>
            <w:r>
              <w:t>Dictamen de iniciativa</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t>EESC-2025-04330-00-00-AC</w:t>
            </w:r>
          </w:p>
        </w:tc>
      </w:tr>
    </w:tbl>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Puntos clave</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El CESE:</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considera que la UE tiene una oportunidad única para afianzar su transición hacia una bioeconomía circular que combine la circularidad, la reducción de los materiales para respetar los límites del planeta, el uso de biomasa sostenible y la competitividad industrial. Habida cuenta de la futura Ley de Economía Circular y la actualización de la Estrategia de Bioeconomía de la UE, el Comité pide una aplicación coherente y ambiciosa que transforme el impulso político en resultados prácticos en materia de desarrollo industrial y regional;</w:t>
      </w:r>
      <w:bookmarkEnd w:id="21"/>
    </w:p>
    <w:p w14:paraId="6A0A3863"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subraya que el uso eficiente de los recursos medioambientales requiere poner en práctica la jerarquía de residuos de conformidad con la Directiva marco sobre residuos, sobre la base del concepto del ciclo de vida y el mejor resultado medioambiental global, por lo que apoya un enfoque de la circularidad tecnológicamente neutro y orientado a los resultados, que dé prioridad a la prevención de residuos, la reutilización y la eficiencia de los materiales, tenga en cuenta los ciclos técnicos y biológicos y garantice que las diferentes aplicaciones puedan seguir trayectorias circulares diferenciadas;</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destaca que los materiales derivados de los polímeros naturales no modificados químicamente —y que, con arreglo a la Directiva sobre plásticos de un solo uso y en consonancia con el Reglamento REACH, no se consideran legalmente plásticos—, pueden ayudar a prevenir la contaminación, al reducirse, por ejemplo, la liberación de microplásticos. Su papel debe evaluarse con arreglo al enfoque de «Una sola salud», teniendo en cuenta las interrelaciones entre la integridad medioambiental, la resiliencia de los ecosistemas y la salud humana y animal;</w:t>
      </w:r>
      <w:bookmarkEnd w:id="23"/>
    </w:p>
    <w:p w14:paraId="26333444"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hace hincapié en el potencial de estos materiales para reforzar las economías de las zonas rurales y costeras al valorizar la biomasa secundaria agrícola y marina, consolidar las cadenas de valor locales y regionales, apoyar el relevo generacional en la agricultura y la pesca, crear puestos de trabajo de calidad, y contribuir de este modo a la cohesión social. El Comité subraya que hay que seguir dando prioridad a su uso en alimentos y piensos y para la protección del suelo, en este orden;</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 xml:space="preserve">reclama una mayor coherencia reglamentaria entre la legislación de la UE sobre productos, residuos e industria, a fin de garantizar que se aplica de manera coherente la distinción normativa entre plásticos y polímeros naturales no modificados. La legislación sobre envases debe evitar introducir obstáculos involuntarios o una exclusión de facto del mercado, y debe reflejar la </w:t>
      </w:r>
      <w:r>
        <w:lastRenderedPageBreak/>
        <w:t>circularidad tanto técnica como biológica y garantizar información clara y armonizada para los consumidores y previsibilidad para los operadores y las empresas de pequeño tamaño;</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hace hincapié en que la aplicación del Reglamento sobre los envases y residuos de envases constituye una prioridad, y advierte de que los envases fabricados a partir de polímeros naturales no modificados químicamente podrían quedar excluidos si las normas de reciclabilidad solo permiten el reciclado técnico. Por consiguiente, pide a la Comisión que garantice que, al aplicar el Reglamento sobre los envases y residuos de envases, se reconozca que no son plásticos y se permitan vías diseñadas con criterios biológicos al final de su vida útil cuando esto ofrezca el mejor resultado medioambiental global;</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pide a la Comisión que garantice una acción coordinada en todas las políticas que afecten al medio ambiente, la industria y la agricultura a fin de expandir los materiales sostenibles, facilitar el despliegue industrial, reforzar las cadenas de valor regionales y garantizar la competitividad mundial de Europa en la innovación centrada en los materiales sostenibles, al tiempo que se apoya la inversión privada y la difusión de soluciones innovadoras.</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341FC2" w:rsidRPr="00341FC2" w14:paraId="7F4411DB" w14:textId="77777777" w:rsidTr="00016D49">
        <w:tc>
          <w:tcPr>
            <w:tcW w:w="1203" w:type="pct"/>
          </w:tcPr>
          <w:p w14:paraId="151013E3" w14:textId="77777777" w:rsidR="00341FC2" w:rsidRPr="00341FC2" w:rsidRDefault="00341FC2" w:rsidP="00341FC2">
            <w:pPr>
              <w:overflowPunct w:val="0"/>
              <w:autoSpaceDE w:val="0"/>
              <w:autoSpaceDN w:val="0"/>
              <w:adjustRightInd w:val="0"/>
              <w:textAlignment w:val="baseline"/>
              <w:rPr>
                <w:i/>
              </w:rPr>
            </w:pPr>
            <w:r>
              <w:rPr>
                <w:b/>
                <w:i/>
              </w:rPr>
              <w:t>Contacto:</w:t>
            </w:r>
          </w:p>
        </w:tc>
        <w:tc>
          <w:tcPr>
            <w:tcW w:w="3797" w:type="pct"/>
          </w:tcPr>
          <w:p w14:paraId="24D7A0E4" w14:textId="1AB2E33E" w:rsidR="00341FC2" w:rsidRPr="00341FC2" w:rsidRDefault="00341FC2" w:rsidP="00341FC2">
            <w:pPr>
              <w:overflowPunct w:val="0"/>
              <w:autoSpaceDE w:val="0"/>
              <w:autoSpaceDN w:val="0"/>
              <w:adjustRightInd w:val="0"/>
              <w:textAlignment w:val="baseline"/>
              <w:rPr>
                <w:i/>
              </w:rPr>
            </w:pPr>
            <w:r>
              <w:rPr>
                <w:i/>
              </w:rPr>
              <w:t>Caroline VERHELST</w:t>
            </w:r>
          </w:p>
        </w:tc>
      </w:tr>
      <w:tr w:rsidR="00341FC2" w:rsidRPr="00341FC2" w14:paraId="1048C7FF" w14:textId="77777777" w:rsidTr="00016D49">
        <w:tc>
          <w:tcPr>
            <w:tcW w:w="1203" w:type="pct"/>
          </w:tcPr>
          <w:p w14:paraId="716E0640" w14:textId="77777777" w:rsidR="00341FC2" w:rsidRPr="00341FC2" w:rsidRDefault="00341FC2" w:rsidP="00341FC2">
            <w:pPr>
              <w:overflowPunct w:val="0"/>
              <w:autoSpaceDE w:val="0"/>
              <w:autoSpaceDN w:val="0"/>
              <w:adjustRightInd w:val="0"/>
              <w:textAlignment w:val="baseline"/>
              <w:rPr>
                <w:i/>
              </w:rPr>
            </w:pPr>
            <w:r>
              <w:rPr>
                <w:i/>
              </w:rPr>
              <w:t>Teléfono:</w:t>
            </w:r>
          </w:p>
        </w:tc>
        <w:tc>
          <w:tcPr>
            <w:tcW w:w="3797" w:type="pct"/>
          </w:tcPr>
          <w:p w14:paraId="24F2C3A8" w14:textId="77777777" w:rsidR="00341FC2" w:rsidRPr="00341FC2" w:rsidRDefault="00341FC2" w:rsidP="00341FC2">
            <w:pPr>
              <w:overflowPunct w:val="0"/>
              <w:autoSpaceDE w:val="0"/>
              <w:autoSpaceDN w:val="0"/>
              <w:adjustRightInd w:val="0"/>
              <w:textAlignment w:val="baseline"/>
              <w:rPr>
                <w:i/>
              </w:rPr>
            </w:pPr>
            <w:r>
              <w:rPr>
                <w:i/>
              </w:rPr>
              <w:t>+32 25469497</w:t>
            </w:r>
          </w:p>
        </w:tc>
      </w:tr>
      <w:tr w:rsidR="00341FC2" w:rsidRPr="00341FC2" w14:paraId="24B14DC0" w14:textId="77777777" w:rsidTr="00016D49">
        <w:tc>
          <w:tcPr>
            <w:tcW w:w="1203" w:type="pct"/>
          </w:tcPr>
          <w:p w14:paraId="532D2B72" w14:textId="77777777" w:rsidR="00341FC2" w:rsidRPr="00341FC2" w:rsidRDefault="00341FC2" w:rsidP="00341FC2">
            <w:pPr>
              <w:overflowPunct w:val="0"/>
              <w:autoSpaceDE w:val="0"/>
              <w:autoSpaceDN w:val="0"/>
              <w:adjustRightInd w:val="0"/>
              <w:textAlignment w:val="baseline"/>
              <w:rPr>
                <w:i/>
              </w:rPr>
            </w:pPr>
            <w:r>
              <w:rPr>
                <w:i/>
              </w:rPr>
              <w:t>Correo electrónico:</w:t>
            </w:r>
          </w:p>
        </w:tc>
        <w:tc>
          <w:tcPr>
            <w:tcW w:w="3797" w:type="pct"/>
          </w:tcPr>
          <w:p w14:paraId="06E89BE5" w14:textId="4BAEFE76" w:rsidR="00341FC2" w:rsidRPr="00341FC2" w:rsidRDefault="00C76D56" w:rsidP="00341FC2">
            <w:pPr>
              <w:overflowPunct w:val="0"/>
              <w:autoSpaceDE w:val="0"/>
              <w:autoSpaceDN w:val="0"/>
              <w:adjustRightInd w:val="0"/>
              <w:textAlignment w:val="baseline"/>
              <w:rPr>
                <w:i/>
              </w:rPr>
            </w:pPr>
            <w:hyperlink r:id="rId58" w:history="1">
              <w:r>
                <w:rPr>
                  <w:i/>
                  <w:color w:val="0000FF"/>
                  <w:u w:val="single"/>
                </w:rPr>
                <w:t>Caroline.Verhelst@eesc.europa.eu</w:t>
              </w:r>
            </w:hyperlink>
            <w:r>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1B527ED6" w:rsidR="000C5A16" w:rsidRPr="004C6742" w:rsidRDefault="000C5A16"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Pr>
            <w:b/>
            <w:i/>
            <w:color w:val="0000FF"/>
            <w:sz w:val="28"/>
            <w:u w:val="single"/>
          </w:rPr>
          <w:t>Estrategia de Bioeconomía de la UE: hacia una bioeconomía circular, regenerativa y competitiva</w:t>
        </w:r>
      </w:hyperlink>
    </w:p>
    <w:p w14:paraId="67EC52A8" w14:textId="77777777" w:rsidR="000C5A16" w:rsidRPr="000C5A16" w:rsidRDefault="000C5A16" w:rsidP="000C5A16">
      <w:pPr>
        <w:widowControl w:val="0"/>
        <w:overflowPunct w:val="0"/>
        <w:autoSpaceDE w:val="0"/>
        <w:autoSpaceDN w:val="0"/>
        <w:adjustRightInd w:val="0"/>
        <w:ind w:left="567"/>
        <w:textAlignment w:val="baseline"/>
        <w:rPr>
          <w:bCs/>
          <w:sz w:val="16"/>
          <w:szCs w:val="16"/>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5ECA4C39" w14:textId="528DF1F9"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r>
              <w:t>Arnaud SCHWARTZ (Grupo de Organizaciones de la Sociedad Civil –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pPr>
            <w:r>
              <w:t>COM(2025) 960 final</w:t>
            </w:r>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r>
              <w:t>EESC-2025-03968-00-00-AC</w:t>
            </w:r>
          </w:p>
        </w:tc>
      </w:tr>
    </w:tbl>
    <w:p w14:paraId="06FD5121" w14:textId="624A6349" w:rsidR="0017309D" w:rsidRPr="0017309D" w:rsidRDefault="0017309D" w:rsidP="0017309D">
      <w:pPr>
        <w:overflowPunct w:val="0"/>
        <w:autoSpaceDE w:val="0"/>
        <w:autoSpaceDN w:val="0"/>
        <w:adjustRightInd w:val="0"/>
        <w:spacing w:line="276" w:lineRule="auto"/>
        <w:textAlignment w:val="baseline"/>
        <w:outlineLvl w:val="1"/>
        <w:rPr>
          <w:szCs w:val="20"/>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Puntos clave</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El CESE:</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destaca que Europa es un continente con limitaciones de recursos y muy dependiente de las importaciones, en particular de combustibles fósiles y materias primas, que se encuentra inmerso en una situación geopolítica cada vez más tensa. Al mismo tiempo, la sobreexplotación de los recursos naturales es una de las principales causas de la actual pérdida de biodiversidad</w:t>
      </w:r>
      <w:r w:rsidRPr="00944198">
        <w:rPr>
          <w:sz w:val="24"/>
          <w:szCs w:val="20"/>
          <w:vertAlign w:val="superscript"/>
          <w:lang w:val="en-GB"/>
        </w:rPr>
        <w:footnoteReference w:id="1"/>
      </w:r>
      <w:r>
        <w:t xml:space="preserve">. En consonancia con los Objetivos de Desarrollo Sostenible, es necesario garantizar la coherencia entre los objetivos climáticos y de biodiversidad de la UE y la economía circular. Una </w:t>
      </w:r>
      <w:r>
        <w:rPr>
          <w:b/>
        </w:rPr>
        <w:t>estrategia de bioeconomía sólida y bien definida complementará</w:t>
      </w:r>
      <w:r>
        <w:t xml:space="preserve"> los avances realizados en materia de </w:t>
      </w:r>
      <w:r>
        <w:rPr>
          <w:b/>
        </w:rPr>
        <w:t>economía circular y propiciará la descarbonización, el bienestar y la competitividad a largo plazo respetando los límites del planeta</w:t>
      </w:r>
      <w:r>
        <w:t>;</w:t>
      </w:r>
    </w:p>
    <w:p w14:paraId="62E16178" w14:textId="77777777"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recuerda que la UE solo será líder mundial si sus instituciones </w:t>
      </w:r>
      <w:r>
        <w:rPr>
          <w:b/>
        </w:rPr>
        <w:t>establecen principios y salvaguardias estrictos</w:t>
      </w:r>
      <w:r>
        <w:t xml:space="preserve"> sobre lo que puede servir como insumo para la bioeconomía, ya sea biomasa primaria o secundaria procedente de la agricultura, la acuicultura, la silvicultura, la naturaleza o los residuos municipales o industriales, por ejemplo. La Estrategia de Bioeconomía de la UE debe centrarse en la transformación ecológica de la economía, teniendo en cuenta los aspectos medioambientales y sociales. Una bioeconomía sostenible y circular reforzará la economía y la competitividad de la UE, reducirá la dependencia de los recursos fósiles y contribuirá a la consecución de los objetivos climáticos y a la creación de nuevos puestos de trabajo, demás de aportar beneficios medioambientales y sociales. Este liderazgo debe </w:t>
      </w:r>
      <w:r>
        <w:rPr>
          <w:b/>
        </w:rPr>
        <w:t>dar prioridad a los puestos de trabajo de calidad, especialmente en las regiones rurales y remotas</w:t>
      </w:r>
      <w:r>
        <w:t xml:space="preserve">. Esos principios deben ser cuantificables y aplicables y estar supervisados a lo largo de toda la cadena de suministro, y deben aplicarse por igual a las materias primas europeas y a las importadas. En el contexto mundial es importante señalar que debemos </w:t>
      </w:r>
      <w:r>
        <w:rPr>
          <w:b/>
        </w:rPr>
        <w:t>hacer frente a la competencia desleal de las materias primas fósiles ofertadas a precios reducidos</w:t>
      </w:r>
      <w:r>
        <w:t xml:space="preserve"> (a menudo subvencionados) que no incorporan las externalidades de su extracción, utilización y agotamiento;</w:t>
      </w:r>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87"/>
      </w:tblGrid>
      <w:tr w:rsidR="0039093C" w:rsidRPr="0039093C" w14:paraId="15A4E0A1" w14:textId="77777777" w:rsidTr="00016D49">
        <w:trPr>
          <w:trHeight w:val="300"/>
        </w:trPr>
        <w:tc>
          <w:tcPr>
            <w:tcW w:w="2235" w:type="dxa"/>
          </w:tcPr>
          <w:p w14:paraId="0B8186B8"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b/>
                <w:i/>
                <w:sz w:val="20"/>
              </w:rPr>
              <w:t>Contacto:</w:t>
            </w:r>
          </w:p>
        </w:tc>
        <w:tc>
          <w:tcPr>
            <w:tcW w:w="7087" w:type="dxa"/>
          </w:tcPr>
          <w:p w14:paraId="0319F3A6" w14:textId="11113606"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sz w:val="20"/>
              </w:rPr>
              <w:t>Anna CAMERON</w:t>
            </w:r>
          </w:p>
        </w:tc>
      </w:tr>
      <w:tr w:rsidR="0039093C" w:rsidRPr="0039093C" w14:paraId="44DCA9C5" w14:textId="77777777" w:rsidTr="00016D49">
        <w:trPr>
          <w:trHeight w:val="300"/>
        </w:trPr>
        <w:tc>
          <w:tcPr>
            <w:tcW w:w="2235" w:type="dxa"/>
          </w:tcPr>
          <w:p w14:paraId="714A323E"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Teléfono:</w:t>
            </w:r>
          </w:p>
        </w:tc>
        <w:tc>
          <w:tcPr>
            <w:tcW w:w="7087" w:type="dxa"/>
          </w:tcPr>
          <w:p w14:paraId="46765661"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i/>
                <w:sz w:val="20"/>
              </w:rPr>
              <w:t>+32 25468228</w:t>
            </w:r>
          </w:p>
        </w:tc>
      </w:tr>
      <w:tr w:rsidR="0039093C" w:rsidRPr="0039093C" w14:paraId="3E645883" w14:textId="77777777" w:rsidTr="00016D49">
        <w:trPr>
          <w:trHeight w:val="300"/>
        </w:trPr>
        <w:tc>
          <w:tcPr>
            <w:tcW w:w="2235" w:type="dxa"/>
          </w:tcPr>
          <w:p w14:paraId="6069BEEF"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Correo electrónico:</w:t>
            </w:r>
          </w:p>
        </w:tc>
        <w:tc>
          <w:tcPr>
            <w:tcW w:w="7087" w:type="dxa"/>
          </w:tcPr>
          <w:p w14:paraId="53CEC4E5" w14:textId="7EDCF86E" w:rsidR="0039093C" w:rsidRPr="004C6742" w:rsidRDefault="0039093C" w:rsidP="004853F6">
            <w:pPr>
              <w:overflowPunct w:val="0"/>
              <w:autoSpaceDE w:val="0"/>
              <w:autoSpaceDN w:val="0"/>
              <w:adjustRightInd w:val="0"/>
              <w:spacing w:line="276" w:lineRule="auto"/>
              <w:textAlignment w:val="baseline"/>
              <w:outlineLvl w:val="1"/>
              <w:rPr>
                <w:i/>
                <w:iCs/>
                <w:sz w:val="20"/>
                <w:szCs w:val="20"/>
                <w:u w:val="single"/>
              </w:rPr>
            </w:pPr>
            <w:hyperlink r:id="rId60" w:history="1">
              <w:r>
                <w:rPr>
                  <w:rStyle w:val="Hyperlink"/>
                  <w:i/>
                  <w:sz w:val="20"/>
                </w:rPr>
                <w:t>Anna.Cameron@eesc.europa.eu</w:t>
              </w:r>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2604F6A5" w14:textId="12A53E98" w:rsidR="007323B9" w:rsidRPr="00016D49" w:rsidRDefault="007D7A17" w:rsidP="00016D49">
      <w:pPr>
        <w:spacing w:after="160" w:line="259" w:lineRule="auto"/>
        <w:jc w:val="left"/>
        <w:rPr>
          <w:szCs w:val="20"/>
        </w:rPr>
      </w:pPr>
      <w:r>
        <w:br w:type="page"/>
      </w:r>
    </w:p>
    <w:p w14:paraId="48D068B9" w14:textId="1D34F0A8" w:rsidR="00403683" w:rsidRPr="004C6742" w:rsidRDefault="00A067F3" w:rsidP="004C6742">
      <w:pPr>
        <w:widowControl w:val="0"/>
        <w:numPr>
          <w:ilvl w:val="0"/>
          <w:numId w:val="4"/>
        </w:numPr>
        <w:overflowPunct w:val="0"/>
        <w:autoSpaceDE w:val="0"/>
        <w:autoSpaceDN w:val="0"/>
        <w:adjustRightInd w:val="0"/>
        <w:ind w:hanging="567"/>
        <w:textAlignment w:val="baseline"/>
        <w:rPr>
          <w:b/>
        </w:rPr>
      </w:pPr>
      <w:hyperlink r:id="rId61" w:history="1">
        <w:r>
          <w:rPr>
            <w:b/>
            <w:i/>
            <w:color w:val="0000FF"/>
            <w:sz w:val="28"/>
            <w:u w:val="single"/>
          </w:rPr>
          <w:t>Paquete de simplificación ómnibus en materia de alimentos y piensos</w:t>
        </w:r>
      </w:hyperlink>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Ponente</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Coponente</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(Grupo de Empresarios – ES)</w:t>
            </w:r>
          </w:p>
          <w:p w14:paraId="5CFB0DE6" w14:textId="685F06E9" w:rsidR="00F10208" w:rsidRDefault="00403683" w:rsidP="00403683">
            <w:pPr>
              <w:tabs>
                <w:tab w:val="center" w:pos="284"/>
              </w:tabs>
              <w:overflowPunct w:val="0"/>
              <w:autoSpaceDE w:val="0"/>
              <w:autoSpaceDN w:val="0"/>
              <w:adjustRightInd w:val="0"/>
              <w:ind w:left="266" w:right="-3091" w:hanging="266"/>
              <w:textAlignment w:val="baseline"/>
            </w:pPr>
            <w:r>
              <w:t>John COMER (Grupo de Organizaciones de la Sociedad Civil – IE)</w:t>
            </w: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Referencias</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r>
              <w:t>COM(2025)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Puntos clave</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El CESE:</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acoge con satisfacción el impulso general del paquete de simplificación de los alimentos y los piensos, que debería reducir las cargas administrativas y los costes innecesarios, pero subraya que ninguna simplificación debe ir en detrimento de las estrictas normas de la UE en materia de seguridad de los alimentos y los piensos, protección del medio ambiente y salud pública, y que una mayor simplificación habría sido útil;</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destaca la importancia de la calidad normativa y la necesidad de consolidar el papel que desempeña la sociedad civil en materia de seguimiento y aplicación de la legislación;</w:t>
      </w:r>
      <w:bookmarkEnd w:id="29"/>
    </w:p>
    <w:p w14:paraId="2F1E934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acoge con satisfacción la propuesta de facilitar una mayor utilización de drones para pulverizar plaguicidas, al tiempo que hace hincapié en la necesidad de una protección y salvaguardias adecuadas para la salud y el entorno de la población que vive en el medio rural y no se dedica a la agricultura, así como de todos los trabajadores;</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considera que la Autoridad Europea de Seguridad Alimentaria (EFSA, por sus siglas en inglés) debe estar facultada para dar la voz de alarma cuando sea necesario volver a evaluar de manera específica sustancias activas con aprobación ilimitada y que es importante recabar de ella dictámenes sobre la idoneidad de un período de gracia determinado;</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t>valora positivamente la aceleración y la simplificación de los procesos de autorización de los productos de control biológico,</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pide que los períodos de gracia se armonicen en el nivel más elevado de protección en toda la UE y que se faciliten los reconocimientos mutuos;</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apoya la autorización de productos fitosanitarios que contengan sustancias activas aprobadas por la UE para el tratamiento de semillas destinadas a la exportación, siempre que dicho uso cumpla los requisitos reglamentarios del país de destino;</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propone reconocer como oficiales los análisis sanitarios y de certificación privados dirigidos por empresas, con el fin de simplificar el procedimiento de exportación de productos fitosanitarios a países no pertenecientes a la UE, junto con controles y sanciones más estrictos por parte de las autoridades para permitir dicho reconocimiento;</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reconoce la importancia de la equivalencia de las normas, pero expresa su preocupación por la eliminación de las tolerancias en la importación para determinadas sustancias no autorizadas en la UE, y considera que es esencial realizar una evaluación de impacto para introducir cambios tan importantes, en consonancia con el principio de precaución y las posibles implicaciones para todos los operadores de la cadena que dependen en gran medida de las importaciones;</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t>considera que las sustancias de control biológico deben poder utilizar metales pesados como el cobre, siempre que se garanticen la salud humana y del suelo y la biodiversidad.</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lastRenderedPageBreak/>
        <w:t>estima necesario disponer de una alternativa que sea económicamente viable y tenga un nivel equivalente de eficacia antes de retirar una sustancia activa candidata a la sustitución;</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t>opina que la UE debe defender las normas más estrictas de transparencia y seguridad en los nuevos alimentos y en los alimentos modificados genéticamente;</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t>pide que la armonización del etiquetado de semillas prevea las precauciones y medidas de gestión de riesgos pertinentes.</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403683" w:rsidRPr="00403683" w14:paraId="70675006" w14:textId="77777777" w:rsidTr="00016D49">
        <w:tc>
          <w:tcPr>
            <w:tcW w:w="1203" w:type="pct"/>
          </w:tcPr>
          <w:p w14:paraId="47BC0F37" w14:textId="77777777" w:rsidR="00403683" w:rsidRPr="00403683" w:rsidRDefault="00403683" w:rsidP="00403683">
            <w:pPr>
              <w:overflowPunct w:val="0"/>
              <w:autoSpaceDE w:val="0"/>
              <w:autoSpaceDN w:val="0"/>
              <w:adjustRightInd w:val="0"/>
              <w:textAlignment w:val="baseline"/>
              <w:rPr>
                <w:i/>
              </w:rPr>
            </w:pPr>
            <w:r>
              <w:rPr>
                <w:b/>
                <w:i/>
              </w:rPr>
              <w:t>Contacto:</w:t>
            </w:r>
          </w:p>
        </w:tc>
        <w:tc>
          <w:tcPr>
            <w:tcW w:w="3797" w:type="pct"/>
          </w:tcPr>
          <w:p w14:paraId="14A09B02" w14:textId="54C774A1" w:rsidR="00403683" w:rsidRPr="00403683" w:rsidRDefault="00403683" w:rsidP="00403683">
            <w:pPr>
              <w:overflowPunct w:val="0"/>
              <w:autoSpaceDE w:val="0"/>
              <w:autoSpaceDN w:val="0"/>
              <w:adjustRightInd w:val="0"/>
              <w:textAlignment w:val="baseline"/>
              <w:rPr>
                <w:i/>
              </w:rPr>
            </w:pPr>
            <w:r>
              <w:rPr>
                <w:i/>
              </w:rPr>
              <w:t>Martine DELANOY</w:t>
            </w:r>
          </w:p>
        </w:tc>
      </w:tr>
      <w:tr w:rsidR="00403683" w:rsidRPr="00403683" w14:paraId="1A38B9B8" w14:textId="77777777" w:rsidTr="00016D49">
        <w:tc>
          <w:tcPr>
            <w:tcW w:w="1203" w:type="pct"/>
          </w:tcPr>
          <w:p w14:paraId="4675EE24" w14:textId="77777777" w:rsidR="00403683" w:rsidRPr="00403683" w:rsidRDefault="00403683" w:rsidP="00403683">
            <w:pPr>
              <w:overflowPunct w:val="0"/>
              <w:autoSpaceDE w:val="0"/>
              <w:autoSpaceDN w:val="0"/>
              <w:adjustRightInd w:val="0"/>
              <w:textAlignment w:val="baseline"/>
              <w:rPr>
                <w:i/>
              </w:rPr>
            </w:pPr>
            <w:r>
              <w:rPr>
                <w:i/>
              </w:rPr>
              <w:t>Teléfono:</w:t>
            </w:r>
          </w:p>
        </w:tc>
        <w:tc>
          <w:tcPr>
            <w:tcW w:w="3797" w:type="pct"/>
          </w:tcPr>
          <w:p w14:paraId="353DAD93" w14:textId="77777777" w:rsidR="00403683" w:rsidRPr="00403683" w:rsidRDefault="00403683" w:rsidP="00403683">
            <w:pPr>
              <w:overflowPunct w:val="0"/>
              <w:autoSpaceDE w:val="0"/>
              <w:autoSpaceDN w:val="0"/>
              <w:adjustRightInd w:val="0"/>
              <w:textAlignment w:val="baseline"/>
              <w:rPr>
                <w:i/>
              </w:rPr>
            </w:pPr>
            <w:r>
              <w:rPr>
                <w:i/>
              </w:rPr>
              <w:t>+32 25469802</w:t>
            </w:r>
          </w:p>
        </w:tc>
      </w:tr>
      <w:tr w:rsidR="00403683" w:rsidRPr="00403683" w14:paraId="7CCD1D63" w14:textId="77777777" w:rsidTr="00016D49">
        <w:tc>
          <w:tcPr>
            <w:tcW w:w="1203" w:type="pct"/>
          </w:tcPr>
          <w:p w14:paraId="0D398F1B" w14:textId="77777777" w:rsidR="00403683" w:rsidRPr="00403683" w:rsidRDefault="00403683" w:rsidP="00403683">
            <w:pPr>
              <w:overflowPunct w:val="0"/>
              <w:autoSpaceDE w:val="0"/>
              <w:autoSpaceDN w:val="0"/>
              <w:adjustRightInd w:val="0"/>
              <w:textAlignment w:val="baseline"/>
              <w:rPr>
                <w:i/>
              </w:rPr>
            </w:pPr>
            <w:r>
              <w:rPr>
                <w:i/>
              </w:rPr>
              <w:t>Correo electrónico:</w:t>
            </w:r>
          </w:p>
        </w:tc>
        <w:tc>
          <w:tcPr>
            <w:tcW w:w="3797" w:type="pct"/>
          </w:tcPr>
          <w:p w14:paraId="40D17F4B" w14:textId="2EF96DD3" w:rsidR="00403683" w:rsidRDefault="00C76D56" w:rsidP="00403683">
            <w:pPr>
              <w:overflowPunct w:val="0"/>
              <w:autoSpaceDE w:val="0"/>
              <w:autoSpaceDN w:val="0"/>
              <w:adjustRightInd w:val="0"/>
              <w:textAlignment w:val="baseline"/>
              <w:rPr>
                <w:i/>
              </w:rPr>
            </w:pPr>
            <w:hyperlink r:id="rId62" w:history="1">
              <w:r>
                <w:rPr>
                  <w:i/>
                  <w:color w:val="0000FF"/>
                  <w:u w:val="single"/>
                </w:rPr>
                <w:t>Martine.Delanoy@eesc.europa.eu</w:t>
              </w:r>
            </w:hyperlink>
            <w:r>
              <w:rPr>
                <w:i/>
              </w:rPr>
              <w:t xml:space="preserve"> </w:t>
            </w:r>
          </w:p>
          <w:p w14:paraId="01C39410" w14:textId="77777777" w:rsidR="00CA6EC9" w:rsidRDefault="00CA6EC9" w:rsidP="00403683">
            <w:pPr>
              <w:overflowPunct w:val="0"/>
              <w:autoSpaceDE w:val="0"/>
              <w:autoSpaceDN w:val="0"/>
              <w:adjustRightInd w:val="0"/>
              <w:textAlignment w:val="baseline"/>
              <w:rPr>
                <w:i/>
              </w:rPr>
            </w:pPr>
          </w:p>
          <w:p w14:paraId="7433A851" w14:textId="77777777" w:rsidR="00CA6EC9" w:rsidRPr="00403683" w:rsidRDefault="00CA6EC9" w:rsidP="00403683">
            <w:pPr>
              <w:overflowPunct w:val="0"/>
              <w:autoSpaceDE w:val="0"/>
              <w:autoSpaceDN w:val="0"/>
              <w:adjustRightInd w:val="0"/>
              <w:textAlignment w:val="baseline"/>
              <w:rPr>
                <w:i/>
              </w:rPr>
            </w:pP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6DC027F2" w:rsidR="00A230F1" w:rsidRPr="007B6F06" w:rsidRDefault="007B6F06" w:rsidP="004C6742">
      <w:pPr>
        <w:pStyle w:val="ListParagraph"/>
        <w:numPr>
          <w:ilvl w:val="0"/>
          <w:numId w:val="14"/>
        </w:numPr>
        <w:spacing w:after="160" w:line="259" w:lineRule="auto"/>
        <w:ind w:left="567" w:hanging="567"/>
        <w:jc w:val="left"/>
        <w:rPr>
          <w:b/>
          <w:bCs/>
          <w:szCs w:val="20"/>
        </w:rPr>
      </w:pPr>
      <w:r>
        <w:br w:type="page"/>
      </w:r>
      <w:hyperlink r:id="rId63" w:history="1">
        <w:r>
          <w:rPr>
            <w:b/>
            <w:i/>
            <w:color w:val="0000FF"/>
            <w:sz w:val="28"/>
            <w:u w:val="single"/>
          </w:rPr>
          <w:t>Equivalencia de las inspecciones sobre el terreno realizadas en terceros países en cultivos productores de semillas y la equivalencia de las semillas producidas en terceros países</w:t>
        </w:r>
      </w:hyperlink>
      <w:r>
        <w:rPr>
          <w:b/>
          <w:i/>
          <w:sz w:val="28"/>
        </w:rPr>
        <w:t xml:space="preserve"> </w:t>
      </w:r>
    </w:p>
    <w:p w14:paraId="32AB9036" w14:textId="77777777" w:rsidR="00A230F1" w:rsidRPr="00016D49" w:rsidRDefault="00A230F1" w:rsidP="00A230F1">
      <w:pPr>
        <w:widowControl w:val="0"/>
        <w:overflowPunct w:val="0"/>
        <w:autoSpaceDE w:val="0"/>
        <w:autoSpaceDN w:val="0"/>
        <w:adjustRightInd w:val="0"/>
        <w:ind w:left="266"/>
        <w:textAlignment w:val="baseline"/>
        <w:rPr>
          <w:b/>
          <w:bCs/>
          <w:i/>
          <w:iCs/>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Pr>
                <w:b/>
              </w:rPr>
              <w:t>Referencias</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pPr>
            <w:r>
              <w:t>Dictamen de categoría C</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r>
              <w:t>COM(2026) 128 final</w:t>
            </w:r>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A230F1">
            <w:pPr>
              <w:tabs>
                <w:tab w:val="center" w:pos="284"/>
              </w:tabs>
              <w:overflowPunct w:val="0"/>
              <w:autoSpaceDE w:val="0"/>
              <w:autoSpaceDN w:val="0"/>
              <w:adjustRightInd w:val="0"/>
              <w:ind w:left="266" w:right="-3091" w:hanging="266"/>
              <w:textAlignment w:val="baseline"/>
            </w:pPr>
            <w:r>
              <w:t>EESC-2026-01152-00-00-AC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4C5D3568" w:rsidR="002B30F4" w:rsidRPr="002B30F4" w:rsidRDefault="00A230F1" w:rsidP="004C6742">
      <w:pPr>
        <w:pStyle w:val="Footer"/>
        <w:rPr>
          <w:bCs/>
          <w:iCs/>
        </w:rPr>
      </w:pPr>
      <w:r>
        <w:t>EL CESE ya se pronunció sobre el contenido de la propuesta objeto de examen en sus Dictámenes EESC-2018-00043-00-00-AC-TRA</w:t>
      </w:r>
      <w:r w:rsidR="002B30F4" w:rsidRPr="002B30F4">
        <w:rPr>
          <w:sz w:val="24"/>
          <w:vertAlign w:val="superscript"/>
          <w:lang w:val="en-GB"/>
        </w:rPr>
        <w:footnoteReference w:id="2"/>
      </w:r>
      <w:r>
        <w:t xml:space="preserve"> y EESC-2020-02029-00-00-AC-TRA-EN</w:t>
      </w:r>
      <w:r w:rsidR="002B30F4" w:rsidRPr="002B30F4">
        <w:rPr>
          <w:sz w:val="24"/>
          <w:vertAlign w:val="superscript"/>
          <w:lang w:val="en-GB"/>
        </w:rPr>
        <w:footnoteReference w:id="3"/>
      </w:r>
      <w:r>
        <w:t>, aprobados respectivamente el 14 de febrero de 2018 y el 18 de septiembre de 2020, por lo que decidió no elaborar un nuevo dictamen sobre el asunto y remitirse a la posición expresada en dichos documentos.</w:t>
      </w:r>
    </w:p>
    <w:p w14:paraId="25658E9B" w14:textId="02F0CF44" w:rsidR="00A230F1" w:rsidRPr="00A230F1" w:rsidRDefault="00A230F1" w:rsidP="00A230F1">
      <w:pPr>
        <w:widowControl w:val="0"/>
        <w:overflowPunct w:val="0"/>
        <w:autoSpaceDE w:val="0"/>
        <w:autoSpaceDN w:val="0"/>
        <w:adjustRightInd w:val="0"/>
        <w:ind w:left="709"/>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6"/>
      </w:tblGrid>
      <w:tr w:rsidR="00A230F1" w:rsidRPr="00A230F1" w14:paraId="16CCD5A5" w14:textId="77777777" w:rsidTr="00016D49">
        <w:tc>
          <w:tcPr>
            <w:tcW w:w="1203" w:type="pct"/>
          </w:tcPr>
          <w:p w14:paraId="441CA2A8" w14:textId="77777777" w:rsidR="00A230F1" w:rsidRPr="00A230F1" w:rsidRDefault="00A230F1" w:rsidP="00A230F1">
            <w:pPr>
              <w:overflowPunct w:val="0"/>
              <w:autoSpaceDE w:val="0"/>
              <w:autoSpaceDN w:val="0"/>
              <w:adjustRightInd w:val="0"/>
              <w:textAlignment w:val="baseline"/>
              <w:rPr>
                <w:i/>
              </w:rPr>
            </w:pPr>
            <w:r>
              <w:rPr>
                <w:b/>
                <w:i/>
              </w:rPr>
              <w:t>Contacto:</w:t>
            </w:r>
          </w:p>
        </w:tc>
        <w:tc>
          <w:tcPr>
            <w:tcW w:w="3797" w:type="pct"/>
          </w:tcPr>
          <w:p w14:paraId="1998D269" w14:textId="77777777" w:rsidR="00A230F1" w:rsidRPr="00A230F1" w:rsidRDefault="00A230F1" w:rsidP="00A230F1">
            <w:pPr>
              <w:overflowPunct w:val="0"/>
              <w:autoSpaceDE w:val="0"/>
              <w:autoSpaceDN w:val="0"/>
              <w:adjustRightInd w:val="0"/>
              <w:textAlignment w:val="baseline"/>
              <w:rPr>
                <w:i/>
              </w:rPr>
            </w:pPr>
            <w:r>
              <w:rPr>
                <w:i/>
              </w:rPr>
              <w:t>Arturo ÍÑIGUEZ YUSTE</w:t>
            </w:r>
          </w:p>
        </w:tc>
      </w:tr>
      <w:tr w:rsidR="00A230F1" w:rsidRPr="00A230F1" w14:paraId="7CBB3F89" w14:textId="77777777" w:rsidTr="00016D49">
        <w:tc>
          <w:tcPr>
            <w:tcW w:w="1203" w:type="pct"/>
          </w:tcPr>
          <w:p w14:paraId="4B2CEA11" w14:textId="77777777" w:rsidR="00A230F1" w:rsidRPr="00A230F1" w:rsidRDefault="00A230F1" w:rsidP="00A230F1">
            <w:pPr>
              <w:overflowPunct w:val="0"/>
              <w:autoSpaceDE w:val="0"/>
              <w:autoSpaceDN w:val="0"/>
              <w:adjustRightInd w:val="0"/>
              <w:textAlignment w:val="baseline"/>
              <w:rPr>
                <w:i/>
              </w:rPr>
            </w:pPr>
            <w:r>
              <w:rPr>
                <w:i/>
              </w:rPr>
              <w:t>Teléfono:</w:t>
            </w:r>
          </w:p>
        </w:tc>
        <w:tc>
          <w:tcPr>
            <w:tcW w:w="3797" w:type="pct"/>
          </w:tcPr>
          <w:p w14:paraId="151C60D3" w14:textId="77777777" w:rsidR="00A230F1" w:rsidRPr="00A230F1" w:rsidRDefault="00A230F1" w:rsidP="00A230F1">
            <w:pPr>
              <w:overflowPunct w:val="0"/>
              <w:autoSpaceDE w:val="0"/>
              <w:autoSpaceDN w:val="0"/>
              <w:adjustRightInd w:val="0"/>
              <w:textAlignment w:val="baseline"/>
              <w:rPr>
                <w:i/>
              </w:rPr>
            </w:pPr>
            <w:r>
              <w:rPr>
                <w:i/>
              </w:rPr>
              <w:t>+32 25468768</w:t>
            </w:r>
          </w:p>
        </w:tc>
      </w:tr>
      <w:tr w:rsidR="00A230F1" w:rsidRPr="00A230F1" w14:paraId="3090F269" w14:textId="77777777" w:rsidTr="00016D49">
        <w:tc>
          <w:tcPr>
            <w:tcW w:w="1203" w:type="pct"/>
          </w:tcPr>
          <w:p w14:paraId="36817683" w14:textId="77777777" w:rsidR="00A230F1" w:rsidRPr="00A230F1" w:rsidRDefault="00A230F1" w:rsidP="00A230F1">
            <w:pPr>
              <w:overflowPunct w:val="0"/>
              <w:autoSpaceDE w:val="0"/>
              <w:autoSpaceDN w:val="0"/>
              <w:adjustRightInd w:val="0"/>
              <w:textAlignment w:val="baseline"/>
              <w:rPr>
                <w:i/>
              </w:rPr>
            </w:pPr>
            <w:r>
              <w:rPr>
                <w:i/>
              </w:rPr>
              <w:t>Correo electrónico:</w:t>
            </w:r>
          </w:p>
        </w:tc>
        <w:tc>
          <w:tcPr>
            <w:tcW w:w="3797" w:type="pct"/>
          </w:tcPr>
          <w:p w14:paraId="1FAC504A" w14:textId="693AD760" w:rsidR="00A230F1" w:rsidRPr="00A230F1" w:rsidRDefault="00C76D56" w:rsidP="00A230F1">
            <w:pPr>
              <w:overflowPunct w:val="0"/>
              <w:autoSpaceDE w:val="0"/>
              <w:autoSpaceDN w:val="0"/>
              <w:adjustRightInd w:val="0"/>
              <w:textAlignment w:val="baseline"/>
              <w:rPr>
                <w:i/>
                <w:iCs/>
              </w:rPr>
            </w:pPr>
            <w:hyperlink r:id="rId64" w:history="1">
              <w:r>
                <w:rPr>
                  <w:i/>
                  <w:color w:val="0000FF"/>
                  <w:u w:val="single"/>
                </w:rPr>
                <w:t>Arturo.Iniguez@eesc.europa.eu</w:t>
              </w:r>
            </w:hyperlink>
            <w:r>
              <w:rPr>
                <w:i/>
              </w:rPr>
              <w:t xml:space="preserve"> </w:t>
            </w:r>
          </w:p>
        </w:tc>
      </w:tr>
    </w:tbl>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78B1CFD6" w:rsidR="00EC4D43" w:rsidRPr="00EC4D43" w:rsidRDefault="00A067F3" w:rsidP="004C6742">
      <w:pPr>
        <w:widowControl w:val="0"/>
        <w:numPr>
          <w:ilvl w:val="0"/>
          <w:numId w:val="4"/>
        </w:numPr>
        <w:overflowPunct w:val="0"/>
        <w:autoSpaceDE w:val="0"/>
        <w:autoSpaceDN w:val="0"/>
        <w:adjustRightInd w:val="0"/>
        <w:ind w:hanging="567"/>
        <w:textAlignment w:val="baseline"/>
        <w:rPr>
          <w:b/>
        </w:rPr>
      </w:pPr>
      <w:hyperlink r:id="rId65" w:history="1">
        <w:r>
          <w:rPr>
            <w:b/>
            <w:i/>
            <w:color w:val="0000FF"/>
            <w:sz w:val="28"/>
            <w:u w:val="single"/>
          </w:rPr>
          <w:t>Invalidación de derechos de emisión en la reserva de estabilidad del mercado</w:t>
        </w:r>
      </w:hyperlink>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EC4D43" w14:paraId="22D897E0" w14:textId="77777777" w:rsidTr="002E7EFB">
        <w:tc>
          <w:tcPr>
            <w:tcW w:w="107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Pr>
                <w:b/>
              </w:rPr>
              <w:t>Referencias</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Dictamen de categoría C</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r>
              <w:t>COM(2026) 153 final</w:t>
            </w:r>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t>EESC-2026-01164-00-00-AC</w:t>
            </w:r>
          </w:p>
        </w:tc>
      </w:tr>
    </w:tbl>
    <w:p w14:paraId="0FC42288" w14:textId="77777777" w:rsidR="00517E07" w:rsidRPr="00EC4D43" w:rsidRDefault="00517E07" w:rsidP="00EC4D43">
      <w:pPr>
        <w:tabs>
          <w:tab w:val="center" w:pos="284"/>
        </w:tabs>
        <w:overflowPunct w:val="0"/>
        <w:autoSpaceDE w:val="0"/>
        <w:autoSpaceDN w:val="0"/>
        <w:adjustRightInd w:val="0"/>
        <w:ind w:left="266" w:hanging="266"/>
        <w:textAlignment w:val="baseline"/>
        <w:rPr>
          <w:b/>
          <w:lang w:val="en-GB"/>
        </w:rPr>
      </w:pPr>
    </w:p>
    <w:p w14:paraId="3ABFEF49" w14:textId="0C867BC5" w:rsidR="008548EA" w:rsidRPr="008548EA" w:rsidRDefault="00EC4D43" w:rsidP="004C6742">
      <w:pPr>
        <w:widowControl w:val="0"/>
        <w:overflowPunct w:val="0"/>
        <w:autoSpaceDE w:val="0"/>
        <w:autoSpaceDN w:val="0"/>
        <w:adjustRightInd w:val="0"/>
        <w:textAlignment w:val="baseline"/>
        <w:rPr>
          <w:bCs/>
          <w:iCs/>
        </w:rPr>
      </w:pPr>
      <w:r>
        <w:t>EL CESE considera que el contenido de la propuesta es satisfactorio y que, además, esta había sido examinada en su Dictamen EESC-2021-03918-00-00-AC-TRA, aprobado el 8 de diciembre de 2021</w:t>
      </w:r>
      <w:r w:rsidR="008548EA" w:rsidRPr="008548EA">
        <w:rPr>
          <w:sz w:val="24"/>
          <w:szCs w:val="20"/>
          <w:vertAlign w:val="superscript"/>
          <w:lang w:val="en-GB"/>
        </w:rPr>
        <w:footnoteReference w:id="4"/>
      </w:r>
      <w:r>
        <w:t>, el Comité ha decidido emitir un dictamen favorable sobre la propuesta y remitirse a la posición mantenida en el documento mencionado más arriba.</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6"/>
      </w:tblGrid>
      <w:tr w:rsidR="00EC4D43" w:rsidRPr="00EC4D43" w14:paraId="2D162523" w14:textId="77777777" w:rsidTr="00016D49">
        <w:tc>
          <w:tcPr>
            <w:tcW w:w="1203" w:type="pct"/>
          </w:tcPr>
          <w:p w14:paraId="1CAD14A2" w14:textId="77777777" w:rsidR="00EC4D43" w:rsidRPr="00EC4D43" w:rsidRDefault="00EC4D43" w:rsidP="00EC4D43">
            <w:pPr>
              <w:overflowPunct w:val="0"/>
              <w:autoSpaceDE w:val="0"/>
              <w:autoSpaceDN w:val="0"/>
              <w:adjustRightInd w:val="0"/>
              <w:textAlignment w:val="baseline"/>
              <w:rPr>
                <w:i/>
              </w:rPr>
            </w:pPr>
            <w:r>
              <w:rPr>
                <w:b/>
                <w:i/>
              </w:rPr>
              <w:t>Contacto:</w:t>
            </w:r>
          </w:p>
        </w:tc>
        <w:tc>
          <w:tcPr>
            <w:tcW w:w="3797" w:type="pct"/>
          </w:tcPr>
          <w:p w14:paraId="36FD4393" w14:textId="46A780E6" w:rsidR="00EC4D43" w:rsidRPr="00EC4D43" w:rsidRDefault="00EC4D43" w:rsidP="00EC4D43">
            <w:pPr>
              <w:overflowPunct w:val="0"/>
              <w:autoSpaceDE w:val="0"/>
              <w:autoSpaceDN w:val="0"/>
              <w:adjustRightInd w:val="0"/>
              <w:textAlignment w:val="baseline"/>
              <w:rPr>
                <w:i/>
              </w:rPr>
            </w:pPr>
            <w:r>
              <w:rPr>
                <w:i/>
              </w:rPr>
              <w:t>Gaizka MALO ELCORO-IRIBE</w:t>
            </w:r>
          </w:p>
        </w:tc>
      </w:tr>
      <w:tr w:rsidR="00EC4D43" w:rsidRPr="00EC4D43" w14:paraId="0DA2E11C" w14:textId="77777777" w:rsidTr="00016D49">
        <w:tc>
          <w:tcPr>
            <w:tcW w:w="1203" w:type="pct"/>
          </w:tcPr>
          <w:p w14:paraId="459B752C" w14:textId="77777777" w:rsidR="00EC4D43" w:rsidRPr="00EC4D43" w:rsidRDefault="00EC4D43" w:rsidP="00EC4D43">
            <w:pPr>
              <w:overflowPunct w:val="0"/>
              <w:autoSpaceDE w:val="0"/>
              <w:autoSpaceDN w:val="0"/>
              <w:adjustRightInd w:val="0"/>
              <w:textAlignment w:val="baseline"/>
              <w:rPr>
                <w:i/>
              </w:rPr>
            </w:pPr>
            <w:r>
              <w:rPr>
                <w:i/>
              </w:rPr>
              <w:t>Teléfono:</w:t>
            </w:r>
          </w:p>
        </w:tc>
        <w:tc>
          <w:tcPr>
            <w:tcW w:w="3797" w:type="pct"/>
          </w:tcPr>
          <w:p w14:paraId="77EB016E" w14:textId="77777777" w:rsidR="00EC4D43" w:rsidRPr="00EC4D43" w:rsidRDefault="00EC4D43" w:rsidP="00EC4D43">
            <w:pPr>
              <w:overflowPunct w:val="0"/>
              <w:autoSpaceDE w:val="0"/>
              <w:autoSpaceDN w:val="0"/>
              <w:adjustRightInd w:val="0"/>
              <w:textAlignment w:val="baseline"/>
              <w:rPr>
                <w:i/>
              </w:rPr>
            </w:pPr>
            <w:r>
              <w:rPr>
                <w:i/>
              </w:rPr>
              <w:t>+32 25468526</w:t>
            </w:r>
          </w:p>
        </w:tc>
      </w:tr>
      <w:tr w:rsidR="00EC4D43" w:rsidRPr="00EC4D43" w14:paraId="1581E8CF" w14:textId="77777777" w:rsidTr="00016D49">
        <w:tc>
          <w:tcPr>
            <w:tcW w:w="1203" w:type="pct"/>
          </w:tcPr>
          <w:p w14:paraId="3CA2A44C" w14:textId="77777777" w:rsidR="00EC4D43" w:rsidRPr="00EC4D43" w:rsidRDefault="00EC4D43" w:rsidP="00EC4D43">
            <w:pPr>
              <w:overflowPunct w:val="0"/>
              <w:autoSpaceDE w:val="0"/>
              <w:autoSpaceDN w:val="0"/>
              <w:adjustRightInd w:val="0"/>
              <w:textAlignment w:val="baseline"/>
              <w:rPr>
                <w:i/>
              </w:rPr>
            </w:pPr>
            <w:r>
              <w:rPr>
                <w:i/>
              </w:rPr>
              <w:t>Correo electrónico:</w:t>
            </w:r>
          </w:p>
        </w:tc>
        <w:tc>
          <w:tcPr>
            <w:tcW w:w="3797" w:type="pct"/>
          </w:tcPr>
          <w:p w14:paraId="4685C922" w14:textId="26FA78DA" w:rsidR="00EC4D43" w:rsidRPr="00EC4D43" w:rsidRDefault="00C76D56" w:rsidP="00EC4D43">
            <w:pPr>
              <w:overflowPunct w:val="0"/>
              <w:autoSpaceDE w:val="0"/>
              <w:autoSpaceDN w:val="0"/>
              <w:adjustRightInd w:val="0"/>
              <w:textAlignment w:val="baseline"/>
              <w:rPr>
                <w:i/>
                <w:iCs/>
              </w:rPr>
            </w:pPr>
            <w:hyperlink r:id="rId66" w:history="1">
              <w:r>
                <w:rPr>
                  <w:i/>
                  <w:color w:val="0000FF"/>
                  <w:u w:val="single"/>
                </w:rPr>
                <w:t>Gaizka.Maloelcoro-iribe@eesc.europa.eu</w:t>
              </w:r>
            </w:hyperlink>
            <w:r>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14026A78" w14:textId="34519E14" w:rsidR="007F5784" w:rsidRDefault="007F5784" w:rsidP="004C6742">
      <w:pPr>
        <w:pStyle w:val="Heading2"/>
      </w:pPr>
      <w:bookmarkStart w:id="41" w:name="_Toc229565856"/>
      <w:r>
        <w:lastRenderedPageBreak/>
        <w:t>RELACIONES EXTERIORES</w:t>
      </w:r>
      <w:bookmarkEnd w:id="41"/>
    </w:p>
    <w:p w14:paraId="3BBB3E68" w14:textId="77777777" w:rsidR="007F5784" w:rsidRDefault="007F5784" w:rsidP="001766B2"/>
    <w:p w14:paraId="1A338A4C" w14:textId="4503C894" w:rsidR="00D16830" w:rsidRPr="00D16830" w:rsidRDefault="00D16830" w:rsidP="00D16830">
      <w:pPr>
        <w:widowControl w:val="0"/>
        <w:numPr>
          <w:ilvl w:val="0"/>
          <w:numId w:val="4"/>
        </w:numPr>
        <w:overflowPunct w:val="0"/>
        <w:autoSpaceDE w:val="0"/>
        <w:autoSpaceDN w:val="0"/>
        <w:adjustRightInd w:val="0"/>
        <w:ind w:hanging="567"/>
        <w:textAlignment w:val="baseline"/>
        <w:rPr>
          <w:b/>
          <w:bCs/>
          <w:i/>
          <w:iCs/>
          <w:sz w:val="24"/>
          <w:szCs w:val="24"/>
        </w:rPr>
      </w:pPr>
      <w:hyperlink r:id="rId67" w:history="1">
        <w:r>
          <w:rPr>
            <w:b/>
            <w:i/>
            <w:color w:val="0000FF"/>
            <w:sz w:val="24"/>
            <w:u w:val="single"/>
          </w:rPr>
          <w:t>El papel de la sociedad civil en el apoyo a las reformas en el marco de los planes de crecimiento para los Balcanes Occidentales y Moldavia, así como en la senda de reforma de Ucrania</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38"/>
      </w:tblGrid>
      <w:tr w:rsidR="00D16830" w:rsidRPr="00D16830" w14:paraId="10A26714" w14:textId="77777777" w:rsidTr="007B75D0">
        <w:tc>
          <w:tcPr>
            <w:tcW w:w="1701"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Ponente</w:t>
            </w:r>
          </w:p>
        </w:tc>
        <w:tc>
          <w:tcPr>
            <w:tcW w:w="7338" w:type="dxa"/>
          </w:tcPr>
          <w:p w14:paraId="61302FB0" w14:textId="2C902EF4" w:rsidR="00D16830" w:rsidRPr="00D16830" w:rsidRDefault="00D16830" w:rsidP="00D16830">
            <w:pPr>
              <w:tabs>
                <w:tab w:val="center" w:pos="284"/>
              </w:tabs>
              <w:overflowPunct w:val="0"/>
              <w:autoSpaceDE w:val="0"/>
              <w:autoSpaceDN w:val="0"/>
              <w:adjustRightInd w:val="0"/>
              <w:ind w:left="266" w:hanging="266"/>
              <w:textAlignment w:val="baseline"/>
            </w:pPr>
            <w:r>
              <w:t>Oleg ROIBU (Grupo de Empresarios – RO)</w:t>
            </w:r>
          </w:p>
        </w:tc>
      </w:tr>
      <w:tr w:rsidR="00D16830" w:rsidRPr="00D16830" w14:paraId="16FB2AA9" w14:textId="77777777" w:rsidTr="007B75D0">
        <w:tc>
          <w:tcPr>
            <w:tcW w:w="1701" w:type="dxa"/>
          </w:tcPr>
          <w:p w14:paraId="41593292"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Coponente</w:t>
            </w:r>
          </w:p>
        </w:tc>
        <w:tc>
          <w:tcPr>
            <w:tcW w:w="7338" w:type="dxa"/>
          </w:tcPr>
          <w:p w14:paraId="15F5EFBF" w14:textId="32660462" w:rsidR="00D16830" w:rsidRPr="00D16830" w:rsidRDefault="00D16830" w:rsidP="00D16830">
            <w:pPr>
              <w:tabs>
                <w:tab w:val="center" w:pos="284"/>
              </w:tabs>
              <w:overflowPunct w:val="0"/>
              <w:autoSpaceDE w:val="0"/>
              <w:autoSpaceDN w:val="0"/>
              <w:adjustRightInd w:val="0"/>
              <w:ind w:left="266" w:hanging="266"/>
              <w:textAlignment w:val="baseline"/>
            </w:pPr>
            <w:r>
              <w:t>Andrej ZORKO (Grupo de Trabajadores – SI)</w:t>
            </w:r>
          </w:p>
        </w:tc>
      </w:tr>
      <w:tr w:rsidR="00D16830" w:rsidRPr="00D16830" w14:paraId="6E76E965" w14:textId="77777777" w:rsidTr="007B75D0">
        <w:tc>
          <w:tcPr>
            <w:tcW w:w="9039" w:type="dxa"/>
            <w:gridSpan w:val="2"/>
          </w:tcPr>
          <w:p w14:paraId="3CA058AE" w14:textId="77777777" w:rsidR="00D16830" w:rsidRPr="00D16830"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D16830" w14:paraId="0673089E" w14:textId="77777777" w:rsidTr="007B75D0">
        <w:tc>
          <w:tcPr>
            <w:tcW w:w="1701" w:type="dxa"/>
            <w:vMerge w:val="restart"/>
          </w:tcPr>
          <w:p w14:paraId="62E4ADE4"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Referencia</w:t>
            </w:r>
          </w:p>
        </w:tc>
        <w:tc>
          <w:tcPr>
            <w:tcW w:w="7338" w:type="dxa"/>
          </w:tcPr>
          <w:p w14:paraId="7F3E1AFA" w14:textId="712E7546" w:rsidR="006717BA" w:rsidRDefault="006717BA" w:rsidP="00D16830">
            <w:pPr>
              <w:tabs>
                <w:tab w:val="center" w:pos="284"/>
              </w:tabs>
              <w:overflowPunct w:val="0"/>
              <w:autoSpaceDE w:val="0"/>
              <w:autoSpaceDN w:val="0"/>
              <w:adjustRightInd w:val="0"/>
              <w:ind w:left="266" w:hanging="266"/>
              <w:textAlignment w:val="baseline"/>
            </w:pPr>
            <w:r>
              <w:t>Dictamen exploratorio solicitado por la Presidencia chipriota del Consejo de la UE</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r>
              <w:t>EESC-2026-00143-00-00-AC</w:t>
            </w:r>
          </w:p>
        </w:tc>
      </w:tr>
      <w:tr w:rsidR="00D16830" w:rsidRPr="00D16830" w14:paraId="2A8B5342" w14:textId="77777777" w:rsidTr="007B75D0">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7338" w:type="dxa"/>
          </w:tcPr>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Puntos clave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El CESE:</w:t>
      </w:r>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subraya que los tres mecanismos para los Balcanes Occidentales, Ucrania y Moldavia </w:t>
      </w:r>
      <w:r>
        <w:rPr>
          <w:b/>
        </w:rPr>
        <w:t>deben poner en práctica activamente la participación de la sociedad civil</w:t>
      </w:r>
      <w:r>
        <w:t xml:space="preserve"> como condición estructural de gobernanza que asegure la </w:t>
      </w:r>
      <w:r>
        <w:rPr>
          <w:b/>
        </w:rPr>
        <w:t>sostenibilidad del proceso de ampliación</w:t>
      </w:r>
      <w:r>
        <w:t>;</w:t>
      </w:r>
    </w:p>
    <w:p w14:paraId="6CBB1B4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destaca que la apropiación por parte de la sociedad civil de las reformas respaldadas por los tres mecanismos debe sustentarse en un papel </w:t>
      </w:r>
      <w:r>
        <w:rPr>
          <w:b/>
        </w:rPr>
        <w:t>permanente, activo, estructurado y formalmente institucionalizado de los interlocutores sociales y las organizaciones de la sociedad civil</w:t>
      </w:r>
      <w:r>
        <w:t xml:space="preserve"> junto con las autoridades nacionales;</w:t>
      </w:r>
    </w:p>
    <w:p w14:paraId="6112EC9A"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hace hincapié en que </w:t>
      </w:r>
      <w:r>
        <w:rPr>
          <w:b/>
        </w:rPr>
        <w:t>la financiación debe contribuir activamente a preparar a los países para la adhesión</w:t>
      </w:r>
      <w:r>
        <w:t xml:space="preserve"> en consonancia con el modelo social y económico europeo, y no limitarse a apoyar la integración en el mercado único;</w:t>
      </w:r>
    </w:p>
    <w:p w14:paraId="2E0BC090"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szCs w:val="20"/>
        </w:rPr>
      </w:pPr>
      <w:r>
        <w:t xml:space="preserve">subraya que </w:t>
      </w:r>
      <w:r>
        <w:rPr>
          <w:b/>
        </w:rPr>
        <w:t>los plazos no deben socavar los procedimientos democráticos, el debate público, las consultas obligatorias o el diálogo</w:t>
      </w:r>
      <w:r>
        <w:t xml:space="preserve"> con los interlocutores sociales y las organizaciones de la sociedad civil, ni utilizarse como justificación para introducir atajos legislativos de emergencia que excluyan a los interlocutores sociales y las organizaciones de la sociedad civil;</w:t>
      </w:r>
    </w:p>
    <w:p w14:paraId="13E72E61"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señala que los gobiernos deben establecer </w:t>
      </w:r>
      <w:r>
        <w:rPr>
          <w:b/>
        </w:rPr>
        <w:t>un marco estructurado para el diálogo social</w:t>
      </w:r>
      <w:r>
        <w:t xml:space="preserve"> que garantice la participación de las organizaciones de empresarios y trabajadores y organizaciones de la sociedad civil representativas a escala nacional que cuenten con un número suficiente de miembros, </w:t>
      </w:r>
      <w:r>
        <w:rPr>
          <w:b/>
        </w:rPr>
        <w:t>respetando al mismo tiempo el papel específico y la autonomía de los interlocutores sociales</w:t>
      </w:r>
      <w:r>
        <w:t>;</w:t>
      </w:r>
    </w:p>
    <w:p w14:paraId="26EAFF74"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recomienda que la Comisión Europea formule públicamente orientaciones claras sobre la evaluación de la </w:t>
      </w:r>
      <w:r>
        <w:rPr>
          <w:b/>
        </w:rPr>
        <w:t>consecución total y parcial de los indicadores de ejecución del programa de reformas</w:t>
      </w:r>
      <w:r>
        <w:t>, también sobre las normas de verificación y las desviaciones de condiciones previamente cumplidas;</w:t>
      </w:r>
    </w:p>
    <w:p w14:paraId="2056D22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recomienda garantizar un a</w:t>
      </w:r>
      <w:r>
        <w:rPr>
          <w:b/>
        </w:rPr>
        <w:t>poyo financiero a medida, sostenible y predecible para las organizaciones de la sociedad civil y los interlocutores sociales</w:t>
      </w:r>
      <w:r>
        <w:t xml:space="preserve"> a través de mecanismos transparentes de financiación plurianual;</w:t>
      </w:r>
    </w:p>
    <w:p w14:paraId="3DC98AF8"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invita a la Comisión Europea a que </w:t>
      </w:r>
      <w:r>
        <w:rPr>
          <w:b/>
        </w:rPr>
        <w:t>aproveche las evaluaciones intermedias</w:t>
      </w:r>
      <w:r>
        <w:t xml:space="preserve"> de los actuales marcos de gobernanza y ejecución de los mecanismos y </w:t>
      </w:r>
      <w:r>
        <w:rPr>
          <w:b/>
        </w:rPr>
        <w:t>prosiga con la mejora en la ejecución de los instrumentos (actuales y futuros) pertinentes de ampliación de la UE basados en los resultados</w:t>
      </w:r>
      <w: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D16830" w:rsidRPr="00D16830" w14:paraId="06D6E640" w14:textId="77777777" w:rsidTr="007B75D0">
        <w:tc>
          <w:tcPr>
            <w:tcW w:w="2235" w:type="dxa"/>
          </w:tcPr>
          <w:p w14:paraId="2EFB1BD5" w14:textId="77777777" w:rsidR="00D16830" w:rsidRPr="00D16830" w:rsidRDefault="00D16830" w:rsidP="00D16830">
            <w:pPr>
              <w:overflowPunct w:val="0"/>
              <w:autoSpaceDE w:val="0"/>
              <w:autoSpaceDN w:val="0"/>
              <w:adjustRightInd w:val="0"/>
              <w:spacing w:line="240" w:lineRule="auto"/>
              <w:textAlignment w:val="baseline"/>
              <w:rPr>
                <w:i/>
              </w:rPr>
            </w:pPr>
            <w:r>
              <w:rPr>
                <w:b/>
                <w:i/>
              </w:rPr>
              <w:t>Contacto:</w:t>
            </w:r>
          </w:p>
        </w:tc>
        <w:tc>
          <w:tcPr>
            <w:tcW w:w="4853" w:type="dxa"/>
          </w:tcPr>
          <w:p w14:paraId="72677A97" w14:textId="77777777" w:rsidR="00D16830" w:rsidRPr="00D16830" w:rsidRDefault="00D16830" w:rsidP="00D16830">
            <w:pPr>
              <w:overflowPunct w:val="0"/>
              <w:autoSpaceDE w:val="0"/>
              <w:autoSpaceDN w:val="0"/>
              <w:adjustRightInd w:val="0"/>
              <w:spacing w:line="240" w:lineRule="auto"/>
              <w:textAlignment w:val="baseline"/>
              <w:rPr>
                <w:i/>
              </w:rPr>
            </w:pPr>
            <w:r>
              <w:rPr>
                <w:i/>
              </w:rPr>
              <w:t>David HOIĆ</w:t>
            </w:r>
          </w:p>
        </w:tc>
      </w:tr>
      <w:tr w:rsidR="00D16830" w:rsidRPr="00D16830" w14:paraId="3BA7205F" w14:textId="77777777" w:rsidTr="007B75D0">
        <w:tc>
          <w:tcPr>
            <w:tcW w:w="2235"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Pr>
                <w:i/>
              </w:rPr>
              <w:t>Teléfono:</w:t>
            </w:r>
          </w:p>
        </w:tc>
        <w:tc>
          <w:tcPr>
            <w:tcW w:w="4853"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Pr>
                <w:i/>
              </w:rPr>
              <w:t>+32 25469069</w:t>
            </w:r>
          </w:p>
        </w:tc>
      </w:tr>
      <w:tr w:rsidR="00D16830" w:rsidRPr="00D16830" w14:paraId="06D43AB5" w14:textId="77777777" w:rsidTr="007B75D0">
        <w:tc>
          <w:tcPr>
            <w:tcW w:w="2235"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Pr>
                <w:i/>
              </w:rPr>
              <w:t>Correo electrónico:</w:t>
            </w:r>
          </w:p>
        </w:tc>
        <w:tc>
          <w:tcPr>
            <w:tcW w:w="4853" w:type="dxa"/>
          </w:tcPr>
          <w:p w14:paraId="104A20AD" w14:textId="5ADE321F" w:rsidR="00D16830" w:rsidRPr="00D16830" w:rsidRDefault="00C76D56" w:rsidP="00D16830">
            <w:pPr>
              <w:overflowPunct w:val="0"/>
              <w:autoSpaceDE w:val="0"/>
              <w:autoSpaceDN w:val="0"/>
              <w:adjustRightInd w:val="0"/>
              <w:spacing w:line="240" w:lineRule="auto"/>
              <w:textAlignment w:val="baseline"/>
              <w:rPr>
                <w:i/>
              </w:rPr>
            </w:pPr>
            <w:hyperlink r:id="rId68" w:history="1">
              <w:r>
                <w:rPr>
                  <w:i/>
                  <w:color w:val="0000FF"/>
                  <w:u w:val="single"/>
                </w:rPr>
                <w:t>David.Hoic@eesc.europa.eu</w:t>
              </w:r>
            </w:hyperlink>
            <w:r>
              <w:rPr>
                <w:i/>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41D04A86" w14:textId="39FE639E" w:rsidR="00297F0C" w:rsidRPr="00297F0C" w:rsidRDefault="00297F0C" w:rsidP="00297F0C">
      <w:pPr>
        <w:widowControl w:val="0"/>
        <w:numPr>
          <w:ilvl w:val="0"/>
          <w:numId w:val="4"/>
        </w:numPr>
        <w:overflowPunct w:val="0"/>
        <w:autoSpaceDE w:val="0"/>
        <w:autoSpaceDN w:val="0"/>
        <w:adjustRightInd w:val="0"/>
        <w:ind w:hanging="567"/>
        <w:jc w:val="left"/>
        <w:textAlignment w:val="baseline"/>
        <w:rPr>
          <w:sz w:val="20"/>
          <w:szCs w:val="20"/>
        </w:rPr>
      </w:pPr>
      <w:hyperlink r:id="rId69" w:history="1">
        <w:r>
          <w:rPr>
            <w:b/>
            <w:i/>
            <w:color w:val="0000FF"/>
            <w:sz w:val="28"/>
            <w:u w:val="single"/>
          </w:rPr>
          <w:t>El papel del sector privado y de la sociedad civil en el refuerzo de la cooperación económica en el marco del Pacto por el Mediterráneo</w:t>
        </w:r>
      </w:hyperlink>
    </w:p>
    <w:p w14:paraId="04ADF7F0" w14:textId="77777777" w:rsidR="00297F0C" w:rsidRPr="007B75D0"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5788EB" w14:textId="77777777" w:rsidTr="002E7EFB">
        <w:trPr>
          <w:trHeight w:val="70"/>
        </w:trPr>
        <w:tc>
          <w:tcPr>
            <w:tcW w:w="107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Thomas WAGNSONNER (Grupo de Trabajadores – AT)</w:t>
            </w:r>
          </w:p>
        </w:tc>
      </w:tr>
      <w:tr w:rsidR="00297F0C" w:rsidRPr="00297F0C" w14:paraId="3290F704" w14:textId="77777777" w:rsidTr="002E7EFB">
        <w:tc>
          <w:tcPr>
            <w:tcW w:w="1077"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Coponente</w:t>
            </w:r>
          </w:p>
        </w:tc>
        <w:tc>
          <w:tcPr>
            <w:tcW w:w="3923" w:type="pct"/>
          </w:tcPr>
          <w:p w14:paraId="112D4104" w14:textId="7ADDC1B1" w:rsidR="00F76EE7" w:rsidRDefault="00297F0C" w:rsidP="00297F0C">
            <w:pPr>
              <w:tabs>
                <w:tab w:val="center" w:pos="284"/>
              </w:tabs>
              <w:overflowPunct w:val="0"/>
              <w:autoSpaceDE w:val="0"/>
              <w:autoSpaceDN w:val="0"/>
              <w:adjustRightInd w:val="0"/>
              <w:ind w:left="266" w:right="-3091" w:hanging="266"/>
              <w:textAlignment w:val="baseline"/>
            </w:pPr>
            <w:r>
              <w:t>Lidija PAVIĆ-ROGOŠIĆ (Grupo de Organizaciones de la Sociedad Civil – HR)</w:t>
            </w:r>
          </w:p>
          <w:p w14:paraId="14EF11F7" w14:textId="77777777" w:rsidR="00F76EE7" w:rsidRPr="00297F0C" w:rsidRDefault="00F76EE7" w:rsidP="00297F0C">
            <w:pPr>
              <w:tabs>
                <w:tab w:val="center" w:pos="284"/>
              </w:tabs>
              <w:overflowPunct w:val="0"/>
              <w:autoSpaceDE w:val="0"/>
              <w:autoSpaceDN w:val="0"/>
              <w:adjustRightInd w:val="0"/>
              <w:ind w:left="266" w:right="-3091" w:hanging="266"/>
              <w:textAlignment w:val="baseline"/>
            </w:pPr>
          </w:p>
        </w:tc>
      </w:tr>
      <w:tr w:rsidR="00297F0C" w:rsidRPr="00297F0C" w14:paraId="54CCBB87" w14:textId="77777777" w:rsidTr="002E7EFB">
        <w:tc>
          <w:tcPr>
            <w:tcW w:w="1077"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Referencia</w:t>
            </w:r>
          </w:p>
        </w:tc>
        <w:tc>
          <w:tcPr>
            <w:tcW w:w="3923" w:type="pct"/>
          </w:tcPr>
          <w:p w14:paraId="4F6E33CF" w14:textId="1323A011" w:rsidR="005D6457" w:rsidRDefault="005D6457" w:rsidP="00297F0C">
            <w:pPr>
              <w:tabs>
                <w:tab w:val="center" w:pos="284"/>
              </w:tabs>
              <w:overflowPunct w:val="0"/>
              <w:autoSpaceDE w:val="0"/>
              <w:autoSpaceDN w:val="0"/>
              <w:adjustRightInd w:val="0"/>
              <w:ind w:left="266" w:right="-3091" w:hanging="266"/>
              <w:textAlignment w:val="baseline"/>
            </w:pPr>
            <w:r>
              <w:t>Dictamen exploratorio solicitado por la Presidencia chipriota del Consejo de la UE</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Puntos clave</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r>
        <w:t>El CESE:</w:t>
      </w:r>
    </w:p>
    <w:p w14:paraId="26DA286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el Pacto por el Mediterráneo solo puede lograrse a través de una auténtica asociación en pie de igualdad entre la UE, sus Estados miembros y los socios del Mediterráneo meridional, que redunde en beneficio directo de todas las personas y las comunidades;</w:t>
      </w:r>
    </w:p>
    <w:p w14:paraId="1A4BF8CB"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afirma que la sociedad civil organizada debe participar de manera estructurada y permanente y no solo a través de consultas ocasionales, incluyendo a los sindicatos, los grupos de empresarios y las organizaciones de la sociedad civil;</w:t>
      </w:r>
    </w:p>
    <w:p w14:paraId="6F943845"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a fin de reforzar el sector privado, especialmente las pymes y las microempresas, la región necesita reformas que mejoren el acceso a la financiación, simplifiquen los procedimientos y apoyen la digitalización y la conectividad, de modo que las empresas puedan incorporarse a las cadenas de valor regionales;</w:t>
      </w:r>
    </w:p>
    <w:p w14:paraId="243F959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los acuerdos comerciales vigentes de la UE con países del Mediterráneo meridional están obsoletos y deben modernizarse, y que la sociedad civil debe participar en el seguimiento de los compromisos en materia laboral, medioambiental y de derechos humanos;</w:t>
      </w:r>
    </w:p>
    <w:p w14:paraId="3659C819"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el comercio y la inversión deben estar vinculados al desarrollo sostenible y al trabajo digno, lo que supone contar con salarios justos, condiciones laborales seguras, normas aplicables e inversiones en proyectos regionales sostenibles;</w:t>
      </w:r>
    </w:p>
    <w:p w14:paraId="2D5E3A8E"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subraya que la transición de la economía informal a la formal debe seguir la Recomendación n.º 204 (2015) de la Organización Internacional del Trabajo (OIT), lo que significa que no ha de ser sancionadora, sino gradual, inclusiva y realista desde el punto de vista económico;</w:t>
      </w:r>
    </w:p>
    <w:p w14:paraId="12F91A67"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considera que el plan de acción del Pacto debe garantizar la protección social, los derechos laborales y el cumplimiento de los convenios fundamentales de la OIT, velando al mismo tiempo por que Global Gateway y otros proyectos importantes impliquen a los interlocutores sociales y a la sociedad civil desde la fase de planificación;</w:t>
      </w:r>
    </w:p>
    <w:p w14:paraId="79769976"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rPr>
          <w:b/>
          <w:bCs/>
        </w:rPr>
      </w:pPr>
      <w:r>
        <w:t>pide que se preste especial atención a los agentes de la economía social, las mujeres y la juventud, a través de la financiación, el desarrollo de capacidades, el apoyo jurídico, los programas de emprendimiento y la participación en la gobernanza; además, en la movilidad laboral deben respetarse los derechos humanos y evitarse la fuga de cerebros;</w:t>
      </w:r>
    </w:p>
    <w:p w14:paraId="55EA3EF9" w14:textId="6A17B226" w:rsidR="00297F0C" w:rsidRDefault="00297F0C">
      <w:pPr>
        <w:numPr>
          <w:ilvl w:val="0"/>
          <w:numId w:val="64"/>
        </w:numPr>
        <w:overflowPunct w:val="0"/>
        <w:autoSpaceDE w:val="0"/>
        <w:autoSpaceDN w:val="0"/>
        <w:adjustRightInd w:val="0"/>
        <w:spacing w:before="100" w:beforeAutospacing="1" w:line="276" w:lineRule="auto"/>
        <w:ind w:left="284" w:hanging="284"/>
        <w:textAlignment w:val="baseline"/>
      </w:pPr>
      <w:r>
        <w:t>considera que debe reforzarse la coordinación entre las instituciones financieras internacionales financiadas por la UE para aumentar su impacto, y que la creación de un banco de desarrollo regional o un mecanismo financiero similar podría aportar fondos para infraestructuras, microempresas y pymes, empresas emergentes y proyectos de economía social con una participación transparente de la sociedad civil;</w:t>
      </w:r>
    </w:p>
    <w:p w14:paraId="2A1A39EB" w14:textId="77777777" w:rsidR="00A067F3" w:rsidRPr="00297F0C" w:rsidRDefault="00A067F3" w:rsidP="004C6742">
      <w:pPr>
        <w:overflowPunct w:val="0"/>
        <w:autoSpaceDE w:val="0"/>
        <w:autoSpaceDN w:val="0"/>
        <w:adjustRightInd w:val="0"/>
        <w:spacing w:before="100" w:beforeAutospacing="1" w:line="276" w:lineRule="auto"/>
        <w:ind w:left="284"/>
        <w:textAlignment w:val="baseline"/>
        <w:rPr>
          <w:lang w:val="en-GB" w:eastAsia="fr-BE"/>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ED4367" w14:textId="77777777" w:rsidTr="002E7EFB">
        <w:tc>
          <w:tcPr>
            <w:tcW w:w="1077" w:type="pct"/>
          </w:tcPr>
          <w:p w14:paraId="17C20851" w14:textId="4041C4F3" w:rsidR="00297F0C" w:rsidRPr="00297F0C" w:rsidRDefault="00297F0C">
            <w:pPr>
              <w:overflowPunct w:val="0"/>
              <w:autoSpaceDE w:val="0"/>
              <w:autoSpaceDN w:val="0"/>
              <w:adjustRightInd w:val="0"/>
              <w:textAlignment w:val="baseline"/>
              <w:rPr>
                <w:i/>
              </w:rPr>
            </w:pPr>
            <w:r>
              <w:lastRenderedPageBreak/>
              <w:br w:type="page"/>
            </w:r>
            <w:r>
              <w:rPr>
                <w:b/>
                <w:i/>
              </w:rPr>
              <w:t>Contacto:</w:t>
            </w:r>
          </w:p>
        </w:tc>
        <w:tc>
          <w:tcPr>
            <w:tcW w:w="3923" w:type="pct"/>
          </w:tcPr>
          <w:p w14:paraId="01CC3A82" w14:textId="77777777" w:rsidR="00297F0C" w:rsidRPr="00297F0C" w:rsidRDefault="00297F0C" w:rsidP="00297F0C">
            <w:pPr>
              <w:overflowPunct w:val="0"/>
              <w:autoSpaceDE w:val="0"/>
              <w:autoSpaceDN w:val="0"/>
              <w:adjustRightInd w:val="0"/>
              <w:textAlignment w:val="baseline"/>
              <w:rPr>
                <w:i/>
              </w:rPr>
            </w:pPr>
            <w:r>
              <w:rPr>
                <w:i/>
              </w:rPr>
              <w:t>Andreas BERGER</w:t>
            </w:r>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Pr>
                <w:i/>
              </w:rPr>
              <w:t>Teléfono:</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Pr>
                <w:i/>
              </w:rPr>
              <w:t>+32 5469062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Pr>
                <w:i/>
              </w:rPr>
              <w:t>Correo electrónico:</w:t>
            </w:r>
          </w:p>
        </w:tc>
        <w:tc>
          <w:tcPr>
            <w:tcW w:w="3923" w:type="pct"/>
          </w:tcPr>
          <w:p w14:paraId="6FC2A286" w14:textId="1979AD5A" w:rsidR="00297F0C" w:rsidRPr="00297F0C" w:rsidRDefault="00C76D56" w:rsidP="00297F0C">
            <w:pPr>
              <w:overflowPunct w:val="0"/>
              <w:autoSpaceDE w:val="0"/>
              <w:autoSpaceDN w:val="0"/>
              <w:adjustRightInd w:val="0"/>
              <w:textAlignment w:val="baseline"/>
              <w:rPr>
                <w:i/>
              </w:rPr>
            </w:pPr>
            <w:hyperlink r:id="rId70" w:history="1">
              <w:r>
                <w:rPr>
                  <w:i/>
                  <w:color w:val="0000FF"/>
                  <w:u w:val="single"/>
                </w:rPr>
                <w:t>Andreas.Berger@eesc.europa.eu</w:t>
              </w:r>
            </w:hyperlink>
            <w:r>
              <w:rPr>
                <w:i/>
              </w:rPr>
              <w:t xml:space="preserve"> </w:t>
            </w:r>
          </w:p>
        </w:tc>
      </w:tr>
    </w:tbl>
    <w:p w14:paraId="12CF0795" w14:textId="1C00578F" w:rsidR="00A067F3" w:rsidRDefault="00A067F3" w:rsidP="0066696D">
      <w:pPr>
        <w:pStyle w:val="ListParagraph"/>
        <w:ind w:left="567" w:hanging="567"/>
        <w:jc w:val="left"/>
      </w:pPr>
    </w:p>
    <w:p w14:paraId="542BD5E6" w14:textId="77777777" w:rsidR="00A067F3" w:rsidRDefault="00A067F3">
      <w:pPr>
        <w:spacing w:after="160" w:line="259" w:lineRule="auto"/>
        <w:jc w:val="left"/>
      </w:pPr>
      <w:r>
        <w:br w:type="page"/>
      </w:r>
    </w:p>
    <w:p w14:paraId="528C73AA" w14:textId="46DE726B" w:rsidR="006D2C8A" w:rsidRPr="006D2C8A" w:rsidRDefault="006D2C8A" w:rsidP="004C6742">
      <w:pPr>
        <w:pStyle w:val="Heading2"/>
      </w:pPr>
      <w:bookmarkStart w:id="42" w:name="_Toc229140651"/>
      <w:bookmarkStart w:id="43" w:name="_Toc229140658"/>
      <w:bookmarkStart w:id="44" w:name="_Toc229565857"/>
      <w:bookmarkEnd w:id="42"/>
      <w:bookmarkEnd w:id="43"/>
      <w:r>
        <w:lastRenderedPageBreak/>
        <w:t>COMISIÓN CONSULTIVA DE LAS TRANSFORMACIONES INDUSTRIALES</w:t>
      </w:r>
      <w:bookmarkEnd w:id="44"/>
    </w:p>
    <w:p w14:paraId="713E272F" w14:textId="77777777" w:rsidR="006D2C8A" w:rsidRDefault="006D2C8A" w:rsidP="001766B2"/>
    <w:p w14:paraId="1B9F790A" w14:textId="3EBF313E" w:rsidR="00814A54" w:rsidRPr="00814A54" w:rsidRDefault="00814A54" w:rsidP="00814A54">
      <w:pPr>
        <w:widowControl w:val="0"/>
        <w:numPr>
          <w:ilvl w:val="0"/>
          <w:numId w:val="19"/>
        </w:numPr>
        <w:spacing w:after="200" w:line="276" w:lineRule="auto"/>
        <w:ind w:left="567" w:hanging="567"/>
        <w:contextualSpacing/>
        <w:jc w:val="left"/>
        <w:rPr>
          <w:sz w:val="28"/>
          <w:szCs w:val="28"/>
        </w:rPr>
      </w:pPr>
      <w:hyperlink r:id="rId71" w:history="1">
        <w:r>
          <w:rPr>
            <w:b/>
            <w:i/>
            <w:color w:val="0000FF"/>
            <w:sz w:val="28"/>
            <w:u w:val="single"/>
          </w:rPr>
          <w:t>Programa para una innovación ágil y rápida en materia de defensa (AGILE)</w:t>
        </w:r>
      </w:hyperlink>
      <w:r>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814A54" w:rsidRPr="00814A54" w14:paraId="37988BA0" w14:textId="77777777" w:rsidTr="002E7EFB">
        <w:tc>
          <w:tcPr>
            <w:tcW w:w="1701" w:type="dxa"/>
          </w:tcPr>
          <w:p w14:paraId="44EB374B" w14:textId="77777777" w:rsidR="007173CF" w:rsidRPr="007B75D0" w:rsidRDefault="007173CF" w:rsidP="00814A54">
            <w:pPr>
              <w:tabs>
                <w:tab w:val="center" w:pos="284"/>
              </w:tabs>
              <w:rPr>
                <w:b/>
                <w:sz w:val="22"/>
                <w:szCs w:val="22"/>
              </w:rPr>
            </w:pPr>
          </w:p>
          <w:p w14:paraId="41B7C4EB" w14:textId="77777777" w:rsidR="00814A54" w:rsidRPr="00814A54" w:rsidRDefault="00814A54" w:rsidP="00814A54">
            <w:pPr>
              <w:tabs>
                <w:tab w:val="center" w:pos="284"/>
              </w:tabs>
              <w:ind w:left="266" w:hanging="266"/>
              <w:rPr>
                <w:b/>
              </w:rPr>
            </w:pPr>
            <w:r>
              <w:rPr>
                <w:b/>
              </w:rPr>
              <w:t>Ponente</w:t>
            </w:r>
          </w:p>
        </w:tc>
        <w:tc>
          <w:tcPr>
            <w:tcW w:w="5670" w:type="dxa"/>
          </w:tcPr>
          <w:p w14:paraId="6883D11C" w14:textId="77777777" w:rsidR="007173CF" w:rsidRPr="007B75D0" w:rsidRDefault="007173CF" w:rsidP="00814A54">
            <w:pPr>
              <w:tabs>
                <w:tab w:val="center" w:pos="284"/>
              </w:tabs>
              <w:ind w:left="266" w:hanging="266"/>
              <w:rPr>
                <w:sz w:val="22"/>
                <w:szCs w:val="22"/>
              </w:rPr>
            </w:pPr>
          </w:p>
          <w:p w14:paraId="1D11312F" w14:textId="073C09C2" w:rsidR="00814A54" w:rsidRPr="00814A54" w:rsidRDefault="00814A54" w:rsidP="00814A54">
            <w:pPr>
              <w:tabs>
                <w:tab w:val="center" w:pos="284"/>
              </w:tabs>
              <w:ind w:left="266" w:hanging="266"/>
            </w:pPr>
            <w:r>
              <w:t>Monika SITÁROVÁ (Grupo de Trabajadores – SK)</w:t>
            </w:r>
          </w:p>
        </w:tc>
      </w:tr>
      <w:tr w:rsidR="00814A54" w:rsidRPr="00814A54" w14:paraId="3DB16DB5" w14:textId="77777777" w:rsidTr="002E7EFB">
        <w:tc>
          <w:tcPr>
            <w:tcW w:w="1701" w:type="dxa"/>
          </w:tcPr>
          <w:p w14:paraId="723151C3" w14:textId="77777777" w:rsidR="00814A54" w:rsidRPr="00814A54" w:rsidRDefault="00814A54" w:rsidP="00814A54">
            <w:pPr>
              <w:tabs>
                <w:tab w:val="center" w:pos="284"/>
              </w:tabs>
              <w:ind w:left="266" w:hanging="266"/>
              <w:rPr>
                <w:b/>
              </w:rPr>
            </w:pPr>
            <w:r>
              <w:rPr>
                <w:b/>
              </w:rPr>
              <w:t>Coponente</w:t>
            </w:r>
          </w:p>
        </w:tc>
        <w:tc>
          <w:tcPr>
            <w:tcW w:w="5670" w:type="dxa"/>
          </w:tcPr>
          <w:p w14:paraId="691AA178" w14:textId="77BDBBFF" w:rsidR="00814A54" w:rsidRPr="00814A54" w:rsidRDefault="00814A54" w:rsidP="00814A54">
            <w:pPr>
              <w:tabs>
                <w:tab w:val="center" w:pos="284"/>
              </w:tabs>
              <w:ind w:left="266" w:hanging="266"/>
            </w:pPr>
            <w:r>
              <w:t>Srita HEIDE (Cat. 3 – DE)</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tcPr>
          <w:p w14:paraId="69099993" w14:textId="77777777" w:rsidR="00814A54" w:rsidRPr="00814A54" w:rsidRDefault="00814A54" w:rsidP="00814A54">
            <w:pPr>
              <w:tabs>
                <w:tab w:val="center" w:pos="284"/>
              </w:tabs>
              <w:ind w:left="266" w:hanging="266"/>
              <w:rPr>
                <w:b/>
              </w:rPr>
            </w:pPr>
            <w:r>
              <w:rPr>
                <w:b/>
              </w:rPr>
              <w:t>Referencias</w:t>
            </w:r>
          </w:p>
        </w:tc>
        <w:tc>
          <w:tcPr>
            <w:tcW w:w="5670" w:type="dxa"/>
          </w:tcPr>
          <w:p w14:paraId="699F0B48" w14:textId="3F25C095" w:rsidR="00BA2BB0" w:rsidRDefault="00BA2BB0" w:rsidP="00814A54">
            <w:pPr>
              <w:tabs>
                <w:tab w:val="center" w:pos="284"/>
              </w:tabs>
              <w:ind w:left="266" w:hanging="266"/>
            </w:pPr>
            <w:r>
              <w:t>COM(2026) 135 final</w:t>
            </w:r>
          </w:p>
          <w:p w14:paraId="30557EA2" w14:textId="294C27C9" w:rsidR="00814A54" w:rsidRPr="00814A54" w:rsidRDefault="00814A54" w:rsidP="00814A54">
            <w:pPr>
              <w:tabs>
                <w:tab w:val="center" w:pos="284"/>
              </w:tabs>
              <w:ind w:left="266" w:hanging="266"/>
            </w:pPr>
            <w:r>
              <w:t>EESC-2026-01126-00-00-AC</w:t>
            </w:r>
          </w:p>
        </w:tc>
      </w:tr>
    </w:tbl>
    <w:p w14:paraId="45C2A4BA" w14:textId="77777777" w:rsidR="007B75D0" w:rsidRDefault="007B75D0" w:rsidP="00814A54">
      <w:pPr>
        <w:keepNext/>
        <w:keepLines/>
        <w:tabs>
          <w:tab w:val="center" w:pos="284"/>
        </w:tabs>
        <w:ind w:left="266" w:hanging="266"/>
        <w:rPr>
          <w:b/>
        </w:rPr>
      </w:pPr>
    </w:p>
    <w:p w14:paraId="283139ED" w14:textId="48BE40A4" w:rsidR="00814A54" w:rsidRPr="00814A54" w:rsidRDefault="00814A54" w:rsidP="00814A54">
      <w:pPr>
        <w:keepNext/>
        <w:keepLines/>
        <w:tabs>
          <w:tab w:val="center" w:pos="284"/>
        </w:tabs>
        <w:ind w:left="266" w:hanging="266"/>
        <w:rPr>
          <w:b/>
        </w:rPr>
      </w:pPr>
      <w:r>
        <w:rPr>
          <w:b/>
        </w:rPr>
        <w:t>Puntos clave</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El CESE:</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apoya la labor de mejora de la celeridad y la capacidad de respuesta e innovación de la base industrial y tecnológica de la defensa europea (BITDE) a la luz de la evolución del entorno de seguridad, por lo que acoge con satisfacción el marco en materia de defensa del programa AGILE (en lo sucesivo, «el Programa») propuesto por la Comisión;</w:t>
      </w:r>
      <w:bookmarkEnd w:id="45"/>
    </w:p>
    <w:p w14:paraId="7C3494F3" w14:textId="77777777" w:rsidR="00814A54" w:rsidRPr="00814A54" w:rsidRDefault="00814A54" w:rsidP="004C6742">
      <w:pPr>
        <w:numPr>
          <w:ilvl w:val="1"/>
          <w:numId w:val="65"/>
        </w:numPr>
        <w:outlineLvl w:val="1"/>
      </w:pPr>
      <w:bookmarkStart w:id="46" w:name="_Toc228805458"/>
      <w:r>
        <w:t>acoge con satisfacción el Programa por su naturaleza de plataforma para que las pymes, las empresas emergentes, las empresas de tecnología civil y los emprendedores aporten soluciones rápidas y de alta calidad a la preparación de la UE en materia de defensa; destaca el importante papel de los nuevos agentes en materia de defensa en la transformación de la industria de defensa de la UE;</w:t>
      </w:r>
      <w:bookmarkEnd w:id="46"/>
      <w:r>
        <w:t xml:space="preserve"> </w:t>
      </w:r>
    </w:p>
    <w:p w14:paraId="084337D9" w14:textId="77777777" w:rsidR="00814A54" w:rsidRPr="00814A54" w:rsidRDefault="00814A54" w:rsidP="004C6742">
      <w:pPr>
        <w:numPr>
          <w:ilvl w:val="1"/>
          <w:numId w:val="65"/>
        </w:numPr>
        <w:outlineLvl w:val="1"/>
      </w:pPr>
      <w:bookmarkStart w:id="47" w:name="_Toc228805459"/>
      <w:r>
        <w:t>subraya que la aceleración no debe ir en detrimento de la transparencia, la rendición de cuentas y el control democrático, que siguen siendo esenciales para la legitimidad y la eficacia de la actuación de la UE;</w:t>
      </w:r>
      <w:bookmarkEnd w:id="47"/>
    </w:p>
    <w:p w14:paraId="15C24631" w14:textId="77777777" w:rsidR="00814A54" w:rsidRPr="00814A54" w:rsidRDefault="00814A54" w:rsidP="004C6742">
      <w:pPr>
        <w:numPr>
          <w:ilvl w:val="1"/>
          <w:numId w:val="65"/>
        </w:numPr>
        <w:outlineLvl w:val="1"/>
      </w:pPr>
      <w:bookmarkStart w:id="48" w:name="_Toc228805460"/>
      <w:r>
        <w:t>pide que la financiación del Programa se establezca con carácter adicional a la de los programas de defensa de la UE ya existentes; recomienda aumentar sustancialmente el presupuesto de este instrumento en el próximo período del marco financiero plurianual sobre la base de los resultados de la evaluación de este programa piloto;</w:t>
      </w:r>
      <w:bookmarkEnd w:id="48"/>
      <w:r>
        <w:t xml:space="preserve"> </w:t>
      </w:r>
    </w:p>
    <w:p w14:paraId="590B8EC8" w14:textId="77777777" w:rsidR="00814A54" w:rsidRPr="00814A54" w:rsidRDefault="00814A54" w:rsidP="004C6742">
      <w:pPr>
        <w:numPr>
          <w:ilvl w:val="1"/>
          <w:numId w:val="65"/>
        </w:numPr>
        <w:outlineLvl w:val="1"/>
      </w:pPr>
      <w:bookmarkStart w:id="49" w:name="_Toc228805461"/>
      <w:r>
        <w:t>recomienda que se introduzcan disposiciones para garantizar que en los procesos de difusión, selección y evaluación del Programa participen de forma proactiva pymes, empresas emergentes y empresas innovadoras que actúen por sí solas de todos los Estados miembros y sectores, con vistas a aumentar el equilibrio geográfico y la inclusividad en toda la UE;</w:t>
      </w:r>
      <w:bookmarkEnd w:id="49"/>
    </w:p>
    <w:p w14:paraId="2B71655A" w14:textId="77777777" w:rsidR="00814A54" w:rsidRPr="00814A54" w:rsidRDefault="00814A54" w:rsidP="004C6742">
      <w:pPr>
        <w:numPr>
          <w:ilvl w:val="1"/>
          <w:numId w:val="65"/>
        </w:numPr>
        <w:outlineLvl w:val="1"/>
      </w:pPr>
      <w:bookmarkStart w:id="50" w:name="_Toc228805462"/>
      <w:r>
        <w:t>recomienda la introducción de medidas sólidas y ejecutables que garanticen el cumplimiento efectivo del artículo 9, apartado 5, sobre admisibilidad y subvencionabilidad. Con el fin de salvaguardar la autonomía estratégica y los intereses de seguridad de la UE, este artículo debe aclarar de manera explícita y rigurosa los criterios de exclusión;</w:t>
      </w:r>
      <w:bookmarkEnd w:id="50"/>
    </w:p>
    <w:p w14:paraId="3849E73E" w14:textId="77777777" w:rsidR="00814A54" w:rsidRPr="00814A54" w:rsidRDefault="00814A54" w:rsidP="004C6742">
      <w:pPr>
        <w:numPr>
          <w:ilvl w:val="1"/>
          <w:numId w:val="65"/>
        </w:numPr>
        <w:outlineLvl w:val="1"/>
      </w:pPr>
      <w:bookmarkStart w:id="51" w:name="_Toc228805463"/>
      <w:r>
        <w:t>recomienda que los proyectos en el marco del Programa estén sólidamente fundamentados en unos requisitos sobre capacidades de defensa definidos con claridad y estrictamente ajustados a las necesidades de los usuarios finales; destaca que para dichos proyectos se debe dar acceso a entornos de prueba reales, entre ellos campos de pruebas y maniobras militares, con el fin de validar las soluciones en condiciones operativas y acelerar así su adopción;</w:t>
      </w:r>
      <w:bookmarkEnd w:id="51"/>
    </w:p>
    <w:p w14:paraId="0638FC2F" w14:textId="77777777" w:rsidR="00814A54" w:rsidRPr="00814A54" w:rsidRDefault="00814A54" w:rsidP="004C6742">
      <w:pPr>
        <w:numPr>
          <w:ilvl w:val="1"/>
          <w:numId w:val="65"/>
        </w:numPr>
        <w:outlineLvl w:val="1"/>
      </w:pPr>
      <w:bookmarkStart w:id="52" w:name="_Toc228805464"/>
      <w:r>
        <w:t xml:space="preserve">recomienda además que el respeto de la legislación laboral, social y medioambiental de la UE se integre explícitamente en la ejecución del Programa; subraya que la participación en el Programa </w:t>
      </w:r>
      <w:r>
        <w:lastRenderedPageBreak/>
        <w:t>debe supeditarse a la adopción de compromisos en materia de desarrollo de capacidades, empleo de calidad y pleno respeto de los derechos de los trabajadores, en consonancia con el modelo social europeo.</w:t>
      </w:r>
      <w:bookmarkEnd w:id="52"/>
      <w:r>
        <w:t xml:space="preserve"> </w:t>
      </w:r>
    </w:p>
    <w:p w14:paraId="532F5590" w14:textId="77777777" w:rsidR="00814A54" w:rsidRPr="00814A54" w:rsidRDefault="00814A54" w:rsidP="00814A54"/>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814A54" w:rsidRPr="00814A54" w14:paraId="5B60E629" w14:textId="77777777" w:rsidTr="007B75D0">
        <w:tc>
          <w:tcPr>
            <w:tcW w:w="2235" w:type="dxa"/>
          </w:tcPr>
          <w:p w14:paraId="59F261E2" w14:textId="77777777" w:rsidR="00814A54" w:rsidRPr="00814A54" w:rsidRDefault="00814A54" w:rsidP="00814A54">
            <w:pPr>
              <w:spacing w:line="240" w:lineRule="auto"/>
              <w:rPr>
                <w:i/>
              </w:rPr>
            </w:pPr>
            <w:r>
              <w:rPr>
                <w:b/>
                <w:i/>
              </w:rPr>
              <w:t>Contacto:</w:t>
            </w:r>
          </w:p>
        </w:tc>
        <w:tc>
          <w:tcPr>
            <w:tcW w:w="4853" w:type="dxa"/>
          </w:tcPr>
          <w:p w14:paraId="42A1FC82" w14:textId="7A465A63" w:rsidR="00814A54" w:rsidRPr="004C6742" w:rsidRDefault="00814A54" w:rsidP="00814A54">
            <w:pPr>
              <w:spacing w:line="240" w:lineRule="auto"/>
              <w:rPr>
                <w:bCs/>
                <w:i/>
              </w:rPr>
            </w:pPr>
            <w:r>
              <w:rPr>
                <w:i/>
              </w:rPr>
              <w:t>Ioannis DIAMANTOPOULOS</w:t>
            </w:r>
          </w:p>
        </w:tc>
      </w:tr>
      <w:tr w:rsidR="00814A54" w:rsidRPr="00814A54" w14:paraId="7C2F36B8" w14:textId="77777777" w:rsidTr="007B75D0">
        <w:tc>
          <w:tcPr>
            <w:tcW w:w="2235" w:type="dxa"/>
          </w:tcPr>
          <w:p w14:paraId="2F6A920E" w14:textId="77777777" w:rsidR="00814A54" w:rsidRPr="00814A54" w:rsidRDefault="00814A54" w:rsidP="00814A54">
            <w:pPr>
              <w:spacing w:line="240" w:lineRule="auto"/>
              <w:rPr>
                <w:i/>
              </w:rPr>
            </w:pPr>
            <w:r>
              <w:rPr>
                <w:i/>
              </w:rPr>
              <w:t>Teléfono:</w:t>
            </w:r>
          </w:p>
        </w:tc>
        <w:tc>
          <w:tcPr>
            <w:tcW w:w="4853" w:type="dxa"/>
          </w:tcPr>
          <w:p w14:paraId="2671F0CA" w14:textId="77777777" w:rsidR="00814A54" w:rsidRPr="00814A54" w:rsidRDefault="00814A54" w:rsidP="00814A54">
            <w:pPr>
              <w:spacing w:line="240" w:lineRule="auto"/>
              <w:rPr>
                <w:i/>
              </w:rPr>
            </w:pPr>
            <w:r>
              <w:rPr>
                <w:i/>
              </w:rPr>
              <w:t>+32 25469170</w:t>
            </w:r>
          </w:p>
        </w:tc>
      </w:tr>
      <w:tr w:rsidR="00814A54" w:rsidRPr="00814A54" w14:paraId="7A81BD47" w14:textId="77777777" w:rsidTr="007B75D0">
        <w:trPr>
          <w:trHeight w:val="244"/>
        </w:trPr>
        <w:tc>
          <w:tcPr>
            <w:tcW w:w="2235" w:type="dxa"/>
          </w:tcPr>
          <w:p w14:paraId="3A5319AB" w14:textId="77777777" w:rsidR="00814A54" w:rsidRPr="00814A54" w:rsidRDefault="00814A54" w:rsidP="00814A54">
            <w:pPr>
              <w:spacing w:line="240" w:lineRule="auto"/>
              <w:rPr>
                <w:i/>
              </w:rPr>
            </w:pPr>
            <w:r>
              <w:rPr>
                <w:i/>
              </w:rPr>
              <w:t>Correo electrónico:</w:t>
            </w:r>
          </w:p>
        </w:tc>
        <w:tc>
          <w:tcPr>
            <w:tcW w:w="4853" w:type="dxa"/>
          </w:tcPr>
          <w:p w14:paraId="210C9375" w14:textId="36974525" w:rsidR="00814A54" w:rsidRPr="00814A54" w:rsidRDefault="00C76D56" w:rsidP="00814A54">
            <w:pPr>
              <w:spacing w:line="240" w:lineRule="auto"/>
              <w:rPr>
                <w:i/>
              </w:rPr>
            </w:pPr>
            <w:hyperlink r:id="rId72" w:history="1">
              <w:r>
                <w:rPr>
                  <w:i/>
                  <w:color w:val="0000FF"/>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A33" w14:textId="77777777" w:rsidR="00A067F3" w:rsidRDefault="00A067F3" w:rsidP="00A06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r w:rsidR="003734B1">
      <w:fldChar w:fldCharType="begin"/>
    </w:r>
    <w:r w:rsidR="003734B1">
      <w:instrText xml:space="preserve"> NUMPAGES </w:instrText>
    </w:r>
    <w:r w:rsidR="003734B1">
      <w:fldChar w:fldCharType="separate"/>
    </w:r>
    <w:r w:rsidR="0004480F">
      <w:t>1</w:t>
    </w:r>
    <w:r w:rsidR="003734B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741D" w14:textId="77777777" w:rsidR="00A067F3" w:rsidRDefault="00A067F3" w:rsidP="00A06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r w:rsidR="003734B1">
      <w:fldChar w:fldCharType="begin"/>
    </w:r>
    <w:r w:rsidR="003734B1">
      <w:instrText xml:space="preserve"> NUMPAGES </w:instrText>
    </w:r>
    <w:r w:rsidR="003734B1">
      <w:fldChar w:fldCharType="separate"/>
    </w:r>
    <w:r>
      <w:t>33</w:t>
    </w:r>
    <w:r w:rsidR="003734B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7B651DAB" w14:textId="32F02904" w:rsidR="00944198" w:rsidRPr="00BD72B3" w:rsidRDefault="00944198" w:rsidP="00944198">
      <w:pPr>
        <w:pStyle w:val="FootnoteText"/>
      </w:pPr>
      <w:r>
        <w:rPr>
          <w:rStyle w:val="FootnoteReference"/>
        </w:rPr>
        <w:footnoteRef/>
      </w:r>
      <w:r>
        <w:t xml:space="preserve"> </w:t>
      </w:r>
      <w:r>
        <w:tab/>
        <w:t xml:space="preserve">DO C, C/2024/6880, 28.11.2024, ELI: </w:t>
      </w:r>
      <w:hyperlink r:id="rId1" w:history="1">
        <w:r>
          <w:rPr>
            <w:rStyle w:val="Hyperlink"/>
          </w:rPr>
          <w:t>http://data.europa.eu/eli/C/2024/6880/oj</w:t>
        </w:r>
      </w:hyperlink>
      <w:r>
        <w:t>.</w:t>
      </w:r>
    </w:p>
  </w:footnote>
  <w:footnote w:id="2">
    <w:p w14:paraId="6A5DF5FB" w14:textId="68784F7F" w:rsidR="002B30F4" w:rsidRDefault="002B30F4" w:rsidP="002B30F4">
      <w:pPr>
        <w:pStyle w:val="FootnoteText"/>
      </w:pPr>
      <w:r>
        <w:rPr>
          <w:rStyle w:val="FootnoteReference"/>
        </w:rPr>
        <w:footnoteRef/>
      </w:r>
      <w:r>
        <w:tab/>
        <w:t xml:space="preserve">Véase el Dictamen del CESE </w:t>
      </w:r>
      <w:hyperlink r:id="rId2" w:history="1">
        <w:r>
          <w:rPr>
            <w:rStyle w:val="Hyperlink"/>
          </w:rPr>
          <w:t>«Equivalencia de las inspecciones – Semillas de Brasil y Moldavia»</w:t>
        </w:r>
      </w:hyperlink>
      <w:r>
        <w:t xml:space="preserve">, </w:t>
      </w:r>
      <w:hyperlink r:id="rId3" w:history="1">
        <w:r>
          <w:rPr>
            <w:rStyle w:val="Hyperlink"/>
          </w:rPr>
          <w:t>DO C 227 de 28.6.2018, p. 76</w:t>
        </w:r>
      </w:hyperlink>
      <w:r>
        <w:t>.</w:t>
      </w:r>
    </w:p>
  </w:footnote>
  <w:footnote w:id="3">
    <w:p w14:paraId="31B28570" w14:textId="527CABB6" w:rsidR="002B30F4" w:rsidRDefault="002B30F4" w:rsidP="002B30F4">
      <w:pPr>
        <w:pStyle w:val="FootnoteText"/>
      </w:pPr>
      <w:r>
        <w:rPr>
          <w:rStyle w:val="FootnoteReference"/>
        </w:rPr>
        <w:footnoteRef/>
      </w:r>
      <w:r>
        <w:tab/>
        <w:t xml:space="preserve">Véase el Dictamen del CESE </w:t>
      </w:r>
      <w:hyperlink r:id="rId4" w:history="1">
        <w:r>
          <w:rPr>
            <w:rStyle w:val="Hyperlink"/>
          </w:rPr>
          <w:t>«Equivalencia de las inspecciones: semillas de cereales producidas en Ucrania»</w:t>
        </w:r>
      </w:hyperlink>
      <w:r>
        <w:t xml:space="preserve">, </w:t>
      </w:r>
      <w:hyperlink r:id="rId5" w:history="1">
        <w:r>
          <w:rPr>
            <w:rStyle w:val="Hyperlink"/>
          </w:rPr>
          <w:t>DO C 429 de 11.12.2020, p. 276</w:t>
        </w:r>
      </w:hyperlink>
      <w:r>
        <w:t>.</w:t>
      </w:r>
    </w:p>
  </w:footnote>
  <w:footnote w:id="4">
    <w:p w14:paraId="704BA872" w14:textId="69306E91" w:rsidR="008548EA" w:rsidRDefault="008548EA" w:rsidP="008548EA">
      <w:pPr>
        <w:pStyle w:val="FootnoteText"/>
      </w:pPr>
      <w:r>
        <w:rPr>
          <w:rStyle w:val="FootnoteReference"/>
        </w:rPr>
        <w:footnoteRef/>
      </w:r>
      <w:r>
        <w:tab/>
        <w:t>Dictamen del CESE «</w:t>
      </w:r>
      <w:hyperlink r:id="rId6">
        <w:r>
          <w:rPr>
            <w:rStyle w:val="Hyperlink"/>
            <w:i/>
          </w:rPr>
          <w:t>Revisión del régimen de comercio de derechos de emisión de la UE, incluidos el transporte marítimo y la reserva de estabilidad del mercado</w:t>
        </w:r>
      </w:hyperlink>
      <w:r>
        <w:t xml:space="preserve">», </w:t>
      </w:r>
      <w:hyperlink r:id="rId7">
        <w:r>
          <w:rPr>
            <w:rStyle w:val="Hyperlink"/>
          </w:rPr>
          <w:t>DO C 152 de 6.4.2022, p.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5A0A" w14:textId="77777777" w:rsidR="00A067F3" w:rsidRDefault="00A06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B92" w14:textId="77777777" w:rsidR="00A067F3" w:rsidRDefault="00A0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5DC4" w14:textId="77777777" w:rsidR="00A067F3" w:rsidRDefault="00A0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8066668">
    <w:abstractNumId w:val="0"/>
  </w:num>
  <w:num w:numId="2" w16cid:durableId="108165280">
    <w:abstractNumId w:val="61"/>
  </w:num>
  <w:num w:numId="3" w16cid:durableId="353656435">
    <w:abstractNumId w:val="68"/>
  </w:num>
  <w:num w:numId="4" w16cid:durableId="1284581170">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2077240130">
    <w:abstractNumId w:val="62"/>
  </w:num>
  <w:num w:numId="6" w16cid:durableId="1010984799">
    <w:abstractNumId w:val="69"/>
  </w:num>
  <w:num w:numId="7" w16cid:durableId="1603802477">
    <w:abstractNumId w:val="25"/>
  </w:num>
  <w:num w:numId="8" w16cid:durableId="1483307073">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16cid:durableId="422267754">
    <w:abstractNumId w:val="56"/>
  </w:num>
  <w:num w:numId="10" w16cid:durableId="977612502">
    <w:abstractNumId w:val="46"/>
  </w:num>
  <w:num w:numId="11" w16cid:durableId="844512152">
    <w:abstractNumId w:val="58"/>
  </w:num>
  <w:num w:numId="12" w16cid:durableId="1745371509">
    <w:abstractNumId w:val="47"/>
  </w:num>
  <w:num w:numId="13" w16cid:durableId="1189106391">
    <w:abstractNumId w:val="60"/>
  </w:num>
  <w:num w:numId="14" w16cid:durableId="296227579">
    <w:abstractNumId w:val="54"/>
  </w:num>
  <w:num w:numId="15" w16cid:durableId="1398481613">
    <w:abstractNumId w:val="10"/>
  </w:num>
  <w:num w:numId="16" w16cid:durableId="648873565">
    <w:abstractNumId w:val="53"/>
  </w:num>
  <w:num w:numId="17" w16cid:durableId="522936175">
    <w:abstractNumId w:val="32"/>
  </w:num>
  <w:num w:numId="18" w16cid:durableId="962151735">
    <w:abstractNumId w:val="23"/>
  </w:num>
  <w:num w:numId="19" w16cid:durableId="1227839120">
    <w:abstractNumId w:val="8"/>
  </w:num>
  <w:num w:numId="20" w16cid:durableId="175467515">
    <w:abstractNumId w:val="71"/>
  </w:num>
  <w:num w:numId="21" w16cid:durableId="224493408">
    <w:abstractNumId w:val="51"/>
  </w:num>
  <w:num w:numId="22" w16cid:durableId="1420828626">
    <w:abstractNumId w:val="3"/>
  </w:num>
  <w:num w:numId="23" w16cid:durableId="1702125328">
    <w:abstractNumId w:val="39"/>
  </w:num>
  <w:num w:numId="24" w16cid:durableId="677390598">
    <w:abstractNumId w:val="40"/>
  </w:num>
  <w:num w:numId="25" w16cid:durableId="1606844062">
    <w:abstractNumId w:val="55"/>
  </w:num>
  <w:num w:numId="26" w16cid:durableId="2068725724">
    <w:abstractNumId w:val="14"/>
  </w:num>
  <w:num w:numId="27" w16cid:durableId="1618756030">
    <w:abstractNumId w:val="11"/>
  </w:num>
  <w:num w:numId="28" w16cid:durableId="2021272786">
    <w:abstractNumId w:val="37"/>
  </w:num>
  <w:num w:numId="29" w16cid:durableId="969476415">
    <w:abstractNumId w:val="38"/>
  </w:num>
  <w:num w:numId="30" w16cid:durableId="463935162">
    <w:abstractNumId w:val="31"/>
  </w:num>
  <w:num w:numId="31" w16cid:durableId="348990554">
    <w:abstractNumId w:val="45"/>
  </w:num>
  <w:num w:numId="32" w16cid:durableId="1215194130">
    <w:abstractNumId w:val="7"/>
  </w:num>
  <w:num w:numId="33" w16cid:durableId="173396052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16cid:durableId="107243551">
    <w:abstractNumId w:val="19"/>
  </w:num>
  <w:num w:numId="35" w16cid:durableId="1591543844">
    <w:abstractNumId w:val="65"/>
  </w:num>
  <w:num w:numId="36" w16cid:durableId="1836408457">
    <w:abstractNumId w:val="43"/>
  </w:num>
  <w:num w:numId="37" w16cid:durableId="1577746187">
    <w:abstractNumId w:val="33"/>
  </w:num>
  <w:num w:numId="38" w16cid:durableId="697975509">
    <w:abstractNumId w:val="36"/>
  </w:num>
  <w:num w:numId="39" w16cid:durableId="1906336463">
    <w:abstractNumId w:val="63"/>
  </w:num>
  <w:num w:numId="40" w16cid:durableId="1361736139">
    <w:abstractNumId w:val="6"/>
  </w:num>
  <w:num w:numId="41" w16cid:durableId="1531794518">
    <w:abstractNumId w:val="48"/>
  </w:num>
  <w:num w:numId="42" w16cid:durableId="659701244">
    <w:abstractNumId w:val="67"/>
  </w:num>
  <w:num w:numId="43" w16cid:durableId="1128937540">
    <w:abstractNumId w:val="13"/>
  </w:num>
  <w:num w:numId="44" w16cid:durableId="1131560379">
    <w:abstractNumId w:val="18"/>
  </w:num>
  <w:num w:numId="45" w16cid:durableId="1234782305">
    <w:abstractNumId w:val="4"/>
  </w:num>
  <w:num w:numId="46" w16cid:durableId="634529854">
    <w:abstractNumId w:val="64"/>
  </w:num>
  <w:num w:numId="47" w16cid:durableId="120149303">
    <w:abstractNumId w:val="41"/>
  </w:num>
  <w:num w:numId="48" w16cid:durableId="1554468161">
    <w:abstractNumId w:val="12"/>
  </w:num>
  <w:num w:numId="49" w16cid:durableId="1101102191">
    <w:abstractNumId w:val="57"/>
  </w:num>
  <w:num w:numId="50" w16cid:durableId="863709485">
    <w:abstractNumId w:val="26"/>
  </w:num>
  <w:num w:numId="51" w16cid:durableId="954676077">
    <w:abstractNumId w:val="66"/>
  </w:num>
  <w:num w:numId="52" w16cid:durableId="600186600">
    <w:abstractNumId w:val="50"/>
  </w:num>
  <w:num w:numId="53" w16cid:durableId="1101680225">
    <w:abstractNumId w:val="22"/>
  </w:num>
  <w:num w:numId="54" w16cid:durableId="467361499">
    <w:abstractNumId w:val="5"/>
  </w:num>
  <w:num w:numId="55" w16cid:durableId="1321733220">
    <w:abstractNumId w:val="52"/>
  </w:num>
  <w:num w:numId="56" w16cid:durableId="1483346754">
    <w:abstractNumId w:val="9"/>
  </w:num>
  <w:num w:numId="57" w16cid:durableId="1594320998">
    <w:abstractNumId w:val="30"/>
  </w:num>
  <w:num w:numId="58" w16cid:durableId="1765032874">
    <w:abstractNumId w:val="44"/>
  </w:num>
  <w:num w:numId="59" w16cid:durableId="1674650860">
    <w:abstractNumId w:val="28"/>
  </w:num>
  <w:num w:numId="60" w16cid:durableId="564414129">
    <w:abstractNumId w:val="27"/>
  </w:num>
  <w:num w:numId="61" w16cid:durableId="718089460">
    <w:abstractNumId w:val="20"/>
  </w:num>
  <w:num w:numId="62" w16cid:durableId="706612487">
    <w:abstractNumId w:val="49"/>
  </w:num>
  <w:num w:numId="63" w16cid:durableId="2027319184">
    <w:abstractNumId w:val="29"/>
  </w:num>
  <w:num w:numId="64" w16cid:durableId="1815952754">
    <w:abstractNumId w:val="21"/>
  </w:num>
  <w:num w:numId="65" w16cid:durableId="516119857">
    <w:abstractNumId w:val="35"/>
  </w:num>
  <w:num w:numId="66" w16cid:durableId="13226579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16cid:durableId="1482186709">
    <w:abstractNumId w:val="24"/>
  </w:num>
  <w:num w:numId="68" w16cid:durableId="189839284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16cid:durableId="172189019">
    <w:abstractNumId w:val="17"/>
  </w:num>
  <w:num w:numId="70" w16cid:durableId="808090303">
    <w:abstractNumId w:val="34"/>
  </w:num>
  <w:num w:numId="71" w16cid:durableId="587621643">
    <w:abstractNumId w:val="2"/>
  </w:num>
  <w:num w:numId="72" w16cid:durableId="643199983">
    <w:abstractNumId w:val="16"/>
  </w:num>
  <w:num w:numId="73" w16cid:durableId="1036346046">
    <w:abstractNumId w:val="59"/>
  </w:num>
  <w:num w:numId="74" w16cid:durableId="509682584">
    <w:abstractNumId w:val="72"/>
  </w:num>
  <w:num w:numId="75" w16cid:durableId="1534462446">
    <w:abstractNumId w:val="42"/>
  </w:num>
  <w:num w:numId="76" w16cid:durableId="1675378197">
    <w:abstractNumId w:val="15"/>
  </w:num>
  <w:num w:numId="77" w16cid:durableId="1309746897">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16D49"/>
    <w:rsid w:val="00023DB5"/>
    <w:rsid w:val="00032C87"/>
    <w:rsid w:val="00037101"/>
    <w:rsid w:val="00043BEF"/>
    <w:rsid w:val="0004480F"/>
    <w:rsid w:val="000501F7"/>
    <w:rsid w:val="00050D04"/>
    <w:rsid w:val="000517F6"/>
    <w:rsid w:val="000561FD"/>
    <w:rsid w:val="0006268B"/>
    <w:rsid w:val="00063DFF"/>
    <w:rsid w:val="00070ED2"/>
    <w:rsid w:val="00092ACC"/>
    <w:rsid w:val="00096B93"/>
    <w:rsid w:val="000A2AF0"/>
    <w:rsid w:val="000A2B8D"/>
    <w:rsid w:val="000C5A16"/>
    <w:rsid w:val="000D394D"/>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6F06"/>
    <w:rsid w:val="007B75D0"/>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53E67"/>
    <w:rsid w:val="00C57C84"/>
    <w:rsid w:val="00C6134C"/>
    <w:rsid w:val="00C63006"/>
    <w:rsid w:val="00C716C1"/>
    <w:rsid w:val="00C76C7D"/>
    <w:rsid w:val="00C76D56"/>
    <w:rsid w:val="00C81F1B"/>
    <w:rsid w:val="00C821A5"/>
    <w:rsid w:val="00C82A9F"/>
    <w:rsid w:val="00C95C7D"/>
    <w:rsid w:val="00C96FA3"/>
    <w:rsid w:val="00CA4A98"/>
    <w:rsid w:val="00CA6EC9"/>
    <w:rsid w:val="00CB6F1C"/>
    <w:rsid w:val="00CD4904"/>
    <w:rsid w:val="00CD7ECC"/>
    <w:rsid w:val="00CE3211"/>
    <w:rsid w:val="00CE4B1B"/>
    <w:rsid w:val="00CE5DE6"/>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783B"/>
    <w:rsid w:val="00E92C8E"/>
    <w:rsid w:val="00EB0AFC"/>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https://www.eesc.europa.eu/es/our-work/opinions-information-reports/opinions/eu-policy-agenda-liveable-cities"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es/our-work/opinions-information-reports/opinions/new-rules-drug-precursors" TargetMode="External"/><Relationship Id="rId63" Type="http://schemas.openxmlformats.org/officeDocument/2006/relationships/hyperlink" Target="https://www.eesc.europa.eu/es/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es/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es/our-work/opinions-information-reports/opinions/developing-european-centre-clinical-excellence-pharmaceuticals" TargetMode="External"/><Relationship Id="rId53" Type="http://schemas.openxmlformats.org/officeDocument/2006/relationships/hyperlink" Target="https://www.eesc.europa.eu/es/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eesc.europa.eu/es/our-work/opinions-information-reports/opinions/food-and-feed-safety-simplification-omnibus"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es/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es/our-work/opinions-information-reports/opinions/over-tourism-short-term-rentals-and-crowding-out-local-populations-finding-right-balance" TargetMode="External"/><Relationship Id="rId43" Type="http://schemas.openxmlformats.org/officeDocument/2006/relationships/hyperlink" Target="https://www.eesc.europa.eu/es/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es/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es/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s/our-work/opinions-information-reports/opinions/ban-conversion-practices-european-union" TargetMode="External"/><Relationship Id="rId33" Type="http://schemas.openxmlformats.org/officeDocument/2006/relationships/hyperlink" Target="https://www.eesc.europa.eu/es/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es/our-work/opinions-information-reports/opinions/eu-bioeconomy-strategy-towards-circular-regenerative-and-competitive-bioeconomy" TargetMode="External"/><Relationship Id="rId67" Type="http://schemas.openxmlformats.org/officeDocument/2006/relationships/hyperlink" Target="https://www.eesc.europa.eu/es/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es/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s/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es/our-work/opinions-information-reports/opinions/proposal-regulation-targeted-revision-eu-rules-medical-devices-and-vitro-diagnostics" TargetMode="External"/><Relationship Id="rId57" Type="http://schemas.openxmlformats.org/officeDocument/2006/relationships/hyperlink" Target="https://www.eesc.europa.eu/es/our-work/opinions-information-reports/opinions/comprehensive-strategy-nature-based-biodegradable-materials-foster-circularity-and-resource-efficiency-strengthen-agri" TargetMode="External"/><Relationship Id="rId10" Type="http://schemas.openxmlformats.org/officeDocument/2006/relationships/footnotes" Target="footnotes.xml"/><Relationship Id="rId31" Type="http://schemas.openxmlformats.org/officeDocument/2006/relationships/hyperlink" Target="https://www.eesc.europa.eu/es/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es/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es/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es/our-work/opinions-information-reports/information-reports/evaluation-regulation-eu-20191020-market-surveillance-and-compliance-products" TargetMode="External"/><Relationship Id="rId34" Type="http://schemas.openxmlformats.org/officeDocument/2006/relationships/hyperlink" Target="mailto:JeanMarie.Rogue@eesc.europa.eu"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es/our-work/opinions-information-reports/opinions/eu-startups-and-scale-strategy-focus-european-innovation-act"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es/our-work/opinions-information-reports/opinions/programme-agile-and-rapid-defence-innovation-agile" TargetMode="External"/><Relationship Id="rId2" Type="http://schemas.openxmlformats.org/officeDocument/2006/relationships/customXml" Target="../customXml/item2.xml"/><Relationship Id="rId29" Type="http://schemas.openxmlformats.org/officeDocument/2006/relationships/hyperlink" Target="https://www.eesc.europa.eu/es/our-work/opinions-information-reports/opinions/eu-competitiveness-and-youth-entrepreneu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TXT/?uri=CELEX:52018AE0043" TargetMode="External"/><Relationship Id="rId7" Type="http://schemas.openxmlformats.org/officeDocument/2006/relationships/hyperlink" Target="https://eur-lex.europa.eu/legal-content/ES/TXT/?uri=uriserv%3AOJ.C_.2022.152.01.0175.01.SPA&amp;toc=OJ%3AC%3A2022%3A152%3ATOC" TargetMode="External"/><Relationship Id="rId2" Type="http://schemas.openxmlformats.org/officeDocument/2006/relationships/hyperlink" Target="https://www.eesc.europa.eu/es/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es/our-work/opinions-information-reports/opinions/revision-eu-emissions-trading-system-ets-including-maritime-transport-and-market-stability-reserve" TargetMode="External"/><Relationship Id="rId5" Type="http://schemas.openxmlformats.org/officeDocument/2006/relationships/hyperlink" Target="https://eur-lex.europa.eu/legal-content/ES/TXT/?uri=CELEX:52020AE2029" TargetMode="External"/><Relationship Id="rId4" Type="http://schemas.openxmlformats.org/officeDocument/2006/relationships/hyperlink" Target="https://www.eesc.europa.eu/es/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VP3JK3XSEPRV-2087481956-8673</_dlc_DocId>
    <_dlc_DocIdUrl xmlns="7d640e6d-779c-472f-a269-6b546787f1c9">
      <Url>http://dm/eesc/2026/_layouts/15/DocIdRedir.aspx?ID=VP3JK3XSEPRV-2087481956-8673</Url>
      <Description>VP3JK3XSEPRV-2087481956-8673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2026-05-13T12:00:00+00:00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Navarro Anna</DisplayName>
        <AccountId>1354</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2.xml><?xml version="1.0" encoding="utf-8"?>
<ds:datastoreItem xmlns:ds="http://schemas.openxmlformats.org/officeDocument/2006/customXml" ds:itemID="{CFCC2C13-AB4C-40F2-B380-0FBF74A12F7B}"/>
</file>

<file path=customXml/itemProps3.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4550B7D9-B944-4719-A93C-2F495E041519}">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10130</Words>
  <Characters>63822</Characters>
  <Application>Microsoft Office Word</Application>
  <DocSecurity>0</DocSecurity>
  <Lines>1679</Lines>
  <Paragraphs>960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72992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- 605.º pleno - abril de 2026</dc:title>
  <dc:subject>ADMIN</dc:subject>
  <dc:creator/>
  <cp:keywords>COR-EESC-2022-02583-00-00-ADMIN-TRA-EN</cp:keywords>
  <dc:description>Rapporteur:  - Original language: EN - Date of document: 20/05/2022 - Date of meeting:  - External documents:  - Administrator:  SUCIU Serban</dc:description>
  <cp:lastModifiedBy/>
  <cp:revision>8</cp:revision>
  <dcterms:created xsi:type="dcterms:W3CDTF">2026-05-08T11:50:00Z</dcterms:created>
  <dcterms:modified xsi:type="dcterms:W3CDTF">2026-05-13T10:11:00Z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8df5e56d-b048-405e-b15c-b84ec16ff3bc</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31;#SL|98a412ae-eb01-49e9-ae3d-585a81724cfc;#28;#PT|50ccc04a-eadd-42ae-a0cb-acaf45f812ba;#25;#FI|87606a43-d45f-42d6-b8c9-e1a3457db5b7;#59;#SPL-CES|32d8cb1f-c9ec-4365-95c7-8385a18618ac;#19;#Unrestricted|826e22d7-d029-4ec0-a450-0c28ff673572;#18;#TCD|cd9d6eb6-3f4f-424a-b2d1-57c9d450eaaf;#51;#LV|46f7e311-5d9f-4663-b433-18aeccb7ace7;#13;#IT|0774613c-01ed-4e5d-a25d-11d2388de825;#11;#DE|f6b31e5a-26fa-4935-b661-318e46daf27e;#9;#TRA|150d2a88-1431-44e6-a8ca-0bb753ab8672;#45;#SV|c2ed69e7-a339-43d7-8f22-d93680a92aa0;#7;#Final|ea5e6674-7b27-4bac-b091-73adbb394efe;#4;#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12;#ES|e7a6b05b-ae16-40c8-add9-68b64b03aeba</vt:lpwstr>
  </property>
  <property fmtid="{D5CDD505-2E9C-101B-9397-08002B2CF9AE}" pid="33" name="AvailableTranslations_0">
    <vt:lpwstr>FI|87606a43-d45f-42d6-b8c9-e1a3457db5b7;EN|f2175f21-25d7-44a3-96da-d6a61b075e1b;LV|46f7e311-5d9f-4663-b433-18aeccb7ace7;IT|0774613c-01ed-4e5d-a25d-11d2388de825;SL|98a412ae-eb01-49e9-ae3d-585a81724cfc;PT|50ccc04a-eadd-42ae-a0cb-acaf45f812ba;DE|f6b31e5a-26fa-4935-b661-318e46daf27e;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