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77777777" w:rsidR="004D7AC0" w:rsidRDefault="004D7AC0" w:rsidP="001766B2">
      <w:pPr>
        <w:jc w:val="center"/>
      </w:pPr>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7216" behindDoc="1" locked="0" layoutInCell="0" allowOverlap="1" wp14:anchorId="4982DE48" wp14:editId="4982DE4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982DD4E" w14:textId="77777777" w:rsidR="004D7AC0" w:rsidRDefault="004D7AC0" w:rsidP="001766B2"/>
    <w:p w14:paraId="4982DD4F" w14:textId="3A910810" w:rsidR="004D7AC0" w:rsidRDefault="004D7AC0" w:rsidP="001766B2">
      <w:pPr>
        <w:jc w:val="right"/>
      </w:pPr>
      <w:r>
        <w:t xml:space="preserve">Brussels, </w:t>
      </w:r>
      <w:r w:rsidR="00A067F3">
        <w:t>22</w:t>
      </w:r>
      <w:r w:rsidR="00C31776">
        <w:t xml:space="preserve"> May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68EF1451" w:rsidR="003066BE" w:rsidRDefault="003E263E" w:rsidP="001766B2">
            <w:pPr>
              <w:snapToGrid w:val="0"/>
              <w:jc w:val="center"/>
              <w:rPr>
                <w:b/>
                <w:sz w:val="32"/>
                <w:szCs w:val="32"/>
              </w:rPr>
            </w:pPr>
            <w:r>
              <w:rPr>
                <w:b/>
                <w:sz w:val="32"/>
                <w:szCs w:val="32"/>
              </w:rPr>
              <w:t>605</w:t>
            </w:r>
            <w:r w:rsidR="00A272B2">
              <w:rPr>
                <w:b/>
                <w:sz w:val="32"/>
                <w:szCs w:val="32"/>
              </w:rPr>
              <w:t>th</w:t>
            </w:r>
            <w:r w:rsidR="004D7AC0" w:rsidRPr="0081153B">
              <w:rPr>
                <w:b/>
                <w:sz w:val="32"/>
                <w:szCs w:val="32"/>
              </w:rPr>
              <w:t xml:space="preserve"> PLENARY SESSION</w:t>
            </w:r>
          </w:p>
          <w:p w14:paraId="4982DD54" w14:textId="77777777" w:rsidR="003066BE" w:rsidRDefault="003066BE" w:rsidP="001766B2">
            <w:pPr>
              <w:snapToGrid w:val="0"/>
              <w:jc w:val="center"/>
              <w:rPr>
                <w:b/>
                <w:sz w:val="32"/>
                <w:szCs w:val="32"/>
              </w:rPr>
            </w:pPr>
          </w:p>
          <w:p w14:paraId="4982DD55" w14:textId="36EB64B5" w:rsidR="003066BE" w:rsidRDefault="003E263E" w:rsidP="001766B2">
            <w:pPr>
              <w:snapToGrid w:val="0"/>
              <w:jc w:val="center"/>
              <w:rPr>
                <w:b/>
                <w:sz w:val="32"/>
                <w:szCs w:val="32"/>
              </w:rPr>
            </w:pPr>
            <w:r>
              <w:rPr>
                <w:b/>
                <w:sz w:val="32"/>
                <w:szCs w:val="32"/>
              </w:rPr>
              <w:t>29 and 30 April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sidRPr="005463FF">
              <w:rPr>
                <w:b/>
                <w:sz w:val="32"/>
              </w:rPr>
              <w:t>SUMMARY OF ADOPTED OPINIONS, RESOLUTIONS AND INFORMATION / EVALUATION REPORTS</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766B2">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r:id="rId13" w:history="1">
              <w:r w:rsidRPr="006D2D64">
                <w:rPr>
                  <w:rStyle w:val="Hyperlink"/>
                </w:rPr>
                <w:t>https://www.eesc.europa.eu/en/our-work/opinions-information-reports/plenary-session-summaries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7777777" w:rsidR="004D7AC0" w:rsidRPr="00044561" w:rsidRDefault="004D7AC0" w:rsidP="001766B2">
            <w:pPr>
              <w:snapToGrid w:val="0"/>
              <w:jc w:val="center"/>
            </w:pPr>
            <w:r w:rsidRPr="0081153B">
              <w:t>The opinions listed can be consulted online using the EESC search engine:</w:t>
            </w:r>
            <w:r>
              <w:br/>
            </w:r>
            <w:r>
              <w:br/>
            </w:r>
            <w:hyperlink r:id="rId14" w:history="1">
              <w:r w:rsidRPr="0081153B">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sidRPr="00A81AFE">
        <w:rPr>
          <w:b/>
        </w:rPr>
        <w:lastRenderedPageBreak/>
        <w:t>Contents:</w:t>
      </w:r>
    </w:p>
    <w:p w14:paraId="2174B63A" w14:textId="77777777" w:rsidR="00A067F3" w:rsidRPr="00A81AFE" w:rsidRDefault="00A067F3" w:rsidP="001766B2">
      <w:pPr>
        <w:rPr>
          <w:b/>
        </w:rPr>
      </w:pPr>
    </w:p>
    <w:p w14:paraId="3D6CB852" w14:textId="6CFF83C2" w:rsidR="00A067F3" w:rsidRDefault="00A067F3">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bCs/>
            <w:noProof/>
          </w:rPr>
          <w:t>1.</w:t>
        </w:r>
        <w:r>
          <w:rPr>
            <w:rFonts w:asciiTheme="minorHAnsi" w:eastAsiaTheme="minorEastAsia" w:hAnsiTheme="minorHAnsi" w:cstheme="minorBidi"/>
            <w:noProof/>
          </w:rPr>
          <w:tab/>
        </w:r>
        <w:r w:rsidRPr="007E618C">
          <w:rPr>
            <w:rStyle w:val="Hyperlink"/>
            <w:noProof/>
          </w:rPr>
          <w:t>ECONOMIC AND MONETARY UNION, ECONOMIC AND SOCIAL COHESION</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3F7D73">
          <w:rPr>
            <w:noProof/>
            <w:webHidden/>
          </w:rPr>
          <w:t>3</w:t>
        </w:r>
        <w:r>
          <w:rPr>
            <w:noProof/>
            <w:webHidden/>
          </w:rPr>
          <w:fldChar w:fldCharType="end"/>
        </w:r>
      </w:hyperlink>
    </w:p>
    <w:p w14:paraId="0EE7F81C" w14:textId="0333BBEE"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4" w:history="1">
        <w:r w:rsidRPr="007E618C">
          <w:rPr>
            <w:rStyle w:val="Hyperlink"/>
            <w:bCs/>
            <w:noProof/>
          </w:rPr>
          <w:t>2.</w:t>
        </w:r>
        <w:r>
          <w:rPr>
            <w:rFonts w:asciiTheme="minorHAnsi" w:eastAsiaTheme="minorEastAsia" w:hAnsiTheme="minorHAnsi" w:cstheme="minorBidi"/>
            <w:noProof/>
          </w:rPr>
          <w:tab/>
        </w:r>
        <w:r w:rsidRPr="007E618C">
          <w:rPr>
            <w:rStyle w:val="Hyperlink"/>
            <w:noProof/>
          </w:rPr>
          <w:t>EMPLOYMENT, SOCIAL AFFAIRS AND CITIZENSHIP</w:t>
        </w:r>
        <w:r>
          <w:rPr>
            <w:noProof/>
            <w:webHidden/>
          </w:rPr>
          <w:tab/>
        </w:r>
        <w:r>
          <w:rPr>
            <w:noProof/>
            <w:webHidden/>
          </w:rPr>
          <w:fldChar w:fldCharType="begin"/>
        </w:r>
        <w:r>
          <w:rPr>
            <w:noProof/>
            <w:webHidden/>
          </w:rPr>
          <w:instrText xml:space="preserve"> PAGEREF _Toc229140654 \h </w:instrText>
        </w:r>
        <w:r>
          <w:rPr>
            <w:noProof/>
            <w:webHidden/>
          </w:rPr>
        </w:r>
        <w:r>
          <w:rPr>
            <w:noProof/>
            <w:webHidden/>
          </w:rPr>
          <w:fldChar w:fldCharType="separate"/>
        </w:r>
        <w:r w:rsidR="003F7D73">
          <w:rPr>
            <w:noProof/>
            <w:webHidden/>
          </w:rPr>
          <w:t>6</w:t>
        </w:r>
        <w:r>
          <w:rPr>
            <w:noProof/>
            <w:webHidden/>
          </w:rPr>
          <w:fldChar w:fldCharType="end"/>
        </w:r>
      </w:hyperlink>
    </w:p>
    <w:p w14:paraId="7426073C" w14:textId="62462FFB"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5" w:history="1">
        <w:r w:rsidRPr="007E618C">
          <w:rPr>
            <w:rStyle w:val="Hyperlink"/>
            <w:bCs/>
            <w:noProof/>
          </w:rPr>
          <w:t>3.</w:t>
        </w:r>
        <w:r>
          <w:rPr>
            <w:rFonts w:asciiTheme="minorHAnsi" w:eastAsiaTheme="minorEastAsia" w:hAnsiTheme="minorHAnsi" w:cstheme="minorBidi"/>
            <w:noProof/>
          </w:rPr>
          <w:tab/>
        </w:r>
        <w:r w:rsidRPr="007E618C">
          <w:rPr>
            <w:rStyle w:val="Hyperlink"/>
            <w:noProof/>
          </w:rPr>
          <w:t>SINGLE MARKET, PRODUCTION AND CONSUMPTION</w:t>
        </w:r>
        <w:r>
          <w:rPr>
            <w:noProof/>
            <w:webHidden/>
          </w:rPr>
          <w:tab/>
        </w:r>
        <w:r>
          <w:rPr>
            <w:noProof/>
            <w:webHidden/>
          </w:rPr>
          <w:fldChar w:fldCharType="begin"/>
        </w:r>
        <w:r>
          <w:rPr>
            <w:noProof/>
            <w:webHidden/>
          </w:rPr>
          <w:instrText xml:space="preserve"> PAGEREF _Toc229140655 \h </w:instrText>
        </w:r>
        <w:r>
          <w:rPr>
            <w:noProof/>
            <w:webHidden/>
          </w:rPr>
        </w:r>
        <w:r>
          <w:rPr>
            <w:noProof/>
            <w:webHidden/>
          </w:rPr>
          <w:fldChar w:fldCharType="separate"/>
        </w:r>
        <w:r w:rsidR="003F7D73">
          <w:rPr>
            <w:noProof/>
            <w:webHidden/>
          </w:rPr>
          <w:t>11</w:t>
        </w:r>
        <w:r>
          <w:rPr>
            <w:noProof/>
            <w:webHidden/>
          </w:rPr>
          <w:fldChar w:fldCharType="end"/>
        </w:r>
      </w:hyperlink>
    </w:p>
    <w:p w14:paraId="71F08A6C" w14:textId="099DA305"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6" w:history="1">
        <w:r w:rsidRPr="007E618C">
          <w:rPr>
            <w:rStyle w:val="Hyperlink"/>
            <w:bCs/>
            <w:noProof/>
          </w:rPr>
          <w:t>4.</w:t>
        </w:r>
        <w:r>
          <w:rPr>
            <w:rFonts w:asciiTheme="minorHAnsi" w:eastAsiaTheme="minorEastAsia" w:hAnsiTheme="minorHAnsi" w:cstheme="minorBidi"/>
            <w:noProof/>
          </w:rPr>
          <w:tab/>
        </w:r>
        <w:r w:rsidRPr="007E618C">
          <w:rPr>
            <w:rStyle w:val="Hyperlink"/>
            <w:noProof/>
          </w:rPr>
          <w:t>AGRICULTURE, RURAL DEVELOPMENT AND THE ENVIRONMENT</w:t>
        </w:r>
        <w:r>
          <w:rPr>
            <w:noProof/>
            <w:webHidden/>
          </w:rPr>
          <w:tab/>
        </w:r>
        <w:r>
          <w:rPr>
            <w:noProof/>
            <w:webHidden/>
          </w:rPr>
          <w:fldChar w:fldCharType="begin"/>
        </w:r>
        <w:r>
          <w:rPr>
            <w:noProof/>
            <w:webHidden/>
          </w:rPr>
          <w:instrText xml:space="preserve"> PAGEREF _Toc229140656 \h </w:instrText>
        </w:r>
        <w:r>
          <w:rPr>
            <w:noProof/>
            <w:webHidden/>
          </w:rPr>
        </w:r>
        <w:r>
          <w:rPr>
            <w:noProof/>
            <w:webHidden/>
          </w:rPr>
          <w:fldChar w:fldCharType="separate"/>
        </w:r>
        <w:r w:rsidR="003F7D73">
          <w:rPr>
            <w:noProof/>
            <w:webHidden/>
          </w:rPr>
          <w:t>22</w:t>
        </w:r>
        <w:r>
          <w:rPr>
            <w:noProof/>
            <w:webHidden/>
          </w:rPr>
          <w:fldChar w:fldCharType="end"/>
        </w:r>
      </w:hyperlink>
    </w:p>
    <w:p w14:paraId="33FB345E" w14:textId="7BB273B0"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7" w:history="1">
        <w:r w:rsidRPr="007E618C">
          <w:rPr>
            <w:rStyle w:val="Hyperlink"/>
            <w:bCs/>
            <w:noProof/>
          </w:rPr>
          <w:t>5.</w:t>
        </w:r>
        <w:r>
          <w:rPr>
            <w:rFonts w:asciiTheme="minorHAnsi" w:eastAsiaTheme="minorEastAsia" w:hAnsiTheme="minorHAnsi" w:cstheme="minorBidi"/>
            <w:noProof/>
          </w:rPr>
          <w:tab/>
        </w:r>
        <w:r w:rsidRPr="007E618C">
          <w:rPr>
            <w:rStyle w:val="Hyperlink"/>
            <w:noProof/>
          </w:rPr>
          <w:t>EXTERNAL RELATIONS</w:t>
        </w:r>
        <w:r>
          <w:rPr>
            <w:noProof/>
            <w:webHidden/>
          </w:rPr>
          <w:tab/>
        </w:r>
        <w:r>
          <w:rPr>
            <w:noProof/>
            <w:webHidden/>
          </w:rPr>
          <w:fldChar w:fldCharType="begin"/>
        </w:r>
        <w:r>
          <w:rPr>
            <w:noProof/>
            <w:webHidden/>
          </w:rPr>
          <w:instrText xml:space="preserve"> PAGEREF _Toc229140657 \h </w:instrText>
        </w:r>
        <w:r>
          <w:rPr>
            <w:noProof/>
            <w:webHidden/>
          </w:rPr>
        </w:r>
        <w:r>
          <w:rPr>
            <w:noProof/>
            <w:webHidden/>
          </w:rPr>
          <w:fldChar w:fldCharType="separate"/>
        </w:r>
        <w:r w:rsidR="003F7D73">
          <w:rPr>
            <w:noProof/>
            <w:webHidden/>
          </w:rPr>
          <w:t>29</w:t>
        </w:r>
        <w:r>
          <w:rPr>
            <w:noProof/>
            <w:webHidden/>
          </w:rPr>
          <w:fldChar w:fldCharType="end"/>
        </w:r>
      </w:hyperlink>
    </w:p>
    <w:p w14:paraId="4714B99D" w14:textId="79F9F4F6"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9" w:history="1">
        <w:r w:rsidRPr="007E618C">
          <w:rPr>
            <w:rStyle w:val="Hyperlink"/>
            <w:bCs/>
            <w:noProof/>
          </w:rPr>
          <w:t>6.</w:t>
        </w:r>
        <w:r>
          <w:rPr>
            <w:rFonts w:asciiTheme="minorHAnsi" w:eastAsiaTheme="minorEastAsia" w:hAnsiTheme="minorHAnsi" w:cstheme="minorBidi"/>
            <w:noProof/>
          </w:rPr>
          <w:tab/>
        </w:r>
        <w:r w:rsidRPr="007E618C">
          <w:rPr>
            <w:rStyle w:val="Hyperlink"/>
            <w:noProof/>
            <w:lang w:val="en-GB"/>
          </w:rPr>
          <w:t>CONSULTATIVE COMMISSION ON INDUSTRIAL CHANGE</w:t>
        </w:r>
        <w:r>
          <w:rPr>
            <w:noProof/>
            <w:webHidden/>
          </w:rPr>
          <w:tab/>
        </w:r>
        <w:r>
          <w:rPr>
            <w:noProof/>
            <w:webHidden/>
          </w:rPr>
          <w:fldChar w:fldCharType="begin"/>
        </w:r>
        <w:r>
          <w:rPr>
            <w:noProof/>
            <w:webHidden/>
          </w:rPr>
          <w:instrText xml:space="preserve"> PAGEREF _Toc229140659 \h </w:instrText>
        </w:r>
        <w:r>
          <w:rPr>
            <w:noProof/>
            <w:webHidden/>
          </w:rPr>
        </w:r>
        <w:r>
          <w:rPr>
            <w:noProof/>
            <w:webHidden/>
          </w:rPr>
          <w:fldChar w:fldCharType="separate"/>
        </w:r>
        <w:r w:rsidR="003F7D73">
          <w:rPr>
            <w:noProof/>
            <w:webHidden/>
          </w:rPr>
          <w:t>31</w:t>
        </w:r>
        <w:r>
          <w:rPr>
            <w:noProof/>
            <w:webHidden/>
          </w:rPr>
          <w:fldChar w:fldCharType="end"/>
        </w:r>
      </w:hyperlink>
    </w:p>
    <w:p w14:paraId="4982DD6B" w14:textId="0121901C"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24648D">
      <w:pPr>
        <w:pStyle w:val="Heading2"/>
      </w:pPr>
      <w:bookmarkStart w:id="0" w:name="_Toc229140653"/>
      <w:r w:rsidRPr="00A067F3">
        <w:lastRenderedPageBreak/>
        <w:t>ECONOMIC AND MONETARY UNION, ECONOMIC AND SOCIAL COHESION</w:t>
      </w:r>
      <w:bookmarkEnd w:id="0"/>
    </w:p>
    <w:p w14:paraId="4982DD6E" w14:textId="77777777" w:rsidR="004D7AC0" w:rsidRDefault="004D7AC0" w:rsidP="001766B2"/>
    <w:p w14:paraId="258C871E" w14:textId="698FA58C" w:rsidR="00F37962" w:rsidRPr="0024648D" w:rsidRDefault="00F37962" w:rsidP="00F37962">
      <w:pPr>
        <w:widowControl w:val="0"/>
        <w:numPr>
          <w:ilvl w:val="0"/>
          <w:numId w:val="4"/>
        </w:numPr>
        <w:overflowPunct w:val="0"/>
        <w:autoSpaceDE w:val="0"/>
        <w:autoSpaceDN w:val="0"/>
        <w:adjustRightInd w:val="0"/>
        <w:spacing w:after="120"/>
        <w:ind w:hanging="567"/>
        <w:textAlignment w:val="baseline"/>
        <w:rPr>
          <w:b/>
          <w:i/>
          <w:iCs/>
          <w:sz w:val="28"/>
          <w:szCs w:val="28"/>
          <w:lang w:val="en-GB"/>
        </w:rPr>
      </w:pPr>
      <w:hyperlink r:id="rId21" w:history="1">
        <w:r w:rsidRPr="00E129EB">
          <w:rPr>
            <w:b/>
            <w:bCs/>
            <w:i/>
            <w:iCs/>
            <w:color w:val="0000FF"/>
            <w:sz w:val="28"/>
            <w:szCs w:val="28"/>
            <w:u w:val="single"/>
            <w:lang w:val="en-GB"/>
          </w:rPr>
          <w:t>EU Policy agenda for liveable cities</w:t>
        </w:r>
      </w:hyperlink>
    </w:p>
    <w:p w14:paraId="050FF4D0" w14:textId="77777777" w:rsidR="00435FF5" w:rsidRPr="00E129EB" w:rsidRDefault="00435FF5" w:rsidP="0024648D">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sidRPr="00E129EB">
              <w:rPr>
                <w:b/>
              </w:rPr>
              <w:t>Rapporteur</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sidRPr="00E129EB">
              <w:rPr>
                <w:b/>
                <w:bCs/>
              </w:rPr>
              <w:t>Co-rapporteur</w:t>
            </w:r>
          </w:p>
        </w:tc>
        <w:tc>
          <w:tcPr>
            <w:tcW w:w="7621" w:type="dxa"/>
          </w:tcPr>
          <w:p w14:paraId="6A7F001D" w14:textId="46CED1FD" w:rsidR="00F37962" w:rsidRPr="00E129EB" w:rsidRDefault="00F37962" w:rsidP="002E7EFB">
            <w:pPr>
              <w:tabs>
                <w:tab w:val="center" w:pos="284"/>
              </w:tabs>
              <w:overflowPunct w:val="0"/>
              <w:autoSpaceDE w:val="0"/>
              <w:autoSpaceDN w:val="0"/>
              <w:adjustRightInd w:val="0"/>
              <w:ind w:left="266" w:hanging="266"/>
              <w:textAlignment w:val="baseline"/>
            </w:pPr>
            <w:r w:rsidRPr="00E129EB">
              <w:t xml:space="preserve">Florian MARIN (Workers' Group </w:t>
            </w:r>
            <w:r w:rsidR="00342D5E">
              <w:t>-</w:t>
            </w:r>
            <w:r w:rsidRPr="00E129EB">
              <w:rPr>
                <w:lang w:val="en-GB"/>
              </w:rPr>
              <w:t xml:space="preserve"> RO</w:t>
            </w:r>
            <w:r w:rsidRPr="00E129EB">
              <w:t>)</w:t>
            </w:r>
          </w:p>
          <w:p w14:paraId="5228A3F8" w14:textId="075AA07E" w:rsidR="00F37962" w:rsidRDefault="00F37962" w:rsidP="002E7EFB">
            <w:pPr>
              <w:tabs>
                <w:tab w:val="center" w:pos="284"/>
              </w:tabs>
              <w:overflowPunct w:val="0"/>
              <w:autoSpaceDE w:val="0"/>
              <w:autoSpaceDN w:val="0"/>
              <w:adjustRightInd w:val="0"/>
              <w:ind w:left="266" w:hanging="266"/>
              <w:textAlignment w:val="baseline"/>
            </w:pPr>
            <w:r w:rsidRPr="00E129EB">
              <w:rPr>
                <w:bCs/>
              </w:rPr>
              <w:t>R</w:t>
            </w:r>
            <w:r w:rsidRPr="00E129EB">
              <w:t xml:space="preserve">oman HAKEN (Civil Society </w:t>
            </w:r>
            <w:proofErr w:type="spellStart"/>
            <w:r w:rsidRPr="00E129EB">
              <w:t>Organisations'</w:t>
            </w:r>
            <w:proofErr w:type="spellEnd"/>
            <w:r w:rsidRPr="00E129EB">
              <w:t xml:space="preserve"> Group </w:t>
            </w:r>
            <w:r w:rsidR="00342D5E">
              <w:t>-</w:t>
            </w:r>
            <w:r w:rsidRPr="00E129EB">
              <w:t xml:space="preserve">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sidRPr="00E129EB">
              <w:rPr>
                <w:b/>
              </w:rPr>
              <w:t>References</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rPr>
                <w:lang w:val="pt-PT"/>
              </w:rPr>
            </w:pPr>
            <w:proofErr w:type="gramStart"/>
            <w:r w:rsidRPr="00E129EB">
              <w:rPr>
                <w:lang w:val="pt-PT"/>
              </w:rPr>
              <w:t>COM(</w:t>
            </w:r>
            <w:proofErr w:type="gramEnd"/>
            <w:r w:rsidRPr="00E129EB">
              <w:rPr>
                <w:lang w:val="pt-PT"/>
              </w:rPr>
              <w:t>2025) 552 final</w:t>
            </w:r>
          </w:p>
          <w:p w14:paraId="0AAE61A7" w14:textId="3798B35A" w:rsidR="00F37962" w:rsidRPr="00E129EB" w:rsidRDefault="00F37962" w:rsidP="002E7EFB">
            <w:pPr>
              <w:tabs>
                <w:tab w:val="center" w:pos="284"/>
              </w:tabs>
              <w:overflowPunct w:val="0"/>
              <w:autoSpaceDE w:val="0"/>
              <w:autoSpaceDN w:val="0"/>
              <w:adjustRightInd w:val="0"/>
              <w:ind w:left="266" w:hanging="266"/>
              <w:textAlignment w:val="baseline"/>
              <w:rPr>
                <w:lang w:val="pt-PT"/>
              </w:rPr>
            </w:pPr>
            <w:r w:rsidRPr="00E129EB">
              <w:rPr>
                <w:lang w:val="pt-PT"/>
              </w:rP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r w:rsidRPr="00E129EB">
        <w:rPr>
          <w:b/>
          <w:lang w:val="en-GB"/>
        </w:rPr>
        <w:t>Key points</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CC2C7F">
      <w:pPr>
        <w:overflowPunct w:val="0"/>
        <w:autoSpaceDE w:val="0"/>
        <w:autoSpaceDN w:val="0"/>
        <w:adjustRightInd w:val="0"/>
        <w:textAlignment w:val="baseline"/>
        <w:rPr>
          <w:bCs/>
          <w:iCs/>
          <w:lang w:val="en-GB"/>
        </w:rPr>
      </w:pPr>
      <w:r w:rsidRPr="00E129EB">
        <w:rPr>
          <w:bCs/>
          <w:iCs/>
          <w:lang w:val="en-GB"/>
        </w:rPr>
        <w:t>The EESC:</w:t>
      </w:r>
    </w:p>
    <w:p w14:paraId="4D3A28BF" w14:textId="77777777" w:rsidR="00F37962" w:rsidRPr="00E129EB" w:rsidRDefault="00F37962" w:rsidP="00CC2C7F">
      <w:pPr>
        <w:numPr>
          <w:ilvl w:val="0"/>
          <w:numId w:val="20"/>
        </w:numPr>
        <w:overflowPunct w:val="0"/>
        <w:autoSpaceDE w:val="0"/>
        <w:autoSpaceDN w:val="0"/>
        <w:adjustRightInd w:val="0"/>
        <w:ind w:left="357" w:hanging="357"/>
        <w:contextualSpacing/>
        <w:textAlignment w:val="baseline"/>
        <w:rPr>
          <w:szCs w:val="20"/>
          <w:lang w:val="en-GB"/>
        </w:rPr>
      </w:pPr>
      <w:r w:rsidRPr="00E129EB">
        <w:rPr>
          <w:szCs w:val="20"/>
          <w:lang w:val="en-GB"/>
        </w:rPr>
        <w:t xml:space="preserve">considers cities to be the backbone of the European Union’s economic, social and territorial development. They are key spaces for social, ecological and economic transformation, where innovation should be oriented towards improving quality of </w:t>
      </w:r>
      <w:proofErr w:type="gramStart"/>
      <w:r w:rsidRPr="00E129EB">
        <w:rPr>
          <w:szCs w:val="20"/>
          <w:lang w:val="en-GB"/>
        </w:rPr>
        <w:t>life;</w:t>
      </w:r>
      <w:proofErr w:type="gramEnd"/>
    </w:p>
    <w:p w14:paraId="4B3A1070" w14:textId="77777777" w:rsidR="00F37962" w:rsidRPr="00E129EB" w:rsidRDefault="00F37962" w:rsidP="0024648D">
      <w:pPr>
        <w:numPr>
          <w:ilvl w:val="0"/>
          <w:numId w:val="20"/>
        </w:numPr>
        <w:overflowPunct w:val="0"/>
        <w:autoSpaceDE w:val="0"/>
        <w:autoSpaceDN w:val="0"/>
        <w:adjustRightInd w:val="0"/>
        <w:contextualSpacing/>
        <w:textAlignment w:val="baseline"/>
        <w:rPr>
          <w:szCs w:val="20"/>
          <w:lang w:val="en-GB"/>
        </w:rPr>
      </w:pPr>
      <w:r w:rsidRPr="00E129EB">
        <w:rPr>
          <w:szCs w:val="20"/>
          <w:lang w:val="en-GB"/>
        </w:rPr>
        <w:t xml:space="preserve">while welcomes the Commission’s complex approach and intention to strengthen the EU Agenda for Cities and its overarching vision of prosperous, liveable and inclusive cities, it believes that the proposed agenda does not yet match its stated </w:t>
      </w:r>
      <w:proofErr w:type="gramStart"/>
      <w:r w:rsidRPr="00E129EB">
        <w:rPr>
          <w:szCs w:val="20"/>
          <w:lang w:val="en-GB"/>
        </w:rPr>
        <w:t>ambitions;</w:t>
      </w:r>
      <w:proofErr w:type="gramEnd"/>
      <w:r w:rsidRPr="00E129EB">
        <w:rPr>
          <w:szCs w:val="20"/>
          <w:lang w:val="en-GB"/>
        </w:rPr>
        <w:t xml:space="preserve"> </w:t>
      </w:r>
    </w:p>
    <w:p w14:paraId="0D95657E" w14:textId="77777777" w:rsidR="00F37962" w:rsidRPr="00E129EB" w:rsidRDefault="00F37962" w:rsidP="0024648D">
      <w:pPr>
        <w:numPr>
          <w:ilvl w:val="0"/>
          <w:numId w:val="20"/>
        </w:numPr>
        <w:overflowPunct w:val="0"/>
        <w:autoSpaceDE w:val="0"/>
        <w:autoSpaceDN w:val="0"/>
        <w:adjustRightInd w:val="0"/>
        <w:contextualSpacing/>
        <w:textAlignment w:val="baseline"/>
        <w:rPr>
          <w:szCs w:val="20"/>
          <w:lang w:val="en-GB"/>
        </w:rPr>
      </w:pPr>
      <w:r w:rsidRPr="00E129EB">
        <w:rPr>
          <w:szCs w:val="20"/>
          <w:lang w:val="en-GB"/>
        </w:rPr>
        <w:t xml:space="preserve">recommends that it be formally included in the proposed EU Agenda for Cities alongside the Committee of the Regions, reflecting the EESC’s recognised formal role in the Ljubljana Agreement and the Pact of Amsterdam, as well as its active involvement across all areas of the Urban </w:t>
      </w:r>
      <w:proofErr w:type="gramStart"/>
      <w:r w:rsidRPr="00E129EB">
        <w:rPr>
          <w:szCs w:val="20"/>
          <w:lang w:val="en-GB"/>
        </w:rPr>
        <w:t>Agenda;</w:t>
      </w:r>
      <w:proofErr w:type="gramEnd"/>
      <w:r w:rsidRPr="00E129EB">
        <w:rPr>
          <w:szCs w:val="20"/>
          <w:lang w:val="en-GB"/>
        </w:rPr>
        <w:t xml:space="preserve"> </w:t>
      </w:r>
    </w:p>
    <w:p w14:paraId="37634D38" w14:textId="77777777" w:rsidR="00F37962" w:rsidRPr="00E129EB" w:rsidRDefault="00F37962" w:rsidP="0024648D">
      <w:pPr>
        <w:numPr>
          <w:ilvl w:val="0"/>
          <w:numId w:val="20"/>
        </w:numPr>
        <w:overflowPunct w:val="0"/>
        <w:autoSpaceDE w:val="0"/>
        <w:autoSpaceDN w:val="0"/>
        <w:adjustRightInd w:val="0"/>
        <w:contextualSpacing/>
        <w:textAlignment w:val="baseline"/>
        <w:rPr>
          <w:szCs w:val="20"/>
          <w:lang w:val="en-GB"/>
        </w:rPr>
      </w:pPr>
      <w:r w:rsidRPr="00E129EB">
        <w:rPr>
          <w:szCs w:val="20"/>
          <w:lang w:val="en-GB"/>
        </w:rPr>
        <w:t xml:space="preserve">proposes that the EU Agenda for Cities should be firmly anchored in multi-level governance, the partnership principle and a place-based approach. It must ensure balanced territorial development, strengthen social and civic </w:t>
      </w:r>
      <w:proofErr w:type="gramStart"/>
      <w:r w:rsidRPr="00E129EB">
        <w:rPr>
          <w:szCs w:val="20"/>
          <w:lang w:val="en-GB"/>
        </w:rPr>
        <w:t>dialogue;</w:t>
      </w:r>
      <w:proofErr w:type="gramEnd"/>
    </w:p>
    <w:p w14:paraId="77962AE4" w14:textId="77777777" w:rsidR="00F37962" w:rsidRPr="00E129EB" w:rsidRDefault="00F37962" w:rsidP="0024648D">
      <w:pPr>
        <w:numPr>
          <w:ilvl w:val="0"/>
          <w:numId w:val="20"/>
        </w:numPr>
        <w:overflowPunct w:val="0"/>
        <w:autoSpaceDE w:val="0"/>
        <w:autoSpaceDN w:val="0"/>
        <w:adjustRightInd w:val="0"/>
        <w:contextualSpacing/>
        <w:textAlignment w:val="baseline"/>
        <w:rPr>
          <w:szCs w:val="20"/>
          <w:lang w:val="en-GB"/>
        </w:rPr>
      </w:pPr>
      <w:proofErr w:type="gramStart"/>
      <w:r w:rsidRPr="00E129EB">
        <w:rPr>
          <w:szCs w:val="20"/>
          <w:lang w:val="en-GB"/>
        </w:rPr>
        <w:t>therefore</w:t>
      </w:r>
      <w:proofErr w:type="gramEnd"/>
      <w:r w:rsidRPr="00E129EB">
        <w:rPr>
          <w:szCs w:val="20"/>
          <w:lang w:val="en-GB"/>
        </w:rPr>
        <w:t xml:space="preserve"> calls on the European Commission to:</w:t>
      </w:r>
    </w:p>
    <w:p w14:paraId="56F86CF4" w14:textId="78254C5F"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formally recognise both the EESC and cities as equal partners in EU urban policymaking, and not merely as implementing actors, by establishing permanent and structured multi-level </w:t>
      </w:r>
      <w:proofErr w:type="gramStart"/>
      <w:r w:rsidRPr="00E129EB">
        <w:rPr>
          <w:szCs w:val="20"/>
          <w:lang w:val="en-GB"/>
        </w:rPr>
        <w:t>governance</w:t>
      </w:r>
      <w:r w:rsidR="00181B6C">
        <w:rPr>
          <w:szCs w:val="20"/>
          <w:lang w:val="en-GB"/>
        </w:rPr>
        <w:t>;</w:t>
      </w:r>
      <w:proofErr w:type="gramEnd"/>
    </w:p>
    <w:p w14:paraId="1378BDDC" w14:textId="49EFE00F"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strengthen the partnership principle by guaranteeing the systematic and meaningful involvement of organised civil society throughout the entire policy cycle of the EU Agenda for </w:t>
      </w:r>
      <w:proofErr w:type="gramStart"/>
      <w:r w:rsidRPr="00E129EB">
        <w:rPr>
          <w:szCs w:val="20"/>
          <w:lang w:val="en-GB"/>
        </w:rPr>
        <w:t>Cities</w:t>
      </w:r>
      <w:r w:rsidR="008B2CEB">
        <w:rPr>
          <w:szCs w:val="20"/>
          <w:lang w:val="en-GB"/>
        </w:rPr>
        <w:t>;</w:t>
      </w:r>
      <w:proofErr w:type="gramEnd"/>
    </w:p>
    <w:p w14:paraId="1A186602" w14:textId="1273698E"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equip the EU Agenda for Cities with a concrete and operational action framework, including clearly defined responsibilities, timelines and measurable indicators, and by introducing systematic territorial impact assessments to evaluate the effects of EU legislation on </w:t>
      </w:r>
      <w:proofErr w:type="gramStart"/>
      <w:r w:rsidRPr="00E129EB">
        <w:rPr>
          <w:szCs w:val="20"/>
          <w:lang w:val="en-GB"/>
        </w:rPr>
        <w:t>cities</w:t>
      </w:r>
      <w:r w:rsidR="008B2CEB">
        <w:rPr>
          <w:szCs w:val="20"/>
          <w:lang w:val="en-GB"/>
        </w:rPr>
        <w:t>;</w:t>
      </w:r>
      <w:proofErr w:type="gramEnd"/>
    </w:p>
    <w:p w14:paraId="350E2056" w14:textId="70A538B6"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ensure adequate, predictable and accessible financing for urban development, including direct access for cities to EU </w:t>
      </w:r>
      <w:proofErr w:type="gramStart"/>
      <w:r w:rsidRPr="00E129EB">
        <w:rPr>
          <w:szCs w:val="20"/>
          <w:lang w:val="en-GB"/>
        </w:rPr>
        <w:t>funding</w:t>
      </w:r>
      <w:r w:rsidR="00181B6C">
        <w:rPr>
          <w:szCs w:val="20"/>
          <w:lang w:val="en-GB"/>
        </w:rPr>
        <w:t>;</w:t>
      </w:r>
      <w:proofErr w:type="gramEnd"/>
    </w:p>
    <w:p w14:paraId="79FB5343" w14:textId="0D7D8CF1"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promote an integrated, project-oriented and place-based approach to territorial cohesion, explicitly strengthening complementarity between cities and rural </w:t>
      </w:r>
      <w:proofErr w:type="gramStart"/>
      <w:r w:rsidRPr="00E129EB">
        <w:rPr>
          <w:szCs w:val="20"/>
          <w:lang w:val="en-GB"/>
        </w:rPr>
        <w:t>areas</w:t>
      </w:r>
      <w:r w:rsidR="00181B6C">
        <w:rPr>
          <w:szCs w:val="20"/>
          <w:lang w:val="en-GB"/>
        </w:rPr>
        <w:t>;</w:t>
      </w:r>
      <w:proofErr w:type="gramEnd"/>
    </w:p>
    <w:p w14:paraId="39B6313E" w14:textId="24949F8B"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develop an EU-level urban dialogue within the EU Cities Platform intended to highlight the importance of the roles of social and civil dialogue for employment-related </w:t>
      </w:r>
      <w:proofErr w:type="gramStart"/>
      <w:r w:rsidRPr="00E129EB">
        <w:rPr>
          <w:szCs w:val="20"/>
          <w:lang w:val="en-GB"/>
        </w:rPr>
        <w:t>matters</w:t>
      </w:r>
      <w:r w:rsidR="008B2CEB">
        <w:rPr>
          <w:szCs w:val="20"/>
          <w:lang w:val="en-GB"/>
        </w:rPr>
        <w:t>;</w:t>
      </w:r>
      <w:proofErr w:type="gramEnd"/>
    </w:p>
    <w:p w14:paraId="1D8BF3C3" w14:textId="74B94E7E"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increase the technical assistance fund dedicated to cities and introduce a dedicated European initiative or fund focused directly on urban </w:t>
      </w:r>
      <w:proofErr w:type="gramStart"/>
      <w:r w:rsidRPr="00E129EB">
        <w:rPr>
          <w:szCs w:val="20"/>
          <w:lang w:val="en-GB"/>
        </w:rPr>
        <w:t>projects</w:t>
      </w:r>
      <w:r w:rsidR="00181B6C">
        <w:rPr>
          <w:szCs w:val="20"/>
          <w:lang w:val="en-GB"/>
        </w:rPr>
        <w:t>;</w:t>
      </w:r>
      <w:proofErr w:type="gramEnd"/>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propose clear consultation standards to ensure meaningful, timely and representative involvement of social partners and civil society at all </w:t>
      </w:r>
      <w:proofErr w:type="gramStart"/>
      <w:r w:rsidRPr="00E129EB">
        <w:rPr>
          <w:szCs w:val="20"/>
          <w:lang w:val="en-GB"/>
        </w:rPr>
        <w:t>levels;</w:t>
      </w:r>
      <w:proofErr w:type="gramEnd"/>
      <w:r w:rsidRPr="00E129EB">
        <w:rPr>
          <w:szCs w:val="20"/>
          <w:lang w:val="en-GB"/>
        </w:rPr>
        <w:t xml:space="preserve">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establish a unified EU-level framework for collecting and reporting on urban data to ensure indicators are comparable and monitoring is effective across Member </w:t>
      </w:r>
      <w:proofErr w:type="gramStart"/>
      <w:r w:rsidRPr="00E129EB">
        <w:rPr>
          <w:szCs w:val="20"/>
          <w:lang w:val="en-GB"/>
        </w:rPr>
        <w:t>States;</w:t>
      </w:r>
      <w:proofErr w:type="gramEnd"/>
    </w:p>
    <w:p w14:paraId="73AAA0E7" w14:textId="04051E0E" w:rsidR="00F37962" w:rsidRPr="00E129EB" w:rsidRDefault="00F37962" w:rsidP="00F37962">
      <w:pPr>
        <w:numPr>
          <w:ilvl w:val="0"/>
          <w:numId w:val="6"/>
        </w:numPr>
        <w:overflowPunct w:val="0"/>
        <w:autoSpaceDE w:val="0"/>
        <w:autoSpaceDN w:val="0"/>
        <w:adjustRightInd w:val="0"/>
        <w:contextualSpacing/>
        <w:textAlignment w:val="baseline"/>
        <w:rPr>
          <w:szCs w:val="20"/>
          <w:lang w:val="en-GB"/>
        </w:rPr>
      </w:pPr>
      <w:r w:rsidRPr="00E129EB">
        <w:rPr>
          <w:szCs w:val="20"/>
          <w:lang w:val="en-GB"/>
        </w:rPr>
        <w:t xml:space="preserve">recognise housing as a structural social and economic issue rather than a market outcome, and call for an EU framework that ensures access to affordable </w:t>
      </w:r>
      <w:proofErr w:type="gramStart"/>
      <w:r w:rsidRPr="00E129EB">
        <w:rPr>
          <w:szCs w:val="20"/>
          <w:lang w:val="en-GB"/>
        </w:rPr>
        <w:t>housing</w:t>
      </w:r>
      <w:r w:rsidR="00B14E53">
        <w:rPr>
          <w:szCs w:val="20"/>
          <w:lang w:val="en-GB"/>
        </w:rPr>
        <w:t>;</w:t>
      </w:r>
      <w:proofErr w:type="gramEnd"/>
    </w:p>
    <w:p w14:paraId="73EBB26E" w14:textId="77777777" w:rsidR="00F37962" w:rsidRPr="00E129EB" w:rsidRDefault="00F37962" w:rsidP="0024648D">
      <w:pPr>
        <w:numPr>
          <w:ilvl w:val="0"/>
          <w:numId w:val="21"/>
        </w:numPr>
        <w:overflowPunct w:val="0"/>
        <w:autoSpaceDE w:val="0"/>
        <w:autoSpaceDN w:val="0"/>
        <w:adjustRightInd w:val="0"/>
        <w:contextualSpacing/>
        <w:textAlignment w:val="baseline"/>
        <w:rPr>
          <w:szCs w:val="20"/>
          <w:lang w:val="en-GB"/>
        </w:rPr>
      </w:pPr>
      <w:r w:rsidRPr="00E129EB">
        <w:rPr>
          <w:szCs w:val="20"/>
          <w:lang w:val="en-GB"/>
        </w:rPr>
        <w:t xml:space="preserve">believes that the main mechanism used to implement European cohesion policy funding in an integrated and place-based manner is community-led local development (CLLD). In cities/urban areas must CLLD-U move beyond its current pilot status and be recognised as one of the most effective instruments for activating local communities, generating employment, strengthening the social economy and engaging </w:t>
      </w:r>
      <w:proofErr w:type="gramStart"/>
      <w:r w:rsidRPr="00E129EB">
        <w:rPr>
          <w:szCs w:val="20"/>
          <w:lang w:val="en-GB"/>
        </w:rPr>
        <w:t>stakeholders;</w:t>
      </w:r>
      <w:proofErr w:type="gramEnd"/>
    </w:p>
    <w:p w14:paraId="3429112F" w14:textId="77777777" w:rsidR="00F37962" w:rsidRPr="00E129EB" w:rsidRDefault="00F37962" w:rsidP="0024648D">
      <w:pPr>
        <w:numPr>
          <w:ilvl w:val="0"/>
          <w:numId w:val="21"/>
        </w:numPr>
        <w:overflowPunct w:val="0"/>
        <w:autoSpaceDE w:val="0"/>
        <w:autoSpaceDN w:val="0"/>
        <w:adjustRightInd w:val="0"/>
        <w:contextualSpacing/>
        <w:textAlignment w:val="baseline"/>
        <w:rPr>
          <w:szCs w:val="20"/>
          <w:lang w:val="en-GB"/>
        </w:rPr>
      </w:pPr>
      <w:r w:rsidRPr="00E129EB">
        <w:rPr>
          <w:szCs w:val="20"/>
          <w:lang w:val="en-GB"/>
        </w:rPr>
        <w:t xml:space="preserve">believes that a dedicated measure should be introduced to consolidate CLLD-U in the future, ensuring its formal inclusion in EU-level decision-making processes and in targeted technical consultations with experts.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sidRPr="00E129EB">
              <w:rPr>
                <w:b/>
                <w:i/>
              </w:rPr>
              <w:t>Contact</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sidRPr="00E129EB">
              <w:rPr>
                <w:i/>
              </w:rPr>
              <w:t>Georgios M</w:t>
            </w:r>
            <w:r w:rsidR="00747F87" w:rsidRPr="00E129EB">
              <w:rPr>
                <w:i/>
              </w:rPr>
              <w:t>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sidRPr="00E129EB">
              <w:rPr>
                <w:i/>
              </w:rPr>
              <w:t>Tel.</w:t>
            </w:r>
          </w:p>
        </w:tc>
        <w:tc>
          <w:tcPr>
            <w:tcW w:w="7904" w:type="dxa"/>
          </w:tcPr>
          <w:p w14:paraId="285FFA02" w14:textId="729ED3DD" w:rsidR="00F37962" w:rsidRPr="00E129EB" w:rsidRDefault="00F37962" w:rsidP="002E7EFB">
            <w:pPr>
              <w:overflowPunct w:val="0"/>
              <w:autoSpaceDE w:val="0"/>
              <w:autoSpaceDN w:val="0"/>
              <w:adjustRightInd w:val="0"/>
              <w:textAlignment w:val="baseline"/>
              <w:rPr>
                <w:i/>
              </w:rPr>
            </w:pPr>
            <w:r w:rsidRPr="00E129EB">
              <w:rPr>
                <w:i/>
                <w:lang w:val="fr-BE"/>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sidRPr="00E129EB">
              <w:rPr>
                <w:i/>
              </w:rPr>
              <w:t>Email</w:t>
            </w:r>
          </w:p>
        </w:tc>
        <w:tc>
          <w:tcPr>
            <w:tcW w:w="7904" w:type="dxa"/>
          </w:tcPr>
          <w:p w14:paraId="122227DF" w14:textId="77777777" w:rsidR="00F37962" w:rsidRPr="00E129EB" w:rsidRDefault="00F37962" w:rsidP="002E7EFB">
            <w:pPr>
              <w:overflowPunct w:val="0"/>
              <w:autoSpaceDE w:val="0"/>
              <w:autoSpaceDN w:val="0"/>
              <w:adjustRightInd w:val="0"/>
              <w:textAlignment w:val="baseline"/>
              <w:rPr>
                <w:i/>
                <w:iCs/>
                <w:lang w:val="en-GB"/>
              </w:rPr>
            </w:pPr>
            <w:hyperlink r:id="rId22" w:history="1">
              <w:r w:rsidRPr="00E129EB">
                <w:rPr>
                  <w:i/>
                  <w:iCs/>
                  <w:color w:val="0000FF"/>
                  <w:u w:val="single"/>
                  <w:lang w:val="en-GB"/>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611BE12E" w:rsidR="00F37962" w:rsidRDefault="00A067F3" w:rsidP="005A17E9">
      <w:pPr>
        <w:pStyle w:val="ListParagraph"/>
        <w:numPr>
          <w:ilvl w:val="0"/>
          <w:numId w:val="76"/>
        </w:numPr>
        <w:ind w:left="360"/>
      </w:pPr>
      <w:hyperlink r:id="rId23" w:history="1">
        <w:r w:rsidRPr="009360D7">
          <w:rPr>
            <w:b/>
            <w:bCs/>
            <w:i/>
            <w:iCs/>
            <w:color w:val="0000FF"/>
            <w:sz w:val="28"/>
            <w:szCs w:val="28"/>
            <w:u w:val="single"/>
            <w:lang w:val="en-GB"/>
          </w:rPr>
          <w:t>Supplementary pensions package: PEPP and IORP</w:t>
        </w:r>
      </w:hyperlink>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37962" w:rsidRPr="009360D7" w14:paraId="0DA0566E" w14:textId="77777777" w:rsidTr="002E7EFB">
        <w:tc>
          <w:tcPr>
            <w:tcW w:w="1077" w:type="pct"/>
          </w:tcPr>
          <w:p w14:paraId="4046C9F6" w14:textId="77777777" w:rsidR="00F37962" w:rsidRPr="009360D7" w:rsidRDefault="00F37962" w:rsidP="0024648D">
            <w:pPr>
              <w:tabs>
                <w:tab w:val="center" w:pos="284"/>
              </w:tabs>
              <w:overflowPunct w:val="0"/>
              <w:autoSpaceDE w:val="0"/>
              <w:autoSpaceDN w:val="0"/>
              <w:adjustRightInd w:val="0"/>
              <w:spacing w:line="240" w:lineRule="auto"/>
              <w:ind w:left="266" w:hanging="266"/>
              <w:textAlignment w:val="baseline"/>
              <w:rPr>
                <w:b/>
              </w:rPr>
            </w:pPr>
            <w:r w:rsidRPr="009360D7">
              <w:rPr>
                <w:b/>
              </w:rPr>
              <w:t>Rapporteur</w:t>
            </w:r>
          </w:p>
        </w:tc>
        <w:tc>
          <w:tcPr>
            <w:tcW w:w="3923" w:type="pct"/>
          </w:tcPr>
          <w:p w14:paraId="76BEB7DB" w14:textId="77539729" w:rsidR="00F37962" w:rsidRPr="009360D7" w:rsidRDefault="00F37962" w:rsidP="00CC2C7F">
            <w:pPr>
              <w:tabs>
                <w:tab w:val="center" w:pos="284"/>
              </w:tabs>
              <w:overflowPunct w:val="0"/>
              <w:autoSpaceDE w:val="0"/>
              <w:autoSpaceDN w:val="0"/>
              <w:adjustRightInd w:val="0"/>
              <w:spacing w:line="240" w:lineRule="auto"/>
              <w:ind w:left="266" w:right="-3091" w:hanging="266"/>
              <w:textAlignment w:val="baseline"/>
              <w:rPr>
                <w:lang w:val="es-ES"/>
              </w:rPr>
            </w:pPr>
            <w:r w:rsidRPr="009360D7">
              <w:rPr>
                <w:lang w:val="es-ES"/>
              </w:rPr>
              <w:t>BARRERA CHAMORRO Maria del Carmen (</w:t>
            </w:r>
            <w:proofErr w:type="spellStart"/>
            <w:r w:rsidRPr="009360D7">
              <w:rPr>
                <w:lang w:val="es-ES"/>
              </w:rPr>
              <w:t>Workers</w:t>
            </w:r>
            <w:proofErr w:type="spellEnd"/>
            <w:r w:rsidRPr="009360D7">
              <w:rPr>
                <w:lang w:val="es-ES"/>
              </w:rPr>
              <w:t xml:space="preserve">' Group </w:t>
            </w:r>
            <w:r w:rsidR="006C48A5">
              <w:rPr>
                <w:lang w:val="es-ES"/>
              </w:rPr>
              <w:t>-</w:t>
            </w:r>
            <w:r w:rsidRPr="009360D7">
              <w:rPr>
                <w:lang w:val="es-ES"/>
              </w:rPr>
              <w:t xml:space="preserve"> ES)</w:t>
            </w:r>
          </w:p>
        </w:tc>
      </w:tr>
      <w:tr w:rsidR="00F37962" w:rsidRPr="009360D7" w14:paraId="68747D90" w14:textId="77777777" w:rsidTr="002E7EFB">
        <w:tc>
          <w:tcPr>
            <w:tcW w:w="1077" w:type="pct"/>
          </w:tcPr>
          <w:p w14:paraId="5B2075D4" w14:textId="77777777" w:rsidR="00F37962" w:rsidRPr="009360D7" w:rsidRDefault="00F37962" w:rsidP="0024648D">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24648D">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24648D">
            <w:pPr>
              <w:tabs>
                <w:tab w:val="center" w:pos="284"/>
              </w:tabs>
              <w:overflowPunct w:val="0"/>
              <w:autoSpaceDE w:val="0"/>
              <w:autoSpaceDN w:val="0"/>
              <w:adjustRightInd w:val="0"/>
              <w:spacing w:line="240" w:lineRule="auto"/>
              <w:ind w:left="266" w:hanging="266"/>
              <w:textAlignment w:val="baseline"/>
              <w:rPr>
                <w:b/>
              </w:rPr>
            </w:pPr>
            <w:r w:rsidRPr="009360D7">
              <w:rPr>
                <w:b/>
              </w:rPr>
              <w:t>References</w:t>
            </w:r>
          </w:p>
        </w:tc>
        <w:tc>
          <w:tcPr>
            <w:tcW w:w="3923" w:type="pct"/>
          </w:tcPr>
          <w:p w14:paraId="5E33F076" w14:textId="77777777" w:rsidR="00F37962" w:rsidRPr="009360D7" w:rsidRDefault="00F37962" w:rsidP="00CC2C7F">
            <w:pPr>
              <w:tabs>
                <w:tab w:val="center" w:pos="284"/>
              </w:tabs>
              <w:overflowPunct w:val="0"/>
              <w:autoSpaceDE w:val="0"/>
              <w:autoSpaceDN w:val="0"/>
              <w:adjustRightInd w:val="0"/>
              <w:spacing w:line="240" w:lineRule="auto"/>
              <w:ind w:left="266" w:right="-3091" w:hanging="266"/>
              <w:textAlignment w:val="baseline"/>
              <w:rPr>
                <w:lang w:val="pt-PT"/>
              </w:rPr>
            </w:pPr>
            <w:proofErr w:type="gramStart"/>
            <w:r w:rsidRPr="009360D7">
              <w:rPr>
                <w:lang w:val="pt-PT"/>
              </w:rPr>
              <w:t>COM(</w:t>
            </w:r>
            <w:proofErr w:type="gramEnd"/>
            <w:r w:rsidRPr="009360D7">
              <w:rPr>
                <w:lang w:val="pt-PT"/>
              </w:rPr>
              <w:t xml:space="preserve">2025) 839 final </w:t>
            </w:r>
          </w:p>
          <w:p w14:paraId="099CCB38" w14:textId="5CDB039E" w:rsidR="00F37962" w:rsidRPr="009360D7" w:rsidRDefault="00F37962" w:rsidP="00CC2C7F">
            <w:pPr>
              <w:tabs>
                <w:tab w:val="center" w:pos="284"/>
              </w:tabs>
              <w:overflowPunct w:val="0"/>
              <w:autoSpaceDE w:val="0"/>
              <w:autoSpaceDN w:val="0"/>
              <w:adjustRightInd w:val="0"/>
              <w:spacing w:line="240" w:lineRule="auto"/>
              <w:ind w:left="266" w:right="-3091" w:hanging="266"/>
              <w:textAlignment w:val="baseline"/>
              <w:rPr>
                <w:lang w:val="pt-PT"/>
              </w:rPr>
            </w:pPr>
            <w:proofErr w:type="gramStart"/>
            <w:r w:rsidRPr="009360D7">
              <w:rPr>
                <w:lang w:val="pt-PT"/>
              </w:rPr>
              <w:t>COM(</w:t>
            </w:r>
            <w:proofErr w:type="gramEnd"/>
            <w:r w:rsidRPr="009360D7">
              <w:rPr>
                <w:lang w:val="pt-PT"/>
              </w:rPr>
              <w:t xml:space="preserve">2025) 840 final </w:t>
            </w:r>
          </w:p>
          <w:p w14:paraId="5F2CC97B" w14:textId="5926AAD3" w:rsidR="00F37962" w:rsidRPr="009360D7" w:rsidRDefault="00F37962" w:rsidP="00CC2C7F">
            <w:pPr>
              <w:tabs>
                <w:tab w:val="center" w:pos="284"/>
              </w:tabs>
              <w:overflowPunct w:val="0"/>
              <w:autoSpaceDE w:val="0"/>
              <w:autoSpaceDN w:val="0"/>
              <w:adjustRightInd w:val="0"/>
              <w:spacing w:line="240" w:lineRule="auto"/>
              <w:ind w:left="266" w:right="-3091" w:hanging="266"/>
              <w:textAlignment w:val="baseline"/>
              <w:rPr>
                <w:lang w:val="pt-PT"/>
              </w:rPr>
            </w:pPr>
            <w:proofErr w:type="gramStart"/>
            <w:r w:rsidRPr="009360D7">
              <w:rPr>
                <w:lang w:val="pt-PT"/>
              </w:rPr>
              <w:t>COM(</w:t>
            </w:r>
            <w:proofErr w:type="gramEnd"/>
            <w:r w:rsidRPr="009360D7">
              <w:rPr>
                <w:lang w:val="pt-PT"/>
              </w:rPr>
              <w:t>2025) 842 final</w:t>
            </w:r>
          </w:p>
          <w:p w14:paraId="543A5EFB" w14:textId="77777777" w:rsidR="00F37962" w:rsidRPr="009360D7" w:rsidRDefault="00F37962" w:rsidP="00CC2C7F">
            <w:pPr>
              <w:tabs>
                <w:tab w:val="center" w:pos="284"/>
              </w:tabs>
              <w:overflowPunct w:val="0"/>
              <w:autoSpaceDE w:val="0"/>
              <w:autoSpaceDN w:val="0"/>
              <w:adjustRightInd w:val="0"/>
              <w:spacing w:line="240" w:lineRule="auto"/>
              <w:ind w:left="266" w:right="-3091" w:hanging="266"/>
              <w:textAlignment w:val="baseline"/>
              <w:rPr>
                <w:lang w:val="pt-PT"/>
              </w:rPr>
            </w:pPr>
            <w:r w:rsidRPr="009360D7">
              <w:rPr>
                <w:lang w:val="pt-PT"/>
              </w:rP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r w:rsidRPr="009360D7">
        <w:rPr>
          <w:b/>
          <w:lang w:val="en-GB"/>
        </w:rPr>
        <w:t>Key points</w:t>
      </w:r>
    </w:p>
    <w:p w14:paraId="65428812" w14:textId="77777777" w:rsidR="00F37962" w:rsidRPr="009360D7" w:rsidRDefault="00F37962" w:rsidP="00CC2C7F">
      <w:pPr>
        <w:keepNext/>
        <w:keepLines/>
        <w:tabs>
          <w:tab w:val="center" w:pos="284"/>
        </w:tabs>
        <w:overflowPunct w:val="0"/>
        <w:autoSpaceDE w:val="0"/>
        <w:autoSpaceDN w:val="0"/>
        <w:adjustRightInd w:val="0"/>
        <w:spacing w:line="240" w:lineRule="auto"/>
        <w:ind w:left="266" w:hanging="266"/>
        <w:textAlignment w:val="baseline"/>
        <w:rPr>
          <w:b/>
          <w:lang w:val="en-GB"/>
        </w:rPr>
      </w:pPr>
    </w:p>
    <w:p w14:paraId="446B0743" w14:textId="77777777" w:rsidR="00F37962" w:rsidRDefault="00F37962" w:rsidP="00CC2C7F">
      <w:pPr>
        <w:overflowPunct w:val="0"/>
        <w:autoSpaceDE w:val="0"/>
        <w:autoSpaceDN w:val="0"/>
        <w:adjustRightInd w:val="0"/>
        <w:textAlignment w:val="baseline"/>
        <w:rPr>
          <w:bCs/>
          <w:iCs/>
          <w:lang w:val="en-GB"/>
        </w:rPr>
      </w:pPr>
      <w:r w:rsidRPr="009360D7">
        <w:rPr>
          <w:bCs/>
          <w:iCs/>
          <w:lang w:val="en-GB"/>
        </w:rPr>
        <w:t>The EESC:</w:t>
      </w:r>
    </w:p>
    <w:p w14:paraId="3B37DD9F" w14:textId="77777777" w:rsidR="00A40127" w:rsidRPr="00A40127" w:rsidRDefault="00A40127" w:rsidP="00CC2C7F">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bCs/>
          <w:szCs w:val="20"/>
          <w:lang w:val="en-GB"/>
        </w:rPr>
        <w:t>recognises</w:t>
      </w:r>
      <w:r w:rsidRPr="00A40127">
        <w:rPr>
          <w:szCs w:val="20"/>
          <w:lang w:val="en-GB"/>
        </w:rPr>
        <w:t xml:space="preserve"> the benefits of a </w:t>
      </w:r>
      <w:r w:rsidRPr="00A40127">
        <w:rPr>
          <w:b/>
          <w:bCs/>
          <w:szCs w:val="20"/>
          <w:lang w:val="en-GB"/>
        </w:rPr>
        <w:t xml:space="preserve">multi-pillar pensions </w:t>
      </w:r>
      <w:proofErr w:type="gramStart"/>
      <w:r w:rsidRPr="00A40127">
        <w:rPr>
          <w:b/>
          <w:bCs/>
          <w:szCs w:val="20"/>
          <w:lang w:val="en-GB"/>
        </w:rPr>
        <w:t>system</w:t>
      </w:r>
      <w:r w:rsidRPr="00A40127">
        <w:rPr>
          <w:szCs w:val="20"/>
          <w:lang w:val="en-GB"/>
        </w:rPr>
        <w:t>, and</w:t>
      </w:r>
      <w:proofErr w:type="gramEnd"/>
      <w:r w:rsidRPr="00A40127">
        <w:rPr>
          <w:szCs w:val="20"/>
          <w:lang w:val="en-GB"/>
        </w:rPr>
        <w:t xml:space="preserve"> believes that supplementary pensions should not justify weakening public pensions, ensuring that all citizens across the EU can retire with dignity, security and adequate income. </w:t>
      </w:r>
      <w:r w:rsidRPr="00A40127">
        <w:rPr>
          <w:iCs/>
          <w:szCs w:val="20"/>
          <w:lang w:val="en-GB"/>
        </w:rPr>
        <w:t xml:space="preserve">A </w:t>
      </w:r>
      <w:r w:rsidRPr="00A40127">
        <w:rPr>
          <w:b/>
          <w:bCs/>
          <w:iCs/>
          <w:szCs w:val="20"/>
          <w:lang w:val="en-GB"/>
        </w:rPr>
        <w:t>holistic approach is necessary</w:t>
      </w:r>
      <w:r w:rsidRPr="00A40127">
        <w:rPr>
          <w:iCs/>
          <w:szCs w:val="20"/>
          <w:lang w:val="en-GB"/>
        </w:rPr>
        <w:t xml:space="preserve"> at the appropriate level - national or European -, that should include improving both the labour market and the supplementary pensions </w:t>
      </w:r>
      <w:proofErr w:type="gramStart"/>
      <w:r w:rsidRPr="00A40127">
        <w:rPr>
          <w:iCs/>
          <w:szCs w:val="20"/>
          <w:lang w:val="en-GB"/>
        </w:rPr>
        <w:t>system;</w:t>
      </w:r>
      <w:proofErr w:type="gramEnd"/>
    </w:p>
    <w:p w14:paraId="693DE00C"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 xml:space="preserve">recommends </w:t>
      </w:r>
      <w:r w:rsidRPr="00A40127">
        <w:rPr>
          <w:bCs/>
          <w:szCs w:val="20"/>
          <w:lang w:val="en-GB"/>
        </w:rPr>
        <w:t>a</w:t>
      </w:r>
      <w:r w:rsidRPr="00A40127">
        <w:rPr>
          <w:szCs w:val="20"/>
          <w:lang w:val="en-GB"/>
        </w:rPr>
        <w:t xml:space="preserve">ppropriate measures to </w:t>
      </w:r>
      <w:r w:rsidRPr="00A40127">
        <w:rPr>
          <w:b/>
          <w:bCs/>
          <w:szCs w:val="20"/>
          <w:lang w:val="en-GB"/>
        </w:rPr>
        <w:t>strengthen participatory governance</w:t>
      </w:r>
      <w:r w:rsidRPr="00A40127">
        <w:rPr>
          <w:szCs w:val="20"/>
          <w:lang w:val="en-GB"/>
        </w:rPr>
        <w:t xml:space="preserve"> and promote the involvement of social partners</w:t>
      </w:r>
      <w:r w:rsidRPr="00A40127">
        <w:rPr>
          <w:iCs/>
          <w:szCs w:val="20"/>
          <w:lang w:val="en-GB"/>
        </w:rPr>
        <w:t xml:space="preserve">, preserving their freedom to negotiate and in respect of the diversity of systems in the </w:t>
      </w:r>
      <w:proofErr w:type="gramStart"/>
      <w:r w:rsidRPr="00A40127">
        <w:rPr>
          <w:iCs/>
          <w:szCs w:val="20"/>
          <w:lang w:val="en-GB"/>
        </w:rPr>
        <w:t>EU;</w:t>
      </w:r>
      <w:proofErr w:type="gramEnd"/>
    </w:p>
    <w:p w14:paraId="05C90A8C"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recommends</w:t>
      </w:r>
      <w:r w:rsidRPr="00A40127">
        <w:rPr>
          <w:szCs w:val="20"/>
          <w:lang w:val="en-GB"/>
        </w:rPr>
        <w:t xml:space="preserve"> specific amendments to the </w:t>
      </w:r>
      <w:r w:rsidRPr="00A40127">
        <w:rPr>
          <w:b/>
          <w:bCs/>
          <w:szCs w:val="20"/>
          <w:lang w:val="en-GB"/>
        </w:rPr>
        <w:t>IORP Directive</w:t>
      </w:r>
      <w:r w:rsidRPr="00A40127">
        <w:rPr>
          <w:szCs w:val="20"/>
          <w:lang w:val="en-GB"/>
        </w:rPr>
        <w:t xml:space="preserve"> to reduce fragmentation, increase comparability and transparency, and ensure trust of scheme </w:t>
      </w:r>
      <w:proofErr w:type="gramStart"/>
      <w:r w:rsidRPr="00A40127">
        <w:rPr>
          <w:szCs w:val="20"/>
          <w:lang w:val="en-GB"/>
        </w:rPr>
        <w:t>members;</w:t>
      </w:r>
      <w:proofErr w:type="gramEnd"/>
    </w:p>
    <w:p w14:paraId="0CA65CB4"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recommends</w:t>
      </w:r>
      <w:r w:rsidRPr="00A40127">
        <w:rPr>
          <w:szCs w:val="20"/>
          <w:lang w:val="en-GB"/>
        </w:rPr>
        <w:t xml:space="preserve"> specific amendments to the </w:t>
      </w:r>
      <w:r w:rsidRPr="00A40127">
        <w:rPr>
          <w:b/>
          <w:bCs/>
          <w:szCs w:val="20"/>
          <w:lang w:val="en-GB"/>
        </w:rPr>
        <w:t xml:space="preserve">PEPP Regulation </w:t>
      </w:r>
      <w:r w:rsidRPr="00A40127">
        <w:rPr>
          <w:szCs w:val="20"/>
          <w:lang w:val="en-GB"/>
        </w:rPr>
        <w:t xml:space="preserve">including on information and advice, the role of EIOPA and on cross-border </w:t>
      </w:r>
      <w:proofErr w:type="gramStart"/>
      <w:r w:rsidRPr="00A40127">
        <w:rPr>
          <w:szCs w:val="20"/>
          <w:lang w:val="en-GB"/>
        </w:rPr>
        <w:t>transfers;</w:t>
      </w:r>
      <w:proofErr w:type="gramEnd"/>
    </w:p>
    <w:p w14:paraId="653F0F93"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recommends</w:t>
      </w:r>
      <w:r w:rsidRPr="00A40127">
        <w:rPr>
          <w:szCs w:val="20"/>
          <w:lang w:val="en-GB"/>
        </w:rPr>
        <w:t xml:space="preserve"> measures for a better </w:t>
      </w:r>
      <w:r w:rsidRPr="00A40127">
        <w:rPr>
          <w:b/>
          <w:bCs/>
          <w:szCs w:val="20"/>
          <w:lang w:val="en-GB"/>
        </w:rPr>
        <w:t>gender balance</w:t>
      </w:r>
      <w:r w:rsidRPr="00A40127">
        <w:rPr>
          <w:szCs w:val="20"/>
          <w:lang w:val="en-GB"/>
        </w:rPr>
        <w:t xml:space="preserve"> and to </w:t>
      </w:r>
      <w:r w:rsidRPr="00A40127">
        <w:rPr>
          <w:b/>
          <w:bCs/>
          <w:szCs w:val="20"/>
          <w:lang w:val="en-GB"/>
        </w:rPr>
        <w:t>strengthen public confidence</w:t>
      </w:r>
      <w:r w:rsidRPr="00A40127">
        <w:rPr>
          <w:szCs w:val="20"/>
          <w:lang w:val="en-GB"/>
        </w:rPr>
        <w:t xml:space="preserve"> on pension products and </w:t>
      </w:r>
      <w:r w:rsidRPr="00A40127">
        <w:rPr>
          <w:bCs/>
          <w:szCs w:val="20"/>
          <w:lang w:val="en-GB"/>
        </w:rPr>
        <w:t>that</w:t>
      </w:r>
      <w:r w:rsidRPr="00A40127">
        <w:rPr>
          <w:b/>
          <w:szCs w:val="20"/>
          <w:lang w:val="en-GB"/>
        </w:rPr>
        <w:t xml:space="preserve"> PEPPs remain individual</w:t>
      </w:r>
      <w:r w:rsidRPr="00A40127">
        <w:rPr>
          <w:bCs/>
          <w:szCs w:val="20"/>
          <w:lang w:val="en-GB"/>
        </w:rPr>
        <w:t xml:space="preserve">, not allowing group </w:t>
      </w:r>
      <w:proofErr w:type="gramStart"/>
      <w:r w:rsidRPr="00A40127">
        <w:rPr>
          <w:bCs/>
          <w:szCs w:val="20"/>
          <w:lang w:val="en-GB"/>
        </w:rPr>
        <w:t>purchasing</w:t>
      </w:r>
      <w:r w:rsidRPr="00A40127">
        <w:rPr>
          <w:szCs w:val="20"/>
          <w:lang w:val="en-GB"/>
        </w:rPr>
        <w:t>;</w:t>
      </w:r>
      <w:proofErr w:type="gramEnd"/>
    </w:p>
    <w:p w14:paraId="3F455E5B"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urges</w:t>
      </w:r>
      <w:r w:rsidRPr="00A40127">
        <w:rPr>
          <w:szCs w:val="20"/>
          <w:lang w:val="en-GB"/>
        </w:rPr>
        <w:t xml:space="preserve"> the co‑legislators to</w:t>
      </w:r>
      <w:r w:rsidRPr="00A40127">
        <w:rPr>
          <w:bCs/>
          <w:szCs w:val="20"/>
          <w:lang w:val="en-GB"/>
        </w:rPr>
        <w:t xml:space="preserve"> consider </w:t>
      </w:r>
      <w:r w:rsidRPr="00A40127">
        <w:rPr>
          <w:b/>
          <w:szCs w:val="20"/>
          <w:lang w:val="en-GB"/>
        </w:rPr>
        <w:t>rewording the ‘prudent person’ principle</w:t>
      </w:r>
      <w:r w:rsidRPr="00A40127">
        <w:rPr>
          <w:bCs/>
          <w:szCs w:val="20"/>
          <w:lang w:val="en-GB"/>
        </w:rPr>
        <w:t xml:space="preserve"> referred to in the IORP Directive</w:t>
      </w:r>
      <w:r w:rsidRPr="00A40127">
        <w:rPr>
          <w:szCs w:val="20"/>
          <w:lang w:val="en-GB"/>
        </w:rPr>
        <w:t xml:space="preserve">, to </w:t>
      </w:r>
      <w:r w:rsidRPr="00A40127">
        <w:rPr>
          <w:b/>
          <w:szCs w:val="20"/>
          <w:lang w:val="en-GB"/>
        </w:rPr>
        <w:t>strike the right balance</w:t>
      </w:r>
      <w:r w:rsidRPr="00A40127">
        <w:rPr>
          <w:szCs w:val="20"/>
          <w:lang w:val="en-GB"/>
        </w:rPr>
        <w:t xml:space="preserve"> between investment risk and guaranteeing scheme </w:t>
      </w:r>
      <w:proofErr w:type="gramStart"/>
      <w:r w:rsidRPr="00A40127">
        <w:rPr>
          <w:szCs w:val="20"/>
          <w:lang w:val="en-GB"/>
        </w:rPr>
        <w:t>contributions;</w:t>
      </w:r>
      <w:proofErr w:type="gramEnd"/>
    </w:p>
    <w:p w14:paraId="6341AEBC"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recommends</w:t>
      </w:r>
      <w:r w:rsidRPr="00A40127">
        <w:rPr>
          <w:szCs w:val="20"/>
          <w:lang w:val="en-GB"/>
        </w:rPr>
        <w:t xml:space="preserve"> that </w:t>
      </w:r>
      <w:r w:rsidRPr="00A40127">
        <w:rPr>
          <w:b/>
          <w:bCs/>
          <w:szCs w:val="20"/>
          <w:lang w:val="en-GB"/>
        </w:rPr>
        <w:t>automatic enrolment</w:t>
      </w:r>
      <w:r w:rsidRPr="00A40127">
        <w:rPr>
          <w:szCs w:val="20"/>
          <w:lang w:val="en-GB"/>
        </w:rPr>
        <w:t xml:space="preserve"> be the result of strengthened </w:t>
      </w:r>
      <w:r w:rsidRPr="00A40127">
        <w:rPr>
          <w:b/>
          <w:bCs/>
          <w:szCs w:val="20"/>
          <w:lang w:val="en-GB"/>
        </w:rPr>
        <w:t>social dialogue</w:t>
      </w:r>
      <w:r w:rsidRPr="00A40127">
        <w:rPr>
          <w:szCs w:val="20"/>
          <w:lang w:val="en-GB"/>
        </w:rPr>
        <w:t xml:space="preserve"> and collective bargaining, where appropriate, preserving the freedom of social partners to negotiate, design and decide on automatic </w:t>
      </w:r>
      <w:proofErr w:type="gramStart"/>
      <w:r w:rsidRPr="00A40127">
        <w:rPr>
          <w:szCs w:val="20"/>
          <w:lang w:val="en-GB"/>
        </w:rPr>
        <w:t>enrolment;</w:t>
      </w:r>
      <w:proofErr w:type="gramEnd"/>
    </w:p>
    <w:p w14:paraId="69D94ECA"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 xml:space="preserve">recommends </w:t>
      </w:r>
      <w:proofErr w:type="gramStart"/>
      <w:r w:rsidRPr="00A40127">
        <w:rPr>
          <w:bCs/>
          <w:szCs w:val="20"/>
          <w:lang w:val="en-GB"/>
        </w:rPr>
        <w:t>to set</w:t>
      </w:r>
      <w:proofErr w:type="gramEnd"/>
      <w:r w:rsidRPr="00A40127">
        <w:rPr>
          <w:bCs/>
          <w:szCs w:val="20"/>
          <w:lang w:val="en-GB"/>
        </w:rPr>
        <w:t xml:space="preserve"> up a </w:t>
      </w:r>
      <w:r w:rsidRPr="00A40127">
        <w:rPr>
          <w:b/>
          <w:szCs w:val="20"/>
          <w:lang w:val="en-GB"/>
        </w:rPr>
        <w:t>monitoring Committee</w:t>
      </w:r>
      <w:r w:rsidRPr="00A40127">
        <w:rPr>
          <w:bCs/>
          <w:szCs w:val="20"/>
          <w:lang w:val="en-GB"/>
        </w:rPr>
        <w:t xml:space="preserve"> by the European Commission to effectively </w:t>
      </w:r>
      <w:r w:rsidRPr="00A40127">
        <w:rPr>
          <w:b/>
          <w:szCs w:val="20"/>
          <w:lang w:val="en-GB"/>
        </w:rPr>
        <w:t>monitor the progress of supplementary pensions</w:t>
      </w:r>
      <w:r w:rsidRPr="00A40127">
        <w:rPr>
          <w:bCs/>
          <w:szCs w:val="20"/>
          <w:lang w:val="en-GB"/>
        </w:rPr>
        <w:t xml:space="preserve">. It should involve </w:t>
      </w:r>
      <w:r w:rsidRPr="00A40127">
        <w:rPr>
          <w:szCs w:val="20"/>
          <w:lang w:val="en-GB"/>
        </w:rPr>
        <w:t xml:space="preserve">public authorities, social partners and civil society organisations. Its work should </w:t>
      </w:r>
      <w:r w:rsidRPr="00A40127">
        <w:rPr>
          <w:b/>
          <w:bCs/>
          <w:szCs w:val="20"/>
          <w:lang w:val="en-GB"/>
        </w:rPr>
        <w:t>inform</w:t>
      </w:r>
      <w:r w:rsidRPr="00A40127">
        <w:rPr>
          <w:szCs w:val="20"/>
          <w:lang w:val="en-GB"/>
        </w:rPr>
        <w:t xml:space="preserve"> future regulatory changes and feed into the work of the European Semester and the </w:t>
      </w:r>
      <w:proofErr w:type="gramStart"/>
      <w:r w:rsidRPr="00A40127">
        <w:rPr>
          <w:szCs w:val="20"/>
          <w:lang w:val="en-GB"/>
        </w:rPr>
        <w:t>Council;</w:t>
      </w:r>
      <w:proofErr w:type="gramEnd"/>
    </w:p>
    <w:p w14:paraId="50B09C2F"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 xml:space="preserve">recommends </w:t>
      </w:r>
      <w:r w:rsidRPr="00A40127">
        <w:rPr>
          <w:b/>
          <w:bCs/>
          <w:szCs w:val="20"/>
          <w:lang w:val="en-GB"/>
        </w:rPr>
        <w:t>measures</w:t>
      </w:r>
      <w:r w:rsidRPr="00A40127">
        <w:rPr>
          <w:szCs w:val="20"/>
          <w:lang w:val="en-GB"/>
        </w:rPr>
        <w:t xml:space="preserve"> to </w:t>
      </w:r>
      <w:r w:rsidRPr="00A40127">
        <w:rPr>
          <w:b/>
          <w:bCs/>
          <w:szCs w:val="20"/>
          <w:lang w:val="en-GB"/>
        </w:rPr>
        <w:t>mitigate</w:t>
      </w:r>
      <w:r w:rsidRPr="00A40127">
        <w:rPr>
          <w:szCs w:val="20"/>
          <w:lang w:val="en-GB"/>
        </w:rPr>
        <w:t xml:space="preserve"> potential effects on </w:t>
      </w:r>
      <w:r w:rsidRPr="00A40127">
        <w:rPr>
          <w:b/>
          <w:bCs/>
          <w:szCs w:val="20"/>
          <w:lang w:val="en-GB"/>
        </w:rPr>
        <w:t>sustainability</w:t>
      </w:r>
      <w:r w:rsidRPr="00A40127">
        <w:rPr>
          <w:szCs w:val="20"/>
          <w:lang w:val="en-GB"/>
        </w:rPr>
        <w:t xml:space="preserve"> of pensions and on </w:t>
      </w:r>
      <w:r w:rsidRPr="00A40127">
        <w:rPr>
          <w:b/>
          <w:bCs/>
          <w:szCs w:val="20"/>
          <w:lang w:val="en-GB"/>
        </w:rPr>
        <w:t>poverty</w:t>
      </w:r>
      <w:r w:rsidRPr="00A40127">
        <w:rPr>
          <w:szCs w:val="20"/>
          <w:lang w:val="en-GB"/>
        </w:rPr>
        <w:t xml:space="preserve"> and </w:t>
      </w:r>
      <w:proofErr w:type="gramStart"/>
      <w:r w:rsidRPr="00A40127">
        <w:rPr>
          <w:b/>
          <w:bCs/>
          <w:szCs w:val="20"/>
          <w:lang w:val="en-GB"/>
        </w:rPr>
        <w:t>inequality</w:t>
      </w:r>
      <w:r w:rsidRPr="00A40127">
        <w:rPr>
          <w:szCs w:val="20"/>
          <w:lang w:val="en-GB"/>
        </w:rPr>
        <w:t>;</w:t>
      </w:r>
      <w:proofErr w:type="gramEnd"/>
    </w:p>
    <w:p w14:paraId="22649A22"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szCs w:val="20"/>
          <w:lang w:val="en-GB"/>
        </w:rPr>
      </w:pPr>
      <w:r w:rsidRPr="00A40127">
        <w:rPr>
          <w:b/>
          <w:szCs w:val="20"/>
          <w:lang w:val="en-GB"/>
        </w:rPr>
        <w:t>recommends</w:t>
      </w:r>
      <w:r w:rsidRPr="00A40127">
        <w:rPr>
          <w:bCs/>
          <w:szCs w:val="20"/>
          <w:lang w:val="en-GB"/>
        </w:rPr>
        <w:t xml:space="preserve"> completing the work being carried out to coordinate the</w:t>
      </w:r>
      <w:r w:rsidRPr="00A40127">
        <w:rPr>
          <w:b/>
          <w:szCs w:val="20"/>
          <w:lang w:val="en-GB"/>
        </w:rPr>
        <w:t xml:space="preserve"> digitalisation of European social security </w:t>
      </w:r>
      <w:proofErr w:type="gramStart"/>
      <w:r w:rsidRPr="00A40127">
        <w:rPr>
          <w:b/>
          <w:szCs w:val="20"/>
          <w:lang w:val="en-GB"/>
        </w:rPr>
        <w:t>systems</w:t>
      </w:r>
      <w:r w:rsidRPr="00A40127">
        <w:rPr>
          <w:bCs/>
          <w:szCs w:val="20"/>
          <w:lang w:val="en-GB"/>
        </w:rPr>
        <w:t>;</w:t>
      </w:r>
      <w:proofErr w:type="gramEnd"/>
    </w:p>
    <w:p w14:paraId="0879C2C7" w14:textId="77777777" w:rsidR="00A40127" w:rsidRPr="00A40127" w:rsidRDefault="00A40127" w:rsidP="0024648D">
      <w:pPr>
        <w:numPr>
          <w:ilvl w:val="0"/>
          <w:numId w:val="74"/>
        </w:numPr>
        <w:overflowPunct w:val="0"/>
        <w:autoSpaceDE w:val="0"/>
        <w:autoSpaceDN w:val="0"/>
        <w:adjustRightInd w:val="0"/>
        <w:spacing w:line="283" w:lineRule="auto"/>
        <w:ind w:left="284" w:hanging="284"/>
        <w:textAlignment w:val="baseline"/>
        <w:outlineLvl w:val="1"/>
        <w:rPr>
          <w:bCs/>
          <w:iCs/>
          <w:szCs w:val="20"/>
          <w:lang w:val="en-GB"/>
        </w:rPr>
      </w:pPr>
      <w:r w:rsidRPr="00A40127">
        <w:rPr>
          <w:b/>
          <w:bCs/>
          <w:szCs w:val="20"/>
          <w:lang w:val="en-GB"/>
        </w:rPr>
        <w:t xml:space="preserve">underlines </w:t>
      </w:r>
      <w:r w:rsidRPr="00A40127">
        <w:rPr>
          <w:szCs w:val="20"/>
          <w:lang w:val="en-GB"/>
        </w:rPr>
        <w:t xml:space="preserve">the need for </w:t>
      </w:r>
      <w:r w:rsidRPr="00A40127">
        <w:rPr>
          <w:b/>
          <w:bCs/>
          <w:szCs w:val="20"/>
          <w:lang w:val="en-GB"/>
        </w:rPr>
        <w:t>financial education</w:t>
      </w:r>
      <w:r w:rsidRPr="00A40127">
        <w:rPr>
          <w:szCs w:val="20"/>
          <w:lang w:val="en-GB"/>
        </w:rPr>
        <w:t xml:space="preserve"> supported by user-friendly</w:t>
      </w:r>
      <w:r w:rsidRPr="00A40127">
        <w:rPr>
          <w:b/>
          <w:bCs/>
          <w:szCs w:val="20"/>
          <w:lang w:val="en-GB"/>
        </w:rPr>
        <w:t xml:space="preserve"> tracking tools</w:t>
      </w:r>
      <w:r w:rsidRPr="00A40127">
        <w:rPr>
          <w:szCs w:val="20"/>
          <w:lang w:val="en-GB"/>
        </w:rPr>
        <w:t xml:space="preserve"> and access to</w:t>
      </w:r>
      <w:r w:rsidRPr="00A40127">
        <w:rPr>
          <w:b/>
          <w:bCs/>
          <w:szCs w:val="20"/>
          <w:lang w:val="en-GB"/>
        </w:rPr>
        <w:t xml:space="preserve"> guidance and advice</w:t>
      </w:r>
      <w:r w:rsidRPr="00A40127">
        <w:rPr>
          <w:szCs w:val="20"/>
          <w:lang w:val="en-GB"/>
        </w:rPr>
        <w:t xml:space="preserve"> to take decisions.</w:t>
      </w:r>
    </w:p>
    <w:p w14:paraId="029BFBEF" w14:textId="77777777" w:rsidR="00613302" w:rsidRPr="009360D7" w:rsidRDefault="00613302" w:rsidP="00CC2C7F">
      <w:pPr>
        <w:widowControl w:val="0"/>
        <w:overflowPunct w:val="0"/>
        <w:autoSpaceDE w:val="0"/>
        <w:autoSpaceDN w:val="0"/>
        <w:adjustRightInd w:val="0"/>
        <w:spacing w:line="240" w:lineRule="auto"/>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sidRPr="009360D7">
              <w:rPr>
                <w:b/>
                <w:i/>
              </w:rPr>
              <w:t>Contact</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sidRPr="009360D7">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sidRPr="009360D7">
              <w:rPr>
                <w:i/>
              </w:rPr>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sidRPr="009360D7">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sidRPr="009360D7">
              <w:rPr>
                <w:i/>
              </w:rPr>
              <w:t>Email</w:t>
            </w:r>
          </w:p>
        </w:tc>
        <w:tc>
          <w:tcPr>
            <w:tcW w:w="3923" w:type="pct"/>
          </w:tcPr>
          <w:p w14:paraId="5475F81E" w14:textId="77777777" w:rsidR="00F37962" w:rsidRPr="009360D7" w:rsidRDefault="00F37962" w:rsidP="002E7EFB">
            <w:pPr>
              <w:overflowPunct w:val="0"/>
              <w:autoSpaceDE w:val="0"/>
              <w:autoSpaceDN w:val="0"/>
              <w:adjustRightInd w:val="0"/>
              <w:textAlignment w:val="baseline"/>
              <w:rPr>
                <w:i/>
              </w:rPr>
            </w:pPr>
            <w:hyperlink r:id="rId24" w:history="1">
              <w:r w:rsidRPr="009360D7">
                <w:rPr>
                  <w:i/>
                  <w:color w:val="0000FF"/>
                  <w:u w:val="single"/>
                </w:rPr>
                <w:t>Sergio.LorencioMatallana@eesc.europa.eu</w:t>
              </w:r>
            </w:hyperlink>
          </w:p>
        </w:tc>
      </w:tr>
    </w:tbl>
    <w:p w14:paraId="23A0EDCC" w14:textId="77777777" w:rsidR="00A067F3" w:rsidRDefault="00A067F3">
      <w:pPr>
        <w:spacing w:after="160" w:line="259" w:lineRule="auto"/>
        <w:jc w:val="left"/>
      </w:pPr>
      <w:r>
        <w:br w:type="page"/>
      </w:r>
    </w:p>
    <w:p w14:paraId="4982DD98" w14:textId="3B74461B" w:rsidR="004D7AC0" w:rsidRDefault="004D7AC0" w:rsidP="001766B2">
      <w:pPr>
        <w:jc w:val="left"/>
      </w:pPr>
    </w:p>
    <w:p w14:paraId="4982DD99" w14:textId="592F9C95" w:rsidR="004D7AC0" w:rsidRDefault="004D7AC0" w:rsidP="0024648D">
      <w:pPr>
        <w:pStyle w:val="Heading2"/>
      </w:pPr>
      <w:bookmarkStart w:id="1" w:name="_Toc75527081"/>
      <w:bookmarkStart w:id="2" w:name="_Toc229140654"/>
      <w:r w:rsidRPr="001C70A5">
        <w:rPr>
          <w:rFonts w:eastAsiaTheme="minorEastAsia"/>
        </w:rPr>
        <w:t>EMPLOYMENT, SOCIAL AFFAIRS AND CITIZENSHIP</w:t>
      </w:r>
      <w:bookmarkEnd w:id="1"/>
      <w:bookmarkEnd w:id="2"/>
    </w:p>
    <w:p w14:paraId="4982DD9A" w14:textId="77777777" w:rsidR="004D7AC0" w:rsidRDefault="004D7AC0" w:rsidP="001766B2"/>
    <w:p w14:paraId="0FBA9E33" w14:textId="76B25166" w:rsidR="00943240" w:rsidRPr="00943240" w:rsidRDefault="00943240" w:rsidP="00943240">
      <w:pPr>
        <w:widowControl w:val="0"/>
        <w:numPr>
          <w:ilvl w:val="0"/>
          <w:numId w:val="8"/>
        </w:numPr>
        <w:overflowPunct w:val="0"/>
        <w:autoSpaceDE w:val="0"/>
        <w:autoSpaceDN w:val="0"/>
        <w:adjustRightInd w:val="0"/>
        <w:ind w:left="567" w:hanging="567"/>
        <w:textAlignment w:val="baseline"/>
        <w:rPr>
          <w:b/>
          <w:lang w:val="en-IE"/>
        </w:rPr>
      </w:pPr>
      <w:hyperlink r:id="rId25" w:history="1">
        <w:r w:rsidRPr="00943240">
          <w:rPr>
            <w:b/>
            <w:bCs/>
            <w:i/>
            <w:iCs/>
            <w:color w:val="0000FF"/>
            <w:sz w:val="28"/>
            <w:szCs w:val="28"/>
            <w:u w:val="single"/>
            <w:lang w:val="en-IE"/>
          </w:rPr>
          <w:t>Ban on conversion practices in the European Union</w:t>
        </w:r>
      </w:hyperlink>
    </w:p>
    <w:p w14:paraId="0553C86C" w14:textId="77777777" w:rsidR="00943240" w:rsidRDefault="00943240" w:rsidP="00943240">
      <w:pPr>
        <w:tabs>
          <w:tab w:val="center" w:pos="284"/>
        </w:tabs>
        <w:overflowPunct w:val="0"/>
        <w:autoSpaceDE w:val="0"/>
        <w:autoSpaceDN w:val="0"/>
        <w:adjustRightInd w:val="0"/>
        <w:ind w:left="567" w:hanging="567"/>
        <w:textAlignment w:val="baseline"/>
        <w:rPr>
          <w:sz w:val="16"/>
          <w:szCs w:val="16"/>
          <w:lang w:val="en-IE"/>
        </w:rPr>
      </w:pPr>
    </w:p>
    <w:p w14:paraId="0DD8BE16" w14:textId="77777777" w:rsidR="00537B03" w:rsidRPr="00943240" w:rsidRDefault="00537B03" w:rsidP="00943240">
      <w:pPr>
        <w:tabs>
          <w:tab w:val="center" w:pos="284"/>
        </w:tabs>
        <w:overflowPunct w:val="0"/>
        <w:autoSpaceDE w:val="0"/>
        <w:autoSpaceDN w:val="0"/>
        <w:adjustRightInd w:val="0"/>
        <w:ind w:left="567" w:hanging="567"/>
        <w:textAlignment w:val="baseline"/>
        <w:rPr>
          <w:sz w:val="16"/>
          <w:szCs w:val="16"/>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r w:rsidRPr="00943240">
              <w:rPr>
                <w:b/>
                <w:lang w:val="en-IE"/>
              </w:rPr>
              <w:t>Rapporteur</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rPr>
                <w:lang w:val="en-IE"/>
              </w:rPr>
            </w:pPr>
            <w:r w:rsidRPr="00943240">
              <w:rPr>
                <w:lang w:val="en-IE"/>
              </w:rPr>
              <w:t>Pascal DEBAY (Workers' Group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r w:rsidRPr="00943240">
              <w:rPr>
                <w:b/>
                <w:lang w:val="en-IE"/>
              </w:rPr>
              <w:t>Co-rapporteur</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rPr>
                <w:lang w:val="en-IE"/>
              </w:rPr>
            </w:pPr>
            <w:r w:rsidRPr="00943240">
              <w:rPr>
                <w:lang w:val="en-IE"/>
              </w:rPr>
              <w:t>Ionuţ SIBIAN (Civil Society Organisations' Group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r w:rsidRPr="00943240">
              <w:rPr>
                <w:b/>
                <w:lang w:val="en-IE"/>
              </w:rPr>
              <w:t>References</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rPr>
                <w:lang w:val="en-IE"/>
              </w:rPr>
            </w:pPr>
            <w:r w:rsidRPr="00943240">
              <w:rPr>
                <w:lang w:val="en-IE"/>
              </w:rPr>
              <w:t>Own-initiative opinion</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rPr>
                <w:lang w:val="en-IE"/>
              </w:rPr>
            </w:pPr>
            <w:r w:rsidRPr="00943240">
              <w:rPr>
                <w:lang w:val="en-IE"/>
              </w:rP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lang w:val="en-IE"/>
        </w:rPr>
      </w:pPr>
      <w:r w:rsidRPr="00943240">
        <w:rPr>
          <w:b/>
          <w:lang w:val="en-IE"/>
        </w:rPr>
        <w:t>Key points</w:t>
      </w:r>
    </w:p>
    <w:p w14:paraId="6A6CAB26" w14:textId="77777777" w:rsidR="00CC2C7F" w:rsidRDefault="00CC2C7F" w:rsidP="00CC2C7F">
      <w:pPr>
        <w:spacing w:line="240" w:lineRule="auto"/>
        <w:jc w:val="left"/>
        <w:rPr>
          <w:lang w:val="en-IE" w:eastAsia="fr-BE"/>
        </w:rPr>
      </w:pPr>
    </w:p>
    <w:p w14:paraId="367A8012" w14:textId="50D3DA5B" w:rsidR="00943240" w:rsidRPr="00943240" w:rsidRDefault="00943240" w:rsidP="00CC2C7F">
      <w:pPr>
        <w:overflowPunct w:val="0"/>
        <w:autoSpaceDE w:val="0"/>
        <w:autoSpaceDN w:val="0"/>
        <w:adjustRightInd w:val="0"/>
        <w:textAlignment w:val="baseline"/>
        <w:rPr>
          <w:b/>
          <w:bCs/>
          <w:lang w:val="en-IE" w:eastAsia="fr-BE"/>
        </w:rPr>
      </w:pPr>
      <w:r w:rsidRPr="00943240">
        <w:rPr>
          <w:lang w:val="en-IE" w:eastAsia="fr-BE"/>
        </w:rPr>
        <w:t xml:space="preserve">The </w:t>
      </w:r>
      <w:r w:rsidRPr="00CC2C7F">
        <w:rPr>
          <w:bCs/>
          <w:iCs/>
          <w:lang w:val="en-GB"/>
        </w:rPr>
        <w:t>EESC</w:t>
      </w:r>
      <w:r w:rsidRPr="00943240">
        <w:rPr>
          <w:lang w:val="en-IE" w:eastAsia="fr-BE"/>
        </w:rPr>
        <w:t>:</w:t>
      </w:r>
    </w:p>
    <w:p w14:paraId="148FFAB3"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3" w:name="_Toc228805417"/>
      <w:r w:rsidRPr="00943240">
        <w:rPr>
          <w:szCs w:val="20"/>
          <w:lang w:val="en-IE"/>
        </w:rPr>
        <w:t xml:space="preserve">strongly condemns all forms of conversion practices aimed at changing, suppressing or erasing a person’s sexual orientation, gender identity or gender expression, and considers them a violation of the absolute prohibition of torture and inhuman or degrading treatment or </w:t>
      </w:r>
      <w:proofErr w:type="gramStart"/>
      <w:r w:rsidRPr="00943240">
        <w:rPr>
          <w:szCs w:val="20"/>
          <w:lang w:val="en-IE"/>
        </w:rPr>
        <w:t>punishment;</w:t>
      </w:r>
      <w:bookmarkEnd w:id="3"/>
      <w:proofErr w:type="gramEnd"/>
    </w:p>
    <w:p w14:paraId="7291556E"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4" w:name="_Toc228805418"/>
      <w:r w:rsidRPr="00943240">
        <w:rPr>
          <w:szCs w:val="20"/>
          <w:lang w:val="en-IE"/>
        </w:rPr>
        <w:t xml:space="preserve">recalls that discrimination, violence and torture directed against LGBTIQ+ persons within the EU are incompatible with the EU fundamental rights and </w:t>
      </w:r>
      <w:proofErr w:type="gramStart"/>
      <w:r w:rsidRPr="00943240">
        <w:rPr>
          <w:szCs w:val="20"/>
          <w:lang w:val="en-IE"/>
        </w:rPr>
        <w:t>values;</w:t>
      </w:r>
      <w:bookmarkEnd w:id="4"/>
      <w:proofErr w:type="gramEnd"/>
    </w:p>
    <w:p w14:paraId="4C8743D6"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5" w:name="_Toc228805419"/>
      <w:r w:rsidRPr="00943240">
        <w:rPr>
          <w:szCs w:val="20"/>
          <w:lang w:val="en-IE"/>
        </w:rPr>
        <w:t xml:space="preserve">calls on the European Commission to propose a legally binding EU-wide ban on conversion practices, covering both the conduct and the advertisement of such activities, by including conversion practices as ‘EU crimes’ and to recognise them as hate crimes to ensure a uniform level of protection across the </w:t>
      </w:r>
      <w:proofErr w:type="gramStart"/>
      <w:r w:rsidRPr="00943240">
        <w:rPr>
          <w:szCs w:val="20"/>
          <w:lang w:val="en-IE"/>
        </w:rPr>
        <w:t>EU;</w:t>
      </w:r>
      <w:bookmarkEnd w:id="5"/>
      <w:proofErr w:type="gramEnd"/>
    </w:p>
    <w:p w14:paraId="7C4251B7"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6" w:name="_Toc228805420"/>
      <w:r w:rsidRPr="00943240">
        <w:rPr>
          <w:szCs w:val="20"/>
          <w:lang w:val="en-IE"/>
        </w:rPr>
        <w:t xml:space="preserve">urges that the ban is comprehensive and precisely defined, applies to children and adults alike, covers all public and private actors (professional and non-professional), and ensures that survivors are never subject to criminal or civil </w:t>
      </w:r>
      <w:proofErr w:type="gramStart"/>
      <w:r w:rsidRPr="00943240">
        <w:rPr>
          <w:szCs w:val="20"/>
          <w:lang w:val="en-IE"/>
        </w:rPr>
        <w:t>liability;</w:t>
      </w:r>
      <w:bookmarkEnd w:id="6"/>
      <w:proofErr w:type="gramEnd"/>
    </w:p>
    <w:p w14:paraId="1745C5AE"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7" w:name="_Toc228805421"/>
      <w:r w:rsidRPr="00943240">
        <w:rPr>
          <w:szCs w:val="20"/>
          <w:lang w:val="en-IE"/>
        </w:rPr>
        <w:t xml:space="preserve">insists that the ban includes effective, proportionate and dissuasive penalties reflecting the serious harm caused by conversion </w:t>
      </w:r>
      <w:proofErr w:type="gramStart"/>
      <w:r w:rsidRPr="00943240">
        <w:rPr>
          <w:szCs w:val="20"/>
          <w:lang w:val="en-IE"/>
        </w:rPr>
        <w:t>practices;</w:t>
      </w:r>
      <w:bookmarkEnd w:id="7"/>
      <w:proofErr w:type="gramEnd"/>
    </w:p>
    <w:p w14:paraId="6ABD62C6"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8" w:name="_Toc228805422"/>
      <w:r w:rsidRPr="00943240">
        <w:rPr>
          <w:szCs w:val="20"/>
          <w:lang w:val="en-IE"/>
        </w:rPr>
        <w:t xml:space="preserve">calls for the explicit inclusion of sex characteristics within the scope of the ban </w:t>
      </w:r>
      <w:proofErr w:type="gramStart"/>
      <w:r w:rsidRPr="00943240">
        <w:rPr>
          <w:szCs w:val="20"/>
          <w:lang w:val="en-IE"/>
        </w:rPr>
        <w:t>in order to</w:t>
      </w:r>
      <w:proofErr w:type="gramEnd"/>
      <w:r w:rsidRPr="00943240">
        <w:rPr>
          <w:szCs w:val="20"/>
          <w:lang w:val="en-IE"/>
        </w:rPr>
        <w:t xml:space="preserve"> protect intersex individuals from non-therapeutic and non-consensual interventions by forcing binary gender </w:t>
      </w:r>
      <w:proofErr w:type="gramStart"/>
      <w:r w:rsidRPr="00943240">
        <w:rPr>
          <w:szCs w:val="20"/>
          <w:lang w:val="en-IE"/>
        </w:rPr>
        <w:t>alignment;</w:t>
      </w:r>
      <w:bookmarkEnd w:id="8"/>
      <w:proofErr w:type="gramEnd"/>
    </w:p>
    <w:p w14:paraId="7E833977" w14:textId="77777777" w:rsidR="00943240" w:rsidRPr="00943240" w:rsidRDefault="00943240" w:rsidP="0024648D">
      <w:pPr>
        <w:numPr>
          <w:ilvl w:val="0"/>
          <w:numId w:val="23"/>
        </w:numPr>
        <w:overflowPunct w:val="0"/>
        <w:autoSpaceDE w:val="0"/>
        <w:autoSpaceDN w:val="0"/>
        <w:adjustRightInd w:val="0"/>
        <w:ind w:left="284" w:hanging="284"/>
        <w:textAlignment w:val="baseline"/>
        <w:outlineLvl w:val="1"/>
        <w:rPr>
          <w:szCs w:val="20"/>
          <w:lang w:val="en-IE"/>
        </w:rPr>
      </w:pPr>
      <w:bookmarkStart w:id="9" w:name="_Toc228805423"/>
      <w:r w:rsidRPr="00943240">
        <w:rPr>
          <w:szCs w:val="20"/>
          <w:lang w:val="en-IE"/>
        </w:rPr>
        <w:t>recommends strong implementation measures as part of the LGBTIQ+ Equality Strategy 2026–2030. These should include annual monitoring carried out in consultation with organised civil society, dedicated funding for professional training and equality organisations, and EU-supported education and public awareness initiatives, which are essential for identifying and eliminating such practices.</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lang w:val="en-IE"/>
              </w:rPr>
            </w:pPr>
            <w:r w:rsidRPr="00943240">
              <w:rPr>
                <w:b/>
                <w:i/>
                <w:lang w:val="en-IE"/>
              </w:rPr>
              <w:t>Contact</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lang w:val="en-IE"/>
              </w:rPr>
            </w:pPr>
            <w:r w:rsidRPr="00943240">
              <w:rPr>
                <w:i/>
                <w:lang w:val="en-IE"/>
              </w:rPr>
              <w:t>Bartek B</w:t>
            </w:r>
            <w:r w:rsidR="00050D04" w:rsidRPr="00943240">
              <w:rPr>
                <w:i/>
                <w:lang w:val="en-IE"/>
              </w:rPr>
              <w:t>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lang w:val="en-IE"/>
              </w:rPr>
            </w:pPr>
            <w:r w:rsidRPr="00943240">
              <w:rPr>
                <w:i/>
                <w:lang w:val="en-IE"/>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lang w:val="en-IE"/>
              </w:rPr>
            </w:pPr>
            <w:r w:rsidRPr="00943240">
              <w:rPr>
                <w:i/>
                <w:lang w:val="en-IE"/>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lang w:val="en-IE"/>
              </w:rPr>
            </w:pPr>
            <w:r w:rsidRPr="00943240">
              <w:rPr>
                <w:i/>
                <w:lang w:val="en-IE"/>
              </w:rPr>
              <w:t>Email</w:t>
            </w:r>
          </w:p>
        </w:tc>
        <w:tc>
          <w:tcPr>
            <w:tcW w:w="4493" w:type="dxa"/>
          </w:tcPr>
          <w:p w14:paraId="33C773EF" w14:textId="77777777" w:rsidR="00943240" w:rsidRPr="00943240" w:rsidRDefault="00943240" w:rsidP="00943240">
            <w:pPr>
              <w:overflowPunct w:val="0"/>
              <w:autoSpaceDE w:val="0"/>
              <w:autoSpaceDN w:val="0"/>
              <w:adjustRightInd w:val="0"/>
              <w:spacing w:line="240" w:lineRule="auto"/>
              <w:textAlignment w:val="baseline"/>
              <w:rPr>
                <w:i/>
                <w:iCs/>
                <w:lang w:val="en-IE"/>
              </w:rPr>
            </w:pPr>
            <w:hyperlink r:id="rId26" w:history="1">
              <w:r w:rsidRPr="00943240">
                <w:rPr>
                  <w:i/>
                  <w:iCs/>
                  <w:color w:val="0000FF"/>
                  <w:u w:val="single"/>
                  <w:lang w:val="en-IE"/>
                </w:rPr>
                <w:t>Bartek.Bednarowicz@eesc.europa.eu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31E99CDC" w:rsidR="00354B98" w:rsidRPr="00354B98" w:rsidRDefault="00354B98"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lang w:val="en-GB" w:eastAsia="zh-CN"/>
        </w:rPr>
      </w:pPr>
      <w:hyperlink r:id="rId27" w:history="1">
        <w:r w:rsidRPr="00354B98">
          <w:rPr>
            <w:b/>
            <w:i/>
            <w:color w:val="0000FF"/>
            <w:sz w:val="28"/>
            <w:szCs w:val="28"/>
            <w:u w:val="single"/>
            <w:lang w:val="en-GB" w:eastAsia="zh-CN"/>
          </w:rPr>
          <w:t>Union of Equality: LGBTIQ+ Equality Strategy 2026-2030</w:t>
        </w:r>
      </w:hyperlink>
    </w:p>
    <w:p w14:paraId="0E47B1B5" w14:textId="6A335F7D" w:rsidR="00354B98" w:rsidRPr="00354B98" w:rsidRDefault="00354B98" w:rsidP="0024648D">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r w:rsidRPr="00354B98">
              <w:rPr>
                <w:b/>
                <w:lang w:val="en-GB"/>
              </w:rPr>
              <w:t>Rapporteur:</w:t>
            </w:r>
          </w:p>
        </w:tc>
        <w:tc>
          <w:tcPr>
            <w:tcW w:w="6804" w:type="dxa"/>
          </w:tcPr>
          <w:p w14:paraId="1488AC9A" w14:textId="4FE327C2" w:rsidR="00354B98" w:rsidRPr="00354B98" w:rsidRDefault="00354B98" w:rsidP="00354B98">
            <w:pPr>
              <w:tabs>
                <w:tab w:val="center" w:pos="284"/>
              </w:tabs>
              <w:overflowPunct w:val="0"/>
              <w:autoSpaceDE w:val="0"/>
              <w:autoSpaceDN w:val="0"/>
              <w:adjustRightInd w:val="0"/>
              <w:ind w:left="266" w:hanging="266"/>
              <w:textAlignment w:val="baseline"/>
            </w:pPr>
            <w:r w:rsidRPr="00354B98">
              <w:rPr>
                <w:lang w:val="fr-BE"/>
              </w:rPr>
              <w:t xml:space="preserve">Juliane Marie NEIIENDAM </w:t>
            </w:r>
            <w:r w:rsidRPr="00354B98">
              <w:t xml:space="preserve">(Civil Society </w:t>
            </w:r>
            <w:proofErr w:type="spellStart"/>
            <w:r w:rsidRPr="00354B98">
              <w:t>Organisations’</w:t>
            </w:r>
            <w:proofErr w:type="spellEnd"/>
            <w:r w:rsidRPr="00354B98">
              <w:t xml:space="preserve"> Group </w:t>
            </w:r>
            <w:r w:rsidR="00DE481E">
              <w:t>-</w:t>
            </w:r>
            <w:r w:rsidRPr="00354B98">
              <w:t xml:space="preserve">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r w:rsidRPr="00354B98">
              <w:rPr>
                <w:b/>
                <w:lang w:val="en-GB"/>
              </w:rPr>
              <w:t xml:space="preserve">Reference: </w:t>
            </w:r>
          </w:p>
        </w:tc>
        <w:tc>
          <w:tcPr>
            <w:tcW w:w="6804" w:type="dxa"/>
          </w:tcPr>
          <w:p w14:paraId="3C103592" w14:textId="3AB9767E" w:rsidR="00354B98" w:rsidRPr="00354B98" w:rsidRDefault="00354B98" w:rsidP="00354B98">
            <w:pPr>
              <w:tabs>
                <w:tab w:val="center" w:pos="284"/>
              </w:tabs>
              <w:overflowPunct w:val="0"/>
              <w:autoSpaceDE w:val="0"/>
              <w:autoSpaceDN w:val="0"/>
              <w:adjustRightInd w:val="0"/>
              <w:ind w:left="266" w:hanging="266"/>
              <w:textAlignment w:val="baseline"/>
              <w:rPr>
                <w:lang w:val="en-GB"/>
              </w:rPr>
            </w:pPr>
            <w:proofErr w:type="gramStart"/>
            <w:r w:rsidRPr="00354B98">
              <w:rPr>
                <w:lang w:val="en-GB"/>
              </w:rPr>
              <w:t>COM(</w:t>
            </w:r>
            <w:proofErr w:type="gramEnd"/>
            <w:r w:rsidRPr="00354B98">
              <w:rPr>
                <w:lang w:val="en-GB"/>
              </w:rPr>
              <w:t>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78038ED2" w:rsidR="00354B98" w:rsidRPr="00354B98" w:rsidRDefault="00354B98" w:rsidP="00354B98">
            <w:pPr>
              <w:tabs>
                <w:tab w:val="center" w:pos="284"/>
              </w:tabs>
              <w:overflowPunct w:val="0"/>
              <w:autoSpaceDE w:val="0"/>
              <w:autoSpaceDN w:val="0"/>
              <w:adjustRightInd w:val="0"/>
              <w:ind w:left="266" w:hanging="266"/>
              <w:textAlignment w:val="baseline"/>
              <w:rPr>
                <w:lang w:val="en-GB"/>
              </w:rPr>
            </w:pPr>
            <w:r w:rsidRPr="00354B98">
              <w:rPr>
                <w:lang w:val="en-GB"/>
              </w:rP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r w:rsidRPr="00354B98">
        <w:rPr>
          <w:b/>
          <w:lang w:val="en-GB"/>
        </w:rPr>
        <w:t>Key points:</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lang w:val="en-GB"/>
        </w:rPr>
      </w:pPr>
      <w:r w:rsidRPr="00354B98">
        <w:rPr>
          <w:bCs/>
          <w:iCs/>
          <w:lang w:val="en-GB"/>
        </w:rPr>
        <w:t>The EESC:</w:t>
      </w:r>
    </w:p>
    <w:p w14:paraId="326F27B0"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szCs w:val="20"/>
          <w:lang w:val="en-IE"/>
        </w:rPr>
      </w:pPr>
      <w:r w:rsidRPr="00354B98">
        <w:rPr>
          <w:szCs w:val="20"/>
          <w:lang w:val="en-IE"/>
        </w:rPr>
        <w:t xml:space="preserve">welcomes the new 2026-2030 LGBTIQ+ Equality Strategy while calling for stronger action as persistent discrimination, violence, harassment and exclusion, especially affecting trans, non-binary and intersex persons, require more robust policy </w:t>
      </w:r>
      <w:proofErr w:type="gramStart"/>
      <w:r w:rsidRPr="00354B98">
        <w:rPr>
          <w:szCs w:val="20"/>
          <w:lang w:val="en-IE"/>
        </w:rPr>
        <w:t>actions;</w:t>
      </w:r>
      <w:proofErr w:type="gramEnd"/>
      <w:r w:rsidRPr="00354B98">
        <w:rPr>
          <w:szCs w:val="20"/>
          <w:lang w:val="en-IE"/>
        </w:rPr>
        <w:t xml:space="preserve"> </w:t>
      </w:r>
    </w:p>
    <w:p w14:paraId="6D5257E3"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szCs w:val="20"/>
          <w:lang w:val="en-IE"/>
        </w:rPr>
      </w:pPr>
      <w:r w:rsidRPr="00354B98">
        <w:rPr>
          <w:szCs w:val="20"/>
          <w:lang w:val="en-IE"/>
        </w:rPr>
        <w:t xml:space="preserve">demands stronger enforcement and accountability through binding benchmarks, systematic infringement procedures, rule-of-law conditionality and implementation of national LGBTIQ+ </w:t>
      </w:r>
      <w:proofErr w:type="gramStart"/>
      <w:r w:rsidRPr="00354B98">
        <w:rPr>
          <w:szCs w:val="20"/>
          <w:lang w:val="en-IE"/>
        </w:rPr>
        <w:t>strategies;</w:t>
      </w:r>
      <w:proofErr w:type="gramEnd"/>
      <w:r w:rsidRPr="00354B98">
        <w:rPr>
          <w:szCs w:val="20"/>
          <w:lang w:val="en-IE"/>
        </w:rPr>
        <w:t xml:space="preserve"> </w:t>
      </w:r>
    </w:p>
    <w:p w14:paraId="0B028E36"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szCs w:val="20"/>
          <w:lang w:val="en-IE"/>
        </w:rPr>
      </w:pPr>
      <w:r w:rsidRPr="00354B98">
        <w:rPr>
          <w:szCs w:val="20"/>
          <w:lang w:val="en-IE"/>
        </w:rPr>
        <w:t xml:space="preserve">calls for decisive action to protect fundamental rights and civic space by countering backlash, disinformation and hate speech, and ensuring sustained support for civil </w:t>
      </w:r>
      <w:proofErr w:type="gramStart"/>
      <w:r w:rsidRPr="00354B98">
        <w:rPr>
          <w:szCs w:val="20"/>
          <w:lang w:val="en-IE"/>
        </w:rPr>
        <w:t>society;</w:t>
      </w:r>
      <w:proofErr w:type="gramEnd"/>
      <w:r w:rsidRPr="00354B98">
        <w:rPr>
          <w:szCs w:val="20"/>
          <w:lang w:val="en-IE"/>
        </w:rPr>
        <w:t xml:space="preserve"> </w:t>
      </w:r>
    </w:p>
    <w:p w14:paraId="7C167313"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szCs w:val="20"/>
          <w:lang w:val="en-IE"/>
        </w:rPr>
      </w:pPr>
      <w:r w:rsidRPr="00354B98">
        <w:rPr>
          <w:szCs w:val="20"/>
          <w:lang w:val="en-IE"/>
        </w:rPr>
        <w:t xml:space="preserve">urges full equality in everyday life by guaranteeing inclusive access to healthcare, education and employment by strengthening workplace </w:t>
      </w:r>
      <w:proofErr w:type="gramStart"/>
      <w:r w:rsidRPr="00354B98">
        <w:rPr>
          <w:szCs w:val="20"/>
          <w:lang w:val="en-IE"/>
        </w:rPr>
        <w:t>inclusion;</w:t>
      </w:r>
      <w:proofErr w:type="gramEnd"/>
    </w:p>
    <w:p w14:paraId="0449885B"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szCs w:val="20"/>
          <w:lang w:val="en-IE"/>
        </w:rPr>
      </w:pPr>
      <w:r w:rsidRPr="00354B98">
        <w:rPr>
          <w:szCs w:val="20"/>
          <w:lang w:val="en-IE"/>
        </w:rPr>
        <w:t xml:space="preserve">calls on the European Commission to propose a legally binding EU-wide ban on conversion practices, covering both the conduct and the advertisement of such activities, by including conversion practices as ‘EU crimes’ and to recognise them as hate crimes to ensure a uniform level of protection across the </w:t>
      </w:r>
      <w:proofErr w:type="gramStart"/>
      <w:r w:rsidRPr="00354B98">
        <w:rPr>
          <w:szCs w:val="20"/>
          <w:lang w:val="en-IE"/>
        </w:rPr>
        <w:t>EU;</w:t>
      </w:r>
      <w:proofErr w:type="gramEnd"/>
    </w:p>
    <w:p w14:paraId="1400C6A1"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szCs w:val="20"/>
          <w:lang w:val="en-IE"/>
        </w:rPr>
      </w:pPr>
      <w:r w:rsidRPr="00354B98">
        <w:rPr>
          <w:szCs w:val="20"/>
          <w:lang w:val="en-IE"/>
        </w:rPr>
        <w:t xml:space="preserve">calls for tackling structural inequalities by embedding LGBTIQ+ equality in social inclusion, housing and anti-poverty policies, with targeted support for those facing intersectional </w:t>
      </w:r>
      <w:proofErr w:type="gramStart"/>
      <w:r w:rsidRPr="00354B98">
        <w:rPr>
          <w:szCs w:val="20"/>
          <w:lang w:val="en-IE"/>
        </w:rPr>
        <w:t>discrimination;</w:t>
      </w:r>
      <w:proofErr w:type="gramEnd"/>
    </w:p>
    <w:p w14:paraId="7CD0D179" w14:textId="77777777" w:rsidR="00354B98" w:rsidRPr="00354B98" w:rsidRDefault="00354B98" w:rsidP="0024648D">
      <w:pPr>
        <w:widowControl w:val="0"/>
        <w:numPr>
          <w:ilvl w:val="0"/>
          <w:numId w:val="24"/>
        </w:numPr>
        <w:overflowPunct w:val="0"/>
        <w:autoSpaceDE w:val="0"/>
        <w:autoSpaceDN w:val="0"/>
        <w:adjustRightInd w:val="0"/>
        <w:ind w:left="284" w:hanging="284"/>
        <w:textAlignment w:val="baseline"/>
        <w:rPr>
          <w:rFonts w:asciiTheme="minorHAnsi" w:hAnsiTheme="minorHAnsi"/>
          <w:szCs w:val="20"/>
          <w:lang w:val="en-GB"/>
        </w:rPr>
      </w:pPr>
      <w:r w:rsidRPr="00354B98">
        <w:rPr>
          <w:szCs w:val="20"/>
          <w:lang w:val="en-IE"/>
        </w:rPr>
        <w:t>demands future-proof and rights-based frameworks by closing legal gaps, ensuring self-determined gender recognition, strengthening access to justice, securing adequate funding for civil society organisations, improving intersectional data and safeguarding equality in digital technologies and AI.</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lang w:val="en-GB"/>
              </w:rPr>
            </w:pPr>
            <w:r w:rsidRPr="00354B98">
              <w:rPr>
                <w:b/>
                <w:i/>
                <w:lang w:val="en-GB"/>
              </w:rPr>
              <w:t>Contact:</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lang w:val="en-GB"/>
              </w:rPr>
            </w:pPr>
            <w:r w:rsidRPr="00354B98">
              <w:rPr>
                <w:i/>
                <w:lang w:val="en-GB"/>
              </w:rPr>
              <w:t>Bartek B</w:t>
            </w:r>
            <w:r w:rsidR="00755E1E" w:rsidRPr="00354B98">
              <w:rPr>
                <w:i/>
                <w:lang w:val="en-GB"/>
              </w:rPr>
              <w:t>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lang w:val="en-GB"/>
              </w:rPr>
            </w:pPr>
            <w:r w:rsidRPr="00354B98">
              <w:rPr>
                <w:i/>
                <w:lang w:val="en-GB"/>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lang w:val="en-GB"/>
              </w:rPr>
            </w:pPr>
            <w:r w:rsidRPr="00354B98">
              <w:rPr>
                <w:i/>
                <w:lang w:val="en-GB"/>
              </w:rPr>
              <w:t>+32 25469229</w:t>
            </w:r>
          </w:p>
        </w:tc>
      </w:tr>
      <w:tr w:rsidR="00354B98" w:rsidRPr="00354B98" w14:paraId="07F9D924" w14:textId="77777777" w:rsidTr="002E7EFB">
        <w:tc>
          <w:tcPr>
            <w:tcW w:w="1418" w:type="dxa"/>
          </w:tcPr>
          <w:p w14:paraId="5F74FBF9" w14:textId="3B8B0055" w:rsidR="00354B98" w:rsidRPr="00354B98" w:rsidRDefault="00755E1E" w:rsidP="00354B98">
            <w:pPr>
              <w:overflowPunct w:val="0"/>
              <w:autoSpaceDE w:val="0"/>
              <w:autoSpaceDN w:val="0"/>
              <w:adjustRightInd w:val="0"/>
              <w:spacing w:line="240" w:lineRule="auto"/>
              <w:textAlignment w:val="baseline"/>
              <w:rPr>
                <w:i/>
                <w:lang w:val="en-GB"/>
              </w:rPr>
            </w:pPr>
            <w:r>
              <w:rPr>
                <w:i/>
                <w:lang w:val="en-GB"/>
              </w:rPr>
              <w:t>E</w:t>
            </w:r>
            <w:r w:rsidR="00354B98" w:rsidRPr="00354B98">
              <w:rPr>
                <w:i/>
                <w:lang w:val="en-GB"/>
              </w:rPr>
              <w:t>mail:</w:t>
            </w:r>
          </w:p>
        </w:tc>
        <w:tc>
          <w:tcPr>
            <w:tcW w:w="5670" w:type="dxa"/>
          </w:tcPr>
          <w:p w14:paraId="25F375C5" w14:textId="77777777" w:rsidR="00354B98" w:rsidRPr="00354B98" w:rsidRDefault="00354B98" w:rsidP="00354B98">
            <w:pPr>
              <w:overflowPunct w:val="0"/>
              <w:autoSpaceDE w:val="0"/>
              <w:autoSpaceDN w:val="0"/>
              <w:adjustRightInd w:val="0"/>
              <w:spacing w:line="240" w:lineRule="auto"/>
              <w:textAlignment w:val="baseline"/>
              <w:rPr>
                <w:i/>
                <w:iCs/>
                <w:lang w:val="en-GB"/>
              </w:rPr>
            </w:pPr>
            <w:hyperlink r:id="rId28" w:history="1">
              <w:r w:rsidRPr="00354B98">
                <w:rPr>
                  <w:i/>
                  <w:iCs/>
                  <w:color w:val="0000FF"/>
                  <w:u w:val="single"/>
                  <w:lang w:val="en-GB"/>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5E988209" w:rsidR="005D43B9" w:rsidRPr="005D43B9" w:rsidRDefault="005D43B9"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sidRPr="005D43B9">
          <w:rPr>
            <w:b/>
            <w:bCs/>
            <w:i/>
            <w:iCs/>
            <w:color w:val="0000FF"/>
            <w:sz w:val="28"/>
            <w:szCs w:val="28"/>
            <w:u w:val="single"/>
            <w:lang w:val="en-GB"/>
          </w:rPr>
          <w:t>EU Competitiveness and Youth Entrepreneurship</w:t>
        </w:r>
      </w:hyperlink>
    </w:p>
    <w:p w14:paraId="3A2C24D1" w14:textId="77777777" w:rsidR="005D43B9" w:rsidRPr="005D43B9" w:rsidRDefault="005D43B9" w:rsidP="0024648D">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24648D">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sidRPr="005D43B9">
              <w:rPr>
                <w:b/>
              </w:rPr>
              <w:t>Rapporteur</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1BC18636" w:rsidR="005D43B9" w:rsidRPr="005D43B9" w:rsidRDefault="005D43B9" w:rsidP="005D43B9">
            <w:pPr>
              <w:overflowPunct w:val="0"/>
              <w:autoSpaceDE w:val="0"/>
              <w:autoSpaceDN w:val="0"/>
              <w:adjustRightInd w:val="0"/>
              <w:spacing w:line="240" w:lineRule="auto"/>
              <w:ind w:left="567" w:hanging="567"/>
              <w:textAlignment w:val="baseline"/>
            </w:pPr>
            <w:r w:rsidRPr="005D43B9">
              <w:t xml:space="preserve">Giuseppe GUERINI (Civil Society </w:t>
            </w:r>
            <w:proofErr w:type="spellStart"/>
            <w:r w:rsidRPr="005D43B9">
              <w:t>Organisations'</w:t>
            </w:r>
            <w:proofErr w:type="spellEnd"/>
            <w:r w:rsidRPr="005D43B9">
              <w:t xml:space="preserve"> Group </w:t>
            </w:r>
            <w:r w:rsidR="004A4B18">
              <w:t>-</w:t>
            </w:r>
            <w:r w:rsidRPr="005D43B9">
              <w:t xml:space="preserve"> IT)</w:t>
            </w:r>
          </w:p>
        </w:tc>
      </w:tr>
      <w:tr w:rsidR="005D43B9" w:rsidRPr="005D43B9" w14:paraId="118E6E00" w14:textId="77777777" w:rsidTr="0024648D">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sidRPr="005D43B9">
              <w:rPr>
                <w:b/>
              </w:rPr>
              <w:t>References</w:t>
            </w:r>
          </w:p>
        </w:tc>
        <w:tc>
          <w:tcPr>
            <w:tcW w:w="6663" w:type="dxa"/>
          </w:tcPr>
          <w:p w14:paraId="2EF0047D" w14:textId="66FB81B3" w:rsidR="004A4B18" w:rsidRPr="0024648D" w:rsidRDefault="005E01B5" w:rsidP="005D43B9">
            <w:pPr>
              <w:tabs>
                <w:tab w:val="center" w:pos="284"/>
              </w:tabs>
              <w:overflowPunct w:val="0"/>
              <w:autoSpaceDE w:val="0"/>
              <w:autoSpaceDN w:val="0"/>
              <w:adjustRightInd w:val="0"/>
              <w:spacing w:line="240" w:lineRule="auto"/>
              <w:ind w:left="567" w:hanging="567"/>
              <w:textAlignment w:val="baseline"/>
              <w:rPr>
                <w:lang w:val="en-GB"/>
              </w:rPr>
            </w:pPr>
            <w:r w:rsidRPr="0024648D">
              <w:rPr>
                <w:lang w:val="en-GB"/>
              </w:rPr>
              <w:t>Exploratory opinion requested by the Cyprus Presidency of the Council of the EU</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lang w:val="pt-PT"/>
              </w:rPr>
            </w:pPr>
            <w:r w:rsidRPr="005D43B9">
              <w:rPr>
                <w:lang w:val="pt-PT"/>
              </w:rPr>
              <w:t>EESC-2025-04305-00-00-AC</w:t>
            </w:r>
          </w:p>
        </w:tc>
      </w:tr>
      <w:tr w:rsidR="005D43B9" w:rsidRPr="005D43B9" w14:paraId="2A0968A0" w14:textId="77777777" w:rsidTr="0024648D">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lang w:val="en-GB"/>
        </w:rPr>
      </w:pPr>
      <w:r w:rsidRPr="005D43B9">
        <w:rPr>
          <w:b/>
          <w:lang w:val="en-GB"/>
        </w:rPr>
        <w:t>Key points</w:t>
      </w:r>
    </w:p>
    <w:p w14:paraId="7EFCF6F9" w14:textId="77777777" w:rsidR="00CC2C7F" w:rsidRDefault="00CC2C7F" w:rsidP="00CC2C7F">
      <w:pPr>
        <w:spacing w:line="240" w:lineRule="auto"/>
        <w:rPr>
          <w:sz w:val="24"/>
          <w:szCs w:val="24"/>
          <w:lang w:val="fr-BE" w:eastAsia="fr-BE"/>
        </w:rPr>
      </w:pPr>
    </w:p>
    <w:p w14:paraId="79AD68CC" w14:textId="17DC718D" w:rsidR="005D43B9" w:rsidRPr="005D43B9" w:rsidRDefault="005D43B9" w:rsidP="00CC2C7F">
      <w:pPr>
        <w:overflowPunct w:val="0"/>
        <w:autoSpaceDE w:val="0"/>
        <w:autoSpaceDN w:val="0"/>
        <w:adjustRightInd w:val="0"/>
        <w:textAlignment w:val="baseline"/>
        <w:rPr>
          <w:sz w:val="24"/>
          <w:szCs w:val="24"/>
          <w:lang w:val="fr-BE" w:eastAsia="fr-BE"/>
        </w:rPr>
      </w:pPr>
      <w:r w:rsidRPr="005D43B9">
        <w:rPr>
          <w:sz w:val="24"/>
          <w:szCs w:val="24"/>
          <w:lang w:val="fr-BE" w:eastAsia="fr-BE"/>
        </w:rPr>
        <w:t xml:space="preserve">The </w:t>
      </w:r>
      <w:proofErr w:type="gramStart"/>
      <w:r w:rsidRPr="00CC2C7F">
        <w:rPr>
          <w:bCs/>
          <w:iCs/>
          <w:lang w:val="en-GB"/>
        </w:rPr>
        <w:t>EESC</w:t>
      </w:r>
      <w:r w:rsidRPr="005D43B9">
        <w:rPr>
          <w:sz w:val="24"/>
          <w:szCs w:val="24"/>
          <w:lang w:val="fr-BE" w:eastAsia="fr-BE"/>
        </w:rPr>
        <w:t>:</w:t>
      </w:r>
      <w:proofErr w:type="gramEnd"/>
    </w:p>
    <w:p w14:paraId="0C9A4C87" w14:textId="77777777" w:rsidR="005D43B9" w:rsidRPr="005D43B9" w:rsidRDefault="005D43B9" w:rsidP="0024648D">
      <w:pPr>
        <w:numPr>
          <w:ilvl w:val="0"/>
          <w:numId w:val="25"/>
        </w:numPr>
        <w:overflowPunct w:val="0"/>
        <w:autoSpaceDE w:val="0"/>
        <w:autoSpaceDN w:val="0"/>
        <w:adjustRightInd w:val="0"/>
        <w:textAlignment w:val="baseline"/>
        <w:outlineLvl w:val="1"/>
        <w:rPr>
          <w:szCs w:val="20"/>
          <w:lang w:val="en-GB"/>
        </w:rPr>
      </w:pPr>
      <w:bookmarkStart w:id="10" w:name="_Toc228805424"/>
      <w:r w:rsidRPr="005D43B9">
        <w:rPr>
          <w:szCs w:val="20"/>
          <w:lang w:val="en-GB"/>
        </w:rPr>
        <w:t xml:space="preserve">demands a comprehensive and coordinated EU and Member State strategy that delivers an integrated support package for young entrepreneurs, combining accessible financing, tailored training, mentoring, coaching, incubation and strong local ecosystems to maximise business creation and </w:t>
      </w:r>
      <w:proofErr w:type="gramStart"/>
      <w:r w:rsidRPr="005D43B9">
        <w:rPr>
          <w:szCs w:val="20"/>
          <w:lang w:val="en-GB"/>
        </w:rPr>
        <w:t>sustainability;</w:t>
      </w:r>
      <w:bookmarkEnd w:id="10"/>
      <w:proofErr w:type="gramEnd"/>
    </w:p>
    <w:p w14:paraId="1676989C" w14:textId="77777777" w:rsidR="005D43B9" w:rsidRPr="005D43B9" w:rsidRDefault="005D43B9" w:rsidP="0024648D">
      <w:pPr>
        <w:numPr>
          <w:ilvl w:val="0"/>
          <w:numId w:val="25"/>
        </w:numPr>
        <w:overflowPunct w:val="0"/>
        <w:autoSpaceDE w:val="0"/>
        <w:autoSpaceDN w:val="0"/>
        <w:adjustRightInd w:val="0"/>
        <w:textAlignment w:val="baseline"/>
        <w:outlineLvl w:val="1"/>
        <w:rPr>
          <w:szCs w:val="20"/>
          <w:lang w:val="en-GB"/>
        </w:rPr>
      </w:pPr>
      <w:bookmarkStart w:id="11" w:name="_Toc228805425"/>
      <w:r w:rsidRPr="005D43B9">
        <w:rPr>
          <w:szCs w:val="20"/>
          <w:lang w:val="en-GB"/>
        </w:rPr>
        <w:t xml:space="preserve">calls for a step change in access to finance by expanding youth-tailored funding instruments beyond traditional bank lending, including microfinance, alternative capital, and targeted support for social economy enterprises and other impact-driven </w:t>
      </w:r>
      <w:proofErr w:type="gramStart"/>
      <w:r w:rsidRPr="005D43B9">
        <w:rPr>
          <w:szCs w:val="20"/>
          <w:lang w:val="en-GB"/>
        </w:rPr>
        <w:t>models;</w:t>
      </w:r>
      <w:bookmarkEnd w:id="11"/>
      <w:proofErr w:type="gramEnd"/>
    </w:p>
    <w:p w14:paraId="5EC949AC" w14:textId="77777777" w:rsidR="005D43B9" w:rsidRPr="005D43B9" w:rsidRDefault="005D43B9" w:rsidP="0024648D">
      <w:pPr>
        <w:numPr>
          <w:ilvl w:val="0"/>
          <w:numId w:val="25"/>
        </w:numPr>
        <w:overflowPunct w:val="0"/>
        <w:autoSpaceDE w:val="0"/>
        <w:autoSpaceDN w:val="0"/>
        <w:adjustRightInd w:val="0"/>
        <w:textAlignment w:val="baseline"/>
        <w:outlineLvl w:val="1"/>
        <w:rPr>
          <w:szCs w:val="20"/>
          <w:lang w:val="en-GB"/>
        </w:rPr>
      </w:pPr>
      <w:bookmarkStart w:id="12" w:name="_Toc228805426"/>
      <w:r w:rsidRPr="005D43B9">
        <w:rPr>
          <w:szCs w:val="20"/>
          <w:lang w:val="en-GB"/>
        </w:rPr>
        <w:t xml:space="preserve">urges decisive simplification of administrative and regulatory frameworks at EU, national and local levels to reduce red tape, lower compliance costs and create a stable, business-friendly environment for young </w:t>
      </w:r>
      <w:proofErr w:type="gramStart"/>
      <w:r w:rsidRPr="005D43B9">
        <w:rPr>
          <w:szCs w:val="20"/>
          <w:lang w:val="en-GB"/>
        </w:rPr>
        <w:t>entrepreneurs;</w:t>
      </w:r>
      <w:bookmarkEnd w:id="12"/>
      <w:proofErr w:type="gramEnd"/>
    </w:p>
    <w:p w14:paraId="6B1C43BE" w14:textId="77777777" w:rsidR="005D43B9" w:rsidRPr="005D43B9" w:rsidRDefault="005D43B9" w:rsidP="0024648D">
      <w:pPr>
        <w:numPr>
          <w:ilvl w:val="0"/>
          <w:numId w:val="25"/>
        </w:numPr>
        <w:overflowPunct w:val="0"/>
        <w:autoSpaceDE w:val="0"/>
        <w:autoSpaceDN w:val="0"/>
        <w:adjustRightInd w:val="0"/>
        <w:textAlignment w:val="baseline"/>
        <w:outlineLvl w:val="1"/>
        <w:rPr>
          <w:szCs w:val="20"/>
          <w:lang w:val="en-GB"/>
        </w:rPr>
      </w:pPr>
      <w:bookmarkStart w:id="13" w:name="_Toc228805427"/>
      <w:r w:rsidRPr="005D43B9">
        <w:rPr>
          <w:szCs w:val="20"/>
          <w:lang w:val="en-GB"/>
        </w:rPr>
        <w:t xml:space="preserve">recommends embedding entrepreneurship education, financial literacy and entrepreneurial mindsets across all education and training systems, particularly vocational and dual pathways, while strengthening digital and advanced skills, including AI, to prepare young people for future </w:t>
      </w:r>
      <w:proofErr w:type="gramStart"/>
      <w:r w:rsidRPr="005D43B9">
        <w:rPr>
          <w:szCs w:val="20"/>
          <w:lang w:val="en-GB"/>
        </w:rPr>
        <w:t>markets;</w:t>
      </w:r>
      <w:bookmarkEnd w:id="13"/>
      <w:proofErr w:type="gramEnd"/>
    </w:p>
    <w:p w14:paraId="365FBE52" w14:textId="77777777" w:rsidR="005D43B9" w:rsidRPr="005D43B9" w:rsidRDefault="005D43B9" w:rsidP="0024648D">
      <w:pPr>
        <w:numPr>
          <w:ilvl w:val="0"/>
          <w:numId w:val="25"/>
        </w:numPr>
        <w:overflowPunct w:val="0"/>
        <w:autoSpaceDE w:val="0"/>
        <w:autoSpaceDN w:val="0"/>
        <w:adjustRightInd w:val="0"/>
        <w:textAlignment w:val="baseline"/>
        <w:outlineLvl w:val="1"/>
        <w:rPr>
          <w:szCs w:val="20"/>
          <w:lang w:val="en-GB"/>
        </w:rPr>
      </w:pPr>
      <w:bookmarkStart w:id="14" w:name="_Toc228805428"/>
      <w:r w:rsidRPr="005D43B9">
        <w:rPr>
          <w:szCs w:val="20"/>
          <w:lang w:val="en-GB"/>
        </w:rPr>
        <w:t xml:space="preserve">calls for stronger support ecosystems through mentoring, sponsorship, networking and internationalisation opportunities, including mobility schemes and access to cross-border markets, to enhance innovation, scalability and </w:t>
      </w:r>
      <w:proofErr w:type="gramStart"/>
      <w:r w:rsidRPr="005D43B9">
        <w:rPr>
          <w:szCs w:val="20"/>
          <w:lang w:val="en-GB"/>
        </w:rPr>
        <w:t>competitiveness;</w:t>
      </w:r>
      <w:bookmarkEnd w:id="14"/>
      <w:proofErr w:type="gramEnd"/>
    </w:p>
    <w:p w14:paraId="121511A7" w14:textId="77777777" w:rsidR="005D43B9" w:rsidRPr="005D43B9" w:rsidRDefault="005D43B9" w:rsidP="0024648D">
      <w:pPr>
        <w:numPr>
          <w:ilvl w:val="0"/>
          <w:numId w:val="25"/>
        </w:numPr>
        <w:overflowPunct w:val="0"/>
        <w:autoSpaceDE w:val="0"/>
        <w:autoSpaceDN w:val="0"/>
        <w:adjustRightInd w:val="0"/>
        <w:textAlignment w:val="baseline"/>
        <w:outlineLvl w:val="1"/>
        <w:rPr>
          <w:szCs w:val="20"/>
          <w:lang w:val="en-GB"/>
        </w:rPr>
      </w:pPr>
      <w:bookmarkStart w:id="15" w:name="_Toc228805429"/>
      <w:r w:rsidRPr="005D43B9">
        <w:rPr>
          <w:szCs w:val="20"/>
          <w:lang w:val="en-GB"/>
        </w:rPr>
        <w:t>urges inclusive and sustainable entrepreneurship policies that close gaps for underrepresented groups, promote a “second chance” culture, ensure adequate social protection, and position youth entrepreneurship as a voluntary but strategic pathway for resilient labour markets and long-term EU competitiveness.</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lang w:val="en-GB"/>
              </w:rPr>
            </w:pPr>
            <w:r w:rsidRPr="005D43B9">
              <w:rPr>
                <w:i/>
                <w:iCs/>
              </w:rPr>
              <w:t>Contact</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lang w:val="en-GB"/>
              </w:rPr>
            </w:pPr>
            <w:r w:rsidRPr="005D43B9">
              <w:rPr>
                <w:i/>
                <w:iCs/>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lang w:val="en-GB"/>
              </w:rPr>
            </w:pPr>
            <w:r w:rsidRPr="005D43B9">
              <w:rPr>
                <w:i/>
                <w:iCs/>
              </w:rPr>
              <w:t>Tel.</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lang w:val="en-GB"/>
              </w:rPr>
            </w:pPr>
            <w:r w:rsidRPr="005D43B9">
              <w:rPr>
                <w:i/>
                <w:iCs/>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lang w:val="en-GB"/>
              </w:rPr>
            </w:pPr>
            <w:r w:rsidRPr="005D43B9">
              <w:rPr>
                <w:i/>
                <w:iCs/>
              </w:rPr>
              <w:t>Email</w:t>
            </w:r>
          </w:p>
        </w:tc>
        <w:tc>
          <w:tcPr>
            <w:tcW w:w="7371" w:type="dxa"/>
          </w:tcPr>
          <w:p w14:paraId="22B77F87" w14:textId="77777777" w:rsidR="005D43B9" w:rsidRPr="005D43B9" w:rsidRDefault="005D43B9" w:rsidP="005D43B9">
            <w:pPr>
              <w:overflowPunct w:val="0"/>
              <w:autoSpaceDE w:val="0"/>
              <w:autoSpaceDN w:val="0"/>
              <w:adjustRightInd w:val="0"/>
              <w:textAlignment w:val="baseline"/>
              <w:rPr>
                <w:i/>
                <w:iCs/>
                <w:lang w:val="en-GB"/>
              </w:rPr>
            </w:pPr>
            <w:hyperlink r:id="rId30" w:history="1">
              <w:r w:rsidRPr="005D43B9">
                <w:rPr>
                  <w:i/>
                  <w:iCs/>
                  <w:color w:val="0000FF"/>
                  <w:u w:val="single"/>
                  <w:lang w:val="en-GB"/>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6A469184" w:rsidR="001A42F8" w:rsidRPr="001A42F8" w:rsidRDefault="001A42F8"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sidRPr="001A42F8">
          <w:rPr>
            <w:b/>
            <w:bCs/>
            <w:i/>
            <w:iCs/>
            <w:color w:val="0000FF"/>
            <w:sz w:val="28"/>
            <w:szCs w:val="28"/>
            <w:u w:val="single"/>
            <w:lang w:val="en-GB"/>
          </w:rPr>
          <w:t>EU Drugs Strategy</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24648D">
        <w:tc>
          <w:tcPr>
            <w:tcW w:w="1701" w:type="dxa"/>
          </w:tcPr>
          <w:p w14:paraId="639EA8AB"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sidRPr="001A42F8">
              <w:rPr>
                <w:b/>
              </w:rPr>
              <w:t>Rapporteur</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24648D">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rsidRPr="001A42F8">
              <w:t xml:space="preserve">Diego DUTTO (Civil Society </w:t>
            </w:r>
            <w:proofErr w:type="spellStart"/>
            <w:r w:rsidRPr="001A42F8">
              <w:t>Organisations</w:t>
            </w:r>
            <w:r w:rsidR="00556299">
              <w:t>'</w:t>
            </w:r>
            <w:proofErr w:type="spellEnd"/>
            <w:r w:rsidRPr="001A42F8">
              <w:t xml:space="preserve"> Group - IT)</w:t>
            </w:r>
          </w:p>
        </w:tc>
      </w:tr>
      <w:tr w:rsidR="001A42F8" w:rsidRPr="0024648D" w14:paraId="090EED85" w14:textId="77777777" w:rsidTr="0024648D">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sidRPr="001A42F8">
              <w:rPr>
                <w:b/>
              </w:rPr>
              <w:t>References</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rPr>
                <w:lang w:val="pt-PT"/>
              </w:rPr>
            </w:pPr>
            <w:proofErr w:type="gramStart"/>
            <w:r>
              <w:rPr>
                <w:lang w:val="pt-PT"/>
              </w:rPr>
              <w:t>COM(</w:t>
            </w:r>
            <w:proofErr w:type="gramEnd"/>
            <w:r>
              <w:rPr>
                <w:lang w:val="pt-PT"/>
              </w:rPr>
              <w:t>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rPr>
                <w:lang w:val="pt-PT"/>
              </w:rPr>
            </w:pPr>
            <w:proofErr w:type="gramStart"/>
            <w:r>
              <w:rPr>
                <w:lang w:val="pt-PT"/>
              </w:rPr>
              <w:t>COM(</w:t>
            </w:r>
            <w:proofErr w:type="gramEnd"/>
            <w:r>
              <w:rPr>
                <w:lang w:val="pt-PT"/>
              </w:rPr>
              <w:t>2025 744 final</w:t>
            </w:r>
          </w:p>
          <w:p w14:paraId="1847798E" w14:textId="3049753B" w:rsidR="001A42F8" w:rsidRPr="001A42F8" w:rsidRDefault="001A42F8" w:rsidP="001A42F8">
            <w:pPr>
              <w:tabs>
                <w:tab w:val="center" w:pos="284"/>
              </w:tabs>
              <w:overflowPunct w:val="0"/>
              <w:autoSpaceDE w:val="0"/>
              <w:autoSpaceDN w:val="0"/>
              <w:adjustRightInd w:val="0"/>
              <w:ind w:left="567" w:hanging="567"/>
              <w:textAlignment w:val="baseline"/>
              <w:rPr>
                <w:lang w:val="pt-PT"/>
              </w:rPr>
            </w:pPr>
            <w:r w:rsidRPr="001A42F8">
              <w:rPr>
                <w:lang w:val="pt-PT"/>
              </w:rPr>
              <w:t>EESC-2026-00238-00-00-AC</w:t>
            </w:r>
          </w:p>
        </w:tc>
      </w:tr>
      <w:tr w:rsidR="001A42F8" w:rsidRPr="0024648D" w14:paraId="5C11C504" w14:textId="77777777" w:rsidTr="0024648D">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lang w:val="en-GB"/>
        </w:rPr>
      </w:pPr>
      <w:r w:rsidRPr="001A42F8">
        <w:rPr>
          <w:b/>
          <w:lang w:val="en-GB"/>
        </w:rPr>
        <w:t>Key points</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CC2C7F" w:rsidRDefault="001A42F8" w:rsidP="00CC2C7F">
      <w:pPr>
        <w:overflowPunct w:val="0"/>
        <w:autoSpaceDE w:val="0"/>
        <w:autoSpaceDN w:val="0"/>
        <w:adjustRightInd w:val="0"/>
        <w:textAlignment w:val="baseline"/>
        <w:rPr>
          <w:sz w:val="24"/>
          <w:szCs w:val="24"/>
          <w:lang w:val="fr-BE" w:eastAsia="fr-BE"/>
        </w:rPr>
      </w:pPr>
      <w:r w:rsidRPr="00CC2C7F">
        <w:rPr>
          <w:sz w:val="24"/>
          <w:szCs w:val="24"/>
          <w:lang w:val="fr-BE" w:eastAsia="fr-BE"/>
        </w:rPr>
        <w:t xml:space="preserve">The </w:t>
      </w:r>
      <w:proofErr w:type="gramStart"/>
      <w:r w:rsidRPr="00CC2C7F">
        <w:rPr>
          <w:sz w:val="24"/>
          <w:szCs w:val="24"/>
          <w:lang w:val="fr-BE" w:eastAsia="fr-BE"/>
        </w:rPr>
        <w:t>EESC:</w:t>
      </w:r>
      <w:proofErr w:type="gramEnd"/>
    </w:p>
    <w:p w14:paraId="6436B95C"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stresses that the effectiveness of the EU strategy will depend on its ability to anticipate trends. It recommends that the Commission go beyond reactive indicators (drug seizures and deaths), and provide for structural, mandatory support for standardised monitoring </w:t>
      </w:r>
      <w:proofErr w:type="gramStart"/>
      <w:r w:rsidRPr="001A42F8">
        <w:rPr>
          <w:lang w:val="en-GB" w:eastAsia="fr-BE"/>
        </w:rPr>
        <w:t>systems;</w:t>
      </w:r>
      <w:proofErr w:type="gramEnd"/>
    </w:p>
    <w:p w14:paraId="2271E454"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notes with concern that the strategy is somewhat skewed towards focusing on traditional illegal substances. Young people are moving towards the off-label use of legal drugs. The EESC therefore recommends introducing EU guidelines for monitoring the prescribing of drugs, and launching specific awareness campaigns on the risk of becoming addicted to legal psychoactive </w:t>
      </w:r>
      <w:proofErr w:type="gramStart"/>
      <w:r w:rsidRPr="001A42F8">
        <w:rPr>
          <w:lang w:val="en-GB" w:eastAsia="fr-BE"/>
        </w:rPr>
        <w:t>drugs;</w:t>
      </w:r>
      <w:proofErr w:type="gramEnd"/>
    </w:p>
    <w:p w14:paraId="06511F32"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recommends rigorous monitoring of the prevalence of opioid painkillers. Efforts must be made to prevent a section of society – that does not appear to be at risk – from becoming addicted to these substances, obtained through legal </w:t>
      </w:r>
      <w:proofErr w:type="gramStart"/>
      <w:r w:rsidRPr="001A42F8">
        <w:rPr>
          <w:lang w:val="en-GB" w:eastAsia="fr-BE"/>
        </w:rPr>
        <w:t>channels;</w:t>
      </w:r>
      <w:proofErr w:type="gramEnd"/>
    </w:p>
    <w:p w14:paraId="712668E0"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notes that EU protocols on </w:t>
      </w:r>
      <w:r w:rsidRPr="001A42F8">
        <w:rPr>
          <w:bCs/>
          <w:lang w:val="en-GB" w:eastAsia="fr-BE"/>
        </w:rPr>
        <w:t>early intervention</w:t>
      </w:r>
      <w:r w:rsidRPr="001A42F8">
        <w:rPr>
          <w:lang w:val="en-GB" w:eastAsia="fr-BE"/>
        </w:rPr>
        <w:t xml:space="preserve"> should be developed to support social and health services in detecting new users at an early stage of drug </w:t>
      </w:r>
      <w:proofErr w:type="gramStart"/>
      <w:r w:rsidRPr="001A42F8">
        <w:rPr>
          <w:lang w:val="en-GB" w:eastAsia="fr-BE"/>
        </w:rPr>
        <w:t>use;</w:t>
      </w:r>
      <w:proofErr w:type="gramEnd"/>
    </w:p>
    <w:p w14:paraId="69923D8D"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recommends establishing specific key performance indicators (KPIs) to assess the effectiveness of the prevention policies, whereby success would be measured not only in terms of drug seizures, but also in relation to reductions in new addictions and the effectiveness of reintegration </w:t>
      </w:r>
      <w:proofErr w:type="gramStart"/>
      <w:r w:rsidRPr="001A42F8">
        <w:rPr>
          <w:lang w:val="en-GB" w:eastAsia="fr-BE"/>
        </w:rPr>
        <w:t>pathways;</w:t>
      </w:r>
      <w:proofErr w:type="gramEnd"/>
    </w:p>
    <w:p w14:paraId="2A5044E2"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reiterates that the fight against drug trafficking cannot be separated from a robust public health </w:t>
      </w:r>
      <w:proofErr w:type="gramStart"/>
      <w:r w:rsidRPr="001A42F8">
        <w:rPr>
          <w:lang w:val="en-GB" w:eastAsia="fr-BE"/>
        </w:rPr>
        <w:t>policy;</w:t>
      </w:r>
      <w:proofErr w:type="gramEnd"/>
    </w:p>
    <w:p w14:paraId="646F52D6"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notes that the action plan focuses almost exclusively on securing physical (ports, logistics centres) and digital infrastructure, neglecting the </w:t>
      </w:r>
      <w:r w:rsidRPr="001A42F8">
        <w:rPr>
          <w:bCs/>
          <w:lang w:val="en-GB" w:eastAsia="fr-BE"/>
        </w:rPr>
        <w:t xml:space="preserve">community </w:t>
      </w:r>
      <w:proofErr w:type="gramStart"/>
      <w:r w:rsidRPr="001A42F8">
        <w:rPr>
          <w:bCs/>
          <w:lang w:val="en-GB" w:eastAsia="fr-BE"/>
        </w:rPr>
        <w:t>dimension;</w:t>
      </w:r>
      <w:proofErr w:type="gramEnd"/>
    </w:p>
    <w:p w14:paraId="1DC9D98D" w14:textId="77777777" w:rsidR="001A42F8" w:rsidRPr="001A42F8" w:rsidRDefault="001A42F8" w:rsidP="0024648D">
      <w:pPr>
        <w:numPr>
          <w:ilvl w:val="0"/>
          <w:numId w:val="26"/>
        </w:numPr>
        <w:tabs>
          <w:tab w:val="clear" w:pos="720"/>
          <w:tab w:val="num" w:pos="284"/>
        </w:tabs>
        <w:overflowPunct w:val="0"/>
        <w:autoSpaceDE w:val="0"/>
        <w:autoSpaceDN w:val="0"/>
        <w:adjustRightInd w:val="0"/>
        <w:ind w:left="284" w:hanging="284"/>
        <w:textAlignment w:val="baseline"/>
        <w:rPr>
          <w:lang w:val="en-GB" w:eastAsia="fr-BE"/>
        </w:rPr>
      </w:pPr>
      <w:r w:rsidRPr="001A42F8">
        <w:rPr>
          <w:lang w:val="en-GB" w:eastAsia="fr-BE"/>
        </w:rPr>
        <w:t xml:space="preserve">points out that the action plan does not provide sufficient guidance to the Member States on the public policies needed to </w:t>
      </w:r>
      <w:r w:rsidRPr="001A42F8">
        <w:rPr>
          <w:bCs/>
          <w:lang w:val="en-GB" w:eastAsia="fr-BE"/>
        </w:rPr>
        <w:t>reduce the proliferation of drug use.</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sidRPr="001A42F8">
              <w:rPr>
                <w:b/>
                <w:i/>
              </w:rPr>
              <w:t>Contact</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sidRPr="001A42F8">
              <w:rPr>
                <w:i/>
                <w:lang w:val="en-GB"/>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sidRPr="001A42F8">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sidRPr="001A42F8">
              <w:rPr>
                <w:i/>
                <w:lang w:val="en-GB"/>
              </w:rPr>
              <w:t>+32 25469</w:t>
            </w:r>
            <w:r w:rsidRPr="001A42F8">
              <w:rPr>
                <w:lang w:val="en-GB"/>
              </w:rP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sidRPr="001A42F8">
              <w:rPr>
                <w:i/>
              </w:rPr>
              <w:t>Email</w:t>
            </w:r>
          </w:p>
        </w:tc>
        <w:tc>
          <w:tcPr>
            <w:tcW w:w="4493" w:type="dxa"/>
          </w:tcPr>
          <w:p w14:paraId="7CF2E2AE" w14:textId="77777777" w:rsidR="001A42F8" w:rsidRPr="001A42F8" w:rsidRDefault="001A42F8" w:rsidP="001A42F8">
            <w:pPr>
              <w:overflowPunct w:val="0"/>
              <w:autoSpaceDE w:val="0"/>
              <w:autoSpaceDN w:val="0"/>
              <w:adjustRightInd w:val="0"/>
              <w:spacing w:line="240" w:lineRule="auto"/>
              <w:textAlignment w:val="baseline"/>
              <w:rPr>
                <w:i/>
                <w:iCs/>
              </w:rPr>
            </w:pPr>
            <w:hyperlink r:id="rId32" w:history="1">
              <w:r w:rsidRPr="001A42F8">
                <w:rPr>
                  <w:i/>
                  <w:iCs/>
                  <w:color w:val="0000FF"/>
                  <w:u w:val="single"/>
                  <w:lang w:val="en-GB"/>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0D233114" w:rsidR="00C53E67" w:rsidRPr="00C53E67" w:rsidRDefault="00A067F3" w:rsidP="0024648D">
      <w:pPr>
        <w:widowControl w:val="0"/>
        <w:numPr>
          <w:ilvl w:val="0"/>
          <w:numId w:val="4"/>
        </w:numPr>
        <w:overflowPunct w:val="0"/>
        <w:autoSpaceDE w:val="0"/>
        <w:autoSpaceDN w:val="0"/>
        <w:adjustRightInd w:val="0"/>
        <w:ind w:hanging="567"/>
        <w:textAlignment w:val="baseline"/>
        <w:rPr>
          <w:b/>
          <w:lang w:val="en-GB"/>
        </w:rPr>
      </w:pPr>
      <w:hyperlink r:id="rId33" w:history="1">
        <w:r w:rsidR="00C53E67" w:rsidRPr="004979CB">
          <w:rPr>
            <w:b/>
            <w:bCs/>
            <w:i/>
            <w:iCs/>
            <w:color w:val="0000FF"/>
            <w:sz w:val="28"/>
            <w:szCs w:val="28"/>
            <w:u w:val="single"/>
          </w:rPr>
          <w:t>A Culture Compass for Europe</w:t>
        </w:r>
      </w:hyperlink>
    </w:p>
    <w:p w14:paraId="35E79844" w14:textId="77777777" w:rsidR="00C53E67" w:rsidRPr="00814EEA" w:rsidRDefault="00C53E67" w:rsidP="00C53E67">
      <w:pPr>
        <w:widowControl w:val="0"/>
        <w:overflowPunct w:val="0"/>
        <w:autoSpaceDE w:val="0"/>
        <w:autoSpaceDN w:val="0"/>
        <w:adjustRightInd w:val="0"/>
        <w:ind w:left="266"/>
        <w:textAlignment w:val="baseline"/>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sidRPr="00C53E67">
              <w:rPr>
                <w:b/>
              </w:rPr>
              <w:t xml:space="preserve">Rapporteur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rPr>
                <w:lang w:val="en-GB"/>
              </w:rPr>
            </w:pPr>
            <w:r w:rsidRPr="00C53E67">
              <w:rPr>
                <w:lang w:val="en-GB"/>
              </w:rPr>
              <w:t xml:space="preserve">Luca JAHIER (Civil Society Organisations' </w:t>
            </w:r>
            <w:r w:rsidRPr="00C53E67">
              <w:t>Group - IT</w:t>
            </w:r>
            <w:r w:rsidRPr="00C53E67">
              <w:rPr>
                <w:lang w:val="en-GB"/>
              </w:rPr>
              <w: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24648D"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sidRPr="00C53E67">
              <w:rPr>
                <w:b/>
              </w:rPr>
              <w:t>References</w:t>
            </w:r>
          </w:p>
        </w:tc>
        <w:tc>
          <w:tcPr>
            <w:tcW w:w="3679" w:type="pct"/>
          </w:tcPr>
          <w:p w14:paraId="3649F935" w14:textId="5EC0AA86" w:rsidR="00DE1BF7" w:rsidRPr="0024648D" w:rsidRDefault="00DE1BF7" w:rsidP="00C53E67">
            <w:pPr>
              <w:overflowPunct w:val="0"/>
              <w:autoSpaceDE w:val="0"/>
              <w:autoSpaceDN w:val="0"/>
              <w:adjustRightInd w:val="0"/>
              <w:ind w:left="-113"/>
              <w:textAlignment w:val="baseline"/>
              <w:rPr>
                <w:lang w:val="pt-PT"/>
              </w:rPr>
            </w:pPr>
            <w:proofErr w:type="gramStart"/>
            <w:r w:rsidRPr="0024648D">
              <w:rPr>
                <w:lang w:val="pt-PT"/>
              </w:rPr>
              <w:t>COM(</w:t>
            </w:r>
            <w:proofErr w:type="gramEnd"/>
            <w:r w:rsidRPr="0024648D">
              <w:rPr>
                <w:lang w:val="pt-PT"/>
              </w:rPr>
              <w:t>2025) 785 final</w:t>
            </w:r>
          </w:p>
          <w:p w14:paraId="72ADC23E" w14:textId="431F11BB" w:rsidR="00DE1BF7" w:rsidRPr="0024648D" w:rsidRDefault="00DE1BF7" w:rsidP="00C53E67">
            <w:pPr>
              <w:overflowPunct w:val="0"/>
              <w:autoSpaceDE w:val="0"/>
              <w:autoSpaceDN w:val="0"/>
              <w:adjustRightInd w:val="0"/>
              <w:ind w:left="-113"/>
              <w:textAlignment w:val="baseline"/>
              <w:rPr>
                <w:lang w:val="pt-PT"/>
              </w:rPr>
            </w:pPr>
            <w:proofErr w:type="gramStart"/>
            <w:r w:rsidRPr="0024648D">
              <w:rPr>
                <w:lang w:val="pt-PT"/>
              </w:rPr>
              <w:t>COM(</w:t>
            </w:r>
            <w:proofErr w:type="gramEnd"/>
            <w:r w:rsidRPr="0024648D">
              <w:rPr>
                <w:lang w:val="pt-PT"/>
              </w:rPr>
              <w:t>2025) 786 final</w:t>
            </w:r>
          </w:p>
          <w:p w14:paraId="20BD4BF5" w14:textId="0E4CE06A" w:rsidR="00C53E67" w:rsidRPr="0024648D" w:rsidRDefault="00C53E67" w:rsidP="00C53E67">
            <w:pPr>
              <w:overflowPunct w:val="0"/>
              <w:autoSpaceDE w:val="0"/>
              <w:autoSpaceDN w:val="0"/>
              <w:adjustRightInd w:val="0"/>
              <w:ind w:left="-113"/>
              <w:textAlignment w:val="baseline"/>
              <w:rPr>
                <w:lang w:val="pt-PT"/>
              </w:rPr>
            </w:pPr>
            <w:r w:rsidRPr="0024648D">
              <w:rPr>
                <w:lang w:val="pt-PT"/>
              </w:rPr>
              <w:t>EESC-2025-04241-00-00-AC</w:t>
            </w:r>
          </w:p>
        </w:tc>
      </w:tr>
    </w:tbl>
    <w:p w14:paraId="3D06F742" w14:textId="77777777" w:rsidR="00C53E67" w:rsidRPr="00CC2C7F" w:rsidRDefault="00C53E67" w:rsidP="00CC2C7F">
      <w:pPr>
        <w:keepNext/>
        <w:keepLines/>
        <w:tabs>
          <w:tab w:val="center" w:pos="284"/>
        </w:tabs>
        <w:overflowPunct w:val="0"/>
        <w:autoSpaceDE w:val="0"/>
        <w:autoSpaceDN w:val="0"/>
        <w:adjustRightInd w:val="0"/>
        <w:spacing w:line="240" w:lineRule="auto"/>
        <w:ind w:left="266" w:hanging="266"/>
        <w:textAlignment w:val="baseline"/>
      </w:pPr>
    </w:p>
    <w:p w14:paraId="4F488388" w14:textId="77777777" w:rsidR="00C53E67" w:rsidRPr="00C53E67" w:rsidRDefault="00C53E67" w:rsidP="00CC2C7F">
      <w:pPr>
        <w:keepNext/>
        <w:keepLines/>
        <w:tabs>
          <w:tab w:val="center" w:pos="284"/>
        </w:tabs>
        <w:overflowPunct w:val="0"/>
        <w:autoSpaceDE w:val="0"/>
        <w:autoSpaceDN w:val="0"/>
        <w:adjustRightInd w:val="0"/>
        <w:spacing w:line="240" w:lineRule="auto"/>
        <w:ind w:left="266" w:hanging="266"/>
        <w:textAlignment w:val="baseline"/>
        <w:rPr>
          <w:b/>
          <w:lang w:val="en-GB"/>
        </w:rPr>
      </w:pPr>
      <w:r w:rsidRPr="00C53E67">
        <w:rPr>
          <w:b/>
          <w:lang w:val="en-GB"/>
        </w:rPr>
        <w:t>Key points</w:t>
      </w:r>
    </w:p>
    <w:p w14:paraId="2BEAC91B" w14:textId="77777777" w:rsidR="00C53E67" w:rsidRPr="00CC2C7F" w:rsidRDefault="00C53E67" w:rsidP="00CC2C7F">
      <w:pPr>
        <w:keepNext/>
        <w:keepLines/>
        <w:tabs>
          <w:tab w:val="center" w:pos="284"/>
        </w:tabs>
        <w:overflowPunct w:val="0"/>
        <w:autoSpaceDE w:val="0"/>
        <w:autoSpaceDN w:val="0"/>
        <w:adjustRightInd w:val="0"/>
        <w:spacing w:line="240" w:lineRule="auto"/>
        <w:ind w:left="266" w:hanging="266"/>
        <w:textAlignment w:val="baseline"/>
      </w:pPr>
    </w:p>
    <w:p w14:paraId="6931DC56" w14:textId="77777777" w:rsidR="00C53E67" w:rsidRDefault="00C53E67" w:rsidP="00CC2C7F">
      <w:pPr>
        <w:overflowPunct w:val="0"/>
        <w:autoSpaceDE w:val="0"/>
        <w:autoSpaceDN w:val="0"/>
        <w:adjustRightInd w:val="0"/>
        <w:textAlignment w:val="baseline"/>
        <w:rPr>
          <w:bCs/>
          <w:iCs/>
        </w:rPr>
      </w:pPr>
      <w:r w:rsidRPr="00C53E67">
        <w:rPr>
          <w:bCs/>
          <w:iCs/>
        </w:rPr>
        <w:t xml:space="preserve">The </w:t>
      </w:r>
      <w:r w:rsidRPr="00CC2C7F">
        <w:rPr>
          <w:sz w:val="24"/>
          <w:szCs w:val="24"/>
          <w:lang w:val="fr-BE" w:eastAsia="fr-BE"/>
        </w:rPr>
        <w:t>EESC</w:t>
      </w:r>
      <w:r w:rsidRPr="00C53E67">
        <w:rPr>
          <w:bCs/>
          <w:iCs/>
        </w:rPr>
        <w:t>:</w:t>
      </w:r>
    </w:p>
    <w:p w14:paraId="38DEACAE" w14:textId="77777777" w:rsidR="00C53E67" w:rsidRPr="00C53E67" w:rsidRDefault="00C53E67" w:rsidP="0024648D">
      <w:pPr>
        <w:numPr>
          <w:ilvl w:val="0"/>
          <w:numId w:val="27"/>
        </w:numPr>
        <w:overflowPunct w:val="0"/>
        <w:autoSpaceDE w:val="0"/>
        <w:autoSpaceDN w:val="0"/>
        <w:adjustRightInd w:val="0"/>
        <w:spacing w:line="276" w:lineRule="auto"/>
        <w:textAlignment w:val="baseline"/>
        <w:rPr>
          <w:lang w:val="en-GB"/>
        </w:rPr>
      </w:pPr>
      <w:r w:rsidRPr="00C53E67">
        <w:rPr>
          <w:b/>
          <w:bCs/>
        </w:rPr>
        <w:t>f</w:t>
      </w:r>
      <w:proofErr w:type="spellStart"/>
      <w:r w:rsidRPr="00C53E67">
        <w:rPr>
          <w:b/>
          <w:bCs/>
          <w:lang w:val="en-GB"/>
        </w:rPr>
        <w:t>ully</w:t>
      </w:r>
      <w:proofErr w:type="spellEnd"/>
      <w:r w:rsidRPr="00C53E67">
        <w:rPr>
          <w:b/>
          <w:bCs/>
          <w:lang w:val="en-GB"/>
        </w:rPr>
        <w:t xml:space="preserve"> supports the Culture Compass for Europe</w:t>
      </w:r>
      <w:r w:rsidRPr="00C53E67">
        <w:rPr>
          <w:lang w:val="en-GB"/>
        </w:rPr>
        <w:t xml:space="preserve"> as a timely transversal strategy to promote culture and European values and ensure a thriving cultural </w:t>
      </w:r>
      <w:proofErr w:type="gramStart"/>
      <w:r w:rsidRPr="00C53E67">
        <w:rPr>
          <w:lang w:val="en-GB"/>
        </w:rPr>
        <w:t>sector</w:t>
      </w:r>
      <w:r w:rsidRPr="00C53E67">
        <w:t>;</w:t>
      </w:r>
      <w:proofErr w:type="gramEnd"/>
    </w:p>
    <w:p w14:paraId="51935618"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emphasises </w:t>
      </w:r>
      <w:r w:rsidRPr="00C53E67">
        <w:rPr>
          <w:b/>
          <w:bCs/>
          <w:lang w:val="en-GB"/>
        </w:rPr>
        <w:t>culture’s role in strengthening democracy</w:t>
      </w:r>
      <w:r w:rsidRPr="00C53E67">
        <w:rPr>
          <w:lang w:val="en-GB"/>
        </w:rPr>
        <w:t xml:space="preserve">, countering populist and authoritarian narratives, and fostering social cohesion, preparedness and sustainable </w:t>
      </w:r>
      <w:proofErr w:type="gramStart"/>
      <w:r w:rsidRPr="00C53E67">
        <w:rPr>
          <w:lang w:val="en-GB"/>
        </w:rPr>
        <w:t>development;</w:t>
      </w:r>
      <w:proofErr w:type="gramEnd"/>
    </w:p>
    <w:p w14:paraId="1C5AAA1E"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recommends </w:t>
      </w:r>
      <w:r w:rsidRPr="00C53E67">
        <w:rPr>
          <w:b/>
          <w:bCs/>
          <w:lang w:val="en-GB"/>
        </w:rPr>
        <w:t>developing synergies</w:t>
      </w:r>
      <w:r w:rsidRPr="00C53E67">
        <w:rPr>
          <w:lang w:val="en-GB"/>
        </w:rPr>
        <w:t xml:space="preserve"> between the Culture Compass and initiatives such as the European Democracy Shield, particularly in the digital </w:t>
      </w:r>
      <w:proofErr w:type="gramStart"/>
      <w:r w:rsidRPr="00C53E67">
        <w:rPr>
          <w:lang w:val="en-GB"/>
        </w:rPr>
        <w:t>sphere;</w:t>
      </w:r>
      <w:proofErr w:type="gramEnd"/>
    </w:p>
    <w:p w14:paraId="5D3CFABE"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underlines the need for </w:t>
      </w:r>
      <w:r w:rsidRPr="00C53E67">
        <w:rPr>
          <w:b/>
          <w:bCs/>
          <w:lang w:val="en-GB"/>
        </w:rPr>
        <w:t>a dedicated AI strategy for cultural and creative sectors</w:t>
      </w:r>
      <w:r w:rsidRPr="00C53E67">
        <w:rPr>
          <w:lang w:val="en-GB"/>
        </w:rPr>
        <w:t>, including protection of creative ownership, development of licensing markets, and guidance under the A</w:t>
      </w:r>
      <w:r w:rsidRPr="00C53E67">
        <w:t>I</w:t>
      </w:r>
      <w:r w:rsidRPr="00C53E67">
        <w:rPr>
          <w:lang w:val="en-GB"/>
        </w:rPr>
        <w:t xml:space="preserve"> </w:t>
      </w:r>
      <w:proofErr w:type="gramStart"/>
      <w:r w:rsidRPr="00C53E67">
        <w:rPr>
          <w:lang w:val="en-GB"/>
        </w:rPr>
        <w:t>Act;</w:t>
      </w:r>
      <w:proofErr w:type="gramEnd"/>
    </w:p>
    <w:p w14:paraId="076C2D8F"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calls for </w:t>
      </w:r>
      <w:r w:rsidRPr="00C53E67">
        <w:rPr>
          <w:b/>
          <w:bCs/>
          <w:lang w:val="en-GB"/>
        </w:rPr>
        <w:t>strong and transversal financial support in the next MFF (2028</w:t>
      </w:r>
      <w:r w:rsidRPr="00C53E67">
        <w:rPr>
          <w:b/>
          <w:bCs/>
        </w:rPr>
        <w:t>-</w:t>
      </w:r>
      <w:r w:rsidRPr="00C53E67">
        <w:rPr>
          <w:b/>
          <w:bCs/>
          <w:lang w:val="en-GB"/>
        </w:rPr>
        <w:t>2034)</w:t>
      </w:r>
      <w:r w:rsidRPr="00C53E67">
        <w:rPr>
          <w:lang w:val="en-GB"/>
        </w:rPr>
        <w:t xml:space="preserve">, including allocating 2% of the EU budget to culture and ensuring </w:t>
      </w:r>
      <w:r w:rsidRPr="00C53E67">
        <w:t>its integration into</w:t>
      </w:r>
      <w:r w:rsidRPr="00C53E67">
        <w:rPr>
          <w:lang w:val="en-GB"/>
        </w:rPr>
        <w:t xml:space="preserve"> major EU </w:t>
      </w:r>
      <w:proofErr w:type="gramStart"/>
      <w:r w:rsidRPr="00C53E67">
        <w:rPr>
          <w:lang w:val="en-GB"/>
        </w:rPr>
        <w:t>programmes;</w:t>
      </w:r>
      <w:proofErr w:type="gramEnd"/>
    </w:p>
    <w:p w14:paraId="5C1C74F4"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calls for solid, </w:t>
      </w:r>
      <w:r w:rsidRPr="00C53E67">
        <w:rPr>
          <w:b/>
          <w:bCs/>
          <w:lang w:val="en-GB"/>
        </w:rPr>
        <w:t>target-based implementation of the Culture Compass through a clear action plan</w:t>
      </w:r>
      <w:r w:rsidRPr="00C53E67">
        <w:rPr>
          <w:lang w:val="en-GB"/>
        </w:rPr>
        <w:t xml:space="preserve">, adequate administrative capacity, and long-term policy </w:t>
      </w:r>
      <w:proofErr w:type="gramStart"/>
      <w:r w:rsidRPr="00C53E67">
        <w:rPr>
          <w:lang w:val="en-GB"/>
        </w:rPr>
        <w:t>continuity;</w:t>
      </w:r>
      <w:proofErr w:type="gramEnd"/>
    </w:p>
    <w:p w14:paraId="4ABFA2B6"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recommends </w:t>
      </w:r>
      <w:r w:rsidRPr="00C53E67">
        <w:rPr>
          <w:b/>
          <w:bCs/>
          <w:lang w:val="en-GB"/>
        </w:rPr>
        <w:t>early systematic involvement of cultural and non-cultural stakeholders</w:t>
      </w:r>
      <w:r w:rsidRPr="00C53E67">
        <w:rPr>
          <w:lang w:val="en-GB"/>
        </w:rPr>
        <w:t xml:space="preserve">, including local authorities, SMEs and cultural and creative sectors, to reinforce ownership and </w:t>
      </w:r>
      <w:proofErr w:type="gramStart"/>
      <w:r w:rsidRPr="00C53E67">
        <w:rPr>
          <w:lang w:val="en-GB"/>
        </w:rPr>
        <w:t>impact;</w:t>
      </w:r>
      <w:proofErr w:type="gramEnd"/>
    </w:p>
    <w:p w14:paraId="34D1F370"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calls for </w:t>
      </w:r>
      <w:r w:rsidRPr="00C53E67">
        <w:rPr>
          <w:b/>
          <w:bCs/>
          <w:lang w:val="en-GB"/>
        </w:rPr>
        <w:t>stronger integration of social economy actors</w:t>
      </w:r>
      <w:r w:rsidRPr="00C53E67">
        <w:rPr>
          <w:lang w:val="en-GB"/>
        </w:rPr>
        <w:t xml:space="preserve"> and community-based cultural initiatives into public policies, including adapted fiscal and financial </w:t>
      </w:r>
      <w:proofErr w:type="gramStart"/>
      <w:r w:rsidRPr="00C53E67">
        <w:rPr>
          <w:lang w:val="en-GB"/>
        </w:rPr>
        <w:t>instruments;</w:t>
      </w:r>
      <w:proofErr w:type="gramEnd"/>
    </w:p>
    <w:p w14:paraId="7574E8ED"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b/>
          <w:bCs/>
          <w:lang w:val="en-GB"/>
        </w:rPr>
        <w:t xml:space="preserve">welcomes the </w:t>
      </w:r>
      <w:r w:rsidRPr="00C53E67">
        <w:rPr>
          <w:b/>
          <w:bCs/>
        </w:rPr>
        <w:t xml:space="preserve">proposed </w:t>
      </w:r>
      <w:r w:rsidRPr="00C53E67">
        <w:rPr>
          <w:b/>
          <w:bCs/>
          <w:lang w:val="en-GB"/>
        </w:rPr>
        <w:t>structured EU dialogue with stakeholders</w:t>
      </w:r>
      <w:r w:rsidRPr="00C53E67">
        <w:rPr>
          <w:lang w:val="en-GB"/>
        </w:rPr>
        <w:t xml:space="preserve"> and offers to act as a key partner in facilitating exchanges with institutional and sectoral </w:t>
      </w:r>
      <w:proofErr w:type="gramStart"/>
      <w:r w:rsidRPr="00C53E67">
        <w:rPr>
          <w:lang w:val="en-GB"/>
        </w:rPr>
        <w:t>actors;</w:t>
      </w:r>
      <w:proofErr w:type="gramEnd"/>
    </w:p>
    <w:p w14:paraId="2118B2C0"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stresses that cultural and creative sectors are </w:t>
      </w:r>
      <w:r w:rsidRPr="00C53E67">
        <w:rPr>
          <w:b/>
          <w:bCs/>
          <w:lang w:val="en-GB"/>
        </w:rPr>
        <w:t>a strategic economic ecosystem</w:t>
      </w:r>
      <w:r w:rsidRPr="00C53E67">
        <w:rPr>
          <w:lang w:val="en-GB"/>
        </w:rPr>
        <w:t xml:space="preserve"> and calls for better integration of key industries such as gaming, film, music and fashion into the </w:t>
      </w:r>
      <w:proofErr w:type="gramStart"/>
      <w:r w:rsidRPr="00C53E67">
        <w:rPr>
          <w:lang w:val="en-GB"/>
        </w:rPr>
        <w:t>Compass;</w:t>
      </w:r>
      <w:proofErr w:type="gramEnd"/>
    </w:p>
    <w:p w14:paraId="4B8E43E5"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supports </w:t>
      </w:r>
      <w:r w:rsidRPr="00C53E67">
        <w:rPr>
          <w:b/>
          <w:bCs/>
          <w:lang w:val="en-GB"/>
        </w:rPr>
        <w:t>cultural education and skills development</w:t>
      </w:r>
      <w:r w:rsidRPr="00C53E67">
        <w:rPr>
          <w:lang w:val="en-GB"/>
        </w:rPr>
        <w:t xml:space="preserve">, calling for inclusive access, dedicated funding, and stronger links with EU programmes such as Erasmus+ and cohesion </w:t>
      </w:r>
      <w:proofErr w:type="gramStart"/>
      <w:r w:rsidRPr="00C53E67">
        <w:rPr>
          <w:lang w:val="en-GB"/>
        </w:rPr>
        <w:t>policy;</w:t>
      </w:r>
      <w:proofErr w:type="gramEnd"/>
    </w:p>
    <w:p w14:paraId="2BCF815C"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b/>
          <w:bCs/>
          <w:lang w:val="en-GB"/>
        </w:rPr>
        <w:t>supports the development of an EU Artists’ Charter</w:t>
      </w:r>
      <w:r w:rsidRPr="00C53E67">
        <w:rPr>
          <w:lang w:val="en-GB"/>
        </w:rPr>
        <w:t xml:space="preserve"> to ensure fair working conditions, stronger social protection, and alignment of EU funding with quality employment </w:t>
      </w:r>
      <w:proofErr w:type="gramStart"/>
      <w:r w:rsidRPr="00C53E67">
        <w:rPr>
          <w:lang w:val="en-GB"/>
        </w:rPr>
        <w:t>standards;</w:t>
      </w:r>
      <w:proofErr w:type="gramEnd"/>
    </w:p>
    <w:p w14:paraId="52A25FBE"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sz w:val="24"/>
          <w:szCs w:val="24"/>
          <w:lang w:val="en-GB"/>
        </w:rPr>
      </w:pPr>
      <w:r w:rsidRPr="00C53E67">
        <w:rPr>
          <w:lang w:val="en-GB"/>
        </w:rPr>
        <w:t xml:space="preserve">emphasises the </w:t>
      </w:r>
      <w:r w:rsidRPr="00C53E67">
        <w:rPr>
          <w:b/>
          <w:bCs/>
          <w:lang w:val="en-GB"/>
        </w:rPr>
        <w:t>importance of sustained public investment</w:t>
      </w:r>
      <w:r w:rsidRPr="00C53E67">
        <w:rPr>
          <w:lang w:val="en-GB"/>
        </w:rPr>
        <w:t xml:space="preserve"> in the cultural and creative sectors while supporting improved access to finance for SMEs through enhanced mobilisation of E</w:t>
      </w:r>
      <w:r w:rsidRPr="00C53E67">
        <w:t>IB and EIF</w:t>
      </w:r>
      <w:r w:rsidRPr="00C53E67">
        <w:rPr>
          <w:lang w:val="en-GB"/>
        </w:rPr>
        <w:t xml:space="preserve"> instruments, alongside the development of complementary private support </w:t>
      </w:r>
      <w:proofErr w:type="gramStart"/>
      <w:r w:rsidRPr="00C53E67">
        <w:rPr>
          <w:lang w:val="en-GB"/>
        </w:rPr>
        <w:t>frameworks;</w:t>
      </w:r>
      <w:proofErr w:type="gramEnd"/>
    </w:p>
    <w:p w14:paraId="3A3FD424" w14:textId="77777777" w:rsidR="00C53E67" w:rsidRPr="00C53E67" w:rsidRDefault="00C53E67" w:rsidP="0024648D">
      <w:pPr>
        <w:numPr>
          <w:ilvl w:val="0"/>
          <w:numId w:val="27"/>
        </w:numPr>
        <w:overflowPunct w:val="0"/>
        <w:autoSpaceDE w:val="0"/>
        <w:autoSpaceDN w:val="0"/>
        <w:adjustRightInd w:val="0"/>
        <w:spacing w:before="100" w:beforeAutospacing="1" w:after="100" w:afterAutospacing="1" w:line="276" w:lineRule="auto"/>
        <w:textAlignment w:val="baseline"/>
        <w:rPr>
          <w:lang w:val="en-GB"/>
        </w:rPr>
      </w:pPr>
      <w:r w:rsidRPr="00C53E67">
        <w:rPr>
          <w:lang w:val="en-GB"/>
        </w:rPr>
        <w:t xml:space="preserve">supports </w:t>
      </w:r>
      <w:r w:rsidRPr="00C53E67">
        <w:rPr>
          <w:b/>
          <w:bCs/>
          <w:lang w:val="en-GB"/>
        </w:rPr>
        <w:t>institutional endorsement of the Joint Declaration</w:t>
      </w:r>
      <w:r w:rsidRPr="00C53E67">
        <w:rPr>
          <w:lang w:val="en-GB"/>
        </w:rPr>
        <w:t xml:space="preserve"> by EU institutions </w:t>
      </w:r>
      <w:r w:rsidRPr="00C53E67">
        <w:t xml:space="preserve">(including the EESC and the Comity of the Regions) </w:t>
      </w:r>
      <w:r w:rsidRPr="00C53E67">
        <w:rPr>
          <w:lang w:val="en-GB"/>
        </w:rPr>
        <w:t xml:space="preserve">and stakeholders to ensure broad ownership and </w:t>
      </w:r>
      <w:proofErr w:type="gramStart"/>
      <w:r w:rsidRPr="00C53E67">
        <w:rPr>
          <w:lang w:val="en-GB"/>
        </w:rPr>
        <w:t>legitimacy;</w:t>
      </w:r>
      <w:proofErr w:type="gramEnd"/>
    </w:p>
    <w:p w14:paraId="3DBA33EF" w14:textId="77777777" w:rsidR="00C53E67" w:rsidRPr="0024648D" w:rsidRDefault="00C53E67" w:rsidP="008F6AA0">
      <w:pPr>
        <w:numPr>
          <w:ilvl w:val="0"/>
          <w:numId w:val="27"/>
        </w:numPr>
        <w:overflowPunct w:val="0"/>
        <w:autoSpaceDE w:val="0"/>
        <w:autoSpaceDN w:val="0"/>
        <w:adjustRightInd w:val="0"/>
        <w:spacing w:line="276" w:lineRule="auto"/>
        <w:textAlignment w:val="baseline"/>
        <w:rPr>
          <w:sz w:val="24"/>
          <w:szCs w:val="24"/>
          <w:lang w:val="en-GB"/>
        </w:rPr>
      </w:pPr>
      <w:r w:rsidRPr="00C53E67">
        <w:rPr>
          <w:lang w:val="en-GB"/>
        </w:rPr>
        <w:t xml:space="preserve">underlines the </w:t>
      </w:r>
      <w:r w:rsidRPr="00C53E67">
        <w:rPr>
          <w:b/>
          <w:bCs/>
          <w:lang w:val="en-GB"/>
        </w:rPr>
        <w:t>importance of the international dimension of culture</w:t>
      </w:r>
      <w:r w:rsidRPr="00C53E67">
        <w:rPr>
          <w:lang w:val="en-GB"/>
        </w:rPr>
        <w:t>, calls for its full reinstatement in the Joint Declaration, and for a comprehensive action plan based on the EU strategy on international cultural relations.</w:t>
      </w:r>
    </w:p>
    <w:p w14:paraId="481BD40E" w14:textId="77777777" w:rsidR="008F6AA0" w:rsidRPr="00CC2C7F" w:rsidRDefault="008F6AA0" w:rsidP="00CC2C7F">
      <w:pPr>
        <w:overflowPunct w:val="0"/>
        <w:autoSpaceDE w:val="0"/>
        <w:autoSpaceDN w:val="0"/>
        <w:adjustRightInd w:val="0"/>
        <w:spacing w:line="240" w:lineRule="auto"/>
        <w:textAlignment w:val="baseline"/>
        <w:rPr>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sidRPr="00C53E67">
              <w:rPr>
                <w:b/>
                <w:i/>
              </w:rPr>
              <w:t>Contact</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sidRPr="00C53E67">
              <w:rPr>
                <w:i/>
              </w:rPr>
              <w:t>Jean Marie R</w:t>
            </w:r>
            <w:r w:rsidR="00A53DD0" w:rsidRPr="00C53E67">
              <w:rPr>
                <w:i/>
              </w:rPr>
              <w:t>ogue</w:t>
            </w:r>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sidRPr="00C53E67">
              <w:rPr>
                <w:i/>
              </w:rPr>
              <w:t>Tel.</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sidRPr="00C53E67">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sidRPr="00C53E67">
              <w:rPr>
                <w:i/>
              </w:rPr>
              <w:t>Email</w:t>
            </w:r>
          </w:p>
        </w:tc>
        <w:tc>
          <w:tcPr>
            <w:tcW w:w="3444" w:type="pct"/>
          </w:tcPr>
          <w:p w14:paraId="18C49AA7" w14:textId="77777777" w:rsidR="00C53E67" w:rsidRPr="00C53E67" w:rsidRDefault="00C53E67" w:rsidP="00C53E67">
            <w:pPr>
              <w:overflowPunct w:val="0"/>
              <w:autoSpaceDE w:val="0"/>
              <w:autoSpaceDN w:val="0"/>
              <w:adjustRightInd w:val="0"/>
              <w:spacing w:line="240" w:lineRule="auto"/>
              <w:textAlignment w:val="baseline"/>
              <w:rPr>
                <w:i/>
              </w:rPr>
            </w:pPr>
            <w:hyperlink r:id="rId34" w:history="1">
              <w:r w:rsidRPr="00C53E67">
                <w:rPr>
                  <w:i/>
                  <w:color w:val="0000FF"/>
                  <w:u w:val="single"/>
                  <w:lang w:val="en-GB"/>
                </w:rPr>
                <w:t>Je</w:t>
              </w:r>
              <w:r w:rsidRPr="00C53E67">
                <w:rPr>
                  <w:i/>
                  <w:color w:val="0000FF"/>
                  <w:u w:val="single"/>
                </w:rPr>
                <w:t>anMarie.Rogue@eesc.europa.eu</w:t>
              </w:r>
            </w:hyperlink>
          </w:p>
        </w:tc>
      </w:tr>
    </w:tbl>
    <w:p w14:paraId="2E7B45AB" w14:textId="77777777" w:rsidR="00A067F3" w:rsidRDefault="00A067F3">
      <w:pPr>
        <w:spacing w:after="160" w:line="259" w:lineRule="auto"/>
        <w:jc w:val="left"/>
      </w:pPr>
      <w:r>
        <w:br w:type="page"/>
      </w:r>
    </w:p>
    <w:p w14:paraId="4982DDF2" w14:textId="1E681596" w:rsidR="004D7AC0" w:rsidRDefault="004D7AC0" w:rsidP="001766B2">
      <w:pPr>
        <w:jc w:val="left"/>
      </w:pPr>
    </w:p>
    <w:p w14:paraId="4982DDF3" w14:textId="77616464" w:rsidR="004D7AC0" w:rsidRDefault="004D7AC0" w:rsidP="0024648D">
      <w:pPr>
        <w:pStyle w:val="Heading2"/>
      </w:pPr>
      <w:bookmarkStart w:id="16" w:name="_Toc75527083"/>
      <w:bookmarkStart w:id="17" w:name="_Toc229140655"/>
      <w:r>
        <w:t>SINGLE MARKET, PRODUCTION AND CONSUMPTION</w:t>
      </w:r>
      <w:bookmarkEnd w:id="16"/>
      <w:bookmarkEnd w:id="17"/>
    </w:p>
    <w:p w14:paraId="4982DDF4" w14:textId="77777777" w:rsidR="004D7AC0" w:rsidRDefault="004D7AC0" w:rsidP="001766B2"/>
    <w:p w14:paraId="566598A4" w14:textId="14FD0DF2" w:rsidR="00392AE5" w:rsidRPr="00392AE5" w:rsidRDefault="00392AE5" w:rsidP="00392AE5">
      <w:pPr>
        <w:widowControl w:val="0"/>
        <w:numPr>
          <w:ilvl w:val="0"/>
          <w:numId w:val="4"/>
        </w:numPr>
        <w:tabs>
          <w:tab w:val="left" w:pos="2127"/>
        </w:tabs>
        <w:overflowPunct w:val="0"/>
        <w:autoSpaceDE w:val="0"/>
        <w:autoSpaceDN w:val="0"/>
        <w:adjustRightInd w:val="0"/>
        <w:ind w:hanging="567"/>
        <w:textAlignment w:val="baseline"/>
        <w:rPr>
          <w:sz w:val="20"/>
          <w:szCs w:val="20"/>
          <w:lang w:val="en-GB"/>
        </w:rPr>
      </w:pPr>
      <w:hyperlink r:id="rId35" w:history="1">
        <w:r w:rsidRPr="00392AE5">
          <w:rPr>
            <w:b/>
            <w:bCs/>
            <w:i/>
            <w:iCs/>
            <w:color w:val="0000FF"/>
            <w:sz w:val="28"/>
            <w:szCs w:val="28"/>
            <w:u w:val="single"/>
            <w:lang w:val="en-GB"/>
          </w:rPr>
          <w:t>Over-tourism, short-term rentals and the crowding-out of local</w:t>
        </w:r>
        <w:r w:rsidRPr="00392AE5">
          <w:rPr>
            <w:color w:val="0000FF"/>
            <w:szCs w:val="20"/>
            <w:u w:val="single"/>
            <w:lang w:val="en-GB"/>
          </w:rPr>
          <w:t xml:space="preserve"> </w:t>
        </w:r>
        <w:r w:rsidRPr="00392AE5">
          <w:rPr>
            <w:b/>
            <w:bCs/>
            <w:i/>
            <w:iCs/>
            <w:color w:val="0000FF"/>
            <w:sz w:val="28"/>
            <w:szCs w:val="28"/>
            <w:u w:val="single"/>
            <w:lang w:val="en-GB"/>
          </w:rPr>
          <w:t xml:space="preserve">populations – </w:t>
        </w:r>
        <w:r w:rsidR="00AC5EC3">
          <w:rPr>
            <w:b/>
            <w:bCs/>
            <w:i/>
            <w:iCs/>
            <w:color w:val="0000FF"/>
            <w:sz w:val="28"/>
            <w:szCs w:val="28"/>
            <w:u w:val="single"/>
            <w:lang w:val="en-GB"/>
          </w:rPr>
          <w:t>F</w:t>
        </w:r>
        <w:r w:rsidRPr="00392AE5">
          <w:rPr>
            <w:b/>
            <w:bCs/>
            <w:i/>
            <w:iCs/>
            <w:color w:val="0000FF"/>
            <w:sz w:val="28"/>
            <w:szCs w:val="28"/>
            <w:u w:val="single"/>
            <w:lang w:val="en-GB"/>
          </w:rPr>
          <w:t>inding the right balance</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sidRPr="00392AE5">
              <w:rPr>
                <w:b/>
              </w:rPr>
              <w:t>Rapporteur</w:t>
            </w:r>
          </w:p>
        </w:tc>
        <w:tc>
          <w:tcPr>
            <w:tcW w:w="3923" w:type="pct"/>
          </w:tcPr>
          <w:p w14:paraId="4123F63B" w14:textId="4B0CB94E" w:rsidR="00392AE5" w:rsidRDefault="00392AE5" w:rsidP="00392AE5">
            <w:pPr>
              <w:tabs>
                <w:tab w:val="center" w:pos="284"/>
              </w:tabs>
              <w:overflowPunct w:val="0"/>
              <w:autoSpaceDE w:val="0"/>
              <w:autoSpaceDN w:val="0"/>
              <w:adjustRightInd w:val="0"/>
              <w:ind w:left="266" w:right="-3091" w:hanging="266"/>
              <w:textAlignment w:val="baseline"/>
            </w:pPr>
            <w:r w:rsidRPr="00392AE5">
              <w:rPr>
                <w:bCs/>
                <w:lang w:val="en-GB"/>
              </w:rPr>
              <w:t xml:space="preserve">Marinel Dănuț MUREȘAN (Employers' Group </w:t>
            </w:r>
            <w:r w:rsidR="003F20DF">
              <w:t>-</w:t>
            </w:r>
            <w:r w:rsidRPr="00392AE5">
              <w:t xml:space="preserve">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sidRPr="00392AE5">
              <w:rPr>
                <w:b/>
              </w:rPr>
              <w:t>References</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rsidRPr="00392AE5">
              <w:t xml:space="preserve">Exploratory opinion </w:t>
            </w:r>
            <w:r w:rsidR="003F20DF">
              <w:t xml:space="preserve">requested by Cyprus </w:t>
            </w:r>
            <w:r w:rsidRPr="00392AE5">
              <w:t>Presidency</w:t>
            </w:r>
            <w:r w:rsidR="003F20DF">
              <w:t xml:space="preserve"> of the Council of the EU</w:t>
            </w:r>
          </w:p>
          <w:p w14:paraId="7EBFEE0E" w14:textId="422DCE9C" w:rsidR="00392AE5" w:rsidRPr="00392AE5" w:rsidRDefault="00392AE5" w:rsidP="00392AE5">
            <w:pPr>
              <w:tabs>
                <w:tab w:val="center" w:pos="284"/>
              </w:tabs>
              <w:overflowPunct w:val="0"/>
              <w:autoSpaceDE w:val="0"/>
              <w:autoSpaceDN w:val="0"/>
              <w:adjustRightInd w:val="0"/>
              <w:ind w:left="266" w:right="-3091" w:hanging="266"/>
              <w:textAlignment w:val="baseline"/>
            </w:pPr>
            <w:r w:rsidRPr="00392AE5">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r w:rsidRPr="00392AE5">
        <w:rPr>
          <w:b/>
          <w:lang w:val="en-GB"/>
        </w:rPr>
        <w:t>Key points</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lang w:val="en-GB"/>
        </w:rPr>
      </w:pPr>
      <w:r w:rsidRPr="00392AE5">
        <w:rPr>
          <w:bCs/>
          <w:iCs/>
          <w:lang w:val="en-GB"/>
        </w:rPr>
        <w:t>The EESC:</w:t>
      </w:r>
    </w:p>
    <w:p w14:paraId="5E2CF75A" w14:textId="77777777" w:rsidR="00392AE5" w:rsidRPr="00392AE5" w:rsidRDefault="00392AE5" w:rsidP="0024648D">
      <w:pPr>
        <w:numPr>
          <w:ilvl w:val="0"/>
          <w:numId w:val="28"/>
        </w:numPr>
        <w:overflowPunct w:val="0"/>
        <w:autoSpaceDE w:val="0"/>
        <w:autoSpaceDN w:val="0"/>
        <w:adjustRightInd w:val="0"/>
        <w:spacing w:line="276" w:lineRule="auto"/>
        <w:ind w:left="284" w:hanging="284"/>
        <w:textAlignment w:val="baseline"/>
        <w:rPr>
          <w:szCs w:val="20"/>
        </w:rPr>
      </w:pPr>
      <w:r w:rsidRPr="00392AE5">
        <w:rPr>
          <w:szCs w:val="20"/>
        </w:rPr>
        <w:t xml:space="preserve">stresses that tourism is a strategic ecosystem for the EU—driving growth, jobs and social development—and calls for a shift towards a more sustainable, balanced and competitive model that safeguards the quality of life of local </w:t>
      </w:r>
      <w:proofErr w:type="gramStart"/>
      <w:r w:rsidRPr="00392AE5">
        <w:rPr>
          <w:szCs w:val="20"/>
        </w:rPr>
        <w:t>communities;</w:t>
      </w:r>
      <w:proofErr w:type="gramEnd"/>
      <w:r w:rsidRPr="00392AE5">
        <w:rPr>
          <w:szCs w:val="20"/>
        </w:rPr>
        <w:t xml:space="preserve"> </w:t>
      </w:r>
    </w:p>
    <w:p w14:paraId="7E1A2FA7" w14:textId="77777777" w:rsidR="00392AE5" w:rsidRPr="00392AE5" w:rsidRDefault="00392AE5" w:rsidP="0024648D">
      <w:pPr>
        <w:numPr>
          <w:ilvl w:val="0"/>
          <w:numId w:val="28"/>
        </w:numPr>
        <w:overflowPunct w:val="0"/>
        <w:autoSpaceDE w:val="0"/>
        <w:autoSpaceDN w:val="0"/>
        <w:adjustRightInd w:val="0"/>
        <w:spacing w:line="276" w:lineRule="auto"/>
        <w:ind w:left="284" w:hanging="284"/>
        <w:textAlignment w:val="baseline"/>
        <w:rPr>
          <w:szCs w:val="20"/>
        </w:rPr>
      </w:pPr>
      <w:r w:rsidRPr="00392AE5">
        <w:rPr>
          <w:szCs w:val="20"/>
        </w:rPr>
        <w:t xml:space="preserve">warns about the growing pressures of over-tourism and short-term rentals in certain destinations, and </w:t>
      </w:r>
      <w:r w:rsidRPr="00392AE5">
        <w:rPr>
          <w:b/>
          <w:bCs/>
          <w:szCs w:val="20"/>
        </w:rPr>
        <w:t>calls for coordinated EU action</w:t>
      </w:r>
      <w:r w:rsidRPr="00392AE5">
        <w:rPr>
          <w:szCs w:val="20"/>
        </w:rPr>
        <w:t xml:space="preserve"> to support Member States in developing evidence-based, proportionate and place-based </w:t>
      </w:r>
      <w:proofErr w:type="gramStart"/>
      <w:r w:rsidRPr="00392AE5">
        <w:rPr>
          <w:szCs w:val="20"/>
        </w:rPr>
        <w:t>solutions;</w:t>
      </w:r>
      <w:proofErr w:type="gramEnd"/>
      <w:r w:rsidRPr="00392AE5">
        <w:rPr>
          <w:szCs w:val="20"/>
        </w:rPr>
        <w:t xml:space="preserve"> </w:t>
      </w:r>
    </w:p>
    <w:p w14:paraId="4DA31274" w14:textId="77777777" w:rsidR="00392AE5" w:rsidRPr="00392AE5" w:rsidRDefault="00392AE5" w:rsidP="0024648D">
      <w:pPr>
        <w:numPr>
          <w:ilvl w:val="0"/>
          <w:numId w:val="28"/>
        </w:numPr>
        <w:overflowPunct w:val="0"/>
        <w:autoSpaceDE w:val="0"/>
        <w:autoSpaceDN w:val="0"/>
        <w:adjustRightInd w:val="0"/>
        <w:spacing w:line="276" w:lineRule="auto"/>
        <w:ind w:left="284" w:hanging="284"/>
        <w:textAlignment w:val="baseline"/>
        <w:rPr>
          <w:szCs w:val="20"/>
        </w:rPr>
      </w:pPr>
      <w:r w:rsidRPr="00392AE5">
        <w:rPr>
          <w:szCs w:val="20"/>
        </w:rPr>
        <w:t xml:space="preserve">proposes EU-supported tools and strategies to better manage tourism flows, including digital monitoring systems, diversification of destinations and seasons, and stronger links between tourism and local economies, culture and traditional </w:t>
      </w:r>
      <w:proofErr w:type="gramStart"/>
      <w:r w:rsidRPr="00392AE5">
        <w:rPr>
          <w:szCs w:val="20"/>
        </w:rPr>
        <w:t>crafts;</w:t>
      </w:r>
      <w:proofErr w:type="gramEnd"/>
      <w:r w:rsidRPr="00392AE5">
        <w:rPr>
          <w:szCs w:val="20"/>
        </w:rPr>
        <w:t xml:space="preserve"> </w:t>
      </w:r>
    </w:p>
    <w:p w14:paraId="0407BE7E" w14:textId="77777777" w:rsidR="00392AE5" w:rsidRPr="00392AE5" w:rsidRDefault="00392AE5" w:rsidP="0024648D">
      <w:pPr>
        <w:numPr>
          <w:ilvl w:val="0"/>
          <w:numId w:val="28"/>
        </w:numPr>
        <w:overflowPunct w:val="0"/>
        <w:autoSpaceDE w:val="0"/>
        <w:autoSpaceDN w:val="0"/>
        <w:adjustRightInd w:val="0"/>
        <w:spacing w:line="276" w:lineRule="auto"/>
        <w:ind w:left="284" w:hanging="284"/>
        <w:textAlignment w:val="baseline"/>
        <w:rPr>
          <w:szCs w:val="20"/>
        </w:rPr>
      </w:pPr>
      <w:r w:rsidRPr="00392AE5">
        <w:rPr>
          <w:szCs w:val="20"/>
        </w:rPr>
        <w:t xml:space="preserve">advocates for innovative governance and financing models—combining public and private investment—to support sustainable tourism, affordable housing and local business ecosystems, with a strong role for SMEs and local </w:t>
      </w:r>
      <w:proofErr w:type="gramStart"/>
      <w:r w:rsidRPr="00392AE5">
        <w:rPr>
          <w:szCs w:val="20"/>
        </w:rPr>
        <w:t>communities;</w:t>
      </w:r>
      <w:proofErr w:type="gramEnd"/>
      <w:r w:rsidRPr="00392AE5">
        <w:rPr>
          <w:szCs w:val="20"/>
        </w:rPr>
        <w:t xml:space="preserve"> </w:t>
      </w:r>
    </w:p>
    <w:p w14:paraId="38238CCA" w14:textId="77777777" w:rsidR="00392AE5" w:rsidRPr="00392AE5" w:rsidRDefault="00392AE5" w:rsidP="0024648D">
      <w:pPr>
        <w:widowControl w:val="0"/>
        <w:numPr>
          <w:ilvl w:val="0"/>
          <w:numId w:val="28"/>
        </w:numPr>
        <w:overflowPunct w:val="0"/>
        <w:autoSpaceDE w:val="0"/>
        <w:autoSpaceDN w:val="0"/>
        <w:adjustRightInd w:val="0"/>
        <w:spacing w:line="276" w:lineRule="auto"/>
        <w:ind w:left="284" w:hanging="284"/>
        <w:textAlignment w:val="baseline"/>
        <w:rPr>
          <w:bCs/>
          <w:iCs/>
          <w:lang w:val="en-GB"/>
        </w:rPr>
      </w:pPr>
      <w:proofErr w:type="gramStart"/>
      <w:r w:rsidRPr="00392AE5">
        <w:rPr>
          <w:szCs w:val="20"/>
        </w:rPr>
        <w:t>recommends</w:t>
      </w:r>
      <w:proofErr w:type="gramEnd"/>
      <w:r w:rsidRPr="00392AE5">
        <w:rPr>
          <w:szCs w:val="20"/>
        </w:rPr>
        <w:t xml:space="preserve"> strengthening skills, training and youth involvement, and calls for the creation of a </w:t>
      </w:r>
      <w:r w:rsidRPr="00392AE5">
        <w:rPr>
          <w:b/>
          <w:bCs/>
          <w:szCs w:val="20"/>
        </w:rPr>
        <w:t>European Centre for Traditional Crafts and Heritage Professions</w:t>
      </w:r>
      <w:r w:rsidRPr="00392AE5">
        <w:rPr>
          <w:szCs w:val="20"/>
        </w:rPr>
        <w:t xml:space="preserve"> to support local economies and cultural sustainability across the EU.</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sidRPr="00392AE5">
              <w:rPr>
                <w:b/>
                <w:i/>
              </w:rPr>
              <w:t>Contact:</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sidRPr="00392AE5">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sidRPr="00392AE5">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sidRPr="00392AE5">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sidRPr="00392AE5">
              <w:rPr>
                <w:i/>
              </w:rPr>
              <w:t>Email:</w:t>
            </w:r>
          </w:p>
        </w:tc>
        <w:tc>
          <w:tcPr>
            <w:tcW w:w="3923" w:type="pct"/>
          </w:tcPr>
          <w:p w14:paraId="0EBCDB0C" w14:textId="77777777" w:rsidR="00392AE5" w:rsidRPr="00392AE5" w:rsidRDefault="00392AE5" w:rsidP="00392AE5">
            <w:pPr>
              <w:overflowPunct w:val="0"/>
              <w:autoSpaceDE w:val="0"/>
              <w:autoSpaceDN w:val="0"/>
              <w:adjustRightInd w:val="0"/>
              <w:spacing w:line="240" w:lineRule="auto"/>
              <w:textAlignment w:val="baseline"/>
              <w:rPr>
                <w:i/>
              </w:rPr>
            </w:pPr>
            <w:hyperlink r:id="rId36" w:history="1">
              <w:r w:rsidRPr="00392AE5">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725C1860" w:rsidR="008E331E" w:rsidRPr="008E331E" w:rsidRDefault="008E331E" w:rsidP="008E331E">
      <w:pPr>
        <w:widowControl w:val="0"/>
        <w:numPr>
          <w:ilvl w:val="0"/>
          <w:numId w:val="4"/>
        </w:numPr>
        <w:overflowPunct w:val="0"/>
        <w:autoSpaceDE w:val="0"/>
        <w:autoSpaceDN w:val="0"/>
        <w:adjustRightInd w:val="0"/>
        <w:ind w:hanging="567"/>
        <w:textAlignment w:val="baseline"/>
        <w:rPr>
          <w:sz w:val="20"/>
          <w:szCs w:val="20"/>
          <w:lang w:val="en-GB"/>
        </w:rPr>
      </w:pPr>
      <w:hyperlink r:id="rId37" w:tgtFrame="_blank" w:history="1">
        <w:r w:rsidRPr="008E331E">
          <w:rPr>
            <w:b/>
            <w:bCs/>
            <w:i/>
            <w:iCs/>
            <w:color w:val="0000FF"/>
            <w:sz w:val="28"/>
            <w:szCs w:val="28"/>
            <w:u w:val="single"/>
            <w:lang w:val="en-GB"/>
          </w:rPr>
          <w:t>Revision of the CO2 standards for cars and vans</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sidRPr="008E331E">
              <w:rPr>
                <w:b/>
              </w:rPr>
              <w:t>Rapporteur</w:t>
            </w:r>
          </w:p>
        </w:tc>
        <w:tc>
          <w:tcPr>
            <w:tcW w:w="5387" w:type="dxa"/>
          </w:tcPr>
          <w:p w14:paraId="206429AE" w14:textId="522015AF" w:rsidR="008E331E" w:rsidRPr="008E331E" w:rsidRDefault="008E331E" w:rsidP="008E331E">
            <w:pPr>
              <w:tabs>
                <w:tab w:val="center" w:pos="284"/>
              </w:tabs>
              <w:overflowPunct w:val="0"/>
              <w:autoSpaceDE w:val="0"/>
              <w:autoSpaceDN w:val="0"/>
              <w:adjustRightInd w:val="0"/>
              <w:ind w:left="266" w:hanging="266"/>
              <w:textAlignment w:val="baseline"/>
            </w:pPr>
            <w:r w:rsidRPr="008E331E">
              <w:t>Matteo BORSANI (Employers'</w:t>
            </w:r>
            <w:r w:rsidR="00AE547F">
              <w:t xml:space="preserve"> </w:t>
            </w:r>
            <w:r w:rsidRPr="008E331E">
              <w:t xml:space="preserve">Group </w:t>
            </w:r>
            <w:r w:rsidR="00AE547F">
              <w:t xml:space="preserve">- </w:t>
            </w:r>
            <w:r w:rsidRPr="008E331E">
              <w:t>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sidRPr="008E331E">
              <w:rPr>
                <w:b/>
              </w:rPr>
              <w:t>References</w:t>
            </w:r>
          </w:p>
        </w:tc>
        <w:tc>
          <w:tcPr>
            <w:tcW w:w="5387" w:type="dxa"/>
          </w:tcPr>
          <w:p w14:paraId="7281EBE1" w14:textId="33ECA953" w:rsidR="008E331E" w:rsidRPr="008E331E" w:rsidRDefault="008E331E" w:rsidP="008E331E">
            <w:pPr>
              <w:tabs>
                <w:tab w:val="center" w:pos="284"/>
              </w:tabs>
              <w:overflowPunct w:val="0"/>
              <w:autoSpaceDE w:val="0"/>
              <w:autoSpaceDN w:val="0"/>
              <w:adjustRightInd w:val="0"/>
              <w:ind w:left="266" w:hanging="266"/>
              <w:textAlignment w:val="baseline"/>
              <w:rPr>
                <w:lang w:val="pt-PT"/>
              </w:rPr>
            </w:pPr>
            <w:proofErr w:type="gramStart"/>
            <w:r w:rsidRPr="008E331E">
              <w:rPr>
                <w:lang w:val="pt-PT"/>
              </w:rPr>
              <w:t>COM(</w:t>
            </w:r>
            <w:proofErr w:type="gramEnd"/>
            <w:r w:rsidRPr="008E331E">
              <w:rPr>
                <w:lang w:val="pt-PT"/>
              </w:rPr>
              <w:t xml:space="preserve">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r w:rsidRPr="008E331E">
              <w:rPr>
                <w:lang w:val="pt-PT"/>
              </w:rP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r w:rsidRPr="008E331E">
        <w:rPr>
          <w:b/>
          <w:lang w:val="en-GB"/>
        </w:rPr>
        <w:t>Key points</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lang w:val="en-GB"/>
        </w:rPr>
      </w:pPr>
      <w:r w:rsidRPr="008E331E">
        <w:rPr>
          <w:bCs/>
          <w:iCs/>
          <w:lang w:val="en-GB"/>
        </w:rPr>
        <w:t>The EESC:</w:t>
      </w:r>
    </w:p>
    <w:p w14:paraId="5B2F5DBD" w14:textId="77777777" w:rsidR="008E331E" w:rsidRPr="008E331E" w:rsidRDefault="008E331E" w:rsidP="0024648D">
      <w:pPr>
        <w:numPr>
          <w:ilvl w:val="0"/>
          <w:numId w:val="29"/>
        </w:numPr>
        <w:overflowPunct w:val="0"/>
        <w:autoSpaceDE w:val="0"/>
        <w:autoSpaceDN w:val="0"/>
        <w:adjustRightInd w:val="0"/>
        <w:spacing w:after="200" w:line="276" w:lineRule="auto"/>
        <w:ind w:left="284" w:hanging="284"/>
        <w:contextualSpacing/>
        <w:textAlignment w:val="baseline"/>
        <w:rPr>
          <w:lang w:eastAsia="zh-CN"/>
        </w:rPr>
      </w:pPr>
      <w:r w:rsidRPr="008E331E">
        <w:rPr>
          <w:b/>
          <w:bCs/>
          <w:lang w:eastAsia="zh-CN"/>
        </w:rPr>
        <w:t>calls for a balanced and coherent EU framework</w:t>
      </w:r>
      <w:r w:rsidRPr="008E331E">
        <w:rPr>
          <w:lang w:eastAsia="zh-CN"/>
        </w:rPr>
        <w:t xml:space="preserve"> for the automotive transition, combining a strong push for zero- and low-emission mobility with technological neutrality, a reinforced </w:t>
      </w:r>
      <w:r w:rsidRPr="008E331E">
        <w:rPr>
          <w:i/>
          <w:iCs/>
          <w:lang w:eastAsia="zh-CN"/>
        </w:rPr>
        <w:t>“Made in the EU”</w:t>
      </w:r>
      <w:r w:rsidRPr="008E331E">
        <w:rPr>
          <w:lang w:eastAsia="zh-CN"/>
        </w:rPr>
        <w:t xml:space="preserve"> value chain, and the protection of quality jobs, industrial capacity and </w:t>
      </w:r>
      <w:proofErr w:type="gramStart"/>
      <w:r w:rsidRPr="008E331E">
        <w:rPr>
          <w:lang w:eastAsia="zh-CN"/>
        </w:rPr>
        <w:t>innovation;</w:t>
      </w:r>
      <w:proofErr w:type="gramEnd"/>
    </w:p>
    <w:p w14:paraId="432BFC18" w14:textId="77777777" w:rsidR="008E331E" w:rsidRPr="008E331E" w:rsidRDefault="008E331E" w:rsidP="0024648D">
      <w:pPr>
        <w:numPr>
          <w:ilvl w:val="0"/>
          <w:numId w:val="29"/>
        </w:numPr>
        <w:overflowPunct w:val="0"/>
        <w:autoSpaceDE w:val="0"/>
        <w:autoSpaceDN w:val="0"/>
        <w:adjustRightInd w:val="0"/>
        <w:spacing w:after="200" w:line="276" w:lineRule="auto"/>
        <w:ind w:left="284" w:hanging="284"/>
        <w:contextualSpacing/>
        <w:textAlignment w:val="baseline"/>
        <w:rPr>
          <w:lang w:eastAsia="zh-CN"/>
        </w:rPr>
      </w:pPr>
      <w:r w:rsidRPr="008E331E">
        <w:rPr>
          <w:b/>
          <w:bCs/>
          <w:lang w:eastAsia="zh-CN"/>
        </w:rPr>
        <w:t>urges a pragmatic revision of CO₂ standards</w:t>
      </w:r>
      <w:r w:rsidRPr="008E331E">
        <w:rPr>
          <w:lang w:eastAsia="zh-CN"/>
        </w:rPr>
        <w:t xml:space="preserve"> for cars and vans, aligned with market realities and climate objectives, to restore competitiveness while maintaining the long-term </w:t>
      </w:r>
      <w:proofErr w:type="spellStart"/>
      <w:r w:rsidRPr="008E331E">
        <w:rPr>
          <w:lang w:eastAsia="zh-CN"/>
        </w:rPr>
        <w:t>decarbonisation</w:t>
      </w:r>
      <w:proofErr w:type="spellEnd"/>
      <w:r w:rsidRPr="008E331E">
        <w:rPr>
          <w:lang w:eastAsia="zh-CN"/>
        </w:rPr>
        <w:t xml:space="preserve"> </w:t>
      </w:r>
      <w:proofErr w:type="gramStart"/>
      <w:r w:rsidRPr="008E331E">
        <w:rPr>
          <w:lang w:eastAsia="zh-CN"/>
        </w:rPr>
        <w:t>trajectory;</w:t>
      </w:r>
      <w:proofErr w:type="gramEnd"/>
    </w:p>
    <w:p w14:paraId="0972F5CB" w14:textId="77777777" w:rsidR="008E331E" w:rsidRPr="008E331E" w:rsidRDefault="008E331E" w:rsidP="0024648D">
      <w:pPr>
        <w:numPr>
          <w:ilvl w:val="0"/>
          <w:numId w:val="29"/>
        </w:numPr>
        <w:overflowPunct w:val="0"/>
        <w:autoSpaceDE w:val="0"/>
        <w:autoSpaceDN w:val="0"/>
        <w:adjustRightInd w:val="0"/>
        <w:spacing w:after="200" w:line="276" w:lineRule="auto"/>
        <w:ind w:left="284" w:hanging="284"/>
        <w:contextualSpacing/>
        <w:textAlignment w:val="baseline"/>
        <w:rPr>
          <w:lang w:eastAsia="zh-CN"/>
        </w:rPr>
      </w:pPr>
      <w:r w:rsidRPr="008E331E">
        <w:rPr>
          <w:b/>
          <w:bCs/>
          <w:lang w:eastAsia="zh-CN"/>
        </w:rPr>
        <w:t>advocates a stronger role for transitional technologies</w:t>
      </w:r>
      <w:r w:rsidRPr="008E331E">
        <w:rPr>
          <w:lang w:eastAsia="zh-CN"/>
        </w:rPr>
        <w:t xml:space="preserve">, including hybrid vehicles, sustainable renewable fuels and low-emission materials, and calls for reducing the exclusive reliance on tailpipe emissions to enable a more realistic and socially balanced </w:t>
      </w:r>
      <w:proofErr w:type="gramStart"/>
      <w:r w:rsidRPr="008E331E">
        <w:rPr>
          <w:lang w:eastAsia="zh-CN"/>
        </w:rPr>
        <w:t>transition;</w:t>
      </w:r>
      <w:proofErr w:type="gramEnd"/>
    </w:p>
    <w:p w14:paraId="1A4C34C1" w14:textId="77777777" w:rsidR="008E331E" w:rsidRPr="008E331E" w:rsidRDefault="008E331E" w:rsidP="0024648D">
      <w:pPr>
        <w:numPr>
          <w:ilvl w:val="0"/>
          <w:numId w:val="29"/>
        </w:numPr>
        <w:overflowPunct w:val="0"/>
        <w:autoSpaceDE w:val="0"/>
        <w:autoSpaceDN w:val="0"/>
        <w:adjustRightInd w:val="0"/>
        <w:spacing w:after="200" w:line="276" w:lineRule="auto"/>
        <w:ind w:left="284" w:hanging="284"/>
        <w:contextualSpacing/>
        <w:textAlignment w:val="baseline"/>
        <w:rPr>
          <w:lang w:eastAsia="zh-CN"/>
        </w:rPr>
      </w:pPr>
      <w:r w:rsidRPr="008E331E">
        <w:rPr>
          <w:b/>
          <w:bCs/>
          <w:lang w:eastAsia="zh-CN"/>
        </w:rPr>
        <w:t>welcomes greater flexibility for 2030 targets</w:t>
      </w:r>
      <w:r w:rsidRPr="008E331E">
        <w:rPr>
          <w:lang w:eastAsia="zh-CN"/>
        </w:rPr>
        <w:t xml:space="preserve">, including multi-year compliance, and calls for targeted support for charging infrastructure, corporate fleet electrification and light commercial vehicles, where market uptake remains </w:t>
      </w:r>
      <w:proofErr w:type="gramStart"/>
      <w:r w:rsidRPr="008E331E">
        <w:rPr>
          <w:lang w:eastAsia="zh-CN"/>
        </w:rPr>
        <w:t>limited;</w:t>
      </w:r>
      <w:proofErr w:type="gramEnd"/>
    </w:p>
    <w:p w14:paraId="789098F1" w14:textId="77777777" w:rsidR="008E331E" w:rsidRPr="008E331E" w:rsidRDefault="008E331E" w:rsidP="0024648D">
      <w:pPr>
        <w:numPr>
          <w:ilvl w:val="0"/>
          <w:numId w:val="29"/>
        </w:numPr>
        <w:overflowPunct w:val="0"/>
        <w:autoSpaceDE w:val="0"/>
        <w:autoSpaceDN w:val="0"/>
        <w:adjustRightInd w:val="0"/>
        <w:spacing w:after="200" w:line="276" w:lineRule="auto"/>
        <w:ind w:left="284" w:hanging="284"/>
        <w:contextualSpacing/>
        <w:textAlignment w:val="baseline"/>
        <w:rPr>
          <w:lang w:val="en-GB" w:eastAsia="zh-CN"/>
        </w:rPr>
      </w:pPr>
      <w:r w:rsidRPr="008E331E">
        <w:rPr>
          <w:b/>
          <w:bCs/>
          <w:lang w:eastAsia="zh-CN"/>
        </w:rPr>
        <w:t>recommends strengthening EU industrial leadership</w:t>
      </w:r>
      <w:r w:rsidRPr="008E331E">
        <w:rPr>
          <w:lang w:eastAsia="zh-CN"/>
        </w:rPr>
        <w:t>, through incentives such as “Made in the EU” content, support for low-emission steel and extended super-credits for electric vehicles, alongside a more comprehensive emissions methodology and a transition that remains affordable, inclusive and job-rich.</w:t>
      </w:r>
    </w:p>
    <w:p w14:paraId="5E4844AB" w14:textId="77777777" w:rsidR="008E331E" w:rsidRPr="008E331E" w:rsidRDefault="008E331E" w:rsidP="0024648D">
      <w:pPr>
        <w:widowControl w:val="0"/>
        <w:overflowPunct w:val="0"/>
        <w:autoSpaceDE w:val="0"/>
        <w:autoSpaceDN w:val="0"/>
        <w:adjustRightInd w:val="0"/>
        <w:spacing w:line="276" w:lineRule="auto"/>
        <w:textAlignment w:val="baseline"/>
        <w:rPr>
          <w:szCs w:val="20"/>
          <w:lang w:val="en-GB"/>
        </w:rPr>
      </w:pP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sidRPr="008E331E">
              <w:rPr>
                <w:b/>
                <w:i/>
              </w:rPr>
              <w:t>Contact</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sidRPr="008E331E">
              <w:rPr>
                <w:i/>
              </w:rPr>
              <w:t>Silvia S</w:t>
            </w:r>
            <w:r w:rsidR="00C32E41" w:rsidRPr="008E331E">
              <w:rPr>
                <w:i/>
              </w:rPr>
              <w:t>taffa</w:t>
            </w:r>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sidRPr="008E331E">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sidRPr="008E331E">
              <w:rPr>
                <w:i/>
                <w:lang w:val="en-GB"/>
              </w:rPr>
              <w:t>+ 32 25468378</w:t>
            </w:r>
          </w:p>
        </w:tc>
      </w:tr>
      <w:tr w:rsidR="008E331E" w:rsidRPr="008E331E" w14:paraId="5F4D2CBA" w14:textId="77777777" w:rsidTr="002E7EFB">
        <w:tc>
          <w:tcPr>
            <w:tcW w:w="1418" w:type="dxa"/>
          </w:tcPr>
          <w:p w14:paraId="6B39137F" w14:textId="1928AB53" w:rsidR="008E331E" w:rsidRPr="008E331E" w:rsidRDefault="00C32E41" w:rsidP="008E331E">
            <w:pPr>
              <w:overflowPunct w:val="0"/>
              <w:autoSpaceDE w:val="0"/>
              <w:autoSpaceDN w:val="0"/>
              <w:adjustRightInd w:val="0"/>
              <w:spacing w:line="240" w:lineRule="auto"/>
              <w:textAlignment w:val="baseline"/>
              <w:rPr>
                <w:i/>
              </w:rPr>
            </w:pPr>
            <w:r>
              <w:rPr>
                <w:i/>
              </w:rPr>
              <w:t>E</w:t>
            </w:r>
            <w:r w:rsidR="008E331E" w:rsidRPr="008E331E">
              <w:rPr>
                <w:i/>
              </w:rPr>
              <w:t>mail</w:t>
            </w:r>
          </w:p>
        </w:tc>
        <w:tc>
          <w:tcPr>
            <w:tcW w:w="5670" w:type="dxa"/>
          </w:tcPr>
          <w:p w14:paraId="07ADD844" w14:textId="77777777" w:rsidR="008E331E" w:rsidRPr="008E331E" w:rsidRDefault="008E331E" w:rsidP="008E331E">
            <w:pPr>
              <w:overflowPunct w:val="0"/>
              <w:autoSpaceDE w:val="0"/>
              <w:autoSpaceDN w:val="0"/>
              <w:adjustRightInd w:val="0"/>
              <w:spacing w:line="240" w:lineRule="auto"/>
              <w:textAlignment w:val="baseline"/>
              <w:rPr>
                <w:i/>
              </w:rPr>
            </w:pPr>
            <w:hyperlink r:id="rId38" w:history="1">
              <w:r w:rsidRPr="008E331E">
                <w:rPr>
                  <w:i/>
                  <w:color w:val="0000FF"/>
                  <w:u w:val="single"/>
                </w:rPr>
                <w:t>Silvia.Staffa@eesc.europa.eu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3A2E324E" w:rsidR="00882D0D" w:rsidRPr="00DD2898" w:rsidRDefault="00882D0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28"/>
          <w:szCs w:val="28"/>
          <w:lang w:val="en-GB" w:eastAsia="zh-CN"/>
        </w:rPr>
      </w:pPr>
      <w:hyperlink r:id="rId39" w:tgtFrame="_blank" w:history="1">
        <w:r w:rsidRPr="00DD2898">
          <w:rPr>
            <w:b/>
            <w:i/>
            <w:color w:val="0000FF"/>
            <w:sz w:val="28"/>
            <w:szCs w:val="28"/>
            <w:u w:val="single"/>
            <w:lang w:val="en-GB" w:eastAsia="zh-CN"/>
          </w:rPr>
          <w:t xml:space="preserve">Evaluation </w:t>
        </w:r>
        <w:r w:rsidR="00173C89" w:rsidRPr="00DD2898">
          <w:rPr>
            <w:b/>
            <w:i/>
            <w:color w:val="0000FF"/>
            <w:sz w:val="28"/>
            <w:szCs w:val="28"/>
            <w:u w:val="single"/>
            <w:lang w:val="en-GB" w:eastAsia="zh-CN"/>
          </w:rPr>
          <w:t>R</w:t>
        </w:r>
        <w:r w:rsidRPr="00DD2898">
          <w:rPr>
            <w:b/>
            <w:i/>
            <w:color w:val="0000FF"/>
            <w:sz w:val="28"/>
            <w:szCs w:val="28"/>
            <w:u w:val="single"/>
            <w:lang w:val="en-GB" w:eastAsia="zh-CN"/>
          </w:rPr>
          <w:t>egulatio</w:t>
        </w:r>
        <w:r w:rsidR="00173C89" w:rsidRPr="00DD2898">
          <w:rPr>
            <w:b/>
            <w:i/>
            <w:color w:val="0000FF"/>
            <w:sz w:val="28"/>
            <w:szCs w:val="28"/>
            <w:u w:val="single"/>
            <w:lang w:val="en-GB" w:eastAsia="zh-CN"/>
          </w:rPr>
          <w:t>n (EU) 2019</w:t>
        </w:r>
        <w:r w:rsidR="003C3284" w:rsidRPr="00DD2898">
          <w:rPr>
            <w:b/>
            <w:i/>
            <w:color w:val="0000FF"/>
            <w:sz w:val="28"/>
            <w:szCs w:val="28"/>
            <w:u w:val="single"/>
            <w:lang w:val="en-GB" w:eastAsia="zh-CN"/>
          </w:rPr>
          <w:t xml:space="preserve">/1020 on market surveillance and compliance of </w:t>
        </w:r>
        <w:r w:rsidR="00DD2898" w:rsidRPr="00DD2898">
          <w:rPr>
            <w:b/>
            <w:i/>
            <w:color w:val="0000FF"/>
            <w:sz w:val="28"/>
            <w:szCs w:val="28"/>
            <w:u w:val="single"/>
            <w:lang w:val="en-GB" w:eastAsia="zh-CN"/>
          </w:rPr>
          <w:t>products</w:t>
        </w:r>
      </w:hyperlink>
    </w:p>
    <w:p w14:paraId="3DC7A7FA" w14:textId="77777777" w:rsidR="002A0F5D" w:rsidRPr="00F25916" w:rsidRDefault="002A0F5D" w:rsidP="0024648D">
      <w:pPr>
        <w:widowControl w:val="0"/>
        <w:overflowPunct w:val="0"/>
        <w:autoSpaceDE w:val="0"/>
        <w:autoSpaceDN w:val="0"/>
        <w:adjustRightInd w:val="0"/>
        <w:spacing w:after="200" w:line="276" w:lineRule="auto"/>
        <w:ind w:left="360"/>
        <w:contextualSpacing/>
        <w:jc w:val="left"/>
        <w:textAlignment w:val="baseline"/>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sidRPr="00882D0D">
              <w:rPr>
                <w:b/>
              </w:rPr>
              <w:t>Rapporteur</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sidRPr="00882D0D">
              <w:rPr>
                <w:b/>
              </w:rPr>
              <w:t>Co-rapporteur</w:t>
            </w:r>
          </w:p>
        </w:tc>
        <w:tc>
          <w:tcPr>
            <w:tcW w:w="3852" w:type="pct"/>
          </w:tcPr>
          <w:p w14:paraId="22DD296F" w14:textId="1B99AFBD" w:rsidR="00882D0D" w:rsidRPr="0024648D" w:rsidRDefault="00882D0D" w:rsidP="00882D0D">
            <w:pPr>
              <w:tabs>
                <w:tab w:val="center" w:pos="284"/>
              </w:tabs>
              <w:overflowPunct w:val="0"/>
              <w:autoSpaceDE w:val="0"/>
              <w:autoSpaceDN w:val="0"/>
              <w:adjustRightInd w:val="0"/>
              <w:ind w:left="266" w:hanging="266"/>
              <w:textAlignment w:val="baseline"/>
              <w:rPr>
                <w:lang w:val="en-GB"/>
              </w:rPr>
            </w:pPr>
            <w:r w:rsidRPr="0024648D">
              <w:rPr>
                <w:lang w:val="en-GB"/>
              </w:rPr>
              <w:t xml:space="preserve">Antje GERSTEIN (Employers' Group </w:t>
            </w:r>
            <w:r w:rsidR="004815E0" w:rsidRPr="0024648D">
              <w:rPr>
                <w:lang w:val="en-GB"/>
              </w:rPr>
              <w:t>-</w:t>
            </w:r>
            <w:r w:rsidRPr="0024648D">
              <w:rPr>
                <w:lang w:val="en-GB"/>
              </w:rPr>
              <w:t xml:space="preserve"> DE)</w:t>
            </w:r>
          </w:p>
          <w:p w14:paraId="198B3B8D" w14:textId="1C9D367D" w:rsidR="00882D0D" w:rsidRPr="0024648D" w:rsidRDefault="00882D0D" w:rsidP="00882D0D">
            <w:pPr>
              <w:tabs>
                <w:tab w:val="center" w:pos="284"/>
              </w:tabs>
              <w:overflowPunct w:val="0"/>
              <w:autoSpaceDE w:val="0"/>
              <w:autoSpaceDN w:val="0"/>
              <w:adjustRightInd w:val="0"/>
              <w:ind w:left="266" w:hanging="266"/>
              <w:textAlignment w:val="baseline"/>
              <w:rPr>
                <w:lang w:val="en-GB"/>
              </w:rPr>
            </w:pPr>
            <w:r w:rsidRPr="00882D0D">
              <w:rPr>
                <w:lang w:val="en-GB"/>
              </w:rPr>
              <w:t>Anastasis YIAPANIS (Civil Society Organisations</w:t>
            </w:r>
            <w:r w:rsidR="0069265D">
              <w:rPr>
                <w:lang w:val="en-GB"/>
              </w:rPr>
              <w:t>' Group</w:t>
            </w:r>
            <w:r w:rsidRPr="00882D0D">
              <w:rPr>
                <w:lang w:val="en-GB"/>
              </w:rPr>
              <w:t xml:space="preserve"> -</w:t>
            </w:r>
            <w:r w:rsidR="002C1664">
              <w:rPr>
                <w:lang w:val="en-GB"/>
              </w:rPr>
              <w:t xml:space="preserve"> </w:t>
            </w:r>
            <w:r w:rsidRPr="00882D0D">
              <w:rPr>
                <w:lang w:val="en-GB"/>
              </w:rPr>
              <w:t>CY)</w:t>
            </w:r>
          </w:p>
          <w:p w14:paraId="0D785ADB" w14:textId="77777777" w:rsidR="00882D0D" w:rsidRPr="0024648D" w:rsidRDefault="00882D0D" w:rsidP="00882D0D">
            <w:pPr>
              <w:tabs>
                <w:tab w:val="center" w:pos="284"/>
              </w:tabs>
              <w:overflowPunct w:val="0"/>
              <w:autoSpaceDE w:val="0"/>
              <w:autoSpaceDN w:val="0"/>
              <w:adjustRightInd w:val="0"/>
              <w:ind w:left="266" w:hanging="266"/>
              <w:textAlignment w:val="baseline"/>
              <w:rPr>
                <w:lang w:val="en-GB"/>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sidRPr="00882D0D">
              <w:rPr>
                <w:b/>
              </w:rPr>
              <w:t>References</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rPr>
                <w:lang w:val="en-GB"/>
              </w:rPr>
            </w:pPr>
            <w:r>
              <w:rPr>
                <w:lang w:val="en-GB"/>
              </w:rPr>
              <w:t>Evaluation report</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proofErr w:type="gramStart"/>
            <w:r w:rsidRPr="00882D0D">
              <w:rPr>
                <w:lang w:val="en-GB"/>
              </w:rPr>
              <w:t>COM(</w:t>
            </w:r>
            <w:proofErr w:type="gramEnd"/>
            <w:r w:rsidRPr="00882D0D">
              <w:rPr>
                <w:lang w:val="en-GB"/>
              </w:rPr>
              <w:t>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rsidRPr="00882D0D">
              <w:t>EESC-2025-</w:t>
            </w:r>
            <w:proofErr w:type="gramStart"/>
            <w:r w:rsidRPr="00882D0D">
              <w:t>00</w:t>
            </w:r>
            <w:r w:rsidR="004B35B6">
              <w:t>3</w:t>
            </w:r>
            <w:r w:rsidRPr="00882D0D">
              <w:t>345-</w:t>
            </w:r>
            <w:proofErr w:type="gramEnd"/>
            <w:r w:rsidRPr="00882D0D">
              <w:t>00-00-RE</w:t>
            </w:r>
          </w:p>
        </w:tc>
      </w:tr>
    </w:tbl>
    <w:p w14:paraId="0B927B39" w14:textId="77777777" w:rsidR="00CC2C7F" w:rsidRPr="00CC2C7F" w:rsidRDefault="00CC2C7F" w:rsidP="00CC2C7F">
      <w:pPr>
        <w:keepNext/>
        <w:keepLines/>
        <w:tabs>
          <w:tab w:val="center" w:pos="284"/>
        </w:tabs>
        <w:overflowPunct w:val="0"/>
        <w:autoSpaceDE w:val="0"/>
        <w:autoSpaceDN w:val="0"/>
        <w:adjustRightInd w:val="0"/>
        <w:spacing w:line="240" w:lineRule="auto"/>
        <w:ind w:left="266" w:hanging="266"/>
        <w:textAlignment w:val="baseline"/>
      </w:pPr>
    </w:p>
    <w:p w14:paraId="7E28CB07" w14:textId="1EADC605"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r w:rsidRPr="00882D0D">
        <w:rPr>
          <w:b/>
          <w:lang w:val="en-GB"/>
        </w:rPr>
        <w:t>Key points</w:t>
      </w:r>
    </w:p>
    <w:p w14:paraId="7E01B620" w14:textId="77777777" w:rsidR="00882D0D" w:rsidRPr="00CC2C7F" w:rsidRDefault="00882D0D" w:rsidP="00CC2C7F">
      <w:pPr>
        <w:keepNext/>
        <w:keepLines/>
        <w:tabs>
          <w:tab w:val="center" w:pos="284"/>
        </w:tabs>
        <w:overflowPunct w:val="0"/>
        <w:autoSpaceDE w:val="0"/>
        <w:autoSpaceDN w:val="0"/>
        <w:adjustRightInd w:val="0"/>
        <w:spacing w:line="240" w:lineRule="auto"/>
        <w:ind w:left="266" w:hanging="266"/>
        <w:textAlignment w:val="baseline"/>
        <w:rPr>
          <w:bCs/>
          <w:lang w:val="en-GB"/>
        </w:rPr>
      </w:pPr>
    </w:p>
    <w:p w14:paraId="22B4E57C" w14:textId="77777777" w:rsidR="00882D0D" w:rsidRPr="00882D0D" w:rsidRDefault="00882D0D" w:rsidP="00882D0D">
      <w:pPr>
        <w:overflowPunct w:val="0"/>
        <w:autoSpaceDE w:val="0"/>
        <w:autoSpaceDN w:val="0"/>
        <w:adjustRightInd w:val="0"/>
        <w:textAlignment w:val="baseline"/>
        <w:rPr>
          <w:bCs/>
          <w:iCs/>
          <w:lang w:val="en-GB"/>
        </w:rPr>
      </w:pPr>
      <w:r w:rsidRPr="00882D0D">
        <w:rPr>
          <w:bCs/>
          <w:iCs/>
          <w:lang w:val="en-GB"/>
        </w:rPr>
        <w:t>The EESC recommends:</w:t>
      </w:r>
    </w:p>
    <w:p w14:paraId="43BC8A8A"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promote the adoption of a consolidated European Product </w:t>
      </w:r>
      <w:proofErr w:type="gramStart"/>
      <w:r w:rsidRPr="00882D0D">
        <w:rPr>
          <w:szCs w:val="20"/>
          <w:lang w:val="en-GB"/>
        </w:rPr>
        <w:t>Act;</w:t>
      </w:r>
      <w:proofErr w:type="gramEnd"/>
    </w:p>
    <w:p w14:paraId="331BAADF"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ensure coherence between the Market Surveillance Regulation (MSR), the General Product Safety Regulation, sector specific legislation and the Union Customs </w:t>
      </w:r>
      <w:proofErr w:type="gramStart"/>
      <w:r w:rsidRPr="00882D0D">
        <w:rPr>
          <w:szCs w:val="20"/>
          <w:lang w:val="en-GB"/>
        </w:rPr>
        <w:t>Code;</w:t>
      </w:r>
      <w:proofErr w:type="gramEnd"/>
    </w:p>
    <w:p w14:paraId="47770594"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strengthen structured cooperation between customs and market surveillance </w:t>
      </w:r>
      <w:proofErr w:type="gramStart"/>
      <w:r w:rsidRPr="00882D0D">
        <w:rPr>
          <w:szCs w:val="20"/>
          <w:lang w:val="en-GB"/>
        </w:rPr>
        <w:t>authorities;</w:t>
      </w:r>
      <w:proofErr w:type="gramEnd"/>
    </w:p>
    <w:p w14:paraId="3C1DCD11"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that future MSR revisions address the specific characteristics of AI and other digital </w:t>
      </w:r>
      <w:proofErr w:type="gramStart"/>
      <w:r w:rsidRPr="00882D0D">
        <w:rPr>
          <w:szCs w:val="20"/>
          <w:lang w:val="en-GB"/>
        </w:rPr>
        <w:t>technologies;</w:t>
      </w:r>
      <w:proofErr w:type="gramEnd"/>
    </w:p>
    <w:p w14:paraId="5E50D7E5"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ensure adequate, predictable and performance-based human and financial resources for market surveillance and customs authorities, combined with measurable implementation </w:t>
      </w:r>
      <w:proofErr w:type="gramStart"/>
      <w:r w:rsidRPr="00882D0D">
        <w:rPr>
          <w:szCs w:val="20"/>
          <w:lang w:val="en-GB"/>
        </w:rPr>
        <w:t>indicators;</w:t>
      </w:r>
      <w:proofErr w:type="gramEnd"/>
    </w:p>
    <w:p w14:paraId="5E775A69"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provide national authorities with effective, proportionate and dissuasive enforcement </w:t>
      </w:r>
      <w:proofErr w:type="gramStart"/>
      <w:r w:rsidRPr="00882D0D">
        <w:rPr>
          <w:szCs w:val="20"/>
          <w:lang w:val="en-GB"/>
        </w:rPr>
        <w:t>tools;</w:t>
      </w:r>
      <w:proofErr w:type="gramEnd"/>
    </w:p>
    <w:p w14:paraId="23D44F67"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establish a reinforced European enforcement capacity capable of addressing systemic cross border risks and </w:t>
      </w:r>
      <w:proofErr w:type="gramStart"/>
      <w:r w:rsidRPr="00882D0D">
        <w:rPr>
          <w:szCs w:val="20"/>
          <w:lang w:val="en-GB"/>
        </w:rPr>
        <w:t>large scale</w:t>
      </w:r>
      <w:proofErr w:type="gramEnd"/>
      <w:r w:rsidRPr="00882D0D">
        <w:rPr>
          <w:szCs w:val="20"/>
          <w:lang w:val="en-GB"/>
        </w:rPr>
        <w:t xml:space="preserve"> digital trade </w:t>
      </w:r>
      <w:proofErr w:type="gramStart"/>
      <w:r w:rsidRPr="00882D0D">
        <w:rPr>
          <w:szCs w:val="20"/>
          <w:lang w:val="en-GB"/>
        </w:rPr>
        <w:t>flows;</w:t>
      </w:r>
      <w:proofErr w:type="gramEnd"/>
      <w:r w:rsidRPr="00882D0D">
        <w:rPr>
          <w:szCs w:val="20"/>
          <w:lang w:val="en-GB"/>
        </w:rPr>
        <w:t xml:space="preserve"> </w:t>
      </w:r>
    </w:p>
    <w:p w14:paraId="22F6F36B"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adopt a clear risk-based enforcement </w:t>
      </w:r>
      <w:proofErr w:type="gramStart"/>
      <w:r w:rsidRPr="00882D0D">
        <w:rPr>
          <w:szCs w:val="20"/>
          <w:lang w:val="en-GB"/>
        </w:rPr>
        <w:t>framework;</w:t>
      </w:r>
      <w:proofErr w:type="gramEnd"/>
    </w:p>
    <w:p w14:paraId="76E510E8"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align the MSR enforcement framework with the logic established under the Digital Services Act by introducing proportionate additional responsibilities for actors whose scale generates systemic compliance </w:t>
      </w:r>
      <w:proofErr w:type="gramStart"/>
      <w:r w:rsidRPr="00882D0D">
        <w:rPr>
          <w:szCs w:val="20"/>
          <w:lang w:val="en-GB"/>
        </w:rPr>
        <w:t>risks;</w:t>
      </w:r>
      <w:proofErr w:type="gramEnd"/>
    </w:p>
    <w:p w14:paraId="4CC68798"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develop a structured compliance partnership framework enabling authorities to work proactively with economic </w:t>
      </w:r>
      <w:proofErr w:type="gramStart"/>
      <w:r w:rsidRPr="00882D0D">
        <w:rPr>
          <w:szCs w:val="20"/>
          <w:lang w:val="en-GB"/>
        </w:rPr>
        <w:t>actors;</w:t>
      </w:r>
      <w:proofErr w:type="gramEnd"/>
    </w:p>
    <w:p w14:paraId="774CC109"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make the MSR more proportionate and accessible for SMEs and </w:t>
      </w:r>
      <w:proofErr w:type="gramStart"/>
      <w:r w:rsidRPr="00882D0D">
        <w:rPr>
          <w:szCs w:val="20"/>
          <w:lang w:val="en-GB"/>
        </w:rPr>
        <w:t>microenterprises;</w:t>
      </w:r>
      <w:proofErr w:type="gramEnd"/>
    </w:p>
    <w:p w14:paraId="569668E9"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establish a European observatory on non-compliant </w:t>
      </w:r>
      <w:proofErr w:type="gramStart"/>
      <w:r w:rsidRPr="00882D0D">
        <w:rPr>
          <w:szCs w:val="20"/>
          <w:lang w:val="en-GB"/>
        </w:rPr>
        <w:t>products;</w:t>
      </w:r>
      <w:proofErr w:type="gramEnd"/>
    </w:p>
    <w:p w14:paraId="6343892F"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clarify the responsibility chain and make it fit to operate by introducing minimum quality criteria for authorised </w:t>
      </w:r>
      <w:proofErr w:type="gramStart"/>
      <w:r w:rsidRPr="00882D0D">
        <w:rPr>
          <w:szCs w:val="20"/>
          <w:lang w:val="en-GB"/>
        </w:rPr>
        <w:t>representatives;</w:t>
      </w:r>
      <w:proofErr w:type="gramEnd"/>
    </w:p>
    <w:p w14:paraId="30F2C869"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improve interoperability between the Information and Communication System for Market Surveillance (ICSMS), Safety Gate, customs databases and other relevant </w:t>
      </w:r>
      <w:proofErr w:type="gramStart"/>
      <w:r w:rsidRPr="00882D0D">
        <w:rPr>
          <w:szCs w:val="20"/>
          <w:lang w:val="en-GB"/>
        </w:rPr>
        <w:t>systems;</w:t>
      </w:r>
      <w:proofErr w:type="gramEnd"/>
    </w:p>
    <w:p w14:paraId="6CFF330B"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ensure regular and accessible publication and dissemination of enforcement </w:t>
      </w:r>
      <w:proofErr w:type="gramStart"/>
      <w:r w:rsidRPr="00882D0D">
        <w:rPr>
          <w:szCs w:val="20"/>
          <w:lang w:val="en-GB"/>
        </w:rPr>
        <w:t>outcomes;</w:t>
      </w:r>
      <w:proofErr w:type="gramEnd"/>
    </w:p>
    <w:p w14:paraId="1556111A"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to strengthen structured involvement of civil society and social partners (formal consultation mechanisms, permanent dialogue platforms, early engagement in legislative developments and improved access to information and digital interfaces for interaction with authorities</w:t>
      </w:r>
      <w:proofErr w:type="gramStart"/>
      <w:r w:rsidRPr="00882D0D">
        <w:rPr>
          <w:szCs w:val="20"/>
          <w:lang w:val="en-GB"/>
        </w:rPr>
        <w:t>);</w:t>
      </w:r>
      <w:proofErr w:type="gramEnd"/>
    </w:p>
    <w:p w14:paraId="21DADFB3"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 xml:space="preserve">to provide capacity-building support and targeted training for both authorities and civil society </w:t>
      </w:r>
      <w:proofErr w:type="gramStart"/>
      <w:r w:rsidRPr="00882D0D">
        <w:rPr>
          <w:szCs w:val="20"/>
          <w:lang w:val="en-GB"/>
        </w:rPr>
        <w:t>actors;</w:t>
      </w:r>
      <w:proofErr w:type="gramEnd"/>
    </w:p>
    <w:p w14:paraId="64C493EB" w14:textId="77777777" w:rsidR="00882D0D" w:rsidRPr="00882D0D" w:rsidRDefault="00882D0D" w:rsidP="0024648D">
      <w:pPr>
        <w:widowControl w:val="0"/>
        <w:numPr>
          <w:ilvl w:val="0"/>
          <w:numId w:val="30"/>
        </w:numPr>
        <w:overflowPunct w:val="0"/>
        <w:autoSpaceDE w:val="0"/>
        <w:autoSpaceDN w:val="0"/>
        <w:adjustRightInd w:val="0"/>
        <w:ind w:left="284" w:hanging="284"/>
        <w:textAlignment w:val="baseline"/>
        <w:rPr>
          <w:szCs w:val="20"/>
          <w:lang w:val="en-GB"/>
        </w:rPr>
      </w:pPr>
      <w:r w:rsidRPr="00882D0D">
        <w:rPr>
          <w:szCs w:val="20"/>
          <w:lang w:val="en-GB"/>
        </w:rPr>
        <w:t>to introduce simple and effective tools to report fraudulent advertising.</w:t>
      </w:r>
    </w:p>
    <w:p w14:paraId="646B798F" w14:textId="77777777" w:rsidR="00882D0D" w:rsidRPr="00882D0D" w:rsidRDefault="00882D0D" w:rsidP="00CC2C7F">
      <w:pPr>
        <w:widowControl w:val="0"/>
        <w:overflowPunct w:val="0"/>
        <w:autoSpaceDE w:val="0"/>
        <w:autoSpaceDN w:val="0"/>
        <w:adjustRightInd w:val="0"/>
        <w:spacing w:line="240" w:lineRule="auto"/>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sidRPr="00882D0D">
              <w:rPr>
                <w:b/>
                <w:i/>
              </w:rPr>
              <w:t>Contact</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sidRPr="00882D0D">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sidRPr="00882D0D">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sidRPr="00882D0D">
              <w:rPr>
                <w:i/>
              </w:rPr>
              <w:t>+32 25469732</w:t>
            </w:r>
          </w:p>
        </w:tc>
      </w:tr>
      <w:tr w:rsidR="00882D0D" w:rsidRPr="00882D0D" w14:paraId="2E49B53D" w14:textId="77777777" w:rsidTr="002E7EFB">
        <w:tc>
          <w:tcPr>
            <w:tcW w:w="1556" w:type="pct"/>
          </w:tcPr>
          <w:p w14:paraId="51CF8F1E" w14:textId="4749B0E1" w:rsidR="00882D0D" w:rsidRPr="00882D0D" w:rsidRDefault="00B37567" w:rsidP="00882D0D">
            <w:pPr>
              <w:overflowPunct w:val="0"/>
              <w:autoSpaceDE w:val="0"/>
              <w:autoSpaceDN w:val="0"/>
              <w:adjustRightInd w:val="0"/>
              <w:spacing w:line="240" w:lineRule="auto"/>
              <w:textAlignment w:val="baseline"/>
              <w:rPr>
                <w:i/>
              </w:rPr>
            </w:pPr>
            <w:r>
              <w:rPr>
                <w:i/>
              </w:rPr>
              <w:t>E</w:t>
            </w:r>
            <w:r w:rsidR="00882D0D" w:rsidRPr="00882D0D">
              <w:rPr>
                <w:i/>
              </w:rPr>
              <w:t>mail</w:t>
            </w:r>
          </w:p>
        </w:tc>
        <w:tc>
          <w:tcPr>
            <w:tcW w:w="3444" w:type="pct"/>
          </w:tcPr>
          <w:p w14:paraId="22B253E8" w14:textId="77777777" w:rsidR="00882D0D" w:rsidRPr="00882D0D" w:rsidRDefault="00882D0D" w:rsidP="00882D0D">
            <w:pPr>
              <w:overflowPunct w:val="0"/>
              <w:autoSpaceDE w:val="0"/>
              <w:autoSpaceDN w:val="0"/>
              <w:adjustRightInd w:val="0"/>
              <w:spacing w:line="240" w:lineRule="auto"/>
              <w:textAlignment w:val="baseline"/>
              <w:rPr>
                <w:i/>
                <w:iCs/>
                <w:lang w:val="en-GB"/>
              </w:rPr>
            </w:pPr>
            <w:hyperlink r:id="rId40" w:history="1">
              <w:r w:rsidRPr="00882D0D">
                <w:rPr>
                  <w:i/>
                  <w:iCs/>
                  <w:color w:val="0000FF"/>
                  <w:u w:val="single"/>
                  <w:lang w:val="en-GB"/>
                </w:rPr>
                <w:t>Annalisa.Tessarolo@eesc.europa.eu</w:t>
              </w:r>
            </w:hyperlink>
          </w:p>
        </w:tc>
      </w:tr>
    </w:tbl>
    <w:p w14:paraId="0667917E" w14:textId="77777777" w:rsidR="00A067F3" w:rsidRPr="0024648D" w:rsidRDefault="00A067F3">
      <w:pPr>
        <w:spacing w:after="160" w:line="259" w:lineRule="auto"/>
        <w:jc w:val="left"/>
        <w:rPr>
          <w:szCs w:val="20"/>
        </w:rPr>
      </w:pPr>
      <w:r w:rsidRPr="0024648D">
        <w:rPr>
          <w:szCs w:val="20"/>
        </w:rPr>
        <w:br w:type="page"/>
      </w:r>
    </w:p>
    <w:p w14:paraId="1D1D0069" w14:textId="71138FF6" w:rsidR="007C6EFD" w:rsidRDefault="007C6EFD">
      <w:pPr>
        <w:spacing w:after="160" w:line="259" w:lineRule="auto"/>
        <w:jc w:val="left"/>
      </w:pPr>
    </w:p>
    <w:p w14:paraId="58C55E8F" w14:textId="4B0AF93C" w:rsidR="00426604" w:rsidRPr="00DD2898" w:rsidRDefault="00426604" w:rsidP="00426604">
      <w:pPr>
        <w:widowControl w:val="0"/>
        <w:numPr>
          <w:ilvl w:val="0"/>
          <w:numId w:val="4"/>
        </w:numPr>
        <w:overflowPunct w:val="0"/>
        <w:autoSpaceDE w:val="0"/>
        <w:autoSpaceDN w:val="0"/>
        <w:adjustRightInd w:val="0"/>
        <w:ind w:hanging="567"/>
        <w:textAlignment w:val="baseline"/>
        <w:rPr>
          <w:sz w:val="28"/>
          <w:szCs w:val="28"/>
          <w:lang w:val="en-GB"/>
        </w:rPr>
      </w:pPr>
      <w:hyperlink r:id="rId41" w:history="1">
        <w:r w:rsidRPr="00DD2898">
          <w:rPr>
            <w:b/>
            <w:bCs/>
            <w:i/>
            <w:iCs/>
            <w:color w:val="0000FF"/>
            <w:sz w:val="28"/>
            <w:szCs w:val="28"/>
            <w:u w:val="single"/>
            <w:lang w:val="en-GB"/>
          </w:rPr>
          <w:t>2030 Consumer Agenda</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sidRPr="00426604">
              <w:rPr>
                <w:b/>
              </w:rPr>
              <w:t>Rapporteur</w:t>
            </w:r>
          </w:p>
        </w:tc>
        <w:tc>
          <w:tcPr>
            <w:tcW w:w="5812" w:type="dxa"/>
          </w:tcPr>
          <w:p w14:paraId="3E207F8E" w14:textId="7F084A29" w:rsidR="00426604" w:rsidRPr="00426604" w:rsidRDefault="00426604" w:rsidP="00426604">
            <w:pPr>
              <w:tabs>
                <w:tab w:val="center" w:pos="284"/>
              </w:tabs>
              <w:overflowPunct w:val="0"/>
              <w:autoSpaceDE w:val="0"/>
              <w:autoSpaceDN w:val="0"/>
              <w:adjustRightInd w:val="0"/>
              <w:ind w:left="266" w:hanging="266"/>
              <w:textAlignment w:val="baseline"/>
            </w:pPr>
            <w:r w:rsidRPr="00426604">
              <w:t xml:space="preserve">Thierry LIBAERT (Civil Society </w:t>
            </w:r>
            <w:proofErr w:type="spellStart"/>
            <w:r w:rsidRPr="00426604">
              <w:t>Organisations'</w:t>
            </w:r>
            <w:proofErr w:type="spellEnd"/>
            <w:r w:rsidRPr="00426604">
              <w:t xml:space="preserve"> Group </w:t>
            </w:r>
            <w:r w:rsidR="00844645">
              <w:t>-</w:t>
            </w:r>
            <w:r w:rsidRPr="00426604">
              <w:t xml:space="preserve">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sidRPr="00426604">
              <w:rPr>
                <w:b/>
              </w:rPr>
              <w:t>References</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roofErr w:type="gramStart"/>
            <w:r w:rsidRPr="00426604">
              <w:rPr>
                <w:lang w:val="pt-PT"/>
              </w:rPr>
              <w:t>COM(</w:t>
            </w:r>
            <w:proofErr w:type="gramEnd"/>
            <w:r w:rsidRPr="00426604">
              <w:rPr>
                <w:lang w:val="pt-PT"/>
              </w:rPr>
              <w:t>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r w:rsidRPr="00426604">
              <w:rPr>
                <w:lang w:val="pt-PT"/>
              </w:rP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r w:rsidRPr="00426604">
        <w:rPr>
          <w:b/>
          <w:lang w:val="en-GB"/>
        </w:rPr>
        <w:t>Key points</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lang w:val="en-GB"/>
        </w:rPr>
      </w:pPr>
      <w:r w:rsidRPr="00426604">
        <w:rPr>
          <w:bCs/>
          <w:iCs/>
          <w:lang w:val="en-GB"/>
        </w:rPr>
        <w:t>The EESC:</w:t>
      </w:r>
    </w:p>
    <w:p w14:paraId="74A7A8CD"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bCs/>
          <w:iCs/>
          <w:lang w:val="en-GB"/>
        </w:rPr>
      </w:pPr>
      <w:r w:rsidRPr="00426604">
        <w:rPr>
          <w:bCs/>
          <w:iCs/>
          <w:lang w:val="en-GB"/>
        </w:rPr>
        <w:t xml:space="preserve">welcomes the 2025-2030 Consumer Agenda as an excellent framework for consumer protection for the years to come, both in its form and in its </w:t>
      </w:r>
      <w:proofErr w:type="gramStart"/>
      <w:r w:rsidRPr="00426604">
        <w:rPr>
          <w:bCs/>
          <w:iCs/>
          <w:lang w:val="en-GB"/>
        </w:rPr>
        <w:t>content;</w:t>
      </w:r>
      <w:proofErr w:type="gramEnd"/>
    </w:p>
    <w:p w14:paraId="5F03BEBA"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bCs/>
          <w:iCs/>
          <w:lang w:val="en-GB"/>
        </w:rPr>
      </w:pPr>
      <w:r w:rsidRPr="00426604">
        <w:rPr>
          <w:szCs w:val="20"/>
          <w:lang w:val="en-GB"/>
        </w:rPr>
        <w:t xml:space="preserve">hopes that the Commission will be able to propose a more comprehensive vision of consumers that goes beyond a purely rights-based </w:t>
      </w:r>
      <w:proofErr w:type="gramStart"/>
      <w:r w:rsidRPr="00426604">
        <w:rPr>
          <w:szCs w:val="20"/>
          <w:lang w:val="en-GB"/>
        </w:rPr>
        <w:t>approach;</w:t>
      </w:r>
      <w:proofErr w:type="gramEnd"/>
    </w:p>
    <w:p w14:paraId="2DB8C1F5"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bCs/>
          <w:iCs/>
          <w:lang w:val="en-GB"/>
        </w:rPr>
      </w:pPr>
      <w:r w:rsidRPr="00426604">
        <w:rPr>
          <w:bCs/>
          <w:iCs/>
          <w:lang w:val="en-GB"/>
        </w:rPr>
        <w:t xml:space="preserve">would welcome a structured, detailed and data-driven assessment of the previous agenda to enable a more comprehensive </w:t>
      </w:r>
      <w:proofErr w:type="gramStart"/>
      <w:r w:rsidRPr="00426604">
        <w:rPr>
          <w:bCs/>
          <w:iCs/>
          <w:lang w:val="en-GB"/>
        </w:rPr>
        <w:t>evaluation;</w:t>
      </w:r>
      <w:proofErr w:type="gramEnd"/>
    </w:p>
    <w:p w14:paraId="23F5AC6C"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lang w:val="en-GB"/>
        </w:rPr>
      </w:pPr>
      <w:r w:rsidRPr="00426604">
        <w:rPr>
          <w:szCs w:val="20"/>
          <w:lang w:val="en-GB"/>
        </w:rPr>
        <w:t xml:space="preserve">supports simplification measures, yet stresses that under no circumstances can they undermine consumer </w:t>
      </w:r>
      <w:proofErr w:type="gramStart"/>
      <w:r w:rsidRPr="00426604">
        <w:rPr>
          <w:szCs w:val="20"/>
          <w:lang w:val="en-GB"/>
        </w:rPr>
        <w:t>protection;</w:t>
      </w:r>
      <w:proofErr w:type="gramEnd"/>
    </w:p>
    <w:p w14:paraId="22E46B9A"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 xml:space="preserve">considers that consumer protection must </w:t>
      </w:r>
      <w:proofErr w:type="gramStart"/>
      <w:r w:rsidRPr="00426604">
        <w:rPr>
          <w:szCs w:val="20"/>
          <w:lang w:val="en-GB"/>
        </w:rPr>
        <w:t>take into account</w:t>
      </w:r>
      <w:proofErr w:type="gramEnd"/>
      <w:r w:rsidRPr="00426604">
        <w:rPr>
          <w:szCs w:val="20"/>
          <w:lang w:val="en-GB"/>
        </w:rPr>
        <w:t xml:space="preserve"> diverse situations, particularly </w:t>
      </w:r>
      <w:proofErr w:type="gramStart"/>
      <w:r w:rsidRPr="00426604">
        <w:rPr>
          <w:szCs w:val="20"/>
          <w:lang w:val="en-GB"/>
        </w:rPr>
        <w:t>with regard to</w:t>
      </w:r>
      <w:proofErr w:type="gramEnd"/>
      <w:r w:rsidRPr="00426604">
        <w:rPr>
          <w:szCs w:val="20"/>
          <w:lang w:val="en-GB"/>
        </w:rPr>
        <w:t xml:space="preserve"> commercial deserts and the vulnerabilities of certain consumer </w:t>
      </w:r>
      <w:proofErr w:type="gramStart"/>
      <w:r w:rsidRPr="00426604">
        <w:rPr>
          <w:szCs w:val="20"/>
          <w:lang w:val="en-GB"/>
        </w:rPr>
        <w:t>groups;</w:t>
      </w:r>
      <w:proofErr w:type="gramEnd"/>
    </w:p>
    <w:p w14:paraId="3000A78C"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 xml:space="preserve">would like to see faster and more in-depth checks on the safety of imported products, </w:t>
      </w:r>
      <w:proofErr w:type="gramStart"/>
      <w:r w:rsidRPr="00426604">
        <w:rPr>
          <w:szCs w:val="20"/>
          <w:lang w:val="en-GB"/>
        </w:rPr>
        <w:t>in particular</w:t>
      </w:r>
      <w:proofErr w:type="gramEnd"/>
      <w:r w:rsidRPr="00426604">
        <w:rPr>
          <w:szCs w:val="20"/>
          <w:lang w:val="en-GB"/>
        </w:rPr>
        <w:t xml:space="preserve"> those sold through e-commerce platforms based outside the </w:t>
      </w:r>
      <w:proofErr w:type="gramStart"/>
      <w:r w:rsidRPr="00426604">
        <w:rPr>
          <w:szCs w:val="20"/>
          <w:lang w:val="en-GB"/>
        </w:rPr>
        <w:t>EU;</w:t>
      </w:r>
      <w:proofErr w:type="gramEnd"/>
    </w:p>
    <w:p w14:paraId="24286CF8"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 xml:space="preserve">advises paying greater attention to </w:t>
      </w:r>
      <w:proofErr w:type="spellStart"/>
      <w:r w:rsidRPr="00426604">
        <w:rPr>
          <w:szCs w:val="20"/>
          <w:lang w:val="en-GB"/>
        </w:rPr>
        <w:t>microjustice</w:t>
      </w:r>
      <w:proofErr w:type="spellEnd"/>
      <w:r w:rsidRPr="00426604">
        <w:rPr>
          <w:szCs w:val="20"/>
          <w:lang w:val="en-GB"/>
        </w:rPr>
        <w:t xml:space="preserve"> practices </w:t>
      </w:r>
      <w:proofErr w:type="gramStart"/>
      <w:r w:rsidRPr="00426604">
        <w:rPr>
          <w:szCs w:val="20"/>
          <w:lang w:val="en-GB"/>
        </w:rPr>
        <w:t>in order to</w:t>
      </w:r>
      <w:proofErr w:type="gramEnd"/>
      <w:r w:rsidRPr="00426604">
        <w:rPr>
          <w:szCs w:val="20"/>
          <w:lang w:val="en-GB"/>
        </w:rPr>
        <w:t xml:space="preserve"> settle disputes involving small </w:t>
      </w:r>
      <w:proofErr w:type="gramStart"/>
      <w:r w:rsidRPr="00426604">
        <w:rPr>
          <w:szCs w:val="20"/>
          <w:lang w:val="en-GB"/>
        </w:rPr>
        <w:t>sums;</w:t>
      </w:r>
      <w:proofErr w:type="gramEnd"/>
    </w:p>
    <w:p w14:paraId="3DE92808"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 xml:space="preserve">supports digitalisation measures, but stresses that, for all complaints, consumers must always be able to contact a human as a last </w:t>
      </w:r>
      <w:proofErr w:type="gramStart"/>
      <w:r w:rsidRPr="00426604">
        <w:rPr>
          <w:szCs w:val="20"/>
          <w:lang w:val="en-GB"/>
        </w:rPr>
        <w:t>resort;</w:t>
      </w:r>
      <w:proofErr w:type="gramEnd"/>
    </w:p>
    <w:p w14:paraId="34B18EC1"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 xml:space="preserve">calls on the Commission to take more interest in product circularity and </w:t>
      </w:r>
      <w:proofErr w:type="gramStart"/>
      <w:r w:rsidRPr="00426604">
        <w:rPr>
          <w:szCs w:val="20"/>
          <w:lang w:val="en-GB"/>
        </w:rPr>
        <w:t>durability;</w:t>
      </w:r>
      <w:proofErr w:type="gramEnd"/>
    </w:p>
    <w:p w14:paraId="1ABE3F68"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 xml:space="preserve">recommends establishing a strong consumer protection policy against commercial messages from influencers, particularly those addressed to </w:t>
      </w:r>
      <w:proofErr w:type="gramStart"/>
      <w:r w:rsidRPr="00426604">
        <w:rPr>
          <w:szCs w:val="20"/>
          <w:lang w:val="en-GB"/>
        </w:rPr>
        <w:t>children;</w:t>
      </w:r>
      <w:proofErr w:type="gramEnd"/>
    </w:p>
    <w:p w14:paraId="0F934297" w14:textId="77777777" w:rsidR="00426604" w:rsidRPr="00426604" w:rsidRDefault="00426604" w:rsidP="0024648D">
      <w:pPr>
        <w:widowControl w:val="0"/>
        <w:numPr>
          <w:ilvl w:val="0"/>
          <w:numId w:val="31"/>
        </w:numPr>
        <w:overflowPunct w:val="0"/>
        <w:autoSpaceDE w:val="0"/>
        <w:autoSpaceDN w:val="0"/>
        <w:adjustRightInd w:val="0"/>
        <w:ind w:left="284" w:hanging="284"/>
        <w:textAlignment w:val="baseline"/>
        <w:rPr>
          <w:rFonts w:asciiTheme="minorHAnsi" w:hAnsiTheme="minorHAnsi"/>
          <w:szCs w:val="20"/>
          <w:lang w:val="en-GB"/>
        </w:rPr>
      </w:pPr>
      <w:r w:rsidRPr="00426604">
        <w:rPr>
          <w:szCs w:val="20"/>
          <w:lang w:val="en-GB"/>
        </w:rPr>
        <w:t>encourages the Member States to support consumer associations.</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sidRPr="00426604">
              <w:rPr>
                <w:b/>
                <w:i/>
              </w:rPr>
              <w:t>Contact</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sidRPr="00426604">
              <w:rPr>
                <w:i/>
              </w:rPr>
              <w:t>Radoslava Stefankova</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sidRPr="00426604">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sidRPr="00426604">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sidRPr="00426604">
              <w:rPr>
                <w:i/>
              </w:rPr>
              <w:t>Email</w:t>
            </w:r>
          </w:p>
        </w:tc>
        <w:tc>
          <w:tcPr>
            <w:tcW w:w="5670" w:type="dxa"/>
          </w:tcPr>
          <w:p w14:paraId="21BA9078" w14:textId="77777777" w:rsidR="00426604" w:rsidRPr="00426604" w:rsidRDefault="00426604" w:rsidP="00426604">
            <w:pPr>
              <w:overflowPunct w:val="0"/>
              <w:autoSpaceDE w:val="0"/>
              <w:autoSpaceDN w:val="0"/>
              <w:adjustRightInd w:val="0"/>
              <w:spacing w:line="240" w:lineRule="auto"/>
              <w:textAlignment w:val="baseline"/>
              <w:rPr>
                <w:i/>
              </w:rPr>
            </w:pPr>
            <w:hyperlink r:id="rId42" w:history="1">
              <w:r w:rsidRPr="00426604">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7C11FF27" w:rsidR="00A83352" w:rsidRPr="00A83352" w:rsidRDefault="00A83352" w:rsidP="00A83352">
      <w:pPr>
        <w:widowControl w:val="0"/>
        <w:numPr>
          <w:ilvl w:val="0"/>
          <w:numId w:val="4"/>
        </w:numPr>
        <w:overflowPunct w:val="0"/>
        <w:autoSpaceDE w:val="0"/>
        <w:autoSpaceDN w:val="0"/>
        <w:adjustRightInd w:val="0"/>
        <w:ind w:hanging="567"/>
        <w:textAlignment w:val="baseline"/>
        <w:rPr>
          <w:sz w:val="20"/>
          <w:szCs w:val="20"/>
          <w:lang w:val="en-GB"/>
        </w:rPr>
      </w:pPr>
      <w:hyperlink r:id="rId43" w:history="1">
        <w:r w:rsidRPr="00A83352">
          <w:rPr>
            <w:b/>
            <w:bCs/>
            <w:i/>
            <w:iCs/>
            <w:color w:val="0000FF"/>
            <w:sz w:val="28"/>
            <w:szCs w:val="28"/>
            <w:u w:val="single"/>
            <w:lang w:val="en-GB"/>
          </w:rPr>
          <w:t>Cybersecurity Act</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sidRPr="007A3096">
              <w:rPr>
                <w:b/>
              </w:rPr>
              <w:t>Rapporteur</w:t>
            </w:r>
          </w:p>
        </w:tc>
        <w:tc>
          <w:tcPr>
            <w:tcW w:w="6946" w:type="dxa"/>
          </w:tcPr>
          <w:p w14:paraId="0214D104" w14:textId="59766989" w:rsidR="007A3096" w:rsidRPr="007A3096" w:rsidRDefault="007A3096" w:rsidP="00B56575">
            <w:pPr>
              <w:tabs>
                <w:tab w:val="center" w:pos="284"/>
              </w:tabs>
              <w:overflowPunct w:val="0"/>
              <w:autoSpaceDE w:val="0"/>
              <w:autoSpaceDN w:val="0"/>
              <w:adjustRightInd w:val="0"/>
              <w:ind w:left="266" w:hanging="266"/>
              <w:textAlignment w:val="baseline"/>
            </w:pPr>
            <w:r w:rsidRPr="007A3096">
              <w:t xml:space="preserve">Miroslav HAJNOŠ (Workers' Group </w:t>
            </w:r>
            <w:r w:rsidR="001110F2">
              <w:t>-</w:t>
            </w:r>
            <w:r w:rsidRPr="007A3096">
              <w:t xml:space="preserve">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sidRPr="007A3096">
              <w:rPr>
                <w:b/>
              </w:rPr>
              <w:t>References</w:t>
            </w:r>
          </w:p>
        </w:tc>
        <w:tc>
          <w:tcPr>
            <w:tcW w:w="6946" w:type="dxa"/>
          </w:tcPr>
          <w:p w14:paraId="482A2846" w14:textId="2EBB9C0A" w:rsidR="007A3096" w:rsidRPr="007A3096" w:rsidRDefault="007A3096" w:rsidP="00B56575">
            <w:pPr>
              <w:tabs>
                <w:tab w:val="center" w:pos="284"/>
              </w:tabs>
              <w:overflowPunct w:val="0"/>
              <w:autoSpaceDE w:val="0"/>
              <w:autoSpaceDN w:val="0"/>
              <w:adjustRightInd w:val="0"/>
              <w:ind w:left="266" w:hanging="266"/>
              <w:textAlignment w:val="baseline"/>
              <w:rPr>
                <w:lang w:val="pt-PT"/>
              </w:rPr>
            </w:pPr>
            <w:proofErr w:type="gramStart"/>
            <w:r w:rsidRPr="007A3096">
              <w:rPr>
                <w:lang w:val="pt-PT"/>
              </w:rPr>
              <w:t>COM(</w:t>
            </w:r>
            <w:proofErr w:type="gramEnd"/>
            <w:r w:rsidRPr="007A3096">
              <w:rPr>
                <w:lang w:val="pt-PT"/>
              </w:rPr>
              <w:t xml:space="preserve">2026) 11 final </w:t>
            </w:r>
          </w:p>
          <w:p w14:paraId="1457E830" w14:textId="6E5DFB5B" w:rsidR="007A3096" w:rsidRPr="007A3096" w:rsidRDefault="007A3096" w:rsidP="00B56575">
            <w:pPr>
              <w:tabs>
                <w:tab w:val="center" w:pos="284"/>
              </w:tabs>
              <w:overflowPunct w:val="0"/>
              <w:autoSpaceDE w:val="0"/>
              <w:autoSpaceDN w:val="0"/>
              <w:adjustRightInd w:val="0"/>
              <w:ind w:left="266" w:right="1458" w:hanging="266"/>
              <w:textAlignment w:val="baseline"/>
              <w:rPr>
                <w:lang w:val="pt-PT"/>
              </w:rPr>
            </w:pPr>
            <w:proofErr w:type="gramStart"/>
            <w:r w:rsidRPr="007A3096">
              <w:rPr>
                <w:lang w:val="pt-PT"/>
              </w:rPr>
              <w:t>COM(</w:t>
            </w:r>
            <w:proofErr w:type="gramEnd"/>
            <w:r w:rsidRPr="007A3096">
              <w:rPr>
                <w:lang w:val="pt-PT"/>
              </w:rPr>
              <w:t xml:space="preserve">2026) 13 final </w:t>
            </w:r>
          </w:p>
          <w:p w14:paraId="426BA912" w14:textId="77777777" w:rsidR="007A3096" w:rsidRDefault="007A3096" w:rsidP="00B56575">
            <w:pPr>
              <w:tabs>
                <w:tab w:val="center" w:pos="284"/>
              </w:tabs>
              <w:overflowPunct w:val="0"/>
              <w:autoSpaceDE w:val="0"/>
              <w:autoSpaceDN w:val="0"/>
              <w:adjustRightInd w:val="0"/>
              <w:ind w:left="266" w:hanging="266"/>
              <w:textAlignment w:val="baseline"/>
              <w:rPr>
                <w:lang w:val="pt-PT"/>
              </w:rPr>
            </w:pPr>
            <w:r w:rsidRPr="007A3096">
              <w:rPr>
                <w:lang w:val="pt-PT"/>
              </w:rPr>
              <w:t>EESC-2026-00075-00-00-AC</w:t>
            </w:r>
          </w:p>
          <w:p w14:paraId="387C4E93" w14:textId="77777777" w:rsidR="004D2D6F" w:rsidRDefault="004D2D6F" w:rsidP="00843847">
            <w:pPr>
              <w:tabs>
                <w:tab w:val="center" w:pos="-1198"/>
              </w:tabs>
              <w:overflowPunct w:val="0"/>
              <w:autoSpaceDE w:val="0"/>
              <w:autoSpaceDN w:val="0"/>
              <w:adjustRightInd w:val="0"/>
              <w:ind w:left="-1668" w:hanging="1464"/>
              <w:jc w:val="left"/>
              <w:textAlignment w:val="baseline"/>
              <w:rPr>
                <w:lang w:val="pt-PT"/>
              </w:rPr>
            </w:pPr>
            <w:proofErr w:type="spellStart"/>
            <w:r>
              <w:rPr>
                <w:lang w:val="pt-PT"/>
              </w:rPr>
              <w:t>The</w:t>
            </w:r>
            <w:proofErr w:type="spellEnd"/>
            <w:r>
              <w:rPr>
                <w:lang w:val="pt-PT"/>
              </w:rPr>
              <w:t xml:space="preserve"> EESC:</w:t>
            </w:r>
          </w:p>
          <w:p w14:paraId="0B733C5A" w14:textId="48DD0FA0" w:rsidR="004D2D6F" w:rsidRPr="007A3096" w:rsidRDefault="004D2D6F" w:rsidP="00B56575">
            <w:pPr>
              <w:tabs>
                <w:tab w:val="center" w:pos="284"/>
              </w:tabs>
              <w:overflowPunct w:val="0"/>
              <w:autoSpaceDE w:val="0"/>
              <w:autoSpaceDN w:val="0"/>
              <w:adjustRightInd w:val="0"/>
              <w:ind w:left="266" w:hanging="266"/>
              <w:textAlignment w:val="baseline"/>
              <w:rPr>
                <w:lang w:val="pt-PT"/>
              </w:rPr>
            </w:pP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lang w:val="en-GB"/>
        </w:rPr>
      </w:pPr>
      <w:r w:rsidRPr="00C95C7D">
        <w:rPr>
          <w:b/>
          <w:iCs/>
          <w:lang w:val="en-GB"/>
        </w:rPr>
        <w:t>Key points</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lang w:val="en-GB"/>
        </w:rPr>
      </w:pPr>
      <w:r>
        <w:rPr>
          <w:bCs/>
          <w:iCs/>
          <w:lang w:val="en-GB"/>
        </w:rPr>
        <w:t xml:space="preserve">The EESC: </w:t>
      </w:r>
    </w:p>
    <w:p w14:paraId="5EC47414" w14:textId="04B90046" w:rsidR="007A3096" w:rsidRPr="007A3096" w:rsidRDefault="008A47F4" w:rsidP="0024648D">
      <w:pPr>
        <w:widowControl w:val="0"/>
        <w:numPr>
          <w:ilvl w:val="0"/>
          <w:numId w:val="37"/>
        </w:numPr>
        <w:overflowPunct w:val="0"/>
        <w:autoSpaceDE w:val="0"/>
        <w:autoSpaceDN w:val="0"/>
        <w:adjustRightInd w:val="0"/>
        <w:ind w:left="284" w:hanging="284"/>
        <w:textAlignment w:val="baseline"/>
        <w:rPr>
          <w:bCs/>
          <w:iCs/>
          <w:lang w:val="en-GB"/>
        </w:rPr>
      </w:pPr>
      <w:r w:rsidRPr="008A47F4">
        <w:rPr>
          <w:bCs/>
          <w:iCs/>
          <w:lang w:val="en-GB"/>
        </w:rPr>
        <w:t xml:space="preserve">welcomes the revision of the Cybersecurity Act and updates to the NIS 2 Directive </w:t>
      </w:r>
      <w:r w:rsidR="007A3096" w:rsidRPr="007A3096">
        <w:rPr>
          <w:bCs/>
          <w:iCs/>
          <w:lang w:val="en-GB"/>
        </w:rPr>
        <w:t xml:space="preserve">stressing that cybersecurity must be treated as a </w:t>
      </w:r>
      <w:r w:rsidR="007A3096" w:rsidRPr="007A3096">
        <w:rPr>
          <w:b/>
          <w:iCs/>
          <w:lang w:val="en-GB"/>
        </w:rPr>
        <w:t>core issue of economic security and geopolitical resilience</w:t>
      </w:r>
      <w:r w:rsidR="007A3096" w:rsidRPr="007A3096">
        <w:rPr>
          <w:bCs/>
          <w:iCs/>
          <w:lang w:val="en-GB"/>
        </w:rPr>
        <w:t xml:space="preserve">, while simplifying rules and reducing administrative burdens for </w:t>
      </w:r>
      <w:proofErr w:type="gramStart"/>
      <w:r w:rsidR="007A3096" w:rsidRPr="007A3096">
        <w:rPr>
          <w:bCs/>
          <w:iCs/>
          <w:lang w:val="en-GB"/>
        </w:rPr>
        <w:t>businesses;</w:t>
      </w:r>
      <w:proofErr w:type="gramEnd"/>
    </w:p>
    <w:p w14:paraId="31A5FE88" w14:textId="77777777" w:rsidR="007A3096" w:rsidRPr="007A3096" w:rsidRDefault="007A3096" w:rsidP="0024648D">
      <w:pPr>
        <w:widowControl w:val="0"/>
        <w:numPr>
          <w:ilvl w:val="0"/>
          <w:numId w:val="37"/>
        </w:numPr>
        <w:overflowPunct w:val="0"/>
        <w:autoSpaceDE w:val="0"/>
        <w:autoSpaceDN w:val="0"/>
        <w:adjustRightInd w:val="0"/>
        <w:ind w:left="284" w:hanging="284"/>
        <w:textAlignment w:val="baseline"/>
        <w:rPr>
          <w:bCs/>
          <w:iCs/>
          <w:lang w:val="en-GB"/>
        </w:rPr>
      </w:pPr>
      <w:r w:rsidRPr="007A3096">
        <w:rPr>
          <w:bCs/>
          <w:iCs/>
          <w:lang w:val="en-GB"/>
        </w:rPr>
        <w:t xml:space="preserve">walls for a </w:t>
      </w:r>
      <w:r w:rsidRPr="007A3096">
        <w:rPr>
          <w:b/>
          <w:iCs/>
          <w:lang w:val="en-GB"/>
        </w:rPr>
        <w:t>stronger and better-resourced ENISA</w:t>
      </w:r>
      <w:r w:rsidRPr="007A3096">
        <w:rPr>
          <w:bCs/>
          <w:iCs/>
          <w:lang w:val="en-GB"/>
        </w:rPr>
        <w:t xml:space="preserve">, with a clear, consolidated mandate and sufficient funding and staff to effectively deliver its expanded responsibilities, including in skills development and </w:t>
      </w:r>
      <w:proofErr w:type="gramStart"/>
      <w:r w:rsidRPr="007A3096">
        <w:rPr>
          <w:bCs/>
          <w:iCs/>
          <w:lang w:val="en-GB"/>
        </w:rPr>
        <w:t>certification;</w:t>
      </w:r>
      <w:proofErr w:type="gramEnd"/>
    </w:p>
    <w:p w14:paraId="48226406" w14:textId="77777777" w:rsidR="007A3096" w:rsidRPr="007A3096" w:rsidRDefault="007A3096" w:rsidP="0024648D">
      <w:pPr>
        <w:widowControl w:val="0"/>
        <w:numPr>
          <w:ilvl w:val="0"/>
          <w:numId w:val="37"/>
        </w:numPr>
        <w:overflowPunct w:val="0"/>
        <w:autoSpaceDE w:val="0"/>
        <w:autoSpaceDN w:val="0"/>
        <w:adjustRightInd w:val="0"/>
        <w:ind w:left="284" w:hanging="284"/>
        <w:textAlignment w:val="baseline"/>
        <w:rPr>
          <w:bCs/>
          <w:iCs/>
          <w:lang w:val="en-GB"/>
        </w:rPr>
      </w:pPr>
      <w:r w:rsidRPr="007A3096">
        <w:rPr>
          <w:iCs/>
          <w:lang w:val="en-GB"/>
        </w:rPr>
        <w:t>highlights</w:t>
      </w:r>
      <w:r w:rsidRPr="007A3096">
        <w:rPr>
          <w:bCs/>
          <w:iCs/>
          <w:lang w:val="en-GB"/>
        </w:rPr>
        <w:t xml:space="preserve"> the critical role of </w:t>
      </w:r>
      <w:r w:rsidRPr="007A3096">
        <w:rPr>
          <w:b/>
          <w:bCs/>
          <w:iCs/>
          <w:lang w:val="en-GB"/>
        </w:rPr>
        <w:t>workforce skills and training</w:t>
      </w:r>
      <w:r w:rsidRPr="007A3096">
        <w:rPr>
          <w:bCs/>
          <w:iCs/>
          <w:lang w:val="en-GB"/>
        </w:rPr>
        <w:t xml:space="preserve"> in cybersecurity resilience, supporting EU-wide skills frameworks and certification schemes, while ensuring they remain practical, coordinated and accessible across Member </w:t>
      </w:r>
      <w:proofErr w:type="gramStart"/>
      <w:r w:rsidRPr="007A3096">
        <w:rPr>
          <w:bCs/>
          <w:iCs/>
          <w:lang w:val="en-GB"/>
        </w:rPr>
        <w:t>States;</w:t>
      </w:r>
      <w:proofErr w:type="gramEnd"/>
    </w:p>
    <w:p w14:paraId="6A6411FE" w14:textId="77777777" w:rsidR="007A3096" w:rsidRPr="007A3096" w:rsidRDefault="007A3096" w:rsidP="0024648D">
      <w:pPr>
        <w:widowControl w:val="0"/>
        <w:numPr>
          <w:ilvl w:val="0"/>
          <w:numId w:val="37"/>
        </w:numPr>
        <w:overflowPunct w:val="0"/>
        <w:autoSpaceDE w:val="0"/>
        <w:autoSpaceDN w:val="0"/>
        <w:adjustRightInd w:val="0"/>
        <w:ind w:left="284" w:hanging="284"/>
        <w:textAlignment w:val="baseline"/>
        <w:rPr>
          <w:bCs/>
          <w:iCs/>
          <w:lang w:val="en-GB"/>
        </w:rPr>
      </w:pPr>
      <w:r w:rsidRPr="007A3096">
        <w:rPr>
          <w:bCs/>
          <w:iCs/>
          <w:lang w:val="en-GB"/>
        </w:rPr>
        <w:t xml:space="preserve">highlights the growing importance of cybersecurity for </w:t>
      </w:r>
      <w:r w:rsidRPr="007A3096">
        <w:rPr>
          <w:b/>
          <w:iCs/>
          <w:lang w:val="en-GB"/>
        </w:rPr>
        <w:t>democratic resilience</w:t>
      </w:r>
      <w:r w:rsidRPr="007A3096">
        <w:rPr>
          <w:bCs/>
          <w:iCs/>
          <w:lang w:val="en-GB"/>
        </w:rPr>
        <w:t xml:space="preserve">, urging </w:t>
      </w:r>
      <w:r w:rsidRPr="007A3096">
        <w:rPr>
          <w:b/>
          <w:iCs/>
          <w:lang w:val="en-GB"/>
        </w:rPr>
        <w:t xml:space="preserve">enhanced EU coordination </w:t>
      </w:r>
      <w:r w:rsidRPr="007A3096">
        <w:rPr>
          <w:bCs/>
          <w:iCs/>
          <w:lang w:val="en-GB"/>
        </w:rPr>
        <w:t xml:space="preserve">to protect elections and critical infrastructure from cyberattacks, disinformation and foreign </w:t>
      </w:r>
      <w:proofErr w:type="gramStart"/>
      <w:r w:rsidRPr="007A3096">
        <w:rPr>
          <w:bCs/>
          <w:iCs/>
          <w:lang w:val="en-GB"/>
        </w:rPr>
        <w:t>interference;</w:t>
      </w:r>
      <w:proofErr w:type="gramEnd"/>
    </w:p>
    <w:p w14:paraId="1C1338FC" w14:textId="77777777" w:rsidR="007A3096" w:rsidRPr="007A3096" w:rsidRDefault="007A3096" w:rsidP="0024648D">
      <w:pPr>
        <w:widowControl w:val="0"/>
        <w:numPr>
          <w:ilvl w:val="0"/>
          <w:numId w:val="37"/>
        </w:numPr>
        <w:overflowPunct w:val="0"/>
        <w:autoSpaceDE w:val="0"/>
        <w:autoSpaceDN w:val="0"/>
        <w:adjustRightInd w:val="0"/>
        <w:ind w:left="284" w:hanging="284"/>
        <w:textAlignment w:val="baseline"/>
        <w:rPr>
          <w:bCs/>
          <w:iCs/>
          <w:lang w:val="en-GB"/>
        </w:rPr>
      </w:pPr>
      <w:r w:rsidRPr="007A3096">
        <w:rPr>
          <w:bCs/>
          <w:iCs/>
          <w:lang w:val="en-GB"/>
        </w:rPr>
        <w:t xml:space="preserve">supports a </w:t>
      </w:r>
      <w:r w:rsidRPr="007A3096">
        <w:rPr>
          <w:b/>
          <w:iCs/>
          <w:lang w:val="en-GB"/>
        </w:rPr>
        <w:t>streamlined and effective certification framework</w:t>
      </w:r>
      <w:r w:rsidRPr="007A3096">
        <w:rPr>
          <w:bCs/>
          <w:iCs/>
          <w:lang w:val="en-GB"/>
        </w:rPr>
        <w:t xml:space="preserve">, based on a “certify once, certify everywhere” approach, ensuring legal clarity, transparency and proportionality, particularly for SMEs and cross-border </w:t>
      </w:r>
      <w:proofErr w:type="gramStart"/>
      <w:r w:rsidRPr="007A3096">
        <w:rPr>
          <w:bCs/>
          <w:iCs/>
          <w:lang w:val="en-GB"/>
        </w:rPr>
        <w:t>operators;</w:t>
      </w:r>
      <w:proofErr w:type="gramEnd"/>
    </w:p>
    <w:p w14:paraId="287DCAC1" w14:textId="77777777" w:rsidR="007A3096" w:rsidRPr="007A3096" w:rsidRDefault="007A3096" w:rsidP="0024648D">
      <w:pPr>
        <w:widowControl w:val="0"/>
        <w:numPr>
          <w:ilvl w:val="0"/>
          <w:numId w:val="37"/>
        </w:numPr>
        <w:overflowPunct w:val="0"/>
        <w:autoSpaceDE w:val="0"/>
        <w:autoSpaceDN w:val="0"/>
        <w:adjustRightInd w:val="0"/>
        <w:ind w:left="284" w:hanging="284"/>
        <w:textAlignment w:val="baseline"/>
        <w:rPr>
          <w:bCs/>
          <w:iCs/>
          <w:lang w:val="en-GB"/>
        </w:rPr>
      </w:pPr>
      <w:r w:rsidRPr="007A3096">
        <w:rPr>
          <w:bCs/>
          <w:iCs/>
          <w:lang w:val="en-GB"/>
        </w:rPr>
        <w:t xml:space="preserve">urges a </w:t>
      </w:r>
      <w:r w:rsidRPr="007A3096">
        <w:rPr>
          <w:b/>
          <w:iCs/>
          <w:lang w:val="en-GB"/>
        </w:rPr>
        <w:t>balanced approach to ICT supply-chain security</w:t>
      </w:r>
      <w:r w:rsidRPr="007A3096">
        <w:rPr>
          <w:bCs/>
          <w:iCs/>
          <w:lang w:val="en-GB"/>
        </w:rPr>
        <w:t>, with transparent, risk-based measures and full assessment of economic, operational and social impacts, while avoiding excessive compliance burdens and ensuring strong involvement of social partners and stakeholders.</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sidRPr="00A83352">
              <w:rPr>
                <w:b/>
                <w:i/>
              </w:rPr>
              <w:t>Contact</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sidRPr="00A83352">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sidRPr="00A83352">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sidRPr="00A83352">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sidRPr="00A83352">
              <w:rPr>
                <w:i/>
              </w:rPr>
              <w:t>Email</w:t>
            </w:r>
          </w:p>
        </w:tc>
        <w:tc>
          <w:tcPr>
            <w:tcW w:w="5670" w:type="dxa"/>
          </w:tcPr>
          <w:p w14:paraId="1D8269C1" w14:textId="77777777" w:rsidR="00A83352" w:rsidRPr="00A83352" w:rsidRDefault="00A83352" w:rsidP="00A83352">
            <w:pPr>
              <w:overflowPunct w:val="0"/>
              <w:autoSpaceDE w:val="0"/>
              <w:autoSpaceDN w:val="0"/>
              <w:adjustRightInd w:val="0"/>
              <w:spacing w:line="240" w:lineRule="auto"/>
              <w:textAlignment w:val="baseline"/>
              <w:rPr>
                <w:i/>
              </w:rPr>
            </w:pPr>
            <w:hyperlink r:id="rId44" w:history="1">
              <w:r w:rsidRPr="00A83352">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32D656B7" w:rsidR="00665940" w:rsidRPr="00665940" w:rsidRDefault="00665940" w:rsidP="00665940">
      <w:pPr>
        <w:widowControl w:val="0"/>
        <w:numPr>
          <w:ilvl w:val="0"/>
          <w:numId w:val="4"/>
        </w:numPr>
        <w:overflowPunct w:val="0"/>
        <w:autoSpaceDE w:val="0"/>
        <w:autoSpaceDN w:val="0"/>
        <w:adjustRightInd w:val="0"/>
        <w:ind w:hanging="567"/>
        <w:textAlignment w:val="baseline"/>
        <w:rPr>
          <w:sz w:val="20"/>
          <w:szCs w:val="20"/>
          <w:lang w:val="en-GB"/>
        </w:rPr>
      </w:pPr>
      <w:hyperlink r:id="rId45" w:history="1">
        <w:r w:rsidRPr="00665940">
          <w:rPr>
            <w:b/>
            <w:bCs/>
            <w:i/>
            <w:iCs/>
            <w:color w:val="0000FF"/>
            <w:sz w:val="28"/>
            <w:szCs w:val="28"/>
            <w:u w:val="single"/>
          </w:rPr>
          <w:t xml:space="preserve">Developing a European </w:t>
        </w:r>
        <w:proofErr w:type="spellStart"/>
        <w:r w:rsidRPr="00665940">
          <w:rPr>
            <w:b/>
            <w:bCs/>
            <w:i/>
            <w:iCs/>
            <w:color w:val="0000FF"/>
            <w:sz w:val="28"/>
            <w:szCs w:val="28"/>
            <w:u w:val="single"/>
          </w:rPr>
          <w:t>centre</w:t>
        </w:r>
        <w:proofErr w:type="spellEnd"/>
        <w:r w:rsidRPr="00665940">
          <w:rPr>
            <w:b/>
            <w:bCs/>
            <w:i/>
            <w:iCs/>
            <w:color w:val="0000FF"/>
            <w:sz w:val="28"/>
            <w:szCs w:val="28"/>
            <w:u w:val="single"/>
          </w:rPr>
          <w:t xml:space="preserve"> of clinical excellence for pharmaceuticals</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24648D">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sidRPr="00665940">
              <w:rPr>
                <w:b/>
              </w:rPr>
              <w:t>Rapporteur</w:t>
            </w:r>
          </w:p>
        </w:tc>
        <w:tc>
          <w:tcPr>
            <w:tcW w:w="6663" w:type="dxa"/>
          </w:tcPr>
          <w:p w14:paraId="5CFF22ED" w14:textId="63C97375" w:rsidR="00665940" w:rsidRPr="00665940" w:rsidRDefault="00665940" w:rsidP="00665940">
            <w:pPr>
              <w:tabs>
                <w:tab w:val="center" w:pos="284"/>
              </w:tabs>
              <w:overflowPunct w:val="0"/>
              <w:autoSpaceDE w:val="0"/>
              <w:autoSpaceDN w:val="0"/>
              <w:adjustRightInd w:val="0"/>
              <w:ind w:left="266" w:hanging="266"/>
              <w:textAlignment w:val="baseline"/>
            </w:pPr>
            <w:r w:rsidRPr="00665940">
              <w:rPr>
                <w:lang w:val="en-GB"/>
              </w:rPr>
              <w:t>Veselin MITOV</w:t>
            </w:r>
            <w:r w:rsidRPr="00665940">
              <w:t xml:space="preserve"> (Workers' Group </w:t>
            </w:r>
            <w:r w:rsidR="00956698">
              <w:t>-</w:t>
            </w:r>
            <w:r w:rsidRPr="00665940">
              <w:t xml:space="preserve"> BG)</w:t>
            </w:r>
          </w:p>
        </w:tc>
      </w:tr>
      <w:tr w:rsidR="00665940" w:rsidRPr="00665940" w14:paraId="4D35B05F" w14:textId="77777777" w:rsidTr="0024648D">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24648D">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sidRPr="00665940">
              <w:rPr>
                <w:b/>
              </w:rPr>
              <w:t>References</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rsidRPr="00665940">
              <w:t xml:space="preserve">Exploratory opinion </w:t>
            </w:r>
            <w:r w:rsidR="00F170AA">
              <w:t xml:space="preserve">requested by the Cyprus </w:t>
            </w:r>
            <w:r w:rsidRPr="00665940">
              <w:t>Presidency</w:t>
            </w:r>
            <w:r w:rsidR="00F170AA">
              <w:t xml:space="preserve"> of the Council of the EU</w:t>
            </w:r>
          </w:p>
          <w:p w14:paraId="04662EBB" w14:textId="425F4C8F" w:rsidR="00665940" w:rsidRPr="00665940" w:rsidRDefault="00665940" w:rsidP="00665940">
            <w:pPr>
              <w:tabs>
                <w:tab w:val="center" w:pos="284"/>
              </w:tabs>
              <w:overflowPunct w:val="0"/>
              <w:autoSpaceDE w:val="0"/>
              <w:autoSpaceDN w:val="0"/>
              <w:adjustRightInd w:val="0"/>
              <w:ind w:left="266" w:hanging="266"/>
              <w:textAlignment w:val="baseline"/>
            </w:pPr>
            <w:r w:rsidRPr="00665940">
              <w:t>EESC-2025-03937-00-00</w:t>
            </w:r>
            <w:r w:rsidR="00506669">
              <w:t>-</w:t>
            </w:r>
            <w:r w:rsidR="00BE2F67">
              <w:t>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r w:rsidRPr="00665940">
        <w:rPr>
          <w:b/>
          <w:lang w:val="en-GB"/>
        </w:rPr>
        <w:t>Key points</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lang w:val="en-GB"/>
        </w:rPr>
      </w:pPr>
      <w:r w:rsidRPr="00665940">
        <w:rPr>
          <w:bCs/>
          <w:iCs/>
          <w:lang w:val="en-GB"/>
        </w:rPr>
        <w:t>The EESC:</w:t>
      </w:r>
    </w:p>
    <w:p w14:paraId="7C1E6D6D" w14:textId="77777777" w:rsidR="00665940" w:rsidRPr="00665940" w:rsidRDefault="00665940" w:rsidP="0024648D">
      <w:pPr>
        <w:widowControl w:val="0"/>
        <w:numPr>
          <w:ilvl w:val="0"/>
          <w:numId w:val="38"/>
        </w:numPr>
        <w:overflowPunct w:val="0"/>
        <w:autoSpaceDE w:val="0"/>
        <w:autoSpaceDN w:val="0"/>
        <w:adjustRightInd w:val="0"/>
        <w:ind w:left="426" w:hanging="426"/>
        <w:textAlignment w:val="baseline"/>
        <w:rPr>
          <w:bCs/>
          <w:iCs/>
          <w:lang w:val="en-GB"/>
        </w:rPr>
      </w:pPr>
      <w:r w:rsidRPr="00665940">
        <w:rPr>
          <w:szCs w:val="20"/>
          <w:lang w:val="en-GB"/>
        </w:rPr>
        <w:t xml:space="preserve">recommends establishing a European centre of clinical excellence (ECCE) as a non-binding EU reference body to translate scientific evidence into high-quality clinical guidance, fully respecting subsidiarity and proportionality and promoting fair access to high-quality care across the </w:t>
      </w:r>
      <w:proofErr w:type="gramStart"/>
      <w:r w:rsidRPr="00665940">
        <w:rPr>
          <w:szCs w:val="20"/>
          <w:lang w:val="en-GB"/>
        </w:rPr>
        <w:t>EU;</w:t>
      </w:r>
      <w:proofErr w:type="gramEnd"/>
    </w:p>
    <w:p w14:paraId="3658F039" w14:textId="77777777" w:rsidR="00665940" w:rsidRPr="00665940" w:rsidRDefault="00665940" w:rsidP="0024648D">
      <w:pPr>
        <w:widowControl w:val="0"/>
        <w:numPr>
          <w:ilvl w:val="0"/>
          <w:numId w:val="38"/>
        </w:numPr>
        <w:overflowPunct w:val="0"/>
        <w:autoSpaceDE w:val="0"/>
        <w:autoSpaceDN w:val="0"/>
        <w:adjustRightInd w:val="0"/>
        <w:ind w:left="426" w:hanging="426"/>
        <w:textAlignment w:val="baseline"/>
        <w:rPr>
          <w:bCs/>
          <w:iCs/>
          <w:lang w:val="en-GB"/>
        </w:rPr>
      </w:pPr>
      <w:r w:rsidRPr="00665940">
        <w:rPr>
          <w:szCs w:val="20"/>
          <w:lang w:val="en-GB"/>
        </w:rPr>
        <w:t xml:space="preserve">believes that the ECCE should be embedded in a broader EU health resilience strategy to boost scientific cooperation, innovation uptake and EU strategic </w:t>
      </w:r>
      <w:proofErr w:type="gramStart"/>
      <w:r w:rsidRPr="00665940">
        <w:rPr>
          <w:szCs w:val="20"/>
          <w:lang w:val="en-GB"/>
        </w:rPr>
        <w:t>autonomy;</w:t>
      </w:r>
      <w:proofErr w:type="gramEnd"/>
    </w:p>
    <w:p w14:paraId="0D049DD7" w14:textId="77777777" w:rsidR="00665940" w:rsidRPr="00665940" w:rsidRDefault="00665940" w:rsidP="0024648D">
      <w:pPr>
        <w:widowControl w:val="0"/>
        <w:numPr>
          <w:ilvl w:val="0"/>
          <w:numId w:val="38"/>
        </w:numPr>
        <w:overflowPunct w:val="0"/>
        <w:autoSpaceDE w:val="0"/>
        <w:autoSpaceDN w:val="0"/>
        <w:adjustRightInd w:val="0"/>
        <w:ind w:left="426" w:hanging="426"/>
        <w:textAlignment w:val="baseline"/>
        <w:rPr>
          <w:bCs/>
          <w:iCs/>
          <w:lang w:val="en-GB"/>
        </w:rPr>
      </w:pPr>
      <w:r w:rsidRPr="00665940">
        <w:rPr>
          <w:bCs/>
          <w:iCs/>
          <w:lang w:val="en-GB"/>
        </w:rPr>
        <w:t xml:space="preserve">considers that </w:t>
      </w:r>
      <w:r w:rsidRPr="00665940">
        <w:rPr>
          <w:szCs w:val="20"/>
          <w:lang w:val="en-GB"/>
        </w:rPr>
        <w:t xml:space="preserve">the ECCE should complement, not replace, existing EU and national structures, serve as a common scientific reference point and operate within a strong governance </w:t>
      </w:r>
      <w:proofErr w:type="gramStart"/>
      <w:r w:rsidRPr="00665940">
        <w:rPr>
          <w:szCs w:val="20"/>
          <w:lang w:val="en-GB"/>
        </w:rPr>
        <w:t>framework;</w:t>
      </w:r>
      <w:proofErr w:type="gramEnd"/>
    </w:p>
    <w:p w14:paraId="05280080" w14:textId="77777777" w:rsidR="00665940" w:rsidRPr="00665940" w:rsidRDefault="00665940" w:rsidP="0024648D">
      <w:pPr>
        <w:widowControl w:val="0"/>
        <w:numPr>
          <w:ilvl w:val="0"/>
          <w:numId w:val="38"/>
        </w:numPr>
        <w:overflowPunct w:val="0"/>
        <w:autoSpaceDE w:val="0"/>
        <w:autoSpaceDN w:val="0"/>
        <w:adjustRightInd w:val="0"/>
        <w:ind w:left="426" w:hanging="426"/>
        <w:textAlignment w:val="baseline"/>
        <w:rPr>
          <w:bCs/>
          <w:iCs/>
          <w:lang w:val="en-GB"/>
        </w:rPr>
      </w:pPr>
      <w:r w:rsidRPr="00665940">
        <w:rPr>
          <w:szCs w:val="20"/>
          <w:lang w:val="en-GB"/>
        </w:rPr>
        <w:t xml:space="preserve">takes the view that the ECCE’s mandate should be clearly defined and centred on scientific excellence, transparency and practical relevance, focusing on the systematic analysis and synthesis of clinical data, including joint clinical assessments and real-world evidence. It should develop non-binding, evidence-based pharmacotherapy recommendations and clinical protocols to support national </w:t>
      </w:r>
      <w:proofErr w:type="gramStart"/>
      <w:r w:rsidRPr="00665940">
        <w:rPr>
          <w:szCs w:val="20"/>
          <w:lang w:val="en-GB"/>
        </w:rPr>
        <w:t>decision-making;</w:t>
      </w:r>
      <w:proofErr w:type="gramEnd"/>
    </w:p>
    <w:p w14:paraId="6AA7D53C" w14:textId="77777777" w:rsidR="00665940" w:rsidRPr="00665940" w:rsidRDefault="00665940" w:rsidP="0024648D">
      <w:pPr>
        <w:widowControl w:val="0"/>
        <w:numPr>
          <w:ilvl w:val="0"/>
          <w:numId w:val="38"/>
        </w:numPr>
        <w:overflowPunct w:val="0"/>
        <w:autoSpaceDE w:val="0"/>
        <w:autoSpaceDN w:val="0"/>
        <w:adjustRightInd w:val="0"/>
        <w:ind w:left="426" w:hanging="426"/>
        <w:textAlignment w:val="baseline"/>
        <w:rPr>
          <w:lang w:val="en-GB"/>
        </w:rPr>
      </w:pPr>
      <w:r w:rsidRPr="00665940">
        <w:rPr>
          <w:szCs w:val="20"/>
          <w:lang w:val="en-GB"/>
        </w:rPr>
        <w:t xml:space="preserve">recommends establishing the ECCE as a new decentralised EU body to ensure scientific consistency, institutional continuity and independence, governed through a balanced multi-layered model combining Member States, the European Commission and organised civil </w:t>
      </w:r>
      <w:proofErr w:type="gramStart"/>
      <w:r w:rsidRPr="00665940">
        <w:rPr>
          <w:szCs w:val="20"/>
          <w:lang w:val="en-GB"/>
        </w:rPr>
        <w:t>society;</w:t>
      </w:r>
      <w:proofErr w:type="gramEnd"/>
    </w:p>
    <w:p w14:paraId="43AC5B7A" w14:textId="77777777" w:rsidR="00665940" w:rsidRPr="00665940" w:rsidRDefault="00665940" w:rsidP="0024648D">
      <w:pPr>
        <w:widowControl w:val="0"/>
        <w:numPr>
          <w:ilvl w:val="0"/>
          <w:numId w:val="38"/>
        </w:numPr>
        <w:overflowPunct w:val="0"/>
        <w:autoSpaceDE w:val="0"/>
        <w:autoSpaceDN w:val="0"/>
        <w:adjustRightInd w:val="0"/>
        <w:ind w:left="426" w:hanging="426"/>
        <w:textAlignment w:val="baseline"/>
        <w:rPr>
          <w:rFonts w:asciiTheme="minorHAnsi" w:hAnsiTheme="minorHAnsi"/>
          <w:szCs w:val="20"/>
          <w:lang w:val="en-GB"/>
        </w:rPr>
      </w:pPr>
      <w:r w:rsidRPr="00665940">
        <w:rPr>
          <w:szCs w:val="20"/>
          <w:lang w:val="en-GB"/>
        </w:rPr>
        <w:t>considers that stable, adequate and predictable funding from the EU budget is a prerequisite for the ECCE’s credibility, independence and long-term effectiveness. Any complementary funding must be strictly regulated and fully transparent to prevent undue influence over scientific outputs.</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sidRPr="00665940">
              <w:rPr>
                <w:b/>
                <w:i/>
              </w:rPr>
              <w:t>Contact</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sidRPr="00665940">
              <w:rPr>
                <w:i/>
              </w:rPr>
              <w:t>Radoslava Stefankova</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sidRPr="00665940">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sidRPr="00665940">
              <w:rPr>
                <w:i/>
              </w:rPr>
              <w:t>+32 25468188</w:t>
            </w:r>
          </w:p>
        </w:tc>
      </w:tr>
      <w:tr w:rsidR="00665940" w:rsidRPr="00665940" w14:paraId="7215EA9F" w14:textId="77777777" w:rsidTr="002E7EFB">
        <w:tc>
          <w:tcPr>
            <w:tcW w:w="1418" w:type="dxa"/>
          </w:tcPr>
          <w:p w14:paraId="7B8C52EC" w14:textId="5D08E9DB" w:rsidR="00665940" w:rsidRPr="00665940" w:rsidRDefault="0019037A" w:rsidP="00665940">
            <w:pPr>
              <w:overflowPunct w:val="0"/>
              <w:autoSpaceDE w:val="0"/>
              <w:autoSpaceDN w:val="0"/>
              <w:adjustRightInd w:val="0"/>
              <w:spacing w:line="240" w:lineRule="auto"/>
              <w:textAlignment w:val="baseline"/>
              <w:rPr>
                <w:i/>
              </w:rPr>
            </w:pPr>
            <w:r>
              <w:rPr>
                <w:i/>
              </w:rPr>
              <w:t>E</w:t>
            </w:r>
            <w:r w:rsidR="00665940" w:rsidRPr="00665940">
              <w:rPr>
                <w:i/>
              </w:rPr>
              <w:t>mail</w:t>
            </w:r>
          </w:p>
        </w:tc>
        <w:tc>
          <w:tcPr>
            <w:tcW w:w="5670" w:type="dxa"/>
          </w:tcPr>
          <w:p w14:paraId="51562D55" w14:textId="77777777" w:rsidR="00665940" w:rsidRPr="00665940" w:rsidRDefault="00665940" w:rsidP="00665940">
            <w:pPr>
              <w:overflowPunct w:val="0"/>
              <w:autoSpaceDE w:val="0"/>
              <w:autoSpaceDN w:val="0"/>
              <w:adjustRightInd w:val="0"/>
              <w:spacing w:line="240" w:lineRule="auto"/>
              <w:textAlignment w:val="baseline"/>
              <w:rPr>
                <w:i/>
              </w:rPr>
            </w:pPr>
            <w:hyperlink r:id="rId46" w:history="1">
              <w:r w:rsidRPr="00665940">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0F60B181" w:rsidR="00445258" w:rsidRPr="00445258" w:rsidRDefault="00445258" w:rsidP="0024648D">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lang w:val="en-GB" w:eastAsia="zh-CN"/>
        </w:rPr>
      </w:pPr>
      <w:hyperlink r:id="rId47" w:tgtFrame="_blank" w:history="1">
        <w:r w:rsidR="00BE2F67">
          <w:rPr>
            <w:b/>
            <w:bCs/>
            <w:i/>
            <w:iCs/>
            <w:color w:val="0000FF"/>
            <w:sz w:val="28"/>
            <w:szCs w:val="28"/>
            <w:u w:val="single"/>
            <w:lang w:val="en-GB" w:eastAsia="zh-CN"/>
          </w:rPr>
          <w:t>N</w:t>
        </w:r>
        <w:r w:rsidR="00AB3379">
          <w:rPr>
            <w:b/>
            <w:bCs/>
            <w:i/>
            <w:iCs/>
            <w:color w:val="0000FF"/>
            <w:sz w:val="28"/>
            <w:szCs w:val="28"/>
            <w:u w:val="single"/>
            <w:lang w:val="en-GB" w:eastAsia="zh-CN"/>
          </w:rPr>
          <w:t>ew rules on d</w:t>
        </w:r>
        <w:r w:rsidRPr="00445258">
          <w:rPr>
            <w:b/>
            <w:bCs/>
            <w:i/>
            <w:iCs/>
            <w:color w:val="0000FF"/>
            <w:sz w:val="28"/>
            <w:szCs w:val="28"/>
            <w:u w:val="single"/>
            <w:lang w:val="en-GB" w:eastAsia="zh-CN"/>
          </w:rPr>
          <w:t xml:space="preserve">rug </w:t>
        </w:r>
        <w:r w:rsidR="00AB3379">
          <w:rPr>
            <w:b/>
            <w:bCs/>
            <w:i/>
            <w:iCs/>
            <w:color w:val="0000FF"/>
            <w:sz w:val="28"/>
            <w:szCs w:val="28"/>
            <w:u w:val="single"/>
            <w:lang w:val="en-GB" w:eastAsia="zh-CN"/>
          </w:rPr>
          <w:t>p</w:t>
        </w:r>
        <w:r w:rsidRPr="00445258">
          <w:rPr>
            <w:b/>
            <w:bCs/>
            <w:i/>
            <w:iCs/>
            <w:color w:val="0000FF"/>
            <w:sz w:val="28"/>
            <w:szCs w:val="28"/>
            <w:u w:val="single"/>
            <w:lang w:val="en-GB" w:eastAsia="zh-CN"/>
          </w:rPr>
          <w:t>recursors</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sidRPr="00445258">
              <w:rPr>
                <w:b/>
              </w:rPr>
              <w:t>Rapporteur</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0B865A70" w:rsidR="00445258" w:rsidRPr="00445258" w:rsidRDefault="00445258" w:rsidP="00445258">
            <w:pPr>
              <w:tabs>
                <w:tab w:val="center" w:pos="284"/>
              </w:tabs>
              <w:overflowPunct w:val="0"/>
              <w:autoSpaceDE w:val="0"/>
              <w:autoSpaceDN w:val="0"/>
              <w:adjustRightInd w:val="0"/>
              <w:ind w:left="266" w:hanging="266"/>
              <w:textAlignment w:val="baseline"/>
            </w:pPr>
            <w:r w:rsidRPr="00445258">
              <w:t>Diego DUTTO (</w:t>
            </w:r>
            <w:r w:rsidRPr="00445258">
              <w:rPr>
                <w:lang w:val="en-GB"/>
              </w:rPr>
              <w:t>Civil Society Organisations</w:t>
            </w:r>
            <w:r w:rsidR="00190FCF">
              <w:rPr>
                <w:lang w:val="en-GB"/>
              </w:rPr>
              <w:t>' Group</w:t>
            </w:r>
            <w:r w:rsidRPr="00445258">
              <w:rPr>
                <w:lang w:val="en-GB"/>
              </w:rPr>
              <w:t xml:space="preserve"> </w:t>
            </w:r>
            <w:r w:rsidR="00AB3379">
              <w:t>-</w:t>
            </w:r>
            <w:r w:rsidRPr="00445258">
              <w:t xml:space="preserve">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sidRPr="00445258">
              <w:rPr>
                <w:b/>
              </w:rPr>
              <w:t>References</w:t>
            </w:r>
          </w:p>
        </w:tc>
        <w:tc>
          <w:tcPr>
            <w:tcW w:w="3852" w:type="pct"/>
          </w:tcPr>
          <w:p w14:paraId="4F313D09" w14:textId="3C48337C" w:rsidR="00445258" w:rsidRPr="00445258" w:rsidRDefault="00445258" w:rsidP="00445258">
            <w:pPr>
              <w:tabs>
                <w:tab w:val="center" w:pos="284"/>
              </w:tabs>
              <w:overflowPunct w:val="0"/>
              <w:autoSpaceDE w:val="0"/>
              <w:autoSpaceDN w:val="0"/>
              <w:adjustRightInd w:val="0"/>
              <w:ind w:left="266" w:hanging="266"/>
              <w:textAlignment w:val="baseline"/>
            </w:pPr>
            <w:proofErr w:type="gramStart"/>
            <w:r w:rsidRPr="00445258">
              <w:rPr>
                <w:lang w:val="en-GB"/>
              </w:rPr>
              <w:t>COM(</w:t>
            </w:r>
            <w:proofErr w:type="gramEnd"/>
            <w:r w:rsidRPr="00445258">
              <w:rPr>
                <w:lang w:val="en-GB"/>
              </w:rPr>
              <w:t xml:space="preserve">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rsidRPr="00445258">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r w:rsidRPr="00445258">
        <w:rPr>
          <w:b/>
          <w:lang w:val="en-GB"/>
        </w:rPr>
        <w:t>Key points</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lang w:val="en-GB"/>
        </w:rPr>
      </w:pPr>
      <w:r w:rsidRPr="00445258">
        <w:rPr>
          <w:bCs/>
          <w:iCs/>
          <w:lang w:val="en-GB"/>
        </w:rPr>
        <w:t xml:space="preserve">The EESC </w:t>
      </w:r>
      <w:r w:rsidRPr="00445258">
        <w:rPr>
          <w:szCs w:val="20"/>
          <w:lang w:val="en-GB"/>
        </w:rPr>
        <w:t>recommends the following</w:t>
      </w:r>
      <w:r w:rsidRPr="00445258">
        <w:rPr>
          <w:bCs/>
          <w:iCs/>
          <w:lang w:val="en-GB"/>
        </w:rPr>
        <w:t>:</w:t>
      </w:r>
    </w:p>
    <w:p w14:paraId="7F6FDC15"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ensure that access to the ‘Drug Precursors Information Repository’ is entirely free of </w:t>
      </w:r>
      <w:proofErr w:type="gramStart"/>
      <w:r w:rsidRPr="00445258">
        <w:rPr>
          <w:szCs w:val="20"/>
          <w:lang w:val="en-GB"/>
        </w:rPr>
        <w:t>charge;</w:t>
      </w:r>
      <w:proofErr w:type="gramEnd"/>
    </w:p>
    <w:p w14:paraId="015B0DA4"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provide for total exemptions or significant reductions in fees to issue licences for universities, research institutes and philanthropic </w:t>
      </w:r>
      <w:proofErr w:type="gramStart"/>
      <w:r w:rsidRPr="00445258">
        <w:rPr>
          <w:szCs w:val="20"/>
          <w:lang w:val="en-GB"/>
        </w:rPr>
        <w:t>organisations;</w:t>
      </w:r>
      <w:proofErr w:type="gramEnd"/>
    </w:p>
    <w:p w14:paraId="1D26F15F"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streamline the prior notification procedures for the use of small quantities of ‘designer’ </w:t>
      </w:r>
      <w:proofErr w:type="gramStart"/>
      <w:r w:rsidRPr="00445258">
        <w:rPr>
          <w:szCs w:val="20"/>
          <w:lang w:val="en-GB"/>
        </w:rPr>
        <w:t>precursors;</w:t>
      </w:r>
      <w:proofErr w:type="gramEnd"/>
    </w:p>
    <w:p w14:paraId="7A06841B"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establish a dedicated technical guidance channel for all stakeholders, including third sector organisations, with rapid clarification on the classification of substance </w:t>
      </w:r>
      <w:proofErr w:type="gramStart"/>
      <w:r w:rsidRPr="00445258">
        <w:rPr>
          <w:szCs w:val="20"/>
          <w:lang w:val="en-GB"/>
        </w:rPr>
        <w:t>variants;</w:t>
      </w:r>
      <w:proofErr w:type="gramEnd"/>
    </w:p>
    <w:p w14:paraId="6706E6CC"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avoid legal uncertainty for research laboratories caused by the generic inclusion of substance groups in Category 3 by publishing clear, timely, and exhaustive exemption </w:t>
      </w:r>
      <w:proofErr w:type="gramStart"/>
      <w:r w:rsidRPr="00445258">
        <w:rPr>
          <w:szCs w:val="20"/>
          <w:lang w:val="en-GB"/>
        </w:rPr>
        <w:t>lists;</w:t>
      </w:r>
      <w:proofErr w:type="gramEnd"/>
    </w:p>
    <w:p w14:paraId="0ED10065"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involve civil society organisations specialised in addiction prevention and harm reduction in awareness-raising and training </w:t>
      </w:r>
      <w:proofErr w:type="gramStart"/>
      <w:r w:rsidRPr="00445258">
        <w:rPr>
          <w:szCs w:val="20"/>
          <w:lang w:val="en-GB"/>
        </w:rPr>
        <w:t>activities;</w:t>
      </w:r>
      <w:proofErr w:type="gramEnd"/>
      <w:r w:rsidRPr="00445258">
        <w:rPr>
          <w:szCs w:val="20"/>
          <w:lang w:val="en-GB"/>
        </w:rPr>
        <w:t xml:space="preserve"> </w:t>
      </w:r>
    </w:p>
    <w:p w14:paraId="0308E5D5"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apply the obligation to appoint a ‘responsible officer’ with flexibility for small civil organisations, allowing for the designation of existing internal </w:t>
      </w:r>
      <w:proofErr w:type="gramStart"/>
      <w:r w:rsidRPr="00445258">
        <w:rPr>
          <w:szCs w:val="20"/>
          <w:lang w:val="en-GB"/>
        </w:rPr>
        <w:t>staff;</w:t>
      </w:r>
      <w:proofErr w:type="gramEnd"/>
    </w:p>
    <w:p w14:paraId="0765C645"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 xml:space="preserve">achieve homogeneous regulation in the EU. This will support authorities in tracking substance trading and the use of substances in research across </w:t>
      </w:r>
      <w:proofErr w:type="gramStart"/>
      <w:r w:rsidRPr="00445258">
        <w:rPr>
          <w:szCs w:val="20"/>
          <w:lang w:val="en-GB"/>
        </w:rPr>
        <w:t>Europe;</w:t>
      </w:r>
      <w:proofErr w:type="gramEnd"/>
      <w:r w:rsidRPr="00445258">
        <w:rPr>
          <w:szCs w:val="20"/>
          <w:lang w:val="en-GB"/>
        </w:rPr>
        <w:t xml:space="preserve"> </w:t>
      </w:r>
    </w:p>
    <w:p w14:paraId="6673E6C9" w14:textId="77777777" w:rsidR="00445258" w:rsidRPr="00445258" w:rsidRDefault="00445258" w:rsidP="0024648D">
      <w:pPr>
        <w:widowControl w:val="0"/>
        <w:numPr>
          <w:ilvl w:val="0"/>
          <w:numId w:val="40"/>
        </w:numPr>
        <w:overflowPunct w:val="0"/>
        <w:autoSpaceDE w:val="0"/>
        <w:autoSpaceDN w:val="0"/>
        <w:adjustRightInd w:val="0"/>
        <w:spacing w:line="276" w:lineRule="auto"/>
        <w:ind w:left="284" w:hanging="284"/>
        <w:textAlignment w:val="baseline"/>
        <w:rPr>
          <w:szCs w:val="20"/>
          <w:lang w:val="en-GB"/>
        </w:rPr>
      </w:pPr>
      <w:r w:rsidRPr="00445258">
        <w:rPr>
          <w:szCs w:val="20"/>
          <w:lang w:val="en-GB"/>
        </w:rPr>
        <w:t>protect the autonomy of researchers using Category 3 precursors by ensuring that competent authority controls are risk-based and do not interfere with the confidentiality or integrity of scientific research protocols.</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sidRPr="00445258">
              <w:rPr>
                <w:b/>
                <w:i/>
              </w:rPr>
              <w:t>Contact</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sidRPr="00445258">
              <w:rPr>
                <w:i/>
              </w:rPr>
              <w:t>Radoslava Stefankova</w:t>
            </w:r>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sidRPr="00445258">
              <w:rPr>
                <w:i/>
              </w:rPr>
              <w:t>Tel.</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sidRPr="00445258">
              <w:rPr>
                <w:i/>
              </w:rPr>
              <w:t>+32 25468188</w:t>
            </w:r>
          </w:p>
        </w:tc>
      </w:tr>
      <w:tr w:rsidR="00445258" w:rsidRPr="00445258" w14:paraId="751CD754" w14:textId="77777777" w:rsidTr="002E7EFB">
        <w:tc>
          <w:tcPr>
            <w:tcW w:w="1556" w:type="pct"/>
          </w:tcPr>
          <w:p w14:paraId="26B15F6C" w14:textId="4D732C16" w:rsidR="00445258" w:rsidRPr="00445258" w:rsidRDefault="00070ED2" w:rsidP="00445258">
            <w:pPr>
              <w:overflowPunct w:val="0"/>
              <w:autoSpaceDE w:val="0"/>
              <w:autoSpaceDN w:val="0"/>
              <w:adjustRightInd w:val="0"/>
              <w:spacing w:line="240" w:lineRule="auto"/>
              <w:textAlignment w:val="baseline"/>
              <w:rPr>
                <w:i/>
              </w:rPr>
            </w:pPr>
            <w:r>
              <w:rPr>
                <w:i/>
              </w:rPr>
              <w:t>E</w:t>
            </w:r>
            <w:r w:rsidR="00445258" w:rsidRPr="00445258">
              <w:rPr>
                <w:i/>
              </w:rPr>
              <w:t>mail</w:t>
            </w:r>
          </w:p>
        </w:tc>
        <w:tc>
          <w:tcPr>
            <w:tcW w:w="3444" w:type="pct"/>
          </w:tcPr>
          <w:p w14:paraId="7DA66FD2" w14:textId="77777777" w:rsidR="00445258" w:rsidRPr="00445258" w:rsidRDefault="00445258" w:rsidP="00445258">
            <w:pPr>
              <w:overflowPunct w:val="0"/>
              <w:autoSpaceDE w:val="0"/>
              <w:autoSpaceDN w:val="0"/>
              <w:adjustRightInd w:val="0"/>
              <w:spacing w:line="240" w:lineRule="auto"/>
              <w:textAlignment w:val="baseline"/>
              <w:rPr>
                <w:i/>
                <w:iCs/>
                <w:lang w:val="en-GB"/>
              </w:rPr>
            </w:pPr>
            <w:hyperlink r:id="rId48" w:history="1">
              <w:r w:rsidRPr="00445258">
                <w:rPr>
                  <w:i/>
                  <w:iCs/>
                  <w:color w:val="0000FF"/>
                  <w:u w:val="single"/>
                  <w:lang w:val="en-GB"/>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4CFE183F"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lang w:val="en-GB"/>
        </w:rPr>
      </w:pPr>
      <w:hyperlink r:id="rId49" w:history="1">
        <w:r w:rsidR="007A148E">
          <w:rPr>
            <w:b/>
            <w:bCs/>
            <w:i/>
            <w:iCs/>
            <w:color w:val="0000FF"/>
            <w:sz w:val="28"/>
            <w:szCs w:val="28"/>
            <w:u w:val="single"/>
          </w:rPr>
          <w:t>Propo</w:t>
        </w:r>
        <w:r w:rsidR="00A16254">
          <w:rPr>
            <w:b/>
            <w:bCs/>
            <w:i/>
            <w:iCs/>
            <w:color w:val="0000FF"/>
            <w:sz w:val="28"/>
            <w:szCs w:val="28"/>
            <w:u w:val="single"/>
          </w:rPr>
          <w:t>sal for a Regulation – Targeted revision of the EU rules for m</w:t>
        </w:r>
        <w:r w:rsidRPr="00DE758A">
          <w:rPr>
            <w:b/>
            <w:bCs/>
            <w:i/>
            <w:iCs/>
            <w:color w:val="0000FF"/>
            <w:sz w:val="28"/>
            <w:szCs w:val="28"/>
            <w:u w:val="single"/>
          </w:rPr>
          <w:t>edical devices and in vitro diagnostics</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sidRPr="00DE758A">
              <w:rPr>
                <w:b/>
              </w:rPr>
              <w:t>Rapporteur</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4AF4F551" w:rsidR="00DE758A" w:rsidRPr="00DE758A" w:rsidRDefault="00DE758A" w:rsidP="00DE758A">
            <w:pPr>
              <w:tabs>
                <w:tab w:val="center" w:pos="0"/>
              </w:tabs>
              <w:overflowPunct w:val="0"/>
              <w:autoSpaceDE w:val="0"/>
              <w:autoSpaceDN w:val="0"/>
              <w:adjustRightInd w:val="0"/>
              <w:ind w:left="266" w:hanging="266"/>
              <w:textAlignment w:val="baseline"/>
            </w:pPr>
            <w:r w:rsidRPr="00DE758A">
              <w:rPr>
                <w:bCs/>
              </w:rPr>
              <w:t>Danko RELIĆ</w:t>
            </w:r>
            <w:r w:rsidRPr="00DE758A">
              <w:t xml:space="preserve"> (</w:t>
            </w:r>
            <w:r w:rsidRPr="00DE758A">
              <w:rPr>
                <w:lang w:val="en-GB"/>
              </w:rPr>
              <w:t>Civil Society Organisations</w:t>
            </w:r>
            <w:r w:rsidRPr="00DE758A">
              <w:t xml:space="preserve">' Group </w:t>
            </w:r>
            <w:r w:rsidR="007A148E">
              <w:t>-</w:t>
            </w:r>
            <w:r w:rsidRPr="00DE758A">
              <w:t xml:space="preserve">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sidRPr="00DE758A">
              <w:rPr>
                <w:b/>
              </w:rPr>
              <w:t>References</w:t>
            </w:r>
          </w:p>
        </w:tc>
        <w:tc>
          <w:tcPr>
            <w:tcW w:w="3771" w:type="pct"/>
          </w:tcPr>
          <w:p w14:paraId="6D00FAF5" w14:textId="3273F965" w:rsidR="00DE758A" w:rsidRPr="00DE758A" w:rsidRDefault="00DE758A" w:rsidP="00DE758A">
            <w:pPr>
              <w:tabs>
                <w:tab w:val="center" w:pos="284"/>
              </w:tabs>
              <w:overflowPunct w:val="0"/>
              <w:autoSpaceDE w:val="0"/>
              <w:autoSpaceDN w:val="0"/>
              <w:adjustRightInd w:val="0"/>
              <w:ind w:left="266" w:hanging="266"/>
              <w:textAlignment w:val="baseline"/>
              <w:rPr>
                <w:lang w:val="pt-PT"/>
              </w:rPr>
            </w:pPr>
            <w:proofErr w:type="gramStart"/>
            <w:r w:rsidRPr="00DE758A">
              <w:rPr>
                <w:lang w:val="pt-PT"/>
              </w:rPr>
              <w:t>COM(</w:t>
            </w:r>
            <w:proofErr w:type="gramEnd"/>
            <w:r w:rsidRPr="00DE758A">
              <w:rPr>
                <w:lang w:val="pt-PT"/>
              </w:rPr>
              <w:t xml:space="preserve">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rPr>
                <w:lang w:val="pt-PT"/>
              </w:rPr>
            </w:pPr>
            <w:r w:rsidRPr="00DE758A">
              <w:rPr>
                <w:lang w:val="pt-PT"/>
              </w:rP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en-GB"/>
        </w:rPr>
      </w:pPr>
      <w:r w:rsidRPr="00DE758A">
        <w:rPr>
          <w:b/>
          <w:lang w:val="en-GB"/>
        </w:rPr>
        <w:t>Key points</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lang w:val="en-GB"/>
        </w:rPr>
      </w:pPr>
      <w:r w:rsidRPr="00DE758A">
        <w:rPr>
          <w:bCs/>
          <w:iCs/>
          <w:lang w:val="en-GB"/>
        </w:rPr>
        <w:t>The EESC:</w:t>
      </w:r>
    </w:p>
    <w:p w14:paraId="606935A0" w14:textId="77777777" w:rsidR="00DE758A" w:rsidRPr="0024648D" w:rsidRDefault="00DE758A" w:rsidP="0024648D">
      <w:pPr>
        <w:pStyle w:val="ListParagraph"/>
        <w:numPr>
          <w:ilvl w:val="0"/>
          <w:numId w:val="77"/>
        </w:numPr>
        <w:ind w:left="567" w:hanging="567"/>
      </w:pPr>
      <w:r w:rsidRPr="0024648D">
        <w:t xml:space="preserve">welcomes the Commission’s proposal to simplify and streamline the Medical Devices Regulation (MDR) and In Vitro Diagnostic Medical Devices Regulation (IVDR) while safeguarding patient safety, public health protection and trust in the regulatory </w:t>
      </w:r>
      <w:proofErr w:type="gramStart"/>
      <w:r w:rsidRPr="0024648D">
        <w:t>system;</w:t>
      </w:r>
      <w:proofErr w:type="gramEnd"/>
    </w:p>
    <w:p w14:paraId="3F3B23CD" w14:textId="77777777" w:rsidR="00DE758A" w:rsidRPr="0024648D" w:rsidRDefault="00DE758A" w:rsidP="0024648D">
      <w:pPr>
        <w:pStyle w:val="ListParagraph"/>
        <w:numPr>
          <w:ilvl w:val="0"/>
          <w:numId w:val="77"/>
        </w:numPr>
        <w:ind w:left="567" w:hanging="567"/>
      </w:pPr>
      <w:r w:rsidRPr="0024648D">
        <w:t xml:space="preserve">stresses that </w:t>
      </w:r>
      <w:r w:rsidRPr="0024648D">
        <w:rPr>
          <w:b/>
          <w:bCs/>
        </w:rPr>
        <w:t xml:space="preserve">simplification must ensure legal certainty, predictable certification outcomes and </w:t>
      </w:r>
      <w:proofErr w:type="spellStart"/>
      <w:r w:rsidRPr="0024648D">
        <w:rPr>
          <w:b/>
          <w:bCs/>
        </w:rPr>
        <w:t>harmonised</w:t>
      </w:r>
      <w:proofErr w:type="spellEnd"/>
      <w:r w:rsidRPr="0024648D">
        <w:rPr>
          <w:b/>
          <w:bCs/>
        </w:rPr>
        <w:t xml:space="preserve"> practices across Member States</w:t>
      </w:r>
      <w:r w:rsidRPr="0024648D">
        <w:t xml:space="preserve">, avoiding divergences among notified bodies and protecting SMEs and micro-enterprises from </w:t>
      </w:r>
      <w:proofErr w:type="gramStart"/>
      <w:r w:rsidRPr="0024648D">
        <w:t>uncertainty;</w:t>
      </w:r>
      <w:proofErr w:type="gramEnd"/>
    </w:p>
    <w:p w14:paraId="5AD93FCB" w14:textId="77777777" w:rsidR="00DE758A" w:rsidRPr="0024648D" w:rsidRDefault="00DE758A" w:rsidP="0024648D">
      <w:pPr>
        <w:pStyle w:val="ListParagraph"/>
        <w:numPr>
          <w:ilvl w:val="0"/>
          <w:numId w:val="77"/>
        </w:numPr>
        <w:ind w:left="567" w:hanging="567"/>
      </w:pPr>
      <w:r w:rsidRPr="0024648D">
        <w:t xml:space="preserve">underlines that </w:t>
      </w:r>
      <w:proofErr w:type="spellStart"/>
      <w:r w:rsidRPr="0024648D">
        <w:rPr>
          <w:b/>
          <w:bCs/>
        </w:rPr>
        <w:t>digitalisation</w:t>
      </w:r>
      <w:proofErr w:type="spellEnd"/>
      <w:r w:rsidRPr="0024648D">
        <w:rPr>
          <w:b/>
          <w:bCs/>
        </w:rPr>
        <w:t xml:space="preserve"> of conformity assessment and audits must avoid duplication of requirements and additional costs</w:t>
      </w:r>
      <w:r w:rsidRPr="0024648D">
        <w:t xml:space="preserve">, particularly for SMEs, workers and healthcare staff, and must be supported by clear guidance, training and technical </w:t>
      </w:r>
      <w:proofErr w:type="gramStart"/>
      <w:r w:rsidRPr="0024648D">
        <w:t>assistance;</w:t>
      </w:r>
      <w:proofErr w:type="gramEnd"/>
    </w:p>
    <w:p w14:paraId="5B714428" w14:textId="77777777" w:rsidR="00DE758A" w:rsidRPr="0024648D" w:rsidRDefault="00DE758A" w:rsidP="0024648D">
      <w:pPr>
        <w:pStyle w:val="ListParagraph"/>
        <w:numPr>
          <w:ilvl w:val="0"/>
          <w:numId w:val="77"/>
        </w:numPr>
        <w:ind w:left="567" w:hanging="567"/>
      </w:pPr>
      <w:r w:rsidRPr="0024648D">
        <w:t xml:space="preserve">insists that </w:t>
      </w:r>
      <w:r w:rsidRPr="0024648D">
        <w:rPr>
          <w:b/>
          <w:bCs/>
        </w:rPr>
        <w:t xml:space="preserve">simplification must not be undermined by increased </w:t>
      </w:r>
      <w:proofErr w:type="gramStart"/>
      <w:r w:rsidRPr="0024648D">
        <w:rPr>
          <w:b/>
          <w:bCs/>
        </w:rPr>
        <w:t>notified body</w:t>
      </w:r>
      <w:proofErr w:type="gramEnd"/>
      <w:r w:rsidRPr="0024648D">
        <w:rPr>
          <w:b/>
          <w:bCs/>
        </w:rPr>
        <w:t xml:space="preserve"> fees and that post-market surveillance and vigilance systems must be strengthened</w:t>
      </w:r>
      <w:r w:rsidRPr="0024648D">
        <w:t xml:space="preserve"> as a key compensatory mechanism for more flexible pre-market </w:t>
      </w:r>
      <w:proofErr w:type="gramStart"/>
      <w:r w:rsidRPr="0024648D">
        <w:t>requirements;</w:t>
      </w:r>
      <w:proofErr w:type="gramEnd"/>
    </w:p>
    <w:p w14:paraId="2350A493" w14:textId="77777777" w:rsidR="00DE758A" w:rsidRPr="0024648D" w:rsidRDefault="00DE758A" w:rsidP="0024648D">
      <w:pPr>
        <w:pStyle w:val="ListParagraph"/>
        <w:numPr>
          <w:ilvl w:val="0"/>
          <w:numId w:val="77"/>
        </w:numPr>
        <w:ind w:left="567" w:hanging="567"/>
      </w:pPr>
      <w:r w:rsidRPr="0024648D">
        <w:t xml:space="preserve">supports </w:t>
      </w:r>
      <w:r w:rsidRPr="0024648D">
        <w:rPr>
          <w:b/>
          <w:bCs/>
        </w:rPr>
        <w:t>innovation-friendly regulatory pathways for breakthrough and orphan devices while ensuring transparency</w:t>
      </w:r>
      <w:r w:rsidRPr="0024648D">
        <w:t xml:space="preserve"> (</w:t>
      </w:r>
      <w:proofErr w:type="gramStart"/>
      <w:r w:rsidRPr="0024648D">
        <w:t>including through</w:t>
      </w:r>
      <w:proofErr w:type="gramEnd"/>
      <w:r w:rsidRPr="0024648D">
        <w:t xml:space="preserve"> EUDAMED), and calls for the systematic </w:t>
      </w:r>
      <w:r w:rsidRPr="0024648D">
        <w:rPr>
          <w:b/>
          <w:bCs/>
        </w:rPr>
        <w:t>involvement of social partners, healthcare professionals and civil society</w:t>
      </w:r>
      <w:r w:rsidRPr="0024648D">
        <w:t xml:space="preserve"> in monitoring implementation and impacts.</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5029"/>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sidRPr="00DE758A">
              <w:rPr>
                <w:b/>
                <w:i/>
              </w:rPr>
              <w:t>Contact</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sidRPr="00DE758A">
              <w:rPr>
                <w:i/>
              </w:rPr>
              <w:t>Silvia S</w:t>
            </w:r>
            <w:r w:rsidR="001E4147" w:rsidRPr="00DE758A">
              <w:rPr>
                <w:i/>
              </w:rPr>
              <w:t>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sidRPr="00DE758A">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sidRPr="00DE758A">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sidRPr="00DE758A">
              <w:rPr>
                <w:i/>
              </w:rPr>
              <w:t>Email</w:t>
            </w:r>
          </w:p>
        </w:tc>
        <w:tc>
          <w:tcPr>
            <w:tcW w:w="3941" w:type="pct"/>
          </w:tcPr>
          <w:p w14:paraId="7476247D" w14:textId="77777777" w:rsidR="00DE758A" w:rsidRPr="00DE758A" w:rsidRDefault="00DE758A" w:rsidP="00DE758A">
            <w:pPr>
              <w:overflowPunct w:val="0"/>
              <w:autoSpaceDE w:val="0"/>
              <w:autoSpaceDN w:val="0"/>
              <w:adjustRightInd w:val="0"/>
              <w:spacing w:line="240" w:lineRule="auto"/>
              <w:textAlignment w:val="baseline"/>
              <w:rPr>
                <w:i/>
                <w:iCs/>
                <w:lang w:val="en-GB"/>
              </w:rPr>
            </w:pPr>
            <w:hyperlink r:id="rId50" w:history="1">
              <w:r w:rsidRPr="00DE758A">
                <w:rPr>
                  <w:i/>
                  <w:iCs/>
                  <w:color w:val="0000FF"/>
                  <w:u w:val="single"/>
                  <w:lang w:val="en-GB"/>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5CC1F5BF"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lang w:val="en-GB"/>
        </w:rPr>
      </w:pPr>
      <w:hyperlink r:id="rId51" w:history="1">
        <w:r w:rsidR="000A2B8D">
          <w:rPr>
            <w:b/>
            <w:bCs/>
            <w:i/>
            <w:iCs/>
            <w:color w:val="0000FF"/>
            <w:sz w:val="28"/>
            <w:szCs w:val="28"/>
            <w:u w:val="single"/>
            <w:lang w:val="en-GB"/>
          </w:rPr>
          <w:t>A</w:t>
        </w:r>
        <w:r w:rsidR="00FF5F24">
          <w:rPr>
            <w:b/>
            <w:bCs/>
            <w:i/>
            <w:iCs/>
            <w:color w:val="0000FF"/>
            <w:sz w:val="28"/>
            <w:szCs w:val="28"/>
            <w:u w:val="single"/>
            <w:lang w:val="en-GB"/>
          </w:rPr>
          <w:t xml:space="preserve"> s</w:t>
        </w:r>
        <w:r w:rsidR="00B47AAE">
          <w:rPr>
            <w:b/>
            <w:bCs/>
            <w:i/>
            <w:iCs/>
            <w:color w:val="0000FF"/>
            <w:sz w:val="28"/>
            <w:szCs w:val="28"/>
            <w:u w:val="single"/>
            <w:lang w:val="en-GB"/>
          </w:rPr>
          <w:t>trategic</w:t>
        </w:r>
        <w:r w:rsidR="000A2B8D">
          <w:rPr>
            <w:b/>
            <w:bCs/>
            <w:i/>
            <w:iCs/>
            <w:color w:val="0000FF"/>
            <w:sz w:val="28"/>
            <w:szCs w:val="28"/>
            <w:u w:val="single"/>
            <w:lang w:val="en-GB"/>
          </w:rPr>
          <w:t xml:space="preserve"> s</w:t>
        </w:r>
        <w:r w:rsidRPr="00CB6F1C">
          <w:rPr>
            <w:b/>
            <w:bCs/>
            <w:i/>
            <w:iCs/>
            <w:color w:val="0000FF"/>
            <w:sz w:val="28"/>
            <w:szCs w:val="28"/>
            <w:u w:val="single"/>
            <w:lang w:val="en-GB"/>
          </w:rPr>
          <w:t>tandardisation</w:t>
        </w:r>
        <w:r w:rsidR="000A2B8D">
          <w:rPr>
            <w:b/>
            <w:bCs/>
            <w:i/>
            <w:iCs/>
            <w:color w:val="0000FF"/>
            <w:sz w:val="28"/>
            <w:szCs w:val="28"/>
            <w:u w:val="single"/>
            <w:lang w:val="en-GB"/>
          </w:rPr>
          <w:t xml:space="preserve"> for</w:t>
        </w:r>
        <w:r w:rsidR="00440237">
          <w:rPr>
            <w:b/>
            <w:bCs/>
            <w:i/>
            <w:iCs/>
            <w:color w:val="0000FF"/>
            <w:sz w:val="28"/>
            <w:szCs w:val="28"/>
            <w:u w:val="single"/>
            <w:lang w:val="en-GB"/>
          </w:rPr>
          <w:t xml:space="preserve"> a stronger </w:t>
        </w:r>
        <w:r w:rsidRPr="00CB6F1C">
          <w:rPr>
            <w:b/>
            <w:bCs/>
            <w:i/>
            <w:iCs/>
            <w:color w:val="0000FF"/>
            <w:sz w:val="28"/>
            <w:szCs w:val="28"/>
            <w:u w:val="single"/>
            <w:lang w:val="en-GB"/>
          </w:rPr>
          <w:t>single market</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sidRPr="00CB6F1C">
              <w:rPr>
                <w:b/>
              </w:rPr>
              <w:t>Rapporteur</w:t>
            </w:r>
          </w:p>
        </w:tc>
        <w:tc>
          <w:tcPr>
            <w:tcW w:w="7371" w:type="dxa"/>
          </w:tcPr>
          <w:p w14:paraId="0C80D85A" w14:textId="17FD913B" w:rsidR="00CB6F1C" w:rsidRPr="00CB6F1C" w:rsidRDefault="00CB6F1C" w:rsidP="00CB6F1C">
            <w:pPr>
              <w:tabs>
                <w:tab w:val="center" w:pos="284"/>
              </w:tabs>
              <w:overflowPunct w:val="0"/>
              <w:autoSpaceDE w:val="0"/>
              <w:autoSpaceDN w:val="0"/>
              <w:adjustRightInd w:val="0"/>
              <w:ind w:left="266" w:hanging="266"/>
              <w:textAlignment w:val="baseline"/>
            </w:pPr>
            <w:r w:rsidRPr="00CB6F1C">
              <w:t xml:space="preserve">Angelo PAGLIARA (Workers' Group </w:t>
            </w:r>
            <w:r w:rsidR="00440237">
              <w:t>-</w:t>
            </w:r>
            <w:r w:rsidRPr="00CB6F1C">
              <w:t xml:space="preserve">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sidRPr="00CB6F1C">
              <w:rPr>
                <w:b/>
              </w:rPr>
              <w:t>References</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rsidRPr="00CB6F1C">
              <w:t>Own-initiative opinion</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rsidRPr="00CB6F1C">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75B94D09"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r w:rsidRPr="00CB6F1C">
        <w:rPr>
          <w:b/>
          <w:lang w:val="en-GB"/>
        </w:rPr>
        <w:t>Key points</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lang w:val="en-GB"/>
        </w:rPr>
      </w:pPr>
      <w:r w:rsidRPr="00CB6F1C">
        <w:rPr>
          <w:bCs/>
          <w:iCs/>
          <w:lang w:val="en-GB"/>
        </w:rPr>
        <w:t>The EESC:</w:t>
      </w:r>
    </w:p>
    <w:p w14:paraId="3C18654B" w14:textId="77777777" w:rsidR="00CB6F1C" w:rsidRPr="00CB6F1C" w:rsidRDefault="00CB6F1C" w:rsidP="0024648D">
      <w:pPr>
        <w:widowControl w:val="0"/>
        <w:numPr>
          <w:ilvl w:val="0"/>
          <w:numId w:val="42"/>
        </w:numPr>
        <w:overflowPunct w:val="0"/>
        <w:autoSpaceDE w:val="0"/>
        <w:autoSpaceDN w:val="0"/>
        <w:adjustRightInd w:val="0"/>
        <w:spacing w:line="276" w:lineRule="auto"/>
        <w:ind w:left="284" w:hanging="284"/>
        <w:textAlignment w:val="baseline"/>
        <w:rPr>
          <w:bCs/>
          <w:iCs/>
          <w:lang w:val="en-GB"/>
        </w:rPr>
      </w:pPr>
      <w:r w:rsidRPr="00CB6F1C">
        <w:rPr>
          <w:bCs/>
          <w:iCs/>
          <w:lang w:val="en-GB"/>
        </w:rPr>
        <w:t xml:space="preserve">stresses that </w:t>
      </w:r>
      <w:r w:rsidRPr="00CB6F1C">
        <w:rPr>
          <w:b/>
          <w:iCs/>
          <w:lang w:val="en-GB"/>
        </w:rPr>
        <w:t>inclusiveness</w:t>
      </w:r>
      <w:r w:rsidRPr="00CB6F1C">
        <w:rPr>
          <w:bCs/>
          <w:iCs/>
          <w:lang w:val="en-GB"/>
        </w:rPr>
        <w:t xml:space="preserve"> is essential for a legitimate and effective standardisation system, calling for </w:t>
      </w:r>
      <w:r w:rsidRPr="00CB6F1C">
        <w:rPr>
          <w:b/>
          <w:iCs/>
          <w:lang w:val="en-GB"/>
        </w:rPr>
        <w:t>stronger participation of SMEs, trade unions and civil society</w:t>
      </w:r>
      <w:r w:rsidRPr="00CB6F1C">
        <w:rPr>
          <w:bCs/>
          <w:iCs/>
          <w:lang w:val="en-GB"/>
        </w:rPr>
        <w:t xml:space="preserve">, supported by adequate funding, capacity building and simplified </w:t>
      </w:r>
      <w:proofErr w:type="gramStart"/>
      <w:r w:rsidRPr="00CB6F1C">
        <w:rPr>
          <w:bCs/>
          <w:iCs/>
          <w:lang w:val="en-GB"/>
        </w:rPr>
        <w:t>access;</w:t>
      </w:r>
      <w:proofErr w:type="gramEnd"/>
    </w:p>
    <w:p w14:paraId="0EF2C817" w14:textId="77777777" w:rsidR="00CB6F1C" w:rsidRPr="00CB6F1C" w:rsidRDefault="00CB6F1C" w:rsidP="0024648D">
      <w:pPr>
        <w:widowControl w:val="0"/>
        <w:numPr>
          <w:ilvl w:val="0"/>
          <w:numId w:val="42"/>
        </w:numPr>
        <w:overflowPunct w:val="0"/>
        <w:autoSpaceDE w:val="0"/>
        <w:autoSpaceDN w:val="0"/>
        <w:adjustRightInd w:val="0"/>
        <w:spacing w:line="276" w:lineRule="auto"/>
        <w:ind w:left="284" w:hanging="284"/>
        <w:textAlignment w:val="baseline"/>
        <w:rPr>
          <w:bCs/>
          <w:iCs/>
          <w:lang w:val="en-GB"/>
        </w:rPr>
      </w:pPr>
      <w:r w:rsidRPr="00CB6F1C">
        <w:rPr>
          <w:bCs/>
          <w:iCs/>
          <w:lang w:val="en-GB"/>
        </w:rPr>
        <w:t xml:space="preserve">calls for clear safeguards to protect social dialogue, insisting that </w:t>
      </w:r>
      <w:r w:rsidRPr="00CB6F1C">
        <w:rPr>
          <w:b/>
          <w:iCs/>
          <w:lang w:val="en-GB"/>
        </w:rPr>
        <w:t>European standards must remain technical tools supporting legislation</w:t>
      </w:r>
      <w:r w:rsidRPr="00CB6F1C">
        <w:rPr>
          <w:bCs/>
          <w:iCs/>
          <w:lang w:val="en-GB"/>
        </w:rPr>
        <w:t xml:space="preserve"> and must not regulate or interfere with workers’ rights, working conditions or collective </w:t>
      </w:r>
      <w:proofErr w:type="gramStart"/>
      <w:r w:rsidRPr="00CB6F1C">
        <w:rPr>
          <w:bCs/>
          <w:iCs/>
          <w:lang w:val="en-GB"/>
        </w:rPr>
        <w:t>bargaining;</w:t>
      </w:r>
      <w:proofErr w:type="gramEnd"/>
    </w:p>
    <w:p w14:paraId="12F2C5AB" w14:textId="77777777" w:rsidR="00CB6F1C" w:rsidRPr="00CB6F1C" w:rsidRDefault="00CB6F1C" w:rsidP="0024648D">
      <w:pPr>
        <w:widowControl w:val="0"/>
        <w:numPr>
          <w:ilvl w:val="0"/>
          <w:numId w:val="42"/>
        </w:numPr>
        <w:overflowPunct w:val="0"/>
        <w:autoSpaceDE w:val="0"/>
        <w:autoSpaceDN w:val="0"/>
        <w:adjustRightInd w:val="0"/>
        <w:spacing w:line="276" w:lineRule="auto"/>
        <w:ind w:left="284" w:hanging="284"/>
        <w:textAlignment w:val="baseline"/>
        <w:rPr>
          <w:bCs/>
          <w:iCs/>
          <w:lang w:val="en-GB"/>
        </w:rPr>
      </w:pPr>
      <w:r w:rsidRPr="00CB6F1C">
        <w:rPr>
          <w:bCs/>
          <w:iCs/>
          <w:lang w:val="en-GB"/>
        </w:rPr>
        <w:t xml:space="preserve">recommends </w:t>
      </w:r>
      <w:r w:rsidRPr="00CB6F1C">
        <w:rPr>
          <w:b/>
          <w:iCs/>
          <w:lang w:val="en-GB"/>
        </w:rPr>
        <w:t>stronger transparency</w:t>
      </w:r>
      <w:r w:rsidRPr="00CB6F1C">
        <w:rPr>
          <w:bCs/>
          <w:iCs/>
          <w:lang w:val="en-GB"/>
        </w:rPr>
        <w:t xml:space="preserve"> and accessibility, including e</w:t>
      </w:r>
      <w:r w:rsidRPr="00CB6F1C">
        <w:rPr>
          <w:b/>
          <w:iCs/>
          <w:lang w:val="en-GB"/>
        </w:rPr>
        <w:t>asier public access to standards</w:t>
      </w:r>
      <w:r w:rsidRPr="00CB6F1C">
        <w:rPr>
          <w:bCs/>
          <w:iCs/>
          <w:lang w:val="en-GB"/>
        </w:rPr>
        <w:t xml:space="preserve">, </w:t>
      </w:r>
      <w:r w:rsidRPr="00CB6F1C">
        <w:rPr>
          <w:b/>
          <w:iCs/>
          <w:lang w:val="en-GB"/>
        </w:rPr>
        <w:t>clearer governance of technical committees</w:t>
      </w:r>
      <w:r w:rsidRPr="00CB6F1C">
        <w:rPr>
          <w:bCs/>
          <w:iCs/>
          <w:lang w:val="en-GB"/>
        </w:rPr>
        <w:t xml:space="preserve"> and an </w:t>
      </w:r>
      <w:r w:rsidRPr="00CB6F1C">
        <w:rPr>
          <w:b/>
          <w:iCs/>
          <w:lang w:val="en-GB"/>
        </w:rPr>
        <w:t>ex-ante assessment of standardisation requests</w:t>
      </w:r>
      <w:r w:rsidRPr="00CB6F1C">
        <w:rPr>
          <w:bCs/>
          <w:iCs/>
          <w:lang w:val="en-GB"/>
        </w:rPr>
        <w:t xml:space="preserve"> to ensure compliance with fundamental rights and EU </w:t>
      </w:r>
      <w:proofErr w:type="gramStart"/>
      <w:r w:rsidRPr="00CB6F1C">
        <w:rPr>
          <w:bCs/>
          <w:iCs/>
          <w:lang w:val="en-GB"/>
        </w:rPr>
        <w:t>legislation;</w:t>
      </w:r>
      <w:proofErr w:type="gramEnd"/>
    </w:p>
    <w:p w14:paraId="0695E427" w14:textId="77777777" w:rsidR="00CB6F1C" w:rsidRPr="00CB6F1C" w:rsidRDefault="00CB6F1C" w:rsidP="0024648D">
      <w:pPr>
        <w:widowControl w:val="0"/>
        <w:numPr>
          <w:ilvl w:val="0"/>
          <w:numId w:val="42"/>
        </w:numPr>
        <w:overflowPunct w:val="0"/>
        <w:autoSpaceDE w:val="0"/>
        <w:autoSpaceDN w:val="0"/>
        <w:adjustRightInd w:val="0"/>
        <w:spacing w:line="276" w:lineRule="auto"/>
        <w:ind w:left="284" w:hanging="284"/>
        <w:textAlignment w:val="baseline"/>
        <w:rPr>
          <w:bCs/>
          <w:iCs/>
          <w:lang w:val="en-GB"/>
        </w:rPr>
      </w:pPr>
      <w:r w:rsidRPr="00CB6F1C">
        <w:rPr>
          <w:bCs/>
          <w:iCs/>
          <w:lang w:val="en-GB"/>
        </w:rPr>
        <w:t xml:space="preserve">highlights the strategic role of standardisation in boosting the single market, competitiveness and open strategic autonomy, while urging stronger </w:t>
      </w:r>
      <w:r w:rsidRPr="00CB6F1C">
        <w:rPr>
          <w:b/>
          <w:iCs/>
          <w:lang w:val="en-GB"/>
        </w:rPr>
        <w:t>EU coordination in international standard-setting</w:t>
      </w:r>
      <w:r w:rsidRPr="00CB6F1C">
        <w:rPr>
          <w:bCs/>
          <w:iCs/>
          <w:lang w:val="en-GB"/>
        </w:rPr>
        <w:t xml:space="preserve"> to safeguard European interests and high </w:t>
      </w:r>
      <w:proofErr w:type="gramStart"/>
      <w:r w:rsidRPr="00CB6F1C">
        <w:rPr>
          <w:bCs/>
          <w:iCs/>
          <w:lang w:val="en-GB"/>
        </w:rPr>
        <w:t>standards;</w:t>
      </w:r>
      <w:proofErr w:type="gramEnd"/>
    </w:p>
    <w:p w14:paraId="3F5E5408" w14:textId="77777777" w:rsidR="00CB6F1C" w:rsidRPr="00CB6F1C" w:rsidRDefault="00CB6F1C" w:rsidP="0024648D">
      <w:pPr>
        <w:widowControl w:val="0"/>
        <w:numPr>
          <w:ilvl w:val="0"/>
          <w:numId w:val="42"/>
        </w:numPr>
        <w:overflowPunct w:val="0"/>
        <w:autoSpaceDE w:val="0"/>
        <w:autoSpaceDN w:val="0"/>
        <w:adjustRightInd w:val="0"/>
        <w:spacing w:line="276" w:lineRule="auto"/>
        <w:ind w:left="284" w:hanging="284"/>
        <w:textAlignment w:val="baseline"/>
        <w:rPr>
          <w:bCs/>
          <w:iCs/>
          <w:lang w:val="en-GB"/>
        </w:rPr>
      </w:pPr>
      <w:r w:rsidRPr="00CB6F1C">
        <w:rPr>
          <w:bCs/>
          <w:iCs/>
          <w:lang w:val="en-GB"/>
        </w:rPr>
        <w:t xml:space="preserve">advocates a more efficient and </w:t>
      </w:r>
      <w:r w:rsidRPr="00CB6F1C">
        <w:rPr>
          <w:b/>
          <w:iCs/>
          <w:lang w:val="en-GB"/>
        </w:rPr>
        <w:t>future-proof</w:t>
      </w:r>
      <w:r w:rsidRPr="00CB6F1C">
        <w:rPr>
          <w:bCs/>
          <w:iCs/>
          <w:lang w:val="en-GB"/>
        </w:rPr>
        <w:t xml:space="preserve"> system, improving </w:t>
      </w:r>
      <w:r w:rsidRPr="00CB6F1C">
        <w:rPr>
          <w:b/>
          <w:iCs/>
          <w:lang w:val="en-GB"/>
        </w:rPr>
        <w:t>timeliness</w:t>
      </w:r>
      <w:r w:rsidRPr="00CB6F1C">
        <w:rPr>
          <w:bCs/>
          <w:iCs/>
          <w:lang w:val="en-GB"/>
        </w:rPr>
        <w:t xml:space="preserve"> and quality while addressing </w:t>
      </w:r>
      <w:r w:rsidRPr="00CB6F1C">
        <w:rPr>
          <w:b/>
          <w:iCs/>
          <w:lang w:val="en-GB"/>
        </w:rPr>
        <w:t>emerging technologies</w:t>
      </w:r>
      <w:r w:rsidRPr="00CB6F1C">
        <w:rPr>
          <w:bCs/>
          <w:iCs/>
          <w:lang w:val="en-GB"/>
        </w:rPr>
        <w:t xml:space="preserve"> and ensuring that standards support innovation, sustainability and </w:t>
      </w:r>
      <w:r w:rsidRPr="00CB6F1C">
        <w:rPr>
          <w:b/>
          <w:iCs/>
          <w:lang w:val="en-GB"/>
        </w:rPr>
        <w:t>high levels of protection for workers, consumers and the environment</w:t>
      </w:r>
      <w:r w:rsidRPr="00CB6F1C">
        <w:rPr>
          <w:bCs/>
          <w:iCs/>
          <w:lang w:val="en-GB"/>
        </w:rP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sidRPr="00CB6F1C">
              <w:rPr>
                <w:b/>
                <w:i/>
              </w:rPr>
              <w:t>Contact</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sidRPr="00CB6F1C">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sidRPr="00CB6F1C">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sidRPr="00CB6F1C">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sidRPr="00CB6F1C">
              <w:rPr>
                <w:i/>
              </w:rPr>
              <w:t>Email</w:t>
            </w:r>
          </w:p>
        </w:tc>
        <w:tc>
          <w:tcPr>
            <w:tcW w:w="5670" w:type="dxa"/>
          </w:tcPr>
          <w:p w14:paraId="06BF328F" w14:textId="77777777" w:rsidR="00CB6F1C" w:rsidRPr="00CB6F1C" w:rsidRDefault="00CB6F1C" w:rsidP="00CB6F1C">
            <w:pPr>
              <w:overflowPunct w:val="0"/>
              <w:autoSpaceDE w:val="0"/>
              <w:autoSpaceDN w:val="0"/>
              <w:adjustRightInd w:val="0"/>
              <w:spacing w:line="240" w:lineRule="auto"/>
              <w:textAlignment w:val="baseline"/>
              <w:rPr>
                <w:i/>
              </w:rPr>
            </w:pPr>
            <w:hyperlink r:id="rId52" w:history="1">
              <w:r w:rsidRPr="00CB6F1C">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3FF01CFC" w:rsidR="001F4150" w:rsidRPr="001F4150" w:rsidRDefault="00A067F3" w:rsidP="0024648D">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lang w:val="en-GB" w:eastAsia="zh-CN"/>
        </w:rPr>
      </w:pPr>
      <w:hyperlink r:id="rId53" w:history="1">
        <w:r w:rsidR="001F4150" w:rsidRPr="001F4150">
          <w:rPr>
            <w:b/>
            <w:bCs/>
            <w:i/>
            <w:iCs/>
            <w:color w:val="0000FF"/>
            <w:sz w:val="28"/>
            <w:szCs w:val="28"/>
            <w:u w:val="single"/>
            <w:lang w:eastAsia="zh-CN"/>
          </w:rPr>
          <w:t>Single market – tackling unjustified territorial supply constraints</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sidRPr="001F4150">
              <w:rPr>
                <w:b/>
              </w:rPr>
              <w:t>Rapporteur</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7994B454" w:rsidR="001F4150" w:rsidRPr="001F4150" w:rsidRDefault="001F4150" w:rsidP="001F4150">
            <w:pPr>
              <w:tabs>
                <w:tab w:val="center" w:pos="284"/>
              </w:tabs>
              <w:overflowPunct w:val="0"/>
              <w:autoSpaceDE w:val="0"/>
              <w:autoSpaceDN w:val="0"/>
              <w:adjustRightInd w:val="0"/>
              <w:ind w:left="266" w:hanging="266"/>
              <w:textAlignment w:val="baseline"/>
              <w:rPr>
                <w:lang w:val="fr-BE"/>
              </w:rPr>
            </w:pPr>
            <w:r w:rsidRPr="001F4150">
              <w:rPr>
                <w:lang w:val="fr-BE"/>
              </w:rPr>
              <w:t>Antje GERSTEIN (</w:t>
            </w:r>
            <w:proofErr w:type="spellStart"/>
            <w:r w:rsidRPr="001F4150">
              <w:rPr>
                <w:lang w:val="fr-BE"/>
              </w:rPr>
              <w:t>Employers</w:t>
            </w:r>
            <w:proofErr w:type="spellEnd"/>
            <w:r w:rsidRPr="001F4150">
              <w:rPr>
                <w:lang w:val="fr-BE"/>
              </w:rPr>
              <w:t xml:space="preserve">' Group </w:t>
            </w:r>
            <w:r w:rsidR="00862DC4">
              <w:rPr>
                <w:lang w:val="fr-BE"/>
              </w:rPr>
              <w:t>-</w:t>
            </w:r>
            <w:r w:rsidRPr="001F4150">
              <w:rPr>
                <w:lang w:val="fr-BE"/>
              </w:rPr>
              <w:t xml:space="preserve">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sidRPr="001F4150">
              <w:rPr>
                <w:b/>
              </w:rPr>
              <w:t>References</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rsidRPr="001F4150">
              <w:rPr>
                <w:lang w:val="en-GB"/>
              </w:rPr>
              <w:t>Exploratory opinion</w:t>
            </w:r>
            <w:r w:rsidR="00A839C1">
              <w:rPr>
                <w:lang w:val="en-GB"/>
              </w:rPr>
              <w:t xml:space="preserve"> requested</w:t>
            </w:r>
            <w:r w:rsidR="00121D18">
              <w:rPr>
                <w:lang w:val="en-GB"/>
              </w:rPr>
              <w:t xml:space="preserve"> by the European</w:t>
            </w:r>
            <w:r w:rsidRPr="001F4150">
              <w:rPr>
                <w:lang w:val="en-GB"/>
              </w:rPr>
              <w:t xml:space="preserve"> Commission</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58D6F0FA" w:rsidR="001F4150" w:rsidRPr="001F4150" w:rsidRDefault="001F4150" w:rsidP="001F4150">
            <w:pPr>
              <w:tabs>
                <w:tab w:val="center" w:pos="284"/>
              </w:tabs>
              <w:overflowPunct w:val="0"/>
              <w:autoSpaceDE w:val="0"/>
              <w:autoSpaceDN w:val="0"/>
              <w:adjustRightInd w:val="0"/>
              <w:ind w:left="266" w:hanging="266"/>
              <w:textAlignment w:val="baseline"/>
            </w:pPr>
            <w:r w:rsidRPr="001F4150">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r w:rsidRPr="001F4150">
        <w:rPr>
          <w:b/>
          <w:lang w:val="en-GB"/>
        </w:rPr>
        <w:t>Key points</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lang w:val="en-GB"/>
        </w:rPr>
      </w:pPr>
      <w:r w:rsidRPr="001F4150">
        <w:rPr>
          <w:bCs/>
          <w:iCs/>
          <w:lang w:val="en-GB"/>
        </w:rPr>
        <w:t>The EESC:</w:t>
      </w:r>
    </w:p>
    <w:p w14:paraId="1BF673F7" w14:textId="77777777" w:rsidR="001F4150" w:rsidRPr="001F4150" w:rsidRDefault="001F4150" w:rsidP="0024648D">
      <w:pPr>
        <w:widowControl w:val="0"/>
        <w:numPr>
          <w:ilvl w:val="0"/>
          <w:numId w:val="39"/>
        </w:numPr>
        <w:overflowPunct w:val="0"/>
        <w:autoSpaceDE w:val="0"/>
        <w:autoSpaceDN w:val="0"/>
        <w:adjustRightInd w:val="0"/>
        <w:ind w:left="284" w:hanging="284"/>
        <w:textAlignment w:val="baseline"/>
        <w:rPr>
          <w:szCs w:val="20"/>
          <w:lang w:val="en-GB"/>
        </w:rPr>
      </w:pPr>
      <w:r w:rsidRPr="001F4150">
        <w:rPr>
          <w:szCs w:val="20"/>
          <w:lang w:val="en-GB"/>
        </w:rPr>
        <w:t xml:space="preserve">believes that territorial supply constraints (TSCs) harm cross-border business and break the single market’s promise to bring choice and price competition to </w:t>
      </w:r>
      <w:proofErr w:type="gramStart"/>
      <w:r w:rsidRPr="001F4150">
        <w:rPr>
          <w:szCs w:val="20"/>
          <w:lang w:val="en-GB"/>
        </w:rPr>
        <w:t>consumers;</w:t>
      </w:r>
      <w:proofErr w:type="gramEnd"/>
    </w:p>
    <w:p w14:paraId="58CB97FB" w14:textId="77777777" w:rsidR="001F4150" w:rsidRPr="001F4150" w:rsidRDefault="001F4150" w:rsidP="0024648D">
      <w:pPr>
        <w:widowControl w:val="0"/>
        <w:numPr>
          <w:ilvl w:val="0"/>
          <w:numId w:val="39"/>
        </w:numPr>
        <w:overflowPunct w:val="0"/>
        <w:autoSpaceDE w:val="0"/>
        <w:autoSpaceDN w:val="0"/>
        <w:adjustRightInd w:val="0"/>
        <w:ind w:left="284" w:hanging="284"/>
        <w:textAlignment w:val="baseline"/>
        <w:rPr>
          <w:szCs w:val="20"/>
          <w:lang w:val="en-GB"/>
        </w:rPr>
      </w:pPr>
      <w:r w:rsidRPr="001F4150">
        <w:rPr>
          <w:szCs w:val="20"/>
          <w:lang w:val="en-GB"/>
        </w:rPr>
        <w:t xml:space="preserve">believes that it is particularly important for consumers and workers to leverage all potential benefits from a well-functioning single market in terms of prices and product </w:t>
      </w:r>
      <w:proofErr w:type="gramStart"/>
      <w:r w:rsidRPr="001F4150">
        <w:rPr>
          <w:szCs w:val="20"/>
          <w:lang w:val="en-GB"/>
        </w:rPr>
        <w:t>choice;</w:t>
      </w:r>
      <w:proofErr w:type="gramEnd"/>
    </w:p>
    <w:p w14:paraId="15925C71" w14:textId="77777777" w:rsidR="001F4150" w:rsidRPr="001F4150" w:rsidRDefault="001F4150" w:rsidP="0024648D">
      <w:pPr>
        <w:widowControl w:val="0"/>
        <w:numPr>
          <w:ilvl w:val="0"/>
          <w:numId w:val="39"/>
        </w:numPr>
        <w:overflowPunct w:val="0"/>
        <w:autoSpaceDE w:val="0"/>
        <w:autoSpaceDN w:val="0"/>
        <w:adjustRightInd w:val="0"/>
        <w:ind w:left="284" w:hanging="284"/>
        <w:textAlignment w:val="baseline"/>
        <w:rPr>
          <w:szCs w:val="20"/>
          <w:lang w:val="en-GB"/>
        </w:rPr>
      </w:pPr>
      <w:r w:rsidRPr="001F4150">
        <w:rPr>
          <w:szCs w:val="20"/>
          <w:lang w:val="en-GB"/>
        </w:rPr>
        <w:t xml:space="preserve">urges the Member States not to adopt national legislation that would further renationalise the market for sourcing, but instead to remove unjustified barriers to the free movement of goods without undermining legitimate consumer protection </w:t>
      </w:r>
      <w:proofErr w:type="gramStart"/>
      <w:r w:rsidRPr="001F4150">
        <w:rPr>
          <w:szCs w:val="20"/>
          <w:lang w:val="en-GB"/>
        </w:rPr>
        <w:t>requirements;</w:t>
      </w:r>
      <w:proofErr w:type="gramEnd"/>
    </w:p>
    <w:p w14:paraId="2AF10FE0" w14:textId="77777777" w:rsidR="001F4150" w:rsidRPr="001F4150" w:rsidRDefault="001F4150" w:rsidP="0024648D">
      <w:pPr>
        <w:widowControl w:val="0"/>
        <w:numPr>
          <w:ilvl w:val="0"/>
          <w:numId w:val="39"/>
        </w:numPr>
        <w:overflowPunct w:val="0"/>
        <w:autoSpaceDE w:val="0"/>
        <w:autoSpaceDN w:val="0"/>
        <w:adjustRightInd w:val="0"/>
        <w:ind w:left="284" w:hanging="284"/>
        <w:textAlignment w:val="baseline"/>
        <w:rPr>
          <w:szCs w:val="20"/>
          <w:lang w:val="en-GB"/>
        </w:rPr>
      </w:pPr>
      <w:r w:rsidRPr="001F4150">
        <w:rPr>
          <w:szCs w:val="20"/>
          <w:lang w:val="en-GB"/>
        </w:rPr>
        <w:t xml:space="preserve">sees added value in exploring the possibility of creating guidelines for national competition authorities and relevant </w:t>
      </w:r>
      <w:proofErr w:type="gramStart"/>
      <w:r w:rsidRPr="001F4150">
        <w:rPr>
          <w:szCs w:val="20"/>
          <w:lang w:val="en-GB"/>
        </w:rPr>
        <w:t>stakeholders;</w:t>
      </w:r>
      <w:proofErr w:type="gramEnd"/>
    </w:p>
    <w:p w14:paraId="7CFAE062" w14:textId="77777777" w:rsidR="001F4150" w:rsidRPr="001F4150" w:rsidRDefault="001F4150" w:rsidP="0024648D">
      <w:pPr>
        <w:numPr>
          <w:ilvl w:val="0"/>
          <w:numId w:val="39"/>
        </w:numPr>
        <w:overflowPunct w:val="0"/>
        <w:autoSpaceDE w:val="0"/>
        <w:autoSpaceDN w:val="0"/>
        <w:adjustRightInd w:val="0"/>
        <w:spacing w:after="200" w:line="276" w:lineRule="auto"/>
        <w:ind w:left="284" w:hanging="284"/>
        <w:contextualSpacing/>
        <w:textAlignment w:val="baseline"/>
        <w:rPr>
          <w:szCs w:val="20"/>
          <w:lang w:val="en-GB"/>
        </w:rPr>
      </w:pPr>
      <w:r w:rsidRPr="001F4150">
        <w:rPr>
          <w:szCs w:val="20"/>
          <w:lang w:val="en-GB"/>
        </w:rPr>
        <w:t xml:space="preserve">asks the European Commission to consider proposing legislation based on the principles of the Digital Markets Act (DMA) or the Directive on unfair trading practices (UTP) in the agri-food supply chain </w:t>
      </w:r>
      <w:proofErr w:type="gramStart"/>
      <w:r w:rsidRPr="001F4150">
        <w:rPr>
          <w:szCs w:val="20"/>
          <w:lang w:val="en-GB"/>
        </w:rPr>
        <w:t>in order to</w:t>
      </w:r>
      <w:proofErr w:type="gramEnd"/>
      <w:r w:rsidRPr="001F4150">
        <w:rPr>
          <w:szCs w:val="20"/>
          <w:lang w:val="en-GB"/>
        </w:rPr>
        <w:t xml:space="preserve"> effectively address territorial supply constraints and ensure fairer commercial practices in the supply chain.</w:t>
      </w:r>
    </w:p>
    <w:p w14:paraId="3F7F11E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sidRPr="001F4150">
              <w:rPr>
                <w:b/>
                <w:i/>
              </w:rPr>
              <w:t>Contact</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sidRPr="001F4150">
              <w:rPr>
                <w:i/>
              </w:rPr>
              <w:t>Annalisa Tessarolo</w:t>
            </w:r>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sidRPr="001F4150">
              <w:rPr>
                <w:i/>
              </w:rPr>
              <w:t>Tel.</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sidRPr="001F4150">
              <w:rPr>
                <w:i/>
              </w:rPr>
              <w:t>+32 25469732</w:t>
            </w:r>
          </w:p>
        </w:tc>
      </w:tr>
      <w:tr w:rsidR="001F4150" w:rsidRPr="001F4150" w14:paraId="1C237976" w14:textId="77777777" w:rsidTr="002E7EFB">
        <w:tc>
          <w:tcPr>
            <w:tcW w:w="1556" w:type="pct"/>
          </w:tcPr>
          <w:p w14:paraId="782613FB" w14:textId="48E78767" w:rsidR="001F4150" w:rsidRPr="001F4150" w:rsidRDefault="00785300" w:rsidP="001F4150">
            <w:pPr>
              <w:overflowPunct w:val="0"/>
              <w:autoSpaceDE w:val="0"/>
              <w:autoSpaceDN w:val="0"/>
              <w:adjustRightInd w:val="0"/>
              <w:spacing w:line="240" w:lineRule="auto"/>
              <w:textAlignment w:val="baseline"/>
              <w:rPr>
                <w:i/>
              </w:rPr>
            </w:pPr>
            <w:proofErr w:type="spellStart"/>
            <w:r>
              <w:rPr>
                <w:i/>
              </w:rPr>
              <w:t>E</w:t>
            </w:r>
            <w:r w:rsidR="001F4150" w:rsidRPr="001F4150">
              <w:rPr>
                <w:i/>
              </w:rPr>
              <w:t>email</w:t>
            </w:r>
            <w:proofErr w:type="spellEnd"/>
          </w:p>
        </w:tc>
        <w:tc>
          <w:tcPr>
            <w:tcW w:w="3444" w:type="pct"/>
          </w:tcPr>
          <w:p w14:paraId="67D97326" w14:textId="77777777" w:rsidR="001F4150" w:rsidRPr="001F4150" w:rsidRDefault="001F4150" w:rsidP="001F4150">
            <w:pPr>
              <w:overflowPunct w:val="0"/>
              <w:autoSpaceDE w:val="0"/>
              <w:autoSpaceDN w:val="0"/>
              <w:adjustRightInd w:val="0"/>
              <w:spacing w:line="240" w:lineRule="auto"/>
              <w:textAlignment w:val="baseline"/>
              <w:rPr>
                <w:i/>
                <w:iCs/>
                <w:lang w:val="en-GB"/>
              </w:rPr>
            </w:pPr>
            <w:hyperlink r:id="rId54" w:history="1">
              <w:r w:rsidRPr="001F4150">
                <w:rPr>
                  <w:i/>
                  <w:iCs/>
                  <w:color w:val="0000FF"/>
                  <w:u w:val="single"/>
                  <w:lang w:val="en-GB"/>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7542596D" w:rsidR="00227AA1" w:rsidRPr="00227AA1" w:rsidRDefault="00227AA1" w:rsidP="00227AA1">
      <w:pPr>
        <w:widowControl w:val="0"/>
        <w:numPr>
          <w:ilvl w:val="0"/>
          <w:numId w:val="4"/>
        </w:numPr>
        <w:overflowPunct w:val="0"/>
        <w:autoSpaceDE w:val="0"/>
        <w:autoSpaceDN w:val="0"/>
        <w:adjustRightInd w:val="0"/>
        <w:ind w:hanging="567"/>
        <w:textAlignment w:val="baseline"/>
        <w:rPr>
          <w:sz w:val="20"/>
          <w:szCs w:val="20"/>
          <w:lang w:val="en-GB"/>
        </w:rPr>
      </w:pPr>
      <w:hyperlink r:id="rId55" w:tgtFrame="_blank" w:history="1">
        <w:r w:rsidRPr="00227AA1">
          <w:rPr>
            <w:b/>
            <w:bCs/>
            <w:i/>
            <w:iCs/>
            <w:color w:val="0000FF"/>
            <w:sz w:val="28"/>
            <w:szCs w:val="28"/>
            <w:u w:val="single"/>
            <w:lang w:val="en-GB"/>
          </w:rPr>
          <w:t>EU Startups and scale up strategy – with a focus on European Innovation Act</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24648D">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sidRPr="00227AA1">
              <w:rPr>
                <w:b/>
              </w:rPr>
              <w:t>Rapporteur</w:t>
            </w:r>
          </w:p>
        </w:tc>
        <w:tc>
          <w:tcPr>
            <w:tcW w:w="6663" w:type="dxa"/>
          </w:tcPr>
          <w:p w14:paraId="0C2DB9EA" w14:textId="0D6D90BA" w:rsidR="00227AA1" w:rsidRPr="00227AA1" w:rsidRDefault="00227AA1" w:rsidP="00227AA1">
            <w:pPr>
              <w:tabs>
                <w:tab w:val="center" w:pos="284"/>
              </w:tabs>
              <w:overflowPunct w:val="0"/>
              <w:autoSpaceDE w:val="0"/>
              <w:autoSpaceDN w:val="0"/>
              <w:adjustRightInd w:val="0"/>
              <w:ind w:left="266" w:hanging="266"/>
              <w:textAlignment w:val="baseline"/>
            </w:pPr>
            <w:r w:rsidRPr="00227AA1">
              <w:t>Paul RÜBIG (Employers'</w:t>
            </w:r>
            <w:r w:rsidR="004E5363">
              <w:t xml:space="preserve"> </w:t>
            </w:r>
            <w:r w:rsidRPr="00227AA1">
              <w:t xml:space="preserve">Group </w:t>
            </w:r>
            <w:r w:rsidR="00336295">
              <w:t>-</w:t>
            </w:r>
            <w:r w:rsidRPr="00227AA1">
              <w:t xml:space="preserve">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35AF9FA7" w14:textId="77777777" w:rsidTr="0024648D">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24648D">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sidRPr="00227AA1">
              <w:rPr>
                <w:b/>
              </w:rPr>
              <w:t>References</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rsidRPr="00227AA1">
              <w:t>Exploratory opinion</w:t>
            </w:r>
            <w:r w:rsidR="00032C87">
              <w:t xml:space="preserve"> requested by the Cyprus Presidency of the Council</w:t>
            </w:r>
            <w:r w:rsidR="00336295">
              <w:t xml:space="preserve"> of the EU</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rsidRPr="00227AA1">
              <w:rPr>
                <w:lang w:val="en-GB"/>
              </w:rPr>
              <w:t>EESC-2025-04126-00-00-AC</w:t>
            </w:r>
          </w:p>
        </w:tc>
      </w:tr>
      <w:tr w:rsidR="00227AA1" w:rsidRPr="00227AA1" w14:paraId="2384CA2A" w14:textId="77777777" w:rsidTr="0024648D">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r w:rsidRPr="00227AA1">
        <w:rPr>
          <w:b/>
          <w:lang w:val="en-GB"/>
        </w:rPr>
        <w:t>Key points</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4F2B9601" w:rsidR="00227AA1" w:rsidRPr="00227AA1" w:rsidRDefault="00227AA1" w:rsidP="00227AA1">
      <w:pPr>
        <w:overflowPunct w:val="0"/>
        <w:autoSpaceDE w:val="0"/>
        <w:autoSpaceDN w:val="0"/>
        <w:adjustRightInd w:val="0"/>
        <w:textAlignment w:val="baseline"/>
        <w:rPr>
          <w:bCs/>
          <w:iCs/>
          <w:lang w:val="en-GB"/>
        </w:rPr>
      </w:pPr>
      <w:r w:rsidRPr="00227AA1">
        <w:rPr>
          <w:bCs/>
          <w:iCs/>
          <w:lang w:val="en-GB"/>
        </w:rPr>
        <w:t>The EESC believes that:</w:t>
      </w:r>
    </w:p>
    <w:p w14:paraId="1113F168" w14:textId="77777777" w:rsidR="00227AA1" w:rsidRPr="00227AA1" w:rsidRDefault="00227AA1" w:rsidP="0024648D">
      <w:pPr>
        <w:numPr>
          <w:ilvl w:val="0"/>
          <w:numId w:val="43"/>
        </w:numPr>
        <w:overflowPunct w:val="0"/>
        <w:autoSpaceDE w:val="0"/>
        <w:autoSpaceDN w:val="0"/>
        <w:adjustRightInd w:val="0"/>
        <w:spacing w:after="200" w:line="276" w:lineRule="auto"/>
        <w:ind w:left="284" w:hanging="284"/>
        <w:contextualSpacing/>
        <w:textAlignment w:val="baseline"/>
        <w:rPr>
          <w:lang w:val="en-GB" w:eastAsia="zh-CN"/>
        </w:rPr>
      </w:pPr>
      <w:r w:rsidRPr="00227AA1">
        <w:rPr>
          <w:lang w:val="en-GB" w:eastAsia="zh-CN"/>
        </w:rPr>
        <w:t>Europe needs to strongly reinforce innovation and research and has a lot of catching up to do when it comes to commercialising the product of this innovation and research through spin-offs, start-ups and scale-ups.</w:t>
      </w:r>
      <w:r w:rsidRPr="00227AA1">
        <w:rPr>
          <w:rFonts w:ascii="Calibri" w:hAnsi="Calibri"/>
          <w:lang w:val="en-GB" w:eastAsia="zh-CN"/>
        </w:rPr>
        <w:t xml:space="preserve"> </w:t>
      </w:r>
      <w:r w:rsidRPr="00227AA1">
        <w:rPr>
          <w:lang w:val="en-GB" w:eastAsia="zh-CN"/>
        </w:rPr>
        <w:t xml:space="preserve">In strategically relevant industries, there is growing concern that the environment in Europe has become too fragmented, too dense and too slow to keep pace with rapid technological developments </w:t>
      </w:r>
      <w:proofErr w:type="gramStart"/>
      <w:r w:rsidRPr="00227AA1">
        <w:rPr>
          <w:lang w:val="en-GB" w:eastAsia="zh-CN"/>
        </w:rPr>
        <w:t>globally;</w:t>
      </w:r>
      <w:proofErr w:type="gramEnd"/>
    </w:p>
    <w:p w14:paraId="4520EF6F" w14:textId="77777777" w:rsidR="00227AA1" w:rsidRPr="00227AA1" w:rsidRDefault="00227AA1" w:rsidP="0024648D">
      <w:pPr>
        <w:numPr>
          <w:ilvl w:val="0"/>
          <w:numId w:val="43"/>
        </w:numPr>
        <w:overflowPunct w:val="0"/>
        <w:autoSpaceDE w:val="0"/>
        <w:autoSpaceDN w:val="0"/>
        <w:adjustRightInd w:val="0"/>
        <w:spacing w:after="200" w:line="276" w:lineRule="auto"/>
        <w:ind w:left="284" w:hanging="284"/>
        <w:contextualSpacing/>
        <w:textAlignment w:val="baseline"/>
        <w:rPr>
          <w:lang w:val="en-GB" w:eastAsia="zh-CN"/>
        </w:rPr>
      </w:pPr>
      <w:r w:rsidRPr="00227AA1">
        <w:rPr>
          <w:lang w:val="en-GB" w:eastAsia="zh-CN"/>
        </w:rPr>
        <w:t xml:space="preserve">the main reasons for this are the decreasing understanding of market economy processes and the increasingly fragmented regulations and their implementation in the single market which are hampering cross-border market ramp-up and technology transfer from research to </w:t>
      </w:r>
      <w:proofErr w:type="gramStart"/>
      <w:r w:rsidRPr="00227AA1">
        <w:rPr>
          <w:lang w:val="en-GB" w:eastAsia="zh-CN"/>
        </w:rPr>
        <w:t>industry;</w:t>
      </w:r>
      <w:proofErr w:type="gramEnd"/>
    </w:p>
    <w:p w14:paraId="1B8E4833" w14:textId="77777777" w:rsidR="00227AA1" w:rsidRPr="00227AA1" w:rsidRDefault="00227AA1" w:rsidP="0024648D">
      <w:pPr>
        <w:numPr>
          <w:ilvl w:val="0"/>
          <w:numId w:val="43"/>
        </w:numPr>
        <w:overflowPunct w:val="0"/>
        <w:autoSpaceDE w:val="0"/>
        <w:autoSpaceDN w:val="0"/>
        <w:adjustRightInd w:val="0"/>
        <w:spacing w:after="200" w:line="276" w:lineRule="auto"/>
        <w:ind w:left="284" w:hanging="284"/>
        <w:contextualSpacing/>
        <w:textAlignment w:val="baseline"/>
        <w:rPr>
          <w:lang w:val="en-GB" w:eastAsia="zh-CN"/>
        </w:rPr>
      </w:pPr>
      <w:r w:rsidRPr="00227AA1">
        <w:rPr>
          <w:lang w:val="en-GB" w:eastAsia="zh-CN"/>
        </w:rPr>
        <w:t xml:space="preserve">slow administrative processes, limited digitalisation and inconsistent application of EU regulations at national and regional level pose further obstacles for </w:t>
      </w:r>
      <w:proofErr w:type="gramStart"/>
      <w:r w:rsidRPr="00227AA1">
        <w:rPr>
          <w:lang w:val="en-GB" w:eastAsia="zh-CN"/>
        </w:rPr>
        <w:t>businesses;</w:t>
      </w:r>
      <w:proofErr w:type="gramEnd"/>
    </w:p>
    <w:p w14:paraId="3C747BF5" w14:textId="77777777" w:rsidR="00227AA1" w:rsidRPr="00227AA1" w:rsidRDefault="00227AA1" w:rsidP="0024648D">
      <w:pPr>
        <w:numPr>
          <w:ilvl w:val="0"/>
          <w:numId w:val="43"/>
        </w:numPr>
        <w:overflowPunct w:val="0"/>
        <w:autoSpaceDE w:val="0"/>
        <w:autoSpaceDN w:val="0"/>
        <w:adjustRightInd w:val="0"/>
        <w:spacing w:after="200" w:line="276" w:lineRule="auto"/>
        <w:ind w:left="284" w:hanging="284"/>
        <w:contextualSpacing/>
        <w:textAlignment w:val="baseline"/>
        <w:rPr>
          <w:lang w:val="en-GB" w:eastAsia="zh-CN"/>
        </w:rPr>
      </w:pPr>
      <w:r w:rsidRPr="00227AA1">
        <w:rPr>
          <w:lang w:val="en-GB" w:eastAsia="zh-CN"/>
        </w:rPr>
        <w:t xml:space="preserve">the European Innovation Act (EIA) can offer relief for cross-border start-ups and scale-ups if it contains cross-cutting simplifications for start-ups and can be enforced as binding in all Member States, also </w:t>
      </w:r>
      <w:proofErr w:type="gramStart"/>
      <w:r w:rsidRPr="00227AA1">
        <w:rPr>
          <w:lang w:val="en-GB" w:eastAsia="zh-CN"/>
        </w:rPr>
        <w:t>taking into account</w:t>
      </w:r>
      <w:proofErr w:type="gramEnd"/>
      <w:r w:rsidRPr="00227AA1">
        <w:rPr>
          <w:lang w:val="en-GB" w:eastAsia="zh-CN"/>
        </w:rPr>
        <w:t xml:space="preserve"> workers’ rights and employee participation. The Committee stresses that the European Innovation Act should be aligned with the principles of a just transition, ensuring that innovation contributes to economic growth, competitiveness and job creation, while </w:t>
      </w:r>
      <w:proofErr w:type="gramStart"/>
      <w:r w:rsidRPr="00227AA1">
        <w:rPr>
          <w:lang w:val="en-GB" w:eastAsia="zh-CN"/>
        </w:rPr>
        <w:t>taking into account</w:t>
      </w:r>
      <w:proofErr w:type="gramEnd"/>
      <w:r w:rsidRPr="00227AA1">
        <w:rPr>
          <w:lang w:val="en-GB" w:eastAsia="zh-CN"/>
        </w:rPr>
        <w:t xml:space="preserve"> the need to accompany workers and regions affected by technological and industrial </w:t>
      </w:r>
      <w:proofErr w:type="gramStart"/>
      <w:r w:rsidRPr="00227AA1">
        <w:rPr>
          <w:lang w:val="en-GB" w:eastAsia="zh-CN"/>
        </w:rPr>
        <w:t>transformation;</w:t>
      </w:r>
      <w:proofErr w:type="gramEnd"/>
    </w:p>
    <w:p w14:paraId="5BC43F04" w14:textId="77777777" w:rsidR="00227AA1" w:rsidRPr="00227AA1" w:rsidRDefault="00227AA1" w:rsidP="0024648D">
      <w:pPr>
        <w:numPr>
          <w:ilvl w:val="0"/>
          <w:numId w:val="43"/>
        </w:numPr>
        <w:overflowPunct w:val="0"/>
        <w:autoSpaceDE w:val="0"/>
        <w:autoSpaceDN w:val="0"/>
        <w:adjustRightInd w:val="0"/>
        <w:spacing w:after="200" w:line="276" w:lineRule="auto"/>
        <w:ind w:left="284" w:hanging="284"/>
        <w:contextualSpacing/>
        <w:textAlignment w:val="baseline"/>
        <w:rPr>
          <w:lang w:val="en-GB" w:eastAsia="zh-CN"/>
        </w:rPr>
      </w:pPr>
      <w:r w:rsidRPr="00227AA1">
        <w:rPr>
          <w:lang w:val="en-GB" w:eastAsia="zh-CN"/>
        </w:rPr>
        <w:t xml:space="preserve">a catalogue of criteria for evaluating innovation content and growth prospects would be more efficient and accurate than a binding definition of start-ups and scale-ups. A ranking of founder-friendly universities could also support the EIA. Furthermore, the EIA should strengthen the role of research and technology organisations and the European Institute of Innovation and Technology (EIT), particularly in deep-tech and capital-intensive </w:t>
      </w:r>
      <w:proofErr w:type="gramStart"/>
      <w:r w:rsidRPr="00227AA1">
        <w:rPr>
          <w:lang w:val="en-GB" w:eastAsia="zh-CN"/>
        </w:rPr>
        <w:t>sectors;</w:t>
      </w:r>
      <w:proofErr w:type="gramEnd"/>
    </w:p>
    <w:p w14:paraId="12B27491" w14:textId="77777777" w:rsidR="00227AA1" w:rsidRPr="0024648D" w:rsidRDefault="00227AA1" w:rsidP="0024648D">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lang w:val="en-GB" w:eastAsia="zh-CN"/>
        </w:rPr>
      </w:pPr>
      <w:r w:rsidRPr="00227AA1">
        <w:rPr>
          <w:lang w:val="en-GB" w:eastAsia="zh-CN"/>
        </w:rPr>
        <w:t>Europe-wide tax incentives for employee share ownership would promote innovation and growth. Founders should also be offered risk protection, alongside ensuring appropriate safeguards for employees and creditors in line with existing insolvency frameworks.</w:t>
      </w:r>
    </w:p>
    <w:p w14:paraId="5C529301" w14:textId="77777777" w:rsidR="00336295" w:rsidRPr="00227AA1" w:rsidRDefault="00336295" w:rsidP="00CC2C7F">
      <w:pPr>
        <w:overflowPunct w:val="0"/>
        <w:autoSpaceDE w:val="0"/>
        <w:autoSpaceDN w:val="0"/>
        <w:adjustRightInd w:val="0"/>
        <w:spacing w:after="200" w:line="276" w:lineRule="auto"/>
        <w:ind w:left="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sidRPr="00227AA1">
              <w:rPr>
                <w:b/>
                <w:i/>
              </w:rPr>
              <w:t>Contact</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sidRPr="00227AA1">
              <w:rPr>
                <w:i/>
              </w:rPr>
              <w:t>Jana Valant</w:t>
            </w:r>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sidRPr="00227AA1">
              <w:rPr>
                <w:i/>
              </w:rPr>
              <w:t>Tel.</w:t>
            </w:r>
          </w:p>
        </w:tc>
        <w:tc>
          <w:tcPr>
            <w:tcW w:w="5670" w:type="dxa"/>
          </w:tcPr>
          <w:p w14:paraId="173082A5" w14:textId="3F55F93A" w:rsidR="00227AA1" w:rsidRPr="00227AA1" w:rsidRDefault="00227AA1" w:rsidP="00227AA1">
            <w:pPr>
              <w:overflowPunct w:val="0"/>
              <w:autoSpaceDE w:val="0"/>
              <w:autoSpaceDN w:val="0"/>
              <w:adjustRightInd w:val="0"/>
              <w:spacing w:line="240" w:lineRule="auto"/>
              <w:textAlignment w:val="baseline"/>
              <w:rPr>
                <w:i/>
              </w:rPr>
            </w:pPr>
            <w:r w:rsidRPr="00227AA1">
              <w:rPr>
                <w:i/>
                <w:lang w:val="en-GB"/>
              </w:rPr>
              <w:t>+32 25468924</w:t>
            </w:r>
          </w:p>
        </w:tc>
      </w:tr>
      <w:tr w:rsidR="00227AA1" w:rsidRPr="00227AA1" w14:paraId="06425715" w14:textId="77777777" w:rsidTr="002E7EFB">
        <w:tc>
          <w:tcPr>
            <w:tcW w:w="1418" w:type="dxa"/>
          </w:tcPr>
          <w:p w14:paraId="086F4B7F" w14:textId="6046EEC0" w:rsidR="00227AA1" w:rsidRPr="00227AA1" w:rsidRDefault="00336295" w:rsidP="00227AA1">
            <w:pPr>
              <w:overflowPunct w:val="0"/>
              <w:autoSpaceDE w:val="0"/>
              <w:autoSpaceDN w:val="0"/>
              <w:adjustRightInd w:val="0"/>
              <w:spacing w:line="240" w:lineRule="auto"/>
              <w:textAlignment w:val="baseline"/>
              <w:rPr>
                <w:i/>
              </w:rPr>
            </w:pPr>
            <w:r>
              <w:rPr>
                <w:i/>
              </w:rPr>
              <w:t>E</w:t>
            </w:r>
            <w:r w:rsidR="00227AA1" w:rsidRPr="00227AA1">
              <w:rPr>
                <w:i/>
              </w:rPr>
              <w:t>mail</w:t>
            </w:r>
          </w:p>
        </w:tc>
        <w:tc>
          <w:tcPr>
            <w:tcW w:w="5670" w:type="dxa"/>
          </w:tcPr>
          <w:p w14:paraId="30AFF7EB" w14:textId="77777777" w:rsidR="00227AA1" w:rsidRPr="00227AA1" w:rsidRDefault="00227AA1" w:rsidP="00227AA1">
            <w:pPr>
              <w:overflowPunct w:val="0"/>
              <w:autoSpaceDE w:val="0"/>
              <w:autoSpaceDN w:val="0"/>
              <w:adjustRightInd w:val="0"/>
              <w:spacing w:line="240" w:lineRule="auto"/>
              <w:textAlignment w:val="baseline"/>
              <w:rPr>
                <w:i/>
              </w:rPr>
            </w:pPr>
            <w:hyperlink r:id="rId56" w:history="1">
              <w:r w:rsidRPr="00227AA1">
                <w:rPr>
                  <w:i/>
                  <w:color w:val="0000FF"/>
                  <w:u w:val="single"/>
                </w:rPr>
                <w:t>Jana.Valant@eesc.europa.eu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1B0F62B5" w:rsidR="004D7AC0" w:rsidRDefault="004D7AC0" w:rsidP="0024648D">
      <w:pPr>
        <w:pStyle w:val="Heading2"/>
      </w:pPr>
      <w:bookmarkStart w:id="18" w:name="_Toc70322234"/>
      <w:bookmarkStart w:id="19" w:name="_Toc75527084"/>
      <w:bookmarkStart w:id="20" w:name="_Toc229140656"/>
      <w:r>
        <w:t>AGRICULTURE, RURAL DEVELOPMENT AND THE ENVIRONMENT</w:t>
      </w:r>
      <w:bookmarkEnd w:id="18"/>
      <w:bookmarkEnd w:id="19"/>
      <w:bookmarkEnd w:id="20"/>
    </w:p>
    <w:p w14:paraId="4982DE20" w14:textId="77777777" w:rsidR="004D7AC0" w:rsidRDefault="004D7AC0" w:rsidP="001766B2"/>
    <w:p w14:paraId="38C8A97D" w14:textId="154584B8" w:rsidR="00341FC2" w:rsidRPr="0024648D" w:rsidRDefault="00341FC2" w:rsidP="0024648D">
      <w:pPr>
        <w:widowControl w:val="0"/>
        <w:numPr>
          <w:ilvl w:val="0"/>
          <w:numId w:val="4"/>
        </w:numPr>
        <w:overflowPunct w:val="0"/>
        <w:autoSpaceDE w:val="0"/>
        <w:autoSpaceDN w:val="0"/>
        <w:adjustRightInd w:val="0"/>
        <w:ind w:hanging="567"/>
        <w:textAlignment w:val="baseline"/>
        <w:rPr>
          <w:b/>
          <w:lang w:val="en-GB"/>
        </w:rPr>
      </w:pPr>
      <w:hyperlink r:id="rId57" w:history="1">
        <w:r w:rsidR="00B047A4" w:rsidRPr="00B047A4">
          <w:rPr>
            <w:b/>
            <w:bCs/>
            <w:i/>
            <w:iCs/>
            <w:color w:val="0000FF"/>
            <w:sz w:val="28"/>
            <w:szCs w:val="28"/>
            <w:u w:val="single"/>
            <w:lang w:val="en-GB"/>
          </w:rPr>
          <w:t xml:space="preserve">A comprehensive strategy for </w:t>
        </w:r>
        <w:r w:rsidR="00B047A4">
          <w:rPr>
            <w:b/>
            <w:bCs/>
            <w:i/>
            <w:iCs/>
            <w:color w:val="0000FF"/>
            <w:sz w:val="28"/>
            <w:szCs w:val="28"/>
            <w:u w:val="single"/>
            <w:lang w:val="en-GB"/>
          </w:rPr>
          <w:t>n</w:t>
        </w:r>
        <w:r w:rsidRPr="00341FC2">
          <w:rPr>
            <w:b/>
            <w:bCs/>
            <w:i/>
            <w:iCs/>
            <w:color w:val="0000FF"/>
            <w:sz w:val="28"/>
            <w:szCs w:val="28"/>
            <w:u w:val="single"/>
            <w:lang w:val="en-GB"/>
          </w:rPr>
          <w:t>ature-based biodegradable material</w:t>
        </w:r>
        <w:r w:rsidR="00927ACD">
          <w:rPr>
            <w:b/>
            <w:bCs/>
            <w:i/>
            <w:iCs/>
            <w:color w:val="0000FF"/>
            <w:sz w:val="28"/>
            <w:szCs w:val="28"/>
            <w:u w:val="single"/>
            <w:lang w:val="en-GB"/>
          </w:rPr>
          <w:t>s</w:t>
        </w:r>
        <w:r w:rsidR="00EF7725" w:rsidRPr="00EF7725">
          <w:t xml:space="preserve"> </w:t>
        </w:r>
        <w:r w:rsidR="00EF7725" w:rsidRPr="00EF7725">
          <w:rPr>
            <w:b/>
            <w:bCs/>
            <w:i/>
            <w:iCs/>
            <w:color w:val="0000FF"/>
            <w:sz w:val="28"/>
            <w:szCs w:val="28"/>
            <w:u w:val="single"/>
            <w:lang w:val="en-GB"/>
          </w:rPr>
          <w:t>to foster circularity and resource efficiency, strengthen the agri-food sector and scale-up the EU bioeconomy</w:t>
        </w:r>
      </w:hyperlink>
    </w:p>
    <w:p w14:paraId="4760649F" w14:textId="77777777" w:rsidR="00BD7679" w:rsidRPr="00341FC2" w:rsidRDefault="00BD7679" w:rsidP="0024648D">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sidRPr="00341FC2">
              <w:rPr>
                <w:b/>
              </w:rPr>
              <w:t>Rapporteur</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rsidRPr="00341FC2">
              <w:t>Stoyan TCHOUKANOV</w:t>
            </w:r>
            <w:r w:rsidR="004E385F">
              <w:t xml:space="preserve"> </w:t>
            </w:r>
            <w:r w:rsidR="004E5363" w:rsidRPr="004E5363">
              <w:t xml:space="preserve">(Civil Society </w:t>
            </w:r>
            <w:proofErr w:type="spellStart"/>
            <w:r w:rsidR="004E5363" w:rsidRPr="004E5363">
              <w:t>Organisations'</w:t>
            </w:r>
            <w:proofErr w:type="spellEnd"/>
            <w:r w:rsidR="004E5363" w:rsidRPr="004E5363">
              <w:t xml:space="preserve"> Group - </w:t>
            </w:r>
            <w:r w:rsidR="00AC66E4">
              <w:t>BG</w:t>
            </w:r>
            <w:r w:rsidR="004E5363" w:rsidRPr="004E5363">
              <w:t>)</w:t>
            </w:r>
            <w:r w:rsidR="004E5363">
              <w:t xml:space="preserve">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sidRPr="00341FC2">
              <w:rPr>
                <w:b/>
              </w:rPr>
              <w:t>References</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rPr>
                <w:lang w:val="en-GB"/>
              </w:rPr>
            </w:pPr>
            <w:r>
              <w:rPr>
                <w:lang w:val="en-GB"/>
              </w:rPr>
              <w:t>Ow</w:t>
            </w:r>
            <w:r w:rsidR="00B31AE4">
              <w:rPr>
                <w:lang w:val="en-GB"/>
              </w:rPr>
              <w:t>n-initiative opinion</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rsidRPr="00341FC2">
              <w:rPr>
                <w:lang w:val="en-GB"/>
              </w:rPr>
              <w:t>EESC-2025-04330-00-00-AC</w:t>
            </w:r>
          </w:p>
        </w:tc>
      </w:tr>
    </w:tbl>
    <w:p w14:paraId="749615BA" w14:textId="77777777" w:rsidR="00341FC2" w:rsidRDefault="00341FC2"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r w:rsidRPr="00341FC2">
        <w:rPr>
          <w:b/>
          <w:lang w:val="en-GB"/>
        </w:rPr>
        <w:t>Key points</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lang w:val="en-GB"/>
        </w:rPr>
      </w:pPr>
      <w:r w:rsidRPr="00341FC2">
        <w:rPr>
          <w:bCs/>
          <w:iCs/>
          <w:lang w:val="en-GB"/>
        </w:rPr>
        <w:t>The EESC:</w:t>
      </w:r>
    </w:p>
    <w:p w14:paraId="7A2EA203"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1" w:name="_Toc228805432"/>
      <w:r w:rsidRPr="00341FC2">
        <w:rPr>
          <w:szCs w:val="20"/>
          <w:lang w:val="en-GB"/>
        </w:rPr>
        <w:t xml:space="preserve">considers that the EU has a timely opportunity to strengthen its transition to a circular bioeconomy combining circularity, material reduction within planetary boundaries, sustainable biomass use, and industrial competitiveness. Building on the forthcoming Circular Economy Act and the updated EU Bioeconomy Strategy, the Committee calls for coherent and ambitious implementation that translates political momentum into practical industrial and regional development </w:t>
      </w:r>
      <w:proofErr w:type="gramStart"/>
      <w:r w:rsidRPr="00341FC2">
        <w:rPr>
          <w:szCs w:val="20"/>
          <w:lang w:val="en-GB"/>
        </w:rPr>
        <w:t>outcomes;</w:t>
      </w:r>
      <w:bookmarkEnd w:id="21"/>
      <w:proofErr w:type="gramEnd"/>
    </w:p>
    <w:p w14:paraId="6A0A3863"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2" w:name="_Toc228805433"/>
      <w:r w:rsidRPr="00341FC2">
        <w:rPr>
          <w:szCs w:val="20"/>
          <w:lang w:val="en-GB"/>
        </w:rPr>
        <w:t xml:space="preserve">stresses that efficient use of environmental resources requires applying the waste hierarchy in accordance with the Waste Framework Directive, based on lifecycle thinking and the best overall environmental outcome. It therefore supports an outcome-oriented, technology-neutral approach prioritising waste prevention, reuse and material efficiency, that recognises both technical and biological cycles through differentiated circular </w:t>
      </w:r>
      <w:proofErr w:type="gramStart"/>
      <w:r w:rsidRPr="00341FC2">
        <w:rPr>
          <w:szCs w:val="20"/>
          <w:lang w:val="en-GB"/>
        </w:rPr>
        <w:t>pathways;</w:t>
      </w:r>
      <w:bookmarkEnd w:id="22"/>
      <w:proofErr w:type="gramEnd"/>
    </w:p>
    <w:p w14:paraId="25220C00"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3" w:name="_Toc228805434"/>
      <w:r w:rsidRPr="00341FC2">
        <w:rPr>
          <w:szCs w:val="20"/>
          <w:lang w:val="en-GB"/>
        </w:rPr>
        <w:t xml:space="preserve">highlights that materials derived from chemically non-modified natural polymers, legally recognised as non-plastic under the Single-Use Plastics Directive and aligned with REACH, can help prevent pollution, including by reducing microplastic leakage. Their role should be assessed in line with the One Health approach, recognising the interconnections between environmental integrity, ecosystem resilience and human and animal </w:t>
      </w:r>
      <w:proofErr w:type="gramStart"/>
      <w:r w:rsidRPr="00341FC2">
        <w:rPr>
          <w:szCs w:val="20"/>
          <w:lang w:val="en-GB"/>
        </w:rPr>
        <w:t>health;</w:t>
      </w:r>
      <w:bookmarkEnd w:id="23"/>
      <w:proofErr w:type="gramEnd"/>
    </w:p>
    <w:p w14:paraId="26333444"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4" w:name="_Toc228805435"/>
      <w:r w:rsidRPr="00341FC2">
        <w:rPr>
          <w:szCs w:val="20"/>
          <w:lang w:val="en-GB"/>
        </w:rPr>
        <w:t xml:space="preserve">underlines the potential of such materials to strengthen rural and coastal economies by valorising agricultural and marine secondary biomass, reinforcing local and regional value chains, supporting generational renewal in farming and fisheries, and creating high-quality jobs, thereby contributing to social cohesion. The Committee stresses that food, feed and soil protection uses must remain prioritised, in that </w:t>
      </w:r>
      <w:proofErr w:type="gramStart"/>
      <w:r w:rsidRPr="00341FC2">
        <w:rPr>
          <w:szCs w:val="20"/>
          <w:lang w:val="en-GB"/>
        </w:rPr>
        <w:t>order;</w:t>
      </w:r>
      <w:bookmarkEnd w:id="24"/>
      <w:proofErr w:type="gramEnd"/>
    </w:p>
    <w:p w14:paraId="1568ED7F"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5" w:name="_Toc228805436"/>
      <w:r w:rsidRPr="00341FC2">
        <w:rPr>
          <w:szCs w:val="20"/>
          <w:lang w:val="en-GB"/>
        </w:rPr>
        <w:t xml:space="preserve">calls for greater regulatory coherence across EU product, waste and industrial legislation, ensuring consistent application of the legal distinction between plastics and unmodified natural polymers. Packaging legislation should avoid unintended barriers or de facto market exclusion, reflect both technical and biological circularity, and ensure clear, harmonised information for consumers and predictability for operators, and small </w:t>
      </w:r>
      <w:proofErr w:type="gramStart"/>
      <w:r w:rsidRPr="00341FC2">
        <w:rPr>
          <w:szCs w:val="20"/>
          <w:lang w:val="en-GB"/>
        </w:rPr>
        <w:t>businesses;</w:t>
      </w:r>
      <w:bookmarkEnd w:id="25"/>
      <w:proofErr w:type="gramEnd"/>
    </w:p>
    <w:p w14:paraId="756BDDFA"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6" w:name="_Toc228805437"/>
      <w:r w:rsidRPr="00341FC2">
        <w:rPr>
          <w:szCs w:val="20"/>
          <w:lang w:val="en-GB"/>
        </w:rPr>
        <w:t xml:space="preserve">highlights the implementation of the Packaging and Packaging Waste Regulation (PPWR) as a priority and warns that packaging made from chemically non-modified natural polymers could be excluded if recyclability rules only allow technical recycling. It therefore calls on the Commission to ensure that PPWR implementation recognises their non-plastic status and allows biologically designed end-of-life pathways where this delivers the best overall environmental </w:t>
      </w:r>
      <w:proofErr w:type="gramStart"/>
      <w:r w:rsidRPr="00341FC2">
        <w:rPr>
          <w:szCs w:val="20"/>
          <w:lang w:val="en-GB"/>
        </w:rPr>
        <w:t>outcome;</w:t>
      </w:r>
      <w:bookmarkEnd w:id="26"/>
      <w:proofErr w:type="gramEnd"/>
    </w:p>
    <w:p w14:paraId="462FAC8B" w14:textId="77777777" w:rsidR="00341FC2" w:rsidRPr="00341FC2" w:rsidRDefault="00341FC2" w:rsidP="0024648D">
      <w:pPr>
        <w:numPr>
          <w:ilvl w:val="1"/>
          <w:numId w:val="45"/>
        </w:numPr>
        <w:overflowPunct w:val="0"/>
        <w:autoSpaceDE w:val="0"/>
        <w:autoSpaceDN w:val="0"/>
        <w:adjustRightInd w:val="0"/>
        <w:ind w:left="284" w:hanging="284"/>
        <w:textAlignment w:val="baseline"/>
        <w:outlineLvl w:val="1"/>
        <w:rPr>
          <w:szCs w:val="20"/>
          <w:lang w:val="en-GB"/>
        </w:rPr>
      </w:pPr>
      <w:bookmarkStart w:id="27" w:name="_Toc228805438"/>
      <w:r w:rsidRPr="00341FC2">
        <w:rPr>
          <w:szCs w:val="20"/>
          <w:lang w:val="en-GB"/>
        </w:rPr>
        <w:t>calls on the Commission to ensure coordinated action across environmental, industrial and agricultural policies to scale-up sustainable materials, facilitate industrial deployment, strengthen regional value chains and secure Europe’s global competitiveness in sustainable material innovation, while supporting private investment and the scale-up of innovative solutions.</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sidRPr="00341FC2">
              <w:rPr>
                <w:b/>
                <w:i/>
              </w:rPr>
              <w:t>Contact</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sidRPr="00341FC2">
              <w:rPr>
                <w:i/>
              </w:rPr>
              <w:t>Caroline V</w:t>
            </w:r>
            <w:r w:rsidR="00DA30AB" w:rsidRPr="00341FC2">
              <w:rPr>
                <w:i/>
              </w:rPr>
              <w:t>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sidRPr="00341FC2">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sidRPr="00341FC2">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sidRPr="00341FC2">
              <w:rPr>
                <w:i/>
              </w:rPr>
              <w:t>Email</w:t>
            </w:r>
          </w:p>
        </w:tc>
        <w:tc>
          <w:tcPr>
            <w:tcW w:w="3923" w:type="pct"/>
          </w:tcPr>
          <w:p w14:paraId="06E89BE5" w14:textId="77777777" w:rsidR="00341FC2" w:rsidRPr="00341FC2" w:rsidRDefault="00341FC2" w:rsidP="00341FC2">
            <w:pPr>
              <w:overflowPunct w:val="0"/>
              <w:autoSpaceDE w:val="0"/>
              <w:autoSpaceDN w:val="0"/>
              <w:adjustRightInd w:val="0"/>
              <w:textAlignment w:val="baseline"/>
              <w:rPr>
                <w:i/>
              </w:rPr>
            </w:pPr>
            <w:hyperlink r:id="rId58" w:history="1">
              <w:r w:rsidRPr="00341FC2">
                <w:rPr>
                  <w:i/>
                  <w:color w:val="0000FF"/>
                  <w:u w:val="single"/>
                </w:rPr>
                <w:t>Caroline.Verhelst@eesc.europa.eu</w:t>
              </w:r>
            </w:hyperlink>
            <w:r w:rsidRPr="00341FC2">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78EA2222" w:rsidR="000C5A16" w:rsidRPr="0024648D"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lang w:val="en-GB" w:eastAsia="zh-CN"/>
        </w:rPr>
      </w:pPr>
      <w:hyperlink r:id="rId59" w:history="1">
        <w:r w:rsidRPr="000C5A16">
          <w:rPr>
            <w:b/>
            <w:bCs/>
            <w:i/>
            <w:iCs/>
            <w:color w:val="0000FF"/>
            <w:sz w:val="28"/>
            <w:szCs w:val="28"/>
            <w:u w:val="single"/>
            <w:lang w:val="en-GB" w:eastAsia="zh-CN"/>
          </w:rPr>
          <w:t xml:space="preserve">EU </w:t>
        </w:r>
        <w:r w:rsidR="00C716C1">
          <w:rPr>
            <w:b/>
            <w:bCs/>
            <w:i/>
            <w:iCs/>
            <w:color w:val="0000FF"/>
            <w:sz w:val="28"/>
            <w:szCs w:val="28"/>
            <w:u w:val="single"/>
            <w:lang w:val="en-GB" w:eastAsia="zh-CN"/>
          </w:rPr>
          <w:t>b</w:t>
        </w:r>
        <w:r w:rsidRPr="000C5A16">
          <w:rPr>
            <w:b/>
            <w:bCs/>
            <w:i/>
            <w:iCs/>
            <w:color w:val="0000FF"/>
            <w:sz w:val="28"/>
            <w:szCs w:val="28"/>
            <w:u w:val="single"/>
            <w:lang w:val="en-GB" w:eastAsia="zh-CN"/>
          </w:rPr>
          <w:t>ioeconomy strategy - Towards a circular, regenerative and competitive bioeconomy</w:t>
        </w:r>
      </w:hyperlink>
    </w:p>
    <w:p w14:paraId="191C8AF2" w14:textId="77777777" w:rsidR="0014411E" w:rsidRPr="0024648D" w:rsidRDefault="0014411E" w:rsidP="0024648D">
      <w:pPr>
        <w:overflowPunct w:val="0"/>
        <w:autoSpaceDE w:val="0"/>
        <w:autoSpaceDN w:val="0"/>
        <w:adjustRightInd w:val="0"/>
        <w:spacing w:after="200" w:line="276" w:lineRule="auto"/>
        <w:ind w:left="360"/>
        <w:contextualSpacing/>
        <w:textAlignment w:val="baseline"/>
        <w:rPr>
          <w:rFonts w:ascii="Calibri" w:hAnsi="Calibri"/>
          <w:b/>
          <w:bCs/>
          <w:i/>
          <w:iCs/>
          <w:sz w:val="20"/>
          <w:szCs w:val="20"/>
          <w:lang w:val="en-GB" w:eastAsia="zh-CN"/>
        </w:rPr>
      </w:pPr>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sidRPr="000C5A16">
              <w:rPr>
                <w:b/>
              </w:rPr>
              <w:t>Rapporteur</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rsidRPr="0024648D">
              <w:rPr>
                <w:lang w:val="en-GB"/>
              </w:rPr>
              <w:t>Arnaud SCHWARTZ</w:t>
            </w:r>
            <w:r w:rsidRPr="000C5A16">
              <w:rPr>
                <w:spacing w:val="-4"/>
              </w:rPr>
              <w:t xml:space="preserve"> (Civil Society</w:t>
            </w:r>
            <w:r w:rsidRPr="000C5A16">
              <w:rPr>
                <w:spacing w:val="-4"/>
                <w:lang w:val="en-GB"/>
              </w:rPr>
              <w:t xml:space="preserve"> Organisations</w:t>
            </w:r>
            <w:r w:rsidR="00DC7A5F">
              <w:rPr>
                <w:spacing w:val="-4"/>
                <w:lang w:val="en-GB"/>
              </w:rPr>
              <w:t>' Group</w:t>
            </w:r>
            <w:r w:rsidRPr="000C5A16">
              <w:rPr>
                <w:spacing w:val="-4"/>
                <w:lang w:val="en-GB"/>
              </w:rPr>
              <w:t xml:space="preserve"> </w:t>
            </w:r>
            <w:r w:rsidRPr="000C5A16">
              <w:rPr>
                <w:spacing w:val="-4"/>
              </w:rPr>
              <w:t>-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sidRPr="000C5A16">
              <w:rPr>
                <w:b/>
              </w:rPr>
              <w:t>References</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rPr>
                <w:lang w:val="en-GB"/>
              </w:rPr>
            </w:pPr>
            <w:proofErr w:type="gramStart"/>
            <w:r w:rsidRPr="000C5A16">
              <w:rPr>
                <w:lang w:val="en-GB"/>
              </w:rPr>
              <w:t>COM(</w:t>
            </w:r>
            <w:proofErr w:type="gramEnd"/>
            <w:r w:rsidRPr="000C5A16">
              <w:rPr>
                <w:lang w:val="en-GB"/>
              </w:rPr>
              <w:t>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rsidRPr="000C5A16">
              <w:rPr>
                <w:lang w:val="en-GB"/>
              </w:rPr>
              <w:t>EESC-2025-03968-00-00-AC</w:t>
            </w:r>
          </w:p>
        </w:tc>
      </w:tr>
    </w:tbl>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lang w:val="en-GB"/>
        </w:rPr>
      </w:pPr>
      <w:r w:rsidRPr="0039093C">
        <w:rPr>
          <w:b/>
          <w:szCs w:val="20"/>
          <w:lang w:val="en-GB"/>
        </w:rPr>
        <w:t>Key points</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lang w:val="en-GB"/>
        </w:rPr>
      </w:pPr>
      <w:r w:rsidRPr="0039093C">
        <w:rPr>
          <w:bCs/>
          <w:iCs/>
          <w:szCs w:val="20"/>
          <w:lang w:val="en-GB"/>
        </w:rPr>
        <w:t>The EESC:</w:t>
      </w:r>
    </w:p>
    <w:p w14:paraId="326B8BDD" w14:textId="77777777" w:rsidR="00944198" w:rsidRPr="00944198" w:rsidRDefault="00944198" w:rsidP="0024648D">
      <w:pPr>
        <w:numPr>
          <w:ilvl w:val="1"/>
          <w:numId w:val="72"/>
        </w:numPr>
        <w:overflowPunct w:val="0"/>
        <w:autoSpaceDE w:val="0"/>
        <w:autoSpaceDN w:val="0"/>
        <w:adjustRightInd w:val="0"/>
        <w:ind w:left="284" w:hanging="284"/>
        <w:textAlignment w:val="baseline"/>
        <w:outlineLvl w:val="1"/>
        <w:rPr>
          <w:szCs w:val="20"/>
          <w:lang w:val="en-GB"/>
        </w:rPr>
      </w:pPr>
      <w:r w:rsidRPr="00944198">
        <w:rPr>
          <w:szCs w:val="20"/>
          <w:lang w:val="en-GB"/>
        </w:rPr>
        <w:t>highlights that Europe is a resource-constrained and highly import-dependent continent, among others on fossil fuels and raw materials, in an increasingly tense geopolitical situation. At the same time, the overexploitation of natural resources is one of the main causes of ongoing loss of biodiversity</w:t>
      </w:r>
      <w:r w:rsidRPr="00944198">
        <w:rPr>
          <w:sz w:val="24"/>
          <w:szCs w:val="20"/>
          <w:vertAlign w:val="superscript"/>
          <w:lang w:val="en-GB"/>
        </w:rPr>
        <w:footnoteReference w:id="1"/>
      </w:r>
      <w:r w:rsidRPr="00944198">
        <w:rPr>
          <w:szCs w:val="20"/>
          <w:lang w:val="en-GB"/>
        </w:rPr>
        <w:t xml:space="preserve">. In line with the Sustainable Development Goals, coherence between EU climate and biodiversity targets and the circular economy must be </w:t>
      </w:r>
      <w:proofErr w:type="gramStart"/>
      <w:r w:rsidRPr="00944198">
        <w:rPr>
          <w:szCs w:val="20"/>
          <w:lang w:val="en-GB"/>
        </w:rPr>
        <w:t>ensured..</w:t>
      </w:r>
      <w:proofErr w:type="gramEnd"/>
      <w:r w:rsidRPr="00944198">
        <w:rPr>
          <w:szCs w:val="20"/>
          <w:lang w:val="en-GB"/>
        </w:rPr>
        <w:t xml:space="preserve"> A robust and well-defined </w:t>
      </w:r>
      <w:r w:rsidRPr="00944198">
        <w:rPr>
          <w:b/>
          <w:bCs/>
          <w:szCs w:val="20"/>
          <w:lang w:val="en-GB"/>
        </w:rPr>
        <w:t xml:space="preserve">bioeconomy strategy will complement </w:t>
      </w:r>
      <w:r w:rsidRPr="00944198">
        <w:rPr>
          <w:szCs w:val="20"/>
          <w:lang w:val="en-GB"/>
        </w:rPr>
        <w:t>progress made on the</w:t>
      </w:r>
      <w:r w:rsidRPr="00944198">
        <w:rPr>
          <w:b/>
          <w:bCs/>
          <w:szCs w:val="20"/>
          <w:lang w:val="en-GB"/>
        </w:rPr>
        <w:t xml:space="preserve"> circular economy and will allow for decarbonisation, well-being and long-term competitiveness within planetary </w:t>
      </w:r>
      <w:proofErr w:type="gramStart"/>
      <w:r w:rsidRPr="00944198">
        <w:rPr>
          <w:b/>
          <w:bCs/>
          <w:szCs w:val="20"/>
          <w:lang w:val="en-GB"/>
        </w:rPr>
        <w:t>boundaries</w:t>
      </w:r>
      <w:r w:rsidRPr="00944198">
        <w:rPr>
          <w:szCs w:val="20"/>
          <w:lang w:val="en-GB"/>
        </w:rPr>
        <w:t>;</w:t>
      </w:r>
      <w:proofErr w:type="gramEnd"/>
    </w:p>
    <w:p w14:paraId="62E16178" w14:textId="77777777" w:rsidR="00944198" w:rsidRPr="00944198" w:rsidRDefault="00944198" w:rsidP="0024648D">
      <w:pPr>
        <w:numPr>
          <w:ilvl w:val="1"/>
          <w:numId w:val="72"/>
        </w:numPr>
        <w:overflowPunct w:val="0"/>
        <w:autoSpaceDE w:val="0"/>
        <w:autoSpaceDN w:val="0"/>
        <w:adjustRightInd w:val="0"/>
        <w:ind w:left="284" w:hanging="284"/>
        <w:textAlignment w:val="baseline"/>
        <w:outlineLvl w:val="1"/>
        <w:rPr>
          <w:szCs w:val="20"/>
          <w:lang w:val="en-GB"/>
        </w:rPr>
      </w:pPr>
      <w:r w:rsidRPr="00944198">
        <w:rPr>
          <w:szCs w:val="20"/>
          <w:lang w:val="en-GB"/>
        </w:rPr>
        <w:t xml:space="preserve">recalls that the EU will only be a global leader if its institutions </w:t>
      </w:r>
      <w:r w:rsidRPr="00944198">
        <w:rPr>
          <w:b/>
          <w:bCs/>
          <w:szCs w:val="20"/>
          <w:lang w:val="en-GB"/>
        </w:rPr>
        <w:t>establish strict principles and safeguards</w:t>
      </w:r>
      <w:r w:rsidRPr="00944198">
        <w:rPr>
          <w:szCs w:val="20"/>
          <w:lang w:val="en-GB"/>
        </w:rPr>
        <w:t xml:space="preserve"> in relation to what can serve as inputs into the bioeconomy, be it primary or secondary biomass from agriculture, aquaculture, forests, nature or municipal/industrial waste for example. The EU Bioeconomy Strategy must focus on the green transformation of the economy </w:t>
      </w:r>
      <w:proofErr w:type="gramStart"/>
      <w:r w:rsidRPr="00944198">
        <w:rPr>
          <w:szCs w:val="20"/>
          <w:lang w:val="en-GB"/>
        </w:rPr>
        <w:t>taking into account</w:t>
      </w:r>
      <w:proofErr w:type="gramEnd"/>
      <w:r w:rsidRPr="00944198">
        <w:rPr>
          <w:szCs w:val="20"/>
          <w:lang w:val="en-GB"/>
        </w:rPr>
        <w:t xml:space="preserve"> environmental and social aspects. A sustainable and circular bioeconomy will strengthen EU’s economy and competitiveness, reduce the dependence on fossil resources, contribute to achieving the climate targets and creating new jobs as well as environmental and social benefits. This leadership should </w:t>
      </w:r>
      <w:r w:rsidRPr="00944198">
        <w:rPr>
          <w:b/>
          <w:bCs/>
          <w:szCs w:val="20"/>
          <w:lang w:val="en-GB"/>
        </w:rPr>
        <w:t>prioritise quality jobs, especially in rural and remote regions</w:t>
      </w:r>
      <w:r w:rsidRPr="00944198">
        <w:rPr>
          <w:szCs w:val="20"/>
          <w:lang w:val="en-GB"/>
        </w:rPr>
        <w:t xml:space="preserve">. These principles should be quantifiable, enforceable and monitored across the supply chain, and applied equally to European and imported feedstock. Importantly in the global context, we need to </w:t>
      </w:r>
      <w:r w:rsidRPr="00944198">
        <w:rPr>
          <w:b/>
          <w:bCs/>
          <w:szCs w:val="20"/>
          <w:lang w:val="en-GB"/>
        </w:rPr>
        <w:t>tackle the unfair competition from under-priced</w:t>
      </w:r>
      <w:r w:rsidRPr="00944198">
        <w:rPr>
          <w:szCs w:val="20"/>
          <w:lang w:val="en-GB"/>
        </w:rPr>
        <w:t xml:space="preserve"> (often subsidised) </w:t>
      </w:r>
      <w:r w:rsidRPr="00944198">
        <w:rPr>
          <w:b/>
          <w:bCs/>
          <w:szCs w:val="20"/>
          <w:lang w:val="en-GB"/>
        </w:rPr>
        <w:t>fossil feedstock</w:t>
      </w:r>
      <w:r w:rsidRPr="00944198">
        <w:rPr>
          <w:szCs w:val="20"/>
          <w:lang w:val="en-GB"/>
        </w:rPr>
        <w:t xml:space="preserve">, that does not price in externalities of extraction, use and </w:t>
      </w:r>
      <w:proofErr w:type="gramStart"/>
      <w:r w:rsidRPr="00944198">
        <w:rPr>
          <w:szCs w:val="20"/>
          <w:lang w:val="en-GB"/>
        </w:rPr>
        <w:t>depletion;</w:t>
      </w:r>
      <w:proofErr w:type="gramEnd"/>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24648D" w:rsidRDefault="0039093C" w:rsidP="004853F6">
            <w:pPr>
              <w:overflowPunct w:val="0"/>
              <w:autoSpaceDE w:val="0"/>
              <w:autoSpaceDN w:val="0"/>
              <w:adjustRightInd w:val="0"/>
              <w:spacing w:line="276" w:lineRule="auto"/>
              <w:textAlignment w:val="baseline"/>
              <w:outlineLvl w:val="1"/>
              <w:rPr>
                <w:i/>
                <w:iCs/>
                <w:sz w:val="20"/>
                <w:szCs w:val="20"/>
              </w:rPr>
            </w:pPr>
            <w:r w:rsidRPr="0024648D">
              <w:rPr>
                <w:b/>
                <w:bCs/>
                <w:i/>
                <w:iCs/>
                <w:sz w:val="20"/>
                <w:szCs w:val="20"/>
              </w:rPr>
              <w:t>Contact</w:t>
            </w:r>
          </w:p>
        </w:tc>
        <w:tc>
          <w:tcPr>
            <w:tcW w:w="7567" w:type="dxa"/>
          </w:tcPr>
          <w:p w14:paraId="0319F3A6" w14:textId="11113606" w:rsidR="0039093C" w:rsidRPr="0024648D" w:rsidRDefault="0039093C" w:rsidP="004853F6">
            <w:pPr>
              <w:overflowPunct w:val="0"/>
              <w:autoSpaceDE w:val="0"/>
              <w:autoSpaceDN w:val="0"/>
              <w:adjustRightInd w:val="0"/>
              <w:spacing w:line="276" w:lineRule="auto"/>
              <w:textAlignment w:val="baseline"/>
              <w:outlineLvl w:val="1"/>
              <w:rPr>
                <w:i/>
                <w:sz w:val="20"/>
                <w:szCs w:val="20"/>
              </w:rPr>
            </w:pPr>
            <w:r w:rsidRPr="0024648D">
              <w:rPr>
                <w:sz w:val="20"/>
                <w:szCs w:val="20"/>
                <w:lang w:val="en-GB"/>
              </w:rPr>
              <w:t>Anna C</w:t>
            </w:r>
            <w:r w:rsidR="00AB224C" w:rsidRPr="0024648D">
              <w:rPr>
                <w:sz w:val="20"/>
                <w:szCs w:val="20"/>
                <w:lang w:val="en-GB"/>
              </w:rPr>
              <w:t>ameron</w:t>
            </w:r>
          </w:p>
        </w:tc>
      </w:tr>
      <w:tr w:rsidR="0039093C" w:rsidRPr="0039093C" w14:paraId="44DCA9C5" w14:textId="77777777" w:rsidTr="00854068">
        <w:trPr>
          <w:trHeight w:val="300"/>
        </w:trPr>
        <w:tc>
          <w:tcPr>
            <w:tcW w:w="1755" w:type="dxa"/>
          </w:tcPr>
          <w:p w14:paraId="714A323E" w14:textId="77777777" w:rsidR="0039093C" w:rsidRPr="0024648D" w:rsidRDefault="0039093C" w:rsidP="004853F6">
            <w:pPr>
              <w:overflowPunct w:val="0"/>
              <w:autoSpaceDE w:val="0"/>
              <w:autoSpaceDN w:val="0"/>
              <w:adjustRightInd w:val="0"/>
              <w:spacing w:line="276" w:lineRule="auto"/>
              <w:textAlignment w:val="baseline"/>
              <w:outlineLvl w:val="1"/>
              <w:rPr>
                <w:i/>
                <w:sz w:val="20"/>
                <w:szCs w:val="20"/>
              </w:rPr>
            </w:pPr>
            <w:r w:rsidRPr="0024648D">
              <w:rPr>
                <w:i/>
                <w:sz w:val="20"/>
                <w:szCs w:val="20"/>
              </w:rPr>
              <w:t>Tel.</w:t>
            </w:r>
          </w:p>
        </w:tc>
        <w:tc>
          <w:tcPr>
            <w:tcW w:w="7567" w:type="dxa"/>
          </w:tcPr>
          <w:p w14:paraId="46765661" w14:textId="77777777" w:rsidR="0039093C" w:rsidRPr="0024648D" w:rsidRDefault="0039093C" w:rsidP="004853F6">
            <w:pPr>
              <w:overflowPunct w:val="0"/>
              <w:autoSpaceDE w:val="0"/>
              <w:autoSpaceDN w:val="0"/>
              <w:adjustRightInd w:val="0"/>
              <w:spacing w:line="276" w:lineRule="auto"/>
              <w:textAlignment w:val="baseline"/>
              <w:outlineLvl w:val="1"/>
              <w:rPr>
                <w:i/>
                <w:iCs/>
                <w:sz w:val="20"/>
                <w:szCs w:val="20"/>
              </w:rPr>
            </w:pPr>
            <w:r w:rsidRPr="0024648D">
              <w:rPr>
                <w:i/>
                <w:sz w:val="20"/>
                <w:szCs w:val="20"/>
              </w:rPr>
              <w:t>+32 25468228</w:t>
            </w:r>
          </w:p>
        </w:tc>
      </w:tr>
      <w:tr w:rsidR="0039093C" w:rsidRPr="0039093C" w14:paraId="3E645883" w14:textId="77777777" w:rsidTr="00854068">
        <w:trPr>
          <w:trHeight w:val="300"/>
        </w:trPr>
        <w:tc>
          <w:tcPr>
            <w:tcW w:w="1755" w:type="dxa"/>
          </w:tcPr>
          <w:p w14:paraId="6069BEEF" w14:textId="77777777" w:rsidR="0039093C" w:rsidRPr="0024648D" w:rsidRDefault="0039093C" w:rsidP="004853F6">
            <w:pPr>
              <w:overflowPunct w:val="0"/>
              <w:autoSpaceDE w:val="0"/>
              <w:autoSpaceDN w:val="0"/>
              <w:adjustRightInd w:val="0"/>
              <w:spacing w:line="276" w:lineRule="auto"/>
              <w:textAlignment w:val="baseline"/>
              <w:outlineLvl w:val="1"/>
              <w:rPr>
                <w:i/>
                <w:sz w:val="20"/>
                <w:szCs w:val="20"/>
              </w:rPr>
            </w:pPr>
            <w:r w:rsidRPr="0024648D">
              <w:rPr>
                <w:i/>
                <w:sz w:val="20"/>
                <w:szCs w:val="20"/>
              </w:rPr>
              <w:t>Email</w:t>
            </w:r>
          </w:p>
        </w:tc>
        <w:tc>
          <w:tcPr>
            <w:tcW w:w="7567" w:type="dxa"/>
          </w:tcPr>
          <w:p w14:paraId="53CEC4E5" w14:textId="77777777" w:rsidR="0039093C" w:rsidRPr="0024648D"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r w:rsidRPr="0024648D">
                <w:rPr>
                  <w:rStyle w:val="Hyperlink"/>
                  <w:i/>
                  <w:iCs/>
                  <w:sz w:val="20"/>
                  <w:szCs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lang w:val="en-GB"/>
        </w:rPr>
      </w:pPr>
      <w:r>
        <w:rPr>
          <w:szCs w:val="20"/>
          <w:lang w:val="en-GB"/>
        </w:rPr>
        <w:br w:type="page"/>
      </w:r>
    </w:p>
    <w:p w14:paraId="028EF279" w14:textId="77777777" w:rsidR="00360C1A" w:rsidRDefault="00360C1A" w:rsidP="00360C1A">
      <w:pPr>
        <w:overflowPunct w:val="0"/>
        <w:autoSpaceDE w:val="0"/>
        <w:autoSpaceDN w:val="0"/>
        <w:adjustRightInd w:val="0"/>
        <w:spacing w:line="276" w:lineRule="auto"/>
        <w:textAlignment w:val="baseline"/>
        <w:outlineLvl w:val="1"/>
        <w:rPr>
          <w:szCs w:val="20"/>
          <w:lang w:val="en-GB"/>
        </w:rPr>
      </w:pPr>
    </w:p>
    <w:p w14:paraId="2604F6A5" w14:textId="77777777" w:rsidR="007323B9" w:rsidRPr="0024648D" w:rsidRDefault="007323B9" w:rsidP="0024648D">
      <w:pPr>
        <w:widowControl w:val="0"/>
        <w:overflowPunct w:val="0"/>
        <w:autoSpaceDE w:val="0"/>
        <w:autoSpaceDN w:val="0"/>
        <w:adjustRightInd w:val="0"/>
        <w:ind w:left="284"/>
        <w:textAlignment w:val="baseline"/>
        <w:rPr>
          <w:b/>
          <w:lang w:val="en-GB"/>
        </w:rPr>
      </w:pPr>
    </w:p>
    <w:p w14:paraId="48D068B9" w14:textId="4685BE42" w:rsidR="00403683" w:rsidRPr="0024648D" w:rsidRDefault="00A067F3" w:rsidP="0024648D">
      <w:pPr>
        <w:widowControl w:val="0"/>
        <w:numPr>
          <w:ilvl w:val="0"/>
          <w:numId w:val="4"/>
        </w:numPr>
        <w:overflowPunct w:val="0"/>
        <w:autoSpaceDE w:val="0"/>
        <w:autoSpaceDN w:val="0"/>
        <w:adjustRightInd w:val="0"/>
        <w:ind w:hanging="567"/>
        <w:textAlignment w:val="baseline"/>
        <w:rPr>
          <w:b/>
          <w:lang w:val="en-GB"/>
        </w:rPr>
      </w:pPr>
      <w:hyperlink r:id="rId61" w:history="1">
        <w:r w:rsidR="00403683" w:rsidRPr="00403683">
          <w:rPr>
            <w:b/>
            <w:bCs/>
            <w:i/>
            <w:iCs/>
            <w:color w:val="0000FF"/>
            <w:sz w:val="28"/>
            <w:szCs w:val="28"/>
            <w:u w:val="single"/>
            <w:lang w:val="en-GB"/>
          </w:rPr>
          <w:t>Food and feed simplification omnibus</w:t>
        </w:r>
      </w:hyperlink>
    </w:p>
    <w:p w14:paraId="2CC9FD3B" w14:textId="77777777" w:rsidR="00D245DB" w:rsidRPr="00403683" w:rsidRDefault="00D245DB" w:rsidP="0024648D">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sidRPr="00403683">
              <w:rPr>
                <w:b/>
              </w:rPr>
              <w:t>Rapporteur</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sidRPr="00403683">
              <w:rPr>
                <w:b/>
              </w:rPr>
              <w:t>Co-rapporteur</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rsidRPr="00403683">
              <w:t>Felipe MEDINA</w:t>
            </w:r>
            <w:r w:rsidR="00272AC6">
              <w:t xml:space="preserve"> (Employers' Group </w:t>
            </w:r>
            <w:r w:rsidR="00621FEB">
              <w:t>-</w:t>
            </w:r>
            <w:r w:rsidR="00272AC6">
              <w:t xml:space="preserve">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rsidRPr="00403683">
              <w:t>John COMER</w:t>
            </w:r>
            <w:r w:rsidR="00272AC6">
              <w:t xml:space="preserve"> (</w:t>
            </w:r>
            <w:r w:rsidR="00621FEB">
              <w:t xml:space="preserve">Civil Society </w:t>
            </w:r>
            <w:proofErr w:type="spellStart"/>
            <w:r w:rsidR="00621FEB">
              <w:t>Organisations'</w:t>
            </w:r>
            <w:proofErr w:type="spellEnd"/>
            <w:r w:rsidR="00621FEB">
              <w:t xml:space="preserve"> Group </w:t>
            </w:r>
            <w:r w:rsidR="00AF547E">
              <w:t>-</w:t>
            </w:r>
            <w:r w:rsidR="00621FEB">
              <w:t xml:space="preserve"> </w:t>
            </w:r>
            <w:r w:rsidR="007C5358">
              <w:t>IE)</w:t>
            </w:r>
          </w:p>
          <w:p w14:paraId="5CFB0DE6" w14:textId="77777777" w:rsidR="00F10208" w:rsidRDefault="00F10208" w:rsidP="00403683">
            <w:pPr>
              <w:tabs>
                <w:tab w:val="center" w:pos="284"/>
              </w:tabs>
              <w:overflowPunct w:val="0"/>
              <w:autoSpaceDE w:val="0"/>
              <w:autoSpaceDN w:val="0"/>
              <w:adjustRightInd w:val="0"/>
              <w:ind w:left="266" w:right="-3091" w:hanging="266"/>
              <w:textAlignment w:val="baseline"/>
            </w:pP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sidRPr="00403683">
              <w:rPr>
                <w:b/>
              </w:rPr>
              <w:t>References</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rPr>
                <w:lang w:val="en-GB"/>
              </w:rPr>
            </w:pPr>
            <w:proofErr w:type="gramStart"/>
            <w:r>
              <w:rPr>
                <w:lang w:val="en-GB"/>
              </w:rPr>
              <w:t>COM(</w:t>
            </w:r>
            <w:proofErr w:type="gramEnd"/>
            <w:r>
              <w:rPr>
                <w:lang w:val="en-GB"/>
              </w:rPr>
              <w:t>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rsidRPr="00403683">
              <w:rPr>
                <w:lang w:val="en-GB"/>
              </w:rP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r w:rsidRPr="00403683">
        <w:rPr>
          <w:b/>
          <w:lang w:val="en-GB"/>
        </w:rPr>
        <w:t>Key points</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lang w:val="en-GB"/>
        </w:rPr>
      </w:pPr>
      <w:r w:rsidRPr="00403683">
        <w:rPr>
          <w:bCs/>
          <w:iCs/>
          <w:lang w:val="en-GB"/>
        </w:rPr>
        <w:t>The EESC:</w:t>
      </w:r>
    </w:p>
    <w:p w14:paraId="1FCFD917"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28" w:name="_Toc228805442"/>
      <w:r w:rsidRPr="00403683">
        <w:rPr>
          <w:szCs w:val="20"/>
          <w:lang w:val="en-GB"/>
        </w:rPr>
        <w:t xml:space="preserve">welcomes the overall thrust of the food and feed simplification package which should reduce unnecessary administrative burdens and costs, but stresses that any simplification must not compromise the EU’s high standards for food and feed safety, environmental protection, and public health, and that further simplification would have been </w:t>
      </w:r>
      <w:proofErr w:type="gramStart"/>
      <w:r w:rsidRPr="00403683">
        <w:rPr>
          <w:szCs w:val="20"/>
          <w:lang w:val="en-GB"/>
        </w:rPr>
        <w:t>helpful;</w:t>
      </w:r>
      <w:bookmarkEnd w:id="28"/>
      <w:proofErr w:type="gramEnd"/>
    </w:p>
    <w:p w14:paraId="03C81D74"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29" w:name="_Toc228805443"/>
      <w:r w:rsidRPr="00403683">
        <w:rPr>
          <w:szCs w:val="20"/>
          <w:lang w:val="en-GB"/>
        </w:rPr>
        <w:t xml:space="preserve">highlights the importance of regulatory quality and the need to consolidate the role of civil society in the monitoring and enforcement of the </w:t>
      </w:r>
      <w:proofErr w:type="gramStart"/>
      <w:r w:rsidRPr="00403683">
        <w:rPr>
          <w:szCs w:val="20"/>
          <w:lang w:val="en-GB"/>
        </w:rPr>
        <w:t>legislation;</w:t>
      </w:r>
      <w:bookmarkEnd w:id="29"/>
      <w:proofErr w:type="gramEnd"/>
    </w:p>
    <w:p w14:paraId="2F1E934E"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0" w:name="_Toc228805444"/>
      <w:r w:rsidRPr="00403683">
        <w:rPr>
          <w:szCs w:val="20"/>
          <w:lang w:val="en-GB"/>
        </w:rPr>
        <w:t xml:space="preserve">welcomes the proposal to facilitate greater use of drones for spraying pesticides while at the same time emphasises the need for proper protections and safeguards for the health and environment of non-farmer rural residents and of all </w:t>
      </w:r>
      <w:proofErr w:type="gramStart"/>
      <w:r w:rsidRPr="00403683">
        <w:rPr>
          <w:szCs w:val="20"/>
          <w:lang w:val="en-GB"/>
        </w:rPr>
        <w:t>workers;</w:t>
      </w:r>
      <w:bookmarkEnd w:id="30"/>
      <w:proofErr w:type="gramEnd"/>
    </w:p>
    <w:p w14:paraId="4305D899"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1" w:name="_Toc228805445"/>
      <w:r w:rsidRPr="00403683">
        <w:rPr>
          <w:szCs w:val="20"/>
          <w:lang w:val="en-GB"/>
        </w:rPr>
        <w:t xml:space="preserve">believes that the European Food Safety Authority (EFSA) should have the right to raise the alarm on the need for targeted reassessments of active substances with unlimited approval and should be asked to give an opinion on the appropriateness of any </w:t>
      </w:r>
      <w:proofErr w:type="gramStart"/>
      <w:r w:rsidRPr="00403683">
        <w:rPr>
          <w:szCs w:val="20"/>
          <w:lang w:val="en-GB"/>
        </w:rPr>
        <w:t>particular grace</w:t>
      </w:r>
      <w:proofErr w:type="gramEnd"/>
      <w:r w:rsidRPr="00403683">
        <w:rPr>
          <w:szCs w:val="20"/>
          <w:lang w:val="en-GB"/>
        </w:rPr>
        <w:t xml:space="preserve"> </w:t>
      </w:r>
      <w:proofErr w:type="gramStart"/>
      <w:r w:rsidRPr="00403683">
        <w:rPr>
          <w:szCs w:val="20"/>
          <w:lang w:val="en-GB"/>
        </w:rPr>
        <w:t>period;</w:t>
      </w:r>
      <w:bookmarkEnd w:id="31"/>
      <w:proofErr w:type="gramEnd"/>
      <w:r w:rsidRPr="00403683">
        <w:rPr>
          <w:szCs w:val="20"/>
          <w:lang w:val="en-GB"/>
        </w:rPr>
        <w:t xml:space="preserve"> </w:t>
      </w:r>
    </w:p>
    <w:p w14:paraId="52534770" w14:textId="77777777" w:rsidR="00403683" w:rsidRPr="00403683" w:rsidRDefault="00403683" w:rsidP="0024648D">
      <w:pPr>
        <w:numPr>
          <w:ilvl w:val="1"/>
          <w:numId w:val="60"/>
        </w:numPr>
        <w:shd w:val="clear" w:color="auto" w:fill="FFFFFF" w:themeFill="background1"/>
        <w:overflowPunct w:val="0"/>
        <w:autoSpaceDE w:val="0"/>
        <w:autoSpaceDN w:val="0"/>
        <w:adjustRightInd w:val="0"/>
        <w:textAlignment w:val="baseline"/>
        <w:outlineLvl w:val="1"/>
        <w:rPr>
          <w:szCs w:val="20"/>
          <w:lang w:val="en-GB"/>
        </w:rPr>
      </w:pPr>
      <w:bookmarkStart w:id="32" w:name="_Toc228805446"/>
      <w:r w:rsidRPr="00403683">
        <w:rPr>
          <w:szCs w:val="20"/>
          <w:lang w:val="en-GB"/>
        </w:rPr>
        <w:t xml:space="preserve">views positively the acceleration and simplification of the authorisation processes for biocontrol </w:t>
      </w:r>
      <w:proofErr w:type="gramStart"/>
      <w:r w:rsidRPr="00403683">
        <w:rPr>
          <w:szCs w:val="20"/>
          <w:lang w:val="en-GB"/>
        </w:rPr>
        <w:t>products;</w:t>
      </w:r>
      <w:bookmarkEnd w:id="32"/>
      <w:proofErr w:type="gramEnd"/>
      <w:r w:rsidRPr="00403683">
        <w:rPr>
          <w:szCs w:val="20"/>
          <w:lang w:val="en-GB"/>
        </w:rPr>
        <w:t xml:space="preserve"> </w:t>
      </w:r>
    </w:p>
    <w:p w14:paraId="5FE87611" w14:textId="77777777" w:rsidR="00403683" w:rsidRPr="00403683" w:rsidRDefault="00403683" w:rsidP="0024648D">
      <w:pPr>
        <w:numPr>
          <w:ilvl w:val="1"/>
          <w:numId w:val="60"/>
        </w:numPr>
        <w:shd w:val="clear" w:color="auto" w:fill="FFFFFF" w:themeFill="background1"/>
        <w:overflowPunct w:val="0"/>
        <w:autoSpaceDE w:val="0"/>
        <w:autoSpaceDN w:val="0"/>
        <w:adjustRightInd w:val="0"/>
        <w:textAlignment w:val="baseline"/>
        <w:outlineLvl w:val="1"/>
        <w:rPr>
          <w:szCs w:val="20"/>
          <w:lang w:val="en-GB"/>
        </w:rPr>
      </w:pPr>
      <w:bookmarkStart w:id="33" w:name="_Toc228805447"/>
      <w:r w:rsidRPr="00403683">
        <w:rPr>
          <w:szCs w:val="20"/>
          <w:lang w:val="en-GB"/>
        </w:rPr>
        <w:t xml:space="preserve">calls for grace periods to be harmonised at the highest level of protection across the entire EU and mutual recognitions to be </w:t>
      </w:r>
      <w:proofErr w:type="gramStart"/>
      <w:r w:rsidRPr="00403683">
        <w:rPr>
          <w:szCs w:val="20"/>
          <w:lang w:val="en-GB"/>
        </w:rPr>
        <w:t>facilitated;</w:t>
      </w:r>
      <w:bookmarkEnd w:id="33"/>
      <w:proofErr w:type="gramEnd"/>
    </w:p>
    <w:p w14:paraId="740656F8" w14:textId="77777777" w:rsidR="00403683" w:rsidRPr="00403683" w:rsidRDefault="00403683" w:rsidP="0024648D">
      <w:pPr>
        <w:numPr>
          <w:ilvl w:val="1"/>
          <w:numId w:val="60"/>
        </w:numPr>
        <w:shd w:val="clear" w:color="auto" w:fill="FFFFFF" w:themeFill="background1"/>
        <w:overflowPunct w:val="0"/>
        <w:autoSpaceDE w:val="0"/>
        <w:autoSpaceDN w:val="0"/>
        <w:adjustRightInd w:val="0"/>
        <w:textAlignment w:val="baseline"/>
        <w:outlineLvl w:val="1"/>
        <w:rPr>
          <w:szCs w:val="20"/>
          <w:lang w:val="en-GB"/>
        </w:rPr>
      </w:pPr>
      <w:bookmarkStart w:id="34" w:name="_Toc228805448"/>
      <w:r w:rsidRPr="00403683">
        <w:rPr>
          <w:szCs w:val="20"/>
          <w:lang w:val="en-GB"/>
        </w:rPr>
        <w:t xml:space="preserve">supports the authorisation of plant protection products (PPPs) containing EU-approved active substances for seed treatments intended for export, provided such use complies with the regulatory requirements of the destination </w:t>
      </w:r>
      <w:proofErr w:type="gramStart"/>
      <w:r w:rsidRPr="00403683">
        <w:rPr>
          <w:szCs w:val="20"/>
          <w:lang w:val="en-GB"/>
        </w:rPr>
        <w:t>country;</w:t>
      </w:r>
      <w:bookmarkEnd w:id="34"/>
      <w:proofErr w:type="gramEnd"/>
    </w:p>
    <w:p w14:paraId="32435E68"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5" w:name="_Toc228805449"/>
      <w:r w:rsidRPr="00403683">
        <w:rPr>
          <w:szCs w:val="20"/>
          <w:lang w:val="en-GB"/>
        </w:rPr>
        <w:t xml:space="preserve">proposes that private sanitary and certification analyses carried out by companies be recognised as official to simplify the export procedure of PPPs to non-EU countries, alongside stricter controls and fines by the authorities to allow for such </w:t>
      </w:r>
      <w:proofErr w:type="gramStart"/>
      <w:r w:rsidRPr="00403683">
        <w:rPr>
          <w:szCs w:val="20"/>
          <w:lang w:val="en-GB"/>
        </w:rPr>
        <w:t>recognition;</w:t>
      </w:r>
      <w:bookmarkEnd w:id="35"/>
      <w:proofErr w:type="gramEnd"/>
    </w:p>
    <w:p w14:paraId="5D898E6D"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6" w:name="_Toc228805450"/>
      <w:r w:rsidRPr="00403683">
        <w:rPr>
          <w:szCs w:val="20"/>
          <w:lang w:val="en-GB"/>
        </w:rPr>
        <w:t xml:space="preserve">while recognising the importance of equivalence of standards, is concerned by the elimination of import tolerances for certain substances not authorised in the EU, and considers that an impact assessment is essential for such major changes, in line with the precautionary principle and potential implications for all actors in the chain who rely heavily on </w:t>
      </w:r>
      <w:proofErr w:type="gramStart"/>
      <w:r w:rsidRPr="00403683">
        <w:rPr>
          <w:szCs w:val="20"/>
          <w:lang w:val="en-GB"/>
        </w:rPr>
        <w:t>imports;</w:t>
      </w:r>
      <w:bookmarkEnd w:id="36"/>
      <w:proofErr w:type="gramEnd"/>
    </w:p>
    <w:p w14:paraId="0129D2DA"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7" w:name="_Toc228805451"/>
      <w:r w:rsidRPr="00403683">
        <w:rPr>
          <w:szCs w:val="20"/>
          <w:lang w:val="en-GB"/>
        </w:rPr>
        <w:t xml:space="preserve">considers that biocontrol substances should be allowed to use heavy metals such as copper, </w:t>
      </w:r>
      <w:proofErr w:type="gramStart"/>
      <w:r w:rsidRPr="00403683">
        <w:rPr>
          <w:szCs w:val="20"/>
          <w:lang w:val="en-GB"/>
        </w:rPr>
        <w:t>provided that</w:t>
      </w:r>
      <w:proofErr w:type="gramEnd"/>
      <w:r w:rsidRPr="00403683">
        <w:rPr>
          <w:szCs w:val="20"/>
          <w:lang w:val="en-GB"/>
        </w:rPr>
        <w:t xml:space="preserve"> human, animal and soil health and biodiversity are </w:t>
      </w:r>
      <w:proofErr w:type="gramStart"/>
      <w:r w:rsidRPr="00403683">
        <w:rPr>
          <w:szCs w:val="20"/>
          <w:lang w:val="en-GB"/>
        </w:rPr>
        <w:t>guaranteed;</w:t>
      </w:r>
      <w:bookmarkEnd w:id="37"/>
      <w:proofErr w:type="gramEnd"/>
    </w:p>
    <w:p w14:paraId="3C8AB436"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8" w:name="_Toc228805452"/>
      <w:r w:rsidRPr="00403683">
        <w:rPr>
          <w:szCs w:val="20"/>
          <w:lang w:val="en-GB"/>
        </w:rPr>
        <w:t xml:space="preserve">is of the view that an economically viable alternative with an equivalent level of effectiveness should be available before withdrawing an active substance that is a candidate for </w:t>
      </w:r>
      <w:proofErr w:type="gramStart"/>
      <w:r w:rsidRPr="00403683">
        <w:rPr>
          <w:szCs w:val="20"/>
          <w:lang w:val="en-GB"/>
        </w:rPr>
        <w:t>substitution;</w:t>
      </w:r>
      <w:bookmarkEnd w:id="38"/>
      <w:proofErr w:type="gramEnd"/>
    </w:p>
    <w:p w14:paraId="30304C3E"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39" w:name="_Toc228805453"/>
      <w:r w:rsidRPr="00403683">
        <w:rPr>
          <w:szCs w:val="20"/>
          <w:lang w:val="en-GB"/>
        </w:rPr>
        <w:t xml:space="preserve">considers that the EU must uphold the highest standards of transparency and safety in novel foods and genetically modified </w:t>
      </w:r>
      <w:proofErr w:type="gramStart"/>
      <w:r w:rsidRPr="00403683">
        <w:rPr>
          <w:szCs w:val="20"/>
          <w:lang w:val="en-GB"/>
        </w:rPr>
        <w:t>foods;</w:t>
      </w:r>
      <w:bookmarkEnd w:id="39"/>
      <w:proofErr w:type="gramEnd"/>
    </w:p>
    <w:p w14:paraId="47E9B68C" w14:textId="77777777" w:rsidR="00403683" w:rsidRPr="00403683" w:rsidRDefault="00403683" w:rsidP="0024648D">
      <w:pPr>
        <w:numPr>
          <w:ilvl w:val="1"/>
          <w:numId w:val="60"/>
        </w:numPr>
        <w:overflowPunct w:val="0"/>
        <w:autoSpaceDE w:val="0"/>
        <w:autoSpaceDN w:val="0"/>
        <w:adjustRightInd w:val="0"/>
        <w:textAlignment w:val="baseline"/>
        <w:outlineLvl w:val="1"/>
        <w:rPr>
          <w:szCs w:val="20"/>
          <w:lang w:val="en-GB"/>
        </w:rPr>
      </w:pPr>
      <w:bookmarkStart w:id="40" w:name="_Toc228805454"/>
      <w:r w:rsidRPr="00403683">
        <w:rPr>
          <w:szCs w:val="20"/>
          <w:lang w:val="en-GB"/>
        </w:rPr>
        <w:t>calls for the harmonisation of seed labelling to include relevant precautionary and risk management measures.</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sidRPr="00403683">
              <w:rPr>
                <w:b/>
                <w:i/>
              </w:rPr>
              <w:t>Contact</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sidRPr="00403683">
              <w:rPr>
                <w:i/>
              </w:rPr>
              <w:t>Martine D</w:t>
            </w:r>
            <w:r w:rsidR="00732E14" w:rsidRPr="00403683">
              <w:rPr>
                <w:i/>
              </w:rPr>
              <w:t>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sidRPr="00403683">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sidRPr="00403683">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sidRPr="00403683">
              <w:rPr>
                <w:i/>
              </w:rPr>
              <w:t>Email</w:t>
            </w:r>
          </w:p>
        </w:tc>
        <w:tc>
          <w:tcPr>
            <w:tcW w:w="3923" w:type="pct"/>
          </w:tcPr>
          <w:p w14:paraId="40D17F4B" w14:textId="77777777" w:rsidR="00403683" w:rsidRDefault="00403683" w:rsidP="00403683">
            <w:pPr>
              <w:overflowPunct w:val="0"/>
              <w:autoSpaceDE w:val="0"/>
              <w:autoSpaceDN w:val="0"/>
              <w:adjustRightInd w:val="0"/>
              <w:textAlignment w:val="baseline"/>
              <w:rPr>
                <w:i/>
              </w:rPr>
            </w:pPr>
            <w:hyperlink r:id="rId62" w:history="1">
              <w:r w:rsidRPr="00403683">
                <w:rPr>
                  <w:i/>
                  <w:color w:val="0000FF"/>
                  <w:u w:val="single"/>
                </w:rPr>
                <w:t>M</w:t>
              </w:r>
              <w:r w:rsidRPr="00403683">
                <w:rPr>
                  <w:i/>
                  <w:color w:val="0000FF"/>
                  <w:u w:val="single"/>
                  <w:lang w:val="en-GB"/>
                </w:rPr>
                <w:t>artine.Delanoy</w:t>
              </w:r>
              <w:r w:rsidRPr="00403683">
                <w:rPr>
                  <w:i/>
                  <w:color w:val="0000FF"/>
                  <w:u w:val="single"/>
                </w:rPr>
                <w:t>@eesc.europa.eu</w:t>
              </w:r>
            </w:hyperlink>
            <w:r w:rsidRPr="00403683">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24648D">
      <w:pPr>
        <w:widowControl w:val="0"/>
        <w:overflowPunct w:val="0"/>
        <w:autoSpaceDE w:val="0"/>
        <w:autoSpaceDN w:val="0"/>
        <w:adjustRightInd w:val="0"/>
        <w:ind w:left="284"/>
        <w:jc w:val="left"/>
        <w:textAlignment w:val="baseline"/>
        <w:rPr>
          <w:b/>
          <w:bCs/>
          <w:i/>
          <w:iCs/>
          <w:sz w:val="28"/>
          <w:szCs w:val="28"/>
          <w:lang w:val="en-GB"/>
        </w:rPr>
      </w:pPr>
    </w:p>
    <w:p w14:paraId="2F50326F" w14:textId="61FF1220" w:rsidR="00A230F1" w:rsidRPr="007B6F06" w:rsidRDefault="007B6F06" w:rsidP="0024648D">
      <w:pPr>
        <w:pStyle w:val="ListParagraph"/>
        <w:numPr>
          <w:ilvl w:val="0"/>
          <w:numId w:val="14"/>
        </w:numPr>
        <w:spacing w:after="160" w:line="259" w:lineRule="auto"/>
        <w:ind w:left="567" w:hanging="567"/>
        <w:jc w:val="left"/>
        <w:rPr>
          <w:b/>
          <w:bCs/>
          <w:szCs w:val="20"/>
          <w:lang w:val="en-GB"/>
        </w:rPr>
      </w:pPr>
      <w:r w:rsidRPr="007B6F06">
        <w:rPr>
          <w:b/>
          <w:bCs/>
          <w:i/>
          <w:iCs/>
          <w:sz w:val="28"/>
          <w:szCs w:val="28"/>
          <w:lang w:val="en-GB"/>
        </w:rPr>
        <w:br w:type="page"/>
      </w:r>
      <w:hyperlink r:id="rId63" w:history="1">
        <w:r w:rsidR="0014429D">
          <w:rPr>
            <w:b/>
            <w:bCs/>
            <w:i/>
            <w:iCs/>
            <w:color w:val="0000FF"/>
            <w:sz w:val="28"/>
            <w:szCs w:val="28"/>
            <w:u w:val="single"/>
            <w:lang w:val="en-GB"/>
          </w:rPr>
          <w:t>E</w:t>
        </w:r>
        <w:r w:rsidR="00A230F1" w:rsidRPr="007B6F06">
          <w:rPr>
            <w:b/>
            <w:bCs/>
            <w:i/>
            <w:iCs/>
            <w:color w:val="0000FF"/>
            <w:sz w:val="28"/>
            <w:szCs w:val="28"/>
            <w:u w:val="single"/>
            <w:lang w:val="en-GB"/>
          </w:rPr>
          <w:t>quivalence</w:t>
        </w:r>
        <w:r w:rsidR="00804389">
          <w:rPr>
            <w:b/>
            <w:bCs/>
            <w:i/>
            <w:iCs/>
            <w:color w:val="0000FF"/>
            <w:sz w:val="28"/>
            <w:szCs w:val="28"/>
            <w:u w:val="single"/>
            <w:lang w:val="en-GB"/>
          </w:rPr>
          <w:t xml:space="preserve"> of field inspections carried out in third countries on seed-producing crops and on the equivalence of seed produced in third countries</w:t>
        </w:r>
      </w:hyperlink>
      <w:r w:rsidR="00A230F1" w:rsidRPr="007B6F06">
        <w:rPr>
          <w:b/>
          <w:bCs/>
          <w:i/>
          <w:iCs/>
          <w:sz w:val="28"/>
          <w:szCs w:val="28"/>
          <w:lang w:val="en-GB"/>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sidRPr="00A230F1">
              <w:rPr>
                <w:b/>
              </w:rPr>
              <w:t>References</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rPr>
                <w:lang w:val="en-GB"/>
              </w:rPr>
            </w:pPr>
            <w:r>
              <w:rPr>
                <w:lang w:val="en-GB"/>
              </w:rPr>
              <w:t>Category C opinion</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proofErr w:type="gramStart"/>
            <w:r w:rsidRPr="00A230F1">
              <w:rPr>
                <w:lang w:val="en-GB"/>
              </w:rPr>
              <w:t>COM(</w:t>
            </w:r>
            <w:proofErr w:type="gramEnd"/>
            <w:r w:rsidRPr="00A230F1">
              <w:rPr>
                <w:lang w:val="en-GB"/>
              </w:rPr>
              <w:t>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rsidRPr="00A230F1">
              <w:rPr>
                <w:lang w:val="en-GB"/>
              </w:rP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3D1A4BEE" w:rsidR="002B30F4" w:rsidRPr="002B30F4" w:rsidRDefault="00A230F1" w:rsidP="0024648D">
      <w:pPr>
        <w:pStyle w:val="Footer"/>
        <w:rPr>
          <w:bCs/>
          <w:iCs/>
          <w:lang w:val="en-GB"/>
        </w:rPr>
      </w:pPr>
      <w:r w:rsidRPr="00A230F1">
        <w:rPr>
          <w:bCs/>
          <w:iCs/>
          <w:lang w:val="en-GB"/>
        </w:rPr>
        <w:t>The EESC</w:t>
      </w:r>
      <w:r w:rsidR="00CE3211">
        <w:rPr>
          <w:lang w:val="en-GB"/>
        </w:rPr>
        <w:t xml:space="preserve"> </w:t>
      </w:r>
      <w:r w:rsidR="002B30F4" w:rsidRPr="002B30F4">
        <w:rPr>
          <w:lang w:val="en-GB"/>
        </w:rPr>
        <w:t>has already set out its views on the content of the proposal in question in its opinions EESC-2018-00043-00-00-AC-TRA, adopted on 14/02/2018</w:t>
      </w:r>
      <w:r w:rsidR="002B30F4" w:rsidRPr="002B30F4">
        <w:rPr>
          <w:sz w:val="24"/>
          <w:vertAlign w:val="superscript"/>
          <w:lang w:val="en-GB"/>
        </w:rPr>
        <w:footnoteReference w:id="2"/>
      </w:r>
      <w:r w:rsidR="002B30F4" w:rsidRPr="002B30F4">
        <w:rPr>
          <w:lang w:val="en-GB"/>
        </w:rPr>
        <w:t>, and EESC-2020-02029-00-00-AC-TRA-EN, adopted on 18/09/2020</w:t>
      </w:r>
      <w:r w:rsidR="002B30F4" w:rsidRPr="002B30F4">
        <w:rPr>
          <w:sz w:val="24"/>
          <w:vertAlign w:val="superscript"/>
          <w:lang w:val="en-GB"/>
        </w:rPr>
        <w:footnoteReference w:id="3"/>
      </w:r>
      <w:r w:rsidR="002B30F4" w:rsidRPr="002B30F4">
        <w:rPr>
          <w:lang w:val="en-GB"/>
        </w:rPr>
        <w:t>, it has decided not to draw up a new opinion on the subject, but to refer to the position it had taken in the above-mentioned documents.</w:t>
      </w:r>
    </w:p>
    <w:p w14:paraId="23AFABFB" w14:textId="193EFDF4" w:rsidR="00A230F1" w:rsidRDefault="00A230F1" w:rsidP="00A230F1">
      <w:pPr>
        <w:overflowPunct w:val="0"/>
        <w:autoSpaceDE w:val="0"/>
        <w:autoSpaceDN w:val="0"/>
        <w:adjustRightInd w:val="0"/>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sidRPr="00A230F1">
              <w:rPr>
                <w:b/>
                <w:i/>
              </w:rPr>
              <w:t>Contact</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sidRPr="00A230F1">
              <w:rPr>
                <w:i/>
                <w:lang w:val="en-GB"/>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sidRPr="00A230F1">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sidRPr="00A230F1">
              <w:rPr>
                <w:i/>
                <w:lang w:val="fr-LU"/>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sidRPr="00A230F1">
              <w:rPr>
                <w:i/>
              </w:rPr>
              <w:t>Email</w:t>
            </w:r>
          </w:p>
        </w:tc>
        <w:tc>
          <w:tcPr>
            <w:tcW w:w="3922" w:type="pct"/>
          </w:tcPr>
          <w:p w14:paraId="1FAC504A" w14:textId="77777777" w:rsidR="00A230F1" w:rsidRPr="00A230F1" w:rsidRDefault="00A230F1" w:rsidP="00A230F1">
            <w:pPr>
              <w:overflowPunct w:val="0"/>
              <w:autoSpaceDE w:val="0"/>
              <w:autoSpaceDN w:val="0"/>
              <w:adjustRightInd w:val="0"/>
              <w:textAlignment w:val="baseline"/>
              <w:rPr>
                <w:i/>
                <w:iCs/>
              </w:rPr>
            </w:pPr>
            <w:hyperlink r:id="rId64" w:history="1">
              <w:r w:rsidRPr="00A230F1">
                <w:rPr>
                  <w:i/>
                  <w:iCs/>
                  <w:color w:val="0000FF"/>
                  <w:u w:val="single"/>
                  <w:lang w:val="en-GB"/>
                </w:rPr>
                <w:t>Arturo.Iniguez@eesc.europa.eu</w:t>
              </w:r>
            </w:hyperlink>
            <w:r w:rsidRPr="00A230F1">
              <w:rPr>
                <w:i/>
                <w:iCs/>
                <w:lang w:val="en-GB"/>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1AE0C7D1" w:rsidR="00EC4D43" w:rsidRPr="00EC4D43" w:rsidRDefault="00A067F3" w:rsidP="0024648D">
      <w:pPr>
        <w:widowControl w:val="0"/>
        <w:numPr>
          <w:ilvl w:val="0"/>
          <w:numId w:val="4"/>
        </w:numPr>
        <w:overflowPunct w:val="0"/>
        <w:autoSpaceDE w:val="0"/>
        <w:autoSpaceDN w:val="0"/>
        <w:adjustRightInd w:val="0"/>
        <w:ind w:hanging="567"/>
        <w:textAlignment w:val="baseline"/>
        <w:rPr>
          <w:b/>
          <w:lang w:val="en-GB"/>
        </w:rPr>
      </w:pPr>
      <w:hyperlink r:id="rId65" w:history="1">
        <w:r w:rsidR="00EC4D43" w:rsidRPr="00EC4D43">
          <w:rPr>
            <w:b/>
            <w:bCs/>
            <w:i/>
            <w:iCs/>
            <w:color w:val="0000FF"/>
            <w:sz w:val="28"/>
            <w:szCs w:val="28"/>
            <w:u w:val="single"/>
            <w:lang w:val="en-GB"/>
          </w:rPr>
          <w:t>Invalidation of allowances in the market stability reserve</w:t>
        </w:r>
      </w:hyperlink>
    </w:p>
    <w:p w14:paraId="2C3AAF47" w14:textId="77777777" w:rsidR="00EC4D43" w:rsidRDefault="00EC4D43"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sidRPr="00EC4D43">
              <w:rPr>
                <w:b/>
              </w:rPr>
              <w:t>References</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rPr>
                <w:lang w:val="en-GB"/>
              </w:rPr>
            </w:pPr>
            <w:r>
              <w:rPr>
                <w:lang w:val="en-GB"/>
              </w:rPr>
              <w:t>Category C opinion</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proofErr w:type="gramStart"/>
            <w:r w:rsidRPr="00EC4D43">
              <w:rPr>
                <w:lang w:val="en-GB"/>
              </w:rPr>
              <w:t>COM(</w:t>
            </w:r>
            <w:proofErr w:type="gramEnd"/>
            <w:r w:rsidRPr="00EC4D43">
              <w:rPr>
                <w:lang w:val="en-GB"/>
              </w:rPr>
              <w:t>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rsidRPr="00EC4D43">
              <w:rPr>
                <w:lang w:val="en-GB"/>
              </w:rPr>
              <w:t>EESC-2026-01164-00-00-AC</w:t>
            </w:r>
          </w:p>
        </w:tc>
      </w:tr>
    </w:tbl>
    <w:p w14:paraId="0A0C239E" w14:textId="77777777" w:rsidR="00EC4D43" w:rsidRDefault="00EC4D43" w:rsidP="00EC4D43">
      <w:pPr>
        <w:tabs>
          <w:tab w:val="center" w:pos="284"/>
        </w:tabs>
        <w:overflowPunct w:val="0"/>
        <w:autoSpaceDE w:val="0"/>
        <w:autoSpaceDN w:val="0"/>
        <w:adjustRightInd w:val="0"/>
        <w:ind w:left="266" w:hanging="266"/>
        <w:textAlignment w:val="baseline"/>
        <w:rPr>
          <w:b/>
          <w:lang w:val="en-GB"/>
        </w:rPr>
      </w:pPr>
    </w:p>
    <w:p w14:paraId="3ABFEF49" w14:textId="338D43E0" w:rsidR="008548EA" w:rsidRPr="008548EA" w:rsidRDefault="00EC4D43" w:rsidP="0024648D">
      <w:pPr>
        <w:widowControl w:val="0"/>
        <w:overflowPunct w:val="0"/>
        <w:autoSpaceDE w:val="0"/>
        <w:autoSpaceDN w:val="0"/>
        <w:adjustRightInd w:val="0"/>
        <w:textAlignment w:val="baseline"/>
        <w:rPr>
          <w:bCs/>
          <w:iCs/>
          <w:lang w:val="en-GB"/>
        </w:rPr>
      </w:pPr>
      <w:r w:rsidRPr="00EC4D43">
        <w:rPr>
          <w:bCs/>
          <w:iCs/>
          <w:lang w:val="en-GB"/>
        </w:rPr>
        <w:t>The EESC</w:t>
      </w:r>
      <w:r w:rsidR="000517F6">
        <w:rPr>
          <w:bCs/>
          <w:iCs/>
          <w:lang w:val="en-GB"/>
        </w:rPr>
        <w:t xml:space="preserve"> </w:t>
      </w:r>
      <w:r w:rsidR="008548EA" w:rsidRPr="008548EA">
        <w:rPr>
          <w:szCs w:val="20"/>
          <w:lang w:val="en-GB"/>
        </w:rPr>
        <w:t>endorses the contents of the proposal and has already set out its views on the subject in its earlier opinion EESC-2021-03918-00-00-AC-TRA, adopted on 08/12/2021</w:t>
      </w:r>
      <w:r w:rsidR="008548EA" w:rsidRPr="008548EA">
        <w:rPr>
          <w:sz w:val="24"/>
          <w:szCs w:val="20"/>
          <w:vertAlign w:val="superscript"/>
          <w:lang w:val="en-GB"/>
        </w:rPr>
        <w:footnoteReference w:id="4"/>
      </w:r>
      <w:r w:rsidR="008548EA" w:rsidRPr="008548EA">
        <w:rPr>
          <w:szCs w:val="20"/>
          <w:lang w:val="en-GB"/>
        </w:rPr>
        <w:t>, it decided to issue an opinion endorsing the proposed text and to refer to the position it had taken in the above-mentioned document.</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sidRPr="00EC4D43">
              <w:rPr>
                <w:b/>
                <w:i/>
              </w:rPr>
              <w:t>Contact</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sidRPr="00EC4D43">
              <w:rPr>
                <w:i/>
                <w:lang w:val="en-GB"/>
              </w:rPr>
              <w:t>Gaizka M</w:t>
            </w:r>
            <w:r w:rsidR="00F1581A" w:rsidRPr="00EC4D43">
              <w:rPr>
                <w:i/>
                <w:lang w:val="en-GB"/>
              </w:rPr>
              <w:t>alo</w:t>
            </w:r>
            <w:r w:rsidRPr="00EC4D43">
              <w:rPr>
                <w:i/>
                <w:lang w:val="en-GB"/>
              </w:rPr>
              <w:t xml:space="preserve"> E</w:t>
            </w:r>
            <w:r w:rsidR="00F1581A" w:rsidRPr="00EC4D43">
              <w:rPr>
                <w:i/>
                <w:lang w:val="en-GB"/>
              </w:rPr>
              <w:t>lcoro</w:t>
            </w:r>
            <w:r w:rsidRPr="00EC4D43">
              <w:rPr>
                <w:i/>
                <w:lang w:val="en-GB"/>
              </w:rPr>
              <w:t>-I</w:t>
            </w:r>
            <w:r w:rsidR="00F1581A" w:rsidRPr="00EC4D43">
              <w:rPr>
                <w:i/>
                <w:lang w:val="en-GB"/>
              </w:rPr>
              <w:t>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sidRPr="00EC4D43">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sidRPr="00EC4D43">
              <w:rPr>
                <w:i/>
                <w:lang w:val="fr-LU"/>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sidRPr="00EC4D43">
              <w:rPr>
                <w:i/>
              </w:rPr>
              <w:t>Email</w:t>
            </w:r>
          </w:p>
        </w:tc>
        <w:tc>
          <w:tcPr>
            <w:tcW w:w="3922" w:type="pct"/>
          </w:tcPr>
          <w:p w14:paraId="4685C922" w14:textId="77777777" w:rsidR="00EC4D43" w:rsidRPr="00EC4D43" w:rsidRDefault="00EC4D43" w:rsidP="00EC4D43">
            <w:pPr>
              <w:overflowPunct w:val="0"/>
              <w:autoSpaceDE w:val="0"/>
              <w:autoSpaceDN w:val="0"/>
              <w:adjustRightInd w:val="0"/>
              <w:textAlignment w:val="baseline"/>
              <w:rPr>
                <w:i/>
                <w:iCs/>
              </w:rPr>
            </w:pPr>
            <w:hyperlink r:id="rId66" w:history="1">
              <w:r w:rsidRPr="00EC4D43">
                <w:rPr>
                  <w:i/>
                  <w:iCs/>
                  <w:color w:val="0000FF"/>
                  <w:u w:val="single"/>
                  <w:lang w:val="en-GB"/>
                </w:rPr>
                <w:t>Gaizka.Maloelcoro-iribe@eesc.europa.eu</w:t>
              </w:r>
            </w:hyperlink>
            <w:r w:rsidRPr="00EC4D43">
              <w:rPr>
                <w:i/>
                <w:iCs/>
                <w:lang w:val="en-GB"/>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715DB2BD" w14:textId="48BF0F05" w:rsidR="007F5784" w:rsidRDefault="007F5784" w:rsidP="001766B2">
      <w:pPr>
        <w:jc w:val="left"/>
      </w:pPr>
    </w:p>
    <w:p w14:paraId="14026A78" w14:textId="34519E14" w:rsidR="007F5784" w:rsidRDefault="007F5784" w:rsidP="0024648D">
      <w:pPr>
        <w:pStyle w:val="Heading2"/>
      </w:pPr>
      <w:bookmarkStart w:id="41" w:name="_Toc229140657"/>
      <w:r>
        <w:t>EXTERNAL RELATIONS</w:t>
      </w:r>
      <w:bookmarkEnd w:id="41"/>
    </w:p>
    <w:p w14:paraId="3BBB3E68" w14:textId="77777777" w:rsidR="007F5784" w:rsidRDefault="007F5784" w:rsidP="001766B2"/>
    <w:p w14:paraId="1A338A4C" w14:textId="2317273C" w:rsidR="00D16830" w:rsidRPr="00D16830" w:rsidRDefault="00D16830" w:rsidP="00D16830">
      <w:pPr>
        <w:widowControl w:val="0"/>
        <w:numPr>
          <w:ilvl w:val="0"/>
          <w:numId w:val="4"/>
        </w:numPr>
        <w:overflowPunct w:val="0"/>
        <w:autoSpaceDE w:val="0"/>
        <w:autoSpaceDN w:val="0"/>
        <w:adjustRightInd w:val="0"/>
        <w:ind w:hanging="567"/>
        <w:textAlignment w:val="baseline"/>
        <w:rPr>
          <w:b/>
          <w:bCs/>
          <w:i/>
          <w:iCs/>
          <w:sz w:val="24"/>
          <w:szCs w:val="24"/>
          <w:lang w:val="hr-HR"/>
        </w:rPr>
      </w:pPr>
      <w:hyperlink r:id="rId67" w:history="1">
        <w:r w:rsidRPr="00D16830">
          <w:rPr>
            <w:b/>
            <w:bCs/>
            <w:i/>
            <w:iCs/>
            <w:color w:val="0000FF"/>
            <w:sz w:val="24"/>
            <w:szCs w:val="24"/>
            <w:u w:val="single"/>
            <w:lang w:val="en-GB"/>
          </w:rPr>
          <w:t xml:space="preserve">Civil Society’s Role in Supporting Reform under the </w:t>
        </w:r>
        <w:r w:rsidR="004B4BD3">
          <w:rPr>
            <w:b/>
            <w:bCs/>
            <w:i/>
            <w:iCs/>
            <w:color w:val="0000FF"/>
            <w:sz w:val="24"/>
            <w:szCs w:val="24"/>
            <w:u w:val="single"/>
            <w:lang w:val="en-GB"/>
          </w:rPr>
          <w:t>g</w:t>
        </w:r>
        <w:r w:rsidRPr="00D16830">
          <w:rPr>
            <w:b/>
            <w:bCs/>
            <w:i/>
            <w:iCs/>
            <w:color w:val="0000FF"/>
            <w:sz w:val="24"/>
            <w:szCs w:val="24"/>
            <w:u w:val="single"/>
            <w:lang w:val="en-GB"/>
          </w:rPr>
          <w:t xml:space="preserve">rowth </w:t>
        </w:r>
        <w:r w:rsidR="001B58AE">
          <w:rPr>
            <w:b/>
            <w:bCs/>
            <w:i/>
            <w:iCs/>
            <w:color w:val="0000FF"/>
            <w:sz w:val="24"/>
            <w:szCs w:val="24"/>
            <w:u w:val="single"/>
            <w:lang w:val="en-GB"/>
          </w:rPr>
          <w:t>p</w:t>
        </w:r>
        <w:r w:rsidRPr="00D16830">
          <w:rPr>
            <w:b/>
            <w:bCs/>
            <w:i/>
            <w:iCs/>
            <w:color w:val="0000FF"/>
            <w:sz w:val="24"/>
            <w:szCs w:val="24"/>
            <w:u w:val="single"/>
            <w:lang w:val="en-GB"/>
          </w:rPr>
          <w:t xml:space="preserve">lans for the Western Balkans and Moldova, as well as in Ukraine’s </w:t>
        </w:r>
        <w:r w:rsidR="004B0221">
          <w:rPr>
            <w:b/>
            <w:bCs/>
            <w:i/>
            <w:iCs/>
            <w:color w:val="0000FF"/>
            <w:sz w:val="24"/>
            <w:szCs w:val="24"/>
            <w:u w:val="single"/>
            <w:lang w:val="en-GB"/>
          </w:rPr>
          <w:t>r</w:t>
        </w:r>
        <w:r w:rsidRPr="00D16830">
          <w:rPr>
            <w:b/>
            <w:bCs/>
            <w:i/>
            <w:iCs/>
            <w:color w:val="0000FF"/>
            <w:sz w:val="24"/>
            <w:szCs w:val="24"/>
            <w:u w:val="single"/>
            <w:lang w:val="en-GB"/>
          </w:rPr>
          <w:t xml:space="preserve">eform </w:t>
        </w:r>
        <w:r w:rsidR="004B0221">
          <w:rPr>
            <w:b/>
            <w:bCs/>
            <w:i/>
            <w:iCs/>
            <w:color w:val="0000FF"/>
            <w:sz w:val="24"/>
            <w:szCs w:val="24"/>
            <w:u w:val="single"/>
            <w:lang w:val="en-GB"/>
          </w:rPr>
          <w:t>p</w:t>
        </w:r>
        <w:r w:rsidRPr="00D16830">
          <w:rPr>
            <w:b/>
            <w:bCs/>
            <w:i/>
            <w:iCs/>
            <w:color w:val="0000FF"/>
            <w:sz w:val="24"/>
            <w:szCs w:val="24"/>
            <w:u w:val="single"/>
            <w:lang w:val="en-GB"/>
          </w:rPr>
          <w:t>ath</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16830" w:rsidRPr="00D16830" w14:paraId="10A26714" w14:textId="77777777" w:rsidTr="0024648D">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sidRPr="00D16830">
              <w:rPr>
                <w:b/>
              </w:rPr>
              <w:t>Rapporteur</w:t>
            </w:r>
          </w:p>
        </w:tc>
        <w:tc>
          <w:tcPr>
            <w:tcW w:w="6804" w:type="dxa"/>
          </w:tcPr>
          <w:p w14:paraId="61302FB0" w14:textId="4A48E304" w:rsidR="00D16830" w:rsidRPr="00D16830" w:rsidRDefault="00D16830" w:rsidP="00D16830">
            <w:pPr>
              <w:tabs>
                <w:tab w:val="center" w:pos="284"/>
              </w:tabs>
              <w:overflowPunct w:val="0"/>
              <w:autoSpaceDE w:val="0"/>
              <w:autoSpaceDN w:val="0"/>
              <w:adjustRightInd w:val="0"/>
              <w:ind w:left="266" w:hanging="266"/>
              <w:textAlignment w:val="baseline"/>
            </w:pPr>
            <w:r w:rsidRPr="00D16830">
              <w:t>Oleg ROIBU (</w:t>
            </w:r>
            <w:r w:rsidRPr="00D16830">
              <w:rPr>
                <w:lang w:val="en-GB"/>
              </w:rPr>
              <w:t xml:space="preserve">Employers' Group </w:t>
            </w:r>
            <w:r w:rsidR="006717BA">
              <w:rPr>
                <w:lang w:val="en-GB"/>
              </w:rPr>
              <w:t>-</w:t>
            </w:r>
            <w:r w:rsidRPr="00D16830">
              <w:rPr>
                <w:lang w:val="en-GB"/>
              </w:rPr>
              <w:t xml:space="preserve"> RO)</w:t>
            </w:r>
          </w:p>
        </w:tc>
      </w:tr>
      <w:tr w:rsidR="00D16830" w:rsidRPr="00D16830" w14:paraId="16FB2AA9" w14:textId="77777777" w:rsidTr="0024648D">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roofErr w:type="spellStart"/>
            <w:r w:rsidRPr="00D16830">
              <w:rPr>
                <w:b/>
                <w:lang w:val="fr-FR"/>
              </w:rPr>
              <w:t>Co-rapporteur</w:t>
            </w:r>
            <w:proofErr w:type="spellEnd"/>
          </w:p>
        </w:tc>
        <w:tc>
          <w:tcPr>
            <w:tcW w:w="6804" w:type="dxa"/>
          </w:tcPr>
          <w:p w14:paraId="15F5EFBF" w14:textId="6939EF76" w:rsidR="00D16830" w:rsidRPr="00D16830" w:rsidRDefault="00D16830" w:rsidP="00D16830">
            <w:pPr>
              <w:tabs>
                <w:tab w:val="center" w:pos="284"/>
              </w:tabs>
              <w:overflowPunct w:val="0"/>
              <w:autoSpaceDE w:val="0"/>
              <w:autoSpaceDN w:val="0"/>
              <w:adjustRightInd w:val="0"/>
              <w:ind w:left="266" w:hanging="266"/>
              <w:textAlignment w:val="baseline"/>
            </w:pPr>
            <w:r w:rsidRPr="00D16830">
              <w:t xml:space="preserve">Andrej ZORKO (Workers' Group </w:t>
            </w:r>
            <w:r w:rsidR="006717BA">
              <w:t>-</w:t>
            </w:r>
            <w:r w:rsidRPr="00D16830">
              <w:t xml:space="preserve"> SI)</w:t>
            </w:r>
          </w:p>
        </w:tc>
      </w:tr>
      <w:tr w:rsidR="00D16830" w:rsidRPr="00D16830" w14:paraId="6E76E965" w14:textId="77777777" w:rsidTr="0024648D">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24648D">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sidRPr="00D16830">
              <w:rPr>
                <w:b/>
              </w:rPr>
              <w:t>References</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rPr>
                <w:lang w:val="en-GB"/>
              </w:rPr>
            </w:pPr>
            <w:r>
              <w:rPr>
                <w:lang w:val="en-GB"/>
              </w:rPr>
              <w:t xml:space="preserve">Exploratory opinion requested by </w:t>
            </w:r>
            <w:r w:rsidR="00512479">
              <w:rPr>
                <w:lang w:val="en-GB"/>
              </w:rPr>
              <w:t>the Cyprus Presidency of the Council of the EU</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rsidRPr="00D16830">
              <w:rPr>
                <w:lang w:val="en-GB"/>
              </w:rPr>
              <w:t>EESC-2026-00143-00-00-AC</w:t>
            </w:r>
          </w:p>
        </w:tc>
      </w:tr>
      <w:tr w:rsidR="00D16830" w:rsidRPr="00D16830" w14:paraId="2A8B5342" w14:textId="77777777" w:rsidTr="0024648D">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329BF5D6" w14:textId="77777777" w:rsidR="00D16830" w:rsidRDefault="00D16830" w:rsidP="00D16830">
            <w:pPr>
              <w:tabs>
                <w:tab w:val="center" w:pos="284"/>
              </w:tabs>
              <w:overflowPunct w:val="0"/>
              <w:autoSpaceDE w:val="0"/>
              <w:autoSpaceDN w:val="0"/>
              <w:adjustRightInd w:val="0"/>
              <w:ind w:left="266" w:hanging="266"/>
              <w:textAlignment w:val="baseline"/>
            </w:pPr>
          </w:p>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r w:rsidRPr="00D16830">
        <w:rPr>
          <w:b/>
          <w:lang w:val="en-GB"/>
        </w:rPr>
        <w:t xml:space="preserve">Key points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lang w:val="en-GB"/>
        </w:rPr>
      </w:pPr>
      <w:r w:rsidRPr="00D16830">
        <w:rPr>
          <w:bCs/>
          <w:iCs/>
          <w:lang w:val="en-GB"/>
        </w:rPr>
        <w:t>The EESC:</w:t>
      </w:r>
    </w:p>
    <w:p w14:paraId="29563EFC"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 xml:space="preserve">stresses that all three facilities for the Western Balkans, Ukraine, and Moldova </w:t>
      </w:r>
      <w:r w:rsidRPr="00D16830">
        <w:rPr>
          <w:b/>
          <w:iCs/>
          <w:lang w:val="en-GB"/>
        </w:rPr>
        <w:t>must actively practice civil society engagement</w:t>
      </w:r>
      <w:r w:rsidRPr="00D16830">
        <w:rPr>
          <w:bCs/>
          <w:iCs/>
          <w:lang w:val="en-GB"/>
        </w:rPr>
        <w:t xml:space="preserve"> as a structural governance condition that underpins the </w:t>
      </w:r>
      <w:r w:rsidRPr="00D16830">
        <w:rPr>
          <w:b/>
          <w:iCs/>
          <w:lang w:val="en-GB"/>
        </w:rPr>
        <w:t xml:space="preserve">sustainability of the enlargement </w:t>
      </w:r>
      <w:proofErr w:type="gramStart"/>
      <w:r w:rsidRPr="00D16830">
        <w:rPr>
          <w:b/>
          <w:iCs/>
          <w:lang w:val="en-GB"/>
        </w:rPr>
        <w:t>process</w:t>
      </w:r>
      <w:r w:rsidRPr="00D16830">
        <w:rPr>
          <w:bCs/>
          <w:iCs/>
          <w:lang w:val="en-GB"/>
        </w:rPr>
        <w:t>;</w:t>
      </w:r>
      <w:proofErr w:type="gramEnd"/>
    </w:p>
    <w:p w14:paraId="6CBB1B4B"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 xml:space="preserve">highlights that civil society ownership of the three facilities-supported reforms should consist of a </w:t>
      </w:r>
      <w:r w:rsidRPr="00D16830">
        <w:rPr>
          <w:b/>
          <w:iCs/>
          <w:lang w:val="en-GB"/>
        </w:rPr>
        <w:t>permanent, active, structured and formally institutionalised role for social partners and civil society organisations</w:t>
      </w:r>
      <w:r w:rsidRPr="00D16830">
        <w:rPr>
          <w:bCs/>
          <w:iCs/>
          <w:lang w:val="en-GB"/>
        </w:rPr>
        <w:t xml:space="preserve">, alongside national </w:t>
      </w:r>
      <w:proofErr w:type="gramStart"/>
      <w:r w:rsidRPr="00D16830">
        <w:rPr>
          <w:bCs/>
          <w:iCs/>
          <w:lang w:val="en-GB"/>
        </w:rPr>
        <w:t>authorities;</w:t>
      </w:r>
      <w:proofErr w:type="gramEnd"/>
    </w:p>
    <w:p w14:paraId="6112EC9A"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 xml:space="preserve">emphasises that </w:t>
      </w:r>
      <w:r w:rsidRPr="00D16830">
        <w:rPr>
          <w:b/>
          <w:iCs/>
          <w:lang w:val="en-GB"/>
        </w:rPr>
        <w:t>funding should actively contribute to preparing countries for EU membership</w:t>
      </w:r>
      <w:r w:rsidRPr="00D16830">
        <w:rPr>
          <w:bCs/>
          <w:iCs/>
          <w:lang w:val="en-GB"/>
        </w:rPr>
        <w:t xml:space="preserve"> in line with the European social and economic model, and not be limited to supporting integration into the Single </w:t>
      </w:r>
      <w:proofErr w:type="gramStart"/>
      <w:r w:rsidRPr="00D16830">
        <w:rPr>
          <w:bCs/>
          <w:iCs/>
          <w:lang w:val="en-GB"/>
        </w:rPr>
        <w:t>Market;</w:t>
      </w:r>
      <w:proofErr w:type="gramEnd"/>
    </w:p>
    <w:p w14:paraId="2E0BC090"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szCs w:val="20"/>
          <w:lang w:val="en-GB"/>
        </w:rPr>
      </w:pPr>
      <w:r w:rsidRPr="00D16830">
        <w:rPr>
          <w:bCs/>
          <w:iCs/>
          <w:lang w:val="en-GB"/>
        </w:rPr>
        <w:t xml:space="preserve">stresses that </w:t>
      </w:r>
      <w:r w:rsidRPr="00D16830">
        <w:rPr>
          <w:b/>
          <w:iCs/>
          <w:lang w:val="en-GB"/>
        </w:rPr>
        <w:t xml:space="preserve">deadlines should not undermine democratic procedures, public debate, mandatory consultation or dialogue </w:t>
      </w:r>
      <w:r w:rsidRPr="00D16830">
        <w:rPr>
          <w:bCs/>
          <w:iCs/>
          <w:lang w:val="en-GB"/>
        </w:rPr>
        <w:t xml:space="preserve">with social partners and civil society organisations, nor be used as justification for emergency legislative shortcuts that exclude social partners and civil society </w:t>
      </w:r>
      <w:proofErr w:type="gramStart"/>
      <w:r w:rsidRPr="00D16830">
        <w:rPr>
          <w:bCs/>
          <w:iCs/>
          <w:lang w:val="en-GB"/>
        </w:rPr>
        <w:t>organisations;</w:t>
      </w:r>
      <w:proofErr w:type="gramEnd"/>
    </w:p>
    <w:p w14:paraId="13E72E61"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points</w:t>
      </w:r>
      <w:r w:rsidRPr="00D16830">
        <w:rPr>
          <w:bCs/>
          <w:iCs/>
          <w:szCs w:val="20"/>
          <w:lang w:val="en-GB"/>
        </w:rPr>
        <w:t xml:space="preserve"> out that the Governments should establish a </w:t>
      </w:r>
      <w:r w:rsidRPr="00D16830">
        <w:rPr>
          <w:b/>
          <w:iCs/>
          <w:szCs w:val="20"/>
          <w:lang w:val="en-GB"/>
        </w:rPr>
        <w:t>structured framework for social dialogue</w:t>
      </w:r>
      <w:r w:rsidRPr="00D16830">
        <w:rPr>
          <w:bCs/>
          <w:iCs/>
          <w:szCs w:val="20"/>
          <w:lang w:val="en-GB"/>
        </w:rPr>
        <w:t xml:space="preserve"> ensuring the involvement of nationally representative, with an appropriate number of members, organisations of employers, workers and civil society organisations, while </w:t>
      </w:r>
      <w:r w:rsidRPr="00D16830">
        <w:rPr>
          <w:b/>
          <w:iCs/>
          <w:szCs w:val="20"/>
          <w:lang w:val="en-GB"/>
        </w:rPr>
        <w:t xml:space="preserve">respecting the specific role and autonomy of social </w:t>
      </w:r>
      <w:proofErr w:type="gramStart"/>
      <w:r w:rsidRPr="00D16830">
        <w:rPr>
          <w:b/>
          <w:iCs/>
          <w:szCs w:val="20"/>
          <w:lang w:val="en-GB"/>
        </w:rPr>
        <w:t>partners</w:t>
      </w:r>
      <w:r w:rsidRPr="00D16830">
        <w:rPr>
          <w:bCs/>
          <w:iCs/>
          <w:szCs w:val="20"/>
          <w:lang w:val="en-GB"/>
        </w:rPr>
        <w:t>;</w:t>
      </w:r>
      <w:proofErr w:type="gramEnd"/>
    </w:p>
    <w:p w14:paraId="26EAFF74"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recommends</w:t>
      </w:r>
      <w:r w:rsidRPr="00D16830">
        <w:rPr>
          <w:bCs/>
          <w:iCs/>
          <w:szCs w:val="20"/>
          <w:lang w:val="en-GB"/>
        </w:rPr>
        <w:t xml:space="preserve"> clear, public European Commission's guidance on assessing the full and partial </w:t>
      </w:r>
      <w:r w:rsidRPr="00D16830">
        <w:rPr>
          <w:b/>
          <w:iCs/>
          <w:szCs w:val="20"/>
          <w:lang w:val="en-GB"/>
        </w:rPr>
        <w:t>attainment of Reform Agendas' implementation indicators</w:t>
      </w:r>
      <w:r w:rsidRPr="00D16830">
        <w:rPr>
          <w:bCs/>
          <w:iCs/>
          <w:szCs w:val="20"/>
          <w:lang w:val="en-GB"/>
        </w:rPr>
        <w:t xml:space="preserve">, including verification standards, and reversals of the conditions previously </w:t>
      </w:r>
      <w:proofErr w:type="gramStart"/>
      <w:r w:rsidRPr="00D16830">
        <w:rPr>
          <w:bCs/>
          <w:iCs/>
          <w:szCs w:val="20"/>
          <w:lang w:val="en-GB"/>
        </w:rPr>
        <w:t>fulfilled;</w:t>
      </w:r>
      <w:proofErr w:type="gramEnd"/>
    </w:p>
    <w:p w14:paraId="2056D22B"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recommends</w:t>
      </w:r>
      <w:r w:rsidRPr="00D16830">
        <w:rPr>
          <w:bCs/>
          <w:iCs/>
          <w:szCs w:val="20"/>
          <w:lang w:val="en-GB"/>
        </w:rPr>
        <w:t xml:space="preserve"> ensuring tailored sustainable and predictable </w:t>
      </w:r>
      <w:r w:rsidRPr="00D16830">
        <w:rPr>
          <w:b/>
          <w:iCs/>
          <w:szCs w:val="20"/>
          <w:lang w:val="en-GB"/>
        </w:rPr>
        <w:t>financial support for civil society organisations and social partners</w:t>
      </w:r>
      <w:r w:rsidRPr="00D16830">
        <w:rPr>
          <w:bCs/>
          <w:iCs/>
          <w:szCs w:val="20"/>
          <w:lang w:val="en-GB"/>
        </w:rPr>
        <w:t xml:space="preserve"> through </w:t>
      </w:r>
      <w:r w:rsidRPr="00D16830">
        <w:rPr>
          <w:b/>
          <w:iCs/>
          <w:szCs w:val="20"/>
          <w:lang w:val="en-GB"/>
        </w:rPr>
        <w:t xml:space="preserve">multi-annual and transparent funding </w:t>
      </w:r>
      <w:proofErr w:type="gramStart"/>
      <w:r w:rsidRPr="00D16830">
        <w:rPr>
          <w:b/>
          <w:iCs/>
          <w:szCs w:val="20"/>
          <w:lang w:val="en-GB"/>
        </w:rPr>
        <w:t>mechanisms</w:t>
      </w:r>
      <w:r w:rsidRPr="00D16830">
        <w:rPr>
          <w:bCs/>
          <w:iCs/>
          <w:szCs w:val="20"/>
          <w:lang w:val="en-GB"/>
        </w:rPr>
        <w:t>;</w:t>
      </w:r>
      <w:proofErr w:type="gramEnd"/>
    </w:p>
    <w:p w14:paraId="3DC98AF8" w14:textId="77777777" w:rsidR="00D16830" w:rsidRPr="00D16830" w:rsidRDefault="00D16830" w:rsidP="0024648D">
      <w:pPr>
        <w:widowControl w:val="0"/>
        <w:numPr>
          <w:ilvl w:val="0"/>
          <w:numId w:val="63"/>
        </w:numPr>
        <w:overflowPunct w:val="0"/>
        <w:autoSpaceDE w:val="0"/>
        <w:autoSpaceDN w:val="0"/>
        <w:adjustRightInd w:val="0"/>
        <w:ind w:left="284" w:hanging="284"/>
        <w:textAlignment w:val="baseline"/>
        <w:rPr>
          <w:bCs/>
          <w:iCs/>
          <w:lang w:val="en-GB"/>
        </w:rPr>
      </w:pPr>
      <w:r w:rsidRPr="00D16830">
        <w:rPr>
          <w:bCs/>
          <w:iCs/>
          <w:lang w:val="en-GB"/>
        </w:rPr>
        <w:t>invites</w:t>
      </w:r>
      <w:r w:rsidRPr="00D16830">
        <w:rPr>
          <w:bCs/>
          <w:iCs/>
          <w:szCs w:val="20"/>
          <w:lang w:val="en-GB"/>
        </w:rPr>
        <w:t xml:space="preserve"> the European Commission to </w:t>
      </w:r>
      <w:r w:rsidRPr="00D16830">
        <w:rPr>
          <w:b/>
          <w:iCs/>
          <w:szCs w:val="20"/>
          <w:lang w:val="en-GB"/>
        </w:rPr>
        <w:t>draw on mid-term assessments</w:t>
      </w:r>
      <w:r w:rsidRPr="00D16830">
        <w:rPr>
          <w:bCs/>
          <w:iCs/>
          <w:szCs w:val="20"/>
          <w:lang w:val="en-GB"/>
        </w:rPr>
        <w:t xml:space="preserve"> of current Facilities’ governance and implementation frameworks and </w:t>
      </w:r>
      <w:r w:rsidRPr="00D16830">
        <w:rPr>
          <w:b/>
          <w:iCs/>
          <w:szCs w:val="20"/>
          <w:lang w:val="en-GB"/>
        </w:rPr>
        <w:t>further improve the implementation of current and future relevant EU performance-based Enlargement instruments</w:t>
      </w:r>
      <w:r w:rsidRPr="00D16830">
        <w:rPr>
          <w:bCs/>
          <w:iCs/>
          <w:szCs w:val="20"/>
          <w:lang w:val="en-GB"/>
        </w:rP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sidRPr="00D16830">
              <w:rPr>
                <w:b/>
                <w:i/>
              </w:rPr>
              <w:t>Contact</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sidRPr="00D16830">
              <w:rPr>
                <w:i/>
              </w:rPr>
              <w:t>David Hoić</w:t>
            </w:r>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sidRPr="00D16830">
              <w:rPr>
                <w:i/>
              </w:rPr>
              <w:t>Tel.</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sidRPr="00D16830">
              <w:rPr>
                <w:i/>
                <w:lang w:val="en-GB"/>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sidRPr="00D16830">
              <w:rPr>
                <w:i/>
              </w:rPr>
              <w:t>Email</w:t>
            </w:r>
          </w:p>
        </w:tc>
        <w:tc>
          <w:tcPr>
            <w:tcW w:w="5670" w:type="dxa"/>
          </w:tcPr>
          <w:p w14:paraId="104A20AD" w14:textId="77777777" w:rsidR="00D16830" w:rsidRPr="00D16830" w:rsidRDefault="00D16830" w:rsidP="00D16830">
            <w:pPr>
              <w:overflowPunct w:val="0"/>
              <w:autoSpaceDE w:val="0"/>
              <w:autoSpaceDN w:val="0"/>
              <w:adjustRightInd w:val="0"/>
              <w:spacing w:line="240" w:lineRule="auto"/>
              <w:textAlignment w:val="baseline"/>
              <w:rPr>
                <w:i/>
              </w:rPr>
            </w:pPr>
            <w:hyperlink r:id="rId68" w:history="1">
              <w:r w:rsidRPr="00D16830">
                <w:rPr>
                  <w:i/>
                  <w:color w:val="0000FF"/>
                  <w:u w:val="single"/>
                </w:rPr>
                <w:t>David.Hoic@eesc.europa.eu</w:t>
              </w:r>
            </w:hyperlink>
            <w:r w:rsidRPr="00D16830">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00FAE656" w14:textId="6EA467FE" w:rsidR="00A3691D" w:rsidRDefault="00A3691D">
      <w:pPr>
        <w:spacing w:after="160" w:line="259" w:lineRule="auto"/>
        <w:jc w:val="left"/>
      </w:pPr>
    </w:p>
    <w:p w14:paraId="41D04A86" w14:textId="5F47EBDE" w:rsidR="00297F0C" w:rsidRPr="00297F0C" w:rsidRDefault="00297F0C" w:rsidP="00297F0C">
      <w:pPr>
        <w:widowControl w:val="0"/>
        <w:numPr>
          <w:ilvl w:val="0"/>
          <w:numId w:val="4"/>
        </w:numPr>
        <w:overflowPunct w:val="0"/>
        <w:autoSpaceDE w:val="0"/>
        <w:autoSpaceDN w:val="0"/>
        <w:adjustRightInd w:val="0"/>
        <w:ind w:hanging="567"/>
        <w:jc w:val="left"/>
        <w:textAlignment w:val="baseline"/>
        <w:rPr>
          <w:sz w:val="20"/>
          <w:szCs w:val="20"/>
          <w:lang w:val="en-GB"/>
        </w:rPr>
      </w:pPr>
      <w:hyperlink r:id="rId69" w:history="1">
        <w:r w:rsidRPr="00297F0C">
          <w:rPr>
            <w:b/>
            <w:bCs/>
            <w:i/>
            <w:iCs/>
            <w:color w:val="0000FF"/>
            <w:sz w:val="28"/>
            <w:szCs w:val="28"/>
            <w:u w:val="single"/>
            <w:lang w:val="en-GB"/>
          </w:rPr>
          <w:t xml:space="preserve">The </w:t>
        </w:r>
        <w:r w:rsidR="008B4117">
          <w:rPr>
            <w:b/>
            <w:bCs/>
            <w:i/>
            <w:iCs/>
            <w:color w:val="0000FF"/>
            <w:sz w:val="28"/>
            <w:szCs w:val="28"/>
            <w:u w:val="single"/>
            <w:lang w:val="en-GB"/>
          </w:rPr>
          <w:t>r</w:t>
        </w:r>
        <w:r w:rsidRPr="00297F0C">
          <w:rPr>
            <w:b/>
            <w:bCs/>
            <w:i/>
            <w:iCs/>
            <w:color w:val="0000FF"/>
            <w:sz w:val="28"/>
            <w:szCs w:val="28"/>
            <w:u w:val="single"/>
            <w:lang w:val="en-GB"/>
          </w:rPr>
          <w:t xml:space="preserve">ole of the </w:t>
        </w:r>
        <w:r w:rsidR="00F76EE7">
          <w:rPr>
            <w:b/>
            <w:bCs/>
            <w:i/>
            <w:iCs/>
            <w:color w:val="0000FF"/>
            <w:sz w:val="28"/>
            <w:szCs w:val="28"/>
            <w:u w:val="single"/>
            <w:lang w:val="en-GB"/>
          </w:rPr>
          <w:t>p</w:t>
        </w:r>
        <w:r w:rsidRPr="00297F0C">
          <w:rPr>
            <w:b/>
            <w:bCs/>
            <w:i/>
            <w:iCs/>
            <w:color w:val="0000FF"/>
            <w:sz w:val="28"/>
            <w:szCs w:val="28"/>
            <w:u w:val="single"/>
            <w:lang w:val="en-GB"/>
          </w:rPr>
          <w:t xml:space="preserve">rivate </w:t>
        </w:r>
        <w:r w:rsidR="00F76EE7">
          <w:rPr>
            <w:b/>
            <w:bCs/>
            <w:i/>
            <w:iCs/>
            <w:color w:val="0000FF"/>
            <w:sz w:val="28"/>
            <w:szCs w:val="28"/>
            <w:u w:val="single"/>
            <w:lang w:val="en-GB"/>
          </w:rPr>
          <w:t>s</w:t>
        </w:r>
        <w:r w:rsidRPr="00297F0C">
          <w:rPr>
            <w:b/>
            <w:bCs/>
            <w:i/>
            <w:iCs/>
            <w:color w:val="0000FF"/>
            <w:sz w:val="28"/>
            <w:szCs w:val="28"/>
            <w:u w:val="single"/>
            <w:lang w:val="en-GB"/>
          </w:rPr>
          <w:t xml:space="preserve">ector and </w:t>
        </w:r>
        <w:r w:rsidR="00F76EE7">
          <w:rPr>
            <w:b/>
            <w:bCs/>
            <w:i/>
            <w:iCs/>
            <w:color w:val="0000FF"/>
            <w:sz w:val="28"/>
            <w:szCs w:val="28"/>
            <w:u w:val="single"/>
            <w:lang w:val="en-GB"/>
          </w:rPr>
          <w:t>c</w:t>
        </w:r>
        <w:r w:rsidRPr="00297F0C">
          <w:rPr>
            <w:b/>
            <w:bCs/>
            <w:i/>
            <w:iCs/>
            <w:color w:val="0000FF"/>
            <w:sz w:val="28"/>
            <w:szCs w:val="28"/>
            <w:u w:val="single"/>
            <w:lang w:val="en-GB"/>
          </w:rPr>
          <w:t xml:space="preserve">ivil </w:t>
        </w:r>
        <w:r w:rsidR="00F76EE7">
          <w:rPr>
            <w:b/>
            <w:bCs/>
            <w:i/>
            <w:iCs/>
            <w:color w:val="0000FF"/>
            <w:sz w:val="28"/>
            <w:szCs w:val="28"/>
            <w:u w:val="single"/>
            <w:lang w:val="en-GB"/>
          </w:rPr>
          <w:t>s</w:t>
        </w:r>
        <w:r w:rsidRPr="00297F0C">
          <w:rPr>
            <w:b/>
            <w:bCs/>
            <w:i/>
            <w:iCs/>
            <w:color w:val="0000FF"/>
            <w:sz w:val="28"/>
            <w:szCs w:val="28"/>
            <w:u w:val="single"/>
            <w:lang w:val="en-GB"/>
          </w:rPr>
          <w:t xml:space="preserve">ociety in </w:t>
        </w:r>
        <w:r w:rsidR="00F76EE7">
          <w:rPr>
            <w:b/>
            <w:bCs/>
            <w:i/>
            <w:iCs/>
            <w:color w:val="0000FF"/>
            <w:sz w:val="28"/>
            <w:szCs w:val="28"/>
            <w:u w:val="single"/>
            <w:lang w:val="en-GB"/>
          </w:rPr>
          <w:t>s</w:t>
        </w:r>
        <w:r w:rsidRPr="00297F0C">
          <w:rPr>
            <w:b/>
            <w:bCs/>
            <w:i/>
            <w:iCs/>
            <w:color w:val="0000FF"/>
            <w:sz w:val="28"/>
            <w:szCs w:val="28"/>
            <w:u w:val="single"/>
            <w:lang w:val="en-GB"/>
          </w:rPr>
          <w:t xml:space="preserve">trengthening </w:t>
        </w:r>
        <w:r w:rsidR="00F76EE7">
          <w:rPr>
            <w:b/>
            <w:bCs/>
            <w:i/>
            <w:iCs/>
            <w:color w:val="0000FF"/>
            <w:sz w:val="28"/>
            <w:szCs w:val="28"/>
            <w:u w:val="single"/>
            <w:lang w:val="en-GB"/>
          </w:rPr>
          <w:t>e</w:t>
        </w:r>
        <w:r w:rsidRPr="00297F0C">
          <w:rPr>
            <w:b/>
            <w:bCs/>
            <w:i/>
            <w:iCs/>
            <w:color w:val="0000FF"/>
            <w:sz w:val="28"/>
            <w:szCs w:val="28"/>
            <w:u w:val="single"/>
            <w:lang w:val="en-GB"/>
          </w:rPr>
          <w:t xml:space="preserve">conomic </w:t>
        </w:r>
        <w:r w:rsidR="00F76EE7">
          <w:rPr>
            <w:b/>
            <w:bCs/>
            <w:i/>
            <w:iCs/>
            <w:color w:val="0000FF"/>
            <w:sz w:val="28"/>
            <w:szCs w:val="28"/>
            <w:u w:val="single"/>
            <w:lang w:val="en-GB"/>
          </w:rPr>
          <w:t>c</w:t>
        </w:r>
        <w:r w:rsidRPr="00297F0C">
          <w:rPr>
            <w:b/>
            <w:bCs/>
            <w:i/>
            <w:iCs/>
            <w:color w:val="0000FF"/>
            <w:sz w:val="28"/>
            <w:szCs w:val="28"/>
            <w:u w:val="single"/>
            <w:lang w:val="en-GB"/>
          </w:rPr>
          <w:t>ooperation within the Pact for the Mediterranean</w:t>
        </w:r>
      </w:hyperlink>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sidRPr="00297F0C">
              <w:rPr>
                <w:b/>
              </w:rPr>
              <w:t>Rapporteur</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rsidRPr="00297F0C">
              <w:t>Thomas WAGNSONNER (Workers’ Group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proofErr w:type="spellStart"/>
            <w:r w:rsidRPr="00297F0C">
              <w:rPr>
                <w:b/>
                <w:lang w:val="fr-FR"/>
              </w:rPr>
              <w:t>Co-rapporteur</w:t>
            </w:r>
            <w:proofErr w:type="spellEnd"/>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rsidRPr="00297F0C">
              <w:t xml:space="preserve">Lidija PAVIĆ-ROGOŠIĆ (Civil Society </w:t>
            </w:r>
            <w:proofErr w:type="spellStart"/>
            <w:r w:rsidRPr="00297F0C">
              <w:t>Organisations’</w:t>
            </w:r>
            <w:proofErr w:type="spellEnd"/>
            <w:r w:rsidRPr="00297F0C">
              <w:t xml:space="preserve"> Group - HR)</w:t>
            </w:r>
          </w:p>
          <w:p w14:paraId="112D4104" w14:textId="77777777" w:rsidR="00F76EE7" w:rsidRDefault="00F76EE7" w:rsidP="00297F0C">
            <w:pPr>
              <w:tabs>
                <w:tab w:val="center" w:pos="284"/>
              </w:tabs>
              <w:overflowPunct w:val="0"/>
              <w:autoSpaceDE w:val="0"/>
              <w:autoSpaceDN w:val="0"/>
              <w:adjustRightInd w:val="0"/>
              <w:ind w:left="266" w:right="-3091" w:hanging="266"/>
              <w:textAlignment w:val="baseline"/>
            </w:pP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sidRPr="00297F0C">
              <w:rPr>
                <w:b/>
              </w:rPr>
              <w:t>References</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rPr>
                <w:lang w:val="en-GB"/>
              </w:rPr>
            </w:pPr>
            <w:r>
              <w:rPr>
                <w:lang w:val="en-GB"/>
              </w:rPr>
              <w:t>Explorato</w:t>
            </w:r>
            <w:r w:rsidR="00D53FBF">
              <w:rPr>
                <w:lang w:val="en-GB"/>
              </w:rPr>
              <w:t>ry opinion requested by the Cyprus Presidency of the Council of the EU</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rsidRPr="00297F0C">
              <w:rPr>
                <w:lang w:val="en-GB"/>
              </w:rP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r w:rsidRPr="00297F0C">
        <w:rPr>
          <w:b/>
          <w:lang w:val="en-GB"/>
        </w:rPr>
        <w:t>Key points</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CC2C7F">
      <w:pPr>
        <w:overflowPunct w:val="0"/>
        <w:autoSpaceDE w:val="0"/>
        <w:autoSpaceDN w:val="0"/>
        <w:adjustRightInd w:val="0"/>
        <w:textAlignment w:val="baseline"/>
        <w:rPr>
          <w:bCs/>
          <w:iCs/>
          <w:lang w:val="en-GB"/>
        </w:rPr>
      </w:pPr>
      <w:r w:rsidRPr="00297F0C">
        <w:rPr>
          <w:bCs/>
          <w:iCs/>
          <w:lang w:val="en-GB"/>
        </w:rPr>
        <w:t>The EESC:</w:t>
      </w:r>
    </w:p>
    <w:p w14:paraId="26DA2862"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believes the Pact for the Mediterranean can succeed only through a genuine, equal partnership between the EU, its Member States, and southern Mediterranean partners, with visible benefits for ordinary people and </w:t>
      </w:r>
      <w:proofErr w:type="gramStart"/>
      <w:r w:rsidRPr="00297F0C">
        <w:rPr>
          <w:lang w:val="en-GB" w:eastAsia="fr-BE"/>
        </w:rPr>
        <w:t>communities;</w:t>
      </w:r>
      <w:proofErr w:type="gramEnd"/>
    </w:p>
    <w:p w14:paraId="1A4BF8CB"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says organised civil society must be involved in a permanent and structured way, not just through occasional consultations, including trade unions, employers’ groups, and civil society </w:t>
      </w:r>
      <w:proofErr w:type="gramStart"/>
      <w:r w:rsidRPr="00297F0C">
        <w:rPr>
          <w:lang w:val="en-GB" w:eastAsia="fr-BE"/>
        </w:rPr>
        <w:t>organisations;</w:t>
      </w:r>
      <w:proofErr w:type="gramEnd"/>
    </w:p>
    <w:p w14:paraId="6F943845"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believes that </w:t>
      </w:r>
      <w:proofErr w:type="gramStart"/>
      <w:r w:rsidRPr="00297F0C">
        <w:rPr>
          <w:lang w:val="en-GB" w:eastAsia="fr-BE"/>
        </w:rPr>
        <w:t>in order to</w:t>
      </w:r>
      <w:proofErr w:type="gramEnd"/>
      <w:r w:rsidRPr="00297F0C">
        <w:rPr>
          <w:lang w:val="en-GB" w:eastAsia="fr-BE"/>
        </w:rPr>
        <w:t xml:space="preserve"> strengthen the private sector, especially MSMEs, the region needs reforms that improve access to finance, simplify procedures, and support digitalisation and connectivity so firms can join regional value </w:t>
      </w:r>
      <w:proofErr w:type="gramStart"/>
      <w:r w:rsidRPr="00297F0C">
        <w:rPr>
          <w:lang w:val="en-GB" w:eastAsia="fr-BE"/>
        </w:rPr>
        <w:t>chains;</w:t>
      </w:r>
      <w:proofErr w:type="gramEnd"/>
    </w:p>
    <w:p w14:paraId="243F9592"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is of the view that existing EU trade agreements with many southern Mediterranean countries are outdated and should be modernised, with civil society helping monitor labour, environmental, and human-rights </w:t>
      </w:r>
      <w:proofErr w:type="gramStart"/>
      <w:r w:rsidRPr="00297F0C">
        <w:rPr>
          <w:lang w:val="en-GB" w:eastAsia="fr-BE"/>
        </w:rPr>
        <w:t>commitments;</w:t>
      </w:r>
      <w:proofErr w:type="gramEnd"/>
    </w:p>
    <w:p w14:paraId="3659C819"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believes trade and investment should be tied to sustainable development and decent work, including fair wages, safe working conditions, enforceable standards, and investment in sustainable regional </w:t>
      </w:r>
      <w:proofErr w:type="gramStart"/>
      <w:r w:rsidRPr="00297F0C">
        <w:rPr>
          <w:lang w:val="en-GB" w:eastAsia="fr-BE"/>
        </w:rPr>
        <w:t>projects;</w:t>
      </w:r>
      <w:proofErr w:type="gramEnd"/>
    </w:p>
    <w:p w14:paraId="2D5E3A8E"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stresses that the transition from the informal to the formal economy should follow ILO Recommendation No 204, meaning it should be gradual, inclusive, and economically realistic rather than </w:t>
      </w:r>
      <w:proofErr w:type="gramStart"/>
      <w:r w:rsidRPr="00297F0C">
        <w:rPr>
          <w:lang w:val="en-GB" w:eastAsia="fr-BE"/>
        </w:rPr>
        <w:t>punitive;</w:t>
      </w:r>
      <w:proofErr w:type="gramEnd"/>
    </w:p>
    <w:p w14:paraId="12F91A67"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 xml:space="preserve">believes the Pact’s Action Plan should guarantee social protection, labour rights, and compliance with ILO core conventions, while ensuring that Global Gateway and other major projects involve social partners and civil society from the </w:t>
      </w:r>
      <w:proofErr w:type="gramStart"/>
      <w:r w:rsidRPr="00297F0C">
        <w:rPr>
          <w:lang w:val="en-GB" w:eastAsia="fr-BE"/>
        </w:rPr>
        <w:t>start;</w:t>
      </w:r>
      <w:proofErr w:type="gramEnd"/>
    </w:p>
    <w:p w14:paraId="79769976" w14:textId="77777777" w:rsidR="00297F0C" w:rsidRPr="00297F0C" w:rsidRDefault="00297F0C" w:rsidP="0024648D">
      <w:pPr>
        <w:numPr>
          <w:ilvl w:val="0"/>
          <w:numId w:val="64"/>
        </w:numPr>
        <w:overflowPunct w:val="0"/>
        <w:autoSpaceDE w:val="0"/>
        <w:autoSpaceDN w:val="0"/>
        <w:adjustRightInd w:val="0"/>
        <w:spacing w:line="276" w:lineRule="auto"/>
        <w:ind w:left="284" w:hanging="284"/>
        <w:textAlignment w:val="baseline"/>
        <w:rPr>
          <w:b/>
          <w:bCs/>
          <w:lang w:val="en-GB" w:eastAsia="fr-BE"/>
        </w:rPr>
      </w:pPr>
      <w:r w:rsidRPr="00297F0C">
        <w:rPr>
          <w:lang w:val="en-GB" w:eastAsia="fr-BE"/>
        </w:rPr>
        <w:t xml:space="preserve">calls for special attention to be given to social economy actors, women, and young people, through funding, capacity-building, legal support, entrepreneurship programmes, and participation in governance, while labour mobility must respect human rights and avoid brain </w:t>
      </w:r>
      <w:proofErr w:type="gramStart"/>
      <w:r w:rsidRPr="00297F0C">
        <w:rPr>
          <w:lang w:val="en-GB" w:eastAsia="fr-BE"/>
        </w:rPr>
        <w:t>drain;</w:t>
      </w:r>
      <w:proofErr w:type="gramEnd"/>
    </w:p>
    <w:p w14:paraId="55EA3EF9" w14:textId="6A17B226" w:rsidR="00297F0C" w:rsidRDefault="00297F0C" w:rsidP="00CC2C7F">
      <w:pPr>
        <w:numPr>
          <w:ilvl w:val="0"/>
          <w:numId w:val="64"/>
        </w:numPr>
        <w:overflowPunct w:val="0"/>
        <w:autoSpaceDE w:val="0"/>
        <w:autoSpaceDN w:val="0"/>
        <w:adjustRightInd w:val="0"/>
        <w:spacing w:line="276" w:lineRule="auto"/>
        <w:ind w:left="284" w:hanging="284"/>
        <w:textAlignment w:val="baseline"/>
        <w:rPr>
          <w:lang w:val="en-GB" w:eastAsia="fr-BE"/>
        </w:rPr>
      </w:pPr>
      <w:r w:rsidRPr="00297F0C">
        <w:rPr>
          <w:lang w:val="en-GB" w:eastAsia="fr-BE"/>
        </w:rPr>
        <w:t>believes coordination among EU-funded and international financial institutions should be strengthened to improve impact, and creating a regional development bank or similar financial mechanism could help fund infrastructure, MSMEs, start-ups, and social economy projects with transparent civil society involvement.</w:t>
      </w:r>
    </w:p>
    <w:p w14:paraId="2A1A39EB" w14:textId="77777777" w:rsidR="00A067F3" w:rsidRPr="00297F0C" w:rsidRDefault="00A067F3" w:rsidP="00CC2C7F">
      <w:pPr>
        <w:overflowPunct w:val="0"/>
        <w:autoSpaceDE w:val="0"/>
        <w:autoSpaceDN w:val="0"/>
        <w:adjustRightInd w:val="0"/>
        <w:spacing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297F0C" w:rsidRPr="00297F0C" w14:paraId="12ED4367" w14:textId="77777777" w:rsidTr="002E7EFB">
        <w:tc>
          <w:tcPr>
            <w:tcW w:w="1077" w:type="pct"/>
          </w:tcPr>
          <w:p w14:paraId="17C20851" w14:textId="653087AD" w:rsidR="00297F0C" w:rsidRPr="00297F0C" w:rsidRDefault="00297F0C">
            <w:pPr>
              <w:overflowPunct w:val="0"/>
              <w:autoSpaceDE w:val="0"/>
              <w:autoSpaceDN w:val="0"/>
              <w:adjustRightInd w:val="0"/>
              <w:textAlignment w:val="baseline"/>
              <w:rPr>
                <w:i/>
              </w:rPr>
            </w:pPr>
            <w:r w:rsidRPr="00297F0C">
              <w:rPr>
                <w:lang w:val="en-GB"/>
              </w:rPr>
              <w:br w:type="page"/>
            </w:r>
            <w:r w:rsidRPr="00297F0C">
              <w:rPr>
                <w:b/>
                <w:i/>
              </w:rPr>
              <w:t>Contact</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sidRPr="00297F0C">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sidRPr="00297F0C">
              <w:rPr>
                <w:i/>
              </w:rPr>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sidRPr="00297F0C">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sidRPr="00297F0C">
              <w:rPr>
                <w:i/>
              </w:rPr>
              <w:t>Email</w:t>
            </w:r>
          </w:p>
        </w:tc>
        <w:tc>
          <w:tcPr>
            <w:tcW w:w="3923" w:type="pct"/>
          </w:tcPr>
          <w:p w14:paraId="6FC2A286" w14:textId="77777777" w:rsidR="00297F0C" w:rsidRPr="00297F0C" w:rsidRDefault="00297F0C" w:rsidP="00297F0C">
            <w:pPr>
              <w:overflowPunct w:val="0"/>
              <w:autoSpaceDE w:val="0"/>
              <w:autoSpaceDN w:val="0"/>
              <w:adjustRightInd w:val="0"/>
              <w:textAlignment w:val="baseline"/>
              <w:rPr>
                <w:i/>
              </w:rPr>
            </w:pPr>
            <w:hyperlink r:id="rId70" w:history="1">
              <w:r w:rsidRPr="00297F0C">
                <w:rPr>
                  <w:i/>
                  <w:color w:val="0000FF"/>
                  <w:u w:val="single"/>
                </w:rPr>
                <w:t>Andreas.Berger@eesc.europa.eu</w:t>
              </w:r>
            </w:hyperlink>
            <w:r w:rsidRPr="00297F0C">
              <w:rPr>
                <w:i/>
              </w:rPr>
              <w:t xml:space="preserve"> </w:t>
            </w:r>
          </w:p>
        </w:tc>
      </w:tr>
    </w:tbl>
    <w:p w14:paraId="542BD5E6" w14:textId="77777777" w:rsidR="00A067F3" w:rsidRDefault="00A067F3">
      <w:pPr>
        <w:spacing w:after="160" w:line="259" w:lineRule="auto"/>
        <w:jc w:val="left"/>
      </w:pPr>
      <w:r>
        <w:br w:type="page"/>
      </w:r>
    </w:p>
    <w:p w14:paraId="1BF4DE49" w14:textId="77777777" w:rsidR="007F5784" w:rsidRDefault="007F5784" w:rsidP="0066696D">
      <w:pPr>
        <w:pStyle w:val="ListParagraph"/>
        <w:ind w:left="567" w:hanging="567"/>
        <w:jc w:val="left"/>
      </w:pPr>
    </w:p>
    <w:p w14:paraId="528C73AA" w14:textId="46DE726B" w:rsidR="006D2C8A" w:rsidRPr="006D2C8A" w:rsidRDefault="006D2C8A" w:rsidP="0024648D">
      <w:pPr>
        <w:pStyle w:val="Heading2"/>
      </w:pPr>
      <w:bookmarkStart w:id="42" w:name="_Toc229140651"/>
      <w:bookmarkStart w:id="43" w:name="_Toc229140658"/>
      <w:bookmarkStart w:id="44" w:name="_Toc229140659"/>
      <w:bookmarkEnd w:id="42"/>
      <w:bookmarkEnd w:id="43"/>
      <w:r w:rsidRPr="006D2C8A">
        <w:rPr>
          <w:lang w:val="en-GB"/>
        </w:rPr>
        <w:t>CONSULTATIVE COMMISSION ON INDUSTRIAL CHANGE</w:t>
      </w:r>
      <w:bookmarkEnd w:id="44"/>
    </w:p>
    <w:p w14:paraId="713E272F" w14:textId="77777777" w:rsidR="006D2C8A" w:rsidRDefault="006D2C8A" w:rsidP="001766B2"/>
    <w:p w14:paraId="1B9F790A" w14:textId="247BEE9C" w:rsidR="00814A54" w:rsidRPr="00814A54" w:rsidRDefault="00814A54" w:rsidP="00814A54">
      <w:pPr>
        <w:widowControl w:val="0"/>
        <w:numPr>
          <w:ilvl w:val="0"/>
          <w:numId w:val="19"/>
        </w:numPr>
        <w:spacing w:after="200" w:line="276" w:lineRule="auto"/>
        <w:ind w:left="567" w:hanging="567"/>
        <w:contextualSpacing/>
        <w:jc w:val="left"/>
        <w:rPr>
          <w:sz w:val="28"/>
          <w:szCs w:val="28"/>
          <w:lang w:eastAsia="zh-CN"/>
        </w:rPr>
      </w:pPr>
      <w:hyperlink r:id="rId71" w:history="1">
        <w:proofErr w:type="spellStart"/>
        <w:r w:rsidRPr="00814A54">
          <w:rPr>
            <w:b/>
            <w:bCs/>
            <w:i/>
            <w:iCs/>
            <w:color w:val="0000FF"/>
            <w:sz w:val="28"/>
            <w:szCs w:val="28"/>
            <w:u w:val="single"/>
            <w:lang w:eastAsia="zh-CN"/>
          </w:rPr>
          <w:t>Programme</w:t>
        </w:r>
        <w:proofErr w:type="spellEnd"/>
        <w:r w:rsidRPr="00814A54">
          <w:rPr>
            <w:b/>
            <w:bCs/>
            <w:i/>
            <w:iCs/>
            <w:color w:val="0000FF"/>
            <w:sz w:val="28"/>
            <w:szCs w:val="28"/>
            <w:u w:val="single"/>
            <w:lang w:eastAsia="zh-CN"/>
          </w:rPr>
          <w:t xml:space="preserve"> for </w:t>
        </w:r>
        <w:r w:rsidR="0078198B">
          <w:rPr>
            <w:b/>
            <w:bCs/>
            <w:i/>
            <w:iCs/>
            <w:color w:val="0000FF"/>
            <w:sz w:val="28"/>
            <w:szCs w:val="28"/>
            <w:u w:val="single"/>
            <w:lang w:eastAsia="zh-CN"/>
          </w:rPr>
          <w:t>a</w:t>
        </w:r>
        <w:r w:rsidRPr="00814A54">
          <w:rPr>
            <w:b/>
            <w:bCs/>
            <w:i/>
            <w:iCs/>
            <w:color w:val="0000FF"/>
            <w:sz w:val="28"/>
            <w:szCs w:val="28"/>
            <w:u w:val="single"/>
            <w:lang w:eastAsia="zh-CN"/>
          </w:rPr>
          <w:t xml:space="preserve">gile and </w:t>
        </w:r>
        <w:r w:rsidR="0078198B">
          <w:rPr>
            <w:b/>
            <w:bCs/>
            <w:i/>
            <w:iCs/>
            <w:color w:val="0000FF"/>
            <w:sz w:val="28"/>
            <w:szCs w:val="28"/>
            <w:u w:val="single"/>
            <w:lang w:eastAsia="zh-CN"/>
          </w:rPr>
          <w:t>r</w:t>
        </w:r>
        <w:r w:rsidRPr="00814A54">
          <w:rPr>
            <w:b/>
            <w:bCs/>
            <w:i/>
            <w:iCs/>
            <w:color w:val="0000FF"/>
            <w:sz w:val="28"/>
            <w:szCs w:val="28"/>
            <w:u w:val="single"/>
            <w:lang w:eastAsia="zh-CN"/>
          </w:rPr>
          <w:t xml:space="preserve">apid </w:t>
        </w:r>
        <w:proofErr w:type="spellStart"/>
        <w:r w:rsidR="0078198B">
          <w:rPr>
            <w:b/>
            <w:bCs/>
            <w:i/>
            <w:iCs/>
            <w:color w:val="0000FF"/>
            <w:sz w:val="28"/>
            <w:szCs w:val="28"/>
            <w:u w:val="single"/>
            <w:lang w:eastAsia="zh-CN"/>
          </w:rPr>
          <w:t>d</w:t>
        </w:r>
        <w:r w:rsidRPr="00814A54">
          <w:rPr>
            <w:b/>
            <w:bCs/>
            <w:i/>
            <w:iCs/>
            <w:color w:val="0000FF"/>
            <w:sz w:val="28"/>
            <w:szCs w:val="28"/>
            <w:u w:val="single"/>
            <w:lang w:eastAsia="zh-CN"/>
          </w:rPr>
          <w:t>efence</w:t>
        </w:r>
        <w:proofErr w:type="spellEnd"/>
        <w:r w:rsidRPr="00814A54">
          <w:rPr>
            <w:b/>
            <w:bCs/>
            <w:i/>
            <w:iCs/>
            <w:color w:val="0000FF"/>
            <w:sz w:val="28"/>
            <w:szCs w:val="28"/>
            <w:u w:val="single"/>
            <w:lang w:eastAsia="zh-CN"/>
          </w:rPr>
          <w:t xml:space="preserve"> Innovatio</w:t>
        </w:r>
        <w:r w:rsidR="007173CF">
          <w:rPr>
            <w:b/>
            <w:bCs/>
            <w:i/>
            <w:iCs/>
            <w:color w:val="0000FF"/>
            <w:sz w:val="28"/>
            <w:szCs w:val="28"/>
            <w:u w:val="single"/>
            <w:lang w:eastAsia="zh-CN"/>
          </w:rPr>
          <w:t>n - AGILE</w:t>
        </w:r>
      </w:hyperlink>
      <w:r w:rsidR="007173CF">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FF33EA9" w14:textId="77777777" w:rsidR="00814A54" w:rsidRDefault="00814A54" w:rsidP="00814A54">
            <w:pPr>
              <w:tabs>
                <w:tab w:val="center" w:pos="284"/>
              </w:tabs>
              <w:rPr>
                <w:b/>
              </w:rPr>
            </w:pPr>
          </w:p>
          <w:p w14:paraId="44EB374B" w14:textId="77777777" w:rsidR="007173CF" w:rsidRPr="00814A54" w:rsidRDefault="007173CF" w:rsidP="00814A54">
            <w:pPr>
              <w:tabs>
                <w:tab w:val="center" w:pos="284"/>
              </w:tabs>
              <w:rPr>
                <w:b/>
              </w:rPr>
            </w:pPr>
          </w:p>
          <w:p w14:paraId="41B7C4EB" w14:textId="77777777" w:rsidR="00814A54" w:rsidRPr="00814A54" w:rsidRDefault="00814A54" w:rsidP="00814A54">
            <w:pPr>
              <w:tabs>
                <w:tab w:val="center" w:pos="284"/>
              </w:tabs>
              <w:ind w:left="266" w:hanging="266"/>
              <w:rPr>
                <w:b/>
              </w:rPr>
            </w:pPr>
            <w:r w:rsidRPr="00814A54">
              <w:rPr>
                <w:b/>
              </w:rPr>
              <w:t>Rapporteur</w:t>
            </w:r>
          </w:p>
        </w:tc>
        <w:tc>
          <w:tcPr>
            <w:tcW w:w="5670" w:type="dxa"/>
          </w:tcPr>
          <w:p w14:paraId="420A37F3" w14:textId="77777777" w:rsidR="00814A54" w:rsidRPr="00814A54" w:rsidRDefault="00814A54" w:rsidP="00814A54">
            <w:pPr>
              <w:tabs>
                <w:tab w:val="center" w:pos="284"/>
              </w:tabs>
              <w:ind w:left="266" w:hanging="266"/>
            </w:pPr>
          </w:p>
          <w:p w14:paraId="6883D11C" w14:textId="77777777" w:rsidR="007173CF" w:rsidRDefault="007173CF" w:rsidP="00814A54">
            <w:pPr>
              <w:tabs>
                <w:tab w:val="center" w:pos="284"/>
              </w:tabs>
              <w:ind w:left="266" w:hanging="266"/>
            </w:pPr>
          </w:p>
          <w:p w14:paraId="1D11312F" w14:textId="073C09C2" w:rsidR="00814A54" w:rsidRPr="00814A54" w:rsidRDefault="00814A54" w:rsidP="00814A54">
            <w:pPr>
              <w:tabs>
                <w:tab w:val="center" w:pos="284"/>
              </w:tabs>
              <w:ind w:left="266" w:hanging="266"/>
            </w:pPr>
            <w:r w:rsidRPr="00814A54">
              <w:t>Monika SITÁROVÁ (Workers</w:t>
            </w:r>
            <w:r w:rsidR="007173CF">
              <w:t>'</w:t>
            </w:r>
            <w:r w:rsidRPr="00814A54">
              <w:t xml:space="preserve"> Group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proofErr w:type="spellStart"/>
            <w:r w:rsidRPr="00814A54">
              <w:rPr>
                <w:b/>
                <w:lang w:val="fr-FR"/>
              </w:rPr>
              <w:t>Co-rapporteur</w:t>
            </w:r>
            <w:proofErr w:type="spellEnd"/>
          </w:p>
        </w:tc>
        <w:tc>
          <w:tcPr>
            <w:tcW w:w="5670" w:type="dxa"/>
          </w:tcPr>
          <w:p w14:paraId="691AA178" w14:textId="417DA8F2" w:rsidR="00814A54" w:rsidRPr="00814A54" w:rsidRDefault="00814A54" w:rsidP="00814A54">
            <w:pPr>
              <w:tabs>
                <w:tab w:val="center" w:pos="284"/>
              </w:tabs>
              <w:ind w:left="266" w:hanging="266"/>
            </w:pPr>
            <w:r w:rsidRPr="00814A54">
              <w:t>Srita HEIDE (</w:t>
            </w:r>
            <w:r w:rsidR="00BD09B2">
              <w:t>Cat. 3 - DE</w:t>
            </w:r>
            <w:r w:rsidRPr="00814A54">
              <w:t>)</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sidRPr="00814A54">
              <w:rPr>
                <w:b/>
              </w:rPr>
              <w:t>References</w:t>
            </w:r>
          </w:p>
        </w:tc>
        <w:tc>
          <w:tcPr>
            <w:tcW w:w="5670" w:type="dxa"/>
          </w:tcPr>
          <w:p w14:paraId="699F0B48" w14:textId="3F25C095" w:rsidR="00BA2BB0" w:rsidRDefault="00BA2BB0" w:rsidP="00814A54">
            <w:pPr>
              <w:tabs>
                <w:tab w:val="center" w:pos="284"/>
              </w:tabs>
              <w:ind w:left="266" w:hanging="266"/>
            </w:pPr>
            <w:proofErr w:type="gramStart"/>
            <w:r>
              <w:t>COM(</w:t>
            </w:r>
            <w:proofErr w:type="gramEnd"/>
            <w:r>
              <w:t>202</w:t>
            </w:r>
            <w:r w:rsidR="00C96FA3">
              <w:t>6) 135 final</w:t>
            </w:r>
          </w:p>
          <w:p w14:paraId="30557EA2" w14:textId="294C27C9" w:rsidR="00814A54" w:rsidRPr="00814A54" w:rsidRDefault="00814A54" w:rsidP="00814A54">
            <w:pPr>
              <w:tabs>
                <w:tab w:val="center" w:pos="284"/>
              </w:tabs>
              <w:ind w:left="266" w:hanging="266"/>
            </w:pPr>
            <w:r w:rsidRPr="00814A54">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sidRPr="00814A54">
        <w:rPr>
          <w:b/>
        </w:rPr>
        <w:t>Key points</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rsidRPr="00814A54">
        <w:rPr>
          <w:bCs/>
        </w:rPr>
        <w:t>The EESC:</w:t>
      </w:r>
    </w:p>
    <w:p w14:paraId="47615632" w14:textId="77777777" w:rsidR="00814A54" w:rsidRPr="00814A54" w:rsidRDefault="00814A54" w:rsidP="0024648D">
      <w:pPr>
        <w:numPr>
          <w:ilvl w:val="1"/>
          <w:numId w:val="65"/>
        </w:numPr>
        <w:outlineLvl w:val="1"/>
        <w:rPr>
          <w:b/>
          <w:bCs/>
          <w:color w:val="111111"/>
          <w:lang w:eastAsia="it-IT"/>
        </w:rPr>
      </w:pPr>
      <w:bookmarkStart w:id="45" w:name="_Toc228805457"/>
      <w:r w:rsidRPr="00814A54">
        <w:t xml:space="preserve">supports efforts to improve the speed, responsiveness and innovation capacity of the European </w:t>
      </w:r>
      <w:proofErr w:type="spellStart"/>
      <w:r w:rsidRPr="00814A54">
        <w:t>defence</w:t>
      </w:r>
      <w:proofErr w:type="spellEnd"/>
      <w:r w:rsidRPr="00814A54">
        <w:t xml:space="preserve"> technological and industrial base (EDTIB) </w:t>
      </w:r>
      <w:proofErr w:type="gramStart"/>
      <w:r w:rsidRPr="00814A54">
        <w:t>in light of</w:t>
      </w:r>
      <w:proofErr w:type="gramEnd"/>
      <w:r w:rsidRPr="00814A54">
        <w:t xml:space="preserve"> the evolving security environment, and therefore welcomes the Commission’s proposed AGILE </w:t>
      </w:r>
      <w:proofErr w:type="spellStart"/>
      <w:r w:rsidRPr="00814A54">
        <w:t>defence</w:t>
      </w:r>
      <w:proofErr w:type="spellEnd"/>
      <w:r w:rsidRPr="00814A54">
        <w:t xml:space="preserve"> </w:t>
      </w:r>
      <w:proofErr w:type="gramStart"/>
      <w:r w:rsidRPr="00814A54">
        <w:t>framework;</w:t>
      </w:r>
      <w:bookmarkEnd w:id="45"/>
      <w:proofErr w:type="gramEnd"/>
    </w:p>
    <w:p w14:paraId="7C3494F3" w14:textId="77777777" w:rsidR="00814A54" w:rsidRPr="00814A54" w:rsidRDefault="00814A54" w:rsidP="0024648D">
      <w:pPr>
        <w:numPr>
          <w:ilvl w:val="1"/>
          <w:numId w:val="65"/>
        </w:numPr>
        <w:outlineLvl w:val="1"/>
      </w:pPr>
      <w:bookmarkStart w:id="46" w:name="_Toc228805458"/>
      <w:r w:rsidRPr="00814A54">
        <w:t xml:space="preserve">welcomes AGILE as a platform for SMEs, start-ups, civil-tech firms and entrepreneurs to deliver high-quality, rapid solutions to EU </w:t>
      </w:r>
      <w:proofErr w:type="spellStart"/>
      <w:r w:rsidRPr="00814A54">
        <w:t>defence</w:t>
      </w:r>
      <w:proofErr w:type="spellEnd"/>
      <w:r w:rsidRPr="00814A54">
        <w:t xml:space="preserve"> readiness. The EESC underlines the important role of new </w:t>
      </w:r>
      <w:proofErr w:type="spellStart"/>
      <w:r w:rsidRPr="00814A54">
        <w:t>defence</w:t>
      </w:r>
      <w:proofErr w:type="spellEnd"/>
      <w:r w:rsidRPr="00814A54">
        <w:t xml:space="preserve"> players in the transformation of the EU </w:t>
      </w:r>
      <w:proofErr w:type="spellStart"/>
      <w:r w:rsidRPr="00814A54">
        <w:t>defence</w:t>
      </w:r>
      <w:proofErr w:type="spellEnd"/>
      <w:r w:rsidRPr="00814A54">
        <w:t xml:space="preserve"> </w:t>
      </w:r>
      <w:proofErr w:type="gramStart"/>
      <w:r w:rsidRPr="00814A54">
        <w:t>industry;</w:t>
      </w:r>
      <w:bookmarkEnd w:id="46"/>
      <w:proofErr w:type="gramEnd"/>
      <w:r w:rsidRPr="00814A54">
        <w:t xml:space="preserve"> </w:t>
      </w:r>
    </w:p>
    <w:p w14:paraId="084337D9" w14:textId="77777777" w:rsidR="00814A54" w:rsidRPr="00814A54" w:rsidRDefault="00814A54" w:rsidP="0024648D">
      <w:pPr>
        <w:numPr>
          <w:ilvl w:val="1"/>
          <w:numId w:val="65"/>
        </w:numPr>
        <w:outlineLvl w:val="1"/>
      </w:pPr>
      <w:bookmarkStart w:id="47" w:name="_Toc228805459"/>
      <w:r w:rsidRPr="00814A54">
        <w:rPr>
          <w:lang w:eastAsia="it-IT"/>
        </w:rPr>
        <w:t xml:space="preserve">underlines that acceleration must not come at the expense of transparency, accountability and democratic scrutiny, which remain essential for the legitimacy and effectiveness of EU </w:t>
      </w:r>
      <w:proofErr w:type="gramStart"/>
      <w:r w:rsidRPr="00814A54">
        <w:rPr>
          <w:lang w:eastAsia="it-IT"/>
        </w:rPr>
        <w:t>action</w:t>
      </w:r>
      <w:r w:rsidRPr="00814A54">
        <w:t>;</w:t>
      </w:r>
      <w:bookmarkEnd w:id="47"/>
      <w:proofErr w:type="gramEnd"/>
    </w:p>
    <w:p w14:paraId="15C24631" w14:textId="77777777" w:rsidR="00814A54" w:rsidRPr="00814A54" w:rsidRDefault="00814A54" w:rsidP="0024648D">
      <w:pPr>
        <w:numPr>
          <w:ilvl w:val="1"/>
          <w:numId w:val="65"/>
        </w:numPr>
        <w:outlineLvl w:val="1"/>
      </w:pPr>
      <w:bookmarkStart w:id="48" w:name="_Toc228805460"/>
      <w:r w:rsidRPr="00814A54">
        <w:t xml:space="preserve">calls for AGILE funds to be additional to existing EU </w:t>
      </w:r>
      <w:proofErr w:type="spellStart"/>
      <w:r w:rsidRPr="00814A54">
        <w:t>defence</w:t>
      </w:r>
      <w:proofErr w:type="spellEnd"/>
      <w:r w:rsidRPr="00814A54">
        <w:t xml:space="preserve"> </w:t>
      </w:r>
      <w:proofErr w:type="spellStart"/>
      <w:r w:rsidRPr="00814A54">
        <w:t>programmes</w:t>
      </w:r>
      <w:proofErr w:type="spellEnd"/>
      <w:r w:rsidRPr="00814A54">
        <w:t xml:space="preserve">. The EESC </w:t>
      </w:r>
      <w:proofErr w:type="gramStart"/>
      <w:r w:rsidRPr="00814A54">
        <w:t>recommends to</w:t>
      </w:r>
      <w:proofErr w:type="gramEnd"/>
      <w:r w:rsidRPr="00814A54">
        <w:t xml:space="preserve"> substantially </w:t>
      </w:r>
      <w:proofErr w:type="gramStart"/>
      <w:r w:rsidRPr="00814A54">
        <w:t>increase</w:t>
      </w:r>
      <w:proofErr w:type="gramEnd"/>
      <w:r w:rsidRPr="00814A54">
        <w:t xml:space="preserve"> the budget of this instrument in the next MFF period based on the outcome of the evaluation of the pilot </w:t>
      </w:r>
      <w:proofErr w:type="spellStart"/>
      <w:proofErr w:type="gramStart"/>
      <w:r w:rsidRPr="00814A54">
        <w:t>programme</w:t>
      </w:r>
      <w:proofErr w:type="spellEnd"/>
      <w:r w:rsidRPr="00814A54">
        <w:t>;</w:t>
      </w:r>
      <w:bookmarkEnd w:id="48"/>
      <w:proofErr w:type="gramEnd"/>
      <w:r w:rsidRPr="00814A54">
        <w:t xml:space="preserve"> </w:t>
      </w:r>
    </w:p>
    <w:p w14:paraId="590B8EC8" w14:textId="77777777" w:rsidR="00814A54" w:rsidRPr="00814A54" w:rsidRDefault="00814A54" w:rsidP="0024648D">
      <w:pPr>
        <w:numPr>
          <w:ilvl w:val="1"/>
          <w:numId w:val="65"/>
        </w:numPr>
        <w:outlineLvl w:val="1"/>
      </w:pPr>
      <w:bookmarkStart w:id="49" w:name="_Toc228805461"/>
      <w:r w:rsidRPr="00814A54">
        <w:t xml:space="preserve">recommends inserting provisions to ensure that AGILE outreach, selection and evaluation processes proactively involve innovative SMEs, start-ups and single companies from all Member States and sectors, with a view to strengthening geographical balance and inclusiveness across the </w:t>
      </w:r>
      <w:proofErr w:type="gramStart"/>
      <w:r w:rsidRPr="00814A54">
        <w:t>Union;</w:t>
      </w:r>
      <w:bookmarkEnd w:id="49"/>
      <w:proofErr w:type="gramEnd"/>
    </w:p>
    <w:p w14:paraId="2B71655A" w14:textId="77777777" w:rsidR="00814A54" w:rsidRPr="00814A54" w:rsidRDefault="00814A54" w:rsidP="0024648D">
      <w:pPr>
        <w:numPr>
          <w:ilvl w:val="1"/>
          <w:numId w:val="65"/>
        </w:numPr>
        <w:outlineLvl w:val="1"/>
      </w:pPr>
      <w:bookmarkStart w:id="50" w:name="_Toc228805462"/>
      <w:r w:rsidRPr="00814A54">
        <w:t xml:space="preserve">recommends the introduction of robust and enforceable measures to ensure effective compliance with Article 9(5) on eligibility. </w:t>
      </w:r>
      <w:proofErr w:type="gramStart"/>
      <w:r w:rsidRPr="00814A54">
        <w:t>In order to</w:t>
      </w:r>
      <w:proofErr w:type="gramEnd"/>
      <w:r w:rsidRPr="00814A54">
        <w:t xml:space="preserve"> safeguard the Union’s strategic autonomy and security interests, this article should explicitly clarify and tighten exclusion </w:t>
      </w:r>
      <w:proofErr w:type="gramStart"/>
      <w:r w:rsidRPr="00814A54">
        <w:t>criteria;</w:t>
      </w:r>
      <w:bookmarkEnd w:id="50"/>
      <w:proofErr w:type="gramEnd"/>
    </w:p>
    <w:p w14:paraId="3849E73E" w14:textId="77777777" w:rsidR="00814A54" w:rsidRPr="00814A54" w:rsidRDefault="00814A54" w:rsidP="0024648D">
      <w:pPr>
        <w:numPr>
          <w:ilvl w:val="1"/>
          <w:numId w:val="65"/>
        </w:numPr>
        <w:outlineLvl w:val="1"/>
      </w:pPr>
      <w:bookmarkStart w:id="51" w:name="_Toc228805463"/>
      <w:r w:rsidRPr="00814A54">
        <w:t xml:space="preserve">recommends that AGILE projects should be firmly driven by clearly identified </w:t>
      </w:r>
      <w:proofErr w:type="spellStart"/>
      <w:r w:rsidRPr="00814A54">
        <w:t>defence</w:t>
      </w:r>
      <w:proofErr w:type="spellEnd"/>
      <w:r w:rsidRPr="00814A54">
        <w:t xml:space="preserve"> capability requirements and closely aligned with end-user needs; stresses that AGILE projects should have access to real-world testing environments, including military exercises and testing grounds, </w:t>
      </w:r>
      <w:proofErr w:type="gramStart"/>
      <w:r w:rsidRPr="00814A54">
        <w:t>in order to</w:t>
      </w:r>
      <w:proofErr w:type="gramEnd"/>
      <w:r w:rsidRPr="00814A54">
        <w:t xml:space="preserve"> validate solutions under operational conditions and accelerate their </w:t>
      </w:r>
      <w:proofErr w:type="gramStart"/>
      <w:r w:rsidRPr="00814A54">
        <w:t>uptake;</w:t>
      </w:r>
      <w:bookmarkEnd w:id="51"/>
      <w:proofErr w:type="gramEnd"/>
    </w:p>
    <w:p w14:paraId="0638FC2F" w14:textId="77777777" w:rsidR="00814A54" w:rsidRPr="00814A54" w:rsidRDefault="00814A54" w:rsidP="0024648D">
      <w:pPr>
        <w:numPr>
          <w:ilvl w:val="1"/>
          <w:numId w:val="65"/>
        </w:numPr>
        <w:outlineLvl w:val="1"/>
      </w:pPr>
      <w:bookmarkStart w:id="52" w:name="_Toc228805464"/>
      <w:r w:rsidRPr="00814A54">
        <w:t xml:space="preserve">recommends that respect for EU </w:t>
      </w:r>
      <w:proofErr w:type="spellStart"/>
      <w:r w:rsidRPr="00814A54">
        <w:t>labour</w:t>
      </w:r>
      <w:proofErr w:type="spellEnd"/>
      <w:r w:rsidRPr="00814A54">
        <w:t xml:space="preserve">, social and environmental legislation be explicitly embedded in the implementation of AGILE. The EESC underlines that participation in the AGILE </w:t>
      </w:r>
      <w:proofErr w:type="spellStart"/>
      <w:r w:rsidRPr="00814A54">
        <w:t>programme</w:t>
      </w:r>
      <w:proofErr w:type="spellEnd"/>
      <w:r w:rsidRPr="00814A54">
        <w:t xml:space="preserve"> should be conditioned on commitments to skills development, quality employment and full respect for workers’ rights, in line with the European social model.</w:t>
      </w:r>
      <w:bookmarkEnd w:id="52"/>
      <w:r w:rsidRPr="00814A54">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sidRPr="00814A54">
              <w:rPr>
                <w:b/>
                <w:i/>
              </w:rPr>
              <w:t>Contact</w:t>
            </w:r>
          </w:p>
        </w:tc>
        <w:tc>
          <w:tcPr>
            <w:tcW w:w="5670" w:type="dxa"/>
          </w:tcPr>
          <w:p w14:paraId="42A1FC82" w14:textId="7A465A63" w:rsidR="00814A54" w:rsidRPr="0024648D" w:rsidRDefault="00814A54" w:rsidP="00814A54">
            <w:pPr>
              <w:spacing w:line="240" w:lineRule="auto"/>
              <w:rPr>
                <w:bCs/>
                <w:i/>
              </w:rPr>
            </w:pPr>
            <w:r w:rsidRPr="0024648D">
              <w:rPr>
                <w:bCs/>
                <w:i/>
              </w:rPr>
              <w:t>Ioannis D</w:t>
            </w:r>
            <w:r w:rsidR="0069052D" w:rsidRPr="0024648D">
              <w:rPr>
                <w:bCs/>
                <w:i/>
              </w:rPr>
              <w:t>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sidRPr="00814A54">
              <w:rPr>
                <w:i/>
              </w:rPr>
              <w:t>Tel.</w:t>
            </w:r>
          </w:p>
        </w:tc>
        <w:tc>
          <w:tcPr>
            <w:tcW w:w="5670" w:type="dxa"/>
          </w:tcPr>
          <w:p w14:paraId="2671F0CA" w14:textId="77777777" w:rsidR="00814A54" w:rsidRPr="00814A54" w:rsidRDefault="00814A54" w:rsidP="00814A54">
            <w:pPr>
              <w:spacing w:line="240" w:lineRule="auto"/>
              <w:rPr>
                <w:i/>
              </w:rPr>
            </w:pPr>
            <w:r w:rsidRPr="00814A54">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sidRPr="00814A54">
              <w:rPr>
                <w:i/>
              </w:rPr>
              <w:t>Email</w:t>
            </w:r>
          </w:p>
        </w:tc>
        <w:tc>
          <w:tcPr>
            <w:tcW w:w="5670" w:type="dxa"/>
          </w:tcPr>
          <w:p w14:paraId="210C9375" w14:textId="77777777" w:rsidR="00814A54" w:rsidRPr="00814A54" w:rsidRDefault="00814A54" w:rsidP="00814A54">
            <w:pPr>
              <w:spacing w:line="240" w:lineRule="auto"/>
              <w:rPr>
                <w:i/>
              </w:rPr>
            </w:pPr>
            <w:hyperlink r:id="rId72" w:history="1">
              <w:r w:rsidRPr="00814A54">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rPr>
          <w:lang w:val="nl-BE"/>
        </w:rPr>
      </w:pPr>
      <w:r>
        <w:rPr>
          <w:lang w:val="nl-BE"/>
        </w:rP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1A62FECF"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Pr>
        <w:noProof/>
      </w:rPr>
      <w:t>1</w:t>
    </w:r>
    <w:r>
      <w:fldChar w:fldCharType="end"/>
    </w:r>
    <w:r>
      <w:t>/</w:t>
    </w:r>
    <w:r w:rsidR="003734B1">
      <w:fldChar w:fldCharType="begin"/>
    </w:r>
    <w:r w:rsidR="003734B1">
      <w:instrText xml:space="preserve"> NUMPAGES </w:instrText>
    </w:r>
    <w:r w:rsidR="003734B1">
      <w:fldChar w:fldCharType="separate"/>
    </w:r>
    <w:r>
      <w:rPr>
        <w:noProof/>
      </w:rPr>
      <w:t>33</w:t>
    </w:r>
    <w:r w:rsidR="003734B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Pr>
        <w:noProof/>
      </w:rPr>
      <w:t>1</w:t>
    </w:r>
    <w:r>
      <w:fldChar w:fldCharType="end"/>
    </w:r>
    <w:r>
      <w:t>/</w:t>
    </w:r>
    <w:r w:rsidR="003734B1">
      <w:fldChar w:fldCharType="begin"/>
    </w:r>
    <w:r w:rsidR="003734B1">
      <w:instrText xml:space="preserve"> NUMPAGES </w:instrText>
    </w:r>
    <w:r w:rsidR="003734B1">
      <w:fldChar w:fldCharType="separate"/>
    </w:r>
    <w:r>
      <w:rPr>
        <w:noProof/>
      </w:rPr>
      <w:t>33</w:t>
    </w:r>
    <w:r w:rsidR="003734B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77777777" w:rsidR="00944198" w:rsidRPr="00CC2C7F" w:rsidRDefault="00944198" w:rsidP="00944198">
      <w:pPr>
        <w:pStyle w:val="FootnoteText"/>
        <w:rPr>
          <w:lang w:val="fi-FI"/>
        </w:rPr>
      </w:pPr>
      <w:r>
        <w:rPr>
          <w:rStyle w:val="FootnoteReference"/>
        </w:rPr>
        <w:footnoteRef/>
      </w:r>
      <w:r w:rsidRPr="00CC2C7F">
        <w:rPr>
          <w:lang w:val="fi-FI"/>
        </w:rPr>
        <w:tab/>
        <w:t xml:space="preserve">OJ C, C/2024/6880, 28.11.2024, ELI: </w:t>
      </w:r>
      <w:hyperlink r:id="rId1" w:history="1">
        <w:r w:rsidRPr="00CC2C7F">
          <w:rPr>
            <w:rStyle w:val="Hyperlink"/>
            <w:lang w:val="fi-FI"/>
          </w:rPr>
          <w:t>http://data.europa.eu/eli/C/2024/6880/oj</w:t>
        </w:r>
      </w:hyperlink>
      <w:r w:rsidRPr="00CC2C7F">
        <w:rPr>
          <w:lang w:val="fi-FI"/>
        </w:rPr>
        <w:t>.</w:t>
      </w:r>
    </w:p>
  </w:footnote>
  <w:footnote w:id="2">
    <w:p w14:paraId="6A5DF5FB" w14:textId="77777777" w:rsidR="002B30F4" w:rsidRDefault="002B30F4" w:rsidP="002B30F4">
      <w:pPr>
        <w:pStyle w:val="FootnoteText"/>
      </w:pPr>
      <w:r>
        <w:rPr>
          <w:rStyle w:val="FootnoteReference"/>
        </w:rPr>
        <w:footnoteRef/>
      </w:r>
      <w:r>
        <w:tab/>
        <w:t xml:space="preserve">EESC opinion on </w:t>
      </w:r>
      <w:hyperlink r:id="rId2" w:history="1">
        <w:r w:rsidRPr="00B9394E">
          <w:rPr>
            <w:rStyle w:val="Hyperlink"/>
            <w:i/>
            <w:iCs/>
          </w:rPr>
          <w:t>Equivalence of inspections - seed produced in Brazil and Moldova (modification)</w:t>
        </w:r>
      </w:hyperlink>
      <w:r w:rsidRPr="00B9394E">
        <w:rPr>
          <w:i/>
          <w:iCs/>
        </w:rPr>
        <w:t xml:space="preserve"> </w:t>
      </w:r>
      <w:r>
        <w:t xml:space="preserve">, </w:t>
      </w:r>
      <w:hyperlink r:id="rId3" w:history="1">
        <w:r w:rsidRPr="006532CA">
          <w:rPr>
            <w:rStyle w:val="Hyperlink"/>
          </w:rPr>
          <w:t>OJ C227, 28.06.2018, p. 76-77</w:t>
        </w:r>
      </w:hyperlink>
      <w:r>
        <w:t>.</w:t>
      </w:r>
    </w:p>
  </w:footnote>
  <w:footnote w:id="3">
    <w:p w14:paraId="31B28570" w14:textId="4BCA13C6" w:rsidR="002B30F4" w:rsidRDefault="002B30F4" w:rsidP="002B30F4">
      <w:pPr>
        <w:pStyle w:val="FootnoteText"/>
      </w:pPr>
      <w:r>
        <w:rPr>
          <w:rStyle w:val="FootnoteReference"/>
        </w:rPr>
        <w:footnoteRef/>
      </w:r>
      <w:r>
        <w:tab/>
        <w:t xml:space="preserve">EESC opinion on </w:t>
      </w:r>
      <w:hyperlink r:id="rId4" w:history="1">
        <w:r w:rsidRPr="00C43E83">
          <w:rPr>
            <w:rStyle w:val="Hyperlink"/>
            <w:i/>
            <w:iCs/>
          </w:rPr>
          <w:t>Seed equivalence - Ukraine</w:t>
        </w:r>
      </w:hyperlink>
      <w:r>
        <w:rPr>
          <w:i/>
          <w:iCs/>
        </w:rPr>
        <w:t>,</w:t>
      </w:r>
      <w:r w:rsidR="00A067F3">
        <w:rPr>
          <w:i/>
          <w:iCs/>
        </w:rPr>
        <w:t xml:space="preserve"> </w:t>
      </w:r>
      <w:hyperlink r:id="rId5" w:history="1">
        <w:r w:rsidRPr="006532CA">
          <w:rPr>
            <w:rStyle w:val="Hyperlink"/>
          </w:rPr>
          <w:t>OJ C 429, 11.12.2020, p. 276</w:t>
        </w:r>
      </w:hyperlink>
      <w:r>
        <w:t>.</w:t>
      </w:r>
    </w:p>
  </w:footnote>
  <w:footnote w:id="4">
    <w:p w14:paraId="704BA872" w14:textId="77777777" w:rsidR="008548EA" w:rsidRDefault="008548EA" w:rsidP="008548EA">
      <w:pPr>
        <w:pStyle w:val="FootnoteText"/>
      </w:pPr>
      <w:r>
        <w:rPr>
          <w:rStyle w:val="FootnoteReference"/>
        </w:rPr>
        <w:footnoteRef/>
      </w:r>
      <w:r>
        <w:tab/>
        <w:t xml:space="preserve">EESC opinion on </w:t>
      </w:r>
      <w:hyperlink r:id="rId6">
        <w:r w:rsidRPr="718D2FEE">
          <w:rPr>
            <w:rStyle w:val="Hyperlink"/>
            <w:i/>
            <w:iCs/>
          </w:rPr>
          <w:t>Revision of the EU Emissions Trading System (ETS), including maritime transport and Market Stability Reserve</w:t>
        </w:r>
      </w:hyperlink>
      <w:r>
        <w:t xml:space="preserve">, </w:t>
      </w:r>
      <w:hyperlink r:id="rId7">
        <w:r w:rsidRPr="718D2FEE">
          <w:rPr>
            <w:rStyle w:val="Hyperlink"/>
          </w:rPr>
          <w:t>OJ C 152, 6.4.2022, p.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5659982">
    <w:abstractNumId w:val="0"/>
  </w:num>
  <w:num w:numId="2" w16cid:durableId="1150832558">
    <w:abstractNumId w:val="61"/>
  </w:num>
  <w:num w:numId="3" w16cid:durableId="1287009765">
    <w:abstractNumId w:val="68"/>
  </w:num>
  <w:num w:numId="4" w16cid:durableId="194499036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344018314">
    <w:abstractNumId w:val="62"/>
  </w:num>
  <w:num w:numId="6" w16cid:durableId="1342855539">
    <w:abstractNumId w:val="69"/>
  </w:num>
  <w:num w:numId="7" w16cid:durableId="1641838839">
    <w:abstractNumId w:val="25"/>
  </w:num>
  <w:num w:numId="8" w16cid:durableId="1294485186">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64501498">
    <w:abstractNumId w:val="56"/>
  </w:num>
  <w:num w:numId="10" w16cid:durableId="1340737841">
    <w:abstractNumId w:val="46"/>
  </w:num>
  <w:num w:numId="11" w16cid:durableId="1467166901">
    <w:abstractNumId w:val="58"/>
  </w:num>
  <w:num w:numId="12" w16cid:durableId="902644801">
    <w:abstractNumId w:val="47"/>
  </w:num>
  <w:num w:numId="13" w16cid:durableId="1840079959">
    <w:abstractNumId w:val="60"/>
  </w:num>
  <w:num w:numId="14" w16cid:durableId="1809980800">
    <w:abstractNumId w:val="54"/>
  </w:num>
  <w:num w:numId="15" w16cid:durableId="1280381263">
    <w:abstractNumId w:val="10"/>
  </w:num>
  <w:num w:numId="16" w16cid:durableId="176240088">
    <w:abstractNumId w:val="53"/>
  </w:num>
  <w:num w:numId="17" w16cid:durableId="201793379">
    <w:abstractNumId w:val="32"/>
  </w:num>
  <w:num w:numId="18" w16cid:durableId="1352225606">
    <w:abstractNumId w:val="23"/>
  </w:num>
  <w:num w:numId="19" w16cid:durableId="1080755264">
    <w:abstractNumId w:val="8"/>
  </w:num>
  <w:num w:numId="20" w16cid:durableId="1263295908">
    <w:abstractNumId w:val="71"/>
  </w:num>
  <w:num w:numId="21" w16cid:durableId="1158381366">
    <w:abstractNumId w:val="51"/>
  </w:num>
  <w:num w:numId="22" w16cid:durableId="992875629">
    <w:abstractNumId w:val="3"/>
  </w:num>
  <w:num w:numId="23" w16cid:durableId="682128563">
    <w:abstractNumId w:val="39"/>
  </w:num>
  <w:num w:numId="24" w16cid:durableId="1521164875">
    <w:abstractNumId w:val="40"/>
  </w:num>
  <w:num w:numId="25" w16cid:durableId="904140877">
    <w:abstractNumId w:val="55"/>
  </w:num>
  <w:num w:numId="26" w16cid:durableId="521474962">
    <w:abstractNumId w:val="14"/>
  </w:num>
  <w:num w:numId="27" w16cid:durableId="808596533">
    <w:abstractNumId w:val="11"/>
  </w:num>
  <w:num w:numId="28" w16cid:durableId="944579894">
    <w:abstractNumId w:val="37"/>
  </w:num>
  <w:num w:numId="29" w16cid:durableId="118494470">
    <w:abstractNumId w:val="38"/>
  </w:num>
  <w:num w:numId="30" w16cid:durableId="1314605164">
    <w:abstractNumId w:val="31"/>
  </w:num>
  <w:num w:numId="31" w16cid:durableId="468398600">
    <w:abstractNumId w:val="45"/>
  </w:num>
  <w:num w:numId="32" w16cid:durableId="1827553428">
    <w:abstractNumId w:val="7"/>
  </w:num>
  <w:num w:numId="33" w16cid:durableId="132890402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640454063">
    <w:abstractNumId w:val="19"/>
  </w:num>
  <w:num w:numId="35" w16cid:durableId="1845627738">
    <w:abstractNumId w:val="65"/>
  </w:num>
  <w:num w:numId="36" w16cid:durableId="1985969967">
    <w:abstractNumId w:val="43"/>
  </w:num>
  <w:num w:numId="37" w16cid:durableId="689843419">
    <w:abstractNumId w:val="33"/>
  </w:num>
  <w:num w:numId="38" w16cid:durableId="544874853">
    <w:abstractNumId w:val="36"/>
  </w:num>
  <w:num w:numId="39" w16cid:durableId="308173677">
    <w:abstractNumId w:val="63"/>
  </w:num>
  <w:num w:numId="40" w16cid:durableId="60833563">
    <w:abstractNumId w:val="6"/>
  </w:num>
  <w:num w:numId="41" w16cid:durableId="1129469636">
    <w:abstractNumId w:val="48"/>
  </w:num>
  <w:num w:numId="42" w16cid:durableId="569779101">
    <w:abstractNumId w:val="67"/>
  </w:num>
  <w:num w:numId="43" w16cid:durableId="1909531589">
    <w:abstractNumId w:val="13"/>
  </w:num>
  <w:num w:numId="44" w16cid:durableId="235866574">
    <w:abstractNumId w:val="18"/>
  </w:num>
  <w:num w:numId="45" w16cid:durableId="1931770198">
    <w:abstractNumId w:val="4"/>
  </w:num>
  <w:num w:numId="46" w16cid:durableId="800732884">
    <w:abstractNumId w:val="64"/>
  </w:num>
  <w:num w:numId="47" w16cid:durableId="245698783">
    <w:abstractNumId w:val="41"/>
  </w:num>
  <w:num w:numId="48" w16cid:durableId="1608738050">
    <w:abstractNumId w:val="12"/>
  </w:num>
  <w:num w:numId="49" w16cid:durableId="1358890078">
    <w:abstractNumId w:val="57"/>
  </w:num>
  <w:num w:numId="50" w16cid:durableId="1689215489">
    <w:abstractNumId w:val="26"/>
  </w:num>
  <w:num w:numId="51" w16cid:durableId="1743022509">
    <w:abstractNumId w:val="66"/>
  </w:num>
  <w:num w:numId="52" w16cid:durableId="2030905639">
    <w:abstractNumId w:val="50"/>
  </w:num>
  <w:num w:numId="53" w16cid:durableId="178854198">
    <w:abstractNumId w:val="22"/>
  </w:num>
  <w:num w:numId="54" w16cid:durableId="1039665549">
    <w:abstractNumId w:val="5"/>
  </w:num>
  <w:num w:numId="55" w16cid:durableId="1308895856">
    <w:abstractNumId w:val="52"/>
  </w:num>
  <w:num w:numId="56" w16cid:durableId="1849565280">
    <w:abstractNumId w:val="9"/>
  </w:num>
  <w:num w:numId="57" w16cid:durableId="1804930424">
    <w:abstractNumId w:val="30"/>
  </w:num>
  <w:num w:numId="58" w16cid:durableId="388185905">
    <w:abstractNumId w:val="44"/>
  </w:num>
  <w:num w:numId="59" w16cid:durableId="1696809097">
    <w:abstractNumId w:val="28"/>
  </w:num>
  <w:num w:numId="60" w16cid:durableId="454328315">
    <w:abstractNumId w:val="27"/>
  </w:num>
  <w:num w:numId="61" w16cid:durableId="605161797">
    <w:abstractNumId w:val="20"/>
  </w:num>
  <w:num w:numId="62" w16cid:durableId="1121073669">
    <w:abstractNumId w:val="49"/>
  </w:num>
  <w:num w:numId="63" w16cid:durableId="2143033357">
    <w:abstractNumId w:val="29"/>
  </w:num>
  <w:num w:numId="64" w16cid:durableId="2056540792">
    <w:abstractNumId w:val="21"/>
  </w:num>
  <w:num w:numId="65" w16cid:durableId="726029051">
    <w:abstractNumId w:val="35"/>
  </w:num>
  <w:num w:numId="66" w16cid:durableId="193921704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704908023">
    <w:abstractNumId w:val="24"/>
  </w:num>
  <w:num w:numId="68" w16cid:durableId="195297455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968776903">
    <w:abstractNumId w:val="17"/>
  </w:num>
  <w:num w:numId="70" w16cid:durableId="266810627">
    <w:abstractNumId w:val="34"/>
  </w:num>
  <w:num w:numId="71" w16cid:durableId="772239901">
    <w:abstractNumId w:val="2"/>
  </w:num>
  <w:num w:numId="72" w16cid:durableId="830097522">
    <w:abstractNumId w:val="16"/>
  </w:num>
  <w:num w:numId="73" w16cid:durableId="689379064">
    <w:abstractNumId w:val="59"/>
  </w:num>
  <w:num w:numId="74" w16cid:durableId="1176264163">
    <w:abstractNumId w:val="72"/>
  </w:num>
  <w:num w:numId="75" w16cid:durableId="1706179160">
    <w:abstractNumId w:val="42"/>
  </w:num>
  <w:num w:numId="76" w16cid:durableId="658459890">
    <w:abstractNumId w:val="15"/>
  </w:num>
  <w:num w:numId="77" w16cid:durableId="155154438">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010F"/>
    <w:rsid w:val="000056E4"/>
    <w:rsid w:val="00010A4D"/>
    <w:rsid w:val="000136C9"/>
    <w:rsid w:val="00014921"/>
    <w:rsid w:val="00023DB5"/>
    <w:rsid w:val="00032C87"/>
    <w:rsid w:val="00037101"/>
    <w:rsid w:val="00043BEF"/>
    <w:rsid w:val="000501F7"/>
    <w:rsid w:val="00050D04"/>
    <w:rsid w:val="000517F6"/>
    <w:rsid w:val="0006268B"/>
    <w:rsid w:val="00063DFF"/>
    <w:rsid w:val="00064BBC"/>
    <w:rsid w:val="00070ED2"/>
    <w:rsid w:val="00092ACC"/>
    <w:rsid w:val="00096B93"/>
    <w:rsid w:val="00097E67"/>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48D"/>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3F7D73"/>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A17E9"/>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14EEA"/>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C2C7F"/>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D2898"/>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0D30"/>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5916"/>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en/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en/our-work/opinions-information-reports/opinions/new-rules-drug-precursors" TargetMode="External"/><Relationship Id="rId63" Type="http://schemas.openxmlformats.org/officeDocument/2006/relationships/hyperlink" Target="https://www.eesc.europa.eu/en/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en/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en/our-work/opinions-information-reports/opinions/developing-european-centre-clinical-excellence-pharmaceuticals" TargetMode="External"/><Relationship Id="rId53" Type="http://schemas.openxmlformats.org/officeDocument/2006/relationships/hyperlink" Target="https://www.eesc.europa.eu/en/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en/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en/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en/our-work/opinions-information-reports/opinions/over-tourism-short-term-rentals-and-crowding-out-local-populations-finding-right-balance" TargetMode="External"/><Relationship Id="rId43" Type="http://schemas.openxmlformats.org/officeDocument/2006/relationships/hyperlink" Target="https://www.eesc.europa.eu/en/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en/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en/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ban-conversion-practices-european-union" TargetMode="External"/><Relationship Id="rId33" Type="http://schemas.openxmlformats.org/officeDocument/2006/relationships/hyperlink" Target="https://www.eesc.europa.eu/en/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en/our-work/opinions-information-reports/opinions/eu-bioeconomy-strategy-towards-circular-regenerative-and-competitive-bioeconomy" TargetMode="External"/><Relationship Id="rId67" Type="http://schemas.openxmlformats.org/officeDocument/2006/relationships/hyperlink" Target="https://www.eesc.europa.eu/en/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en/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n/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en/our-work/opinions-information-reports/opinions/proposal-regulation-targeted-revision-eu-rules-medical-devices-and-vitro-diagnostics" TargetMode="External"/><Relationship Id="rId57" Type="http://schemas.openxmlformats.org/officeDocument/2006/relationships/hyperlink" Target="https://www.eesc.europa.eu/en/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en/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en/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en/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en/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en/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en/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OJ.C_.2018.227.01.0076.01.ENG&amp;toc=OJ:C:2018:227:TOC" TargetMode="External"/><Relationship Id="rId7" Type="http://schemas.openxmlformats.org/officeDocument/2006/relationships/hyperlink" Target="https://eur-lex.europa.eu/legal-content/EN/TXT/?uri=uriserv%3AOJ.C_.2022.152.01.0175.01.ENG&amp;toc=OJ%3AC%3A2022%3A152%3ATOC" TargetMode="External"/><Relationship Id="rId2" Type="http://schemas.openxmlformats.org/officeDocument/2006/relationships/hyperlink" Target="https://www.eesc.europa.eu/en/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en/our-work/opinions-information-reports/opinions/revision-eu-emissions-trading-system-ets-including-maritime-transport-and-market-stability-reserve" TargetMode="External"/><Relationship Id="rId5" Type="http://schemas.openxmlformats.org/officeDocument/2006/relationships/hyperlink" Target="https://eur-lex.europa.eu/legal-content/EN/TXT/?uri=uriserv%3AOJ.C_.2020.429.01.0276.01.ENG&amp;toc=OJ%3AC%3A2020%3A429%3ATOC" TargetMode="External"/><Relationship Id="rId4" Type="http://schemas.openxmlformats.org/officeDocument/2006/relationships/hyperlink" Target="https://www.eesc.europa.eu/en/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VP3JK3XSEPRV-2087481956-8493</_dlc_DocId>
    <_dlc_DocIdUrl xmlns="7d640e6d-779c-472f-a269-6b546787f1c9">
      <Url>http://dm/eesc/2026/_layouts/15/DocIdRedir.aspx?ID=VP3JK3XSEPRV-2087481956-8493</Url>
      <Description>VP3JK3XSEPRV-2087481956-8493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Mankki Merja</DisplayName>
        <AccountId>43</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1C8D9524-9FF0-4B4F-965B-0F967350B48E}"/>
</file>

<file path=customXml/itemProps2.xml><?xml version="1.0" encoding="utf-8"?>
<ds:datastoreItem xmlns:ds="http://schemas.openxmlformats.org/officeDocument/2006/customXml" ds:itemID="{AD01EFDE-17C3-45CF-A22E-F8D7E6AE77CF}">
  <ds:schemaRefs>
    <ds:schemaRef ds:uri="http://schemas.openxmlformats.org/officeDocument/2006/bibliography"/>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10</TotalTime>
  <Pages>31</Pages>
  <Words>5892</Words>
  <Characters>55977</Characters>
  <Application>Microsoft Office Word</Application>
  <DocSecurity>0</DocSecurity>
  <Lines>7996</Lines>
  <Paragraphs>2946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- 605th plenary session - April 2026</dc:title>
  <dc:subject>ADMIN</dc:subject>
  <dc:creator/>
  <cp:keywords>COR-EESC-2022-02583-00-00-ADMIN-TRA-EN</cp:keywords>
  <dc:description>Rapporteur:  - Original language: EN - Date of document: 20/05/2022 - Date of meeting:  - External documents:  - Administrator:  SUCIU Serban</dc:description>
  <cp:lastModifiedBy/>
  <cp:revision>9</cp:revision>
  <dcterms:created xsi:type="dcterms:W3CDTF">2026-05-12T06:38:00Z</dcterms:created>
  <dcterms:modified xsi:type="dcterms:W3CDTF">2026-05-12T06:59:00Z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7293b083-4e68-46f1-b043-3023ecd48494</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18;#TCD|cd9d6eb6-3f4f-424a-b2d1-57c9d450eaaf;#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4;#EN|f2175f21-25d7-44a3-96da-d6a61b075e1b</vt:lpwstr>
  </property>
  <property fmtid="{D5CDD505-2E9C-101B-9397-08002B2CF9AE}" pid="33" name="AvailableTranslations_0">
    <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