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026D6239" w:rsidR="004D7AC0" w:rsidRDefault="00597E76" w:rsidP="001766B2">
      <w:pPr>
        <w:jc w:val="center"/>
      </w:pPr>
      <w:r>
        <w:rPr>
          <w:noProof/>
        </w:rPr>
        <w:drawing>
          <wp:inline distT="0" distB="0" distL="0" distR="0" wp14:anchorId="4037522A" wp14:editId="0888C800">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395DDD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DE</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Brüssel, den 22. Mai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 PLENARTAGUNG</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29./30. April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ZUSAMMENFASSUNG DER VERABSCHIEDETEN STELLUNGNAHMEN, ENTSCHLIEẞUNGEN UND INFORMATIONS-/BEWERTUNGSBERICHTE</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766B2">
            <w:pPr>
              <w:snapToGrid w:val="0"/>
              <w:jc w:val="center"/>
            </w:pPr>
            <w:r>
              <w:t>Dieses Dokument kann in allen Amtssprachen der Europäischen Union auf dem EWSA-Internetportal abgerufen werden:</w:t>
            </w:r>
            <w:r>
              <w:br/>
            </w:r>
            <w:r>
              <w:br/>
            </w:r>
            <w:hyperlink r:id="rId13" w:history="1">
              <w:r>
                <w:rPr>
                  <w:rStyle w:val="Hyperlink"/>
                </w:rPr>
                <w:t>https://www.eesc.europa.eu/de/our-work/opinions-information-reports/plenary-session-summaries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t>Die aufgeführten Stellungnahmen können online über die Suchmaschine des EWSA abgerufen werden:</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Inhaltsverzeichnis</w:t>
      </w:r>
    </w:p>
    <w:p w14:paraId="2174B63A" w14:textId="77777777" w:rsidR="00A067F3" w:rsidRPr="00A81AFE" w:rsidRDefault="00A067F3" w:rsidP="001766B2">
      <w:pPr>
        <w:rPr>
          <w:b/>
        </w:rPr>
      </w:pPr>
    </w:p>
    <w:p w14:paraId="3D6CB852" w14:textId="2E61E6C6" w:rsidR="00A067F3" w:rsidRDefault="00A067F3" w:rsidP="0036103A">
      <w:pPr>
        <w:pStyle w:val="TOC1"/>
        <w:rPr>
          <w:rFonts w:asciiTheme="minorHAnsi" w:eastAsiaTheme="minorEastAsia" w:hAnsiTheme="minorHAnsi" w:cstheme="minorBidi"/>
          <w:noProof/>
        </w:rPr>
      </w:pPr>
      <w:r>
        <w:fldChar w:fldCharType="begin"/>
      </w:r>
      <w:r>
        <w:instrText xml:space="preserve"> TOC \h \z \u \t "Heading 2,1" </w:instrText>
      </w:r>
      <w:r>
        <w:fldChar w:fldCharType="separate"/>
      </w:r>
      <w:hyperlink w:anchor="_Toc229140653" w:history="1">
        <w:r w:rsidRPr="007E618C">
          <w:rPr>
            <w:rStyle w:val="Hyperlink"/>
            <w:noProof/>
          </w:rPr>
          <w:t>1.</w:t>
        </w:r>
        <w:r>
          <w:rPr>
            <w:rFonts w:asciiTheme="minorHAnsi" w:eastAsiaTheme="minorEastAsia" w:hAnsiTheme="minorHAnsi" w:cstheme="minorBidi"/>
            <w:noProof/>
          </w:rPr>
          <w:tab/>
        </w:r>
        <w:r w:rsidR="0036103A" w:rsidRPr="0036103A">
          <w:rPr>
            <w:noProof/>
          </w:rPr>
          <w:t>WIRTSCHAFTS- UND WÄHRUNGSUNION, WIRTSCHAFTLICHER UND SOZIALER ZUSAMMENHALT</w:t>
        </w:r>
        <w:r>
          <w:rPr>
            <w:noProof/>
            <w:webHidden/>
          </w:rPr>
          <w:tab/>
        </w:r>
        <w:r>
          <w:rPr>
            <w:noProof/>
            <w:webHidden/>
          </w:rPr>
          <w:fldChar w:fldCharType="begin"/>
        </w:r>
        <w:r>
          <w:rPr>
            <w:noProof/>
            <w:webHidden/>
          </w:rPr>
          <w:instrText xml:space="preserve"> PAGEREF _Toc229140653 \h </w:instrText>
        </w:r>
        <w:r>
          <w:rPr>
            <w:noProof/>
            <w:webHidden/>
          </w:rPr>
        </w:r>
        <w:r>
          <w:rPr>
            <w:noProof/>
            <w:webHidden/>
          </w:rPr>
          <w:fldChar w:fldCharType="separate"/>
        </w:r>
        <w:r w:rsidR="0036103A">
          <w:rPr>
            <w:noProof/>
            <w:webHidden/>
          </w:rPr>
          <w:t>3</w:t>
        </w:r>
        <w:r>
          <w:rPr>
            <w:noProof/>
            <w:webHidden/>
          </w:rPr>
          <w:fldChar w:fldCharType="end"/>
        </w:r>
      </w:hyperlink>
    </w:p>
    <w:p w14:paraId="0EE7F81C" w14:textId="6D279555" w:rsidR="00A067F3" w:rsidRDefault="00A067F3" w:rsidP="0036103A">
      <w:pPr>
        <w:pStyle w:val="TOC1"/>
        <w:rPr>
          <w:rFonts w:asciiTheme="minorHAnsi" w:eastAsiaTheme="minorEastAsia" w:hAnsiTheme="minorHAnsi" w:cstheme="minorBidi"/>
          <w:noProof/>
        </w:rPr>
      </w:pPr>
      <w:hyperlink w:anchor="_Toc229140654" w:history="1">
        <w:r w:rsidRPr="007E618C">
          <w:rPr>
            <w:rStyle w:val="Hyperlink"/>
            <w:noProof/>
          </w:rPr>
          <w:t>2.</w:t>
        </w:r>
        <w:r>
          <w:rPr>
            <w:rFonts w:asciiTheme="minorHAnsi" w:eastAsiaTheme="minorEastAsia" w:hAnsiTheme="minorHAnsi" w:cstheme="minorBidi"/>
            <w:noProof/>
          </w:rPr>
          <w:tab/>
        </w:r>
        <w:r w:rsidR="0036103A">
          <w:t>BESCHÄFTIGUNG, SOZIALFRAGEN, UNIONSBÜRGERSCHAFT</w:t>
        </w:r>
        <w:r>
          <w:rPr>
            <w:noProof/>
            <w:webHidden/>
          </w:rPr>
          <w:tab/>
        </w:r>
        <w:r>
          <w:rPr>
            <w:noProof/>
            <w:webHidden/>
          </w:rPr>
          <w:fldChar w:fldCharType="begin"/>
        </w:r>
        <w:r>
          <w:rPr>
            <w:noProof/>
            <w:webHidden/>
          </w:rPr>
          <w:instrText xml:space="preserve"> PAGEREF _Toc229140654 \h </w:instrText>
        </w:r>
        <w:r>
          <w:rPr>
            <w:noProof/>
            <w:webHidden/>
          </w:rPr>
        </w:r>
        <w:r>
          <w:rPr>
            <w:noProof/>
            <w:webHidden/>
          </w:rPr>
          <w:fldChar w:fldCharType="separate"/>
        </w:r>
        <w:r w:rsidR="0036103A">
          <w:rPr>
            <w:noProof/>
            <w:webHidden/>
          </w:rPr>
          <w:t>7</w:t>
        </w:r>
        <w:r>
          <w:rPr>
            <w:noProof/>
            <w:webHidden/>
          </w:rPr>
          <w:fldChar w:fldCharType="end"/>
        </w:r>
      </w:hyperlink>
    </w:p>
    <w:p w14:paraId="7426073C" w14:textId="1E52A1CE" w:rsidR="00A067F3" w:rsidRDefault="00A067F3" w:rsidP="0036103A">
      <w:pPr>
        <w:pStyle w:val="TOC1"/>
        <w:rPr>
          <w:rFonts w:asciiTheme="minorHAnsi" w:eastAsiaTheme="minorEastAsia" w:hAnsiTheme="minorHAnsi" w:cstheme="minorBidi"/>
          <w:noProof/>
        </w:rPr>
      </w:pPr>
      <w:hyperlink w:anchor="_Toc229140655" w:history="1">
        <w:r w:rsidRPr="007E618C">
          <w:rPr>
            <w:rStyle w:val="Hyperlink"/>
            <w:noProof/>
          </w:rPr>
          <w:t>3.</w:t>
        </w:r>
        <w:r>
          <w:rPr>
            <w:rFonts w:asciiTheme="minorHAnsi" w:eastAsiaTheme="minorEastAsia" w:hAnsiTheme="minorHAnsi" w:cstheme="minorBidi"/>
            <w:noProof/>
          </w:rPr>
          <w:tab/>
        </w:r>
        <w:r w:rsidR="0036103A">
          <w:t>BINNENMARKT, PRODUKTION, VERBRAUCH</w:t>
        </w:r>
        <w:r>
          <w:rPr>
            <w:noProof/>
            <w:webHidden/>
          </w:rPr>
          <w:tab/>
        </w:r>
        <w:r>
          <w:rPr>
            <w:noProof/>
            <w:webHidden/>
          </w:rPr>
          <w:fldChar w:fldCharType="begin"/>
        </w:r>
        <w:r>
          <w:rPr>
            <w:noProof/>
            <w:webHidden/>
          </w:rPr>
          <w:instrText xml:space="preserve"> PAGEREF _Toc229140655 \h </w:instrText>
        </w:r>
        <w:r>
          <w:rPr>
            <w:noProof/>
            <w:webHidden/>
          </w:rPr>
        </w:r>
        <w:r>
          <w:rPr>
            <w:noProof/>
            <w:webHidden/>
          </w:rPr>
          <w:fldChar w:fldCharType="separate"/>
        </w:r>
        <w:r w:rsidR="0036103A">
          <w:rPr>
            <w:noProof/>
            <w:webHidden/>
          </w:rPr>
          <w:t>14</w:t>
        </w:r>
        <w:r>
          <w:rPr>
            <w:noProof/>
            <w:webHidden/>
          </w:rPr>
          <w:fldChar w:fldCharType="end"/>
        </w:r>
      </w:hyperlink>
    </w:p>
    <w:p w14:paraId="71F08A6C" w14:textId="7DA28AB5" w:rsidR="00A067F3" w:rsidRDefault="00A067F3" w:rsidP="0036103A">
      <w:pPr>
        <w:pStyle w:val="TOC1"/>
        <w:rPr>
          <w:rFonts w:asciiTheme="minorHAnsi" w:eastAsiaTheme="minorEastAsia" w:hAnsiTheme="minorHAnsi" w:cstheme="minorBidi"/>
          <w:noProof/>
        </w:rPr>
      </w:pPr>
      <w:hyperlink w:anchor="_Toc229140656" w:history="1">
        <w:r w:rsidRPr="007E618C">
          <w:rPr>
            <w:rStyle w:val="Hyperlink"/>
            <w:noProof/>
          </w:rPr>
          <w:t>4.</w:t>
        </w:r>
        <w:r>
          <w:rPr>
            <w:rFonts w:asciiTheme="minorHAnsi" w:eastAsiaTheme="minorEastAsia" w:hAnsiTheme="minorHAnsi" w:cstheme="minorBidi"/>
            <w:noProof/>
          </w:rPr>
          <w:tab/>
        </w:r>
        <w:r w:rsidR="00207396">
          <w:t>LANDWIRTSCHAFT, LÄNDLICHE ENTWICKLUNG, UMWELT</w:t>
        </w:r>
        <w:r>
          <w:rPr>
            <w:noProof/>
            <w:webHidden/>
          </w:rPr>
          <w:tab/>
        </w:r>
        <w:r>
          <w:rPr>
            <w:noProof/>
            <w:webHidden/>
          </w:rPr>
          <w:fldChar w:fldCharType="begin"/>
        </w:r>
        <w:r>
          <w:rPr>
            <w:noProof/>
            <w:webHidden/>
          </w:rPr>
          <w:instrText xml:space="preserve"> PAGEREF _Toc229140656 \h </w:instrText>
        </w:r>
        <w:r>
          <w:rPr>
            <w:noProof/>
            <w:webHidden/>
          </w:rPr>
        </w:r>
        <w:r>
          <w:rPr>
            <w:noProof/>
            <w:webHidden/>
          </w:rPr>
          <w:fldChar w:fldCharType="separate"/>
        </w:r>
        <w:r w:rsidR="0036103A">
          <w:rPr>
            <w:noProof/>
            <w:webHidden/>
          </w:rPr>
          <w:t>27</w:t>
        </w:r>
        <w:r>
          <w:rPr>
            <w:noProof/>
            <w:webHidden/>
          </w:rPr>
          <w:fldChar w:fldCharType="end"/>
        </w:r>
      </w:hyperlink>
    </w:p>
    <w:p w14:paraId="33FB345E" w14:textId="27AD7FB8" w:rsidR="00A067F3" w:rsidRDefault="00A067F3" w:rsidP="0036103A">
      <w:pPr>
        <w:pStyle w:val="TOC1"/>
        <w:rPr>
          <w:rFonts w:asciiTheme="minorHAnsi" w:eastAsiaTheme="minorEastAsia" w:hAnsiTheme="minorHAnsi" w:cstheme="minorBidi"/>
          <w:noProof/>
        </w:rPr>
      </w:pPr>
      <w:hyperlink w:anchor="_Toc229140657" w:history="1">
        <w:r w:rsidRPr="007E618C">
          <w:rPr>
            <w:rStyle w:val="Hyperlink"/>
            <w:noProof/>
          </w:rPr>
          <w:t>5.</w:t>
        </w:r>
        <w:r>
          <w:rPr>
            <w:rFonts w:asciiTheme="minorHAnsi" w:eastAsiaTheme="minorEastAsia" w:hAnsiTheme="minorHAnsi" w:cstheme="minorBidi"/>
            <w:noProof/>
          </w:rPr>
          <w:tab/>
        </w:r>
        <w:r w:rsidR="00207396">
          <w:t>AUẞENBEZIEHUNGEN</w:t>
        </w:r>
        <w:r>
          <w:rPr>
            <w:noProof/>
            <w:webHidden/>
          </w:rPr>
          <w:tab/>
        </w:r>
        <w:r>
          <w:rPr>
            <w:noProof/>
            <w:webHidden/>
          </w:rPr>
          <w:fldChar w:fldCharType="begin"/>
        </w:r>
        <w:r>
          <w:rPr>
            <w:noProof/>
            <w:webHidden/>
          </w:rPr>
          <w:instrText xml:space="preserve"> PAGEREF _Toc229140657 \h </w:instrText>
        </w:r>
        <w:r>
          <w:rPr>
            <w:noProof/>
            <w:webHidden/>
          </w:rPr>
        </w:r>
        <w:r>
          <w:rPr>
            <w:noProof/>
            <w:webHidden/>
          </w:rPr>
          <w:fldChar w:fldCharType="separate"/>
        </w:r>
        <w:r w:rsidR="0036103A">
          <w:rPr>
            <w:noProof/>
            <w:webHidden/>
          </w:rPr>
          <w:t>35</w:t>
        </w:r>
        <w:r>
          <w:rPr>
            <w:noProof/>
            <w:webHidden/>
          </w:rPr>
          <w:fldChar w:fldCharType="end"/>
        </w:r>
      </w:hyperlink>
    </w:p>
    <w:p w14:paraId="4714B99D" w14:textId="738DDCBA" w:rsidR="00A067F3" w:rsidRDefault="00A067F3" w:rsidP="0036103A">
      <w:pPr>
        <w:pStyle w:val="TOC1"/>
        <w:rPr>
          <w:rFonts w:asciiTheme="minorHAnsi" w:eastAsiaTheme="minorEastAsia" w:hAnsiTheme="minorHAnsi" w:cstheme="minorBidi"/>
          <w:noProof/>
        </w:rPr>
      </w:pPr>
      <w:hyperlink w:anchor="_Toc229140659" w:history="1">
        <w:r w:rsidRPr="007E618C">
          <w:rPr>
            <w:rStyle w:val="Hyperlink"/>
            <w:noProof/>
          </w:rPr>
          <w:t>6.</w:t>
        </w:r>
        <w:r>
          <w:rPr>
            <w:rFonts w:asciiTheme="minorHAnsi" w:eastAsiaTheme="minorEastAsia" w:hAnsiTheme="minorHAnsi" w:cstheme="minorBidi"/>
            <w:noProof/>
          </w:rPr>
          <w:tab/>
        </w:r>
        <w:r w:rsidR="00207396">
          <w:t>BERATENDE KOMMISSION FÜR DEN INDUSTRIELLEN WANDEL</w:t>
        </w:r>
        <w:r>
          <w:rPr>
            <w:noProof/>
            <w:webHidden/>
          </w:rPr>
          <w:tab/>
        </w:r>
        <w:r>
          <w:rPr>
            <w:noProof/>
            <w:webHidden/>
          </w:rPr>
          <w:fldChar w:fldCharType="begin"/>
        </w:r>
        <w:r>
          <w:rPr>
            <w:noProof/>
            <w:webHidden/>
          </w:rPr>
          <w:instrText xml:space="preserve"> PAGEREF _Toc229140659 \h </w:instrText>
        </w:r>
        <w:r>
          <w:rPr>
            <w:noProof/>
            <w:webHidden/>
          </w:rPr>
        </w:r>
        <w:r>
          <w:rPr>
            <w:noProof/>
            <w:webHidden/>
          </w:rPr>
          <w:fldChar w:fldCharType="separate"/>
        </w:r>
        <w:r w:rsidR="0036103A">
          <w:rPr>
            <w:noProof/>
            <w:webHidden/>
          </w:rPr>
          <w:t>39</w:t>
        </w:r>
        <w:r>
          <w:rPr>
            <w:noProof/>
            <w:webHidden/>
          </w:rPr>
          <w:fldChar w:fldCharType="end"/>
        </w:r>
      </w:hyperlink>
    </w:p>
    <w:p w14:paraId="4982DD6B" w14:textId="0121901C"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36103A" w:rsidRDefault="004D7AC0" w:rsidP="0036103A">
      <w:pPr>
        <w:pStyle w:val="Heading2"/>
      </w:pPr>
      <w:bookmarkStart w:id="0" w:name="_Toc229140653"/>
      <w:r w:rsidRPr="0036103A">
        <w:t>WIRTSCHAFTS- UND WÄHRUNGSUNION, WIRTSCHAFTLICHER UND SOZIALER ZUSAMMENHALT</w:t>
      </w:r>
      <w:bookmarkEnd w:id="0"/>
    </w:p>
    <w:p w14:paraId="4982DD6E" w14:textId="77777777" w:rsidR="004D7AC0" w:rsidRDefault="004D7AC0" w:rsidP="001766B2"/>
    <w:p w14:paraId="258C871E" w14:textId="600FF6C6" w:rsidR="00F37962" w:rsidRPr="004C6742" w:rsidRDefault="00597E76"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EU-Agenda für lebenswerte Städte</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317"/>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Berichterstatter</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Ko-Berichterstatter</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(Gruppe Arbeitnehmer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(Gruppe Organisationen der Zivilgesellschaft –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Referenzdokumente:</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proofErr w:type="gramStart"/>
            <w:r>
              <w:t>COM(</w:t>
            </w:r>
            <w:proofErr w:type="gramEnd"/>
            <w:r>
              <w:t>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Kernaussagen</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Der EWSA</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betrachtet die Städte als das Rückgrat der wirtschaftlichen, sozialen und territorialen Entwicklung der Europäischen Union. Sie sind zentrale Räume für die soziale, ökologische und wirtschaftliche Transformation, wo Innovation auf die Verbesserung der Lebensqualität ausgerichtet werden sollte;</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proofErr w:type="gramStart"/>
      <w:r>
        <w:t>begrüßt</w:t>
      </w:r>
      <w:proofErr w:type="gramEnd"/>
      <w:r>
        <w:t xml:space="preserve"> zwar den komplexen Ansatz und die Absicht der Kommission, die EU-Agenda für Städte und ihre übergeordnete Vision von wohlhabenden, lebenswerten und inklusiven Städten zu stärken, ist jedoch der Ansicht, dass die vorgeschlagene Agenda hinter den erklärten Zielen zurückbleibt;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empfiehlt, ihn neben dem Ausschuss der Regionen offiziell in die EU-Agenda für Städte einzubinden, da dies seiner ihm in der Ljubljana-Vereinbarung und im Pakt von Amsterdam zugesprochenen formellen Rolle entsprechen würde. Außerdem sollte der EWSA aktiv in alle Bereiche der Städteagenda einbezogen werden;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schlägt vor, die EU-Agenda für Städte fest in der Multi-Level-</w:t>
      </w:r>
      <w:proofErr w:type="spellStart"/>
      <w:r>
        <w:t>Governance</w:t>
      </w:r>
      <w:proofErr w:type="spellEnd"/>
      <w:r>
        <w:t>, dem Partnerschaftsprinzip und einem ortsbezogenen Ansatz zu verankern. Sie muss eine ausgewogene territoriale Entwicklung sicherstellen und den sozialen und zivilgesellschaftlichen Dialog stärken;</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fordert die Kommission deshalb auf:</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sowohl den EWSA als auch die Städte bei der Gestaltung der EU-Städtepolitik nicht nur als durchführende Akteure, sondern formell als gleichberechtigte Partner anzuerkennen, indem dauerhafte und strukturierte Multi-Level-</w:t>
      </w:r>
      <w:proofErr w:type="spellStart"/>
      <w:r>
        <w:t>Governance</w:t>
      </w:r>
      <w:proofErr w:type="spellEnd"/>
      <w:r>
        <w:t>-Regelungen eingeführt werden;</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das Partnerschaftsprinzip zu stärken, indem die systematische und konkrete Einbeziehung der organisierten Zivilgesellschaft während des gesamten Politikzyklus der EU-Agenda für Städte sichergestellt wird;</w:t>
      </w:r>
    </w:p>
    <w:p w14:paraId="1A186602" w14:textId="4CBED362" w:rsidR="00F37962" w:rsidRPr="00E129EB" w:rsidRDefault="00F37962" w:rsidP="00F37962">
      <w:pPr>
        <w:numPr>
          <w:ilvl w:val="0"/>
          <w:numId w:val="6"/>
        </w:numPr>
        <w:overflowPunct w:val="0"/>
        <w:autoSpaceDE w:val="0"/>
        <w:autoSpaceDN w:val="0"/>
        <w:adjustRightInd w:val="0"/>
        <w:contextualSpacing/>
        <w:textAlignment w:val="baseline"/>
        <w:rPr>
          <w:szCs w:val="20"/>
        </w:rPr>
      </w:pPr>
      <w:r>
        <w:t>einen konkreten und operativen Aktionsrahmen für die EU-Agenda für Städte vorzusehen, der klar definierte Zuständigkeiten, Zeitpläne und messbare Indikatoren umfasst, und systematische territoriale Folgenabschätzungen zur Bewertung der Auswirkungen der EU</w:t>
      </w:r>
      <w:r w:rsidR="005B6118">
        <w:noBreakHyphen/>
      </w:r>
      <w:r>
        <w:t>Rechtsvorschriften auf Städte einzuführen;</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für eine angemessene, verlässliche und zugängliche Finanzierung der Stadtentwicklung zu sorgen, einschließlich eines direkten Zugangs der Städte zu EU-Mitteln;</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einen integrierten, projektorientierten und ortsbezogenen Ansatz für den territorialen Zusammenhalt zu fördern, mit dem die Komplementarität zwischen Stadt und Land ausdrücklich gestärkt wird;</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t>einen städtischen Dialog auf EU-Ebene im Rahmen der EU-Plattform „Städte“ zu entwickeln, der zum Ziel hat, die Bedeutung des sozialen und des zivilgesellschaftlichen Dialogs in Bezug auf beschäftigungsrelevante Fragen hervorzuheben,</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den Fonds für technische Hilfe für Städte aufzustocken und eine spezielle europäische Initiative oder einen speziellen europäischen Fonds einzuführen, die bzw. der direkt auf städtische Projekte ausgerichtet ist;</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klare Konsultationsstandards vorzuschlagen, um eine sinnvolle, frühzeitige und repräsentative Einbeziehung der Sozialpartner und der Zivilgesellschaft auf allen Ebenen sicherzustellen;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auf EU-Ebene einen einheitlichen Rahmen für die Erhebung und Meldung städtischer Daten zu schaffen, um die Vergleichbarkeit der Indikatoren und eine wirksame Überwachung in allen Mitgliedstaaten sicherzustellen;</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Wohnraum als strukturelles gesellschaftliches und wirtschaftliches Problem anstatt als Marktergebnis anzuerkennen und einen EU-Rahmen zu fordern, der den Zugang zu erschwinglichem Wohnraum gewährleistet.</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ist der Auffassung, dass die von der örtlichen Bevölkerung betriebenen Maßnahmen (CLLD) der wichtigste Mechanismus für den Einsatz der kohäsionspolitischen Mittel im Rahmen eines integrierten und ortsbezogenen Ansatzes sind. In Städten/städtischen Gebieten muss die CLLD-U über den derzeitigen Pilotstatus hinausgehen und als eines der wirksamsten Instrumente zur Aktivierung lokaler Gemeinschaften, zur Schaffung von Arbeitsplätzen, zur Stärkung der Sozialwirtschaft und zur Einbeziehung von Interessenträgern anerkannt werden;</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ist der Auffassung, dass eine spezielle Maßnahme eingeführt werden sollte, um die CLLD-U für die Zukunft zu konsolidieren und ihre formelle Einbeziehung in die Entscheidungsprozesse auf EU-Ebene und in gezielte technische Konsultationen mit Sachverständigen sicherzustellen.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Kontakt</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Tel.</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E-Mail</w:t>
            </w:r>
          </w:p>
        </w:tc>
        <w:tc>
          <w:tcPr>
            <w:tcW w:w="7904" w:type="dxa"/>
          </w:tcPr>
          <w:p w14:paraId="122227DF" w14:textId="77777777" w:rsidR="00F37962" w:rsidRPr="00E129EB" w:rsidRDefault="00597E76" w:rsidP="002E7EFB">
            <w:pPr>
              <w:overflowPunct w:val="0"/>
              <w:autoSpaceDE w:val="0"/>
              <w:autoSpaceDN w:val="0"/>
              <w:adjustRightInd w:val="0"/>
              <w:textAlignment w:val="baseline"/>
              <w:rPr>
                <w:i/>
                <w:iCs/>
              </w:rPr>
            </w:pPr>
            <w:hyperlink r:id="rId22" w:history="1">
              <w:r>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611BE12E" w:rsidR="00F37962" w:rsidRDefault="00A067F3" w:rsidP="004C6742">
      <w:pPr>
        <w:pStyle w:val="ListParagraph"/>
        <w:numPr>
          <w:ilvl w:val="0"/>
          <w:numId w:val="76"/>
        </w:numPr>
      </w:pPr>
      <w:hyperlink r:id="rId23" w:history="1">
        <w:r>
          <w:rPr>
            <w:b/>
            <w:i/>
            <w:color w:val="0000FF"/>
            <w:sz w:val="28"/>
            <w:u w:val="single"/>
          </w:rPr>
          <w:t xml:space="preserve">Maßnahmenpaket zu Zusatzrenten: PEPP und </w:t>
        </w:r>
        <w:proofErr w:type="spellStart"/>
        <w:r>
          <w:rPr>
            <w:b/>
            <w:i/>
            <w:color w:val="0000FF"/>
            <w:sz w:val="28"/>
            <w:u w:val="single"/>
          </w:rPr>
          <w:t>EbAV</w:t>
        </w:r>
        <w:proofErr w:type="spellEnd"/>
      </w:hyperlink>
    </w:p>
    <w:p w14:paraId="2C43C133" w14:textId="59A61810" w:rsidR="00F37962" w:rsidRPr="009360D7" w:rsidRDefault="00F37962" w:rsidP="004C6742">
      <w:pPr>
        <w:pStyle w:val="ListParagraph"/>
        <w:rPr>
          <w:sz w:val="20"/>
          <w:szCs w:val="20"/>
          <w:lang w:val="en-GB"/>
        </w:rPr>
      </w:pPr>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284"/>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Berichterstatterin</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BARRERA CHAMORRO Maria del Carmen (Gruppe Arbeitnehmer –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Referenzdokumente:</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proofErr w:type="gramStart"/>
            <w:r>
              <w:t>COM(</w:t>
            </w:r>
            <w:proofErr w:type="gramEnd"/>
            <w:r>
              <w:t xml:space="preserve">2025) 839 final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proofErr w:type="gramStart"/>
            <w:r>
              <w:t>COM(</w:t>
            </w:r>
            <w:proofErr w:type="gramEnd"/>
            <w:r>
              <w:t xml:space="preserve">2025) 840 final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proofErr w:type="gramStart"/>
            <w:r>
              <w:t>COM(</w:t>
            </w:r>
            <w:proofErr w:type="gramEnd"/>
            <w:r>
              <w:t>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Kernaussagen</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rPr>
          <w:bCs/>
          <w:iCs/>
        </w:rPr>
      </w:pPr>
      <w:r>
        <w:t>Der EWSA</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erkennt</w:t>
      </w:r>
      <w:r>
        <w:t xml:space="preserve"> die Vorteile des </w:t>
      </w:r>
      <w:r>
        <w:rPr>
          <w:b/>
        </w:rPr>
        <w:t>Mehr-Säulen-Rentensystems an</w:t>
      </w:r>
      <w:r>
        <w:t xml:space="preserve">, und ist der Ansicht, dass Zusatzrenten nicht als Rechtfertigung für die Schwächung der öffentlichen Renten dienen dürfen. Es gilt sicherzustellen, dass die Bürgerinnen und Bürger in der gesamten Europäischen Union in Würde, Sicherheit und mit einem angemessenen Einkommen in den Ruhestand gehen können. </w:t>
      </w:r>
      <w:r>
        <w:rPr>
          <w:b/>
        </w:rPr>
        <w:t>Es bedarf</w:t>
      </w:r>
      <w:r>
        <w:t xml:space="preserve"> eines </w:t>
      </w:r>
      <w:r>
        <w:rPr>
          <w:b/>
        </w:rPr>
        <w:t>ganzheitlichen Ansatzes</w:t>
      </w:r>
      <w:r>
        <w:t xml:space="preserve"> auf der geeigneten Ebene – national oder EU –, der auf die Verbesserung sowohl der Arbeitsmarktsituation als auch des Zusatzrentensystems abstellt;</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w:t>
      </w:r>
      <w:r>
        <w:t xml:space="preserve"> geeignete Maßnahmen zur </w:t>
      </w:r>
      <w:r>
        <w:rPr>
          <w:b/>
        </w:rPr>
        <w:t xml:space="preserve">Stärkung der partizipativen </w:t>
      </w:r>
      <w:proofErr w:type="spellStart"/>
      <w:r>
        <w:rPr>
          <w:b/>
        </w:rPr>
        <w:t>Governance</w:t>
      </w:r>
      <w:proofErr w:type="spellEnd"/>
      <w:r>
        <w:t xml:space="preserve"> und zur Förderung der Beteiligung der Sozialpartner unter Wahrung der Tarifautonomie und der Vielfalt der in der EU existierenden Systeme;</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w:t>
      </w:r>
      <w:r>
        <w:t xml:space="preserve"> spezifische Änderungen der </w:t>
      </w:r>
      <w:proofErr w:type="spellStart"/>
      <w:r>
        <w:rPr>
          <w:b/>
        </w:rPr>
        <w:t>EbAV</w:t>
      </w:r>
      <w:proofErr w:type="spellEnd"/>
      <w:r>
        <w:rPr>
          <w:b/>
        </w:rPr>
        <w:t>-Richtlinie</w:t>
      </w:r>
      <w:r>
        <w:t>, um die Fragmentierung zu verringern, die Vergleichbarkeit und die Transparenz zu erhöhen und das Vertrauen der Versorgungsanwärter sicherzustellen;</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w:t>
      </w:r>
      <w:r>
        <w:t xml:space="preserve"> spezifische Änderungen der </w:t>
      </w:r>
      <w:r>
        <w:rPr>
          <w:b/>
        </w:rPr>
        <w:t>PEPP-Verordnung</w:t>
      </w:r>
      <w:r>
        <w:t>, unter anderem in Bezug auf die Information und Beratung, die Rolle der EIOPA und grenzüberschreitende Übertragungen;</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w:t>
      </w:r>
      <w:r>
        <w:t xml:space="preserve"> Maßnahmen, um das </w:t>
      </w:r>
      <w:r>
        <w:rPr>
          <w:b/>
        </w:rPr>
        <w:t>geschlechtsspezifische Rentengefälle</w:t>
      </w:r>
      <w:r>
        <w:t xml:space="preserve"> zu verbessern, das </w:t>
      </w:r>
      <w:r>
        <w:rPr>
          <w:b/>
        </w:rPr>
        <w:t>Vertrauen der Öffentlichkeit</w:t>
      </w:r>
      <w:r>
        <w:t xml:space="preserve"> in Altersvorsorgeprodukte </w:t>
      </w:r>
      <w:r>
        <w:rPr>
          <w:b/>
        </w:rPr>
        <w:t>zu stärken</w:t>
      </w:r>
      <w:r>
        <w:t xml:space="preserve"> und </w:t>
      </w:r>
      <w:r>
        <w:rPr>
          <w:b/>
        </w:rPr>
        <w:t>PEPP als private Rentenpläne beizubehalten</w:t>
      </w:r>
      <w:r>
        <w:t xml:space="preserve"> und daher den gemeinsamen Erwerb von PEPP nicht zuzulassen;</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fordert</w:t>
      </w:r>
      <w:r>
        <w:t xml:space="preserve"> die beiden gesetzgebenden Organe auf, eine </w:t>
      </w:r>
      <w:r>
        <w:rPr>
          <w:b/>
        </w:rPr>
        <w:t>Umformulierung</w:t>
      </w:r>
      <w:r>
        <w:t xml:space="preserve"> des in der </w:t>
      </w:r>
      <w:proofErr w:type="spellStart"/>
      <w:r>
        <w:t>EbAV</w:t>
      </w:r>
      <w:proofErr w:type="spellEnd"/>
      <w:r>
        <w:t xml:space="preserve">-Richtlinie enthaltenen </w:t>
      </w:r>
      <w:r>
        <w:rPr>
          <w:b/>
        </w:rPr>
        <w:t>Grundsatzes der unternehmerischen Vorsicht</w:t>
      </w:r>
      <w:r>
        <w:t xml:space="preserve"> in Erwägung zu ziehen, um das </w:t>
      </w:r>
      <w:r>
        <w:rPr>
          <w:b/>
        </w:rPr>
        <w:t>richtige Gleichgewicht</w:t>
      </w:r>
      <w:r>
        <w:t xml:space="preserve"> zwischen Anlagerisiko und Absicherung der eingezahlten Beträge zu gewährleisten;</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w:t>
      </w:r>
      <w:r>
        <w:t xml:space="preserve">, die </w:t>
      </w:r>
      <w:r>
        <w:rPr>
          <w:b/>
        </w:rPr>
        <w:t>automatische Mitgliedschaft</w:t>
      </w:r>
      <w:r>
        <w:t xml:space="preserve"> ggf. erst nach einem verstärkten </w:t>
      </w:r>
      <w:r>
        <w:rPr>
          <w:b/>
        </w:rPr>
        <w:t>sozialen Dialog</w:t>
      </w:r>
      <w:r>
        <w:t xml:space="preserve"> und umfassenderen Tarifverhandlungen unter Wahrung der Tarifautonomie der Sozialpartner bei der Aushandlung, Gestaltung und Festlegung einer solchen Regelung umzusetzen;</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w:t>
      </w:r>
      <w:r>
        <w:t xml:space="preserve"> die Einsetzung eines </w:t>
      </w:r>
      <w:r>
        <w:rPr>
          <w:b/>
        </w:rPr>
        <w:t>Überwachungsausschusses</w:t>
      </w:r>
      <w:r>
        <w:t xml:space="preserve"> durch die Europäische Kommission, der die </w:t>
      </w:r>
      <w:r>
        <w:rPr>
          <w:b/>
        </w:rPr>
        <w:t>Fortschritte bei den Zusatzrenten wirksam überwacht</w:t>
      </w:r>
      <w:r>
        <w:t xml:space="preserve">. Dem Ausschuss sollten Behörden, Sozialpartner und Organisationen der Zivilgesellschaft angehören. Seine Arbeiten sollten als Grundlage für künftige regulatorische Änderungen </w:t>
      </w:r>
      <w:r>
        <w:rPr>
          <w:b/>
        </w:rPr>
        <w:t>herangezogen werden</w:t>
      </w:r>
      <w:r>
        <w:t xml:space="preserve"> und in die Arbeiten des Europäischen Semesters und des Rates einfließen;</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 Maßnahmen</w:t>
      </w:r>
      <w:r>
        <w:t xml:space="preserve"> zur </w:t>
      </w:r>
      <w:r>
        <w:rPr>
          <w:b/>
        </w:rPr>
        <w:t>Abmilderung</w:t>
      </w:r>
      <w:r>
        <w:t xml:space="preserve"> der möglichen Auswirkungen auf die </w:t>
      </w:r>
      <w:r>
        <w:rPr>
          <w:b/>
        </w:rPr>
        <w:t>Tragfähigkeit</w:t>
      </w:r>
      <w:r>
        <w:t xml:space="preserve"> der Renten sowie auf </w:t>
      </w:r>
      <w:r>
        <w:rPr>
          <w:b/>
        </w:rPr>
        <w:t>Armut und Ungleichheit;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empfiehlt</w:t>
      </w:r>
      <w:r>
        <w:t xml:space="preserve"> die Koordinierung und </w:t>
      </w:r>
      <w:r>
        <w:rPr>
          <w:b/>
        </w:rPr>
        <w:t>Digitalisierung der europäischen Systeme der sozialen Sicherheit</w:t>
      </w:r>
      <w:r>
        <w:t xml:space="preserve"> zu vollenden;</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t>unterstreicht</w:t>
      </w:r>
      <w:r>
        <w:t xml:space="preserve"> die Notwendigkeit von </w:t>
      </w:r>
      <w:r>
        <w:rPr>
          <w:b/>
        </w:rPr>
        <w:t>Finanzbildung</w:t>
      </w:r>
      <w:r>
        <w:t xml:space="preserve"> und von benutzerfreundlichen </w:t>
      </w:r>
      <w:r>
        <w:rPr>
          <w:b/>
        </w:rPr>
        <w:t>Instrumenten, mit denen sich die Entwicklung der Rentenansprüche einfach verfolgen lässt.</w:t>
      </w:r>
      <w:r>
        <w:t xml:space="preserve"> Notwendig ist auch der Zugang zu </w:t>
      </w:r>
      <w:r>
        <w:rPr>
          <w:b/>
        </w:rPr>
        <w:t>Beratung und Orientierung,</w:t>
      </w:r>
      <w:r>
        <w:t xml:space="preserve"> wenn Entscheidungen zu treffen sind.</w:t>
      </w:r>
    </w:p>
    <w:p w14:paraId="029BFBEF" w14:textId="77777777" w:rsidR="00613302" w:rsidRPr="009360D7" w:rsidRDefault="00613302" w:rsidP="00F37962">
      <w:pPr>
        <w:widowControl w:val="0"/>
        <w:overflowPunct w:val="0"/>
        <w:autoSpaceDE w:val="0"/>
        <w:autoSpaceDN w:val="0"/>
        <w:adjustRightInd w:val="0"/>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t>Kontakt</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Pr>
                <w:i/>
              </w:rPr>
              <w:t>Sergio Lorencio 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Tel.</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E-Mail</w:t>
            </w:r>
          </w:p>
        </w:tc>
        <w:tc>
          <w:tcPr>
            <w:tcW w:w="3923" w:type="pct"/>
          </w:tcPr>
          <w:p w14:paraId="5475F81E" w14:textId="77777777" w:rsidR="00F37962" w:rsidRPr="009360D7" w:rsidRDefault="00597E76" w:rsidP="002E7EFB">
            <w:pPr>
              <w:overflowPunct w:val="0"/>
              <w:autoSpaceDE w:val="0"/>
              <w:autoSpaceDN w:val="0"/>
              <w:adjustRightInd w:val="0"/>
              <w:textAlignment w:val="baseline"/>
              <w:rPr>
                <w:i/>
              </w:rPr>
            </w:pPr>
            <w:hyperlink r:id="rId24" w:history="1">
              <w:r>
                <w:rPr>
                  <w:i/>
                  <w:color w:val="0000FF"/>
                  <w:u w:val="single"/>
                </w:rPr>
                <w:t>Sergio.LorencioMatallana@eesc.europa.eu</w:t>
              </w:r>
            </w:hyperlink>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8" w14:textId="69FA0768" w:rsidR="004D7AC0" w:rsidRDefault="004D7AC0" w:rsidP="001766B2">
      <w:pPr>
        <w:jc w:val="left"/>
      </w:pPr>
    </w:p>
    <w:p w14:paraId="4982DD99" w14:textId="592F9C95" w:rsidR="004D7AC0" w:rsidRDefault="004D7AC0" w:rsidP="004C6742">
      <w:pPr>
        <w:pStyle w:val="Heading2"/>
      </w:pPr>
      <w:bookmarkStart w:id="1" w:name="_Toc75527081"/>
      <w:bookmarkStart w:id="2" w:name="_Toc229140654"/>
      <w:r>
        <w:t>BESCHÄFTIGUNG, SOZIALFRAGEN, UNIONSBÜRGERSCHAFT</w:t>
      </w:r>
      <w:bookmarkEnd w:id="1"/>
      <w:bookmarkEnd w:id="2"/>
    </w:p>
    <w:p w14:paraId="4982DD9A" w14:textId="77777777" w:rsidR="004D7AC0" w:rsidRDefault="004D7AC0" w:rsidP="001766B2"/>
    <w:p w14:paraId="0FBA9E33" w14:textId="37FB2076" w:rsidR="00943240" w:rsidRPr="00943240"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Verbot von Konversionsmaßnahmen in der Europäischen Union</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264"/>
      </w:tblGrid>
      <w:tr w:rsidR="00943240" w:rsidRPr="00943240" w14:paraId="4E8345CE" w14:textId="77777777" w:rsidTr="005B6118">
        <w:tc>
          <w:tcPr>
            <w:tcW w:w="1916"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Berichterstatter</w:t>
            </w:r>
          </w:p>
        </w:tc>
        <w:tc>
          <w:tcPr>
            <w:tcW w:w="7264"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(Gruppe Arbeitnehmer – FR)</w:t>
            </w:r>
          </w:p>
        </w:tc>
      </w:tr>
      <w:tr w:rsidR="00943240" w:rsidRPr="00943240" w14:paraId="007125B5" w14:textId="77777777" w:rsidTr="005B6118">
        <w:tc>
          <w:tcPr>
            <w:tcW w:w="1916"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Ko-Berichterstatter</w:t>
            </w:r>
          </w:p>
        </w:tc>
        <w:tc>
          <w:tcPr>
            <w:tcW w:w="7264" w:type="dxa"/>
          </w:tcPr>
          <w:p w14:paraId="00A2CBCD" w14:textId="77777777" w:rsidR="00943240" w:rsidRPr="00943240" w:rsidRDefault="00943240" w:rsidP="00943240">
            <w:pPr>
              <w:overflowPunct w:val="0"/>
              <w:autoSpaceDE w:val="0"/>
              <w:autoSpaceDN w:val="0"/>
              <w:adjustRightInd w:val="0"/>
              <w:ind w:left="567" w:hanging="567"/>
              <w:textAlignment w:val="baseline"/>
            </w:pPr>
            <w:r>
              <w:t>Ionuț SIBIAN (Gruppe Organisationen der Zivilgesellschaft – RO)</w:t>
            </w:r>
          </w:p>
        </w:tc>
      </w:tr>
      <w:tr w:rsidR="00943240" w:rsidRPr="00943240" w14:paraId="2715214D" w14:textId="77777777" w:rsidTr="005B6118">
        <w:tc>
          <w:tcPr>
            <w:tcW w:w="1916"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7264"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5B6118">
        <w:tc>
          <w:tcPr>
            <w:tcW w:w="1916"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Referenzdokument:</w:t>
            </w:r>
          </w:p>
        </w:tc>
        <w:tc>
          <w:tcPr>
            <w:tcW w:w="7264"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Initiativstellungnahme</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5B6118">
        <w:tc>
          <w:tcPr>
            <w:tcW w:w="1916"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7264"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Kernaussagen</w:t>
      </w:r>
    </w:p>
    <w:p w14:paraId="367A8012" w14:textId="77777777" w:rsidR="00943240" w:rsidRPr="00943240" w:rsidRDefault="00943240" w:rsidP="00943240">
      <w:pPr>
        <w:spacing w:before="100" w:beforeAutospacing="1" w:after="100" w:afterAutospacing="1" w:line="240" w:lineRule="auto"/>
        <w:jc w:val="left"/>
        <w:rPr>
          <w:b/>
          <w:bCs/>
        </w:rPr>
      </w:pPr>
      <w:r>
        <w:t>Der EWSA</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verurteilt aufs Schärfste alle Formen von Konversionsmaßnahmen, die darauf abzielen, die sexuelle Ausrichtung, die Geschlechtsidentität und/oder den Ausdruck der Geschlechtlichkeit einer Person zu ändern, zu unterdrücken oder auszulöschen, und vertritt die Ansicht, dass sie gegen das absolute Verbot von Folter und unmenschlicher oder erniedrigender Behandlung oder Strafe verstoßen;</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 xml:space="preserve">weist darauf hin, dass es mit den Grundrechten und den Werten der EU unvereinbar ist, wenn LGBTIQ+-Personen in der </w:t>
      </w:r>
      <w:proofErr w:type="gramStart"/>
      <w:r>
        <w:t>EU Diskriminierung</w:t>
      </w:r>
      <w:proofErr w:type="gramEnd"/>
      <w:r>
        <w:t>, Gewalt und Folter ausgesetzt sind;</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 xml:space="preserve">fordert die Europäische Kommission auf, ein rechtsverbindliches EU-weites Verbot von Konversionsmaßnahmen vorzuschlagen, </w:t>
      </w:r>
      <w:proofErr w:type="gramStart"/>
      <w:r>
        <w:t>das</w:t>
      </w:r>
      <w:proofErr w:type="gramEnd"/>
      <w:r>
        <w:t xml:space="preserve"> sowohl die Durchführung solcher Maßnahmen als auch die Werbung dafür umfasst, indem Konversionsmaßnahmen als EU-Straftatbestände aufgenommen und als Hassverbrechen anerkannt werden, um ein einheitliches Schutzniveau in der gesamten EU zu gewährleisten;</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fordert nachdrücklich, dass das Verbot umfassend und präzise gefasst ist, sich sowohl auf Kinder als auch auf Erwachsene erstreckt, alle öffentlichen, privaten, gewerblichen und nichtgewerblichen Akteure abdeckt und sicherstellt, dass Opfer niemals strafrechtlich oder zivilrechtlich haftbar gemacht werden können;</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besteht darauf, dass das Verbot wirksame, verhältnismäßige und abschreckende Strafen umfasst, die der Schwere der Schädigung entsprechen, die Konversionsmaßnahmen verursachen;</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fordert, dass sich das Verbot auch ausdrücklich auf Geschlechtsmerkmale erstrecken sollte, damit intersexuelle Personen vor nichttherapeutischen und nicht einvernehmlichen Eingriffen, in deren Fall eine binäre Geschlechtszuordnung erzwungen wird, geschützt sind;</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empfiehlt robuste Umsetzungsmaßnahmen im Rahmen der LGBTIQ+ Gleichstellungsstrategie 2026–2030. Dazu sollten eine jährliche Bewertung in Absprache mit Organisationen der Zivilgesellschaft, spezifische Mittel für Berufsbildungs- und Gleichstellungsorganisationen sowie von der EU unterstützte Bildungs- und Sensibilisierungsinitiativen gehören, die für die Feststellung und Unterbindung solcher Praktiken von wesentlicher Bedeutung sind.</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7970"/>
      </w:tblGrid>
      <w:tr w:rsidR="00943240" w:rsidRPr="00943240" w14:paraId="4E107AFC" w14:textId="77777777" w:rsidTr="005B6118">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Kontakt</w:t>
            </w:r>
          </w:p>
        </w:tc>
        <w:tc>
          <w:tcPr>
            <w:tcW w:w="7970"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5B6118">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w:t>
            </w:r>
          </w:p>
        </w:tc>
        <w:tc>
          <w:tcPr>
            <w:tcW w:w="7970"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5B6118">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E-Mail</w:t>
            </w:r>
          </w:p>
        </w:tc>
        <w:tc>
          <w:tcPr>
            <w:tcW w:w="7970" w:type="dxa"/>
          </w:tcPr>
          <w:p w14:paraId="33C773EF" w14:textId="77777777" w:rsidR="00943240" w:rsidRPr="00943240" w:rsidRDefault="00597E76" w:rsidP="00943240">
            <w:pPr>
              <w:overflowPunct w:val="0"/>
              <w:autoSpaceDE w:val="0"/>
              <w:autoSpaceDN w:val="0"/>
              <w:adjustRightInd w:val="0"/>
              <w:spacing w:line="240" w:lineRule="auto"/>
              <w:textAlignment w:val="baseline"/>
              <w:rPr>
                <w:i/>
                <w:iCs/>
              </w:rPr>
            </w:pPr>
            <w:hyperlink r:id="rId26" w:history="1">
              <w:r>
                <w:rPr>
                  <w:i/>
                  <w:color w:val="0000FF"/>
                  <w:u w:val="single"/>
                </w:rPr>
                <w:t>Bartek.Bednarowicz@eesc.europa.eu</w:t>
              </w:r>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19030F91" w:rsidR="00354B98" w:rsidRPr="00354B98" w:rsidRDefault="00597E76"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Pr>
            <w:b/>
            <w:i/>
            <w:color w:val="0000FF"/>
            <w:sz w:val="28"/>
            <w:u w:val="single"/>
          </w:rPr>
          <w:t>Eine Union der Gleichheit: Strategie für die Gleichstellung von LGBTIQ+-Personen 2026-2030</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175"/>
      </w:tblGrid>
      <w:tr w:rsidR="00354B98" w:rsidRPr="00354B98" w14:paraId="5A523F39" w14:textId="77777777" w:rsidTr="005B6118">
        <w:tc>
          <w:tcPr>
            <w:tcW w:w="2005"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Berichterstatterin</w:t>
            </w:r>
          </w:p>
        </w:tc>
        <w:tc>
          <w:tcPr>
            <w:tcW w:w="7175"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(Gruppe Organisationen der Zivilgesellschaft – DK)</w:t>
            </w:r>
          </w:p>
        </w:tc>
      </w:tr>
      <w:tr w:rsidR="00354B98" w:rsidRPr="00354B98" w14:paraId="47C7615B" w14:textId="77777777" w:rsidTr="005B6118">
        <w:tc>
          <w:tcPr>
            <w:tcW w:w="2005"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7175"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4E110D3A" w14:textId="77777777" w:rsidTr="005B6118">
        <w:tc>
          <w:tcPr>
            <w:tcW w:w="9180"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5B6118">
        <w:tc>
          <w:tcPr>
            <w:tcW w:w="2005"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Referenzdokumente: </w:t>
            </w:r>
          </w:p>
        </w:tc>
        <w:tc>
          <w:tcPr>
            <w:tcW w:w="7175"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proofErr w:type="gramStart"/>
            <w:r>
              <w:t>COM(</w:t>
            </w:r>
            <w:proofErr w:type="gramEnd"/>
            <w:r>
              <w:t>2025) 725 final</w:t>
            </w:r>
          </w:p>
        </w:tc>
      </w:tr>
      <w:tr w:rsidR="00354B98" w:rsidRPr="00354B98" w14:paraId="1CC90C32" w14:textId="77777777" w:rsidTr="005B6118">
        <w:tc>
          <w:tcPr>
            <w:tcW w:w="2005"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7175"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Kernaussagen</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Der EWSA</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begrüßt die neue Strategie für die Gleichstellung von LGBTIQ+-Personen 2026–2030, fordert jedoch ein entschlosseneres Handeln, da fortdauernde Diskriminierung, Gewalt, Belästigung und Ausgrenzung, von denen insbesondere Trans-, nichtbinäre und intersexuelle Personen betroffen sind, robustere Maßnahmen erfordern; </w:t>
      </w:r>
    </w:p>
    <w:p w14:paraId="6D5257E3" w14:textId="490C16F8"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fordert eine stärkere Durchsetzung und Rechenschaftspflicht durch verbindliche Referenzkriterien, systematische Vertragsverletzungsverfahren, eine an die Rechtsstaatlichkeit geknüpfte Konditionalität und die Umsetzung nationaler Strategien für die Gleichstellung von LGBTIQ+</w:t>
      </w:r>
      <w:r w:rsidR="005B6118">
        <w:noBreakHyphen/>
      </w:r>
      <w:r>
        <w:t xml:space="preserve">Personen;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fordert entschlossene Maßnahmen zum Schutz der Grundrechte und des zivilgesellschaftlichen Raums, indem heftiger Gegenreaktion, Desinformation und Hetze entgegengewirkt und für eine nachhaltige Unterstützung der Zivilgesellschaft gesorgt </w:t>
      </w:r>
      <w:proofErr w:type="gramStart"/>
      <w:r>
        <w:t>wird</w:t>
      </w:r>
      <w:proofErr w:type="gramEnd"/>
      <w:r>
        <w:t xml:space="preserve">;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fordert nachdrücklich die vollständige Gleichstellung im Alltag, indem ein inklusiver Zugang zu Gesundheitsversorgung, Bildung und Beschäftigung sichergestellt und die Inklusion am Arbeitsplatz gestärkt wird;</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fordert die Europäische Kommission auf, ein rechtsverbindliches EU-weites Verbot von Konversionsmaßnahmen vorzuschlagen, </w:t>
      </w:r>
      <w:proofErr w:type="gramStart"/>
      <w:r>
        <w:t>das</w:t>
      </w:r>
      <w:proofErr w:type="gramEnd"/>
      <w:r>
        <w:t xml:space="preserve"> sowohl die Durchführung solcher Maßnahmen als auch die Werbung dafür umfasst, indem Konversionsmaßnahmen als EU-Straftatbestände aufgenommen und als Hassverbrechen anerkannt werden, um ein einheitliches Schutzniveau in der gesamten EU zu gewährleisten;</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fordert, dass strukturelle Ungleichheiten bekämpft werden, indem die Gleichstellung von LGBTIQ+-Personen in die Maßnahmen in den Bereichen soziale Inklusion, Wohnraum und Armutsbekämpfung integriert wird, wobei diejenigen, die intersektioneller Diskriminierung ausgesetzt sind, gezielt unterstützt werden sollten;</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fordert zukunftssichere und rechtebasierte Rahmen, indem rechtliche Lücken geschlossen werden sowie die auf Selbstbestimmung beruhende Anerkennung der Geschlechtszugehörigkeit sichergestellt, der Zugang zur Justiz gestärkt, eine angemessene Finanzierung zivilgesellschaftlicher Organisationen gewährleistet, die Erhebung intersektionaler Daten verbessert und die Gleichstellung in den Bereichen digitale Technologien und KI gewahrt wird.</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354B98" w:rsidRPr="00354B98" w14:paraId="3184797F" w14:textId="77777777" w:rsidTr="005B6118">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Kontakt</w:t>
            </w:r>
          </w:p>
        </w:tc>
        <w:tc>
          <w:tcPr>
            <w:tcW w:w="7762"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5B6118">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w:t>
            </w:r>
          </w:p>
        </w:tc>
        <w:tc>
          <w:tcPr>
            <w:tcW w:w="7762"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5B6118">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E-Mail</w:t>
            </w:r>
          </w:p>
        </w:tc>
        <w:tc>
          <w:tcPr>
            <w:tcW w:w="7762" w:type="dxa"/>
          </w:tcPr>
          <w:p w14:paraId="25F375C5" w14:textId="77777777" w:rsidR="00354B98" w:rsidRPr="00354B98" w:rsidRDefault="00597E76" w:rsidP="00354B98">
            <w:pPr>
              <w:overflowPunct w:val="0"/>
              <w:autoSpaceDE w:val="0"/>
              <w:autoSpaceDN w:val="0"/>
              <w:adjustRightInd w:val="0"/>
              <w:spacing w:line="240" w:lineRule="auto"/>
              <w:textAlignment w:val="baseline"/>
              <w:rPr>
                <w:i/>
                <w:iCs/>
              </w:rPr>
            </w:pPr>
            <w:hyperlink r:id="rId28" w:history="1">
              <w:r>
                <w:rPr>
                  <w:i/>
                  <w:color w:val="0000FF"/>
                  <w:u w:val="single"/>
                </w:rPr>
                <w:t xml:space="preserve">Bartek.Bednarowicz@eesc.europa.eu </w:t>
              </w:r>
            </w:hyperlink>
          </w:p>
        </w:tc>
      </w:tr>
    </w:tbl>
    <w:p w14:paraId="14FBB575" w14:textId="54D599FA" w:rsidR="00C82A9F" w:rsidRDefault="00C82A9F">
      <w:pPr>
        <w:spacing w:after="160" w:line="259" w:lineRule="auto"/>
        <w:jc w:val="left"/>
      </w:pPr>
      <w:r>
        <w:br w:type="page"/>
      </w:r>
    </w:p>
    <w:p w14:paraId="7477FCDA" w14:textId="457A2DC0" w:rsidR="005D43B9" w:rsidRPr="005D43B9" w:rsidRDefault="00597E76"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Europäische Wettbewerbsfähigkeit und Unternehmertum junger Menschen</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264"/>
      </w:tblGrid>
      <w:tr w:rsidR="005D43B9" w:rsidRPr="005D43B9" w14:paraId="2FF33FAA" w14:textId="77777777" w:rsidTr="005B6118">
        <w:tc>
          <w:tcPr>
            <w:tcW w:w="1916"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Berichterstatter</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7264"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(Gruppe Organisationen der Zivilgesellschaft – IT)</w:t>
            </w:r>
          </w:p>
        </w:tc>
      </w:tr>
      <w:tr w:rsidR="005D43B9" w:rsidRPr="005D43B9" w14:paraId="118E6E00" w14:textId="77777777" w:rsidTr="005B6118">
        <w:tc>
          <w:tcPr>
            <w:tcW w:w="1916"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Referenzdokument:</w:t>
            </w:r>
          </w:p>
        </w:tc>
        <w:tc>
          <w:tcPr>
            <w:tcW w:w="7264"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Sondierungsstellungnahme auf Ersuchen des zyprischen Ratsvorsitzes der EU</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5B6118">
        <w:tc>
          <w:tcPr>
            <w:tcW w:w="1916"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7264"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Kernaussagen</w:t>
      </w:r>
    </w:p>
    <w:p w14:paraId="79AD68CC" w14:textId="77777777" w:rsidR="005D43B9" w:rsidRPr="005D43B9" w:rsidRDefault="005D43B9" w:rsidP="005D43B9">
      <w:pPr>
        <w:spacing w:before="100" w:beforeAutospacing="1" w:after="100" w:afterAutospacing="1" w:line="240" w:lineRule="auto"/>
        <w:rPr>
          <w:sz w:val="24"/>
          <w:szCs w:val="24"/>
        </w:rPr>
      </w:pPr>
      <w:r>
        <w:rPr>
          <w:sz w:val="24"/>
        </w:rPr>
        <w:t>Der EWSA</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fordert eine umfassende und koordinierte Strategie der EU und der Mitgliedstaaten, mit der ein integriertes Unterstützungspaket für Jungunternehmer bereitgestellt wird, das zugängliche Finanzierung, maßgeschneiderte Schulungen, Mentoring, Coaching, Unternehmensgründung und starke lokale Ökosysteme miteinander kombiniert, um die Gründung möglichst vieler und tragfähiger Unternehmen zu ermöglichen;</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ruft dazu auf, für einen grundlegenden Wandel beim Zugang zu Finanzmitteln zu sorgen, indem auf junge Menschen zugeschnittene Finanzierungsinstrumente über die traditionellen Bankdarlehen hinaus ausgeweitet werden, auch auf Mikrofinanzierung, alternatives Kapital und eine gezielte Unterstützung für sozialwirtschaftliche Unternehmen sowie andere wirkungsorientierte Modelle;</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fordert nachdrücklich, auf EU-, nationaler und lokaler Ebene deutlich den Verwaltungsaufwand zu verringern und die Rechtsvorschriften zu vereinfachen, um Bürokratie abzubauen, die Befolgungskosten zu senken und ein stabiles, unternehmensfreundliches Umfeld für junge Unternehmer zu schaffen;</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empfiehlt, unternehmerische Bildung, Finanzkompetenz und unternehmerisches Denken in alle Systeme der allgemeinen und beruflichen Bildung, insbesondere in berufliche und duale Ausbildungsgänge, zu integrieren und gleichzeitig digitale und fortgeschrittene Kompetenzen, einschließlich KI, zu stärken, um junge Menschen auf die künftigen Märkte vorzubereiten;</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fordert, Ökosysteme stärker durch Mentoring, Partnerschaften, Vernetzung und Internationalisierungsmöglichkeiten, einschließlich Mobilitätsprogrammen und des Zugangs zu grenzüberschreitenden Märkten, zu unterstützen, um die Innovation, Skalierbarkeit und Wettbewerbsfähigkeit zu fördern;</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drängt auf inklusive und nachhaltige Maßnahmen zur Förderung des Unternehmertums, mit denen die hinsichtlich unterrepräsentierter Gruppen bestehenden Lücken geschlossen werden können und durch die eine Kultur der „zweiten Chance“ gefördert, ein angemessener Sozialschutz gewährleistet und das Unternehmertum junger Menschen zu einem freiwilligen, aber strategischen Instrument für resiliente Arbeitsmärkte und eine langfristige Wettbewerbsfähigkeit der EU wird.</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Kontakt</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E-Mail</w:t>
            </w:r>
          </w:p>
        </w:tc>
        <w:tc>
          <w:tcPr>
            <w:tcW w:w="7371" w:type="dxa"/>
          </w:tcPr>
          <w:p w14:paraId="22B77F87" w14:textId="77777777" w:rsidR="005D43B9" w:rsidRPr="005D43B9" w:rsidRDefault="00597E76" w:rsidP="005D43B9">
            <w:pPr>
              <w:overflowPunct w:val="0"/>
              <w:autoSpaceDE w:val="0"/>
              <w:autoSpaceDN w:val="0"/>
              <w:adjustRightInd w:val="0"/>
              <w:textAlignment w:val="baseline"/>
              <w:rPr>
                <w:i/>
                <w:iCs/>
              </w:rPr>
            </w:pPr>
            <w:hyperlink r:id="rId30" w:history="1">
              <w:r>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709FA4FB" w:rsidR="001A42F8" w:rsidRPr="001A42F8" w:rsidRDefault="00597E76"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Pr>
            <w:b/>
            <w:i/>
            <w:color w:val="0000FF"/>
            <w:sz w:val="28"/>
            <w:u w:val="single"/>
          </w:rPr>
          <w:t>EU-Drogenstrategie</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175"/>
      </w:tblGrid>
      <w:tr w:rsidR="001A42F8" w:rsidRPr="001A42F8" w14:paraId="662136A7" w14:textId="77777777" w:rsidTr="005B6118">
        <w:tc>
          <w:tcPr>
            <w:tcW w:w="2005" w:type="dxa"/>
          </w:tcPr>
          <w:p w14:paraId="639EA8AB"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Berichterstatter</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7175" w:type="dxa"/>
          </w:tcPr>
          <w:p w14:paraId="4074A82C" w14:textId="77777777" w:rsidR="001A42F8" w:rsidRPr="001A42F8" w:rsidRDefault="001A42F8" w:rsidP="004C6742">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t>Diego DUTTO (Gruppe Organisationen der Zivilgesellschaft – IT)</w:t>
            </w:r>
          </w:p>
        </w:tc>
      </w:tr>
      <w:tr w:rsidR="001A42F8" w:rsidRPr="001A42F8" w14:paraId="090EED85" w14:textId="77777777" w:rsidTr="005B6118">
        <w:tc>
          <w:tcPr>
            <w:tcW w:w="2005"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Referenzdokumente:</w:t>
            </w:r>
          </w:p>
        </w:tc>
        <w:tc>
          <w:tcPr>
            <w:tcW w:w="7175"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proofErr w:type="gramStart"/>
            <w:r>
              <w:t>COM(</w:t>
            </w:r>
            <w:proofErr w:type="gramEnd"/>
            <w:r>
              <w:t>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proofErr w:type="gramStart"/>
            <w:r>
              <w:t>COM(</w:t>
            </w:r>
            <w:proofErr w:type="gramEnd"/>
            <w:r>
              <w:t>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5B6118">
        <w:tc>
          <w:tcPr>
            <w:tcW w:w="2005"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7175"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Kernaussagen</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4C6742" w:rsidRDefault="001A42F8" w:rsidP="001A42F8">
      <w:pPr>
        <w:spacing w:before="100" w:beforeAutospacing="1" w:after="100" w:afterAutospacing="1" w:line="240" w:lineRule="auto"/>
      </w:pPr>
      <w:r>
        <w:rPr>
          <w:b/>
        </w:rPr>
        <w:t>Der EWSA</w:t>
      </w:r>
    </w:p>
    <w:p w14:paraId="5429D755" w14:textId="77777777" w:rsidR="001A42F8" w:rsidRPr="001A42F8" w:rsidRDefault="001A42F8" w:rsidP="002C3C5F">
      <w:pPr>
        <w:ind w:left="1134" w:hanging="1134"/>
        <w:rPr>
          <w:lang w:val="en-GB" w:eastAsia="fr-BE"/>
        </w:rPr>
      </w:pP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betont, dass die Wirksamkeit der EU-Strategie davon abhängt, inwieweit es in ihrem Rahmen möglich ist, Entwicklungen vorherzusehen. Er empfiehlt der Kommission, neben reaktiven Indikatoren (Drogenbeschlagnahmungen und drogenbedingte Todesfälle) auch strukturelle, verbindliche Unterstützung für standardisierte Überwachungssysteme vorzusehen;</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stellt mit Besorgnis fest, dass die Strategie etwas einseitig auf traditionelle illegale Substanzen ausgerichtet ist. Junge Menschen gehen zunehmend zu einem nicht bestimmungsgemäßen Konsum legaler Medikamente über. Der EWSA empfiehlt daher die Einführung von EU-Leitlinien für die Überwachung der Verschreibung von Arzneimitteln und die Durchführung gezielter Kampagnen zur Sensibilisierung über die Gefahr der Abhängigkeit von legalen psychoaktiven Substanzen;</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empfiehlt eine strenge Überwachung der Prävalenz von Opioid-Schmerzmitteln. Es müssen Anstrengungen unternommen werden, um zu verhindern, dass ein Teil der Gesellschaft, der nicht gefährdet zu sein scheint, von diesen legal erhältlichen Substanzen abhängig wird;</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weist darauf hin, dass EU-Verfahren für eine frühzeitige Intervention entwickelt werden sollten, um Sozial- und Gesundheitsdienste darin zu unterstützen, potenzielle Konsumenten in einer frühen Phase ihres Drogenkonsums ausfindig zu machen;</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empfiehlt die Festlegung spezifischer zentraler Leistungsindikatoren (KPI) zur Bewertung der Wirksamkeit von Präventionsmaßnahmen. Dabei sollte der Erfolg nicht lediglich anhand der Beschlagnahmungen von Drogen gemessen werden, sondern auch daran, inwieweit ein Anstieg von Suchterkrankungen verhindert werden konnte und inwieweit Wiedereingliederungsmaßnahmen erfolgreich sind;</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bekräftigt, dass der Kampf gegen den Drogenhandel nicht von einer entschiedenen Gesundheitspolitik getrennt werden kann;</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stellt fest, dass in dem Aktionsplan der Schwerpunkt fast ausschließlich auf der Sicherung der physischen (Häfen, logistische Knotenpunkte) und digitalen Infrastruktur liegt und die Dimension der Gemeinschaftsebene vernachlässigt wird;</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weist darauf hin, dass der Aktionsplan den Mitgliedstaaten keine ausreichenden </w:t>
      </w:r>
      <w:proofErr w:type="gramStart"/>
      <w:r>
        <w:t>Leitlinien</w:t>
      </w:r>
      <w:proofErr w:type="gramEnd"/>
      <w:r>
        <w:t xml:space="preserve"> für die zur Eindämmung des Drogenkonsums notwendigen öffentlichen Maßnahmen vorgibt.</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Kontakt</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Tel.</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E-Mail</w:t>
            </w:r>
          </w:p>
        </w:tc>
        <w:tc>
          <w:tcPr>
            <w:tcW w:w="4493" w:type="dxa"/>
          </w:tcPr>
          <w:p w14:paraId="7CF2E2AE" w14:textId="77777777" w:rsidR="001A42F8" w:rsidRPr="001A42F8" w:rsidRDefault="00597E76" w:rsidP="001A42F8">
            <w:pPr>
              <w:overflowPunct w:val="0"/>
              <w:autoSpaceDE w:val="0"/>
              <w:autoSpaceDN w:val="0"/>
              <w:adjustRightInd w:val="0"/>
              <w:spacing w:line="240" w:lineRule="auto"/>
              <w:textAlignment w:val="baseline"/>
              <w:rPr>
                <w:i/>
                <w:iCs/>
              </w:rPr>
            </w:pPr>
            <w:hyperlink r:id="rId32" w:history="1">
              <w:r>
                <w:rPr>
                  <w:i/>
                  <w:color w:val="0000FF"/>
                  <w:u w:val="single"/>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22333794" w:rsidR="00C53E67" w:rsidRPr="00C53E67" w:rsidRDefault="00A067F3" w:rsidP="004C6742">
      <w:pPr>
        <w:widowControl w:val="0"/>
        <w:numPr>
          <w:ilvl w:val="0"/>
          <w:numId w:val="4"/>
        </w:numPr>
        <w:overflowPunct w:val="0"/>
        <w:autoSpaceDE w:val="0"/>
        <w:autoSpaceDN w:val="0"/>
        <w:adjustRightInd w:val="0"/>
        <w:ind w:hanging="567"/>
        <w:textAlignment w:val="baseline"/>
        <w:rPr>
          <w:b/>
        </w:rPr>
      </w:pPr>
      <w:hyperlink r:id="rId33" w:history="1">
        <w:r>
          <w:rPr>
            <w:b/>
            <w:i/>
            <w:color w:val="0000FF"/>
            <w:sz w:val="28"/>
            <w:u w:val="single"/>
          </w:rPr>
          <w:t>Ein Kulturkompass für Europa</w:t>
        </w:r>
      </w:hyperlink>
    </w:p>
    <w:p w14:paraId="35E79844" w14:textId="77777777" w:rsidR="00C53E67" w:rsidRDefault="00C53E67" w:rsidP="00C53E67">
      <w:pPr>
        <w:widowControl w:val="0"/>
        <w:overflowPunct w:val="0"/>
        <w:autoSpaceDE w:val="0"/>
        <w:autoSpaceDN w:val="0"/>
        <w:adjustRightInd w:val="0"/>
        <w:ind w:left="266"/>
        <w:textAlignment w:val="baseline"/>
        <w:rPr>
          <w:b/>
          <w:sz w:val="18"/>
          <w:szCs w:val="18"/>
          <w:lang w:val="en-GB"/>
        </w:rPr>
      </w:pPr>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C53E67" w:rsidRPr="00C53E67" w14:paraId="2091F211" w14:textId="77777777" w:rsidTr="005B6118">
        <w:tc>
          <w:tcPr>
            <w:tcW w:w="1090"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Berichterstatter </w:t>
            </w:r>
          </w:p>
        </w:tc>
        <w:tc>
          <w:tcPr>
            <w:tcW w:w="3910" w:type="pct"/>
          </w:tcPr>
          <w:p w14:paraId="10DA44E6" w14:textId="77777777" w:rsidR="00C53E67" w:rsidRPr="00C53E67" w:rsidRDefault="00C53E67" w:rsidP="00C53E67">
            <w:pPr>
              <w:overflowPunct w:val="0"/>
              <w:autoSpaceDE w:val="0"/>
              <w:autoSpaceDN w:val="0"/>
              <w:adjustRightInd w:val="0"/>
              <w:ind w:left="-113"/>
              <w:textAlignment w:val="baseline"/>
            </w:pPr>
            <w:r>
              <w:t>Luca JAHIER (Gruppe Organisationen der Zivilgesellschaft – IT)</w:t>
            </w:r>
          </w:p>
        </w:tc>
      </w:tr>
      <w:tr w:rsidR="00C53E67" w:rsidRPr="00C53E67" w14:paraId="12DAA263" w14:textId="77777777" w:rsidTr="005B6118">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C53E67" w14:paraId="1917B1A6" w14:textId="77777777" w:rsidTr="005B6118">
        <w:tc>
          <w:tcPr>
            <w:tcW w:w="1090"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Referenzdokumente:</w:t>
            </w:r>
          </w:p>
        </w:tc>
        <w:tc>
          <w:tcPr>
            <w:tcW w:w="3910" w:type="pct"/>
          </w:tcPr>
          <w:p w14:paraId="3649F935" w14:textId="5EC0AA86" w:rsidR="00DE1BF7" w:rsidRDefault="00DE1BF7" w:rsidP="00C53E67">
            <w:pPr>
              <w:overflowPunct w:val="0"/>
              <w:autoSpaceDE w:val="0"/>
              <w:autoSpaceDN w:val="0"/>
              <w:adjustRightInd w:val="0"/>
              <w:ind w:left="-113"/>
              <w:textAlignment w:val="baseline"/>
            </w:pPr>
            <w:proofErr w:type="gramStart"/>
            <w:r>
              <w:t>COM(</w:t>
            </w:r>
            <w:proofErr w:type="gramEnd"/>
            <w:r>
              <w:t>2025) 785 final</w:t>
            </w:r>
          </w:p>
          <w:p w14:paraId="72ADC23E" w14:textId="431F11BB" w:rsidR="00DE1BF7" w:rsidRDefault="00DE1BF7" w:rsidP="00C53E67">
            <w:pPr>
              <w:overflowPunct w:val="0"/>
              <w:autoSpaceDE w:val="0"/>
              <w:autoSpaceDN w:val="0"/>
              <w:adjustRightInd w:val="0"/>
              <w:ind w:left="-113"/>
              <w:textAlignment w:val="baseline"/>
            </w:pPr>
            <w:proofErr w:type="gramStart"/>
            <w:r>
              <w:t>COM(</w:t>
            </w:r>
            <w:proofErr w:type="gramEnd"/>
            <w:r>
              <w:t>2025) 786 final</w:t>
            </w:r>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Kernaussagen</w:t>
      </w:r>
    </w:p>
    <w:p w14:paraId="2BEAC91B"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6"/>
          <w:szCs w:val="16"/>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rPr>
          <w:bCs/>
          <w:iCs/>
        </w:rPr>
      </w:pPr>
      <w:r>
        <w:t>Der EWSA</w:t>
      </w: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unterstützt uneingeschränkt den Kulturkompass für Europa</w:t>
      </w:r>
      <w:r>
        <w:t xml:space="preserve"> als eine aktuelle bereichsübergreifende Strategie zur Förderung der Kultur und der europäischen Werte und zur Sicherstellung eines florierenden Kultursektors;</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betont </w:t>
      </w:r>
      <w:r>
        <w:rPr>
          <w:b/>
        </w:rPr>
        <w:t>die Rolle der Kultur bei der Stärkung der Demokratie</w:t>
      </w:r>
      <w:r>
        <w:t>, der Bekämpfung populistischer und autoritärer Narrative sowie der Förderung des sozialen Zusammenhalts, der Vorsorge und der nachhaltigen Entwicklung;</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empfiehlt </w:t>
      </w:r>
      <w:r>
        <w:rPr>
          <w:b/>
        </w:rPr>
        <w:t>die Entwicklung von Synergien</w:t>
      </w:r>
      <w:r>
        <w:t xml:space="preserve"> zwischen dem Kulturkompass und Initiativen wie dem Europäischen Schutzschild für die Demokratie, insbesondere im digitalen Bereich;</w:t>
      </w:r>
    </w:p>
    <w:p w14:paraId="5D3CFA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betont, dass es </w:t>
      </w:r>
      <w:r>
        <w:rPr>
          <w:b/>
        </w:rPr>
        <w:t>einer spezifischen KI-Strategie für die Kultur- und Kreativbranche bedarf</w:t>
      </w:r>
      <w:r>
        <w:t>, die den Schutz der Rechte an schöpferischen Leistungen, die Entwicklung von Märkten für die Lizenzierung und Leitlinien im Rahmen der KI-Verordnung umfasst;</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fordert e</w:t>
      </w:r>
      <w:r>
        <w:rPr>
          <w:b/>
        </w:rPr>
        <w:t>ine umfangreiche und bereichsübergreifende finanzielle Unterstützung im nächsten MFR (2028–2034)</w:t>
      </w:r>
      <w:r>
        <w:t>, einschließlich der Zuweisung von 2 % des EU-Haushalts für Kultur und der Sicherstellung ihrer Integration in wichtige EU-Programme;</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fordert eine </w:t>
      </w:r>
      <w:r>
        <w:rPr>
          <w:b/>
        </w:rPr>
        <w:t>solide, zielorientierte Umsetzung des Kulturkompasses durch einen klaren Aktionsplan</w:t>
      </w:r>
      <w:r>
        <w:t>, angemessene administrative Kapazitäten und eine langfristige politische Kontinuität;</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empfiehlt eine f</w:t>
      </w:r>
      <w:r>
        <w:rPr>
          <w:b/>
        </w:rPr>
        <w:t>rühzeitige systematische Einbeziehung von Akteuren aus der Kulturbranche und aus anderen Bereichen</w:t>
      </w:r>
      <w:r>
        <w:t>, einschließlich lokaler Gebietskörperschaften, KMU und einschlägiger Akteure, um die Eigenverantwortung und Wirkung zu stärken;</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fordert </w:t>
      </w:r>
      <w:r>
        <w:rPr>
          <w:b/>
        </w:rPr>
        <w:t>eine stärkere Einbeziehung von Akteuren der Sozialwirtschaft</w:t>
      </w:r>
      <w:r>
        <w:t xml:space="preserve"> und lokal verankerten kulturellen Initiativen in öffentliche Maßnahmen, einschließlich angepasster Steuer- und Finanzinstrumente;</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begrüßt den vorgeschlagenen strukturierten Dialog der EU mit Interessenträgern</w:t>
      </w:r>
      <w:r>
        <w:t xml:space="preserve"> und bietet an, als wichtiger Partner bei der Erleichterung des Austauschs mit institutionellen und sektoralen Interessenträgern zu fungieren;</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betont, dass die Kultur- und Kreativbranche </w:t>
      </w:r>
      <w:r>
        <w:rPr>
          <w:b/>
        </w:rPr>
        <w:t>ein strategisches wirtschaftliches Ökosystem</w:t>
      </w:r>
      <w:r>
        <w:t xml:space="preserve"> ist, und fordert eine bessere Integration von Schlüsselbranchen wie Computerspiele, Film, Musik und Mode in den Kompass;</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unterstützt </w:t>
      </w:r>
      <w:r>
        <w:rPr>
          <w:b/>
        </w:rPr>
        <w:t>kulturelle Bildung und Kompetenzentwicklung</w:t>
      </w:r>
      <w:r>
        <w:t xml:space="preserve"> und fordert einen inklusiven Zugang, spezifische Mittel und eine stärkere Verknüpfung mit EU-Programmen wie Erasmus+ und der Kohäsionspolitik;</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unterstützt die Entwicklung einer EU-Künstlercharta</w:t>
      </w:r>
      <w:r>
        <w:t>, um faire Arbeitsbedingungen, einen stärkeren Sozialschutz und die Verknüpfung der EU-Finanzierung mit hohen Beschäftigungsstandards sicherzustellen;</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betont, wie </w:t>
      </w:r>
      <w:r>
        <w:rPr>
          <w:b/>
        </w:rPr>
        <w:t>wichtig dauerhafte öffentliche Investitionen</w:t>
      </w:r>
      <w:r>
        <w:t xml:space="preserve"> in die Kultur- und Kreativbranche sind, während gleichzeitig ein verbesserter Zugang zu Finanzmitteln für KMU durch eine verstärkte Mobilisierung der Instrumente der EIB und des EIF sowie die Entwicklung ergänzender privater Unterstützungsrahmen unterstützt wird;</w:t>
      </w:r>
    </w:p>
    <w:p w14:paraId="3A3FD424" w14:textId="18B23DC2"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unterstützt </w:t>
      </w:r>
      <w:r>
        <w:rPr>
          <w:b/>
        </w:rPr>
        <w:t>die institutionelle Unterstützung der Gemeinsamen Erklärung</w:t>
      </w:r>
      <w:r>
        <w:t xml:space="preserve"> durch die EU</w:t>
      </w:r>
      <w:r w:rsidR="005B6118">
        <w:noBreakHyphen/>
      </w:r>
      <w:r>
        <w:t>Institutionen (einschließlich des EWSA und des Ausschusses der Regionen) und die Interessenträger, um eine breite Eigenverantwortung und Legitimität sicherzustellen;</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t xml:space="preserve">unterstreicht </w:t>
      </w:r>
      <w:r>
        <w:rPr>
          <w:b/>
        </w:rPr>
        <w:t>die Bedeutung der internationalen Dimension der Kultur</w:t>
      </w:r>
      <w:r>
        <w:t xml:space="preserve"> und fordert ihre vollständige Wiederaufnahme in die Gemeinsame Erklärung sowie einen umfassenden Aktionsplan auf der Grundlage der EU-Strategie für internationale Kulturbeziehungen.</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47"/>
      </w:tblGrid>
      <w:tr w:rsidR="00C53E67" w:rsidRPr="00C53E67" w14:paraId="272A79A3" w14:textId="77777777" w:rsidTr="005B6118">
        <w:tc>
          <w:tcPr>
            <w:tcW w:w="1107"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Kontakt</w:t>
            </w:r>
          </w:p>
        </w:tc>
        <w:tc>
          <w:tcPr>
            <w:tcW w:w="3893"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 Marie Rogue</w:t>
            </w:r>
          </w:p>
        </w:tc>
      </w:tr>
      <w:tr w:rsidR="00C53E67" w:rsidRPr="00C53E67" w14:paraId="6943624D" w14:textId="77777777" w:rsidTr="005B6118">
        <w:tc>
          <w:tcPr>
            <w:tcW w:w="1107"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w:t>
            </w:r>
          </w:p>
        </w:tc>
        <w:tc>
          <w:tcPr>
            <w:tcW w:w="3893"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5B6118">
        <w:tc>
          <w:tcPr>
            <w:tcW w:w="1107"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E-Mail</w:t>
            </w:r>
          </w:p>
        </w:tc>
        <w:tc>
          <w:tcPr>
            <w:tcW w:w="3893" w:type="pct"/>
          </w:tcPr>
          <w:p w14:paraId="18C49AA7" w14:textId="77777777" w:rsidR="00C53E67" w:rsidRPr="00C53E67" w:rsidRDefault="00597E76" w:rsidP="00C53E67">
            <w:pPr>
              <w:overflowPunct w:val="0"/>
              <w:autoSpaceDE w:val="0"/>
              <w:autoSpaceDN w:val="0"/>
              <w:adjustRightInd w:val="0"/>
              <w:spacing w:line="240" w:lineRule="auto"/>
              <w:textAlignment w:val="baseline"/>
              <w:rPr>
                <w:i/>
              </w:rPr>
            </w:pPr>
            <w:hyperlink r:id="rId34" w:history="1">
              <w:r>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2" w14:textId="586617C5" w:rsidR="004D7AC0" w:rsidRDefault="004D7AC0" w:rsidP="001766B2">
      <w:pPr>
        <w:jc w:val="left"/>
      </w:pPr>
    </w:p>
    <w:p w14:paraId="4982DDF3" w14:textId="77616464" w:rsidR="004D7AC0" w:rsidRDefault="004D7AC0" w:rsidP="004C6742">
      <w:pPr>
        <w:pStyle w:val="Heading2"/>
      </w:pPr>
      <w:bookmarkStart w:id="16" w:name="_Toc75527083"/>
      <w:bookmarkStart w:id="17" w:name="_Toc229140655"/>
      <w:r>
        <w:t>BINNENMARKT, PRODUKTION, VERBRAUCH</w:t>
      </w:r>
      <w:bookmarkEnd w:id="16"/>
      <w:bookmarkEnd w:id="17"/>
    </w:p>
    <w:p w14:paraId="4982DDF4" w14:textId="77777777" w:rsidR="004D7AC0" w:rsidRDefault="004D7AC0" w:rsidP="001766B2"/>
    <w:p w14:paraId="566598A4" w14:textId="35BAC290" w:rsidR="00392AE5" w:rsidRPr="00392AE5" w:rsidRDefault="00392AE5"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Pr>
            <w:color w:val="0000FF"/>
            <w:u w:val="single"/>
          </w:rPr>
          <w:t>Übertourismus, Kurzzeitvermietungen und die Verdrängung der lokalen Bevölkerung – das rechte Maß finden</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Berichterstatter</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Marinel Dănuț MUREŞAN (Gruppe Arbeitgeber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Referenzdokument:</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Sondierungsstellungnahme auf Ersuchen des zyprischen Ratsvorsitzes der EU</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Kernaussagen</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Der EWSA</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betont, dass der Tourismus ein strategisches Ökosystem ist, das für Wachstum, Beschäftigung und soziale Entwicklung sorgen kann, und fordert einen Übergang zu einem nachhaltigeren, ausgewogeneren und wettbewerbsfähigeren Tourismus, der die Lebensqualität der lokalen Gemeinschaften respektiert; </w:t>
      </w:r>
    </w:p>
    <w:p w14:paraId="7E1A2FA7"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warnt vor dem zunehmenden Druck, der durch Übertourismus und Kurzzeitvermietungen an bestimmten Reisezielen entstanden ist und </w:t>
      </w:r>
      <w:r>
        <w:rPr>
          <w:b/>
        </w:rPr>
        <w:t>fordert koordinierte Maßnahmen der EU</w:t>
      </w:r>
      <w:r>
        <w:t xml:space="preserve"> zur Unterstützung der Mitgliedstaaten bei der Entwicklung evidenzbasierter, verhältnismäßiger und ortsbezogener Lösungen;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schlägt von der EU unterstützte Instrumente und Strategien zur besseren Steuerung der Tourismusströme vor, einschließlich digitaler Überwachungssysteme, Diversifizierung von Reisezielen und Nutzung der Nebensaison sowie stärkerer Verknüpfung zwischen Tourismus und lokaler Wirtschaft, Kultur und traditionellem Handwerk;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spricht sich für innovative </w:t>
      </w:r>
      <w:proofErr w:type="spellStart"/>
      <w:r>
        <w:t>Governance</w:t>
      </w:r>
      <w:proofErr w:type="spellEnd"/>
      <w:r>
        <w:t xml:space="preserve">- und Finanzierungsmodelle mit kombinierten öffentlichen und privaten Investitionen aus, um nachhaltigen Tourismus, erschwinglichen Wohnraum und lokale Unternehmensökosysteme zu unterstützen, wobei den KMU und den lokalen Gemeinschaften eine wichtige Rolle zukommt;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empfiehlt, die Kompetenzen, die Ausbildung und die Einbeziehung junger Menschen zu stärken, und fordert die Einrichtung eines</w:t>
      </w:r>
      <w:r>
        <w:rPr>
          <w:b/>
        </w:rPr>
        <w:t xml:space="preserve"> Europäischen Zentrums für traditionelle Handwerks- und Traditionsberufe</w:t>
      </w:r>
      <w:r>
        <w:t>, um die lokale Wirtschaft und die kulturelle Nachhaltigkeit in der gesamten EU zu unterstützen.</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Kontakt</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Tel.:</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E-Mail</w:t>
            </w:r>
          </w:p>
        </w:tc>
        <w:tc>
          <w:tcPr>
            <w:tcW w:w="3923" w:type="pct"/>
          </w:tcPr>
          <w:p w14:paraId="0EBCDB0C" w14:textId="77777777" w:rsidR="00392AE5" w:rsidRPr="00392AE5" w:rsidRDefault="00597E76" w:rsidP="00392AE5">
            <w:pPr>
              <w:overflowPunct w:val="0"/>
              <w:autoSpaceDE w:val="0"/>
              <w:autoSpaceDN w:val="0"/>
              <w:adjustRightInd w:val="0"/>
              <w:spacing w:line="240" w:lineRule="auto"/>
              <w:textAlignment w:val="baseline"/>
              <w:rPr>
                <w:i/>
              </w:rPr>
            </w:pPr>
            <w:hyperlink r:id="rId36" w:history="1">
              <w:r>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41EB3DEB" w:rsidR="008E331E" w:rsidRPr="008E331E" w:rsidRDefault="00597E76"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Pr>
            <w:b/>
            <w:i/>
            <w:color w:val="0000FF"/>
            <w:sz w:val="28"/>
            <w:u w:val="single"/>
          </w:rPr>
          <w:t>Überarbeitung der CO</w:t>
        </w:r>
        <w:r>
          <w:rPr>
            <w:b/>
            <w:i/>
            <w:color w:val="0000FF"/>
            <w:sz w:val="28"/>
            <w:u w:val="single"/>
            <w:vertAlign w:val="subscript"/>
          </w:rPr>
          <w:t>2</w:t>
        </w:r>
        <w:r>
          <w:rPr>
            <w:b/>
            <w:i/>
            <w:color w:val="0000FF"/>
            <w:sz w:val="28"/>
            <w:u w:val="single"/>
          </w:rPr>
          <w:t>-Emissionsnormen für Pkw und leichte Nutzfahrzeuge</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175"/>
      </w:tblGrid>
      <w:tr w:rsidR="008E331E" w:rsidRPr="008E331E" w14:paraId="3544A5AD" w14:textId="77777777" w:rsidTr="005B6118">
        <w:tc>
          <w:tcPr>
            <w:tcW w:w="2005"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Berichterstatter</w:t>
            </w:r>
          </w:p>
        </w:tc>
        <w:tc>
          <w:tcPr>
            <w:tcW w:w="7175"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r>
              <w:t>Matteo BORSANI (Gruppe Arbeitgeber –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5B6118">
        <w:tc>
          <w:tcPr>
            <w:tcW w:w="9180"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5B6118">
        <w:tc>
          <w:tcPr>
            <w:tcW w:w="2005"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Referenzdokumente:</w:t>
            </w:r>
          </w:p>
        </w:tc>
        <w:tc>
          <w:tcPr>
            <w:tcW w:w="7175"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proofErr w:type="gramStart"/>
            <w:r>
              <w:t>COM(</w:t>
            </w:r>
            <w:proofErr w:type="gramEnd"/>
            <w:r>
              <w:t xml:space="preserve">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r w:rsidR="008E331E" w:rsidRPr="008E331E" w14:paraId="3BC2EE29" w14:textId="77777777" w:rsidTr="005B6118">
        <w:tc>
          <w:tcPr>
            <w:tcW w:w="2005"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7175"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Kernaussagen</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Der EWSA</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fordert einen ausgewogenen und kohärenten EU-Rahmen</w:t>
      </w:r>
      <w:r>
        <w:t xml:space="preserve"> für den Wandel in der Automobilindustrie, mit dem ein starker Impuls gesetzt wird, um eine emissionsfreie und emissionsarme Mobilität im Einklang mit dem Grundsatz der Technologieneutralität zu fördern, das Kriterium „hergestellt in der EU“ in der Wertschöpfungskette zu stärken und eine hochwertige Beschäftigung, die industriellen Kapazitäten und die Innovation zu schützen;</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plädiert im Hinblick auf eine Wiederherstellung der Wettbewerbsfähigkeit nachdrücklich für eine pragmatische Überarbeitung der CO2-Emissionsnormen für Pkw</w:t>
      </w:r>
      <w:r>
        <w:t xml:space="preserve"> und leichte Nutzfahrzeuge, die den realen Marktverhältnissen und den Klimazielen entspricht, während der langfristige </w:t>
      </w:r>
      <w:proofErr w:type="spellStart"/>
      <w:r>
        <w:t>Dekarbonisierungspfad</w:t>
      </w:r>
      <w:proofErr w:type="spellEnd"/>
      <w:r>
        <w:t xml:space="preserve"> beibehalten werden sollte;</w:t>
      </w:r>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spricht sich dafür aus, Übergangstechnologien</w:t>
      </w:r>
      <w:r>
        <w:t xml:space="preserve"> wie etwa Hybridfahrzeugen, nachhaltigen erneuerbaren Kraftstoffen und emissionsarmen Materialien </w:t>
      </w:r>
      <w:r>
        <w:rPr>
          <w:b/>
        </w:rPr>
        <w:t>eine stärkere Rolle zuzuerkennen</w:t>
      </w:r>
      <w:r>
        <w:t>, und fordert, den Anteil der Emissionsvorschriften, deren Einhaltung ausschließlich von den Auspuffemissionen abhängt, zu verringern, um einen realistischeren und sozial ausgewogeneren Wandel zu ermöglichen;</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begrüßt, dass eine größere Flexibilität bei der Verwirklichung der Ziele für 2030</w:t>
      </w:r>
      <w:r>
        <w:t xml:space="preserve"> eingeräumt und u. a. eine mehrjährige Einhaltung vorgesehen wird, und fordert eine gezielte Unterstützung für die Ladeinfrastruktur, die Elektrifizierung der Unternehmensflotten und emissionsfreie leichte Nutzfahrzeuge, bei denen die Marktakzeptanz nach wie vor begrenzt ist;</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empfiehlt, die industrielle Führungsrolle der EU</w:t>
      </w:r>
      <w:r>
        <w:t xml:space="preserve"> durch Anreize wie die Förderung von in der EU hergestellten Komponenten, die Unterstützung von emissionsarmem Stahl und erweiterte Begünstigungen für Elektrofahrzeuge sowie eine umfassendere Methode zur Erfassung der Emissionen und einen Wandel, der erschwinglich, inklusiv und beschäftigungswirksam bleibt, </w:t>
      </w:r>
      <w:r>
        <w:rPr>
          <w:b/>
        </w:rPr>
        <w:t>zu stärken</w:t>
      </w:r>
      <w:r>
        <w:t>.</w:t>
      </w:r>
    </w:p>
    <w:p w14:paraId="5E4844AB" w14:textId="77777777" w:rsidR="008E331E" w:rsidRPr="008E331E" w:rsidRDefault="008E331E" w:rsidP="004C6742">
      <w:pPr>
        <w:widowControl w:val="0"/>
        <w:overflowPunct w:val="0"/>
        <w:autoSpaceDE w:val="0"/>
        <w:autoSpaceDN w:val="0"/>
        <w:adjustRightInd w:val="0"/>
        <w:spacing w:line="276" w:lineRule="auto"/>
        <w:textAlignment w:val="baseline"/>
        <w:rPr>
          <w:szCs w:val="20"/>
          <w:lang w:val="en-GB"/>
        </w:rPr>
      </w:pP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8E331E" w:rsidRPr="008E331E" w14:paraId="1B085562" w14:textId="77777777" w:rsidTr="005B6118">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Kontakt</w:t>
            </w:r>
          </w:p>
        </w:tc>
        <w:tc>
          <w:tcPr>
            <w:tcW w:w="7762"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5B6118">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w:t>
            </w:r>
          </w:p>
        </w:tc>
        <w:tc>
          <w:tcPr>
            <w:tcW w:w="7762"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5B6118">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E-Mail</w:t>
            </w:r>
          </w:p>
        </w:tc>
        <w:tc>
          <w:tcPr>
            <w:tcW w:w="7762" w:type="dxa"/>
          </w:tcPr>
          <w:p w14:paraId="07ADD844" w14:textId="77777777" w:rsidR="008E331E" w:rsidRPr="008E331E" w:rsidRDefault="00597E76" w:rsidP="008E331E">
            <w:pPr>
              <w:overflowPunct w:val="0"/>
              <w:autoSpaceDE w:val="0"/>
              <w:autoSpaceDN w:val="0"/>
              <w:adjustRightInd w:val="0"/>
              <w:spacing w:line="240" w:lineRule="auto"/>
              <w:textAlignment w:val="baseline"/>
              <w:rPr>
                <w:i/>
              </w:rPr>
            </w:pPr>
            <w:hyperlink r:id="rId38" w:history="1">
              <w:r>
                <w:rPr>
                  <w:i/>
                  <w:color w:val="0000FF"/>
                  <w:u w:val="single"/>
                </w:rPr>
                <w:t>Silvia.Staffa@eesc.europa.eu</w:t>
              </w:r>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221A2447" w:rsidR="00882D0D" w:rsidRPr="004C6742" w:rsidRDefault="00882D0D"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Pr>
            <w:b/>
            <w:i/>
            <w:color w:val="0000FF"/>
            <w:sz w:val="32"/>
            <w:u w:val="single"/>
          </w:rPr>
          <w:t>Bewertung der Verordnung (EU) 2019/1020 über Marktüberwachung und die Konformität von Produkten</w:t>
        </w:r>
      </w:hyperlink>
    </w:p>
    <w:p w14:paraId="3DC7A7FA" w14:textId="77777777" w:rsidR="002A0F5D" w:rsidRPr="00882D0D" w:rsidRDefault="002A0F5D" w:rsidP="004C6742">
      <w:pPr>
        <w:widowControl w:val="0"/>
        <w:overflowPunct w:val="0"/>
        <w:autoSpaceDE w:val="0"/>
        <w:autoSpaceDN w:val="0"/>
        <w:adjustRightInd w:val="0"/>
        <w:spacing w:after="200" w:line="276" w:lineRule="auto"/>
        <w:ind w:left="360"/>
        <w:contextualSpacing/>
        <w:jc w:val="left"/>
        <w:textAlignment w:val="baseline"/>
        <w:rPr>
          <w:b/>
          <w:i/>
          <w:sz w:val="32"/>
          <w:szCs w:val="32"/>
          <w:lang w:val="en-GB" w:eastAsia="zh-CN"/>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47"/>
      </w:tblGrid>
      <w:tr w:rsidR="00882D0D" w:rsidRPr="00882D0D" w14:paraId="5D4233BC" w14:textId="77777777" w:rsidTr="005B6118">
        <w:tc>
          <w:tcPr>
            <w:tcW w:w="1107"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Berichterstatterin</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Ko-Berichterstatterin</w:t>
            </w:r>
          </w:p>
        </w:tc>
        <w:tc>
          <w:tcPr>
            <w:tcW w:w="3893"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(Gruppe Arbeitgeber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(Gruppe Organisationen der Zivilgesellschaft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5B6118">
        <w:tc>
          <w:tcPr>
            <w:tcW w:w="1107"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Referenzdokumente:</w:t>
            </w:r>
          </w:p>
        </w:tc>
        <w:tc>
          <w:tcPr>
            <w:tcW w:w="3893"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Bewertungsbericht</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proofErr w:type="gramStart"/>
            <w:r>
              <w:t>COM(</w:t>
            </w:r>
            <w:proofErr w:type="gramEnd"/>
            <w:r>
              <w:t>2025) 63 final</w:t>
            </w:r>
          </w:p>
        </w:tc>
      </w:tr>
      <w:tr w:rsidR="00882D0D" w:rsidRPr="00882D0D" w14:paraId="301DB155" w14:textId="77777777" w:rsidTr="005B6118">
        <w:tc>
          <w:tcPr>
            <w:tcW w:w="1107"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93"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Kernaussagen</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Der EWSA empfiehlt,</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die Annahme eines konsolidierten Europäischen Produktgesetzes zu fördern;</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die Kohärenz zwischen der Marktüberwachungsverordnung, der Verordnung über die allgemeine Produktsicherheit, den branchenspezifischen Rechtsvorschriften und dem Zollkodex der Union zu gewährleisten;</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die strukturierte Zusammenarbeit zwischen Zoll- und Marktüberwachungsbehörden zu stärken;</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bei künftigen Überarbeitungen der Marktüberwachungsverordnung die besonderen Merkmale von KI und weiteren digitalen Technologien zu berücksichtigen;</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angemessene, berechenbare und leistungsbasierte personelle und finanzielle Ressourcen für die Marktüberwachungs- und Zollbehörden in Verbindung mit messbaren Durchführungsindikatoren sicherzustellen;</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den nationalen Behörden wirksame, angemessene und abschreckende Durchsetzungsinstrumente an die Hand zu geben;</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verstärkte europäische Durchsetzungskapazitäten aufzubauen, mit denen systemische grenzüberschreitende Risiken und große digitale Handelsströme bewältigt werden können;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einen klaren risikobasierten Durchsetzungsrahmen anzunehmen;</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den Durchsetzungsrahmen für die Marktüberwachungsverordnung mit der im Gesetz über digitale Dienste festgelegten Logik abzustimmen, indem angemessene zusätzliche Verantwortlichkeiten für Akteure eingeführt werden, deren Größe systemische Risiken für die Einhaltung der Vorschriften mit sich bringt;</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einen strukturierten Rahmen für Compliance-Partnerschaften zu entwickeln, über den Behörden proaktiv mit den Wirtschaftsakteuren zusammenzuarbeiten können;</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die Angemessenheit und Zugänglichkeit der Marktüberwachungsverordnung für KMU und Kleinstunternehmen zu stärken;</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eine europäische Beobachtungsstelle für nicht konforme Produkte einzurichten;</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die Produkthaftungskette zu klären und ihre Funktionsfähigkeit durch Mindestqualitätskriterien für Bevollmächtigte zu gewährleisten;</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die Interoperabilität zwischen dem Informations- und Kommunikationssystem für die Marktüberwachung (ICSMS), </w:t>
      </w:r>
      <w:proofErr w:type="spellStart"/>
      <w:r>
        <w:t>Safety</w:t>
      </w:r>
      <w:proofErr w:type="spellEnd"/>
      <w:r>
        <w:t xml:space="preserve"> Gate, Zolldatenbanken und weiteren einschlägigen Systemen zu verbessern;</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für eine regelmäßige und zugängliche Veröffentlichung und Verbreitung der Durchsetzungsergebnisse zu sorgen;</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Stärkung der strukturierten Einbeziehung der Zivilgesellschaft und der Sozialpartner durch formelle Konsultationsmechanismen, ständige Dialogplattformen, frühzeitige Einbindung in legislative Entwicklungen und einen verbesserten Zugang zu Informationen und digitalen Schnittstellen für die Interaktion mit Behörden.</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den Kapazitätsaufbau zu unterstützen und gezielte Schulungen sowohl für Behörden als auch für Akteure der Zivilgesellschaft anzubieten;</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einfache und wirksame Instrumente zur Meldung betrügerischer Werbung einzuführen.</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882D0D" w:rsidRPr="00882D0D" w14:paraId="027E516E" w14:textId="77777777" w:rsidTr="005B6118">
        <w:tc>
          <w:tcPr>
            <w:tcW w:w="1090"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Kontakt</w:t>
            </w:r>
          </w:p>
        </w:tc>
        <w:tc>
          <w:tcPr>
            <w:tcW w:w="3910"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5B6118">
        <w:tc>
          <w:tcPr>
            <w:tcW w:w="1090"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w:t>
            </w:r>
          </w:p>
        </w:tc>
        <w:tc>
          <w:tcPr>
            <w:tcW w:w="3910"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5B6118">
        <w:tc>
          <w:tcPr>
            <w:tcW w:w="1090"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E-Mail</w:t>
            </w:r>
          </w:p>
        </w:tc>
        <w:tc>
          <w:tcPr>
            <w:tcW w:w="3910" w:type="pct"/>
          </w:tcPr>
          <w:p w14:paraId="22B253E8" w14:textId="77777777" w:rsidR="00882D0D" w:rsidRPr="00882D0D" w:rsidRDefault="00597E76" w:rsidP="00882D0D">
            <w:pPr>
              <w:overflowPunct w:val="0"/>
              <w:autoSpaceDE w:val="0"/>
              <w:autoSpaceDN w:val="0"/>
              <w:adjustRightInd w:val="0"/>
              <w:spacing w:line="240" w:lineRule="auto"/>
              <w:textAlignment w:val="baseline"/>
              <w:rPr>
                <w:i/>
                <w:iCs/>
              </w:rPr>
            </w:pPr>
            <w:hyperlink r:id="rId40" w:history="1">
              <w:r>
                <w:rPr>
                  <w:i/>
                  <w:color w:val="0000FF"/>
                  <w:u w:val="single"/>
                </w:rPr>
                <w:t>Annalisa.Tessarolo@eesc.europa.eu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1D1D0069" w14:textId="2910BB3B" w:rsidR="007C6EFD" w:rsidRDefault="007C6EFD">
      <w:pPr>
        <w:spacing w:after="160" w:line="259" w:lineRule="auto"/>
        <w:jc w:val="left"/>
      </w:pPr>
    </w:p>
    <w:p w14:paraId="58C55E8F" w14:textId="45F5002C" w:rsidR="00426604" w:rsidRPr="00426604" w:rsidRDefault="00597E76"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Pr>
            <w:b/>
            <w:i/>
            <w:color w:val="0000FF"/>
            <w:sz w:val="28"/>
            <w:u w:val="single"/>
          </w:rPr>
          <w:t>Verbraucheragenda 2030</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175"/>
      </w:tblGrid>
      <w:tr w:rsidR="00426604" w:rsidRPr="00426604" w14:paraId="7FCA49AB" w14:textId="77777777" w:rsidTr="005B6118">
        <w:tc>
          <w:tcPr>
            <w:tcW w:w="2005"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Berichterstatter</w:t>
            </w:r>
          </w:p>
        </w:tc>
        <w:tc>
          <w:tcPr>
            <w:tcW w:w="7175"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(Gruppe Organisationen der Zivilgesellschaft – FR)</w:t>
            </w:r>
          </w:p>
        </w:tc>
      </w:tr>
      <w:tr w:rsidR="00426604" w:rsidRPr="00426604" w14:paraId="55BCB3CD" w14:textId="77777777" w:rsidTr="005B6118">
        <w:tc>
          <w:tcPr>
            <w:tcW w:w="9180"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5B6118">
        <w:tc>
          <w:tcPr>
            <w:tcW w:w="2005"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Referenzdokumente:</w:t>
            </w:r>
          </w:p>
        </w:tc>
        <w:tc>
          <w:tcPr>
            <w:tcW w:w="7175"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proofErr w:type="gramStart"/>
            <w:r>
              <w:t>COM(</w:t>
            </w:r>
            <w:proofErr w:type="gramEnd"/>
            <w:r>
              <w:t>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5B6118">
        <w:tc>
          <w:tcPr>
            <w:tcW w:w="2005"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7175"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Kernaussagen</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Der EWSA</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begrüßt die Verbraucheragenda 2025–2030 als einen – in formaler als auch in inhaltlicher Hinsicht – hervorragenden Rahmen für den Verbraucherschutz in den kommenden Jahren;</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hofft, dass die Kommission eine umfassendere Verbraucherperspektive vorschlagen kann, die über den rechtlichen Aspekt hinausgeht;</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würde eine strukturierte, detaillierte und bezifferte Bestandsaufnahme der vorherigen Agenda begrüßen, um eine umfassendere Bewertung zu ermöglichen;</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unterstützt die Vereinfachungsmaßnahmen, betont jedoch, dass der Verbraucherschutz durch diese Maßnahmen nicht beeinträchtigt werden darf;</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ist der Ansicht, dass beim Verbraucherschutz der Vielfalt der Situationen Rechnung getragen werden muss, insbesondere in Gegenden mit zu wenig Einkaufsmöglichkeiten und im Hinblick auf die Schutzbedürftigkeit bestimmter Verbrauchergruppen;</w:t>
      </w:r>
    </w:p>
    <w:p w14:paraId="3000A78C" w14:textId="138A5EFF"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fordert eine raschere und intensivere Überwachung der Gefahren, die von – vor allem über Online</w:t>
      </w:r>
      <w:r w:rsidR="005B6118">
        <w:noBreakHyphen/>
      </w:r>
      <w:r>
        <w:t>Handelsplattformen außerhalb der EU – importierten Produkten ausgehen;</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spricht sich dafür aus, den Möglichkeiten der Mikrojustiz mehr Aufmerksamkeit zu widmen, um Streitigkeiten um geringe Beträge beizulegen;</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unterstützt Digitalisierungsmaßnahmen, fordert jedoch, dass dem Verbraucher für jede Beschwerde stets als letztes Mittel ein menschlicher Ansprechpartner zur Verfügung steht, der sich mit seinem Anliegen befasst;</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fordert die Kommission auf, der Kreislaufwirtschaft und der Nachhaltigkeit von Produkten mehr Aufmerksamkeit zu widmen;</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empfiehlt einen robusten Schutz der Verbraucher vor kommerziellen Botschaften von Influencern, insbesondere wenn sie an Kinder gerichtet sind;</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fordert die Mitgliedstaaten auf, die Verbraucherverbände zu unterstützen.</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426604" w:rsidRPr="00426604" w14:paraId="1EC4B28B" w14:textId="77777777" w:rsidTr="005B6118">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Kontakt</w:t>
            </w:r>
          </w:p>
        </w:tc>
        <w:tc>
          <w:tcPr>
            <w:tcW w:w="7762"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 xml:space="preserve">Radoslava </w:t>
            </w:r>
            <w:proofErr w:type="spellStart"/>
            <w:r>
              <w:rPr>
                <w:i/>
              </w:rPr>
              <w:t>Stefankova</w:t>
            </w:r>
            <w:proofErr w:type="spellEnd"/>
          </w:p>
        </w:tc>
      </w:tr>
      <w:tr w:rsidR="00426604" w:rsidRPr="00426604" w14:paraId="1EEA77FB" w14:textId="77777777" w:rsidTr="005B6118">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w:t>
            </w:r>
          </w:p>
        </w:tc>
        <w:tc>
          <w:tcPr>
            <w:tcW w:w="7762"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5B6118">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E-Mail</w:t>
            </w:r>
          </w:p>
        </w:tc>
        <w:tc>
          <w:tcPr>
            <w:tcW w:w="7762" w:type="dxa"/>
          </w:tcPr>
          <w:p w14:paraId="21BA9078" w14:textId="77777777" w:rsidR="00426604" w:rsidRPr="00426604" w:rsidRDefault="00597E76" w:rsidP="00426604">
            <w:pPr>
              <w:overflowPunct w:val="0"/>
              <w:autoSpaceDE w:val="0"/>
              <w:autoSpaceDN w:val="0"/>
              <w:adjustRightInd w:val="0"/>
              <w:spacing w:line="240" w:lineRule="auto"/>
              <w:textAlignment w:val="baseline"/>
              <w:rPr>
                <w:i/>
              </w:rPr>
            </w:pPr>
            <w:hyperlink r:id="rId42" w:history="1">
              <w:r>
                <w:rPr>
                  <w:i/>
                  <w:color w:val="0000FF"/>
                  <w:u w:val="single"/>
                </w:rPr>
                <w:t>Radoslava.Stefankova@eesc.europa.eu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2356C935" w:rsidR="00A83352" w:rsidRPr="00A83352" w:rsidRDefault="00597E76"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Rechtsakt zur Cybersicherheit</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Berichterstatter</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Miroslav HAJNOŠ (Gruppe Arbeitnehmer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Referenzdokumente:</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proofErr w:type="gramStart"/>
            <w:r>
              <w:t>COM(</w:t>
            </w:r>
            <w:proofErr w:type="gramEnd"/>
            <w:r>
              <w:t xml:space="preserve">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proofErr w:type="gramStart"/>
            <w:r>
              <w:t>COM(</w:t>
            </w:r>
            <w:proofErr w:type="gramEnd"/>
            <w:r>
              <w:t xml:space="preserve">2026) 13 final </w:t>
            </w:r>
          </w:p>
          <w:p w14:paraId="426BA912" w14:textId="77777777" w:rsidR="007A3096" w:rsidRDefault="007A3096" w:rsidP="00B56575">
            <w:pPr>
              <w:tabs>
                <w:tab w:val="center" w:pos="284"/>
              </w:tabs>
              <w:overflowPunct w:val="0"/>
              <w:autoSpaceDE w:val="0"/>
              <w:autoSpaceDN w:val="0"/>
              <w:adjustRightInd w:val="0"/>
              <w:ind w:left="266" w:hanging="266"/>
              <w:textAlignment w:val="baseline"/>
            </w:pPr>
            <w:r>
              <w:t>EESC-2026-00075-00-00-AC</w:t>
            </w:r>
          </w:p>
          <w:p w14:paraId="0B733C5A" w14:textId="772FEC42" w:rsidR="004D2D6F" w:rsidRPr="005B6118" w:rsidRDefault="004D2D6F" w:rsidP="005B6118">
            <w:pPr>
              <w:tabs>
                <w:tab w:val="center" w:pos="-1198"/>
              </w:tabs>
              <w:overflowPunct w:val="0"/>
              <w:autoSpaceDE w:val="0"/>
              <w:autoSpaceDN w:val="0"/>
              <w:adjustRightInd w:val="0"/>
              <w:ind w:left="-1668" w:hanging="1464"/>
              <w:jc w:val="left"/>
              <w:textAlignment w:val="baseline"/>
            </w:pPr>
            <w:r>
              <w:t>Der EWSA</w:t>
            </w: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Kernaussagen</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Der EWSA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begrüßt die Überarbeitung der Cybersicherheitsverordnung und die Änderungen an der NIS-2-Richtlinie; hebt dabei hervor, dass Cybersicherheit als </w:t>
      </w:r>
      <w:r>
        <w:rPr>
          <w:b/>
        </w:rPr>
        <w:t>zentraler Aspekt der wirtschaftlichen Sicherheit und der geopolitischen Resilienz</w:t>
      </w:r>
      <w:r>
        <w:t xml:space="preserve"> behandelt werden muss und es die Vorschriften zu vereinfachen und den Verwaltungsaufwand im Interesse der Unternehmen zu verringern gilt;</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fordert </w:t>
      </w:r>
      <w:r>
        <w:rPr>
          <w:b/>
        </w:rPr>
        <w:t>eine stärkere, besser ausgestattete ENISA</w:t>
      </w:r>
      <w:r>
        <w:t xml:space="preserve"> mit einem klaren, konsolidierten Mandat und ausreichender Mittel- und Personalausstattung, damit sie ihre zusätzlichen Aufgaben, darunter die Entwicklung von Kompetenzen und die Zertifizierung, tatsächlich wahrnehmen kann;</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hebt hervor, dass die </w:t>
      </w:r>
      <w:proofErr w:type="spellStart"/>
      <w:r>
        <w:t>Cybersicherheitsresilienz</w:t>
      </w:r>
      <w:proofErr w:type="spellEnd"/>
      <w:r>
        <w:t xml:space="preserve"> vom </w:t>
      </w:r>
      <w:r>
        <w:rPr>
          <w:b/>
        </w:rPr>
        <w:t>Kompetenzprofil der Arbeitskräfte</w:t>
      </w:r>
      <w:r>
        <w:t xml:space="preserve"> und vom Schulungsangebot abhängig ist; unterstützt die unionsweiten Kompetenz- und Zertifizierungsregelungen, wobei dafür gesorgt werden muss, dass sie praxistauglich bleiben, die Mitgliedstaaten sich abstimmen und in allen Mitgliedstaaten Zugang besteht;</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verweist auf die wachsende Bedeutung der Cybersicherheit für die </w:t>
      </w:r>
      <w:r>
        <w:rPr>
          <w:b/>
        </w:rPr>
        <w:t>demokratische Resilienz,</w:t>
      </w:r>
      <w:r>
        <w:t xml:space="preserve"> und fordert nachdrücklich, dass </w:t>
      </w:r>
      <w:r>
        <w:rPr>
          <w:b/>
        </w:rPr>
        <w:t>die Koordinierung auf EU-Ebene verstärkt wird,</w:t>
      </w:r>
      <w:r>
        <w:t xml:space="preserve"> um Wahlprozesse und kritische Infrastruktur vor Cyberangriffen, Desinformation und Einflussnahme aus dem Ausland zu schützen;</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spricht sich für einen </w:t>
      </w:r>
      <w:r>
        <w:rPr>
          <w:b/>
        </w:rPr>
        <w:t>gestrafften, wirksamen Zertifizierungsrahmen</w:t>
      </w:r>
      <w:r>
        <w:t xml:space="preserve"> aus, der auf dem Ansatz „einmal zertifiziert – überall zertifiziert“ beruht, um insbesondere für KMU und grenzüberschreitend tätige Betreiber für rechtliche Klarheit, Transparenz und Verhältnismäßigkeit sorgen;</w:t>
      </w:r>
    </w:p>
    <w:p w14:paraId="287DCAC1"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fordert nachdrücklich </w:t>
      </w:r>
      <w:r>
        <w:rPr>
          <w:b/>
        </w:rPr>
        <w:t>einen ausgewogenen Ansatz für die Sicherheit der IKT-Lieferkette</w:t>
      </w:r>
      <w:r>
        <w:t xml:space="preserve"> mit transparenten, risikobasierten Maßnahmen und einer umfassenden Bewertung der wirtschaftlichen, betrieblichen und sozialen Folgen, wobei ein übermäßiger Aufwand im Zusammenhang mit der Rechtsbefolgung vermieden und für die starke Einbeziehung der Sozialpartner und Interessenträger gesorgt werden muss.</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A83352" w:rsidRPr="00A83352" w14:paraId="6378B503" w14:textId="77777777" w:rsidTr="005B6118">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Kontakt</w:t>
            </w:r>
          </w:p>
        </w:tc>
        <w:tc>
          <w:tcPr>
            <w:tcW w:w="7762"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5B6118">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w:t>
            </w:r>
          </w:p>
        </w:tc>
        <w:tc>
          <w:tcPr>
            <w:tcW w:w="7762"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5B6118">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E-Mail</w:t>
            </w:r>
          </w:p>
        </w:tc>
        <w:tc>
          <w:tcPr>
            <w:tcW w:w="7762" w:type="dxa"/>
          </w:tcPr>
          <w:p w14:paraId="1D8269C1" w14:textId="77777777" w:rsidR="00A83352" w:rsidRPr="00A83352" w:rsidRDefault="00597E76" w:rsidP="00A83352">
            <w:pPr>
              <w:overflowPunct w:val="0"/>
              <w:autoSpaceDE w:val="0"/>
              <w:autoSpaceDN w:val="0"/>
              <w:adjustRightInd w:val="0"/>
              <w:spacing w:line="240" w:lineRule="auto"/>
              <w:textAlignment w:val="baseline"/>
              <w:rPr>
                <w:i/>
              </w:rPr>
            </w:pPr>
            <w:hyperlink r:id="rId44" w:history="1">
              <w:r>
                <w:rPr>
                  <w:i/>
                  <w:color w:val="0000FF"/>
                  <w:u w:val="single"/>
                </w:rPr>
                <w:t>Silvia.Staffa@eesc.europa.eu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67875F69" w:rsidR="00665940" w:rsidRPr="00665940" w:rsidRDefault="00597E76"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Pr>
            <w:b/>
            <w:i/>
            <w:color w:val="0000FF"/>
            <w:sz w:val="28"/>
            <w:u w:val="single"/>
          </w:rPr>
          <w:t>Schaffung eines Europäischen Zentrums für klinische Exzellenz im Bereich Arzneimittel</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264"/>
      </w:tblGrid>
      <w:tr w:rsidR="00665940" w:rsidRPr="00665940" w14:paraId="42EBD1F0" w14:textId="77777777" w:rsidTr="005B6118">
        <w:tc>
          <w:tcPr>
            <w:tcW w:w="1916"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Berichterstatter</w:t>
            </w:r>
          </w:p>
        </w:tc>
        <w:tc>
          <w:tcPr>
            <w:tcW w:w="7264"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Veselin MITOV (Gruppe Arbeitnehmer – BG)</w:t>
            </w:r>
          </w:p>
        </w:tc>
      </w:tr>
      <w:tr w:rsidR="00665940" w:rsidRPr="00665940" w14:paraId="4D35B05F" w14:textId="77777777" w:rsidTr="005B6118">
        <w:tc>
          <w:tcPr>
            <w:tcW w:w="9180"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5B6118">
        <w:trPr>
          <w:trHeight w:val="404"/>
        </w:trPr>
        <w:tc>
          <w:tcPr>
            <w:tcW w:w="1916"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Referenzdokument:</w:t>
            </w:r>
          </w:p>
        </w:tc>
        <w:tc>
          <w:tcPr>
            <w:tcW w:w="7264"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Sondierungsstellungnahme auf Ersuchen des zyprischen Ratsvorsitzes der EU</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Kernaussagen</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Der EWSA</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empfiehlt die Einrichtung eines Europäischen Zentrums für klinische Exzellenz im Bereich Arzneimittel (ECCE) als unverbindliche EU-Referenzstelle, damit unter vollständiger Wahrung des Subsidiaritätsprinzips und des Grundsatzes der Verhältnismäßigkeit wissenschaftliche Evidenz in hochwertige klinische Leitlinien umgesetzt wird und in der gesamten EU ein fairer Zugang zu einer hochwertigen Gesundheitsversorgung gefördert wird;</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ist der Ansicht, dass das ECCE im Sinne der wissenschaftlichen Zusammenarbeit, der Einführung von Innovationen und der strategischen Autonomie der EU in eine umfassendere Strategie der EU zur Stärkung der Widerstandsfähigkeit des Gesundheitswesens eingebettet sein sollte;</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weist daraufhin, dass bestehende Strukturen der EU und der Mitgliedstaaten mit dem ECCE nicht ersetzt, sondern ergänzt würden, das ECCE als gemeinsamer wissenschaftlicher Bezugspunkt dienen könnte und seine Arbeit in einem starken </w:t>
      </w:r>
      <w:proofErr w:type="spellStart"/>
      <w:r>
        <w:t>Governance</w:t>
      </w:r>
      <w:proofErr w:type="spellEnd"/>
      <w:r>
        <w:t>-Rahmen stattfinden muss;</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hält es für erforderlich, den Auftrag des ECCE klar zu definieren und auf wissenschaftliche Exzellenz, Transparenz und praktische Relevanz auszurichten. Der Schwerpunkt muss auf der systematischen Analyse und Synthese klinischer Daten, einschließlich gemeinsamer klinischer Bewertungen und praxisbasierter Evidenz, liegen. Das Zentrum sollte unverbindliche, evidenzbasierte Medikationsempfehlungen und klinische Verfahrensweisen entwickeln, um die nationale Entscheidungsfindung zu unterstützen;</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 xml:space="preserve">empfiehlt im Sinne der wissenschaftlichen Konsistenz, der institutionellen Kontinuität und der Unabhängigkeit die Gründung des ECCE als neue dezentrale EU-Einrichtung mit einer mehrschichtigen </w:t>
      </w:r>
      <w:proofErr w:type="spellStart"/>
      <w:r>
        <w:t>Governance</w:t>
      </w:r>
      <w:proofErr w:type="spellEnd"/>
      <w:r>
        <w:t>-Struktur unter ausgewogener Einbeziehung der Mitgliedstaaten, der Europäischen Kommission und der organisierten Zivilgesellschaft;</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sieht in der stabilen, angemessenen und vorhersehbaren Finanzierung aus EU-Mitteln eine Voraussetzung für die Glaubwürdigkeit, Unabhängigkeit und langfristige Wirksamkeit des ECCE. Alle ergänzenden Finanzierungen müssen streng geregelt werden und vollständig transparent sein, damit eine unzulässige Beeinflussung der wissenschaftlichen Ergebnisse ausgeschlossen ist.</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21"/>
      </w:tblGrid>
      <w:tr w:rsidR="00665940" w:rsidRPr="00665940" w14:paraId="62BF535A" w14:textId="77777777" w:rsidTr="005B6118">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Kontakt</w:t>
            </w:r>
          </w:p>
        </w:tc>
        <w:tc>
          <w:tcPr>
            <w:tcW w:w="7621"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 xml:space="preserve">Radoslava </w:t>
            </w:r>
            <w:proofErr w:type="spellStart"/>
            <w:r>
              <w:rPr>
                <w:i/>
              </w:rPr>
              <w:t>Stefankova</w:t>
            </w:r>
            <w:proofErr w:type="spellEnd"/>
          </w:p>
        </w:tc>
      </w:tr>
      <w:tr w:rsidR="00665940" w:rsidRPr="00665940" w14:paraId="50843905" w14:textId="77777777" w:rsidTr="005B6118">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w:t>
            </w:r>
          </w:p>
        </w:tc>
        <w:tc>
          <w:tcPr>
            <w:tcW w:w="7621"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5B6118">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E-Mail</w:t>
            </w:r>
          </w:p>
        </w:tc>
        <w:tc>
          <w:tcPr>
            <w:tcW w:w="7621" w:type="dxa"/>
          </w:tcPr>
          <w:p w14:paraId="51562D55" w14:textId="77777777" w:rsidR="00665940" w:rsidRPr="00665940" w:rsidRDefault="00597E76" w:rsidP="00665940">
            <w:pPr>
              <w:overflowPunct w:val="0"/>
              <w:autoSpaceDE w:val="0"/>
              <w:autoSpaceDN w:val="0"/>
              <w:adjustRightInd w:val="0"/>
              <w:spacing w:line="240" w:lineRule="auto"/>
              <w:textAlignment w:val="baseline"/>
              <w:rPr>
                <w:i/>
              </w:rPr>
            </w:pPr>
            <w:hyperlink r:id="rId46" w:history="1">
              <w:r>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7E21D025" w:rsidR="00445258" w:rsidRPr="005B6118"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Pr>
            <w:b/>
            <w:i/>
            <w:color w:val="0000FF"/>
            <w:sz w:val="28"/>
            <w:u w:val="single"/>
          </w:rPr>
          <w:t>Neue Vorschriften zu Drogenausgangsstoffen</w:t>
        </w:r>
      </w:hyperlink>
    </w:p>
    <w:p w14:paraId="1FB834C6" w14:textId="77777777" w:rsidR="005B6118" w:rsidRPr="00445258" w:rsidRDefault="005B6118" w:rsidP="005B6118">
      <w:pPr>
        <w:widowControl w:val="0"/>
        <w:overflowPunct w:val="0"/>
        <w:autoSpaceDE w:val="0"/>
        <w:autoSpaceDN w:val="0"/>
        <w:adjustRightInd w:val="0"/>
        <w:spacing w:after="200" w:line="276" w:lineRule="auto"/>
        <w:ind w:left="567"/>
        <w:contextualSpacing/>
        <w:jc w:val="left"/>
        <w:textAlignment w:val="baseline"/>
        <w:rPr>
          <w:b/>
          <w:sz w:val="28"/>
          <w:szCs w:val="28"/>
        </w:rPr>
      </w:pPr>
    </w:p>
    <w:tbl>
      <w:tblPr>
        <w:tblStyle w:val="TableGrid14"/>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47"/>
      </w:tblGrid>
      <w:tr w:rsidR="00445258" w:rsidRPr="00445258" w14:paraId="7E507868" w14:textId="77777777" w:rsidTr="005B6118">
        <w:tc>
          <w:tcPr>
            <w:tcW w:w="1107" w:type="pct"/>
          </w:tcPr>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Berichterstatter</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93" w:type="pct"/>
          </w:tcPr>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(Gruppe Organisationen der Zivilgesellschaft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5B6118">
        <w:tc>
          <w:tcPr>
            <w:tcW w:w="1107"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Referenzdokument:</w:t>
            </w:r>
          </w:p>
        </w:tc>
        <w:tc>
          <w:tcPr>
            <w:tcW w:w="3893"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proofErr w:type="gramStart"/>
            <w:r>
              <w:t>COM(</w:t>
            </w:r>
            <w:proofErr w:type="gramEnd"/>
            <w:r>
              <w:t xml:space="preserve">2025) 747 final </w:t>
            </w:r>
          </w:p>
        </w:tc>
      </w:tr>
      <w:tr w:rsidR="00445258" w:rsidRPr="00445258" w14:paraId="3DFEF38A" w14:textId="77777777" w:rsidTr="005B6118">
        <w:tc>
          <w:tcPr>
            <w:tcW w:w="1107"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93"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Kernaussagen</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Der EWSA spricht folgende Empfehlungen aus:</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Es sollte sichergestellt werden, dass der Zugang zu dem Verzeichnis von Informationen über Drogenausgangsstoffe kostenlos ist.</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Hochschulen, Forschungseinrichtungen und Wohltätigkeitsorganisationen sollten von den Gebühren für die Erteilung einer Erlaubnis vollständig befreit werden bzw. deutliche Ermäßigungen erhalten.</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Die Verfahren für die vorherige Anzeige für die Verwendung kleiner Mengen von Designer-Ausgangsstoffen sollten gestrafft werden.</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Ein spezieller Kanal für technische Anleitungen sollte für alle Interessenträger eingerichtet werden, einschließlich Einrichtungen des dritten Sektors, damit die Einstufung von Varianten eines Stoffes rasch geklärt werden kann.</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Rechtsunsicherheit für Forschungslabore, die durch die generische Aufnahme von Stoffgruppen in Kategorie 3 entstehen kann, sollte vermieden werden, indem rechtzeitig klare und erschöpfende Listen mit Ausnahmen veröffentlicht werden.</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Organisationen der Zivilgesellschaft, die auf Suchtprävention und niedrigschwellige Hilfe („Harm </w:t>
      </w:r>
      <w:proofErr w:type="spellStart"/>
      <w:r>
        <w:t>Reduction</w:t>
      </w:r>
      <w:proofErr w:type="spellEnd"/>
      <w:r>
        <w:t xml:space="preserve">“) spezialisiert sind, sollten in Sensibilisierungsmaßnahmen und Schulungsaktivitäten einbezogen werden.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Die Verpflichtung zur Benennung eines verantwortlichen Beauftragten sollte durchgesetzt werden. Für kleine zivilgesellschaftliche Organisationen sollte Flexibilität vorgesehen werden, damit vorhandene Mitarbeiter benannt werden können.</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In Bezug auf den Rechtsrahmen in der EU sollte Einheitlichkeit erreicht werden. Dies wird die Behörden EU-weit bei der Verfolgung des Handels mit Stoffen und ihrer Verwendung in der Forschung unterstützen.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Die Autonomie von Forschenden, die Ausgangsstoffe der Kategorie 3 verwenden, sollte gewahrt werden, indem sichergestellt wird, dass die Kontrollen durch die zuständigen Behörden (Artikel 28) risikobasiert sind und die Vertraulichkeit oder Integrität wissenschaftlicher Forschungsprotokolle nicht beeinträchtigen.</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47"/>
      </w:tblGrid>
      <w:tr w:rsidR="00445258" w:rsidRPr="00445258" w14:paraId="34E47DF7" w14:textId="77777777" w:rsidTr="005B6118">
        <w:tc>
          <w:tcPr>
            <w:tcW w:w="1107"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Kontakt</w:t>
            </w:r>
          </w:p>
        </w:tc>
        <w:tc>
          <w:tcPr>
            <w:tcW w:w="3893"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 xml:space="preserve">Radoslava </w:t>
            </w:r>
            <w:proofErr w:type="spellStart"/>
            <w:r>
              <w:rPr>
                <w:i/>
              </w:rPr>
              <w:t>Stefankova</w:t>
            </w:r>
            <w:proofErr w:type="spellEnd"/>
          </w:p>
        </w:tc>
      </w:tr>
      <w:tr w:rsidR="00445258" w:rsidRPr="00445258" w14:paraId="12D23E6C" w14:textId="77777777" w:rsidTr="005B6118">
        <w:tc>
          <w:tcPr>
            <w:tcW w:w="1107"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w:t>
            </w:r>
          </w:p>
        </w:tc>
        <w:tc>
          <w:tcPr>
            <w:tcW w:w="3893"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5B6118">
        <w:tc>
          <w:tcPr>
            <w:tcW w:w="1107"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E-Mail</w:t>
            </w:r>
          </w:p>
        </w:tc>
        <w:tc>
          <w:tcPr>
            <w:tcW w:w="3893" w:type="pct"/>
          </w:tcPr>
          <w:p w14:paraId="7DA66FD2" w14:textId="77777777" w:rsidR="00445258" w:rsidRPr="00445258" w:rsidRDefault="00597E76" w:rsidP="00445258">
            <w:pPr>
              <w:overflowPunct w:val="0"/>
              <w:autoSpaceDE w:val="0"/>
              <w:autoSpaceDN w:val="0"/>
              <w:adjustRightInd w:val="0"/>
              <w:spacing w:line="240" w:lineRule="auto"/>
              <w:textAlignment w:val="baseline"/>
              <w:rPr>
                <w:i/>
                <w:iCs/>
              </w:rPr>
            </w:pPr>
            <w:hyperlink r:id="rId48" w:history="1">
              <w:r>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52EFE3E9"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Vorschlag für eine Verordnung – Gezielte Überarbeitung der EU</w:t>
        </w:r>
        <w:r w:rsidR="005B6118">
          <w:rPr>
            <w:b/>
            <w:i/>
            <w:color w:val="0000FF"/>
            <w:sz w:val="28"/>
            <w:u w:val="single"/>
          </w:rPr>
          <w:noBreakHyphen/>
        </w:r>
        <w:r>
          <w:rPr>
            <w:b/>
            <w:i/>
            <w:color w:val="0000FF"/>
            <w:sz w:val="28"/>
            <w:u w:val="single"/>
          </w:rPr>
          <w:t>Vorschriften über Medizinprodukte und In-vitro-Diagnostika</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DE758A" w:rsidRPr="00DE758A" w14:paraId="6B8DC8E9" w14:textId="77777777" w:rsidTr="005A5202">
        <w:trPr>
          <w:trHeight w:val="406"/>
        </w:trPr>
        <w:tc>
          <w:tcPr>
            <w:tcW w:w="1108"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Berichterstatter</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892"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(Gruppe Organisationen der Zivilgesellschaft – HR)</w:t>
            </w:r>
          </w:p>
        </w:tc>
      </w:tr>
      <w:tr w:rsidR="00DE758A" w:rsidRPr="00DE758A" w14:paraId="32202284" w14:textId="77777777" w:rsidTr="005A5202">
        <w:tc>
          <w:tcPr>
            <w:tcW w:w="1108"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Referenzdokumente:</w:t>
            </w:r>
          </w:p>
        </w:tc>
        <w:tc>
          <w:tcPr>
            <w:tcW w:w="3892"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proofErr w:type="gramStart"/>
            <w:r>
              <w:t>COM(</w:t>
            </w:r>
            <w:proofErr w:type="gramEnd"/>
            <w:r>
              <w:t xml:space="preserve">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Kernaussagen</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Der EWSA</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begrüßt den Vorschlag der Kommission, die Verordnung über Medizinprodukte und die Verordnung über In-vitro-Diagnostika zu vereinfachen und zu straffen und gleichzeitig die Patientensicherheit, den Schutz der öffentlichen Gesundheit und das Vertrauen in das Regulierungssystem sicherzustellen;</w:t>
      </w:r>
    </w:p>
    <w:p w14:paraId="3F3B23CD" w14:textId="77777777" w:rsidR="00DE758A" w:rsidRPr="004C6742" w:rsidRDefault="00DE758A" w:rsidP="004C6742">
      <w:pPr>
        <w:pStyle w:val="ListParagraph"/>
        <w:numPr>
          <w:ilvl w:val="0"/>
          <w:numId w:val="77"/>
        </w:numPr>
        <w:ind w:left="567" w:hanging="567"/>
      </w:pPr>
      <w:r>
        <w:t xml:space="preserve">betont, dass bei einer solchen </w:t>
      </w:r>
      <w:r>
        <w:rPr>
          <w:b/>
        </w:rPr>
        <w:t>Vereinfachung Rechtssicherheit, vorhersehbare Zertifizierungsergebnisse und eine Harmonisierung der Verfahren zwischen den Mitgliedstaaten sichergestellt sein müssen.</w:t>
      </w:r>
      <w:r>
        <w:t xml:space="preserve"> Abweichungen zwischen den Verfahren der Benannten Stellen sind zu vermeiden, und KMU und Kleinstunternehmen müssen vor Unsicherheit geschützt werden;</w:t>
      </w:r>
    </w:p>
    <w:p w14:paraId="5AD93FCB" w14:textId="77777777" w:rsidR="00DE758A" w:rsidRPr="004C6742" w:rsidRDefault="00DE758A" w:rsidP="004C6742">
      <w:pPr>
        <w:pStyle w:val="ListParagraph"/>
        <w:numPr>
          <w:ilvl w:val="0"/>
          <w:numId w:val="77"/>
        </w:numPr>
        <w:ind w:left="567" w:hanging="567"/>
      </w:pPr>
      <w:r>
        <w:t xml:space="preserve">unterstreicht, dass insbesondere KMU, Arbeitnehmerinnen und Arbeitnehmer sowie medizinisches Personal bei der </w:t>
      </w:r>
      <w:r>
        <w:rPr>
          <w:b/>
        </w:rPr>
        <w:t>Digitalisierung von Konformitätsbewertungen und Audits nicht durch doppelte Anforderungen und zusätzliche Kosten belastet werden dürfen</w:t>
      </w:r>
      <w:r>
        <w:t xml:space="preserve"> und dass sie durch klare Leitlinien, Schulungen und technische Hilfe unterstützt werden müssen;</w:t>
      </w:r>
    </w:p>
    <w:p w14:paraId="5B714428" w14:textId="77777777" w:rsidR="00DE758A" w:rsidRPr="004C6742" w:rsidRDefault="00DE758A" w:rsidP="004C6742">
      <w:pPr>
        <w:pStyle w:val="ListParagraph"/>
        <w:numPr>
          <w:ilvl w:val="0"/>
          <w:numId w:val="77"/>
        </w:numPr>
        <w:ind w:left="567" w:hanging="567"/>
      </w:pPr>
      <w:r>
        <w:t xml:space="preserve">besteht darauf, dass die </w:t>
      </w:r>
      <w:r>
        <w:rPr>
          <w:b/>
        </w:rPr>
        <w:t xml:space="preserve">Vereinfachung nicht durch höhere Gebühren der Benannten Stellen konterkariert werden darf und dass die Systeme der Überwachung nach dem Inverkehrbringen und die </w:t>
      </w:r>
      <w:proofErr w:type="spellStart"/>
      <w:r>
        <w:rPr>
          <w:b/>
        </w:rPr>
        <w:t>Vigilanzsysteme</w:t>
      </w:r>
      <w:proofErr w:type="spellEnd"/>
      <w:r>
        <w:t xml:space="preserve"> als wichtige Ausgleichsmechanismen für flexiblere Anforderungen vor dem Inverkehrbringen </w:t>
      </w:r>
      <w:r>
        <w:rPr>
          <w:b/>
        </w:rPr>
        <w:t>gestärkt werden müssen</w:t>
      </w:r>
      <w:r>
        <w:t>;</w:t>
      </w:r>
    </w:p>
    <w:p w14:paraId="2350A493" w14:textId="77777777" w:rsidR="00DE758A" w:rsidRPr="004C6742" w:rsidRDefault="00DE758A" w:rsidP="004C6742">
      <w:pPr>
        <w:pStyle w:val="ListParagraph"/>
        <w:numPr>
          <w:ilvl w:val="0"/>
          <w:numId w:val="77"/>
        </w:numPr>
        <w:ind w:left="567" w:hanging="567"/>
      </w:pPr>
      <w:r>
        <w:t>unterstützt</w:t>
      </w:r>
      <w:r>
        <w:rPr>
          <w:b/>
        </w:rPr>
        <w:t xml:space="preserve"> innovationsfreundliche Regulierungspfade für bahnbrechende Medizinprodukte und Produkte für seltene Erkrankungen bei gleichzeitiger Gewährleistung von Transparenz</w:t>
      </w:r>
      <w:r>
        <w:t xml:space="preserve"> (auch durch EUDAMED) und fordert die systematische </w:t>
      </w:r>
      <w:r>
        <w:rPr>
          <w:b/>
        </w:rPr>
        <w:t>Einbeziehung der Sozialpartner, der Angehörigen der Gesundheitsberufe und der Zivilgesellschaft</w:t>
      </w:r>
      <w:r>
        <w:t xml:space="preserve"> in die Überwachung der Umsetzung und der Auswirkungen.</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7797"/>
      </w:tblGrid>
      <w:tr w:rsidR="00DE758A" w:rsidRPr="00DE758A" w14:paraId="5DE0DD71" w14:textId="77777777" w:rsidTr="005A5202">
        <w:tc>
          <w:tcPr>
            <w:tcW w:w="753"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Kontakt</w:t>
            </w:r>
          </w:p>
        </w:tc>
        <w:tc>
          <w:tcPr>
            <w:tcW w:w="4247"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5A5202">
        <w:tc>
          <w:tcPr>
            <w:tcW w:w="753"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w:t>
            </w:r>
          </w:p>
        </w:tc>
        <w:tc>
          <w:tcPr>
            <w:tcW w:w="4247"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5A5202">
        <w:tc>
          <w:tcPr>
            <w:tcW w:w="753"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E-Mail</w:t>
            </w:r>
          </w:p>
        </w:tc>
        <w:tc>
          <w:tcPr>
            <w:tcW w:w="4247" w:type="pct"/>
          </w:tcPr>
          <w:p w14:paraId="7476247D" w14:textId="77777777" w:rsidR="00DE758A" w:rsidRPr="00DE758A" w:rsidRDefault="00597E76" w:rsidP="00DE758A">
            <w:pPr>
              <w:overflowPunct w:val="0"/>
              <w:autoSpaceDE w:val="0"/>
              <w:autoSpaceDN w:val="0"/>
              <w:adjustRightInd w:val="0"/>
              <w:spacing w:line="240" w:lineRule="auto"/>
              <w:textAlignment w:val="baseline"/>
              <w:rPr>
                <w:i/>
                <w:iCs/>
              </w:rPr>
            </w:pPr>
            <w:hyperlink r:id="rId50" w:history="1">
              <w:r>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2EFA7F4B"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Strategische Normung für einen stärkeren Binnenmarkt</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Berichterstatter</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(Gruppe Arbeitnehmer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Referenzdokument:</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Initiativstellungnahme</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Kernaussagen</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Der EWSA</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betont, dass die Legitimität und Wirksamkeit des europäischen Normungssystems entscheidend von seiner </w:t>
      </w:r>
      <w:r>
        <w:rPr>
          <w:b/>
        </w:rPr>
        <w:t>Inklusivität</w:t>
      </w:r>
      <w:r>
        <w:t xml:space="preserve"> abhängen, und fordert </w:t>
      </w:r>
      <w:r>
        <w:rPr>
          <w:b/>
        </w:rPr>
        <w:t>eine stärkere Beteiligung der KMU, Gewerkschaften und Zivilgesellschaft</w:t>
      </w:r>
      <w:r>
        <w:t>, u. a. durch angemessene finanzielle Unterstützung, Kapazitätsaufbau und vereinfachten Zugang;</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fordert klare Garantien zum Schutz des sozialen Dialogs und betont, dass die</w:t>
      </w:r>
      <w:r>
        <w:rPr>
          <w:b/>
        </w:rPr>
        <w:t xml:space="preserve"> europäische Normung ein technisches Instrument zur Unterstützung der Rechtsvorschriften</w:t>
      </w:r>
      <w:r>
        <w:t xml:space="preserve"> bleiben muss und nicht die Arbeitnehmerrechte, die Arbeitsbedingungen oder Tarifverhandlungen regulieren oder in diese eingreifen darf;</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fordert </w:t>
      </w:r>
      <w:r>
        <w:rPr>
          <w:b/>
        </w:rPr>
        <w:t>mehr Transparenz</w:t>
      </w:r>
      <w:r>
        <w:t xml:space="preserve"> und Zugänglichkeit, einschließlich eines </w:t>
      </w:r>
      <w:r>
        <w:rPr>
          <w:b/>
        </w:rPr>
        <w:t xml:space="preserve">besseren Zugangs der Öffentlichkeit zu Normen und eine klarere </w:t>
      </w:r>
      <w:proofErr w:type="spellStart"/>
      <w:r>
        <w:rPr>
          <w:b/>
        </w:rPr>
        <w:t>Governance</w:t>
      </w:r>
      <w:proofErr w:type="spellEnd"/>
      <w:r>
        <w:rPr>
          <w:b/>
        </w:rPr>
        <w:t xml:space="preserve"> der technischen Ausschüsse</w:t>
      </w:r>
      <w:r>
        <w:t xml:space="preserve"> sowie </w:t>
      </w:r>
      <w:r>
        <w:rPr>
          <w:b/>
        </w:rPr>
        <w:t>Ex-ante-Bewertung von Normungsaufträgen</w:t>
      </w:r>
      <w:r>
        <w:t>, um die Achtung der Grundrechte und Einhaltung der EU-Rechtsvorschriften sicherzustellen;</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hebt die strategische Rolle der Normung bei der Förderung des Binnenmarkts, der Wettbewerbsfähigkeit und der offenen strategischen Autonomie der EU hervor und fordert zugleich eine stärkere </w:t>
      </w:r>
      <w:r>
        <w:rPr>
          <w:b/>
        </w:rPr>
        <w:t>Koordinierung der EU bei der Festlegung internationaler Normen,</w:t>
      </w:r>
      <w:r>
        <w:t xml:space="preserve"> um die europäischen Interessen und hohe Standards zu wahren;</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spricht sich für ein effizienteres und </w:t>
      </w:r>
      <w:r>
        <w:rPr>
          <w:b/>
        </w:rPr>
        <w:t>zukunftssicheres</w:t>
      </w:r>
      <w:r>
        <w:t xml:space="preserve"> System aus, das die </w:t>
      </w:r>
      <w:r>
        <w:rPr>
          <w:b/>
        </w:rPr>
        <w:t>Aktualität</w:t>
      </w:r>
      <w:r>
        <w:t xml:space="preserve"> und Qualität verbessert, gleichzeitig </w:t>
      </w:r>
      <w:r>
        <w:rPr>
          <w:b/>
        </w:rPr>
        <w:t>neu entstehenden Technologien</w:t>
      </w:r>
      <w:r>
        <w:t xml:space="preserve"> Rechnung trägt und sicherstellt, dass die Normen Innovation, Nachhaltigkeit und </w:t>
      </w:r>
      <w:r>
        <w:rPr>
          <w:b/>
        </w:rPr>
        <w:t>ein hohes Schutzniveau für Arbeitnehmer, Verbraucher und die Umwelt</w:t>
      </w:r>
      <w:r>
        <w:t xml:space="preserve"> fördern.</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CB6F1C" w:rsidRPr="00CB6F1C" w14:paraId="10996137" w14:textId="77777777" w:rsidTr="005A5202">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Kontakt</w:t>
            </w:r>
          </w:p>
        </w:tc>
        <w:tc>
          <w:tcPr>
            <w:tcW w:w="7762"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5A5202">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w:t>
            </w:r>
          </w:p>
        </w:tc>
        <w:tc>
          <w:tcPr>
            <w:tcW w:w="7762"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5A5202">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E-Mail</w:t>
            </w:r>
          </w:p>
        </w:tc>
        <w:tc>
          <w:tcPr>
            <w:tcW w:w="7762" w:type="dxa"/>
          </w:tcPr>
          <w:p w14:paraId="06BF328F" w14:textId="77777777" w:rsidR="00CB6F1C" w:rsidRPr="00CB6F1C" w:rsidRDefault="00597E76" w:rsidP="00CB6F1C">
            <w:pPr>
              <w:overflowPunct w:val="0"/>
              <w:autoSpaceDE w:val="0"/>
              <w:autoSpaceDN w:val="0"/>
              <w:adjustRightInd w:val="0"/>
              <w:spacing w:line="240" w:lineRule="auto"/>
              <w:textAlignment w:val="baseline"/>
              <w:rPr>
                <w:i/>
              </w:rPr>
            </w:pPr>
            <w:hyperlink r:id="rId52" w:history="1">
              <w:r>
                <w:rPr>
                  <w:i/>
                  <w:color w:val="0000FF"/>
                  <w:u w:val="single"/>
                </w:rPr>
                <w:t>Silvia.Staffa@eesc.europa.eu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5919CFDB" w:rsidR="001F4150" w:rsidRPr="005A5202" w:rsidRDefault="00A067F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Pr>
            <w:b/>
            <w:i/>
            <w:color w:val="0000FF"/>
            <w:sz w:val="28"/>
            <w:u w:val="single"/>
          </w:rPr>
          <w:t>Binnenmarkt – Beendigung ungerechtfertigter regionaler Angebotsbeschränkungen</w:t>
        </w:r>
      </w:hyperlink>
    </w:p>
    <w:p w14:paraId="1E4ED7DB" w14:textId="77777777" w:rsidR="005A5202" w:rsidRPr="001F4150" w:rsidRDefault="005A5202" w:rsidP="005A5202">
      <w:pPr>
        <w:widowControl w:val="0"/>
        <w:overflowPunct w:val="0"/>
        <w:autoSpaceDE w:val="0"/>
        <w:autoSpaceDN w:val="0"/>
        <w:adjustRightInd w:val="0"/>
        <w:spacing w:after="200" w:line="276" w:lineRule="auto"/>
        <w:ind w:left="567"/>
        <w:contextualSpacing/>
        <w:jc w:val="left"/>
        <w:textAlignment w:val="baseline"/>
        <w:rPr>
          <w:b/>
          <w:sz w:val="28"/>
          <w:szCs w:val="28"/>
        </w:rPr>
      </w:pPr>
    </w:p>
    <w:tbl>
      <w:tblPr>
        <w:tblStyle w:val="TableGrid17"/>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47"/>
      </w:tblGrid>
      <w:tr w:rsidR="001F4150" w:rsidRPr="001F4150" w14:paraId="27380A90" w14:textId="77777777" w:rsidTr="005A5202">
        <w:tc>
          <w:tcPr>
            <w:tcW w:w="1107" w:type="pct"/>
          </w:tcPr>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Berichterstatterin</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93" w:type="pct"/>
          </w:tcPr>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(Gruppe Arbeitgeber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5A5202">
        <w:tc>
          <w:tcPr>
            <w:tcW w:w="1107"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Referenzdokument:</w:t>
            </w:r>
          </w:p>
        </w:tc>
        <w:tc>
          <w:tcPr>
            <w:tcW w:w="3893"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Sondierungsstellungnahme auf Ersuchen der Europäischen Kommission</w:t>
            </w:r>
          </w:p>
        </w:tc>
      </w:tr>
      <w:tr w:rsidR="001F4150" w:rsidRPr="001F4150" w14:paraId="64A253EA" w14:textId="77777777" w:rsidTr="005A5202">
        <w:tc>
          <w:tcPr>
            <w:tcW w:w="1107"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93"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Kernaussagen</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Der EWSA</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ist der Ansicht, dass regionale Angebotsbeschränkungen den grenzüberschreitenden Handel beeinträchtigen und dem Versprechen des Binnenmarkts zuwiderlaufen, den Verbraucherinnen und Verbrauchern mehr Auswahl und preislichen Wettbewerb zu bieten;</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hält es für besonders wichtig, dass Verbraucher und Arbeitnehmer in Bezug auf Preise und Produktauswahl von allen potenziellen Vorteilen eines gut funktionierenden Binnenmarkts profitieren können;</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 xml:space="preserve">fordert die Mitgliedstaaten nachdrücklich auf, keine nationalen Rechtsvorschriften zu erlassen, die den Beschaffungsmarkt weiter </w:t>
      </w:r>
      <w:proofErr w:type="spellStart"/>
      <w:r>
        <w:t>renationalisieren</w:t>
      </w:r>
      <w:proofErr w:type="spellEnd"/>
      <w:r>
        <w:t xml:space="preserve"> würden, sondern stattdessen ungerechtfertigte Hindernisse für den freien Warenverkehr zu beseitigen, ohne die rechtmäßigen Erfordernisse des Verbraucherschutzes zu untergraben;</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hält es für sinnvoll, die Möglichkeit zu prüfen, Leitlinien für die nationalen Wettbewerbsbehörden und die einschlägigen Interessenträger zu erstellen;</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fordert die Europäische Kommission auf, Rechtsvorschriften vorzuschlagen, die auf den Grundsätzen des Gesetzes über digitale Märkte oder der Richtlinie über unlautere Handelspraktiken in der Lebensmittelkette beruhen, um regionale Angebotsbeschränkungen wirksam anzugehen und fairere Handelspraktiken in der Lieferkette sicherzustellen.</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1F4150" w:rsidRPr="001F4150" w14:paraId="040FF66B" w14:textId="77777777" w:rsidTr="005A5202">
        <w:tc>
          <w:tcPr>
            <w:tcW w:w="1090"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Kontakt</w:t>
            </w:r>
          </w:p>
        </w:tc>
        <w:tc>
          <w:tcPr>
            <w:tcW w:w="3910"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5A5202">
        <w:tc>
          <w:tcPr>
            <w:tcW w:w="1090"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w:t>
            </w:r>
          </w:p>
        </w:tc>
        <w:tc>
          <w:tcPr>
            <w:tcW w:w="3910"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5A5202">
        <w:tc>
          <w:tcPr>
            <w:tcW w:w="1090"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E-Mail</w:t>
            </w:r>
          </w:p>
        </w:tc>
        <w:tc>
          <w:tcPr>
            <w:tcW w:w="3910" w:type="pct"/>
          </w:tcPr>
          <w:p w14:paraId="67D97326" w14:textId="77777777" w:rsidR="001F4150" w:rsidRPr="001F4150" w:rsidRDefault="00597E76" w:rsidP="001F4150">
            <w:pPr>
              <w:overflowPunct w:val="0"/>
              <w:autoSpaceDE w:val="0"/>
              <w:autoSpaceDN w:val="0"/>
              <w:adjustRightInd w:val="0"/>
              <w:spacing w:line="240" w:lineRule="auto"/>
              <w:textAlignment w:val="baseline"/>
              <w:rPr>
                <w:i/>
                <w:iCs/>
              </w:rPr>
            </w:pPr>
            <w:hyperlink r:id="rId54" w:history="1">
              <w:r>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5604570F" w:rsidR="00227AA1" w:rsidRPr="00227AA1" w:rsidRDefault="00597E76"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EU-Start-up- und Scale-up-Strategie – Schwerpunkt europäischer Innovationsplan</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264"/>
      </w:tblGrid>
      <w:tr w:rsidR="00227AA1" w:rsidRPr="00227AA1" w14:paraId="6C2F2EA8" w14:textId="77777777" w:rsidTr="005A5202">
        <w:tc>
          <w:tcPr>
            <w:tcW w:w="1916"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Berichterstatter</w:t>
            </w:r>
          </w:p>
        </w:tc>
        <w:tc>
          <w:tcPr>
            <w:tcW w:w="7264" w:type="dxa"/>
          </w:tcPr>
          <w:p w14:paraId="0C2DB9EA" w14:textId="7F8CAD64" w:rsidR="00227AA1" w:rsidRPr="00227AA1" w:rsidRDefault="00227AA1" w:rsidP="00227AA1">
            <w:pPr>
              <w:tabs>
                <w:tab w:val="center" w:pos="284"/>
              </w:tabs>
              <w:overflowPunct w:val="0"/>
              <w:autoSpaceDE w:val="0"/>
              <w:autoSpaceDN w:val="0"/>
              <w:adjustRightInd w:val="0"/>
              <w:ind w:left="266" w:hanging="266"/>
              <w:textAlignment w:val="baseline"/>
            </w:pPr>
            <w:r>
              <w:t>Paul RÜBIG (Gruppe Arbeitgeber – AT)</w:t>
            </w:r>
          </w:p>
          <w:p w14:paraId="5142010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r w:rsidR="00227AA1" w:rsidRPr="00227AA1" w14:paraId="35AF9FA7" w14:textId="77777777" w:rsidTr="005A5202">
        <w:tc>
          <w:tcPr>
            <w:tcW w:w="9180"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5A5202">
        <w:tc>
          <w:tcPr>
            <w:tcW w:w="1916"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Referenzdokument:</w:t>
            </w:r>
          </w:p>
        </w:tc>
        <w:tc>
          <w:tcPr>
            <w:tcW w:w="7264"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Sondierungsstellungnahme auf Ersuchen des zyprischen Ratsvorsitzes der EU</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5A5202">
        <w:tc>
          <w:tcPr>
            <w:tcW w:w="1916"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7264"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Kernaussagen</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Nach Auffassung des EWSA</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proofErr w:type="gramStart"/>
      <w:r>
        <w:t>muss</w:t>
      </w:r>
      <w:proofErr w:type="gramEnd"/>
      <w:r>
        <w:t xml:space="preserve"> Europa Innovation und Forschung beträchtlich ausbauen und hat viel Nachholbedarf bei der Vermarktung der Innovations- und Forschungsergebnisse durch Unternehmen in der Gründungs- und Wachstumsphase (Spin-off-, Start-up- und Scale-up-Unternehmen).</w:t>
      </w:r>
      <w:r>
        <w:rPr>
          <w:rFonts w:ascii="Calibri" w:hAnsi="Calibri"/>
        </w:rPr>
        <w:t xml:space="preserve"> </w:t>
      </w:r>
      <w:r>
        <w:t>In der Folge werden in strategisch relevanten Industriezweigen immer öfter Bedenken über das Umfeld in Europa laut, das zu fragmentiert, überreguliert und träge geworden ist, um mit der rasanten globalen technischen Entwicklung Schritt halten zu können;</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die Hauptgründe für diesen Trend sind ein schwindendes Verständnis dafür, wie Marktwirtschaft funktioniert, und die zunehmende Fragmentierung der Vorschriften und deren Umsetzung im Binnenmarkt. Dies beeinträchtigt den grenzüberschreitenden Markthochlauf und den Technologietransfer aus der Forschung in die Industrie;</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langsame Verwaltungsabläufe, eine schwache Digitalisierung und eine uneinheitliche Anwendung der EU-Vorschriften auf nationaler und regionaler Ebene hemmen die Unternehmen zusätzlich;</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das europäische Innovationsgesetz (EIA) kann grenzüberschreitende Start-up- und Scale-up-Unternehmen entlasten, wenn bereichsübergreifende Vereinfachungen für Start-up-Unternehmen vorgesehen werden und diese in allen Mitgliedstaaten verbindlich durchgesetzt werden können, wobei die Arbeitnehmerrechte und Arbeitnehmerbeteiligung berücksichtigt werden müssen. Der europäische Rechtsakt zur Innovation sollte mit den Grundsätzen eines gerechten Übergangs in Einklang gebracht werden, um sicherzustellen, dass Innovationen zum Wirtschaftswachstum, Wettbewerbsfähigkeit und zur Schaffung von Arbeitsplätzen beitragen, wobei der Notwendigkeit Rechnung zu tragen ist, die vom technologischen und industriellen Wandel betroffenen Arbeitnehmerinnen und Arbeitnehmer zu begleiten;</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ein Kriterienkatalog zur Bewertung von Innovationsinhalten und Wachstumsaussichten wäre effizienter und präziser als eine verbindliche Definition von Start-up und Scale-up. Auch ein Ranking gründerfreundlicher Universitäten wäre ein unterstützender Beitrag zum EIA. Darüber hinaus sollte das EIA die Rolle von Forschungs- und Technologieorganisationen und des Europäischen Innovations- und Technologieinstituts (EIT) stärken, insbesondere in technologie- und kapitalintensiven Branchen;</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europaweite Steueranreize für Mitarbeiterbeteiligungen können Innovation und Wachstum fördern. Außerdem sollten für Gründer ein Risikoschutz angeboten und für Arbeitnehmer und Gläubiger angemessene Garantien im Einklang mit den bestehenden Insolvenzrahmen sichergestellt werden.</w:t>
      </w:r>
    </w:p>
    <w:p w14:paraId="5C529301" w14:textId="77777777" w:rsidR="00336295" w:rsidRPr="00227AA1" w:rsidRDefault="00336295" w:rsidP="00227AA1">
      <w:pPr>
        <w:numPr>
          <w:ilvl w:val="0"/>
          <w:numId w:val="14"/>
        </w:numPr>
        <w:overflowPunct w:val="0"/>
        <w:autoSpaceDE w:val="0"/>
        <w:autoSpaceDN w:val="0"/>
        <w:adjustRightInd w:val="0"/>
        <w:spacing w:after="200" w:line="276" w:lineRule="auto"/>
        <w:ind w:left="567" w:hanging="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227AA1" w:rsidRPr="00227AA1" w14:paraId="5F5314FB" w14:textId="77777777" w:rsidTr="005A5202">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Kontakt</w:t>
            </w:r>
          </w:p>
        </w:tc>
        <w:tc>
          <w:tcPr>
            <w:tcW w:w="7762"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5A5202">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Tel.</w:t>
            </w:r>
          </w:p>
        </w:tc>
        <w:tc>
          <w:tcPr>
            <w:tcW w:w="7762"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5A5202">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E-Mail</w:t>
            </w:r>
          </w:p>
        </w:tc>
        <w:tc>
          <w:tcPr>
            <w:tcW w:w="7762" w:type="dxa"/>
          </w:tcPr>
          <w:p w14:paraId="30AFF7EB" w14:textId="77777777" w:rsidR="00227AA1" w:rsidRPr="00227AA1" w:rsidRDefault="00597E76" w:rsidP="00227AA1">
            <w:pPr>
              <w:overflowPunct w:val="0"/>
              <w:autoSpaceDE w:val="0"/>
              <w:autoSpaceDN w:val="0"/>
              <w:adjustRightInd w:val="0"/>
              <w:spacing w:line="240" w:lineRule="auto"/>
              <w:textAlignment w:val="baseline"/>
              <w:rPr>
                <w:i/>
              </w:rPr>
            </w:pPr>
            <w:hyperlink r:id="rId56" w:history="1">
              <w:r>
                <w:rPr>
                  <w:i/>
                  <w:color w:val="0000FF"/>
                  <w:u w:val="single"/>
                </w:rPr>
                <w:t>Jana.Valant@eesc.europa.eu</w:t>
              </w:r>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A65E420" w:rsidR="004D7AC0" w:rsidRDefault="004D7AC0" w:rsidP="001766B2">
      <w:pPr>
        <w:jc w:val="left"/>
      </w:pPr>
    </w:p>
    <w:p w14:paraId="4982DE1F" w14:textId="1B0F62B5" w:rsidR="004D7AC0" w:rsidRDefault="004D7AC0" w:rsidP="004C6742">
      <w:pPr>
        <w:pStyle w:val="Heading2"/>
      </w:pPr>
      <w:bookmarkStart w:id="18" w:name="_Toc70322234"/>
      <w:bookmarkStart w:id="19" w:name="_Toc75527084"/>
      <w:bookmarkStart w:id="20" w:name="_Toc229140656"/>
      <w:r>
        <w:t>LANDWIRTSCHAFT, LÄNDLICHE ENTWICKLUNG, UMWELT</w:t>
      </w:r>
      <w:bookmarkEnd w:id="18"/>
      <w:bookmarkEnd w:id="19"/>
      <w:bookmarkEnd w:id="20"/>
    </w:p>
    <w:p w14:paraId="4982DE20" w14:textId="77777777" w:rsidR="004D7AC0" w:rsidRDefault="004D7AC0" w:rsidP="001766B2"/>
    <w:p w14:paraId="38C8A97D" w14:textId="05DCA563" w:rsidR="00341FC2" w:rsidRPr="005A5202" w:rsidRDefault="00341FC2" w:rsidP="004C6742">
      <w:pPr>
        <w:widowControl w:val="0"/>
        <w:numPr>
          <w:ilvl w:val="0"/>
          <w:numId w:val="4"/>
        </w:numPr>
        <w:overflowPunct w:val="0"/>
        <w:autoSpaceDE w:val="0"/>
        <w:autoSpaceDN w:val="0"/>
        <w:adjustRightInd w:val="0"/>
        <w:ind w:hanging="567"/>
        <w:textAlignment w:val="baseline"/>
        <w:rPr>
          <w:b/>
          <w:u w:val="single"/>
        </w:rPr>
      </w:pPr>
      <w:hyperlink r:id="rId57" w:history="1">
        <w:r w:rsidRPr="005A5202">
          <w:rPr>
            <w:b/>
            <w:i/>
            <w:color w:val="0000FF"/>
            <w:sz w:val="28"/>
            <w:u w:val="single"/>
          </w:rPr>
          <w:t xml:space="preserve">Eine umfassende Strategie für naturbasierte biologisch abbaubare Materialien </w:t>
        </w:r>
        <w:r w:rsidRPr="005A5202">
          <w:rPr>
            <w:b/>
            <w:i/>
            <w:color w:val="0000FF"/>
            <w:sz w:val="28"/>
            <w:u w:val="single"/>
          </w:rPr>
          <w:t>z</w:t>
        </w:r>
        <w:r w:rsidRPr="005A5202">
          <w:rPr>
            <w:b/>
            <w:i/>
            <w:color w:val="0000FF"/>
            <w:sz w:val="28"/>
            <w:u w:val="single"/>
          </w:rPr>
          <w:t>ur Förderung der Kreislaufwirtschaft und der Ressourceneffizienz, des Agrar- und Lebensmittelsektors und der Bioökonomie in der EU</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Berichterstatter</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Stoyan TCHOUKANOV (Gruppe Organisationen der Zivilgesellschaft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Referenzdokument:</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Initiativstellungnahme</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Kernaussagen</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Der EWSA</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ist der Auffassung, dass sich der EU derzeit eine günstige Gelegenheit bietet, ihre Umstellung auf eine kreislauforientierte Bioökonomie, bei der Kreislaufprinzip, Verringerung des Materialdurchsatzes unter Berücksichtigung der Belastbarkeitsgrenzen unseres Planeten, nachhaltige Biomassenutzung und industrielle Wettbewerbsfähigkeit Hand in Hand gehen, verstärkt voranzutreiben. fordert angesichts des anstehenden Rechtsakts über die Kreislaufwirtschaft und der aktualisierten Bioökonomie-Strategie der EU eine kohärente und ehrgeizige Umsetzung, mit der die politische Dynamik in praktische Ergebnisse für die industrielle und regionale Entwicklung umgewandelt wird;</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hebt hervor, dass eine effiziente Nutzung von Umweltressourcen die Voraussetzung für die Anwendung der Abfallhierarchie im Einklang mit der Abfallrahmenrichtlinie auf der Grundlage des Lebenszykluskonzepts und des besten Gesamtergebnisses für die Umwelt ist, und unterstützt daher einen ergebnisorientierten und technologieneutralen Ansatz für die Kreislaufwirtschaft, bei dem Abfallvermeidung, Wiederverwendung und Materialeffizienz Vorrang haben und sowohl technische als auch biologische Kreisläufe berücksichtigt und dabei unterschiedliche Kreislaufpfade verfolgt werden können;</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 xml:space="preserve">betont, dass Materialien aus chemisch nicht modifizierten natürlichen Polymeren, die gemäß der Richtlinie über Einwegkunststoffartikel und im Einklang mit der REACH-Verordnung rechtlich als kunststofffreie Materialien anerkannt werden, zur Vermeidung von Umweltverschmutzung und u. a. durch die Verringerung der Freisetzung von Mikroplastik beitragen können. Ihre Rolle sollte in Abstimmung mit dem Konzept „Eine Gesundheit“ bewertet werden, mit dem die Wechselwirkungen zwischen Umweltintegrität, </w:t>
      </w:r>
      <w:proofErr w:type="spellStart"/>
      <w:r>
        <w:t>Ökosystemresilienz</w:t>
      </w:r>
      <w:proofErr w:type="spellEnd"/>
      <w:r>
        <w:t xml:space="preserve"> sowie Gesundheit </w:t>
      </w:r>
      <w:proofErr w:type="gramStart"/>
      <w:r>
        <w:t>von Mensch</w:t>
      </w:r>
      <w:proofErr w:type="gramEnd"/>
      <w:r>
        <w:t xml:space="preserve"> und Tier anerkannt werden;</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unterstreicht das Potenzial solcher Materialien im Hinblick auf die Stärkung der Wirtschaft im ländlichen Raum und in Küstengebieten, da sie die Verwertung sekundärer Biomasse aus der Landwirtschaft und dem Meer ermöglichen, lokale und regionale Wertschöpfungsketten stärken, den Generationswechsel in der Landwirtschaft und Fischerei unterstützen sowie hochwertige Arbeitsplätze schaffen und so zum sozialen Zusammenhalt beitragen. Die Verwendung als Lebensmittel, Futtermittel und zu Bodenschutzzwecken muss weiterhin Vorrang haben, und zwar in dieser Reihenfolge;</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fordert im Hinblick auf eine konsequente praktische Anwendung der gesetzlich verankerten Unterscheidung zwischen Kunststoffen und nicht modifizierten natürlichen Polymeren mehr rechtliche Kohärenz zwischen den Produkt-, Abfall- und Industrievorschriften der EU. Rechtsvorschriften über Verpackungen sollten keine unbeabsichtigten Hindernisse mit sich bringen oder zu einem De-facto-Marktausschluss führen, sowohl der technischen als auch der biologischen Kreislaufwirtschaft Rechnung tragen sowie klare und harmonisierte Informationen für Verbraucher und Vorhersehbarkeit für Wirtschaftsbeteiligte und kleine Unternehmen garantieren;</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 xml:space="preserve">hebt die Durchführung der Verordnung über Verpackungen und Verpackungsabfälle als vorrangigen Bereich hervor und gibt zu bedenken, dass Verpackungen aus chemisch nicht modifizierten natürlichen Polymeren ausgeschlossen werden könnten, wenn die Vorschriften für die Recyclingfähigkeit nur ein technisches Recycling zulassen. Deshalb sollte die Kommission bei der Durchführung der Verordnung über Verpackungen und Verpackungsabfälle für die Anerkennung ihres Status als </w:t>
      </w:r>
      <w:proofErr w:type="spellStart"/>
      <w:r>
        <w:t>kunstofffreie</w:t>
      </w:r>
      <w:proofErr w:type="spellEnd"/>
      <w:r>
        <w:t xml:space="preserve"> Materialien sowie die Zulassung von biologischen Entsorgungswegen sorgen, wenn dadurch insgesamt das beste Ergebnis für die Umwelt erzielt wird;</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fordert die Kommission auf, für koordinierte Maßnahmen im Rahmen der Umwelt-, Industrie- und Agrarpolitik zu sorgen, um den vermehrten Einsatz nachhaltiger Materialien zu fördern, die industrielle Einführung zu erleichtern, regionale Wertschöpfungsketten zu stärken sowie die globale Wettbewerbsfähigkeit Europas im Bereich nachhaltiger Materialinnovationen zu sichern und gleichzeitig private Investitionen und den Ausbau innovativer Lösungen zu unterstützen.</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Kontakt</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Tel.</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E-Mail</w:t>
            </w:r>
          </w:p>
        </w:tc>
        <w:tc>
          <w:tcPr>
            <w:tcW w:w="3923" w:type="pct"/>
          </w:tcPr>
          <w:p w14:paraId="06E89BE5" w14:textId="77777777" w:rsidR="00341FC2" w:rsidRPr="00341FC2" w:rsidRDefault="00597E76" w:rsidP="00341FC2">
            <w:pPr>
              <w:overflowPunct w:val="0"/>
              <w:autoSpaceDE w:val="0"/>
              <w:autoSpaceDN w:val="0"/>
              <w:adjustRightInd w:val="0"/>
              <w:textAlignment w:val="baseline"/>
              <w:rPr>
                <w:i/>
              </w:rPr>
            </w:pPr>
            <w:hyperlink r:id="rId58" w:history="1">
              <w:r>
                <w:rPr>
                  <w:i/>
                  <w:color w:val="0000FF"/>
                  <w:u w:val="single"/>
                </w:rPr>
                <w:t>Caroline.Verhelst@eesc.europa.eu</w:t>
              </w:r>
            </w:hyperlink>
            <w:r>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2C38035D"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Bioökonomie-Strategie – Auf dem Weg zu einer kreislauforientierten, regenerativen und wettbewerbsfähigen Bioökonomie</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317"/>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Berichterstatter</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 (Gruppe Organisationen der Zivilgesellschaft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Referenzdokumente:</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proofErr w:type="gramStart"/>
            <w:r>
              <w:t>COM(</w:t>
            </w:r>
            <w:proofErr w:type="gramEnd"/>
            <w:r>
              <w:t>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6E491DEA" w14:textId="77777777" w:rsidR="000C5A16" w:rsidRDefault="000C5A16" w:rsidP="000C5A16">
      <w:pPr>
        <w:keepNext/>
        <w:keepLines/>
        <w:tabs>
          <w:tab w:val="center" w:pos="284"/>
        </w:tabs>
        <w:overflowPunct w:val="0"/>
        <w:autoSpaceDE w:val="0"/>
        <w:autoSpaceDN w:val="0"/>
        <w:adjustRightInd w:val="0"/>
        <w:ind w:left="266" w:hanging="266"/>
        <w:textAlignment w:val="baseline"/>
        <w:rPr>
          <w:bCs/>
          <w:lang w:val="en-GB"/>
        </w:rPr>
      </w:pPr>
    </w:p>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Kernaussagen</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Der EWSA</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betont, dass Europa ein Kontinent mit knappen Ressourcen ist, der in einer zunehmend angespannten geopolitischen Lage in hohem Maße von Einfuhren, u. a. von Brennstoffen und Rohstoffen, abhängig ist. Zugleich ist der Raubbau an den natürlichen Ressourcen eine der Hauptursachen für den anhaltenden Verlust an biologischer Vielfalt.</w:t>
      </w:r>
      <w:r w:rsidRPr="00944198">
        <w:rPr>
          <w:sz w:val="24"/>
          <w:szCs w:val="20"/>
          <w:vertAlign w:val="superscript"/>
          <w:lang w:val="en-GB"/>
        </w:rPr>
        <w:footnoteReference w:id="1"/>
      </w:r>
      <w:r>
        <w:t xml:space="preserve"> Im Einklang mit den Zielen für nachhaltige Entwicklung muss für Kohärenz zwischen den Klima- und Biodiversitätszielen der EU und der Kreislaufwirtschaft gesorgt werden. Eine solide und genau definierte </w:t>
      </w:r>
      <w:r>
        <w:rPr>
          <w:b/>
        </w:rPr>
        <w:t>Bioökonomie-Strategie ergänzt</w:t>
      </w:r>
      <w:r>
        <w:t xml:space="preserve"> die Fortschritte im Bereich der </w:t>
      </w:r>
      <w:r>
        <w:rPr>
          <w:b/>
        </w:rPr>
        <w:t>Kreislaufwirtschaft und wird es uns ermöglichen, die Dekarbonisierung zu erreichen und unseren Wohlstand und unsere langfristige Wettbewerbsfähigkeit zu erhalten, ohne die Belastbarkeitsgrenzen unseres Planeten zu überschreiten.</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erinnert daran, dass die EU nur dann eine weltweite Führungsrolle einnehmen können wird, wenn ihre Institutionen </w:t>
      </w:r>
      <w:r>
        <w:rPr>
          <w:b/>
        </w:rPr>
        <w:t>strenge Prinzipien und Garantien dafür festlegen,</w:t>
      </w:r>
      <w:r>
        <w:t xml:space="preserve"> was als Input für die Bioökonomie dienen kann, seien es primäre oder sekundäre Biomasse aus Landwirtschaft, Aquakultur, Wäldern und Natur oder Siedlungs- bzw. Industrieabfälle. Die Bioökonomie-Strategie der EU muss sich auf den ökologischen Wandel in der Wirtschaft konzentrieren und dabei ökologischen und sozialen Aspekten Rechnung tragen. Eine nachhaltige und kreislauforientierte Bioökonomie wird die Wirtschaft und Wettbewerbsfähigkeit der EU stärken, die Abhängigkeit von fossilen Ressourcen verringern und zur Verwirklichung der Klimaziele sowie zur Schaffung neuer Arbeitsplätze und ökologischer und sozialer Vorteile beitragen. Im Rahmen dieser Führungsrolle sollte der </w:t>
      </w:r>
      <w:r>
        <w:rPr>
          <w:b/>
        </w:rPr>
        <w:t>Schwerpunkt auf der Schaffung hochwertiger Arbeitsplätze, insbesondere in ländlichen und abgelegenen Regionen, liegen.</w:t>
      </w:r>
      <w:r>
        <w:t xml:space="preserve"> Diese Prinzipien sollten quantifizierbar und durchsetzbar sein, in der gesamten Lieferkette überwacht und gleichermaßen auf europäische und eingeführte Rohstoffe angewandt werden. Dabei müssen wir im globalen Kontext </w:t>
      </w:r>
      <w:r>
        <w:rPr>
          <w:b/>
        </w:rPr>
        <w:t xml:space="preserve">gegen den unlauteren Wettbewerb durch </w:t>
      </w:r>
      <w:proofErr w:type="spellStart"/>
      <w:r>
        <w:rPr>
          <w:b/>
        </w:rPr>
        <w:t>unterpreisige</w:t>
      </w:r>
      <w:proofErr w:type="spellEnd"/>
      <w:r>
        <w:t xml:space="preserve"> (oft subventionierte) </w:t>
      </w:r>
      <w:r>
        <w:rPr>
          <w:b/>
        </w:rPr>
        <w:t>fossile Rohstoffe vorgehen,</w:t>
      </w:r>
      <w:r>
        <w:t xml:space="preserve"> bei denen die externen Kostenfaktoren der Gewinnung, der Nutzung und der Erschöpfung der Ressourcen nicht berücksichtigt werden.</w:t>
      </w:r>
    </w:p>
    <w:p w14:paraId="2628EFBA" w14:textId="77777777" w:rsidR="0039093C" w:rsidRPr="005A5202" w:rsidRDefault="0039093C" w:rsidP="00A162C2">
      <w:pPr>
        <w:overflowPunct w:val="0"/>
        <w:autoSpaceDE w:val="0"/>
        <w:autoSpaceDN w:val="0"/>
        <w:adjustRightInd w:val="0"/>
        <w:spacing w:line="276" w:lineRule="auto"/>
        <w:ind w:left="284" w:hanging="284"/>
        <w:textAlignment w:val="baseline"/>
        <w:outlineLvl w:val="1"/>
        <w:rPr>
          <w:sz w:val="16"/>
          <w:szCs w:val="16"/>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Kontakt</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Tel.</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E-Mail</w:t>
            </w:r>
          </w:p>
        </w:tc>
        <w:tc>
          <w:tcPr>
            <w:tcW w:w="7567" w:type="dxa"/>
          </w:tcPr>
          <w:p w14:paraId="53CEC4E5"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u w:val="single"/>
              </w:rPr>
            </w:pPr>
            <w:hyperlink r:id="rId60" w:history="1">
              <w:r>
                <w:rPr>
                  <w:rStyle w:val="Hyperlink"/>
                  <w:i/>
                  <w:sz w:val="20"/>
                </w:rPr>
                <w:t>Anna.Cameron@eesc.europa.eu</w:t>
              </w:r>
            </w:hyperlink>
          </w:p>
        </w:tc>
      </w:tr>
    </w:tbl>
    <w:p w14:paraId="104E4E43" w14:textId="77777777" w:rsidR="007D7A17" w:rsidRPr="005A5202" w:rsidRDefault="007D7A17">
      <w:pPr>
        <w:spacing w:after="160" w:line="259" w:lineRule="auto"/>
        <w:jc w:val="left"/>
        <w:rPr>
          <w:sz w:val="2"/>
          <w:szCs w:val="2"/>
        </w:rPr>
      </w:pPr>
      <w:r w:rsidRPr="005A5202">
        <w:rPr>
          <w:sz w:val="2"/>
          <w:szCs w:val="2"/>
        </w:rPr>
        <w:br w:type="page"/>
      </w:r>
    </w:p>
    <w:p w14:paraId="028EF279" w14:textId="77777777" w:rsidR="00360C1A" w:rsidRDefault="00360C1A" w:rsidP="00360C1A">
      <w:pPr>
        <w:overflowPunct w:val="0"/>
        <w:autoSpaceDE w:val="0"/>
        <w:autoSpaceDN w:val="0"/>
        <w:adjustRightInd w:val="0"/>
        <w:spacing w:line="276" w:lineRule="auto"/>
        <w:textAlignment w:val="baseline"/>
        <w:outlineLvl w:val="1"/>
        <w:rPr>
          <w:szCs w:val="20"/>
          <w:lang w:val="en-GB"/>
        </w:rPr>
      </w:pPr>
    </w:p>
    <w:p w14:paraId="2604F6A5" w14:textId="77777777" w:rsidR="007323B9" w:rsidRPr="004C6742" w:rsidRDefault="007323B9" w:rsidP="004C6742">
      <w:pPr>
        <w:widowControl w:val="0"/>
        <w:overflowPunct w:val="0"/>
        <w:autoSpaceDE w:val="0"/>
        <w:autoSpaceDN w:val="0"/>
        <w:adjustRightInd w:val="0"/>
        <w:ind w:left="284"/>
        <w:textAlignment w:val="baseline"/>
        <w:rPr>
          <w:b/>
          <w:lang w:val="en-GB"/>
        </w:rPr>
      </w:pPr>
    </w:p>
    <w:p w14:paraId="48D068B9" w14:textId="7ED02479"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Omnibus-Vorschlag zur Vereinfachung der Anforderungen an die Sicherheit von Lebens- und Futtermitteln</w:t>
        </w:r>
      </w:hyperlink>
    </w:p>
    <w:p w14:paraId="2887B6E5" w14:textId="77777777" w:rsidR="00D245DB" w:rsidRDefault="00D245DB" w:rsidP="00D245DB">
      <w:pPr>
        <w:widowControl w:val="0"/>
        <w:overflowPunct w:val="0"/>
        <w:autoSpaceDE w:val="0"/>
        <w:autoSpaceDN w:val="0"/>
        <w:adjustRightInd w:val="0"/>
        <w:textAlignment w:val="baseline"/>
        <w:rPr>
          <w:b/>
        </w:rPr>
      </w:pPr>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284"/>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Berichterstatter</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Ko-Berichterstatter</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(Gruppe Arbeitgeber –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(Gruppe Organisationen der Zivilgesellschaft – IE)</w:t>
            </w: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Referenzdokumente:</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proofErr w:type="gramStart"/>
            <w:r>
              <w:t>COM(</w:t>
            </w:r>
            <w:proofErr w:type="gramEnd"/>
            <w:r>
              <w:t>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Kernaussagen</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Der EWSA</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begrüßt, dass das Paket zur Vereinfachung der Anforderungen an Lebens- und Futtermittel grundsätzlich auf die Beseitigung von unnötigem Verwaltungsaufwand und die Verringerung der Kosten ausgerichtet ist, betont jedoch, dass die Vereinfachungen nicht zulasten der hohen Standards gehen dürfen, die in der EU in Bezug auf die Sicherheit von Lebens- und Futtermitteln, den Umweltschutz und die öffentliche Gesundheit gelten, und dass eine weitere Vereinfachung hilfreich wäre;</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unterstreicht, wie wichtig die Qualität der Rechtsvorschriften ist und dass die Rolle der Zivilgesellschaft bei der Überwachung und Durchsetzung der Rechtsvorschriften gestärkt werden muss;</w:t>
      </w:r>
      <w:bookmarkEnd w:id="29"/>
    </w:p>
    <w:p w14:paraId="2F1E934E" w14:textId="7CEC8F76"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begrüßt den Vorschlag, die verstärkte Nutzung von Drohnen für das Spritzen oder Sprühen von Pestiziden zu erleichtern, betont dabei jedoch, dass entsprechende Schutzvorkehrungen für die Gesundheit</w:t>
      </w:r>
      <w:r w:rsidR="005A5202">
        <w:t>,</w:t>
      </w:r>
      <w:r>
        <w:t xml:space="preserve"> der nicht in der Landwirtschaft tätigen Bewohner des ländlichen Raums und aller Arbeitnehmer getroffen werden müssen;</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ist der Auffassung, dass auch die Europäische Behörde für Lebensmittelsicherheit (EFSA) die Befugnis haben sollte, Bedenken anzumelden, wenn Wirkstoffe mit unbegrenzter Zulassung ihres Erachtens einer gezielten Neubewertung unterzogen werden müssen, und ersucht werden sollte, eine Stellungnahme zur Angemessenheit einer bestimmten Schonfrist abzugeben;</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proofErr w:type="gramStart"/>
      <w:r>
        <w:t>begrüßt</w:t>
      </w:r>
      <w:proofErr w:type="gramEnd"/>
      <w:r>
        <w:t xml:space="preserve"> die Beschleunigung und Vereinfachung der Zulassungsverfahren für biologische Pflanzenschutzmittel.</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fordert, die Übergangszeiträume EU-weit auf dem höchsten Schutzniveau zu vereinheitlichen und die gegenseitige Anerkennung zu erleichtern;</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 xml:space="preserve">spricht sich dafür aus, Pflanzenschutzmittel, die in der EU </w:t>
      </w:r>
      <w:proofErr w:type="gramStart"/>
      <w:r>
        <w:t>genehmigte</w:t>
      </w:r>
      <w:proofErr w:type="gramEnd"/>
      <w:r>
        <w:t xml:space="preserve"> Wirkstoffe enthalten, zur Behandlung von für die Ausfuhr bestimmtem Saatgut zuzulassen, sofern die Behandlung den rechtlichen Anforderungen des Bestimmungslandes entspricht;</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schlägt vor, von privatwirtschaftlichen Unternehmen durchgeführte Gesundheits- und Zertifizierungsanalysen als amtliche Analysen anzuerkennen, um das Verfahren für die Ausfuhr von Pflanzenschutzmitteln in Drittländer zu vereinfachen, sowie seitens der Behörden strengere Kontrollen und Geldbußen einzuführen, um eine solche Anerkennung zu ermöglichen;</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 xml:space="preserve">ist sich der Bedeutung der Gleichwertigkeit von Standards </w:t>
      </w:r>
      <w:proofErr w:type="gramStart"/>
      <w:r>
        <w:t>durchaus bewusst</w:t>
      </w:r>
      <w:proofErr w:type="gramEnd"/>
      <w:r>
        <w:t>, ist jedoch besorgt darüber, dass die Einfuhrtoleranzen für bestimmte in der EU nicht zugelassene Stoffe abgeschafft werden sollen, und hält bei derart wichtigen Änderungen im Einklang mit dem Vorsorgeprinzip und angesichts der möglichen Folgen für alle stark auf Einfuhren angewiesenen Akteure der Wertschöpfungskette eine Folgenabschätzung für unabdingbar;</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 xml:space="preserve">ist der Ansicht, dass die Verwendung von Schwermetallen wie Kupfer in biologischen Wirkstoffen zulässig sein sollte, sofern die Gesundheit </w:t>
      </w:r>
      <w:proofErr w:type="gramStart"/>
      <w:r>
        <w:t>von Mensch</w:t>
      </w:r>
      <w:proofErr w:type="gramEnd"/>
      <w:r>
        <w:t>, Tier und Boden sowie die biologische Vielfalt garantiert ist.</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vertritt die Auffassung, dass vor der Aufhebung der Zulassung eines als Substitutionskandidat eingestuften Wirkstoffs eine ebenso wirksame und wirtschaftlich tragfähige Alternative zur Verfügung stehen sollte;</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ist der Ansicht, dass die EU bei neuartigen und genetisch veränderten Lebensmitteln höchste Transparenz- und Sicherheitsstandards einhalten muss;</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fordert, dass die Kennzeichnung von Saatgut dahingehend vereinheitlicht wird, dass sie auch einschlägige Vorsorge- und Risikomanagementmaßnahmen umfasst.</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Kontakt</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Tel.</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E-Mail</w:t>
            </w:r>
          </w:p>
        </w:tc>
        <w:tc>
          <w:tcPr>
            <w:tcW w:w="3923" w:type="pct"/>
          </w:tcPr>
          <w:p w14:paraId="7433A851" w14:textId="1A48940F" w:rsidR="00CA6EC9" w:rsidRPr="00403683" w:rsidRDefault="00597E76" w:rsidP="00403683">
            <w:pPr>
              <w:overflowPunct w:val="0"/>
              <w:autoSpaceDE w:val="0"/>
              <w:autoSpaceDN w:val="0"/>
              <w:adjustRightInd w:val="0"/>
              <w:textAlignment w:val="baseline"/>
              <w:rPr>
                <w:i/>
              </w:rPr>
            </w:pPr>
            <w:hyperlink r:id="rId62" w:history="1">
              <w:r>
                <w:rPr>
                  <w:i/>
                  <w:color w:val="0000FF"/>
                  <w:u w:val="single"/>
                </w:rPr>
                <w:t>Martine.Delanoy@eesc.europa.eu</w:t>
              </w:r>
            </w:hyperlink>
            <w:r>
              <w:rPr>
                <w:i/>
              </w:rPr>
              <w:t xml:space="preserve"> </w:t>
            </w: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7DB24ABB" w:rsidR="00A230F1" w:rsidRPr="007B6F06" w:rsidRDefault="007B6F06" w:rsidP="005A5202">
      <w:pPr>
        <w:pStyle w:val="ListParagraph"/>
        <w:numPr>
          <w:ilvl w:val="0"/>
          <w:numId w:val="14"/>
        </w:numPr>
        <w:spacing w:after="160" w:line="259" w:lineRule="auto"/>
        <w:ind w:left="567" w:hanging="567"/>
        <w:rPr>
          <w:b/>
          <w:bCs/>
          <w:szCs w:val="20"/>
        </w:rPr>
      </w:pPr>
      <w:r>
        <w:br w:type="page"/>
      </w:r>
      <w:hyperlink r:id="rId63" w:history="1">
        <w:r>
          <w:rPr>
            <w:b/>
            <w:i/>
            <w:color w:val="0000FF"/>
            <w:sz w:val="28"/>
            <w:u w:val="single"/>
          </w:rPr>
          <w:t>Gleichstellung von Feldbesichtigungen von Saatgutvermehrungsbeständen in Drittländern und Gleichstellung von in Drittländern erzeugtem Saatgut</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284"/>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Referenzdokumente:</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Stellungnahme der Kategorie C</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proofErr w:type="gramStart"/>
            <w:r>
              <w:t>COM(</w:t>
            </w:r>
            <w:proofErr w:type="gramEnd"/>
            <w:r>
              <w:t>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5081BD74" w:rsidR="002B30F4" w:rsidRPr="002B30F4" w:rsidRDefault="00A230F1" w:rsidP="004C6742">
      <w:pPr>
        <w:pStyle w:val="Footer"/>
        <w:rPr>
          <w:bCs/>
          <w:iCs/>
        </w:rPr>
      </w:pPr>
      <w:r>
        <w:t>Da der Ausschuss sich bereits in seinen Stellungnahmen EESC-2018-00043-00-00-AC-TRA vom 14.</w:t>
      </w:r>
      <w:r w:rsidR="005A5202">
        <w:t> </w:t>
      </w:r>
      <w:r>
        <w:t>Februar 2018</w:t>
      </w:r>
      <w:r w:rsidR="002B30F4" w:rsidRPr="002B30F4">
        <w:rPr>
          <w:sz w:val="24"/>
          <w:vertAlign w:val="superscript"/>
          <w:lang w:val="en-GB"/>
        </w:rPr>
        <w:footnoteReference w:id="2"/>
      </w:r>
      <w:r>
        <w:t xml:space="preserve"> und EESC-2020-02029-00-00-AC-TRA-EN vom 18. September 2020</w:t>
      </w:r>
      <w:r w:rsidR="002B30F4" w:rsidRPr="002B30F4">
        <w:rPr>
          <w:sz w:val="24"/>
          <w:vertAlign w:val="superscript"/>
          <w:lang w:val="en-GB"/>
        </w:rPr>
        <w:footnoteReference w:id="3"/>
      </w:r>
      <w:r>
        <w:t xml:space="preserve"> zum Inhalt dieses Vorschlags geäußert hat, hat er beschlossen, von der Erarbeitung einer neuen Stellungnahme abzusehen und auf den Standpunkt zu verweisen, den er in den vorgenannten Stellungnahmen vertreten hat.</w:t>
      </w:r>
    </w:p>
    <w:p w14:paraId="23AFABFB" w14:textId="193EFDF4" w:rsidR="00A230F1" w:rsidRDefault="00A230F1" w:rsidP="00A230F1">
      <w:pPr>
        <w:overflowPunct w:val="0"/>
        <w:autoSpaceDE w:val="0"/>
        <w:autoSpaceDN w:val="0"/>
        <w:adjustRightInd w:val="0"/>
        <w:textAlignment w:val="baseline"/>
        <w:rPr>
          <w:szCs w:val="20"/>
          <w:lang w:val="en-GB"/>
        </w:rPr>
      </w:pP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Kontakt</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Iniguez Yuste</w:t>
            </w:r>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Tel.</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E-Mail</w:t>
            </w:r>
          </w:p>
        </w:tc>
        <w:tc>
          <w:tcPr>
            <w:tcW w:w="3922" w:type="pct"/>
          </w:tcPr>
          <w:p w14:paraId="1FAC504A" w14:textId="77777777" w:rsidR="00A230F1" w:rsidRPr="00A230F1" w:rsidRDefault="00597E76" w:rsidP="00A230F1">
            <w:pPr>
              <w:overflowPunct w:val="0"/>
              <w:autoSpaceDE w:val="0"/>
              <w:autoSpaceDN w:val="0"/>
              <w:adjustRightInd w:val="0"/>
              <w:textAlignment w:val="baseline"/>
              <w:rPr>
                <w:i/>
                <w:iCs/>
              </w:rPr>
            </w:pPr>
            <w:hyperlink r:id="rId64" w:history="1">
              <w:r>
                <w:rPr>
                  <w:i/>
                  <w:color w:val="0000FF"/>
                  <w:u w:val="single"/>
                </w:rPr>
                <w:t>Arturo.Iniguez@eesc.europa.eu</w:t>
              </w:r>
            </w:hyperlink>
            <w:r>
              <w:rPr>
                <w:i/>
              </w:rPr>
              <w:t xml:space="preserve"> </w:t>
            </w:r>
          </w:p>
        </w:tc>
      </w:tr>
    </w:tbl>
    <w:p w14:paraId="60213BA5" w14:textId="23657EAA" w:rsidR="00A230F1" w:rsidRDefault="00A230F1"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331BEA9D"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r>
          <w:rPr>
            <w:b/>
            <w:i/>
            <w:color w:val="0000FF"/>
            <w:sz w:val="28"/>
            <w:u w:val="single"/>
          </w:rPr>
          <w:t>Gültigkeitsverfall von Zertifikaten in der Marktstabilitätsreserve</w:t>
        </w:r>
      </w:hyperlink>
    </w:p>
    <w:p w14:paraId="2C3AAF47" w14:textId="77777777" w:rsidR="00EC4D43" w:rsidRDefault="00EC4D43" w:rsidP="00EC4D43">
      <w:pPr>
        <w:widowControl w:val="0"/>
        <w:overflowPunct w:val="0"/>
        <w:autoSpaceDE w:val="0"/>
        <w:autoSpaceDN w:val="0"/>
        <w:adjustRightInd w:val="0"/>
        <w:ind w:left="266"/>
        <w:textAlignment w:val="baseline"/>
        <w:rPr>
          <w:b/>
          <w:lang w:val="en-GB"/>
        </w:rPr>
      </w:pPr>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7284"/>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Referenzdokumente:</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Stellungnahme der Kategorie C</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proofErr w:type="gramStart"/>
            <w:r>
              <w:t>COM(</w:t>
            </w:r>
            <w:proofErr w:type="gramEnd"/>
            <w:r>
              <w:t>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A0C239E" w14:textId="77777777" w:rsidR="00EC4D43" w:rsidRDefault="00EC4D43" w:rsidP="00EC4D43">
      <w:pPr>
        <w:tabs>
          <w:tab w:val="center" w:pos="284"/>
        </w:tabs>
        <w:overflowPunct w:val="0"/>
        <w:autoSpaceDE w:val="0"/>
        <w:autoSpaceDN w:val="0"/>
        <w:adjustRightInd w:val="0"/>
        <w:ind w:left="266" w:hanging="266"/>
        <w:textAlignment w:val="baseline"/>
        <w:rPr>
          <w:b/>
          <w:lang w:val="en-GB"/>
        </w:rPr>
      </w:pPr>
    </w:p>
    <w:p w14:paraId="3ABFEF49" w14:textId="68FCCE29" w:rsidR="008548EA" w:rsidRPr="008548EA" w:rsidRDefault="00EC4D43" w:rsidP="004C6742">
      <w:pPr>
        <w:widowControl w:val="0"/>
        <w:overflowPunct w:val="0"/>
        <w:autoSpaceDE w:val="0"/>
        <w:autoSpaceDN w:val="0"/>
        <w:adjustRightInd w:val="0"/>
        <w:textAlignment w:val="baseline"/>
        <w:rPr>
          <w:bCs/>
          <w:iCs/>
        </w:rPr>
      </w:pPr>
      <w:r>
        <w:t>Da der Ausschuss dem Vorschlag zustimmt und sich bereits in seiner Stellungnahme</w:t>
      </w:r>
      <w:r w:rsidR="005A5202">
        <w:t xml:space="preserve"> </w:t>
      </w:r>
      <w:r>
        <w:t>EESC</w:t>
      </w:r>
      <w:r w:rsidR="005A5202">
        <w:noBreakHyphen/>
      </w:r>
      <w:r>
        <w:t>2021</w:t>
      </w:r>
      <w:r w:rsidR="005A5202">
        <w:noBreakHyphen/>
      </w:r>
      <w:r>
        <w:t>03918-00-00-AC-TRA vom 8. Dezember 2021</w:t>
      </w:r>
      <w:r w:rsidR="008548EA" w:rsidRPr="008548EA">
        <w:rPr>
          <w:sz w:val="24"/>
          <w:szCs w:val="20"/>
          <w:vertAlign w:val="superscript"/>
          <w:lang w:val="en-GB"/>
        </w:rPr>
        <w:footnoteReference w:id="4"/>
      </w:r>
      <w:r>
        <w:t xml:space="preserve"> zu dieser Thematik geäußert hat, beschloss er, eine befürwortende Stellungnahme abzugeben und auf den Standpunkt zu verweisen, den er in der vorgenannten Stellungnahme vertreten hat.</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Kontakt</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r>
              <w:rPr>
                <w:i/>
              </w:rPr>
              <w:t>Gaizka Malo Elcoro-Iribe</w:t>
            </w:r>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Tel.</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E-Mail</w:t>
            </w:r>
          </w:p>
        </w:tc>
        <w:tc>
          <w:tcPr>
            <w:tcW w:w="3922" w:type="pct"/>
          </w:tcPr>
          <w:p w14:paraId="4685C922" w14:textId="77777777" w:rsidR="00EC4D43" w:rsidRPr="00EC4D43" w:rsidRDefault="00597E76" w:rsidP="00EC4D43">
            <w:pPr>
              <w:overflowPunct w:val="0"/>
              <w:autoSpaceDE w:val="0"/>
              <w:autoSpaceDN w:val="0"/>
              <w:adjustRightInd w:val="0"/>
              <w:textAlignment w:val="baseline"/>
              <w:rPr>
                <w:i/>
                <w:iCs/>
              </w:rPr>
            </w:pPr>
            <w:hyperlink r:id="rId66" w:history="1">
              <w:r>
                <w:rPr>
                  <w:i/>
                  <w:color w:val="0000FF"/>
                  <w:u w:val="single"/>
                </w:rPr>
                <w:t>Gaizka.Maloelcoro-iribe@eesc.europa.eu</w:t>
              </w:r>
            </w:hyperlink>
            <w:r>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715DB2BD" w14:textId="48BF0F05" w:rsidR="007F5784" w:rsidRDefault="007F5784" w:rsidP="001766B2">
      <w:pPr>
        <w:jc w:val="left"/>
      </w:pPr>
    </w:p>
    <w:p w14:paraId="14026A78" w14:textId="34519E14" w:rsidR="007F5784" w:rsidRDefault="007F5784" w:rsidP="004C6742">
      <w:pPr>
        <w:pStyle w:val="Heading2"/>
      </w:pPr>
      <w:bookmarkStart w:id="41" w:name="_Toc229140657"/>
      <w:r>
        <w:t>AUẞENBEZIEHUNGEN</w:t>
      </w:r>
      <w:bookmarkEnd w:id="41"/>
    </w:p>
    <w:p w14:paraId="3BBB3E68" w14:textId="77777777" w:rsidR="007F5784" w:rsidRDefault="007F5784" w:rsidP="001766B2"/>
    <w:p w14:paraId="1A338A4C" w14:textId="4F132571" w:rsidR="00D16830" w:rsidRPr="00D16830" w:rsidRDefault="00D16830" w:rsidP="00D16830">
      <w:pPr>
        <w:widowControl w:val="0"/>
        <w:numPr>
          <w:ilvl w:val="0"/>
          <w:numId w:val="4"/>
        </w:numPr>
        <w:overflowPunct w:val="0"/>
        <w:autoSpaceDE w:val="0"/>
        <w:autoSpaceDN w:val="0"/>
        <w:adjustRightInd w:val="0"/>
        <w:ind w:hanging="567"/>
        <w:textAlignment w:val="baseline"/>
        <w:rPr>
          <w:b/>
          <w:bCs/>
          <w:i/>
          <w:iCs/>
          <w:sz w:val="24"/>
          <w:szCs w:val="24"/>
        </w:rPr>
      </w:pPr>
      <w:hyperlink r:id="rId67" w:history="1">
        <w:r>
          <w:rPr>
            <w:b/>
            <w:i/>
            <w:color w:val="0000FF"/>
            <w:sz w:val="24"/>
            <w:u w:val="single"/>
          </w:rPr>
          <w:t>Beitrag der Zivilgesellschaft zur Unterstützung von Reformen im Rahmen der Wachstumspläne für den Westbalkan und Moldau sowie im Rahmen des Reformpfads der Ukraine</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264"/>
      </w:tblGrid>
      <w:tr w:rsidR="00D16830" w:rsidRPr="00D16830" w14:paraId="10A26714" w14:textId="77777777" w:rsidTr="005A5202">
        <w:tc>
          <w:tcPr>
            <w:tcW w:w="1916"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Berichterstatter</w:t>
            </w:r>
          </w:p>
        </w:tc>
        <w:tc>
          <w:tcPr>
            <w:tcW w:w="726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(Gruppe Arbeitgeber – RO)</w:t>
            </w:r>
          </w:p>
        </w:tc>
      </w:tr>
      <w:tr w:rsidR="00D16830" w:rsidRPr="00D16830" w14:paraId="16FB2AA9" w14:textId="77777777" w:rsidTr="005A5202">
        <w:tc>
          <w:tcPr>
            <w:tcW w:w="1916"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Ko-Berichterstatter</w:t>
            </w:r>
          </w:p>
        </w:tc>
        <w:tc>
          <w:tcPr>
            <w:tcW w:w="726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Andrej ZORKO (Gruppe Arbeitnehmer – SI)</w:t>
            </w:r>
          </w:p>
        </w:tc>
      </w:tr>
      <w:tr w:rsidR="00D16830" w:rsidRPr="00D16830" w14:paraId="6E76E965" w14:textId="77777777" w:rsidTr="005A5202">
        <w:tc>
          <w:tcPr>
            <w:tcW w:w="9180"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5A5202">
        <w:tc>
          <w:tcPr>
            <w:tcW w:w="1916"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Referenzdokument:</w:t>
            </w:r>
          </w:p>
        </w:tc>
        <w:tc>
          <w:tcPr>
            <w:tcW w:w="726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Sondierungsstellungnahme auf Ersuchen des zyprischen Ratsvorsitzes der EU</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5A5202">
        <w:tc>
          <w:tcPr>
            <w:tcW w:w="1916"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7264" w:type="dxa"/>
          </w:tcPr>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Kernaussagen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Der EWSA</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betont, dass in allen drei Fazilitäten – je eine für den Westbalkan, die Ukraine und Moldau – </w:t>
      </w:r>
      <w:r>
        <w:rPr>
          <w:b/>
        </w:rPr>
        <w:t>als strukturelle Voraussetzung für die Nachhaltigkeit des Erweiterungsprozesses</w:t>
      </w:r>
      <w:r>
        <w:t xml:space="preserve"> </w:t>
      </w:r>
      <w:r>
        <w:rPr>
          <w:b/>
        </w:rPr>
        <w:t>die Zivilgesellschaft aktiv eingebunden werden muss</w:t>
      </w:r>
      <w:r>
        <w:t>;</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Der Europäische Wirtschafts- und Sozialausschuss (EWSA) betont, dass sich die zivilgesellschaftliche Eigenverantwortung für die von den Fazilitäten unterstützten Reformen darin manifestieren sollte, dass neben den nationalen Behörden auch die</w:t>
      </w:r>
      <w:r>
        <w:rPr>
          <w:b/>
        </w:rPr>
        <w:t xml:space="preserve"> Sozialpartner und zivilgesellschaftliche Organisationen dauerhaft, aktiv, strukturiert und institutionalisiert mitwirken können.</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betont, dass die </w:t>
      </w:r>
      <w:r>
        <w:rPr>
          <w:b/>
        </w:rPr>
        <w:t>Finanzierung aktiv dazu beitragen sollte, dass die Länder</w:t>
      </w:r>
      <w:r>
        <w:t xml:space="preserve"> im Einklang mit dem europäischen Sozial- und Wirtschaftsmodell </w:t>
      </w:r>
      <w:r>
        <w:rPr>
          <w:b/>
        </w:rPr>
        <w:t>auf die Mitgliedschaft in der EU vorbereitet werden</w:t>
      </w:r>
      <w:r>
        <w:t>, und dass sie nicht ausschließlich darauf ausgerichtet sein sollte, die Integration in den Binnenmarkt zu unterstützen;</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betont, dass</w:t>
      </w:r>
      <w:r>
        <w:rPr>
          <w:b/>
        </w:rPr>
        <w:t xml:space="preserve"> Fristen weder dazu führen dürfen, dass demokratische Verfahren, die öffentliche Debatte, obligatorische Konsultationen oder der Dialog mit den Sozialpartnern und zivilgesellschaftlichen Organisationen untergraben werden</w:t>
      </w:r>
      <w:r>
        <w:t>, noch dass sie als Rechtfertigung für legislative Schnellverfahren dienen dürfen, die für Notfälle vorgesehen sind und bei denen die Sozialpartner und zivilgesellschaftliche Organisationen ausgeschlossen werden.</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weist darauf hin, dass die Regierungen einen </w:t>
      </w:r>
      <w:r>
        <w:rPr>
          <w:b/>
        </w:rPr>
        <w:t>strukturierten Rahmen für den sozialen Dialog</w:t>
      </w:r>
      <w:r>
        <w:t xml:space="preserve"> vorgeben sollten, mit dem die Einbeziehung national repräsentativer Arbeitgeber-, Arbeitnehmer- und zivilgesellschaftlicher Organisationen in angemessener Mitgliederzahl gewährleistet wird. Dabei sind die </w:t>
      </w:r>
      <w:r>
        <w:rPr>
          <w:b/>
        </w:rPr>
        <w:t>besondere Rolle und die Autonomie der Sozialpartner zu achten</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empfiehlt klare, öffentliche Leitlinien der Europäischen Kommission, mit denen überprüft werden kann, ob </w:t>
      </w:r>
      <w:r>
        <w:rPr>
          <w:b/>
        </w:rPr>
        <w:t>die Indikatoren für die Umsetzung der Reformagenda</w:t>
      </w:r>
      <w:r>
        <w:t xml:space="preserve"> vollständig oder teilweise erreicht wurden (einschließlich Überprüfungsstandards und Reformrückschritten).</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empfiehlt, eine maßgeschneiderte, nachhaltige und vorhersehbare </w:t>
      </w:r>
      <w:r>
        <w:rPr>
          <w:b/>
        </w:rPr>
        <w:t>finanzielle Unterstützung für Organisationen der Zivilgesellschaft und Sozialpartner</w:t>
      </w:r>
      <w:r>
        <w:t xml:space="preserve"> durch </w:t>
      </w:r>
      <w:r>
        <w:rPr>
          <w:b/>
        </w:rPr>
        <w:t>mehrjährige und transparente Finanzierungsmechanismen sicherzustellen</w:t>
      </w:r>
      <w:r>
        <w:t>;</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ersucht die Europäische Kommission, sich auf </w:t>
      </w:r>
      <w:r>
        <w:rPr>
          <w:b/>
        </w:rPr>
        <w:t>Halbzeitbewertungen</w:t>
      </w:r>
      <w:r>
        <w:t xml:space="preserve"> der derzeitigen Steuerungs- und Umsetzungsrahmen der Fazilitäten </w:t>
      </w:r>
      <w:r>
        <w:rPr>
          <w:b/>
        </w:rPr>
        <w:t>zu stützen</w:t>
      </w:r>
      <w:r>
        <w:t xml:space="preserve"> und </w:t>
      </w:r>
      <w:r>
        <w:rPr>
          <w:b/>
        </w:rPr>
        <w:t>die Umsetzung der derzeitigen und künftigen einschlägigen leistungsbasierten Erweiterungsinstrumente der EU weiter zu verbessern</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D16830" w:rsidRPr="00D16830" w14:paraId="06D6E640" w14:textId="77777777" w:rsidTr="005A5202">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t>Kontakt</w:t>
            </w:r>
          </w:p>
        </w:tc>
        <w:tc>
          <w:tcPr>
            <w:tcW w:w="7762"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David Hoić</w:t>
            </w:r>
          </w:p>
        </w:tc>
      </w:tr>
      <w:tr w:rsidR="00D16830" w:rsidRPr="00D16830" w14:paraId="3BA7205F" w14:textId="77777777" w:rsidTr="005A5202">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Tel.</w:t>
            </w:r>
          </w:p>
        </w:tc>
        <w:tc>
          <w:tcPr>
            <w:tcW w:w="7762"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5A5202">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E-Mail</w:t>
            </w:r>
          </w:p>
        </w:tc>
        <w:tc>
          <w:tcPr>
            <w:tcW w:w="7762" w:type="dxa"/>
          </w:tcPr>
          <w:p w14:paraId="104A20AD" w14:textId="77777777" w:rsidR="00D16830" w:rsidRPr="00D16830" w:rsidRDefault="00597E76" w:rsidP="00D16830">
            <w:pPr>
              <w:overflowPunct w:val="0"/>
              <w:autoSpaceDE w:val="0"/>
              <w:autoSpaceDN w:val="0"/>
              <w:adjustRightInd w:val="0"/>
              <w:spacing w:line="240" w:lineRule="auto"/>
              <w:textAlignment w:val="baseline"/>
              <w:rPr>
                <w:i/>
              </w:rPr>
            </w:pPr>
            <w:hyperlink r:id="rId68" w:history="1">
              <w:r>
                <w:rPr>
                  <w:i/>
                  <w:color w:val="0000FF"/>
                  <w:u w:val="single"/>
                </w:rPr>
                <w:t>David.Hoic@eesc.europa.eu</w:t>
              </w:r>
            </w:hyperlink>
            <w:r>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00FAE656" w14:textId="0EC2F0DB" w:rsidR="00A3691D" w:rsidRDefault="00A3691D">
      <w:pPr>
        <w:spacing w:after="160" w:line="259" w:lineRule="auto"/>
        <w:jc w:val="left"/>
      </w:pPr>
    </w:p>
    <w:p w14:paraId="41D04A86" w14:textId="49CFB439" w:rsidR="00297F0C" w:rsidRPr="00297F0C" w:rsidRDefault="00297F0C" w:rsidP="005A5202">
      <w:pPr>
        <w:widowControl w:val="0"/>
        <w:numPr>
          <w:ilvl w:val="0"/>
          <w:numId w:val="4"/>
        </w:numPr>
        <w:overflowPunct w:val="0"/>
        <w:autoSpaceDE w:val="0"/>
        <w:autoSpaceDN w:val="0"/>
        <w:adjustRightInd w:val="0"/>
        <w:ind w:hanging="567"/>
        <w:textAlignment w:val="baseline"/>
        <w:rPr>
          <w:sz w:val="20"/>
          <w:szCs w:val="20"/>
        </w:rPr>
      </w:pPr>
      <w:hyperlink r:id="rId69" w:history="1">
        <w:r>
          <w:rPr>
            <w:b/>
            <w:i/>
            <w:color w:val="0000FF"/>
            <w:sz w:val="28"/>
            <w:u w:val="single"/>
          </w:rPr>
          <w:t>Beitrag des Privatsektors und der Zivilgesellschaft zur Stärkung der wirtschaftlichen Zusammenarbeit im Rahmen des Pakts für den Mittelmeerraum</w:t>
        </w:r>
      </w:hyperlink>
    </w:p>
    <w:p w14:paraId="6EC7DE74" w14:textId="77777777" w:rsidR="00297F0C" w:rsidRPr="00297F0C" w:rsidRDefault="00297F0C" w:rsidP="00297F0C">
      <w:pPr>
        <w:widowControl w:val="0"/>
        <w:overflowPunct w:val="0"/>
        <w:autoSpaceDE w:val="0"/>
        <w:autoSpaceDN w:val="0"/>
        <w:adjustRightInd w:val="0"/>
        <w:ind w:left="567"/>
        <w:jc w:val="left"/>
        <w:textAlignment w:val="baseline"/>
        <w:rPr>
          <w:sz w:val="20"/>
          <w:szCs w:val="20"/>
          <w:lang w:val="en-GB"/>
        </w:rPr>
      </w:pPr>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297F0C" w:rsidRPr="00297F0C" w14:paraId="125788EB" w14:textId="77777777" w:rsidTr="005A5202">
        <w:trPr>
          <w:trHeight w:val="70"/>
        </w:trPr>
        <w:tc>
          <w:tcPr>
            <w:tcW w:w="112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Berichterstatter</w:t>
            </w:r>
          </w:p>
        </w:tc>
        <w:tc>
          <w:tcPr>
            <w:tcW w:w="387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(Gruppe Arbeitnehmer – AT)</w:t>
            </w:r>
          </w:p>
        </w:tc>
      </w:tr>
      <w:tr w:rsidR="00297F0C" w:rsidRPr="00297F0C" w14:paraId="3290F704" w14:textId="77777777" w:rsidTr="005A5202">
        <w:tc>
          <w:tcPr>
            <w:tcW w:w="112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Ko-Berichterstatterin</w:t>
            </w:r>
          </w:p>
        </w:tc>
        <w:tc>
          <w:tcPr>
            <w:tcW w:w="387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Lidija PAVIĆ-ROGOŠIĆ (Gruppe Organisationen der Zivilgesellschaft – HR)</w:t>
            </w: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5A5202">
        <w:tc>
          <w:tcPr>
            <w:tcW w:w="112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Referenzdokument:</w:t>
            </w:r>
          </w:p>
        </w:tc>
        <w:tc>
          <w:tcPr>
            <w:tcW w:w="387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Sondierungsstellungnahme auf Ersuchen des zyprischen Ratsvorsitzes der EU</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Kernaussagen</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Der EWSA</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ist der Ansicht, dass der Pakt für den Mittelmeerraum nur durch eine echte und gleichberechtigte Partnerschaft zwischen der EU, ihren Mitgliedstaaten und den Partnern im südlichen Mittelmeerraum – mit sichtbaren Vorteilen für die Bürger und Bürger sowie für die Gemeinschaften – gelingen kann;</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betont, dass die organisierte Zivilgesellschaft dauerhaft und strukturiert einbezogen werden muss, nicht nur durch gelegentliche Konsultationen, einschließlich Gewerkschaften, Arbeitgebergruppen und Organisationen der Zivilgesellschaft;</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ist der Ansicht, dass zur Stärkung des Privatsektors, insbesondere der KKMU, in der Region Reformen erforderlich sind, im Rahmen derer der Zugang zu Finanzmitteln verbessert wird, Verfahren vereinfacht sowie die Digitalisierung und Konnektivität unterstützt werden, damit die Unternehmen Teil regionaler Wertschöpfungsketten werden können;</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ist der Auffassung, dass die bestehenden Handelsabkommen der EU mit vielen Ländern des südlichen Mittelmeerraums veraltet sind und modernisiert werden sollten; dabei sollte die Zivilgesellschaft zur Überwachung der Verpflichtungen in den Bereichen Arbeit, Umwelt und Menschenrechte beitragen;</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ist der Ansicht, dass Handel und Investitionen mit nachhaltiger Entwicklung und menschenwürdiger Arbeit verknüpft werden sollten, einschließlich gerechter Löhne, sicherer Arbeitsbedingungen, durchsetzbarer Standards und Investitionen in nachhaltige regionale Projekte;</w:t>
      </w:r>
    </w:p>
    <w:p w14:paraId="2D5E3A8E" w14:textId="53D28411"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unterstreicht, dass der Übergang von der informellen zur formellen Wirtschaft auf der IAO</w:t>
      </w:r>
      <w:r w:rsidR="005A5202">
        <w:noBreakHyphen/>
      </w:r>
      <w:r>
        <w:t>Empfehlung Nr. 204 beruhen sowie abgestuft, inklusiv und wirtschaftlich realistisch statt sanktionsbasiert sein sollte;</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ist der Auffassung, dass der Aktionsplan des Pakts Sozialschutz, Arbeitnehmerrechte und die Einhaltung der Kernübereinkommen der IAO gewährleisten und gleichzeitig sicherstellen sollte, dass die Sozialpartner und die Zivilgesellschaft von Anfang an in Global Gateway und andere Großprojekte einbezogen werden;</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 xml:space="preserve">fordert, dass Akteuren der Sozialwirtschaft, Frauen und jungen Menschen durch Finanzierung, Kapazitätsaufbau, rechtliche Unterstützung, Programme zur Förderung des Unternehmertums und Beteiligung an der </w:t>
      </w:r>
      <w:proofErr w:type="spellStart"/>
      <w:r>
        <w:t>Governance</w:t>
      </w:r>
      <w:proofErr w:type="spellEnd"/>
      <w:r>
        <w:t xml:space="preserve"> besondere Aufmerksamkeit gebührt; zugleich gilt es, im Rahmen der Arbeitskräftemobilität die Menschenrechte zu achten und die Abwanderung hochqualifizierter Kräfte zu vermeiden;</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ist der Ansicht, dass die Koordinierung zwischen EU-finanzierten und internationalen Finanzinstitutionen verstärkt werden sollte, um die Wirkung zu verbessern, und dass die Einrichtung einer regionalen Entwicklungsbank oder eines ähnlichen Finanzierungsmechanismus dazu beitragen könnte, Infrastrukturprojekte, KKMU, Start-up-Unternehmen und sozialwirtschaftliche Projekte unter transparenter Einbeziehung der Zivilgesellschaft zu finanzieren.</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br w:type="page"/>
            </w:r>
            <w:r>
              <w:rPr>
                <w:b/>
                <w:i/>
              </w:rPr>
              <w:t>Kontakt</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Tel.</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E-Mail</w:t>
            </w:r>
          </w:p>
        </w:tc>
        <w:tc>
          <w:tcPr>
            <w:tcW w:w="3923" w:type="pct"/>
          </w:tcPr>
          <w:p w14:paraId="6FC2A286" w14:textId="77777777" w:rsidR="00297F0C" w:rsidRPr="00297F0C" w:rsidRDefault="00597E76" w:rsidP="00297F0C">
            <w:pPr>
              <w:overflowPunct w:val="0"/>
              <w:autoSpaceDE w:val="0"/>
              <w:autoSpaceDN w:val="0"/>
              <w:adjustRightInd w:val="0"/>
              <w:textAlignment w:val="baseline"/>
              <w:rPr>
                <w:i/>
              </w:rPr>
            </w:pPr>
            <w:hyperlink r:id="rId70" w:history="1">
              <w:r>
                <w:rPr>
                  <w:i/>
                  <w:color w:val="0000FF"/>
                  <w:u w:val="single"/>
                </w:rPr>
                <w:t>Andreas.Berger@eesc.europa.eu</w:t>
              </w:r>
            </w:hyperlink>
            <w:r>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1BF4DE49" w14:textId="77777777" w:rsidR="007F5784" w:rsidRDefault="007F5784" w:rsidP="0066696D">
      <w:pPr>
        <w:pStyle w:val="ListParagraph"/>
        <w:ind w:left="567" w:hanging="567"/>
        <w:jc w:val="left"/>
      </w:pPr>
    </w:p>
    <w:p w14:paraId="528C73AA" w14:textId="46DE726B" w:rsidR="006D2C8A" w:rsidRPr="006D2C8A" w:rsidRDefault="006D2C8A" w:rsidP="004C6742">
      <w:pPr>
        <w:pStyle w:val="Heading2"/>
      </w:pPr>
      <w:bookmarkStart w:id="42" w:name="_Toc229140651"/>
      <w:bookmarkStart w:id="43" w:name="_Toc229140658"/>
      <w:bookmarkStart w:id="44" w:name="_Toc229140659"/>
      <w:bookmarkEnd w:id="42"/>
      <w:bookmarkEnd w:id="43"/>
      <w:r>
        <w:t>BERATENDE KOMMISSION FÜR DEN INDUSTRIELLEN WANDEL</w:t>
      </w:r>
      <w:bookmarkEnd w:id="44"/>
    </w:p>
    <w:p w14:paraId="713E272F" w14:textId="77777777" w:rsidR="006D2C8A" w:rsidRDefault="006D2C8A" w:rsidP="001766B2"/>
    <w:p w14:paraId="1B9F790A" w14:textId="7126C76E" w:rsidR="00814A54" w:rsidRPr="005A5202" w:rsidRDefault="00814A54" w:rsidP="00814A54">
      <w:pPr>
        <w:widowControl w:val="0"/>
        <w:numPr>
          <w:ilvl w:val="0"/>
          <w:numId w:val="19"/>
        </w:numPr>
        <w:spacing w:after="200" w:line="276" w:lineRule="auto"/>
        <w:ind w:left="567" w:hanging="567"/>
        <w:contextualSpacing/>
        <w:jc w:val="left"/>
        <w:rPr>
          <w:sz w:val="28"/>
          <w:szCs w:val="28"/>
        </w:rPr>
      </w:pPr>
      <w:hyperlink r:id="rId71" w:history="1">
        <w:r>
          <w:rPr>
            <w:b/>
            <w:i/>
            <w:color w:val="0000FF"/>
            <w:sz w:val="28"/>
            <w:u w:val="single"/>
          </w:rPr>
          <w:t>Instrument für agile, schnelle Innovationen im Verteidigungsbereich – AGILE</w:t>
        </w:r>
      </w:hyperlink>
      <w:r>
        <w:t xml:space="preserve"> </w:t>
      </w:r>
    </w:p>
    <w:p w14:paraId="70D79980" w14:textId="77777777" w:rsidR="005A5202" w:rsidRPr="00814A54" w:rsidRDefault="005A5202" w:rsidP="005A5202">
      <w:pPr>
        <w:widowControl w:val="0"/>
        <w:spacing w:after="200" w:line="276" w:lineRule="auto"/>
        <w:ind w:left="567"/>
        <w:contextualSpacing/>
        <w:jc w:val="left"/>
        <w:rPr>
          <w:sz w:val="28"/>
          <w:szCs w:val="28"/>
        </w:rPr>
      </w:pP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45"/>
      </w:tblGrid>
      <w:tr w:rsidR="00814A54" w:rsidRPr="00814A54" w14:paraId="37988BA0" w14:textId="77777777" w:rsidTr="005A5202">
        <w:tc>
          <w:tcPr>
            <w:tcW w:w="2235" w:type="dxa"/>
          </w:tcPr>
          <w:p w14:paraId="41B7C4EB" w14:textId="77777777" w:rsidR="00814A54" w:rsidRPr="00814A54" w:rsidRDefault="00814A54" w:rsidP="00814A54">
            <w:pPr>
              <w:tabs>
                <w:tab w:val="center" w:pos="284"/>
              </w:tabs>
              <w:ind w:left="266" w:hanging="266"/>
              <w:rPr>
                <w:b/>
              </w:rPr>
            </w:pPr>
            <w:r>
              <w:rPr>
                <w:b/>
              </w:rPr>
              <w:t>Berichterstatterin</w:t>
            </w:r>
          </w:p>
        </w:tc>
        <w:tc>
          <w:tcPr>
            <w:tcW w:w="6945" w:type="dxa"/>
          </w:tcPr>
          <w:p w14:paraId="1D11312F" w14:textId="073C09C2" w:rsidR="00814A54" w:rsidRPr="00814A54" w:rsidRDefault="00814A54" w:rsidP="00814A54">
            <w:pPr>
              <w:tabs>
                <w:tab w:val="center" w:pos="284"/>
              </w:tabs>
              <w:ind w:left="266" w:hanging="266"/>
            </w:pPr>
            <w:r>
              <w:t>Monika SITÁROVÁ (Gruppe Arbeitnehmer – SK)</w:t>
            </w:r>
          </w:p>
        </w:tc>
      </w:tr>
      <w:tr w:rsidR="00814A54" w:rsidRPr="00814A54" w14:paraId="3DB16DB5" w14:textId="77777777" w:rsidTr="005A5202">
        <w:tc>
          <w:tcPr>
            <w:tcW w:w="2235" w:type="dxa"/>
          </w:tcPr>
          <w:p w14:paraId="723151C3" w14:textId="77777777" w:rsidR="00814A54" w:rsidRPr="00814A54" w:rsidRDefault="00814A54" w:rsidP="00814A54">
            <w:pPr>
              <w:tabs>
                <w:tab w:val="center" w:pos="284"/>
              </w:tabs>
              <w:ind w:left="266" w:hanging="266"/>
              <w:rPr>
                <w:b/>
              </w:rPr>
            </w:pPr>
            <w:r>
              <w:rPr>
                <w:b/>
              </w:rPr>
              <w:t>Ko-Berichterstatterin</w:t>
            </w:r>
          </w:p>
        </w:tc>
        <w:tc>
          <w:tcPr>
            <w:tcW w:w="6945" w:type="dxa"/>
          </w:tcPr>
          <w:p w14:paraId="691AA178" w14:textId="77BDBBFF" w:rsidR="00814A54" w:rsidRPr="00814A54" w:rsidRDefault="00814A54" w:rsidP="00814A54">
            <w:pPr>
              <w:tabs>
                <w:tab w:val="center" w:pos="284"/>
              </w:tabs>
              <w:ind w:left="266" w:hanging="266"/>
            </w:pPr>
            <w:r>
              <w:t>Srita HEIDE (Kat. 3 – DE)</w:t>
            </w:r>
          </w:p>
        </w:tc>
      </w:tr>
      <w:tr w:rsidR="00814A54" w:rsidRPr="00814A54" w14:paraId="27D9C93B" w14:textId="77777777" w:rsidTr="005A5202">
        <w:tc>
          <w:tcPr>
            <w:tcW w:w="9180"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5A5202">
        <w:tc>
          <w:tcPr>
            <w:tcW w:w="2235" w:type="dxa"/>
            <w:vMerge w:val="restart"/>
          </w:tcPr>
          <w:p w14:paraId="69099993" w14:textId="77777777" w:rsidR="00814A54" w:rsidRPr="00814A54" w:rsidRDefault="00814A54" w:rsidP="00814A54">
            <w:pPr>
              <w:tabs>
                <w:tab w:val="center" w:pos="284"/>
              </w:tabs>
              <w:ind w:left="266" w:hanging="266"/>
              <w:rPr>
                <w:b/>
              </w:rPr>
            </w:pPr>
            <w:r>
              <w:rPr>
                <w:b/>
              </w:rPr>
              <w:t>Referenzdokumente:</w:t>
            </w:r>
          </w:p>
        </w:tc>
        <w:tc>
          <w:tcPr>
            <w:tcW w:w="6945" w:type="dxa"/>
          </w:tcPr>
          <w:p w14:paraId="699F0B48" w14:textId="3F25C095" w:rsidR="00BA2BB0" w:rsidRDefault="00BA2BB0" w:rsidP="00814A54">
            <w:pPr>
              <w:tabs>
                <w:tab w:val="center" w:pos="284"/>
              </w:tabs>
              <w:ind w:left="266" w:hanging="266"/>
            </w:pPr>
            <w:proofErr w:type="gramStart"/>
            <w:r>
              <w:t>COM(</w:t>
            </w:r>
            <w:proofErr w:type="gramEnd"/>
            <w:r>
              <w:t>2026) 135 final</w:t>
            </w:r>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5A5202">
        <w:tc>
          <w:tcPr>
            <w:tcW w:w="2235" w:type="dxa"/>
            <w:vMerge/>
          </w:tcPr>
          <w:p w14:paraId="0E4A7D50" w14:textId="77777777" w:rsidR="00814A54" w:rsidRPr="00814A54" w:rsidRDefault="00814A54" w:rsidP="00814A54">
            <w:pPr>
              <w:tabs>
                <w:tab w:val="center" w:pos="284"/>
              </w:tabs>
              <w:ind w:left="266" w:hanging="266"/>
              <w:rPr>
                <w:b/>
              </w:rPr>
            </w:pPr>
          </w:p>
        </w:tc>
        <w:tc>
          <w:tcPr>
            <w:tcW w:w="6945"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Kernaussagen</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Der EWSA</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unterstützt die Bemühungen, die Geschwindigkeit, Reaktionsfähigkeit und Innovationsfähigkeit der technologischen und industriellen Basis der europäischen Verteidigung (EDTIB) angesichts des sich wandelnden Sicherheitsumfelds zu verbessern, und begrüßt daher den von der Kommission vorgeschlagenen Verteidigungsrahmen AGILE;</w:t>
      </w:r>
      <w:bookmarkEnd w:id="45"/>
    </w:p>
    <w:p w14:paraId="7C3494F3" w14:textId="77777777" w:rsidR="00814A54" w:rsidRPr="00814A54" w:rsidRDefault="00814A54" w:rsidP="004C6742">
      <w:pPr>
        <w:numPr>
          <w:ilvl w:val="1"/>
          <w:numId w:val="65"/>
        </w:numPr>
        <w:outlineLvl w:val="1"/>
      </w:pPr>
      <w:bookmarkStart w:id="46" w:name="_Toc228805458"/>
      <w:r>
        <w:t>begrüßt AGILE als Plattform, die KMU, Start-up-Unternehmen, zivile Technologieunternehmen und Unternehmer dabei unterstützt, hochwertige und rasche Lösungen für die Verteidigungsbereitschaft der EU zu finden; unterstreicht, dass neuen Akteuren im Verteidigungsbereich eine wichtige Aufgabe bei der Transformation der europäischen Verteidigungsindustrie zukommt;</w:t>
      </w:r>
      <w:bookmarkEnd w:id="46"/>
      <w:r>
        <w:t xml:space="preserve"> </w:t>
      </w:r>
    </w:p>
    <w:p w14:paraId="084337D9" w14:textId="77777777" w:rsidR="00814A54" w:rsidRPr="00814A54" w:rsidRDefault="00814A54" w:rsidP="004C6742">
      <w:pPr>
        <w:numPr>
          <w:ilvl w:val="1"/>
          <w:numId w:val="65"/>
        </w:numPr>
        <w:outlineLvl w:val="1"/>
      </w:pPr>
      <w:bookmarkStart w:id="47" w:name="_Toc228805459"/>
      <w:r>
        <w:t>betont, dass die Beschleunigung nicht zu Lasten von Transparenz, Rechenschaftspflicht und demokratischer Kontrolle gehen darf, die für die Legitimität und Wirksamkeit des Handelns der EU weiterhin entscheidend sind;</w:t>
      </w:r>
      <w:bookmarkEnd w:id="47"/>
    </w:p>
    <w:p w14:paraId="15C24631" w14:textId="77777777" w:rsidR="00814A54" w:rsidRPr="00814A54" w:rsidRDefault="00814A54" w:rsidP="004C6742">
      <w:pPr>
        <w:numPr>
          <w:ilvl w:val="1"/>
          <w:numId w:val="65"/>
        </w:numPr>
        <w:outlineLvl w:val="1"/>
      </w:pPr>
      <w:bookmarkStart w:id="48" w:name="_Toc228805460"/>
      <w:r>
        <w:t>fordert, dass die Mittel für AGILE die bestehenden Verteidigungsprogramme der EU ergänzen; empfiehlt, den Haushalt für das Instrument im nächsten MFR ausgehend von den Ergebnissen der Bewertung des Pilotprogramms erheblich aufzustocken;</w:t>
      </w:r>
      <w:bookmarkEnd w:id="48"/>
      <w:r>
        <w:t xml:space="preserve"> </w:t>
      </w:r>
    </w:p>
    <w:p w14:paraId="590B8EC8" w14:textId="55D2D433" w:rsidR="00814A54" w:rsidRPr="00814A54" w:rsidRDefault="00814A54" w:rsidP="004C6742">
      <w:pPr>
        <w:numPr>
          <w:ilvl w:val="1"/>
          <w:numId w:val="65"/>
        </w:numPr>
        <w:outlineLvl w:val="1"/>
      </w:pPr>
      <w:bookmarkStart w:id="49" w:name="_Toc228805461"/>
      <w:r>
        <w:t>empfiehlt, Bestimmungen aufzunehmen, die eine proaktive Einbindung innovativer KMU, Start</w:t>
      </w:r>
      <w:r w:rsidR="005A5202">
        <w:noBreakHyphen/>
      </w:r>
      <w:r>
        <w:t>up-Unternehmen und Einzelunternehmen aus allen Mitgliedstaaten und Wirtschaftszweigen in die Sensibilisierungs-, Auswahl- und Bewertungsverfahren des Programms AGILE vorsehen, um die geografische Ausgewogenheit und Inklusivität in der gesamten Union zu verbessern;</w:t>
      </w:r>
      <w:bookmarkEnd w:id="49"/>
    </w:p>
    <w:p w14:paraId="2B71655A" w14:textId="77777777" w:rsidR="00814A54" w:rsidRPr="00814A54" w:rsidRDefault="00814A54" w:rsidP="004C6742">
      <w:pPr>
        <w:numPr>
          <w:ilvl w:val="1"/>
          <w:numId w:val="65"/>
        </w:numPr>
        <w:outlineLvl w:val="1"/>
      </w:pPr>
      <w:bookmarkStart w:id="50" w:name="_Toc228805462"/>
      <w:r>
        <w:t>empfiehlt, solide und durchsetzbare Maßnahmen einzuführen, damit die Bestimmungen von Artikel 9 Absatz 5 über die Förderfähigkeit tatsächlich eingehalten werden. Zur Wahrung der strategischen Autonomie und der Sicherheitsinteressen der Union sollten hier die Ausschlusskriterien ausdrücklich präzisiert und verschärft werden;</w:t>
      </w:r>
      <w:bookmarkEnd w:id="50"/>
    </w:p>
    <w:p w14:paraId="3849E73E" w14:textId="77777777" w:rsidR="00814A54" w:rsidRPr="00814A54" w:rsidRDefault="00814A54" w:rsidP="004C6742">
      <w:pPr>
        <w:numPr>
          <w:ilvl w:val="1"/>
          <w:numId w:val="65"/>
        </w:numPr>
        <w:outlineLvl w:val="1"/>
      </w:pPr>
      <w:bookmarkStart w:id="51" w:name="_Toc228805463"/>
      <w:r>
        <w:t>empfiehlt, dass sich AGILE-Projekte eng an klar definierten Anforderungen an die Verteidigungsfähigkeiten orientieren und genau auf den Bedarf der Endnutzer abgestimmt werden sollten; betont, dass AGILE-Projekte Zugang zu realen Testumgebungen, auch zu militärischen Übungen und Testgeländen, haben sollten, damit Lösungen unter Betriebsbedingungen validiert und rascher angewendet werden können;</w:t>
      </w:r>
      <w:bookmarkEnd w:id="51"/>
    </w:p>
    <w:p w14:paraId="0638FC2F" w14:textId="77777777" w:rsidR="00814A54" w:rsidRPr="00814A54" w:rsidRDefault="00814A54" w:rsidP="004C6742">
      <w:pPr>
        <w:numPr>
          <w:ilvl w:val="1"/>
          <w:numId w:val="65"/>
        </w:numPr>
        <w:outlineLvl w:val="1"/>
      </w:pPr>
      <w:bookmarkStart w:id="52" w:name="_Toc228805464"/>
      <w:r>
        <w:t>spricht sich dafür aus, bei der Umsetzung von AGILE ausdrücklich auf die Einhaltung der Arbeits-, Sozial- und Umweltvorschriften der EU zu achten; betont, dass die Teilnahme am Programm AGILE an die Verpflichtung zur Kompetenzentwicklung, zu hochwertiger Beschäftigung und zur uneingeschränkten Achtung der Arbeitnehmerrechte im Einklang mit dem europäischen Sozialmodell geknüpft werden sollte.</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814A54" w:rsidRPr="00814A54" w14:paraId="5B60E629" w14:textId="77777777" w:rsidTr="005A5202">
        <w:tc>
          <w:tcPr>
            <w:tcW w:w="1418" w:type="dxa"/>
          </w:tcPr>
          <w:p w14:paraId="59F261E2" w14:textId="77777777" w:rsidR="00814A54" w:rsidRPr="00814A54" w:rsidRDefault="00814A54" w:rsidP="00814A54">
            <w:pPr>
              <w:spacing w:line="240" w:lineRule="auto"/>
              <w:rPr>
                <w:i/>
              </w:rPr>
            </w:pPr>
            <w:r>
              <w:rPr>
                <w:b/>
                <w:i/>
              </w:rPr>
              <w:t>Kontakt</w:t>
            </w:r>
          </w:p>
        </w:tc>
        <w:tc>
          <w:tcPr>
            <w:tcW w:w="7762"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5A5202">
        <w:tc>
          <w:tcPr>
            <w:tcW w:w="1418" w:type="dxa"/>
          </w:tcPr>
          <w:p w14:paraId="2F6A920E" w14:textId="77777777" w:rsidR="00814A54" w:rsidRPr="00814A54" w:rsidRDefault="00814A54" w:rsidP="00814A54">
            <w:pPr>
              <w:spacing w:line="240" w:lineRule="auto"/>
              <w:rPr>
                <w:i/>
              </w:rPr>
            </w:pPr>
            <w:r>
              <w:rPr>
                <w:i/>
              </w:rPr>
              <w:t>Tel.</w:t>
            </w:r>
          </w:p>
        </w:tc>
        <w:tc>
          <w:tcPr>
            <w:tcW w:w="7762"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5A5202">
        <w:trPr>
          <w:trHeight w:val="244"/>
        </w:trPr>
        <w:tc>
          <w:tcPr>
            <w:tcW w:w="1418" w:type="dxa"/>
          </w:tcPr>
          <w:p w14:paraId="3A5319AB" w14:textId="77777777" w:rsidR="00814A54" w:rsidRPr="00814A54" w:rsidRDefault="00814A54" w:rsidP="00814A54">
            <w:pPr>
              <w:spacing w:line="240" w:lineRule="auto"/>
              <w:rPr>
                <w:i/>
              </w:rPr>
            </w:pPr>
            <w:r>
              <w:rPr>
                <w:i/>
              </w:rPr>
              <w:t>E-Mail</w:t>
            </w:r>
          </w:p>
        </w:tc>
        <w:tc>
          <w:tcPr>
            <w:tcW w:w="7762" w:type="dxa"/>
          </w:tcPr>
          <w:p w14:paraId="210C9375" w14:textId="77777777" w:rsidR="00814A54" w:rsidRPr="00814A54" w:rsidRDefault="00597E76" w:rsidP="00814A54">
            <w:pPr>
              <w:spacing w:line="240" w:lineRule="auto"/>
              <w:rPr>
                <w:i/>
              </w:rPr>
            </w:pPr>
            <w:hyperlink r:id="rId72" w:history="1">
              <w:r>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04480F">
      <w:fldChar w:fldCharType="begin"/>
    </w:r>
    <w:r w:rsidR="0004480F">
      <w:instrText xml:space="preserve"> NUMPAGES </w:instrText>
    </w:r>
    <w:r w:rsidR="0004480F">
      <w:fldChar w:fldCharType="separate"/>
    </w:r>
    <w:r w:rsidR="0004480F">
      <w:t>1</w:t>
    </w:r>
    <w:r w:rsidR="000448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fldChar w:fldCharType="begin"/>
    </w:r>
    <w:r>
      <w:instrText xml:space="preserve"> NUMPAGES </w:instrText>
    </w:r>
    <w:r>
      <w:fldChar w:fldCharType="separate"/>
    </w:r>
    <w: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77777777" w:rsidR="00944198" w:rsidRPr="00BD72B3" w:rsidRDefault="00944198" w:rsidP="00944198">
      <w:pPr>
        <w:pStyle w:val="FootnoteText"/>
      </w:pPr>
      <w:r>
        <w:rPr>
          <w:rStyle w:val="FootnoteReference"/>
        </w:rPr>
        <w:footnoteRef/>
      </w:r>
      <w:r>
        <w:tab/>
      </w:r>
      <w:proofErr w:type="spellStart"/>
      <w:r>
        <w:t>ABl.</w:t>
      </w:r>
      <w:proofErr w:type="spellEnd"/>
      <w:r>
        <w:t xml:space="preserve"> C, C/2024/6880, 28.11.2024, ELI: </w:t>
      </w:r>
      <w:hyperlink r:id="rId1" w:history="1">
        <w:r>
          <w:rPr>
            <w:rStyle w:val="Hyperlink"/>
          </w:rPr>
          <w:t>http://data.europa.eu/eli/C/2024/6880/oj</w:t>
        </w:r>
      </w:hyperlink>
      <w:r>
        <w:t>.</w:t>
      </w:r>
    </w:p>
  </w:footnote>
  <w:footnote w:id="2">
    <w:p w14:paraId="6A5DF5FB" w14:textId="77777777" w:rsidR="002B30F4" w:rsidRDefault="002B30F4" w:rsidP="002B30F4">
      <w:pPr>
        <w:pStyle w:val="FootnoteText"/>
      </w:pPr>
      <w:r>
        <w:rPr>
          <w:rStyle w:val="FootnoteReference"/>
        </w:rPr>
        <w:footnoteRef/>
      </w:r>
      <w:r>
        <w:tab/>
        <w:t xml:space="preserve">EWSA-Stellungnahme </w:t>
      </w:r>
      <w:hyperlink r:id="rId2" w:history="1">
        <w:r>
          <w:rPr>
            <w:rStyle w:val="Hyperlink"/>
            <w:i/>
          </w:rPr>
          <w:t>Gleichstellung von Feldbesichtigungen – Saatgut – Brasilien und Republik Moldau (Änderung)</w:t>
        </w:r>
      </w:hyperlink>
      <w:r>
        <w:t xml:space="preserve">, </w:t>
      </w:r>
      <w:hyperlink r:id="rId3" w:history="1">
        <w:proofErr w:type="spellStart"/>
        <w:r>
          <w:rPr>
            <w:rStyle w:val="Hyperlink"/>
          </w:rPr>
          <w:t>ABl.</w:t>
        </w:r>
        <w:proofErr w:type="spellEnd"/>
        <w:r>
          <w:rPr>
            <w:rStyle w:val="Hyperlink"/>
          </w:rPr>
          <w:t> C 227 vom 28.6.2018, S. 76</w:t>
        </w:r>
      </w:hyperlink>
      <w:r>
        <w:t>.</w:t>
      </w:r>
    </w:p>
  </w:footnote>
  <w:footnote w:id="3">
    <w:p w14:paraId="31B28570" w14:textId="0A8711BB" w:rsidR="002B30F4" w:rsidRDefault="002B30F4" w:rsidP="002B30F4">
      <w:pPr>
        <w:pStyle w:val="FootnoteText"/>
      </w:pPr>
      <w:r>
        <w:rPr>
          <w:rStyle w:val="FootnoteReference"/>
        </w:rPr>
        <w:footnoteRef/>
      </w:r>
      <w:r>
        <w:tab/>
        <w:t xml:space="preserve">EWSA-Stellungnahme </w:t>
      </w:r>
      <w:hyperlink r:id="rId4" w:history="1">
        <w:r>
          <w:rPr>
            <w:rStyle w:val="Hyperlink"/>
            <w:i/>
          </w:rPr>
          <w:t>Gleichstellung von Feldbesichtigungen – Getreidesaatgut aus der Ukraine</w:t>
        </w:r>
      </w:hyperlink>
      <w:r>
        <w:t xml:space="preserve">, </w:t>
      </w:r>
      <w:hyperlink r:id="rId5" w:history="1">
        <w:proofErr w:type="spellStart"/>
        <w:r>
          <w:rPr>
            <w:rStyle w:val="Hyperlink"/>
          </w:rPr>
          <w:t>ABl.</w:t>
        </w:r>
        <w:proofErr w:type="spellEnd"/>
        <w:r>
          <w:rPr>
            <w:rStyle w:val="Hyperlink"/>
          </w:rPr>
          <w:t> C 429 vom 11.12.2020, S. 276</w:t>
        </w:r>
      </w:hyperlink>
      <w:r>
        <w:t>.</w:t>
      </w:r>
    </w:p>
  </w:footnote>
  <w:footnote w:id="4">
    <w:p w14:paraId="704BA872" w14:textId="77777777" w:rsidR="008548EA" w:rsidRDefault="008548EA" w:rsidP="008548EA">
      <w:pPr>
        <w:pStyle w:val="FootnoteText"/>
      </w:pPr>
      <w:r>
        <w:rPr>
          <w:rStyle w:val="FootnoteReference"/>
        </w:rPr>
        <w:footnoteRef/>
      </w:r>
      <w:r>
        <w:tab/>
        <w:t>Stellungnahme des EWSA „</w:t>
      </w:r>
      <w:hyperlink r:id="rId6">
        <w:r>
          <w:rPr>
            <w:rStyle w:val="Hyperlink"/>
            <w:i/>
          </w:rPr>
          <w:t>Überarbeitung des EU-Emissionshandelssystems (EU-EHS) einschließlich Seeverkehr und Marktstabilitätsreserve</w:t>
        </w:r>
      </w:hyperlink>
      <w:r>
        <w:t xml:space="preserve">“, </w:t>
      </w:r>
      <w:hyperlink r:id="rId7">
        <w:proofErr w:type="spellStart"/>
        <w:r>
          <w:rPr>
            <w:rStyle w:val="Hyperlink"/>
          </w:rPr>
          <w:t>ABl.</w:t>
        </w:r>
        <w:proofErr w:type="spellEnd"/>
        <w:r>
          <w:rPr>
            <w:rStyle w:val="Hyperlink"/>
          </w:rPr>
          <w:t xml:space="preserve"> C 152 vom 6.4.2022, S.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4418722">
    <w:abstractNumId w:val="0"/>
  </w:num>
  <w:num w:numId="2" w16cid:durableId="540945932">
    <w:abstractNumId w:val="61"/>
  </w:num>
  <w:num w:numId="3" w16cid:durableId="492724304">
    <w:abstractNumId w:val="68"/>
  </w:num>
  <w:num w:numId="4" w16cid:durableId="1547333243">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783354745">
    <w:abstractNumId w:val="62"/>
  </w:num>
  <w:num w:numId="6" w16cid:durableId="324482650">
    <w:abstractNumId w:val="69"/>
  </w:num>
  <w:num w:numId="7" w16cid:durableId="855537583">
    <w:abstractNumId w:val="25"/>
  </w:num>
  <w:num w:numId="8" w16cid:durableId="1009989933">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1144663034">
    <w:abstractNumId w:val="56"/>
  </w:num>
  <w:num w:numId="10" w16cid:durableId="232349713">
    <w:abstractNumId w:val="46"/>
  </w:num>
  <w:num w:numId="11" w16cid:durableId="2026249203">
    <w:abstractNumId w:val="58"/>
  </w:num>
  <w:num w:numId="12" w16cid:durableId="882790035">
    <w:abstractNumId w:val="47"/>
  </w:num>
  <w:num w:numId="13" w16cid:durableId="769157026">
    <w:abstractNumId w:val="60"/>
  </w:num>
  <w:num w:numId="14" w16cid:durableId="625233484">
    <w:abstractNumId w:val="54"/>
  </w:num>
  <w:num w:numId="15" w16cid:durableId="400447781">
    <w:abstractNumId w:val="10"/>
  </w:num>
  <w:num w:numId="16" w16cid:durableId="1273246454">
    <w:abstractNumId w:val="53"/>
  </w:num>
  <w:num w:numId="17" w16cid:durableId="1547134196">
    <w:abstractNumId w:val="32"/>
  </w:num>
  <w:num w:numId="18" w16cid:durableId="1450733200">
    <w:abstractNumId w:val="23"/>
  </w:num>
  <w:num w:numId="19" w16cid:durableId="1192379736">
    <w:abstractNumId w:val="8"/>
  </w:num>
  <w:num w:numId="20" w16cid:durableId="1001735095">
    <w:abstractNumId w:val="71"/>
  </w:num>
  <w:num w:numId="21" w16cid:durableId="934240697">
    <w:abstractNumId w:val="51"/>
  </w:num>
  <w:num w:numId="22" w16cid:durableId="1200360865">
    <w:abstractNumId w:val="3"/>
  </w:num>
  <w:num w:numId="23" w16cid:durableId="204604494">
    <w:abstractNumId w:val="39"/>
  </w:num>
  <w:num w:numId="24" w16cid:durableId="1765302473">
    <w:abstractNumId w:val="40"/>
  </w:num>
  <w:num w:numId="25" w16cid:durableId="674117999">
    <w:abstractNumId w:val="55"/>
  </w:num>
  <w:num w:numId="26" w16cid:durableId="1618638293">
    <w:abstractNumId w:val="14"/>
  </w:num>
  <w:num w:numId="27" w16cid:durableId="1282299792">
    <w:abstractNumId w:val="11"/>
  </w:num>
  <w:num w:numId="28" w16cid:durableId="2133740940">
    <w:abstractNumId w:val="37"/>
  </w:num>
  <w:num w:numId="29" w16cid:durableId="1654799644">
    <w:abstractNumId w:val="38"/>
  </w:num>
  <w:num w:numId="30" w16cid:durableId="1152913187">
    <w:abstractNumId w:val="31"/>
  </w:num>
  <w:num w:numId="31" w16cid:durableId="1495031036">
    <w:abstractNumId w:val="45"/>
  </w:num>
  <w:num w:numId="32" w16cid:durableId="2094233554">
    <w:abstractNumId w:val="7"/>
  </w:num>
  <w:num w:numId="33" w16cid:durableId="45915209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700908858">
    <w:abstractNumId w:val="19"/>
  </w:num>
  <w:num w:numId="35" w16cid:durableId="1336570196">
    <w:abstractNumId w:val="65"/>
  </w:num>
  <w:num w:numId="36" w16cid:durableId="623124990">
    <w:abstractNumId w:val="43"/>
  </w:num>
  <w:num w:numId="37" w16cid:durableId="27224173">
    <w:abstractNumId w:val="33"/>
  </w:num>
  <w:num w:numId="38" w16cid:durableId="1232155864">
    <w:abstractNumId w:val="36"/>
  </w:num>
  <w:num w:numId="39" w16cid:durableId="2113354320">
    <w:abstractNumId w:val="63"/>
  </w:num>
  <w:num w:numId="40" w16cid:durableId="582252956">
    <w:abstractNumId w:val="6"/>
  </w:num>
  <w:num w:numId="41" w16cid:durableId="1185943884">
    <w:abstractNumId w:val="48"/>
  </w:num>
  <w:num w:numId="42" w16cid:durableId="694118317">
    <w:abstractNumId w:val="67"/>
  </w:num>
  <w:num w:numId="43" w16cid:durableId="926617742">
    <w:abstractNumId w:val="13"/>
  </w:num>
  <w:num w:numId="44" w16cid:durableId="1086461554">
    <w:abstractNumId w:val="18"/>
  </w:num>
  <w:num w:numId="45" w16cid:durableId="471096851">
    <w:abstractNumId w:val="4"/>
  </w:num>
  <w:num w:numId="46" w16cid:durableId="486361694">
    <w:abstractNumId w:val="64"/>
  </w:num>
  <w:num w:numId="47" w16cid:durableId="1175223098">
    <w:abstractNumId w:val="41"/>
  </w:num>
  <w:num w:numId="48" w16cid:durableId="1946305314">
    <w:abstractNumId w:val="12"/>
  </w:num>
  <w:num w:numId="49" w16cid:durableId="1926068585">
    <w:abstractNumId w:val="57"/>
  </w:num>
  <w:num w:numId="50" w16cid:durableId="831608615">
    <w:abstractNumId w:val="26"/>
  </w:num>
  <w:num w:numId="51" w16cid:durableId="1056664249">
    <w:abstractNumId w:val="66"/>
  </w:num>
  <w:num w:numId="52" w16cid:durableId="1867015740">
    <w:abstractNumId w:val="50"/>
  </w:num>
  <w:num w:numId="53" w16cid:durableId="348991771">
    <w:abstractNumId w:val="22"/>
  </w:num>
  <w:num w:numId="54" w16cid:durableId="1264608724">
    <w:abstractNumId w:val="5"/>
  </w:num>
  <w:num w:numId="55" w16cid:durableId="886768176">
    <w:abstractNumId w:val="52"/>
  </w:num>
  <w:num w:numId="56" w16cid:durableId="1834297271">
    <w:abstractNumId w:val="9"/>
  </w:num>
  <w:num w:numId="57" w16cid:durableId="1497762665">
    <w:abstractNumId w:val="30"/>
  </w:num>
  <w:num w:numId="58" w16cid:durableId="68970565">
    <w:abstractNumId w:val="44"/>
  </w:num>
  <w:num w:numId="59" w16cid:durableId="1889024911">
    <w:abstractNumId w:val="28"/>
  </w:num>
  <w:num w:numId="60" w16cid:durableId="786505292">
    <w:abstractNumId w:val="27"/>
  </w:num>
  <w:num w:numId="61" w16cid:durableId="1589846314">
    <w:abstractNumId w:val="20"/>
  </w:num>
  <w:num w:numId="62" w16cid:durableId="1779324486">
    <w:abstractNumId w:val="49"/>
  </w:num>
  <w:num w:numId="63" w16cid:durableId="967474015">
    <w:abstractNumId w:val="29"/>
  </w:num>
  <w:num w:numId="64" w16cid:durableId="836071981">
    <w:abstractNumId w:val="21"/>
  </w:num>
  <w:num w:numId="65" w16cid:durableId="115101818">
    <w:abstractNumId w:val="35"/>
  </w:num>
  <w:num w:numId="66" w16cid:durableId="113830493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2059694894">
    <w:abstractNumId w:val="24"/>
  </w:num>
  <w:num w:numId="68" w16cid:durableId="1932157220">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226458885">
    <w:abstractNumId w:val="17"/>
  </w:num>
  <w:num w:numId="70" w16cid:durableId="638925205">
    <w:abstractNumId w:val="34"/>
  </w:num>
  <w:num w:numId="71" w16cid:durableId="196167836">
    <w:abstractNumId w:val="2"/>
  </w:num>
  <w:num w:numId="72" w16cid:durableId="1598171771">
    <w:abstractNumId w:val="16"/>
  </w:num>
  <w:num w:numId="73" w16cid:durableId="51196607">
    <w:abstractNumId w:val="59"/>
  </w:num>
  <w:num w:numId="74" w16cid:durableId="902790950">
    <w:abstractNumId w:val="72"/>
  </w:num>
  <w:num w:numId="75" w16cid:durableId="1864053685">
    <w:abstractNumId w:val="42"/>
  </w:num>
  <w:num w:numId="76" w16cid:durableId="1399206172">
    <w:abstractNumId w:val="15"/>
  </w:num>
  <w:num w:numId="77" w16cid:durableId="785389259">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396"/>
    <w:rsid w:val="002079FC"/>
    <w:rsid w:val="00212AD9"/>
    <w:rsid w:val="00224B1B"/>
    <w:rsid w:val="00227AA1"/>
    <w:rsid w:val="00235BA4"/>
    <w:rsid w:val="00235CEA"/>
    <w:rsid w:val="0024677E"/>
    <w:rsid w:val="00251ADD"/>
    <w:rsid w:val="002723A4"/>
    <w:rsid w:val="00272AC6"/>
    <w:rsid w:val="002753D7"/>
    <w:rsid w:val="00297F0C"/>
    <w:rsid w:val="002A0F5D"/>
    <w:rsid w:val="002A5636"/>
    <w:rsid w:val="002B1440"/>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6103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97E76"/>
    <w:rsid w:val="005A0BDA"/>
    <w:rsid w:val="005A5202"/>
    <w:rsid w:val="005B6118"/>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2DF9"/>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36103A"/>
    <w:pPr>
      <w:tabs>
        <w:tab w:val="left" w:pos="440"/>
        <w:tab w:val="right" w:leader="dot" w:pos="9063"/>
      </w:tabs>
      <w:spacing w:after="100"/>
      <w:ind w:left="426" w:hanging="426"/>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de/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de/our-work/opinions-information-reports/opinions/new-rules-drug-precursors" TargetMode="External"/><Relationship Id="rId63" Type="http://schemas.openxmlformats.org/officeDocument/2006/relationships/hyperlink" Target="https://www.eesc.europa.eu/de/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de/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de/our-work/opinions-information-reports/opinions/developing-european-centre-clinical-excellence-pharmaceuticals" TargetMode="External"/><Relationship Id="rId53" Type="http://schemas.openxmlformats.org/officeDocument/2006/relationships/hyperlink" Target="Https://www.eesc.europa.eu/de/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de/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de/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de/our-work/opinions-information-reports/opinions/over-tourism-short-term-rentals-and-crowding-out-local-populations-finding-right-balance" TargetMode="External"/><Relationship Id="rId43" Type="http://schemas.openxmlformats.org/officeDocument/2006/relationships/hyperlink" Target="https://www.eesc.europa.eu/de/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de/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de/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de/our-work/opinions-information-reports/opinions/ban-conversion-practices-european-union" TargetMode="External"/><Relationship Id="rId33" Type="http://schemas.openxmlformats.org/officeDocument/2006/relationships/hyperlink" Target="https://www.eesc.europa.eu/de/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de/our-work/opinions-information-reports/opinions/eu-bioeconomy-strategy-towards-circular-regenerative-and-competitive-bioeconomy" TargetMode="External"/><Relationship Id="rId67" Type="http://schemas.openxmlformats.org/officeDocument/2006/relationships/hyperlink" Target="https://www.eesc.europa.eu/de/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de/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de/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de/our-work/opinions-information-reports/opinions/proposal-regulation-targeted-revision-eu-rules-medical-devices-and-vitro-diagnostics" TargetMode="External"/><Relationship Id="rId57" Type="http://schemas.openxmlformats.org/officeDocument/2006/relationships/hyperlink" Target="https://www.eesc.europa.eu/de/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de/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de/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de/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de/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de/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de/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de/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DE/TXT/?uri=uriserv%3AOJ.C_.2018.227.01.0076.01.DEU&amp;toc=OJ%3AC%3A2018%3A227%3ATOC" TargetMode="External"/><Relationship Id="rId7" Type="http://schemas.openxmlformats.org/officeDocument/2006/relationships/hyperlink" Target="https://eur-lex.europa.eu/legal-content/DE/TXT/?uri=uriserv%3AOJ.C_.2022.152.01.0175.01.DEU&amp;toc=OJ%3AC%3A2022%3A152%3ATOC" TargetMode="External"/><Relationship Id="rId2" Type="http://schemas.openxmlformats.org/officeDocument/2006/relationships/hyperlink" Target="https://www.eesc.europa.eu/de/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de/our-work/opinions-information-reports/opinions/revision-eu-emissions-trading-system-ets-including-maritime-transport-and-market-stability-reserve" TargetMode="External"/><Relationship Id="rId5" Type="http://schemas.openxmlformats.org/officeDocument/2006/relationships/hyperlink" Target="https://eur-lex.europa.eu/legal-content/DE/TXT/?uri=uriserv%3AOJ.C_.2020.429.01.0276.01.DEU&amp;toc=OJ%3AC%3A2020%3A429%3ATOC" TargetMode="External"/><Relationship Id="rId4" Type="http://schemas.openxmlformats.org/officeDocument/2006/relationships/hyperlink" Target="https://www.eesc.europa.eu/de/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VP3JK3XSEPRV-2087481956-8522</_dlc_DocId>
    <_dlc_DocIdUrl xmlns="7d640e6d-779c-472f-a269-6b546787f1c9">
      <Url>http://dm/eesc/2026/_layouts/15/DocIdRedir.aspx?ID=VP3JK3XSEPRV-2087481956-8522</Url>
      <Description>VP3JK3XSEPRV-2087481956-8522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Deichsel Josefine</DisplayName>
        <AccountId>1387</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FD03-F1BD-4809-B0C3-7E87C416CB42}"/>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5.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37</Pages>
  <Words>8934</Words>
  <Characters>66025</Characters>
  <Application>Microsoft Office Word</Application>
  <DocSecurity>0</DocSecurity>
  <Lines>1572</Lines>
  <Paragraphs>780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verabschiedeten Stellungnahmen - 605. Plenartagung - April 2026</dc:title>
  <dc:subject>ADMIN</dc:subject>
  <dc:creator/>
  <cp:keywords>COR-EESC-2022-02583-00-00-ADMIN-TRA-EN</cp:keywords>
  <dc:description>Rapporteur:  - Original language: EN - Date of document: 20/05/2022 - Date of meeting:  - External documents:  - Administrator:  SUCIU Serban</dc:description>
  <cp:lastModifiedBy/>
  <cp:revision>10</cp:revision>
  <dcterms:created xsi:type="dcterms:W3CDTF">2026-05-08T11:50:00Z</dcterms:created>
  <dcterms:modified xsi:type="dcterms:W3CDTF">2026-05-12T09:10:00Z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a770ddaa-80db-4665-a399-ab8d9e4fd155</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13;#IT|0774613c-01ed-4e5d-a25d-11d2388de825;#18;#TCD|cd9d6eb6-3f4f-424a-b2d1-57c9d450eaaf;#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11;#DE|f6b31e5a-26fa-4935-b661-318e46daf27e</vt:lpwstr>
  </property>
  <property fmtid="{D5CDD505-2E9C-101B-9397-08002B2CF9AE}" pid="33" name="AvailableTranslations_0">
    <vt:lpwstr>EN|f2175f21-25d7-44a3-96da-d6a61b075e1b;IT|0774613c-01ed-4e5d-a25d-11d2388de825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