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683E55FC" w:rsidR="004D7AC0" w:rsidRDefault="0009249B" w:rsidP="001766B2">
      <w:pPr>
        <w:jc w:val="center"/>
      </w:pPr>
      <w:r>
        <w:rPr>
          <w:noProof/>
        </w:rPr>
        <w:drawing>
          <wp:inline distT="0" distB="0" distL="0" distR="0" wp14:anchorId="736D77FD" wp14:editId="4A055C0C">
            <wp:extent cx="1792605" cy="1239520"/>
            <wp:effectExtent l="0" t="0" r="0" b="0"/>
            <wp:docPr id="1667849222" name="Picture 2" title="EESCLogo_DA"/>
            <wp:cNvGraphicFramePr/>
            <a:graphic xmlns:a="http://schemas.openxmlformats.org/drawingml/2006/main">
              <a:graphicData uri="http://schemas.openxmlformats.org/drawingml/2006/picture">
                <pic:pic xmlns:pic="http://schemas.openxmlformats.org/drawingml/2006/picture">
                  <pic:nvPicPr>
                    <pic:cNvPr id="1667849222" name="Picture 2" title="EESCLogo_D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3A75889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Bruxelles, den 22. maj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7"/>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 PLENARFORSAMLING</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den 29. og 30. april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SAMMENDRAG AF VEDTAGNE UDTALELSER, RESOLUTIONER OG INFORMATIONS- OG EVALUERINGSRAPPORTER</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343434A6" w14:textId="77777777" w:rsidR="00892891" w:rsidRDefault="00892891" w:rsidP="001766B2">
            <w:pPr>
              <w:snapToGrid w:val="0"/>
              <w:jc w:val="center"/>
            </w:pPr>
          </w:p>
          <w:p w14:paraId="4982DD5A" w14:textId="314EB9A1" w:rsidR="004D7AC0" w:rsidRPr="0081153B" w:rsidRDefault="004D7AC0" w:rsidP="001766B2">
            <w:pPr>
              <w:snapToGrid w:val="0"/>
              <w:jc w:val="center"/>
            </w:pPr>
            <w:r>
              <w:t>Dette dokument findes på alle de officielle EU-sprog på EØSU's hjemmeside:</w:t>
            </w:r>
            <w:r>
              <w:br/>
            </w:r>
            <w:r>
              <w:br/>
            </w:r>
            <w:hyperlink r:id="rId13" w:history="1">
              <w:r>
                <w:rPr>
                  <w:rStyle w:val="Hyperlink"/>
                </w:rPr>
                <w:t>https://www.eesc.europa.eu/da/our-work/opinions-information-reports/plenary-session-summaries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t>De omtalte udtalelser kan konsulteres online via EØSU's database:</w:t>
            </w:r>
            <w:r>
              <w:br/>
            </w:r>
            <w:hyperlink r:id="rId14" w:history="1">
              <w:proofErr w:type="spellStart"/>
              <w:r>
                <w:rPr>
                  <w:rStyle w:val="Hyperlink"/>
                </w:rPr>
                <w:t>https</w:t>
              </w:r>
              <w:proofErr w:type="spellEnd"/>
              <w:r>
                <w:rPr>
                  <w:rStyle w:val="Hyperlink"/>
                </w:rPr>
                <w:t>://</w:t>
              </w:r>
              <w:proofErr w:type="spellStart"/>
              <w:r>
                <w:rPr>
                  <w:rStyle w:val="Hyperlink"/>
                </w:rPr>
                <w:t>dmsearch.eesc.europa.eu</w:t>
              </w:r>
              <w:proofErr w:type="spellEnd"/>
              <w:r>
                <w:rPr>
                  <w:rStyle w:val="Hyperlink"/>
                </w:rPr>
                <w:t>/</w:t>
              </w:r>
              <w:proofErr w:type="spellStart"/>
              <w:r>
                <w:rPr>
                  <w:rStyle w:val="Hyperlink"/>
                </w:rPr>
                <w:t>search</w:t>
              </w:r>
              <w:proofErr w:type="spellEnd"/>
              <w:r>
                <w:rPr>
                  <w:rStyle w:val="Hyperlink"/>
                </w:rPr>
                <w:t>/opinion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50478A">
          <w:headerReference w:type="even" r:id="rId15"/>
          <w:headerReference w:type="default" r:id="rId16"/>
          <w:footerReference w:type="even" r:id="rId17"/>
          <w:footerReference w:type="default" r:id="rId18"/>
          <w:headerReference w:type="first" r:id="rId19"/>
          <w:footerReference w:type="first" r:id="rId20"/>
          <w:pgSz w:w="11907" w:h="16839" w:code="9"/>
          <w:pgMar w:top="1418" w:right="1418" w:bottom="1418" w:left="1418" w:header="709" w:footer="709" w:gutter="0"/>
          <w:pgNumType w:start="1"/>
          <w:cols w:space="708"/>
          <w:docGrid w:linePitch="360"/>
        </w:sectPr>
      </w:pPr>
    </w:p>
    <w:p w14:paraId="4982DD63" w14:textId="0D160970" w:rsidR="004D7AC0" w:rsidRDefault="004D7AC0" w:rsidP="001766B2">
      <w:pPr>
        <w:rPr>
          <w:b/>
        </w:rPr>
      </w:pPr>
      <w:r>
        <w:rPr>
          <w:b/>
        </w:rPr>
        <w:lastRenderedPageBreak/>
        <w:t>Indholdsfortegnelse:</w:t>
      </w:r>
    </w:p>
    <w:p w14:paraId="2174B63A" w14:textId="77777777" w:rsidR="00A067F3" w:rsidRPr="00A81AFE" w:rsidRDefault="00A067F3" w:rsidP="001766B2">
      <w:pPr>
        <w:rPr>
          <w:b/>
        </w:rPr>
      </w:pPr>
    </w:p>
    <w:p w14:paraId="3D6CB852" w14:textId="0B34894F" w:rsidR="00A067F3" w:rsidRDefault="00A067F3" w:rsidP="00B2085D">
      <w:pPr>
        <w:pStyle w:val="TOC1"/>
        <w:ind w:left="567" w:hanging="567"/>
        <w:jc w:val="left"/>
        <w:rPr>
          <w:rFonts w:asciiTheme="minorHAnsi" w:eastAsiaTheme="minorEastAsia" w:hAnsiTheme="minorHAnsi" w:cstheme="minorBidi"/>
          <w:noProof/>
        </w:rPr>
      </w:pPr>
      <w:r>
        <w:fldChar w:fldCharType="begin"/>
      </w:r>
      <w:r>
        <w:instrText xml:space="preserve"> TOC \h \z \u \t "Heading 2,1" </w:instrText>
      </w:r>
      <w:r>
        <w:fldChar w:fldCharType="separate"/>
      </w:r>
      <w:hyperlink w:anchor="_Toc229140653" w:history="1">
        <w:r w:rsidRPr="007E618C">
          <w:rPr>
            <w:rStyle w:val="Hyperlink"/>
            <w:noProof/>
          </w:rPr>
          <w:t>1.</w:t>
        </w:r>
        <w:r>
          <w:rPr>
            <w:rFonts w:asciiTheme="minorHAnsi" w:eastAsiaTheme="minorEastAsia" w:hAnsiTheme="minorHAnsi" w:cstheme="minorBidi"/>
            <w:noProof/>
          </w:rPr>
          <w:tab/>
        </w:r>
        <w:r w:rsidR="00B2085D" w:rsidRPr="00B2085D">
          <w:rPr>
            <w:rStyle w:val="Hyperlink"/>
            <w:noProof/>
          </w:rPr>
          <w:t>DEN ØKONOMISKE OG MO</w:t>
        </w:r>
        <w:r w:rsidR="00B2085D" w:rsidRPr="00B2085D">
          <w:rPr>
            <w:rStyle w:val="Hyperlink"/>
            <w:noProof/>
          </w:rPr>
          <w:t>N</w:t>
        </w:r>
        <w:r w:rsidR="00B2085D" w:rsidRPr="00B2085D">
          <w:rPr>
            <w:rStyle w:val="Hyperlink"/>
            <w:noProof/>
          </w:rPr>
          <w:t>ETÆRE UNION OG ØKONOMISK OG SOCIAL SAMHØRIGHED</w:t>
        </w:r>
        <w:r>
          <w:rPr>
            <w:noProof/>
            <w:webHidden/>
          </w:rPr>
          <w:tab/>
        </w:r>
        <w:r>
          <w:rPr>
            <w:noProof/>
            <w:webHidden/>
          </w:rPr>
          <w:fldChar w:fldCharType="begin"/>
        </w:r>
        <w:r>
          <w:rPr>
            <w:noProof/>
            <w:webHidden/>
          </w:rPr>
          <w:instrText xml:space="preserve"> PAGEREF _Toc229140653 \h </w:instrText>
        </w:r>
        <w:r>
          <w:rPr>
            <w:noProof/>
            <w:webHidden/>
          </w:rPr>
        </w:r>
        <w:r>
          <w:rPr>
            <w:noProof/>
            <w:webHidden/>
          </w:rPr>
          <w:fldChar w:fldCharType="separate"/>
        </w:r>
        <w:r w:rsidR="00B2085D">
          <w:rPr>
            <w:noProof/>
            <w:webHidden/>
          </w:rPr>
          <w:t>3</w:t>
        </w:r>
        <w:r>
          <w:rPr>
            <w:noProof/>
            <w:webHidden/>
          </w:rPr>
          <w:fldChar w:fldCharType="end"/>
        </w:r>
      </w:hyperlink>
    </w:p>
    <w:p w14:paraId="0EE7F81C" w14:textId="785ADE34" w:rsidR="00A067F3" w:rsidRDefault="00A067F3" w:rsidP="00B2085D">
      <w:pPr>
        <w:pStyle w:val="TOC1"/>
        <w:ind w:left="567" w:hanging="567"/>
        <w:jc w:val="left"/>
        <w:rPr>
          <w:rFonts w:asciiTheme="minorHAnsi" w:eastAsiaTheme="minorEastAsia" w:hAnsiTheme="minorHAnsi" w:cstheme="minorBidi"/>
          <w:noProof/>
        </w:rPr>
      </w:pPr>
      <w:hyperlink w:anchor="_Toc229140654" w:history="1">
        <w:r w:rsidRPr="007E618C">
          <w:rPr>
            <w:rStyle w:val="Hyperlink"/>
            <w:noProof/>
          </w:rPr>
          <w:t>2.</w:t>
        </w:r>
        <w:r>
          <w:rPr>
            <w:rFonts w:asciiTheme="minorHAnsi" w:eastAsiaTheme="minorEastAsia" w:hAnsiTheme="minorHAnsi" w:cstheme="minorBidi"/>
            <w:noProof/>
          </w:rPr>
          <w:tab/>
        </w:r>
        <w:r w:rsidR="00B2085D" w:rsidRPr="00B2085D">
          <w:rPr>
            <w:rStyle w:val="Hyperlink"/>
            <w:noProof/>
          </w:rPr>
          <w:t>BESKÆFTIGELSE, SOCIALE S</w:t>
        </w:r>
        <w:r w:rsidR="00B2085D" w:rsidRPr="00B2085D">
          <w:rPr>
            <w:rStyle w:val="Hyperlink"/>
            <w:noProof/>
          </w:rPr>
          <w:t>P</w:t>
        </w:r>
        <w:r w:rsidR="00B2085D" w:rsidRPr="00B2085D">
          <w:rPr>
            <w:rStyle w:val="Hyperlink"/>
            <w:noProof/>
          </w:rPr>
          <w:t>ØRGSMÅL OG UNIONSBORGERSKAB</w:t>
        </w:r>
        <w:r>
          <w:rPr>
            <w:noProof/>
            <w:webHidden/>
          </w:rPr>
          <w:tab/>
        </w:r>
        <w:r>
          <w:rPr>
            <w:noProof/>
            <w:webHidden/>
          </w:rPr>
          <w:fldChar w:fldCharType="begin"/>
        </w:r>
        <w:r>
          <w:rPr>
            <w:noProof/>
            <w:webHidden/>
          </w:rPr>
          <w:instrText xml:space="preserve"> PAGEREF _Toc229140654 \h </w:instrText>
        </w:r>
        <w:r>
          <w:rPr>
            <w:noProof/>
            <w:webHidden/>
          </w:rPr>
        </w:r>
        <w:r>
          <w:rPr>
            <w:noProof/>
            <w:webHidden/>
          </w:rPr>
          <w:fldChar w:fldCharType="separate"/>
        </w:r>
        <w:r w:rsidR="00B2085D">
          <w:rPr>
            <w:noProof/>
            <w:webHidden/>
          </w:rPr>
          <w:t>6</w:t>
        </w:r>
        <w:r>
          <w:rPr>
            <w:noProof/>
            <w:webHidden/>
          </w:rPr>
          <w:fldChar w:fldCharType="end"/>
        </w:r>
      </w:hyperlink>
    </w:p>
    <w:p w14:paraId="7426073C" w14:textId="68EFCB68" w:rsidR="00A067F3" w:rsidRDefault="00A067F3" w:rsidP="00B2085D">
      <w:pPr>
        <w:pStyle w:val="TOC1"/>
        <w:ind w:left="567" w:hanging="567"/>
        <w:jc w:val="left"/>
        <w:rPr>
          <w:rFonts w:asciiTheme="minorHAnsi" w:eastAsiaTheme="minorEastAsia" w:hAnsiTheme="minorHAnsi" w:cstheme="minorBidi"/>
          <w:noProof/>
        </w:rPr>
      </w:pPr>
      <w:hyperlink w:anchor="_Toc229140655" w:history="1">
        <w:r w:rsidRPr="007E618C">
          <w:rPr>
            <w:rStyle w:val="Hyperlink"/>
            <w:noProof/>
          </w:rPr>
          <w:t>3.</w:t>
        </w:r>
        <w:r>
          <w:rPr>
            <w:rFonts w:asciiTheme="minorHAnsi" w:eastAsiaTheme="minorEastAsia" w:hAnsiTheme="minorHAnsi" w:cstheme="minorBidi"/>
            <w:noProof/>
          </w:rPr>
          <w:tab/>
        </w:r>
        <w:r w:rsidR="00CF2908" w:rsidRPr="00CF2908">
          <w:rPr>
            <w:rStyle w:val="Hyperlink"/>
            <w:noProof/>
          </w:rPr>
          <w:t>DET INDRE MARKE</w:t>
        </w:r>
        <w:r w:rsidR="00CF2908" w:rsidRPr="00CF2908">
          <w:rPr>
            <w:rStyle w:val="Hyperlink"/>
            <w:noProof/>
          </w:rPr>
          <w:t>D</w:t>
        </w:r>
        <w:r w:rsidR="00CF2908" w:rsidRPr="00CF2908">
          <w:rPr>
            <w:rStyle w:val="Hyperlink"/>
            <w:noProof/>
          </w:rPr>
          <w:t>, PRODUKTION OG FORBRUG</w:t>
        </w:r>
        <w:r>
          <w:rPr>
            <w:noProof/>
            <w:webHidden/>
          </w:rPr>
          <w:tab/>
        </w:r>
        <w:r>
          <w:rPr>
            <w:noProof/>
            <w:webHidden/>
          </w:rPr>
          <w:fldChar w:fldCharType="begin"/>
        </w:r>
        <w:r>
          <w:rPr>
            <w:noProof/>
            <w:webHidden/>
          </w:rPr>
          <w:instrText xml:space="preserve"> PAGEREF _Toc229140655 \h </w:instrText>
        </w:r>
        <w:r>
          <w:rPr>
            <w:noProof/>
            <w:webHidden/>
          </w:rPr>
        </w:r>
        <w:r>
          <w:rPr>
            <w:noProof/>
            <w:webHidden/>
          </w:rPr>
          <w:fldChar w:fldCharType="separate"/>
        </w:r>
        <w:r w:rsidR="00B2085D">
          <w:rPr>
            <w:noProof/>
            <w:webHidden/>
          </w:rPr>
          <w:t>12</w:t>
        </w:r>
        <w:r>
          <w:rPr>
            <w:noProof/>
            <w:webHidden/>
          </w:rPr>
          <w:fldChar w:fldCharType="end"/>
        </w:r>
      </w:hyperlink>
    </w:p>
    <w:p w14:paraId="71F08A6C" w14:textId="780726FE" w:rsidR="00A067F3" w:rsidRDefault="00A067F3" w:rsidP="00B2085D">
      <w:pPr>
        <w:pStyle w:val="TOC1"/>
        <w:ind w:left="567" w:hanging="567"/>
        <w:jc w:val="left"/>
        <w:rPr>
          <w:rFonts w:asciiTheme="minorHAnsi" w:eastAsiaTheme="minorEastAsia" w:hAnsiTheme="minorHAnsi" w:cstheme="minorBidi"/>
          <w:noProof/>
        </w:rPr>
      </w:pPr>
      <w:hyperlink w:anchor="_Toc229140656" w:history="1">
        <w:r w:rsidRPr="007E618C">
          <w:rPr>
            <w:rStyle w:val="Hyperlink"/>
            <w:noProof/>
          </w:rPr>
          <w:t>4.</w:t>
        </w:r>
        <w:r>
          <w:rPr>
            <w:rFonts w:asciiTheme="minorHAnsi" w:eastAsiaTheme="minorEastAsia" w:hAnsiTheme="minorHAnsi" w:cstheme="minorBidi"/>
            <w:noProof/>
          </w:rPr>
          <w:tab/>
        </w:r>
        <w:r w:rsidR="00CF2908" w:rsidRPr="00CF2908">
          <w:rPr>
            <w:rStyle w:val="Hyperlink"/>
            <w:noProof/>
          </w:rPr>
          <w:t>LANDBRUG, UDVIKLING AF LANDDISTRIKTERNE OG MILJØ</w:t>
        </w:r>
        <w:r>
          <w:rPr>
            <w:noProof/>
            <w:webHidden/>
          </w:rPr>
          <w:tab/>
        </w:r>
        <w:r>
          <w:rPr>
            <w:noProof/>
            <w:webHidden/>
          </w:rPr>
          <w:fldChar w:fldCharType="begin"/>
        </w:r>
        <w:r>
          <w:rPr>
            <w:noProof/>
            <w:webHidden/>
          </w:rPr>
          <w:instrText xml:space="preserve"> PAGEREF _Toc229140656 \h </w:instrText>
        </w:r>
        <w:r>
          <w:rPr>
            <w:noProof/>
            <w:webHidden/>
          </w:rPr>
        </w:r>
        <w:r>
          <w:rPr>
            <w:noProof/>
            <w:webHidden/>
          </w:rPr>
          <w:fldChar w:fldCharType="separate"/>
        </w:r>
        <w:r w:rsidR="00B2085D">
          <w:rPr>
            <w:noProof/>
            <w:webHidden/>
          </w:rPr>
          <w:t>24</w:t>
        </w:r>
        <w:r>
          <w:rPr>
            <w:noProof/>
            <w:webHidden/>
          </w:rPr>
          <w:fldChar w:fldCharType="end"/>
        </w:r>
      </w:hyperlink>
    </w:p>
    <w:p w14:paraId="33FB345E" w14:textId="59EF9500" w:rsidR="00A067F3" w:rsidRDefault="00A067F3" w:rsidP="00B2085D">
      <w:pPr>
        <w:pStyle w:val="TOC1"/>
        <w:ind w:left="567" w:hanging="567"/>
        <w:jc w:val="left"/>
        <w:rPr>
          <w:rFonts w:asciiTheme="minorHAnsi" w:eastAsiaTheme="minorEastAsia" w:hAnsiTheme="minorHAnsi" w:cstheme="minorBidi"/>
          <w:noProof/>
        </w:rPr>
      </w:pPr>
      <w:hyperlink w:anchor="_Toc229140657" w:history="1">
        <w:r w:rsidRPr="007E618C">
          <w:rPr>
            <w:rStyle w:val="Hyperlink"/>
            <w:noProof/>
          </w:rPr>
          <w:t>5.</w:t>
        </w:r>
        <w:r>
          <w:rPr>
            <w:rFonts w:asciiTheme="minorHAnsi" w:eastAsiaTheme="minorEastAsia" w:hAnsiTheme="minorHAnsi" w:cstheme="minorBidi"/>
            <w:noProof/>
          </w:rPr>
          <w:tab/>
        </w:r>
        <w:r w:rsidR="00CF2908" w:rsidRPr="00CF2908">
          <w:rPr>
            <w:rStyle w:val="Hyperlink"/>
            <w:noProof/>
          </w:rPr>
          <w:t>EKSTERNE FORBINDELSER</w:t>
        </w:r>
        <w:r>
          <w:rPr>
            <w:noProof/>
            <w:webHidden/>
          </w:rPr>
          <w:tab/>
        </w:r>
        <w:r>
          <w:rPr>
            <w:noProof/>
            <w:webHidden/>
          </w:rPr>
          <w:fldChar w:fldCharType="begin"/>
        </w:r>
        <w:r>
          <w:rPr>
            <w:noProof/>
            <w:webHidden/>
          </w:rPr>
          <w:instrText xml:space="preserve"> PAGEREF _Toc229140657 \h </w:instrText>
        </w:r>
        <w:r>
          <w:rPr>
            <w:noProof/>
            <w:webHidden/>
          </w:rPr>
        </w:r>
        <w:r>
          <w:rPr>
            <w:noProof/>
            <w:webHidden/>
          </w:rPr>
          <w:fldChar w:fldCharType="separate"/>
        </w:r>
        <w:r w:rsidR="00B2085D">
          <w:rPr>
            <w:noProof/>
            <w:webHidden/>
          </w:rPr>
          <w:t>31</w:t>
        </w:r>
        <w:r>
          <w:rPr>
            <w:noProof/>
            <w:webHidden/>
          </w:rPr>
          <w:fldChar w:fldCharType="end"/>
        </w:r>
      </w:hyperlink>
    </w:p>
    <w:p w14:paraId="4714B99D" w14:textId="02B7FA31" w:rsidR="00A067F3" w:rsidRDefault="00A067F3" w:rsidP="00B2085D">
      <w:pPr>
        <w:pStyle w:val="TOC1"/>
        <w:ind w:left="567" w:hanging="567"/>
        <w:jc w:val="left"/>
        <w:rPr>
          <w:rFonts w:asciiTheme="minorHAnsi" w:eastAsiaTheme="minorEastAsia" w:hAnsiTheme="minorHAnsi" w:cstheme="minorBidi"/>
          <w:noProof/>
        </w:rPr>
      </w:pPr>
      <w:hyperlink w:anchor="_Toc229140659" w:history="1">
        <w:r w:rsidRPr="007E618C">
          <w:rPr>
            <w:rStyle w:val="Hyperlink"/>
            <w:noProof/>
          </w:rPr>
          <w:t>6.</w:t>
        </w:r>
        <w:r>
          <w:rPr>
            <w:rFonts w:asciiTheme="minorHAnsi" w:eastAsiaTheme="minorEastAsia" w:hAnsiTheme="minorHAnsi" w:cstheme="minorBidi"/>
            <w:noProof/>
          </w:rPr>
          <w:tab/>
        </w:r>
        <w:r w:rsidR="00CF2908" w:rsidRPr="00CF2908">
          <w:rPr>
            <w:rStyle w:val="Hyperlink"/>
            <w:noProof/>
          </w:rPr>
          <w:t>DEN RÅDGIVENDE KOMMISSION FOR INDUSTRIELLE ÆNDRINGER</w:t>
        </w:r>
        <w:r>
          <w:rPr>
            <w:noProof/>
            <w:webHidden/>
          </w:rPr>
          <w:tab/>
        </w:r>
        <w:r>
          <w:rPr>
            <w:noProof/>
            <w:webHidden/>
          </w:rPr>
          <w:fldChar w:fldCharType="begin"/>
        </w:r>
        <w:r>
          <w:rPr>
            <w:noProof/>
            <w:webHidden/>
          </w:rPr>
          <w:instrText xml:space="preserve"> PAGEREF _Toc229140659 \h </w:instrText>
        </w:r>
        <w:r>
          <w:rPr>
            <w:noProof/>
            <w:webHidden/>
          </w:rPr>
        </w:r>
        <w:r>
          <w:rPr>
            <w:noProof/>
            <w:webHidden/>
          </w:rPr>
          <w:fldChar w:fldCharType="separate"/>
        </w:r>
        <w:r w:rsidR="00B2085D">
          <w:rPr>
            <w:noProof/>
            <w:webHidden/>
          </w:rPr>
          <w:t>34</w:t>
        </w:r>
        <w:r>
          <w:rPr>
            <w:noProof/>
            <w:webHidden/>
          </w:rPr>
          <w:fldChar w:fldCharType="end"/>
        </w:r>
      </w:hyperlink>
    </w:p>
    <w:p w14:paraId="4982DD6B" w14:textId="0121901C" w:rsidR="004D7AC0" w:rsidRDefault="00A067F3" w:rsidP="00B2085D">
      <w:pPr>
        <w:jc w:val="left"/>
      </w:pPr>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29140653"/>
      <w:r>
        <w:lastRenderedPageBreak/>
        <w:t>DEN ØKONOMISKE OG MONETÆRE UNION OG ØKONOMISK OG SOCIAL SAMHØRIGHED</w:t>
      </w:r>
      <w:bookmarkEnd w:id="0"/>
    </w:p>
    <w:p w14:paraId="4982DD6E" w14:textId="77777777" w:rsidR="004D7AC0" w:rsidRDefault="004D7AC0" w:rsidP="001766B2"/>
    <w:p w14:paraId="258C871E" w14:textId="600FF6C6" w:rsidR="00F37962" w:rsidRPr="004C6742" w:rsidRDefault="003A5271"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EU's politiske dagsorden for byer, hvor det er godt at bo</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Ordfører</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Medordfører</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(Arbejdstagergruppen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 xml:space="preserve">Roman </w:t>
            </w:r>
            <w:proofErr w:type="spellStart"/>
            <w:r>
              <w:t>Haken</w:t>
            </w:r>
            <w:proofErr w:type="spellEnd"/>
            <w:r>
              <w:t xml:space="preserve"> (Gruppen af civilsamfundsorganisationer – </w:t>
            </w:r>
            <w:proofErr w:type="spellStart"/>
            <w:r>
              <w:t>CZ</w:t>
            </w:r>
            <w:proofErr w:type="spellEnd"/>
            <w:r>
              <w:t>)</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Ref.</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proofErr w:type="gramStart"/>
            <w:r>
              <w:t>COM(</w:t>
            </w:r>
            <w:proofErr w:type="gramEnd"/>
            <w:r>
              <w:t>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proofErr w:type="spellStart"/>
            <w:r>
              <w:t>EESC</w:t>
            </w:r>
            <w:proofErr w:type="spellEnd"/>
            <w:r>
              <w:t>-2025-04288-00-00-AC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Hovedpunkter</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proofErr w:type="spellStart"/>
      <w:r>
        <w:t>EØSU</w:t>
      </w:r>
      <w:proofErr w:type="spellEnd"/>
      <w:r>
        <w:t>:</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anser byerne for at være rygraden i Den Europæiske Unions økonomiske, sociale og territoriale udvikling. De er vigtige rum for social, grøn og økonomisk omstilling, hvor innovation bør rettes mod at forbedre livskvaliteten</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glæder sig over Kommissionens mangesidede tilgang og planer om at styrke EU's dagsorden for byer og den overordnede vision om velstående og inkluderende byer, hvor det er godt at bo, men mener ikke, at den foreslåede dagsorden endnu matcher de erklærede ambitioner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anbefaler, at udvalget formelt inddrages i den foreslåede EU-dagsorden for byer sammen med Regionsudvalget for at afspejle EØSU's anerkendte formelle rolle i Ljubljanaaftalen og Amsterdampagten samt udvalgets aktive deltagelse inden for alle områder af dagsordenen for byerne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foreslår, at EU's dagsorden for byer forankres solidt i flerniveaustyring, partnerskabsprincippet og en stedbaseret tilgang. Den skal sikre territorial udvikling i balance og styrke den sociale og civile dialog</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opfordrer derfor Kommissionen til:</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formelt at anerkende både </w:t>
      </w:r>
      <w:proofErr w:type="spellStart"/>
      <w:r>
        <w:t>EØSU</w:t>
      </w:r>
      <w:proofErr w:type="spellEnd"/>
      <w:r>
        <w:t xml:space="preserve"> og byerne som ligeværdige partnere i EU's bypolitik og ikke blot som gennemførelsesaktører ved at etablere permanente og strukturerede ordninger for flerniveaustyring</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at styrke partnerskabsprincippet ved at sikre systematisk og meningsfuld inddragelse af det organiserede civilsamfund og arbejdsmarkedets parter i hele politikcyklussen for EU's dagsorden for byer</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at udstyre EU's dagsorden for byer med en konkret og operationel handlingsramme, herunder klart definerede ansvarsområder, tidsfrister og målbare indikatorer, og indføre systematiske territoriale konsekvensanalyser for at evaluere EU-lovgivningens indvirkning på byer</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at sikre tilstrækkelig, forudsigelig og tilgængelig finansiering til byudvikling, herunder direkte adgang for byer til EU-finansiering</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at fremme en integreret, projektorienteret og stedbaseret tilgang til territorial samhørighed, der udtrykkeligt styrker komplementariteten mellem byer og landdistrikter</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 xml:space="preserve">at udvikle en </w:t>
      </w:r>
      <w:proofErr w:type="spellStart"/>
      <w:r>
        <w:t>byorienteret</w:t>
      </w:r>
      <w:proofErr w:type="spellEnd"/>
      <w:r>
        <w:t xml:space="preserve"> dialog på EU-plan inden for rammerne af EU </w:t>
      </w:r>
      <w:proofErr w:type="spellStart"/>
      <w:r>
        <w:t>Cities</w:t>
      </w:r>
      <w:proofErr w:type="spellEnd"/>
      <w:r>
        <w:t>-platformen, der skal rette lyset mod betydningen af den sociale og civile dialog for beskæftigelsesrelaterede spørgsmål</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at øge fonden for teknisk bistand til byer og iværksætte et specifikt europæisk initiativ eller en særlig europæisk fond med direkte fokus på projekter i byer</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at foreslå klare høringsstandarder for at sikre meningsfuld, rettidig og repræsentativ inddragelse af arbejdsmarkedets parter og civilsamfundet på alle niveauer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at etablere en fælles ramme på EU-plan for indsamling og rapportering af data fra byer for at sikre, at indikatorerne er sammenlignelige, og at overvågningen er effektiv på tværs af medlemsstaterne.</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at anerkende boliger som et strukturelt socialt og økonomisk spørgsmål snarere end et resultat af markedet og til at etablere en EU-ramme, som sikrer adgang til betalbare boliger</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mener, at den væsentligste mekanisme til at implementere EU-midlerne til samhørighedspolitikken på en integreret og stedbaseret måde er lokaludvikling styret af lokalsamfundet (</w:t>
      </w:r>
      <w:proofErr w:type="spellStart"/>
      <w:r>
        <w:t>CLLD</w:t>
      </w:r>
      <w:proofErr w:type="spellEnd"/>
      <w:r>
        <w:t xml:space="preserve">). </w:t>
      </w:r>
      <w:proofErr w:type="spellStart"/>
      <w:r>
        <w:t>CLLD</w:t>
      </w:r>
      <w:proofErr w:type="spellEnd"/>
      <w:r>
        <w:t>-U (lokaludvikling styret af lokalsamfundet i byområder) skal i byer og byområder videreudvikles fra den nuværende pilotstatus og anerkendes som et af de mest effektive redskaber til at aktivere lokalsamfund, skabe beskæftigelse, styrke socialøkonomien og engagere interessenter</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mener, at der bør indføres en særlig foranstaltning for at konsolidere </w:t>
      </w:r>
      <w:proofErr w:type="spellStart"/>
      <w:r>
        <w:t>CLLD</w:t>
      </w:r>
      <w:proofErr w:type="spellEnd"/>
      <w:r>
        <w:t xml:space="preserve">-U i fremtiden og sikre formel integration i beslutningsprocesserne på EU-plan og i målrettede tekniske høringer med eksperter.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Kontakt</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Tlf.</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00 32 2 546 97 95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E-mail</w:t>
            </w:r>
          </w:p>
        </w:tc>
        <w:tc>
          <w:tcPr>
            <w:tcW w:w="7904" w:type="dxa"/>
          </w:tcPr>
          <w:p w14:paraId="122227DF" w14:textId="77777777" w:rsidR="00F37962" w:rsidRPr="00E129EB" w:rsidRDefault="003A5271" w:rsidP="002E7EFB">
            <w:pPr>
              <w:overflowPunct w:val="0"/>
              <w:autoSpaceDE w:val="0"/>
              <w:autoSpaceDN w:val="0"/>
              <w:adjustRightInd w:val="0"/>
              <w:textAlignment w:val="baseline"/>
              <w:rPr>
                <w:i/>
                <w:iCs/>
              </w:rPr>
            </w:pPr>
            <w:hyperlink r:id="rId22" w:history="1">
              <w:proofErr w:type="spellStart"/>
              <w:r>
                <w:rPr>
                  <w:i/>
                  <w:color w:val="0000FF"/>
                  <w:u w:val="single"/>
                </w:rPr>
                <w:t>Georgios.Meleas@eesc.europa.eu</w:t>
              </w:r>
              <w:proofErr w:type="spellEnd"/>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611BE12E" w:rsidR="00F37962" w:rsidRDefault="00A067F3" w:rsidP="0050478A">
      <w:pPr>
        <w:widowControl w:val="0"/>
        <w:numPr>
          <w:ilvl w:val="0"/>
          <w:numId w:val="4"/>
        </w:numPr>
        <w:overflowPunct w:val="0"/>
        <w:autoSpaceDE w:val="0"/>
        <w:autoSpaceDN w:val="0"/>
        <w:adjustRightInd w:val="0"/>
        <w:spacing w:line="240" w:lineRule="auto"/>
        <w:ind w:hanging="567"/>
        <w:textAlignment w:val="baseline"/>
      </w:pPr>
      <w:hyperlink r:id="rId23" w:history="1">
        <w:r>
          <w:rPr>
            <w:b/>
            <w:i/>
            <w:color w:val="0000FF"/>
            <w:sz w:val="28"/>
            <w:u w:val="single"/>
          </w:rPr>
          <w:t xml:space="preserve">Pakke om supplerende pensioner: </w:t>
        </w:r>
        <w:proofErr w:type="spellStart"/>
        <w:r>
          <w:rPr>
            <w:b/>
            <w:i/>
            <w:color w:val="0000FF"/>
            <w:sz w:val="28"/>
            <w:u w:val="single"/>
          </w:rPr>
          <w:t>PEPP</w:t>
        </w:r>
        <w:proofErr w:type="spellEnd"/>
        <w:r>
          <w:rPr>
            <w:b/>
            <w:i/>
            <w:color w:val="0000FF"/>
            <w:sz w:val="28"/>
            <w:u w:val="single"/>
          </w:rPr>
          <w:t xml:space="preserve">-produkter og </w:t>
        </w:r>
        <w:proofErr w:type="spellStart"/>
        <w:r>
          <w:rPr>
            <w:b/>
            <w:i/>
            <w:color w:val="0000FF"/>
            <w:sz w:val="28"/>
            <w:u w:val="single"/>
          </w:rPr>
          <w:t>IORP'er</w:t>
        </w:r>
        <w:proofErr w:type="spellEnd"/>
      </w:hyperlink>
    </w:p>
    <w:p w14:paraId="3E579047" w14:textId="77777777" w:rsidR="00F37962" w:rsidRPr="00EA652D" w:rsidRDefault="00F37962" w:rsidP="0050478A">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F37962" w:rsidRPr="009360D7" w14:paraId="0DA0566E" w14:textId="77777777" w:rsidTr="002E7EFB">
        <w:tc>
          <w:tcPr>
            <w:tcW w:w="1077" w:type="pct"/>
          </w:tcPr>
          <w:p w14:paraId="4046C9F6" w14:textId="77777777" w:rsidR="00F37962" w:rsidRPr="009360D7" w:rsidRDefault="00F37962" w:rsidP="0050478A">
            <w:pPr>
              <w:tabs>
                <w:tab w:val="center" w:pos="284"/>
              </w:tabs>
              <w:overflowPunct w:val="0"/>
              <w:autoSpaceDE w:val="0"/>
              <w:autoSpaceDN w:val="0"/>
              <w:adjustRightInd w:val="0"/>
              <w:spacing w:line="240" w:lineRule="auto"/>
              <w:ind w:left="266" w:hanging="266"/>
              <w:textAlignment w:val="baseline"/>
              <w:rPr>
                <w:b/>
              </w:rPr>
            </w:pPr>
            <w:r>
              <w:rPr>
                <w:b/>
              </w:rPr>
              <w:t>Ordfører</w:t>
            </w:r>
          </w:p>
        </w:tc>
        <w:tc>
          <w:tcPr>
            <w:tcW w:w="3923" w:type="pct"/>
          </w:tcPr>
          <w:p w14:paraId="76BEB7DB" w14:textId="53F5F0D5" w:rsidR="00F37962" w:rsidRPr="009360D7" w:rsidRDefault="00F37962" w:rsidP="0050478A">
            <w:pPr>
              <w:tabs>
                <w:tab w:val="center" w:pos="284"/>
              </w:tabs>
              <w:overflowPunct w:val="0"/>
              <w:autoSpaceDE w:val="0"/>
              <w:autoSpaceDN w:val="0"/>
              <w:adjustRightInd w:val="0"/>
              <w:spacing w:line="240" w:lineRule="auto"/>
              <w:ind w:left="550" w:right="-3091" w:hanging="266"/>
              <w:textAlignment w:val="baseline"/>
            </w:pPr>
            <w:r>
              <w:t xml:space="preserve">María del Carmen </w:t>
            </w:r>
            <w:proofErr w:type="spellStart"/>
            <w:r>
              <w:t>Barrera</w:t>
            </w:r>
            <w:proofErr w:type="spellEnd"/>
            <w:r>
              <w:t xml:space="preserve"> </w:t>
            </w:r>
            <w:proofErr w:type="spellStart"/>
            <w:r>
              <w:t>Chamorro</w:t>
            </w:r>
            <w:proofErr w:type="spellEnd"/>
            <w:r>
              <w:t xml:space="preserve"> (Arbejdstagergruppen – ES)</w:t>
            </w:r>
          </w:p>
        </w:tc>
      </w:tr>
      <w:tr w:rsidR="00F37962" w:rsidRPr="0050478A" w14:paraId="68747D90" w14:textId="77777777" w:rsidTr="002E7EFB">
        <w:tc>
          <w:tcPr>
            <w:tcW w:w="1077" w:type="pct"/>
          </w:tcPr>
          <w:p w14:paraId="5B2075D4" w14:textId="77777777" w:rsidR="00F37962" w:rsidRPr="0050478A" w:rsidRDefault="00F37962" w:rsidP="0050478A">
            <w:pPr>
              <w:tabs>
                <w:tab w:val="center" w:pos="284"/>
              </w:tabs>
              <w:overflowPunct w:val="0"/>
              <w:autoSpaceDE w:val="0"/>
              <w:autoSpaceDN w:val="0"/>
              <w:adjustRightInd w:val="0"/>
              <w:spacing w:line="240" w:lineRule="auto"/>
              <w:ind w:left="266" w:hanging="266"/>
              <w:textAlignment w:val="baseline"/>
              <w:rPr>
                <w:b/>
                <w:sz w:val="14"/>
                <w:szCs w:val="14"/>
                <w:lang w:val="es-ES"/>
              </w:rPr>
            </w:pPr>
          </w:p>
        </w:tc>
        <w:tc>
          <w:tcPr>
            <w:tcW w:w="3923" w:type="pct"/>
          </w:tcPr>
          <w:p w14:paraId="075524E1" w14:textId="77777777" w:rsidR="00F37962" w:rsidRPr="0050478A" w:rsidRDefault="00F37962" w:rsidP="0050478A">
            <w:pPr>
              <w:tabs>
                <w:tab w:val="center" w:pos="284"/>
              </w:tabs>
              <w:overflowPunct w:val="0"/>
              <w:autoSpaceDE w:val="0"/>
              <w:autoSpaceDN w:val="0"/>
              <w:adjustRightInd w:val="0"/>
              <w:spacing w:line="240" w:lineRule="auto"/>
              <w:ind w:left="266" w:right="-3091" w:hanging="266"/>
              <w:textAlignment w:val="baseline"/>
              <w:rPr>
                <w:sz w:val="14"/>
                <w:szCs w:val="14"/>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Ref.</w:t>
            </w:r>
          </w:p>
        </w:tc>
        <w:tc>
          <w:tcPr>
            <w:tcW w:w="3923" w:type="pct"/>
          </w:tcPr>
          <w:p w14:paraId="5F2CC97B" w14:textId="6D8440E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proofErr w:type="gramStart"/>
            <w:r>
              <w:t>COM(</w:t>
            </w:r>
            <w:proofErr w:type="gramEnd"/>
            <w:r>
              <w:t xml:space="preserve">2025) 839 final </w:t>
            </w:r>
            <w:r w:rsidR="00EA652D">
              <w:t xml:space="preserve">– </w:t>
            </w:r>
            <w:proofErr w:type="gramStart"/>
            <w:r>
              <w:t>COM(</w:t>
            </w:r>
            <w:proofErr w:type="gramEnd"/>
            <w:r>
              <w:t xml:space="preserve">2025) 840 final </w:t>
            </w:r>
            <w:r w:rsidR="00EA652D">
              <w:t xml:space="preserve">– </w:t>
            </w:r>
            <w:proofErr w:type="gramStart"/>
            <w:r>
              <w:t>COM(</w:t>
            </w:r>
            <w:proofErr w:type="gramEnd"/>
            <w:r>
              <w:t>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proofErr w:type="spellStart"/>
            <w:r>
              <w:t>EESC</w:t>
            </w:r>
            <w:proofErr w:type="spellEnd"/>
            <w:r>
              <w:t>-2025-04204-00-00-AC</w:t>
            </w:r>
          </w:p>
        </w:tc>
      </w:tr>
    </w:tbl>
    <w:p w14:paraId="55E7B99C" w14:textId="2C46A19E" w:rsidR="00F37962" w:rsidRPr="00EA652D" w:rsidRDefault="00F37962" w:rsidP="0050478A">
      <w:pPr>
        <w:tabs>
          <w:tab w:val="center" w:pos="284"/>
        </w:tabs>
        <w:overflowPunct w:val="0"/>
        <w:autoSpaceDE w:val="0"/>
        <w:autoSpaceDN w:val="0"/>
        <w:adjustRightInd w:val="0"/>
        <w:spacing w:line="240" w:lineRule="auto"/>
        <w:ind w:left="266" w:hanging="266"/>
        <w:textAlignment w:val="baseline"/>
        <w:rPr>
          <w:b/>
          <w:sz w:val="14"/>
          <w:szCs w:val="14"/>
          <w:lang w:val="pt-PT"/>
        </w:rPr>
      </w:pPr>
    </w:p>
    <w:p w14:paraId="35C86E76" w14:textId="77777777" w:rsidR="00F37962" w:rsidRPr="0050478A" w:rsidRDefault="00F37962" w:rsidP="0050478A">
      <w:pPr>
        <w:keepNext/>
        <w:keepLines/>
        <w:tabs>
          <w:tab w:val="center" w:pos="284"/>
        </w:tabs>
        <w:overflowPunct w:val="0"/>
        <w:autoSpaceDE w:val="0"/>
        <w:autoSpaceDN w:val="0"/>
        <w:adjustRightInd w:val="0"/>
        <w:spacing w:line="240" w:lineRule="auto"/>
        <w:ind w:left="266" w:hanging="266"/>
        <w:textAlignment w:val="baseline"/>
        <w:rPr>
          <w:b/>
        </w:rPr>
      </w:pPr>
      <w:r w:rsidRPr="0050478A">
        <w:rPr>
          <w:b/>
        </w:rPr>
        <w:t>Hovedpunkter</w:t>
      </w:r>
    </w:p>
    <w:p w14:paraId="65428812" w14:textId="77777777" w:rsidR="00F37962" w:rsidRPr="00EA652D" w:rsidRDefault="00F37962" w:rsidP="0050478A">
      <w:pPr>
        <w:keepNext/>
        <w:keepLines/>
        <w:tabs>
          <w:tab w:val="center" w:pos="284"/>
        </w:tabs>
        <w:overflowPunct w:val="0"/>
        <w:autoSpaceDE w:val="0"/>
        <w:autoSpaceDN w:val="0"/>
        <w:adjustRightInd w:val="0"/>
        <w:spacing w:line="240" w:lineRule="auto"/>
        <w:ind w:left="266" w:hanging="266"/>
        <w:textAlignment w:val="baseline"/>
        <w:rPr>
          <w:b/>
          <w:sz w:val="14"/>
          <w:szCs w:val="14"/>
          <w:lang w:val="en-GB"/>
        </w:rPr>
      </w:pPr>
    </w:p>
    <w:p w14:paraId="446B0743" w14:textId="77777777" w:rsidR="00F37962" w:rsidRDefault="00F37962" w:rsidP="00F37962">
      <w:pPr>
        <w:overflowPunct w:val="0"/>
        <w:autoSpaceDE w:val="0"/>
        <w:autoSpaceDN w:val="0"/>
        <w:adjustRightInd w:val="0"/>
        <w:textAlignment w:val="baseline"/>
        <w:rPr>
          <w:bCs/>
          <w:iCs/>
        </w:rPr>
      </w:pPr>
      <w:proofErr w:type="spellStart"/>
      <w:r>
        <w:t>EØSU</w:t>
      </w:r>
      <w:proofErr w:type="spellEnd"/>
      <w:r>
        <w:t>:</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anerkender</w:t>
      </w:r>
      <w:r>
        <w:t xml:space="preserve"> fordelene ved et </w:t>
      </w:r>
      <w:r>
        <w:rPr>
          <w:b/>
        </w:rPr>
        <w:t>system med flere søjler</w:t>
      </w:r>
      <w:r>
        <w:t xml:space="preserve">, og mener, at de supplerende pensioner hverken direkte eller indirekte må bruges som begrundelse for at svække de offentlige pensioner. På den måde sikres det, at borgere i hele EU kan gå på pension med værdighed, sikkerhed og en tilstrækkelig pension. Der er </w:t>
      </w:r>
      <w:r>
        <w:rPr>
          <w:b/>
        </w:rPr>
        <w:t>brug for en helhedsorienteret tilgang</w:t>
      </w:r>
      <w:r>
        <w:t xml:space="preserve"> på det rette niveau – nationalt eller europæisk plan – der omfatter, at arbejdsmarkedet og det supplerende pensionssystem forbedres</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w:t>
      </w:r>
      <w:r>
        <w:t xml:space="preserve"> passende foranstaltninger til at </w:t>
      </w:r>
      <w:r>
        <w:rPr>
          <w:b/>
        </w:rPr>
        <w:t>styrke deltagelsesbaseret forvaltning</w:t>
      </w:r>
      <w:r>
        <w:t xml:space="preserve"> og fremme inddragelsen af arbejdsmarkedets parter, så man bevarer deres forhandlingsfrihed og sikrer de forskellige nationale arbejdsmarkedsordninger</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w:t>
      </w:r>
      <w:r>
        <w:t xml:space="preserve"> specifikke ændringer af </w:t>
      </w:r>
      <w:proofErr w:type="spellStart"/>
      <w:r>
        <w:rPr>
          <w:b/>
        </w:rPr>
        <w:t>IORP</w:t>
      </w:r>
      <w:proofErr w:type="spellEnd"/>
      <w:r>
        <w:rPr>
          <w:b/>
        </w:rPr>
        <w:t>-direktivet</w:t>
      </w:r>
      <w:r>
        <w:t xml:space="preserve"> for at mindske fragmenteringen, øge sammenligneligheden og gennemsigtigheden og sikre medlemmernes tillid</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w:t>
      </w:r>
      <w:r>
        <w:t xml:space="preserve"> specifikke ændringer af </w:t>
      </w:r>
      <w:proofErr w:type="spellStart"/>
      <w:r>
        <w:rPr>
          <w:b/>
        </w:rPr>
        <w:t>PEPP</w:t>
      </w:r>
      <w:proofErr w:type="spellEnd"/>
      <w:r>
        <w:rPr>
          <w:b/>
        </w:rPr>
        <w:t>-forordningen</w:t>
      </w:r>
      <w:r>
        <w:t xml:space="preserve">, herunder om information og rådgivning, </w:t>
      </w:r>
      <w:proofErr w:type="spellStart"/>
      <w:r>
        <w:t>EIOPA's</w:t>
      </w:r>
      <w:proofErr w:type="spellEnd"/>
      <w:r>
        <w:t xml:space="preserve"> rolle og om grænseoverskridende overførsler</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w:t>
      </w:r>
      <w:r>
        <w:t xml:space="preserve"> foranstaltninger til en bedre </w:t>
      </w:r>
      <w:r>
        <w:rPr>
          <w:b/>
        </w:rPr>
        <w:t>kønsbalance</w:t>
      </w:r>
      <w:r>
        <w:t xml:space="preserve"> og til at</w:t>
      </w:r>
      <w:r>
        <w:rPr>
          <w:b/>
        </w:rPr>
        <w:t xml:space="preserve"> styrke offentlighedens tillid</w:t>
      </w:r>
      <w:r>
        <w:t xml:space="preserve"> til pensionsprodukter, og at </w:t>
      </w:r>
      <w:proofErr w:type="spellStart"/>
      <w:r>
        <w:rPr>
          <w:b/>
        </w:rPr>
        <w:t>PEPP</w:t>
      </w:r>
      <w:proofErr w:type="spellEnd"/>
      <w:r>
        <w:rPr>
          <w:b/>
        </w:rPr>
        <w:t>-produkter forbliver individuelle</w:t>
      </w:r>
      <w:r>
        <w:t>, samt at forbyde kollektive indkøb</w:t>
      </w:r>
    </w:p>
    <w:p w14:paraId="3F455E5B" w14:textId="6035C78C"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opfordrer</w:t>
      </w:r>
      <w:r>
        <w:t xml:space="preserve"> fælleslovgiverne til at overveje at</w:t>
      </w:r>
      <w:r>
        <w:rPr>
          <w:b/>
        </w:rPr>
        <w:t xml:space="preserve"> omformulere "</w:t>
      </w:r>
      <w:proofErr w:type="spellStart"/>
      <w:r>
        <w:rPr>
          <w:b/>
        </w:rPr>
        <w:t>prudent</w:t>
      </w:r>
      <w:proofErr w:type="spellEnd"/>
      <w:r>
        <w:rPr>
          <w:b/>
        </w:rPr>
        <w:t xml:space="preserve"> person"-princippet</w:t>
      </w:r>
      <w:r>
        <w:t xml:space="preserve"> i </w:t>
      </w:r>
      <w:proofErr w:type="spellStart"/>
      <w:r>
        <w:t>IORP</w:t>
      </w:r>
      <w:proofErr w:type="spellEnd"/>
      <w:r w:rsidR="00EA652D">
        <w:noBreakHyphen/>
      </w:r>
      <w:r>
        <w:t xml:space="preserve">direktivet for at </w:t>
      </w:r>
      <w:r>
        <w:rPr>
          <w:b/>
        </w:rPr>
        <w:t>opnå den rette balance</w:t>
      </w:r>
      <w:r>
        <w:t xml:space="preserve"> mellem investeringsrisiko og sikring af de indbetalte beløb</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w:t>
      </w:r>
      <w:r>
        <w:t xml:space="preserve">, at den </w:t>
      </w:r>
      <w:r>
        <w:rPr>
          <w:b/>
        </w:rPr>
        <w:t>automatiske tilmelding</w:t>
      </w:r>
      <w:r>
        <w:t xml:space="preserve"> først gennemføres efter en styrket </w:t>
      </w:r>
      <w:r>
        <w:rPr>
          <w:b/>
        </w:rPr>
        <w:t>social dialog</w:t>
      </w:r>
      <w:r>
        <w:t xml:space="preserve"> og kollektive overenskomstforhandlinger, hvor det er relevant, så arbejdsmarkedets parters frihed til at forhandle og udforme og træffe afgørelse om automatisk tilmelding bevares</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w:t>
      </w:r>
      <w:r>
        <w:t xml:space="preserve">, at Kommissionen nedsætter et </w:t>
      </w:r>
      <w:r>
        <w:rPr>
          <w:b/>
        </w:rPr>
        <w:t>udvalg</w:t>
      </w:r>
      <w:r>
        <w:t xml:space="preserve"> til effektivt at </w:t>
      </w:r>
      <w:r>
        <w:rPr>
          <w:b/>
        </w:rPr>
        <w:t>overvåge fremskridtene med hensyn til supplerende pensioner</w:t>
      </w:r>
      <w:r>
        <w:t xml:space="preserve">. Udvalget bør omfatte offentlige myndigheder, arbejdsmarkedets parter og civilsamfundsorganisationer. Dets arbejde bør </w:t>
      </w:r>
      <w:r>
        <w:rPr>
          <w:b/>
        </w:rPr>
        <w:t>danne grundlag</w:t>
      </w:r>
      <w:r>
        <w:t xml:space="preserve"> for fremtidige lovgivningsmæssige ændringer og bidrage til arbejdet i det europæiske semester og Rådet</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 foranstaltninger</w:t>
      </w:r>
      <w:r>
        <w:t xml:space="preserve"> til at </w:t>
      </w:r>
      <w:r>
        <w:rPr>
          <w:b/>
        </w:rPr>
        <w:t>afbøde</w:t>
      </w:r>
      <w:r>
        <w:t xml:space="preserve"> potentielle virkninger på pensionerne, for så vidt angår </w:t>
      </w:r>
      <w:r>
        <w:rPr>
          <w:b/>
        </w:rPr>
        <w:t>bæredygtighed</w:t>
      </w:r>
      <w:r>
        <w:t xml:space="preserve">, og på </w:t>
      </w:r>
      <w:r>
        <w:rPr>
          <w:b/>
        </w:rPr>
        <w:t>fattigdom</w:t>
      </w:r>
      <w:r>
        <w:t xml:space="preserve"> og </w:t>
      </w:r>
      <w:r>
        <w:rPr>
          <w:b/>
        </w:rPr>
        <w:t>ulighed</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anbefaler</w:t>
      </w:r>
      <w:r>
        <w:t xml:space="preserve"> at fuldføre det arbejde, der udføres med at koordinere </w:t>
      </w:r>
      <w:r>
        <w:rPr>
          <w:b/>
        </w:rPr>
        <w:t>digitaliseringen af de europæiske sociale sikringsordninger</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t>understreger</w:t>
      </w:r>
      <w:r>
        <w:t xml:space="preserve">, at der er behov for </w:t>
      </w:r>
      <w:r>
        <w:rPr>
          <w:b/>
        </w:rPr>
        <w:t>oplysning om finansielle forhold</w:t>
      </w:r>
      <w:r>
        <w:t xml:space="preserve"> med brugervenlige </w:t>
      </w:r>
      <w:r>
        <w:rPr>
          <w:b/>
        </w:rPr>
        <w:t>overvågningsværktøjer</w:t>
      </w:r>
      <w:r>
        <w:t xml:space="preserve"> og </w:t>
      </w:r>
      <w:r>
        <w:rPr>
          <w:b/>
        </w:rPr>
        <w:t>adgang til vejledning og rådgivning, når man skal træffe beslutninger</w:t>
      </w:r>
      <w:r>
        <w:t>.</w:t>
      </w:r>
    </w:p>
    <w:p w14:paraId="029BFBEF" w14:textId="77777777" w:rsidR="00613302" w:rsidRPr="008628F0" w:rsidRDefault="00613302" w:rsidP="0050478A">
      <w:pPr>
        <w:widowControl w:val="0"/>
        <w:overflowPunct w:val="0"/>
        <w:autoSpaceDE w:val="0"/>
        <w:autoSpaceDN w:val="0"/>
        <w:adjustRightInd w:val="0"/>
        <w:spacing w:line="240" w:lineRule="auto"/>
        <w:ind w:left="709"/>
        <w:textAlignment w:val="baseline"/>
        <w:rPr>
          <w:sz w:val="18"/>
          <w:szCs w:val="16"/>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F37962" w:rsidRPr="009360D7" w14:paraId="2F150675" w14:textId="77777777" w:rsidTr="0050478A">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t>Kontakt</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00F37962" w:rsidRPr="009360D7" w14:paraId="6F824D39" w14:textId="77777777" w:rsidTr="0050478A">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Tlf.</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00 32 2 546 92 40</w:t>
            </w:r>
          </w:p>
        </w:tc>
      </w:tr>
      <w:tr w:rsidR="00F37962" w:rsidRPr="009360D7" w14:paraId="4CBC8AD0" w14:textId="77777777" w:rsidTr="0050478A">
        <w:tc>
          <w:tcPr>
            <w:tcW w:w="1077" w:type="pct"/>
          </w:tcPr>
          <w:p w14:paraId="74D96EA0" w14:textId="77777777" w:rsidR="00F37962" w:rsidRPr="009360D7" w:rsidRDefault="00F37962" w:rsidP="0050478A">
            <w:pPr>
              <w:overflowPunct w:val="0"/>
              <w:autoSpaceDE w:val="0"/>
              <w:autoSpaceDN w:val="0"/>
              <w:adjustRightInd w:val="0"/>
              <w:spacing w:line="240" w:lineRule="auto"/>
              <w:textAlignment w:val="baseline"/>
              <w:rPr>
                <w:i/>
              </w:rPr>
            </w:pPr>
            <w:r>
              <w:rPr>
                <w:i/>
              </w:rPr>
              <w:t>E-mail</w:t>
            </w:r>
          </w:p>
        </w:tc>
        <w:tc>
          <w:tcPr>
            <w:tcW w:w="3923" w:type="pct"/>
          </w:tcPr>
          <w:p w14:paraId="5475F81E" w14:textId="77777777" w:rsidR="00F37962" w:rsidRPr="009360D7" w:rsidRDefault="003A5271" w:rsidP="0050478A">
            <w:pPr>
              <w:overflowPunct w:val="0"/>
              <w:autoSpaceDE w:val="0"/>
              <w:autoSpaceDN w:val="0"/>
              <w:adjustRightInd w:val="0"/>
              <w:spacing w:line="240" w:lineRule="auto"/>
              <w:textAlignment w:val="baseline"/>
              <w:rPr>
                <w:i/>
              </w:rPr>
            </w:pPr>
            <w:hyperlink r:id="rId24" w:history="1">
              <w:proofErr w:type="spellStart"/>
              <w:r>
                <w:rPr>
                  <w:i/>
                  <w:color w:val="0000FF"/>
                  <w:u w:val="single"/>
                </w:rPr>
                <w:t>Sergio.LorencioMatallana@eesc.europa.eu</w:t>
              </w:r>
              <w:proofErr w:type="spellEnd"/>
            </w:hyperlink>
          </w:p>
        </w:tc>
      </w:tr>
    </w:tbl>
    <w:p w14:paraId="4982DD98" w14:textId="6B70BD46" w:rsidR="004D7AC0" w:rsidRPr="00EA652D" w:rsidRDefault="00A067F3" w:rsidP="0050478A">
      <w:pPr>
        <w:spacing w:line="240" w:lineRule="auto"/>
        <w:jc w:val="left"/>
        <w:rPr>
          <w:sz w:val="8"/>
          <w:szCs w:val="8"/>
        </w:rPr>
      </w:pPr>
      <w:r w:rsidRPr="00EA652D">
        <w:rPr>
          <w:sz w:val="8"/>
          <w:szCs w:val="8"/>
        </w:rPr>
        <w:br w:type="page"/>
      </w:r>
    </w:p>
    <w:p w14:paraId="4982DD99" w14:textId="592F9C95" w:rsidR="004D7AC0" w:rsidRDefault="004D7AC0" w:rsidP="004C6742">
      <w:pPr>
        <w:pStyle w:val="Heading2"/>
      </w:pPr>
      <w:bookmarkStart w:id="1" w:name="_Toc75527081"/>
      <w:bookmarkStart w:id="2" w:name="_Toc229140654"/>
      <w:r>
        <w:lastRenderedPageBreak/>
        <w:t>BESKÆFTIGELSE, SOCIALE SPØRGSMÅL OG UNIONSBORGERSKAB</w:t>
      </w:r>
      <w:bookmarkEnd w:id="1"/>
      <w:bookmarkEnd w:id="2"/>
    </w:p>
    <w:p w14:paraId="4982DD9A" w14:textId="77777777" w:rsidR="004D7AC0" w:rsidRDefault="004D7AC0" w:rsidP="001766B2"/>
    <w:p w14:paraId="0FBA9E33" w14:textId="37FB2076" w:rsidR="00943240" w:rsidRPr="00943240"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Forbud mod omvendelsespraksis i Den Europæiske Union</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Ordfører</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 xml:space="preserve">Pascal </w:t>
            </w:r>
            <w:proofErr w:type="spellStart"/>
            <w:r>
              <w:t>Debay</w:t>
            </w:r>
            <w:proofErr w:type="spellEnd"/>
            <w:r>
              <w:t xml:space="preserve"> (Arbejdstagergruppen –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Medordfører</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proofErr w:type="spellStart"/>
            <w:r>
              <w:t>Ionuţ</w:t>
            </w:r>
            <w:proofErr w:type="spellEnd"/>
            <w:r>
              <w:t xml:space="preserve"> </w:t>
            </w:r>
            <w:proofErr w:type="spellStart"/>
            <w:r>
              <w:t>Sibian</w:t>
            </w:r>
            <w:proofErr w:type="spellEnd"/>
            <w:r>
              <w:t xml:space="preserve"> (Gruppen af civilsamfundsorganisationer –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Ref.</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Initiativudtalelse</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proofErr w:type="spellStart"/>
            <w:r>
              <w:t>EESC</w:t>
            </w:r>
            <w:proofErr w:type="spellEnd"/>
            <w:r>
              <w:t>-2025-04295-00-00-AC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Hovedpunkter</w:t>
      </w:r>
    </w:p>
    <w:p w14:paraId="367A8012" w14:textId="77777777" w:rsidR="00943240" w:rsidRPr="00943240" w:rsidRDefault="00943240" w:rsidP="00943240">
      <w:pPr>
        <w:spacing w:before="100" w:beforeAutospacing="1" w:after="100" w:afterAutospacing="1" w:line="240" w:lineRule="auto"/>
        <w:jc w:val="left"/>
        <w:rPr>
          <w:b/>
          <w:bCs/>
        </w:rPr>
      </w:pPr>
      <w:proofErr w:type="spellStart"/>
      <w:r>
        <w:t>EØSU</w:t>
      </w:r>
      <w:proofErr w:type="spellEnd"/>
      <w:r>
        <w:t>:</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fordømmer på det kraftigste alle former for omvendelsespraksis, der har til formål at ændre, undertrykke eller slette en persons seksuelle orientering, kønsidentitet eller kønsudtryk, og betragter dem som en overtrædelse af det absolutte forbud mod tortur og umenneskelig eller nedværdigende behandling eller straf</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 xml:space="preserve">minder om, at forskelsbehandling, vold og tortur rettet mod </w:t>
      </w:r>
      <w:proofErr w:type="spellStart"/>
      <w:r>
        <w:t>LGBTIQ</w:t>
      </w:r>
      <w:proofErr w:type="spellEnd"/>
      <w:r>
        <w:t>+-personer i EU er uforenelig med EU's grundlæggende rettigheder og værdier</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opfordrer Kommissionen til at fremsætte et juridisk bindende forbud mod omvendelsespraksis i hele EU, der omfatter både udførelse af og reklame for sådanne former for praksis, ved at føje omvendelsespraksis til listen over "EU-forbrydelser" og anerkende dem som hadforbrydelser for at sikre et ens beskyttelsesniveau i hele EU</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opfordrer indtrængende til, at forbuddet defineres omfattende og præcist, gældende for både børn og voksne, at det omfatter alle offentlige og private aktører (professionelle og ikkeprofessionelle) og sikrer, at ofre for omvendelsespraksis aldrig pålægges strafferetligt eller civilretligt ansvar</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insisterer på, at forbuddet skal indeholde effektive sanktioner, der står i et rimeligt forhold til overtrædelsen og har afskrækkende virkning samt ligeledes afspejler den alvorlige skade, der forårsages af omvendelsespraksis</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opfordrer til, at kønskarakteristika udtrykkeligt medtages i forbuddets anvendelsesområde for at beskytte interkønnede personer mod ikketerapeutiske indgreb og indgreb uden samtykke ved at gennemtvinge binær kønstilpasning</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 xml:space="preserve">anbefaler, at der iværksættes stærke gennemførelsesforanstaltninger som led i strategien for ligestilling af </w:t>
      </w:r>
      <w:proofErr w:type="spellStart"/>
      <w:r>
        <w:t>LGBTIQ</w:t>
      </w:r>
      <w:proofErr w:type="spellEnd"/>
      <w:r>
        <w:t>+-personer 2026-2030. Disse bør omfatte årlig overvågning, der gennemføres i samråd med det organiserede civilsamfund, øremærkede midler til faglige uddannelses- og ligestillingsorganisationer og EU-støttede uddannelses- og oplysningsinitiativer, som er afgørende for at identificere og udrydde sådanne former for praksis.</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Kontakt</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proofErr w:type="spellStart"/>
            <w:r>
              <w:rPr>
                <w:i/>
              </w:rPr>
              <w:t>Bartek</w:t>
            </w:r>
            <w:proofErr w:type="spellEnd"/>
            <w:r>
              <w:rPr>
                <w:i/>
              </w:rPr>
              <w:t xml:space="preserve"> </w:t>
            </w:r>
            <w:proofErr w:type="spellStart"/>
            <w:r>
              <w:rPr>
                <w:i/>
              </w:rPr>
              <w:t>Bednarowicz</w:t>
            </w:r>
            <w:proofErr w:type="spellEnd"/>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Tlf.</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00 32 2 546 92 29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E-mail</w:t>
            </w:r>
          </w:p>
        </w:tc>
        <w:tc>
          <w:tcPr>
            <w:tcW w:w="4493" w:type="dxa"/>
          </w:tcPr>
          <w:p w14:paraId="33C773EF" w14:textId="77777777" w:rsidR="00943240" w:rsidRPr="00943240" w:rsidRDefault="003A5271" w:rsidP="00943240">
            <w:pPr>
              <w:overflowPunct w:val="0"/>
              <w:autoSpaceDE w:val="0"/>
              <w:autoSpaceDN w:val="0"/>
              <w:adjustRightInd w:val="0"/>
              <w:spacing w:line="240" w:lineRule="auto"/>
              <w:textAlignment w:val="baseline"/>
              <w:rPr>
                <w:i/>
                <w:iCs/>
              </w:rPr>
            </w:pPr>
            <w:hyperlink r:id="rId26" w:history="1">
              <w:proofErr w:type="spellStart"/>
              <w:r>
                <w:rPr>
                  <w:i/>
                  <w:color w:val="0000FF"/>
                  <w:u w:val="single"/>
                </w:rPr>
                <w:t>Bartek.Bednarowicz@eesc.europa.eu</w:t>
              </w:r>
              <w:proofErr w:type="spellEnd"/>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4F902423" w:rsidR="00354B98" w:rsidRPr="00354B98" w:rsidRDefault="003A5271" w:rsidP="00EA652D">
      <w:pPr>
        <w:widowControl w:val="0"/>
        <w:numPr>
          <w:ilvl w:val="0"/>
          <w:numId w:val="10"/>
        </w:numPr>
        <w:overflowPunct w:val="0"/>
        <w:autoSpaceDE w:val="0"/>
        <w:autoSpaceDN w:val="0"/>
        <w:adjustRightInd w:val="0"/>
        <w:spacing w:after="200" w:line="276" w:lineRule="auto"/>
        <w:ind w:left="567" w:hanging="567"/>
        <w:contextualSpacing/>
        <w:textAlignment w:val="baseline"/>
        <w:rPr>
          <w:b/>
          <w:i/>
          <w:sz w:val="28"/>
          <w:szCs w:val="28"/>
        </w:rPr>
      </w:pPr>
      <w:hyperlink r:id="rId27" w:history="1">
        <w:r>
          <w:rPr>
            <w:b/>
            <w:i/>
            <w:color w:val="0000FF"/>
            <w:sz w:val="28"/>
            <w:u w:val="single"/>
          </w:rPr>
          <w:t xml:space="preserve">En Union med lige muligheder: strategi for ligestilling af </w:t>
        </w:r>
        <w:proofErr w:type="spellStart"/>
        <w:r>
          <w:rPr>
            <w:b/>
            <w:i/>
            <w:color w:val="0000FF"/>
            <w:sz w:val="28"/>
            <w:u w:val="single"/>
          </w:rPr>
          <w:t>LGBTIQ</w:t>
        </w:r>
        <w:proofErr w:type="spellEnd"/>
        <w:r>
          <w:rPr>
            <w:b/>
            <w:i/>
            <w:color w:val="0000FF"/>
            <w:sz w:val="28"/>
            <w:u w:val="single"/>
          </w:rPr>
          <w:t>+</w:t>
        </w:r>
        <w:r w:rsidR="00EA652D">
          <w:rPr>
            <w:b/>
            <w:i/>
            <w:color w:val="0000FF"/>
            <w:sz w:val="28"/>
            <w:u w:val="single"/>
          </w:rPr>
          <w:noBreakHyphen/>
        </w:r>
        <w:r>
          <w:rPr>
            <w:b/>
            <w:i/>
            <w:color w:val="0000FF"/>
            <w:sz w:val="28"/>
            <w:u w:val="single"/>
          </w:rPr>
          <w:t>personer 2026-2030</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Ordfører</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(Gruppen af civilsamfundsorganisationer – DK)</w:t>
            </w: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Ref.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proofErr w:type="gramStart"/>
            <w:r>
              <w:t>COM(</w:t>
            </w:r>
            <w:proofErr w:type="gramEnd"/>
            <w:r>
              <w:t>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proofErr w:type="spellStart"/>
            <w:r>
              <w:t>EESC</w:t>
            </w:r>
            <w:proofErr w:type="spellEnd"/>
            <w:r>
              <w:t>-2025-03887-00-00-AC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Hovedpunkter:</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proofErr w:type="spellStart"/>
      <w:r>
        <w:t>EØSU</w:t>
      </w:r>
      <w:proofErr w:type="spellEnd"/>
      <w:r>
        <w:t>:</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glæder sig over den nye strategi for ligestilling af </w:t>
      </w:r>
      <w:proofErr w:type="spellStart"/>
      <w:r>
        <w:t>LGBTIQ</w:t>
      </w:r>
      <w:proofErr w:type="spellEnd"/>
      <w:r>
        <w:t xml:space="preserve">+-personer 2026-2030 men opfordrer samtidig til en stærkere indsats, idet vedvarende forskelsbehandling, vold, chikane og udstødelse, som særligt rammer transkønnede, ikkebinære og interkønnede personer, kræver stærkere politiske foranstaltninger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efterspørger stærkere håndhævelse og øget ansvarlighed gennem bindende </w:t>
      </w:r>
      <w:proofErr w:type="spellStart"/>
      <w:r>
        <w:t>benchmarks</w:t>
      </w:r>
      <w:proofErr w:type="spellEnd"/>
      <w:r>
        <w:t xml:space="preserve">, systematiske traktatbrudsprocedurer, </w:t>
      </w:r>
      <w:proofErr w:type="spellStart"/>
      <w:r>
        <w:t>konditionalitet</w:t>
      </w:r>
      <w:proofErr w:type="spellEnd"/>
      <w:r>
        <w:t xml:space="preserve"> vedrørende retsstatsprincippet og gennemførelse af nationale </w:t>
      </w:r>
      <w:proofErr w:type="spellStart"/>
      <w:r>
        <w:t>LGBTIQ</w:t>
      </w:r>
      <w:proofErr w:type="spellEnd"/>
      <w:r>
        <w:t xml:space="preserve">+-strategier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opfordrer til resolut handling for at beskytte fundamentale rettigheder og civilsamfundets råderum ved at bekæmpe tilbagegang for ligestilling, desinformation og hadefuld tale og sikre vedvarende støtte til civilsamfundet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tilskynder til fuldstændig lighed i hverdagen ved at sikre inklusiv adgang til sundhedspleje, uddannelse og beskæftigelse ved at styrke inklusion på arbejdspladsen</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opfordrer Kommissionen til at fremsætte et juridisk bindende forbud mod omvendelsespraksis i hele EU, der omfatter både udførelse af og reklame for sådanne former for praksis, ved at føje omvendelsespraksis til listen over "EU-forbrydelser" og anerkende dem som hadforbrydelser for at sikre et ens beskyttelsesniveau i hele EU</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opfordrer til, at strukturelle uligheder håndteres ved at integrere </w:t>
      </w:r>
      <w:proofErr w:type="spellStart"/>
      <w:r>
        <w:t>LGBTIQ</w:t>
      </w:r>
      <w:proofErr w:type="spellEnd"/>
      <w:r>
        <w:t xml:space="preserve">+-ligestilling i politikker for social inklusion, boliger og bekæmpelse af fattigdom og med målrettet større til dem, der er udsat for </w:t>
      </w:r>
      <w:proofErr w:type="spellStart"/>
      <w:r>
        <w:t>intersektionel</w:t>
      </w:r>
      <w:proofErr w:type="spellEnd"/>
      <w:r>
        <w:t xml:space="preserve"> diskrimination</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 xml:space="preserve">kræver </w:t>
      </w:r>
      <w:proofErr w:type="gramStart"/>
      <w:r>
        <w:t>fremtidssikre</w:t>
      </w:r>
      <w:proofErr w:type="gramEnd"/>
      <w:r>
        <w:t xml:space="preserve"> og rettighedsbaserede rammer ved at lukke huller i lovgivningen, sikre selvbestemmende anerkendelse af køn, styrke adgangen til domstolsprøvelse, sikre passende finansiering af civilsamfundsorganisationer, forbedre </w:t>
      </w:r>
      <w:proofErr w:type="spellStart"/>
      <w:r>
        <w:t>intersektionelle</w:t>
      </w:r>
      <w:proofErr w:type="spellEnd"/>
      <w:r>
        <w:t xml:space="preserve"> data og garantere ligestilling inden for digitale teknologier og AI.</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5670"/>
      </w:tblGrid>
      <w:tr w:rsidR="00354B98" w:rsidRPr="00354B98" w14:paraId="3184797F" w14:textId="77777777" w:rsidTr="002E7EFB">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Kontaktperson</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Tlf.</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00 32 2 546 92 29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E-mail</w:t>
            </w:r>
          </w:p>
        </w:tc>
        <w:tc>
          <w:tcPr>
            <w:tcW w:w="5670" w:type="dxa"/>
          </w:tcPr>
          <w:p w14:paraId="25F375C5" w14:textId="77777777" w:rsidR="00354B98" w:rsidRPr="00354B98" w:rsidRDefault="003A5271" w:rsidP="00354B98">
            <w:pPr>
              <w:overflowPunct w:val="0"/>
              <w:autoSpaceDE w:val="0"/>
              <w:autoSpaceDN w:val="0"/>
              <w:adjustRightInd w:val="0"/>
              <w:spacing w:line="240" w:lineRule="auto"/>
              <w:textAlignment w:val="baseline"/>
              <w:rPr>
                <w:i/>
                <w:iCs/>
              </w:rPr>
            </w:pPr>
            <w:hyperlink r:id="rId28" w:history="1">
              <w:proofErr w:type="spellStart"/>
              <w:r>
                <w:rPr>
                  <w:i/>
                  <w:color w:val="0000FF"/>
                  <w:u w:val="single"/>
                </w:rPr>
                <w:t>Bartek.Bednarowicz@eesc.europa.eu</w:t>
              </w:r>
              <w:proofErr w:type="spellEnd"/>
              <w:r>
                <w:rPr>
                  <w:i/>
                  <w:color w:val="0000FF"/>
                  <w:u w:val="single"/>
                </w:rPr>
                <w:t xml:space="preserve">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57A2DC0" w:rsidR="005D43B9" w:rsidRPr="005D43B9" w:rsidRDefault="003A5271"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EU's konkurrenceevne og iværksætteri blandt unge</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Ordfører</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 xml:space="preserve">Giuseppe </w:t>
            </w:r>
            <w:proofErr w:type="spellStart"/>
            <w:r>
              <w:t>Guerini</w:t>
            </w:r>
            <w:proofErr w:type="spellEnd"/>
            <w:r>
              <w:t xml:space="preserve"> (Gruppen af civilsamfundsorganisationer –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Ref.</w:t>
            </w:r>
          </w:p>
        </w:tc>
        <w:tc>
          <w:tcPr>
            <w:tcW w:w="6663" w:type="dxa"/>
          </w:tcPr>
          <w:p w14:paraId="2EF0047D" w14:textId="66FB81B3" w:rsidR="004A4B18" w:rsidRDefault="005E01B5" w:rsidP="008C015D">
            <w:pPr>
              <w:tabs>
                <w:tab w:val="center" w:pos="284"/>
              </w:tabs>
              <w:overflowPunct w:val="0"/>
              <w:autoSpaceDE w:val="0"/>
              <w:autoSpaceDN w:val="0"/>
              <w:adjustRightInd w:val="0"/>
              <w:spacing w:line="240" w:lineRule="auto"/>
              <w:textAlignment w:val="baseline"/>
            </w:pPr>
            <w:r>
              <w:t>Sonderende udtalelse på anmodning af det cypriotiske formandskab for Rådet for Den Europæiske Union</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proofErr w:type="spellStart"/>
            <w:r>
              <w:t>EESC</w:t>
            </w:r>
            <w:proofErr w:type="spellEnd"/>
            <w:r>
              <w:t>-2025-04305-00-00-AC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Hovedpunkter</w:t>
      </w:r>
    </w:p>
    <w:p w14:paraId="79AD68CC" w14:textId="77777777" w:rsidR="005D43B9" w:rsidRPr="005D43B9" w:rsidRDefault="005D43B9" w:rsidP="005D43B9">
      <w:pPr>
        <w:spacing w:before="100" w:beforeAutospacing="1" w:after="100" w:afterAutospacing="1" w:line="240" w:lineRule="auto"/>
        <w:rPr>
          <w:sz w:val="24"/>
          <w:szCs w:val="24"/>
        </w:rPr>
      </w:pPr>
      <w:proofErr w:type="spellStart"/>
      <w:r>
        <w:rPr>
          <w:sz w:val="24"/>
        </w:rPr>
        <w:t>EØSU</w:t>
      </w:r>
      <w:proofErr w:type="spellEnd"/>
      <w:r>
        <w:rPr>
          <w:sz w:val="24"/>
        </w:rPr>
        <w:t>:</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efterlyser en omfattende og koordineret EU- og medlemsstatsstrategi, der leverer en integreret pakke af støtteforanstaltninger til unge iværksættere, som kombinerer tilgængelig finansiering, skræddersyet uddannelse, mentorordninger, coaching, virksomhedsvæksthuse og stærke lokale økosystemer for at maksimere virksomhedsetableringen og bæredygtigheden</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opfordrer til et kvantespring i adgangen til finansiering ved at udvide finansieringsinstrumenter for unge til at omfatte mere end traditionelle banklån, herunder mikrofinansiering, alternative former for kapital og målrettet støtte til socialøkonomiske virksomheder og andre virkningsdrevne modeller</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opfordrer indtrængende til en beslutsom indsat for at forenkle de administrative og lovgivningsmæssige rammer på EU-plan og nationalt og lokalt plan for at mindske bureaukratiet, nedbringe overholdelsesomkostningerne og skabe et stabilt og erhvervsvenligt miljø for unge iværksættere</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anbefaler, at uddannelse i iværksætterfærdigheder, finansiel forståelse og iværksætterånd indarbejdes i alle uddannelsessystemer, navnlig erhvervsuddannelser og vekseluddannelser, samtidig med at digitale og avancerede færdigheder, herunder inden for AI, styrkes for at forberede de unge på fremtidens markeder</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opfordrer til, at der etableres solide støtteøkosystemer gennem mentorordninger, sponsorordninger, netværksinitiativer og internationaliseringsmuligheder, herunder mobilitetsordninger og adgang til grænseoverskridende markeder, for at øge innovationen, skalerbarheden og konkurrenceevnen;</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opfordrer indtrængende til inklusive og bæredygtige iværksætterpolitikker, der lukker huller for underrepræsenterede grupper, fremmer en kultur, hvor alle "har ret til en ny chance" og sikrer passende social beskyttelse, og hvor iværksættervirksomhed blandt unge betragtes som en frivillig, men strategisk vej til modstandsdygtige arbejdsmarkeder og langsigtet konkurrenceevne i EU.</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Kontakt</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proofErr w:type="spellStart"/>
            <w:r>
              <w:rPr>
                <w:i/>
              </w:rPr>
              <w:t>Bartek</w:t>
            </w:r>
            <w:proofErr w:type="spellEnd"/>
            <w:r>
              <w:rPr>
                <w:i/>
              </w:rPr>
              <w:t xml:space="preserve"> </w:t>
            </w:r>
            <w:proofErr w:type="spellStart"/>
            <w:r>
              <w:rPr>
                <w:i/>
              </w:rPr>
              <w:t>Bednarowicz</w:t>
            </w:r>
            <w:proofErr w:type="spellEnd"/>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Tlf.</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00 32 2 546 92 29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E-mail</w:t>
            </w:r>
          </w:p>
        </w:tc>
        <w:tc>
          <w:tcPr>
            <w:tcW w:w="7371" w:type="dxa"/>
          </w:tcPr>
          <w:p w14:paraId="22B77F87" w14:textId="77777777" w:rsidR="005D43B9" w:rsidRPr="005D43B9" w:rsidRDefault="003A5271" w:rsidP="005D43B9">
            <w:pPr>
              <w:overflowPunct w:val="0"/>
              <w:autoSpaceDE w:val="0"/>
              <w:autoSpaceDN w:val="0"/>
              <w:adjustRightInd w:val="0"/>
              <w:textAlignment w:val="baseline"/>
              <w:rPr>
                <w:i/>
                <w:iCs/>
              </w:rPr>
            </w:pPr>
            <w:hyperlink r:id="rId30" w:history="1">
              <w:proofErr w:type="spellStart"/>
              <w:r>
                <w:rPr>
                  <w:i/>
                  <w:color w:val="0000FF"/>
                  <w:u w:val="single"/>
                </w:rPr>
                <w:t>Bartek.Bednarowicz@eesc.europa.eu</w:t>
              </w:r>
              <w:proofErr w:type="spellEnd"/>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709FA4FB" w:rsidR="001A42F8" w:rsidRPr="001A42F8" w:rsidRDefault="003A5271" w:rsidP="0050478A">
      <w:pPr>
        <w:widowControl w:val="0"/>
        <w:numPr>
          <w:ilvl w:val="0"/>
          <w:numId w:val="4"/>
        </w:numPr>
        <w:overflowPunct w:val="0"/>
        <w:autoSpaceDE w:val="0"/>
        <w:autoSpaceDN w:val="0"/>
        <w:adjustRightInd w:val="0"/>
        <w:spacing w:after="120"/>
        <w:ind w:hanging="567"/>
        <w:textAlignment w:val="baseline"/>
        <w:rPr>
          <w:sz w:val="16"/>
          <w:szCs w:val="16"/>
        </w:rPr>
      </w:pPr>
      <w:hyperlink r:id="rId31" w:history="1">
        <w:r>
          <w:rPr>
            <w:b/>
            <w:i/>
            <w:color w:val="0000FF"/>
            <w:sz w:val="28"/>
            <w:u w:val="single"/>
          </w:rPr>
          <w:t>EU's narkotikastrategi</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639EA8AB"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Ordfører</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1A42F8" w:rsidRDefault="001A42F8" w:rsidP="004C6742">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t xml:space="preserve">Diego </w:t>
            </w:r>
            <w:proofErr w:type="spellStart"/>
            <w:r>
              <w:t>Dutto</w:t>
            </w:r>
            <w:proofErr w:type="spellEnd"/>
            <w:r>
              <w:t xml:space="preserve"> (Gruppen af civilsamfundsorganisationer –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Ref.</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proofErr w:type="gramStart"/>
            <w:r>
              <w:t>COM(</w:t>
            </w:r>
            <w:proofErr w:type="gramEnd"/>
            <w:r>
              <w:t>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proofErr w:type="gramStart"/>
            <w:r>
              <w:t>COM(</w:t>
            </w:r>
            <w:proofErr w:type="gramEnd"/>
            <w:r>
              <w:t>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proofErr w:type="spellStart"/>
            <w:r>
              <w:t>EESC</w:t>
            </w:r>
            <w:proofErr w:type="spellEnd"/>
            <w:r>
              <w:t>-2026-00238-00-00-AC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8C015D">
      <w:pPr>
        <w:keepNext/>
        <w:keepLines/>
        <w:tabs>
          <w:tab w:val="center" w:pos="284"/>
        </w:tabs>
        <w:overflowPunct w:val="0"/>
        <w:autoSpaceDE w:val="0"/>
        <w:autoSpaceDN w:val="0"/>
        <w:adjustRightInd w:val="0"/>
        <w:ind w:left="266" w:hanging="266"/>
        <w:textAlignment w:val="baseline"/>
        <w:rPr>
          <w:b/>
        </w:rPr>
      </w:pPr>
      <w:r>
        <w:rPr>
          <w:b/>
        </w:rPr>
        <w:t>Hovedpunkter</w:t>
      </w:r>
    </w:p>
    <w:p w14:paraId="55C710FF" w14:textId="77777777" w:rsidR="001A42F8" w:rsidRPr="001A42F8" w:rsidRDefault="001A42F8" w:rsidP="008C015D">
      <w:pPr>
        <w:overflowPunct w:val="0"/>
        <w:autoSpaceDE w:val="0"/>
        <w:autoSpaceDN w:val="0"/>
        <w:adjustRightInd w:val="0"/>
        <w:textAlignment w:val="baseline"/>
        <w:rPr>
          <w:szCs w:val="20"/>
          <w:lang w:val="en-GB"/>
        </w:rPr>
      </w:pPr>
    </w:p>
    <w:p w14:paraId="50E3F48E" w14:textId="77777777" w:rsidR="001A42F8" w:rsidRPr="004C6742" w:rsidRDefault="001A42F8" w:rsidP="008C015D">
      <w:pPr>
        <w:spacing w:line="240" w:lineRule="auto"/>
      </w:pPr>
      <w:proofErr w:type="spellStart"/>
      <w:r>
        <w:rPr>
          <w:b/>
        </w:rPr>
        <w:t>EØSU</w:t>
      </w:r>
      <w:proofErr w:type="spellEnd"/>
      <w:r>
        <w:rPr>
          <w:b/>
        </w:rPr>
        <w:t>:</w:t>
      </w:r>
    </w:p>
    <w:p w14:paraId="5429D755" w14:textId="77777777" w:rsidR="001A42F8" w:rsidRPr="001A42F8" w:rsidRDefault="001A42F8" w:rsidP="008C015D">
      <w:pPr>
        <w:ind w:left="1134" w:hanging="1134"/>
        <w:rPr>
          <w:lang w:val="en-GB" w:eastAsia="fr-BE"/>
        </w:rPr>
      </w:pP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understreger, at EU-strategiens effektivitet vil afhænge af dens evne til at foregribe tendenser. Udvalget anbefaler, at Kommissionen ikke blot benytter sig af reaktive indikatorer (narkotikabeslaglæggelser og -dødsfald), men sørger for obligatorisk strukturel støtte til standardiserede overvågningssystemer</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bemærker med bekymring, at strategien er noget skæv, da den især fokuserer på traditionelle ulovlige stoffer. Unge bevæger sig i retning af </w:t>
      </w:r>
      <w:proofErr w:type="spellStart"/>
      <w:r>
        <w:t>off</w:t>
      </w:r>
      <w:proofErr w:type="spellEnd"/>
      <w:r>
        <w:t xml:space="preserve"> label-brug af lovlige stoffer. </w:t>
      </w:r>
      <w:proofErr w:type="spellStart"/>
      <w:r>
        <w:t>EØSU</w:t>
      </w:r>
      <w:proofErr w:type="spellEnd"/>
      <w:r>
        <w:t xml:space="preserve"> anbefaler derfor, at der indføres EU-retningslinjer for overvågning af ordineringen af lægemidler, og at der iværksættes særlige oplysningskampagner om risikoen for at blive afhængig af lovlige psykoaktive stoffer</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anbefaler en nøje overvågning af udbredelsen af </w:t>
      </w:r>
      <w:proofErr w:type="spellStart"/>
      <w:r>
        <w:t>opioide</w:t>
      </w:r>
      <w:proofErr w:type="spellEnd"/>
      <w:r>
        <w:t xml:space="preserve"> smertestillende midler. Der bør gøres en indsats for at forhindre, at en del af samfundet – som ellers ikke synes at være i fare – bliver afhængig af disse stoffer, der er erhvervet ad lovlige kanaler</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bemærker, at der bør udarbejdes EU-protokoller for tidlig indgriben for at støtte social- og sundhedstjenesterne i at opspore nye brugere i en tidlig fase af narkotikamisbruget</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anbefaler, at der fastsættes specifikke nøgleresultatindikatorer (</w:t>
      </w:r>
      <w:proofErr w:type="spellStart"/>
      <w:r>
        <w:t>KPI'er</w:t>
      </w:r>
      <w:proofErr w:type="spellEnd"/>
      <w:r>
        <w:t xml:space="preserve">) med henblik på at vurdere, hvor effektive forebyggelsespolitikkerne er, </w:t>
      </w:r>
      <w:proofErr w:type="gramStart"/>
      <w:r>
        <w:t>således at</w:t>
      </w:r>
      <w:proofErr w:type="gramEnd"/>
      <w:r>
        <w:t xml:space="preserve"> succes ikke kun måles i forhold til antallet af narkotikabeslaglæggelser, men også i forhold til nedbringelsen af antallet af nye afhængighedsforhold og effektiviteten af reintegrationsforløb</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gentager, at bekæmpelsen af narkotikahandel ikke kan adskilles fra en solid folkesundhedspolitik</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bemærker, at handlingsplanen næsten udelukkende fokuserer på at sikre fysisk infrastruktur (havne, logistikcentre) og digital infrastruktur og dermed helt overser lokalsamfundsdimensionen</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påpeger, at handlingsplanen ikke giver medlemsstaterne tilstrækkelig vejledning om, hvilket offentlige </w:t>
      </w:r>
      <w:proofErr w:type="gramStart"/>
      <w:r>
        <w:t>politikker</w:t>
      </w:r>
      <w:proofErr w:type="gramEnd"/>
      <w:r>
        <w:t xml:space="preserve"> der er nødvendige for at begrænse udbredelsen af stofmisbrug.</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Kontakt</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Tlf.</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iCs/>
              </w:rPr>
              <w:t>00 32 2 546 94 15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E-mail</w:t>
            </w:r>
          </w:p>
        </w:tc>
        <w:tc>
          <w:tcPr>
            <w:tcW w:w="4493" w:type="dxa"/>
          </w:tcPr>
          <w:p w14:paraId="7CF2E2AE" w14:textId="77777777" w:rsidR="001A42F8" w:rsidRPr="001A42F8" w:rsidRDefault="003A5271" w:rsidP="001A42F8">
            <w:pPr>
              <w:overflowPunct w:val="0"/>
              <w:autoSpaceDE w:val="0"/>
              <w:autoSpaceDN w:val="0"/>
              <w:adjustRightInd w:val="0"/>
              <w:spacing w:line="240" w:lineRule="auto"/>
              <w:textAlignment w:val="baseline"/>
              <w:rPr>
                <w:i/>
                <w:iCs/>
              </w:rPr>
            </w:pPr>
            <w:hyperlink r:id="rId32" w:history="1">
              <w:proofErr w:type="spellStart"/>
              <w:r>
                <w:rPr>
                  <w:i/>
                  <w:color w:val="0000FF"/>
                  <w:u w:val="single"/>
                </w:rPr>
                <w:t>Gemma.Amran@eesc.europa.eu</w:t>
              </w:r>
              <w:proofErr w:type="spellEnd"/>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22333794" w:rsidR="00C53E67" w:rsidRPr="00C53E67" w:rsidRDefault="00A067F3" w:rsidP="0050478A">
      <w:pPr>
        <w:widowControl w:val="0"/>
        <w:numPr>
          <w:ilvl w:val="0"/>
          <w:numId w:val="4"/>
        </w:numPr>
        <w:overflowPunct w:val="0"/>
        <w:autoSpaceDE w:val="0"/>
        <w:autoSpaceDN w:val="0"/>
        <w:adjustRightInd w:val="0"/>
        <w:spacing w:after="120"/>
        <w:ind w:hanging="567"/>
        <w:textAlignment w:val="baseline"/>
        <w:rPr>
          <w:b/>
        </w:rPr>
      </w:pPr>
      <w:hyperlink r:id="rId33" w:history="1">
        <w:r>
          <w:rPr>
            <w:b/>
            <w:i/>
            <w:color w:val="0000FF"/>
            <w:sz w:val="28"/>
            <w:u w:val="single"/>
          </w:rPr>
          <w:t>Et kulturkompas for Europa</w:t>
        </w:r>
      </w:hyperlink>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59"/>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Ordfører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r>
              <w:t xml:space="preserve">Luca </w:t>
            </w:r>
            <w:proofErr w:type="spellStart"/>
            <w:r>
              <w:t>Jahier</w:t>
            </w:r>
            <w:proofErr w:type="spellEnd"/>
            <w:r>
              <w:t xml:space="preserve"> (Gruppen af Civilsamfundsorganisationer – IT)</w:t>
            </w:r>
          </w:p>
        </w:tc>
      </w:tr>
      <w:tr w:rsidR="00C53E67" w:rsidRPr="00C53E67" w14:paraId="12DAA263" w14:textId="77777777" w:rsidTr="002E7EFB">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C53E67"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Ref.</w:t>
            </w:r>
          </w:p>
        </w:tc>
        <w:tc>
          <w:tcPr>
            <w:tcW w:w="3679" w:type="pct"/>
          </w:tcPr>
          <w:p w14:paraId="3649F935" w14:textId="5EC0AA86" w:rsidR="00DE1BF7" w:rsidRDefault="00DE1BF7" w:rsidP="00C53E67">
            <w:pPr>
              <w:overflowPunct w:val="0"/>
              <w:autoSpaceDE w:val="0"/>
              <w:autoSpaceDN w:val="0"/>
              <w:adjustRightInd w:val="0"/>
              <w:ind w:left="-113"/>
              <w:textAlignment w:val="baseline"/>
            </w:pPr>
            <w:proofErr w:type="gramStart"/>
            <w:r>
              <w:t>COM(</w:t>
            </w:r>
            <w:proofErr w:type="gramEnd"/>
            <w:r>
              <w:t>2025) 785 final</w:t>
            </w:r>
          </w:p>
          <w:p w14:paraId="72ADC23E" w14:textId="431F11BB" w:rsidR="00DE1BF7" w:rsidRDefault="00DE1BF7" w:rsidP="00C53E67">
            <w:pPr>
              <w:overflowPunct w:val="0"/>
              <w:autoSpaceDE w:val="0"/>
              <w:autoSpaceDN w:val="0"/>
              <w:adjustRightInd w:val="0"/>
              <w:ind w:left="-113"/>
              <w:textAlignment w:val="baseline"/>
            </w:pPr>
            <w:proofErr w:type="gramStart"/>
            <w:r>
              <w:t>COM(</w:t>
            </w:r>
            <w:proofErr w:type="gramEnd"/>
            <w:r>
              <w:t>2025) 786 final</w:t>
            </w:r>
          </w:p>
          <w:p w14:paraId="20BD4BF5" w14:textId="0E4CE06A" w:rsidR="00C53E67" w:rsidRPr="00C53E67" w:rsidRDefault="00C53E67" w:rsidP="00C53E67">
            <w:pPr>
              <w:overflowPunct w:val="0"/>
              <w:autoSpaceDE w:val="0"/>
              <w:autoSpaceDN w:val="0"/>
              <w:adjustRightInd w:val="0"/>
              <w:ind w:left="-113"/>
              <w:textAlignment w:val="baseline"/>
            </w:pPr>
            <w:proofErr w:type="spellStart"/>
            <w:r>
              <w:t>EESC</w:t>
            </w:r>
            <w:proofErr w:type="spellEnd"/>
            <w:r>
              <w:t>-2025-04241-00-00-AC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Hovedpunkter</w:t>
      </w:r>
    </w:p>
    <w:p w14:paraId="2BEAC91B"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6"/>
          <w:szCs w:val="16"/>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rPr>
          <w:bCs/>
          <w:iCs/>
        </w:rPr>
      </w:pPr>
      <w:proofErr w:type="spellStart"/>
      <w:r>
        <w:t>EØSU</w:t>
      </w:r>
      <w:proofErr w:type="spellEnd"/>
      <w:r>
        <w:t>:</w:t>
      </w: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støtter fuldt ud kulturkompasset for Europa</w:t>
      </w:r>
      <w:r>
        <w:t xml:space="preserve"> som en rettidig og tværgående strategi til fremme af kultur og europæiske værdier og til at sikre en blomstrende kulturel sektor</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fremhæver </w:t>
      </w:r>
      <w:r>
        <w:rPr>
          <w:b/>
        </w:rPr>
        <w:t>kulturens rolle med hensyn til at styrke demokratiet</w:t>
      </w:r>
      <w:r>
        <w:t>, bekæmpe populistiske og autoritære narrativer og fremme social samhørighed, beredskab og bæredygtig udvikling</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anbefaler, at der </w:t>
      </w:r>
      <w:r>
        <w:rPr>
          <w:b/>
        </w:rPr>
        <w:t>udvikles synergier</w:t>
      </w:r>
      <w:r>
        <w:t xml:space="preserve"> mellem kulturkompasset og initiativer såsom det europæiske demokratiskjold, navnlig på det digitale område</w:t>
      </w:r>
    </w:p>
    <w:p w14:paraId="5D3CFABE" w14:textId="3658BD86"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understreger behovet for </w:t>
      </w:r>
      <w:r>
        <w:rPr>
          <w:b/>
        </w:rPr>
        <w:t>en særlig AI-strategi for de kulturelle og kreative sektorer</w:t>
      </w:r>
      <w:r>
        <w:t>, herunder beskyttelse af kreativt ejerskab, udvikling af licensmarkeder og vejledning i henhold til AI</w:t>
      </w:r>
      <w:r w:rsidR="008C015D">
        <w:noBreakHyphen/>
      </w:r>
      <w:r>
        <w:t>forordningen</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opfordrer til </w:t>
      </w:r>
      <w:r>
        <w:rPr>
          <w:b/>
        </w:rPr>
        <w:t xml:space="preserve">stærk og tværgående finansiel støtte i den næste </w:t>
      </w:r>
      <w:proofErr w:type="spellStart"/>
      <w:r>
        <w:rPr>
          <w:b/>
        </w:rPr>
        <w:t>FFR</w:t>
      </w:r>
      <w:proofErr w:type="spellEnd"/>
      <w:r>
        <w:rPr>
          <w:b/>
        </w:rPr>
        <w:t xml:space="preserve"> (2028-2034)</w:t>
      </w:r>
      <w:r>
        <w:t>, herunder tildeling af 2 % af EU-budgettet til kultur og sikring af dens integration i større EU-programmer</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opfordrer til en solid, </w:t>
      </w:r>
      <w:r>
        <w:rPr>
          <w:b/>
        </w:rPr>
        <w:t>målrettet gennemførelse af kulturkompasset gennem en klar handlingsplan</w:t>
      </w:r>
      <w:r>
        <w:t>, tilstrækkelig administrativ kapacitet og langsigtet politisk kontinuitet</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anbefaler </w:t>
      </w:r>
      <w:r>
        <w:rPr>
          <w:b/>
        </w:rPr>
        <w:t>tidlig systematisk inddragelse af kulturelle og ikke-kulturelle interessenter</w:t>
      </w:r>
      <w:r>
        <w:t>, herunder lokale myndigheder, SMV'er og kulturelle og kreative sektorer, for at styrke ejerskab og virkning;</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opfordrer til en </w:t>
      </w:r>
      <w:r>
        <w:rPr>
          <w:b/>
        </w:rPr>
        <w:t>stærkere integration af socialøkonomiske aktører</w:t>
      </w:r>
      <w:r>
        <w:t xml:space="preserve"> og lokalsamfundsbaserede kulturelle initiativer i offentlige politikker, herunder tilpassede skattemæssige og finansielle instrumenter</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glæder sig over den foreslåede strukturerede EU-dialog med interessenter</w:t>
      </w:r>
      <w:r>
        <w:t xml:space="preserve"> og tilbyder at fungere som en central partner med hensyn til at lette udvekslinger med institutionelle og sektorspecifikke aktører</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understreger, at de kulturelle og kreative sektorer er </w:t>
      </w:r>
      <w:r>
        <w:rPr>
          <w:b/>
        </w:rPr>
        <w:t>et strategisk økonomisk økosystem</w:t>
      </w:r>
      <w:r>
        <w:t>, og opfordrer til bedre integration i kompasset af nøgleindustrier såsom computerspil, film, musik og mode</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støtter </w:t>
      </w:r>
      <w:r>
        <w:rPr>
          <w:b/>
        </w:rPr>
        <w:t>kulturel uddannelse og udvikling af færdigheder</w:t>
      </w:r>
      <w:r>
        <w:t xml:space="preserve"> og opfordrer til inklusiv adgang, øremærket finansiering og stærkere forbindelser med EU-programmer såsom Erasmus+ og samhørighedspolitikken</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støtter udviklingen af et EU-charter for kunstnere</w:t>
      </w:r>
      <w:r>
        <w:t xml:space="preserve"> for at sikre rimelige arbejdsvilkår, stærkere social beskyttelse og tilpasning af EU-finansiering til beskæftigelsesstandarder af høj kvalitet</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understreger </w:t>
      </w:r>
      <w:r>
        <w:rPr>
          <w:b/>
        </w:rPr>
        <w:t>betydningen af vedvarende offentlige investeringer</w:t>
      </w:r>
      <w:r>
        <w:t xml:space="preserve"> i de kulturelle og kreative sektorer, samtidig med at der ydes støtte til forbedret adgang til finansiering for SMV'er gennem øget mobilisering af EIB- og </w:t>
      </w:r>
      <w:proofErr w:type="spellStart"/>
      <w:r>
        <w:t>EIF</w:t>
      </w:r>
      <w:proofErr w:type="spellEnd"/>
      <w:r>
        <w:t>-instrumenter sideløbende med udviklingen af supplerende private støtterammer</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støtter </w:t>
      </w:r>
      <w:r>
        <w:rPr>
          <w:b/>
        </w:rPr>
        <w:t>opbakningen til den fælles erklæring fra EU-institutionerne</w:t>
      </w:r>
      <w:r>
        <w:t xml:space="preserve"> (herunder </w:t>
      </w:r>
      <w:proofErr w:type="spellStart"/>
      <w:r>
        <w:t>EØSU</w:t>
      </w:r>
      <w:proofErr w:type="spellEnd"/>
      <w:r>
        <w:t xml:space="preserve"> og Regionsudvalget) samt interessenter for at sikre et bredt ejerskab og legitimitet</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lastRenderedPageBreak/>
        <w:t xml:space="preserve">understreger </w:t>
      </w:r>
      <w:r>
        <w:rPr>
          <w:b/>
        </w:rPr>
        <w:t>betydningen af kulturens internationale dimension</w:t>
      </w:r>
      <w:r>
        <w:t xml:space="preserve"> og opfordrer til, at denne dimension genindføres fuldt ud i den fælles erklæring, og til at der udarbejdes en omfattende handlingsplan baseret på EU-strategien for internationale kulturelle forbindelser.</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499"/>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Kontakt</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 xml:space="preserve">Jean Marie </w:t>
            </w:r>
            <w:proofErr w:type="spellStart"/>
            <w:r>
              <w:rPr>
                <w:i/>
              </w:rPr>
              <w:t>Rogue</w:t>
            </w:r>
            <w:proofErr w:type="spellEnd"/>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Tlf.</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00 32 2 546 89 09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E-mail</w:t>
            </w:r>
          </w:p>
        </w:tc>
        <w:tc>
          <w:tcPr>
            <w:tcW w:w="3444" w:type="pct"/>
          </w:tcPr>
          <w:p w14:paraId="18C49AA7" w14:textId="77777777" w:rsidR="00C53E67" w:rsidRPr="00C53E67" w:rsidRDefault="003A5271" w:rsidP="00C53E67">
            <w:pPr>
              <w:overflowPunct w:val="0"/>
              <w:autoSpaceDE w:val="0"/>
              <w:autoSpaceDN w:val="0"/>
              <w:adjustRightInd w:val="0"/>
              <w:spacing w:line="240" w:lineRule="auto"/>
              <w:textAlignment w:val="baseline"/>
              <w:rPr>
                <w:i/>
              </w:rPr>
            </w:pPr>
            <w:hyperlink r:id="rId34" w:history="1">
              <w:proofErr w:type="spellStart"/>
              <w:r>
                <w:rPr>
                  <w:i/>
                  <w:color w:val="0000FF"/>
                  <w:u w:val="single"/>
                </w:rPr>
                <w:t>JeanMarie.Rogue@eesc.europa.eu</w:t>
              </w:r>
              <w:proofErr w:type="spellEnd"/>
            </w:hyperlink>
          </w:p>
        </w:tc>
      </w:tr>
    </w:tbl>
    <w:p w14:paraId="3887EC4A" w14:textId="660A26B1" w:rsidR="00A067F3" w:rsidRDefault="00A067F3" w:rsidP="001766B2">
      <w:pPr>
        <w:jc w:val="left"/>
      </w:pPr>
    </w:p>
    <w:p w14:paraId="4982DDF2" w14:textId="5F1A05A9" w:rsidR="004D7AC0" w:rsidRDefault="00A067F3" w:rsidP="0050478A">
      <w:pPr>
        <w:spacing w:after="160" w:line="259" w:lineRule="auto"/>
        <w:jc w:val="left"/>
      </w:pPr>
      <w:r>
        <w:br w:type="page"/>
      </w:r>
    </w:p>
    <w:p w14:paraId="4982DDF3" w14:textId="77616464" w:rsidR="004D7AC0" w:rsidRDefault="004D7AC0" w:rsidP="004C6742">
      <w:pPr>
        <w:pStyle w:val="Heading2"/>
      </w:pPr>
      <w:bookmarkStart w:id="16" w:name="_Toc75527083"/>
      <w:bookmarkStart w:id="17" w:name="_Toc229140655"/>
      <w:r>
        <w:lastRenderedPageBreak/>
        <w:t>DET INDRE MARKED, PRODUKTION OG FORBRUG</w:t>
      </w:r>
      <w:bookmarkEnd w:id="16"/>
      <w:bookmarkEnd w:id="17"/>
    </w:p>
    <w:p w14:paraId="4982DDF4" w14:textId="77777777" w:rsidR="004D7AC0" w:rsidRDefault="004D7AC0" w:rsidP="001766B2"/>
    <w:p w14:paraId="566598A4" w14:textId="35BAC290" w:rsidR="00392AE5" w:rsidRPr="0050478A" w:rsidRDefault="00392AE5" w:rsidP="0050478A">
      <w:pPr>
        <w:widowControl w:val="0"/>
        <w:numPr>
          <w:ilvl w:val="0"/>
          <w:numId w:val="4"/>
        </w:numPr>
        <w:overflowPunct w:val="0"/>
        <w:autoSpaceDE w:val="0"/>
        <w:autoSpaceDN w:val="0"/>
        <w:adjustRightInd w:val="0"/>
        <w:spacing w:after="120"/>
        <w:ind w:hanging="567"/>
        <w:textAlignment w:val="baseline"/>
        <w:rPr>
          <w:b/>
          <w:i/>
          <w:color w:val="0000FF"/>
          <w:sz w:val="28"/>
          <w:u w:val="single"/>
        </w:rPr>
      </w:pPr>
      <w:hyperlink r:id="rId35" w:history="1">
        <w:r w:rsidRPr="0050478A">
          <w:rPr>
            <w:b/>
            <w:i/>
            <w:color w:val="0000FF"/>
            <w:sz w:val="28"/>
            <w:u w:val="single"/>
          </w:rPr>
          <w:t>Overturisme, korttidsudlejning og fortrængning af lokalbefolkningen</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Ordfører</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proofErr w:type="spellStart"/>
            <w:r>
              <w:t>Marinel</w:t>
            </w:r>
            <w:proofErr w:type="spellEnd"/>
            <w:r>
              <w:t xml:space="preserve"> </w:t>
            </w:r>
            <w:proofErr w:type="spellStart"/>
            <w:r>
              <w:t>Dănuț</w:t>
            </w:r>
            <w:proofErr w:type="spellEnd"/>
            <w:r>
              <w:t xml:space="preserve"> </w:t>
            </w:r>
            <w:proofErr w:type="spellStart"/>
            <w:r>
              <w:t>Mureșan</w:t>
            </w:r>
            <w:proofErr w:type="spellEnd"/>
            <w:r>
              <w:t xml:space="preserve"> (Arbejdsgivergruppen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Ref.</w:t>
            </w:r>
          </w:p>
        </w:tc>
        <w:tc>
          <w:tcPr>
            <w:tcW w:w="3923" w:type="pct"/>
          </w:tcPr>
          <w:p w14:paraId="45A8FB5D" w14:textId="2BC0963C" w:rsidR="00392AE5" w:rsidRPr="00392AE5" w:rsidRDefault="00392AE5" w:rsidP="008C015D">
            <w:pPr>
              <w:overflowPunct w:val="0"/>
              <w:autoSpaceDE w:val="0"/>
              <w:autoSpaceDN w:val="0"/>
              <w:adjustRightInd w:val="0"/>
              <w:ind w:right="-7"/>
              <w:textAlignment w:val="baseline"/>
            </w:pPr>
            <w:r>
              <w:t>Sonderende udtalelse på anmodning af det cypriotiske formandskab for Rådet</w:t>
            </w:r>
            <w:r w:rsidR="008C015D">
              <w:t xml:space="preserve"> </w:t>
            </w:r>
            <w:r>
              <w:t>for</w:t>
            </w:r>
            <w:r w:rsidR="008C015D">
              <w:t xml:space="preserve"> </w:t>
            </w:r>
            <w:r>
              <w:t>Den Europæiske Union</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proofErr w:type="spellStart"/>
            <w:r>
              <w:t>EESC</w:t>
            </w:r>
            <w:proofErr w:type="spellEnd"/>
            <w:r>
              <w:t>-2025-03939-00-00-AC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Hovedpunkter</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proofErr w:type="spellStart"/>
      <w:r>
        <w:t>EØSU</w:t>
      </w:r>
      <w:proofErr w:type="spellEnd"/>
      <w:r>
        <w:t>:</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understreger, at turisme er et strategisk økosystem for EU og drivkraft for vækst, jobskabelse og social udvikling, og opfordrer til et skifte i retning mod en mere bæredygtig, afbalanceret og konkurrencedygtig model, som sikrer livskvaliteten i lokalsamfundene </w:t>
      </w:r>
    </w:p>
    <w:p w14:paraId="7E1A2FA7"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advarer om det tiltagende pres fra overturisme og korttidsudlejning i visse områder og </w:t>
      </w:r>
      <w:r>
        <w:rPr>
          <w:b/>
        </w:rPr>
        <w:t>efterlyser en koordineret EU-indsats</w:t>
      </w:r>
      <w:r>
        <w:t xml:space="preserve"> for at støtte medlemsstaterne i at udvikle evidensbaserede, forholdsmæssige og stedbaserede løsninger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foreslår EU-støttede værktøjer og strategier for at forvalte turiststrømmene bedre, herunder digitale overvågningssystemer, diversificering af rejsemål og sæsoner og stærkere forbindelser mellem turisme og de lokale økonomier, kulturer og traditionelle håndværk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slår til lyd for innovative forvaltnings- og finansieringsmodeller med både offentlige og private investeringer til at støtte bæredygtig turisme, betalbare boliger og lokale erhvervsøkosystemer med en stærk rolle til SMV'er og lokalsamfundene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anbefaler en styrkelse af færdigheder, uddannelse og inddragelsen af de unge og opfordrer til, at der oprettes et </w:t>
      </w:r>
      <w:r>
        <w:rPr>
          <w:b/>
        </w:rPr>
        <w:t>europæisk center for traditionelle håndværk og fag</w:t>
      </w:r>
      <w:r>
        <w:t xml:space="preserve"> til at understøtte de lokale økonomier og den kulturelle bæredygtighed i hele EU.</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Kontaktperson</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Tlf.</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00 32 2 546 83 78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E-mail</w:t>
            </w:r>
          </w:p>
        </w:tc>
        <w:tc>
          <w:tcPr>
            <w:tcW w:w="3923" w:type="pct"/>
          </w:tcPr>
          <w:p w14:paraId="0EBCDB0C" w14:textId="77777777" w:rsidR="00392AE5" w:rsidRPr="00392AE5" w:rsidRDefault="003A5271" w:rsidP="00392AE5">
            <w:pPr>
              <w:overflowPunct w:val="0"/>
              <w:autoSpaceDE w:val="0"/>
              <w:autoSpaceDN w:val="0"/>
              <w:adjustRightInd w:val="0"/>
              <w:spacing w:line="240" w:lineRule="auto"/>
              <w:textAlignment w:val="baseline"/>
              <w:rPr>
                <w:i/>
              </w:rPr>
            </w:pPr>
            <w:hyperlink r:id="rId36" w:history="1">
              <w:proofErr w:type="spellStart"/>
              <w:r>
                <w:rPr>
                  <w:i/>
                  <w:color w:val="0000FF"/>
                  <w:u w:val="single"/>
                </w:rPr>
                <w:t>Silvia.Staffa@eesc.europa.eu</w:t>
              </w:r>
              <w:proofErr w:type="spellEnd"/>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41EB3DEB" w:rsidR="008E331E" w:rsidRPr="008E331E" w:rsidRDefault="003A5271" w:rsidP="0050478A">
      <w:pPr>
        <w:widowControl w:val="0"/>
        <w:numPr>
          <w:ilvl w:val="0"/>
          <w:numId w:val="4"/>
        </w:numPr>
        <w:overflowPunct w:val="0"/>
        <w:autoSpaceDE w:val="0"/>
        <w:autoSpaceDN w:val="0"/>
        <w:adjustRightInd w:val="0"/>
        <w:spacing w:after="120"/>
        <w:ind w:hanging="567"/>
        <w:textAlignment w:val="baseline"/>
        <w:rPr>
          <w:sz w:val="20"/>
          <w:szCs w:val="20"/>
        </w:rPr>
      </w:pPr>
      <w:hyperlink r:id="rId37" w:tgtFrame="_blank" w:history="1">
        <w:r>
          <w:rPr>
            <w:b/>
            <w:i/>
            <w:color w:val="0000FF"/>
            <w:sz w:val="28"/>
            <w:u w:val="single"/>
          </w:rPr>
          <w:t>CO</w:t>
        </w:r>
        <w:r>
          <w:rPr>
            <w:b/>
            <w:i/>
            <w:color w:val="0000FF"/>
            <w:sz w:val="28"/>
            <w:u w:val="single"/>
            <w:vertAlign w:val="subscript"/>
          </w:rPr>
          <w:t>2</w:t>
        </w:r>
        <w:r>
          <w:rPr>
            <w:b/>
            <w:i/>
            <w:color w:val="0000FF"/>
            <w:sz w:val="28"/>
            <w:u w:val="single"/>
          </w:rPr>
          <w:t>-emissionsstandarder for biler og varevogne/revision</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8C015D">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Ordfører</w:t>
            </w:r>
          </w:p>
        </w:tc>
        <w:tc>
          <w:tcPr>
            <w:tcW w:w="5387"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r>
              <w:t xml:space="preserve">Matteo </w:t>
            </w:r>
            <w:proofErr w:type="spellStart"/>
            <w:r>
              <w:t>Borsani</w:t>
            </w:r>
            <w:proofErr w:type="spellEnd"/>
            <w:r>
              <w:t xml:space="preserve"> (Arbejdsgivergruppen –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8C015D">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C015D" w:rsidRPr="008E331E" w14:paraId="0E58D564" w14:textId="77777777" w:rsidTr="008C015D">
        <w:trPr>
          <w:trHeight w:val="275"/>
        </w:trPr>
        <w:tc>
          <w:tcPr>
            <w:tcW w:w="1701" w:type="dxa"/>
          </w:tcPr>
          <w:p w14:paraId="145A97E5" w14:textId="77777777" w:rsidR="008C015D" w:rsidRPr="008E331E" w:rsidRDefault="008C015D" w:rsidP="008E331E">
            <w:pPr>
              <w:tabs>
                <w:tab w:val="center" w:pos="284"/>
              </w:tabs>
              <w:overflowPunct w:val="0"/>
              <w:autoSpaceDE w:val="0"/>
              <w:autoSpaceDN w:val="0"/>
              <w:adjustRightInd w:val="0"/>
              <w:ind w:left="266" w:hanging="266"/>
              <w:textAlignment w:val="baseline"/>
              <w:rPr>
                <w:b/>
              </w:rPr>
            </w:pPr>
            <w:r>
              <w:rPr>
                <w:b/>
              </w:rPr>
              <w:t>Ref.</w:t>
            </w:r>
          </w:p>
        </w:tc>
        <w:tc>
          <w:tcPr>
            <w:tcW w:w="5387" w:type="dxa"/>
          </w:tcPr>
          <w:p w14:paraId="7281EBE1" w14:textId="0C5497BF" w:rsidR="008C015D" w:rsidRPr="008E331E" w:rsidRDefault="008C015D" w:rsidP="008E331E">
            <w:pPr>
              <w:tabs>
                <w:tab w:val="center" w:pos="284"/>
              </w:tabs>
              <w:overflowPunct w:val="0"/>
              <w:autoSpaceDE w:val="0"/>
              <w:autoSpaceDN w:val="0"/>
              <w:adjustRightInd w:val="0"/>
              <w:ind w:left="266" w:hanging="266"/>
              <w:textAlignment w:val="baseline"/>
            </w:pPr>
            <w:proofErr w:type="gramStart"/>
            <w:r>
              <w:t>COM(</w:t>
            </w:r>
            <w:proofErr w:type="gramEnd"/>
            <w:r>
              <w:t xml:space="preserve">2025) 995 final </w:t>
            </w:r>
          </w:p>
          <w:p w14:paraId="7D42FFB6" w14:textId="77777777" w:rsidR="008C015D" w:rsidRPr="008E331E" w:rsidRDefault="008C015D" w:rsidP="008E331E">
            <w:pPr>
              <w:tabs>
                <w:tab w:val="center" w:pos="284"/>
              </w:tabs>
              <w:overflowPunct w:val="0"/>
              <w:autoSpaceDE w:val="0"/>
              <w:autoSpaceDN w:val="0"/>
              <w:adjustRightInd w:val="0"/>
              <w:ind w:left="266" w:hanging="266"/>
              <w:textAlignment w:val="baseline"/>
            </w:pPr>
            <w:proofErr w:type="spellStart"/>
            <w:r>
              <w:t>EESC</w:t>
            </w:r>
            <w:proofErr w:type="spellEnd"/>
            <w:r>
              <w:t>-2025-04308-00-00-AC</w:t>
            </w: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Hovedpunkter</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proofErr w:type="spellStart"/>
      <w:r>
        <w:t>EØSU</w:t>
      </w:r>
      <w:proofErr w:type="spellEnd"/>
      <w:r>
        <w:t>:</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opfordrer til en afbalanceret og sammenhængende EU-ramme</w:t>
      </w:r>
      <w:r>
        <w:t xml:space="preserve"> for omstillingen af bilindustrien, der kombinerer et kraftigt skub i nul- og lavemissionsmobiliteten gennem teknologineutralitet, en styrket "fremstillet i EU"-værdikæde og beskyttelse af kvalitetsjob, industriel kapacitet og innovation</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opfordrer indtrængende til en pragmatisk revision af CO₂-standarderne</w:t>
      </w:r>
      <w:r>
        <w:t xml:space="preserve"> for biler og varevogne, som er i overensstemmelse med markedsvilkårene og klimamålene, for at genoprette konkurrenceevnen og samtidig opretholde den langsigtede kurs mod </w:t>
      </w:r>
      <w:proofErr w:type="spellStart"/>
      <w:r>
        <w:t>dekarbonisering</w:t>
      </w:r>
      <w:proofErr w:type="spellEnd"/>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slår til lyd for en stærkere rolle for overgangsteknologier</w:t>
      </w:r>
      <w:r>
        <w:t>, herunder hybridkøretøjer, bæredygtige vedvarende brændstoffer og lavemissionskøretøjer, og opfordrer til at mindske den fuldstændige afhængighed af udstødningsemissioner for at give mulighed for mere realistisk og socialt afbalanceret omstilling</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 xml:space="preserve">glæder sig over større fleksibilitet med hensyn til </w:t>
      </w:r>
      <w:proofErr w:type="spellStart"/>
      <w:r>
        <w:rPr>
          <w:b/>
        </w:rPr>
        <w:t>2030-målene</w:t>
      </w:r>
      <w:proofErr w:type="spellEnd"/>
      <w:r>
        <w:t>, herunder flerårig overholdelse, og opfordrer til målrettet støtte til opladningsinfrastruktur, elektrificering af virksomhedsflåder og lette erhvervskøretøjer, hvor markedsudbredelsen stadig er begrænset</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anbefaler at styrke EU's industrielle førerposition</w:t>
      </w:r>
      <w:r>
        <w:t xml:space="preserve"> gennem incitamenter såsom "Fremstillet i EU"-indhold, støtte til stål med lavt kulstofindhold og udvidelse af superkreditmekanismen til elektriske køretøjer sammen med en mere omfattende metode til beregning af emissioner en overgang, som fortsat er økonomisk overkommelig, inklusiv og jobskabende.</w:t>
      </w:r>
    </w:p>
    <w:p w14:paraId="5E4844AB" w14:textId="77777777" w:rsidR="008E331E" w:rsidRPr="008E331E" w:rsidRDefault="008E331E" w:rsidP="004C6742">
      <w:pPr>
        <w:widowControl w:val="0"/>
        <w:overflowPunct w:val="0"/>
        <w:autoSpaceDE w:val="0"/>
        <w:autoSpaceDN w:val="0"/>
        <w:adjustRightInd w:val="0"/>
        <w:spacing w:line="276" w:lineRule="auto"/>
        <w:textAlignment w:val="baseline"/>
        <w:rPr>
          <w:szCs w:val="20"/>
          <w:lang w:val="en-GB"/>
        </w:rPr>
      </w:pP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Kontakt</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Tlf.</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00 32 2 546 83 78</w:t>
            </w:r>
          </w:p>
        </w:tc>
      </w:tr>
      <w:tr w:rsidR="008E331E" w:rsidRPr="008E331E" w14:paraId="5F4D2CBA" w14:textId="77777777" w:rsidTr="002E7EFB">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E-mail</w:t>
            </w:r>
          </w:p>
        </w:tc>
        <w:tc>
          <w:tcPr>
            <w:tcW w:w="5670" w:type="dxa"/>
          </w:tcPr>
          <w:p w14:paraId="07ADD844" w14:textId="77777777" w:rsidR="008E331E" w:rsidRPr="008E331E" w:rsidRDefault="003A5271" w:rsidP="008E331E">
            <w:pPr>
              <w:overflowPunct w:val="0"/>
              <w:autoSpaceDE w:val="0"/>
              <w:autoSpaceDN w:val="0"/>
              <w:adjustRightInd w:val="0"/>
              <w:spacing w:line="240" w:lineRule="auto"/>
              <w:textAlignment w:val="baseline"/>
              <w:rPr>
                <w:i/>
              </w:rPr>
            </w:pPr>
            <w:hyperlink r:id="rId38" w:history="1">
              <w:proofErr w:type="spellStart"/>
              <w:r>
                <w:rPr>
                  <w:i/>
                  <w:color w:val="0000FF"/>
                  <w:u w:val="single"/>
                </w:rPr>
                <w:t>Silvia.Staffa@eesc.europa.eu</w:t>
              </w:r>
              <w:proofErr w:type="spellEnd"/>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221A2447" w:rsidR="00882D0D" w:rsidRPr="004C6742" w:rsidRDefault="00882D0D" w:rsidP="0050478A">
      <w:pPr>
        <w:widowControl w:val="0"/>
        <w:numPr>
          <w:ilvl w:val="0"/>
          <w:numId w:val="4"/>
        </w:numPr>
        <w:overflowPunct w:val="0"/>
        <w:autoSpaceDE w:val="0"/>
        <w:autoSpaceDN w:val="0"/>
        <w:adjustRightInd w:val="0"/>
        <w:spacing w:after="120"/>
        <w:ind w:hanging="567"/>
        <w:textAlignment w:val="baseline"/>
        <w:rPr>
          <w:b/>
          <w:i/>
          <w:sz w:val="32"/>
          <w:szCs w:val="32"/>
        </w:rPr>
      </w:pPr>
      <w:hyperlink r:id="rId39" w:tgtFrame="_blank" w:history="1">
        <w:r>
          <w:rPr>
            <w:b/>
            <w:i/>
            <w:color w:val="0000FF"/>
            <w:sz w:val="32"/>
            <w:u w:val="single"/>
          </w:rPr>
          <w:t>Evaluering af forordning (EU) 2019/1020 om markedsovervågning og produktoverensstemmelse</w:t>
        </w:r>
      </w:hyperlink>
    </w:p>
    <w:p w14:paraId="3DC7A7FA" w14:textId="77777777" w:rsidR="002A0F5D" w:rsidRPr="008C015D" w:rsidRDefault="002A0F5D" w:rsidP="004C6742">
      <w:pPr>
        <w:widowControl w:val="0"/>
        <w:overflowPunct w:val="0"/>
        <w:autoSpaceDE w:val="0"/>
        <w:autoSpaceDN w:val="0"/>
        <w:adjustRightInd w:val="0"/>
        <w:spacing w:after="200" w:line="276" w:lineRule="auto"/>
        <w:ind w:left="360"/>
        <w:contextualSpacing/>
        <w:jc w:val="left"/>
        <w:textAlignment w:val="baseline"/>
        <w:rPr>
          <w:b/>
          <w:i/>
          <w:sz w:val="20"/>
          <w:szCs w:val="20"/>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6820"/>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Ordfører</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Medordfører</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 xml:space="preserve">Antje </w:t>
            </w:r>
            <w:proofErr w:type="spellStart"/>
            <w:r>
              <w:t>Gerstein</w:t>
            </w:r>
            <w:proofErr w:type="spellEnd"/>
            <w:r>
              <w:t xml:space="preserve"> (Arbejdsgivergruppen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proofErr w:type="spellStart"/>
            <w:r>
              <w:t>Anastasis</w:t>
            </w:r>
            <w:proofErr w:type="spellEnd"/>
            <w:r>
              <w:t xml:space="preserve"> </w:t>
            </w:r>
            <w:proofErr w:type="spellStart"/>
            <w:r>
              <w:t>Yiapanis</w:t>
            </w:r>
            <w:proofErr w:type="spellEnd"/>
            <w:r>
              <w:t xml:space="preserve"> (Gruppen af civilsamfundsorganisationer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Ref.</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Evalueringsrapport</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proofErr w:type="gramStart"/>
            <w:r>
              <w:t>COM(</w:t>
            </w:r>
            <w:proofErr w:type="gramEnd"/>
            <w:r>
              <w:t>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proofErr w:type="spellStart"/>
            <w:r>
              <w:t>EESC</w:t>
            </w:r>
            <w:proofErr w:type="spellEnd"/>
            <w:r>
              <w:t>-2025-03345-00-00-RE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Hovedpunkter</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proofErr w:type="spellStart"/>
      <w:r>
        <w:t>EØSU</w:t>
      </w:r>
      <w:proofErr w:type="spellEnd"/>
      <w:r>
        <w:t xml:space="preserve"> opfordrer til at:</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vedtages konsoliderede europæiske produktregler</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sikres overensstemmelse mellem forordningen om markedsovervågning, forordningen om produktsikkerhed i almindelighed, den sektorspecifikke lovgivning og EU-toldkodeksen</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det strukturerede samarbejde mellem told- og markedsovervågningsmyndighederne styrkes</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fremtidige revisioner af forordningen om markedsovervågning tager højde for de særlige karakteristika ved AI og andre digitale teknologier</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sikres tilstrækkelige, forudsigelige og resultatbaserede menneskelige og finansielle ressourcer til markedsovervågnings- og toldmyndighederne, som kombineres med målbare gennemførelsesindikatorer</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 nationale myndigheder udstyres med effektive, forholdsmæssige og afskrækkende håndhævelsesværktøjer</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der etableres en styrket europæisk håndhævelseskapacitet, der er i stand til at imødegå systemiske grænseoverskridende risici og omfattende digitale handelsstrømme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vedtages en klar risikobaseret håndhævelsesramme</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håndhævelsesrammen for forordningen om markedsovervågning tilpasses til den logik, der er fastsat i forordningen om digitale tjenester, ved at indføre forholdsmæssige yderligere ansvarsområder for aktører, hvis størrelse skaber systemiske overholdelsesrisici</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udvikles en struktureret partnerskabsramme for overholdelse, der gør det muligt for myndighederne at arbejde proaktivt med økonomiske aktører</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forordningen om markedsovervågning gøres mere forholdsmæssig og tilgængelig for SMV'er og mikrovirksomheder</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oprettes et europæisk observatorium for produkter, der ikke opfylder kravene</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ansvarskæden præciseres og gøres formålstjenestelig ved at indføre minimumskvalitetskriterier for bemyndigede repræsentanter</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proofErr w:type="spellStart"/>
      <w:r>
        <w:t>interoperabiliteten</w:t>
      </w:r>
      <w:proofErr w:type="spellEnd"/>
      <w:r>
        <w:t xml:space="preserve"> mellem informations- og kommunikationssystemet for markedsovervågning (</w:t>
      </w:r>
      <w:proofErr w:type="spellStart"/>
      <w:r>
        <w:t>ICSMS</w:t>
      </w:r>
      <w:proofErr w:type="spellEnd"/>
      <w:r>
        <w:t>), Safety Gate, tolddatabaser og andre relevante systemer forbedres</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sikres regelmæssig og tilgængelig offentliggørelse og formidling af håndhævelsesresultater</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sikres en større struktureret inddragelse af civilsamfundet og arbejdsmarkedets parter gennem formelle høringsmekanismer, permanente dialogplatforme, tidlig inddragelse i den lovgivningsmæssige udvikling og forbedret adgang til oplysninger og digitale grænseflader med henblik på interaktion med myndighederne</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lastRenderedPageBreak/>
        <w:t>der ydes kapacitetsopbygningsstøtte og tilbydes målrettet uddannelse til både myndigheder og civilsamfundsaktører</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der indføres enkle og effektive værktøjer til indberetning af svigagtig reklame.</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499"/>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Kontakt</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Tlf.</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00 32 2 546 97 32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E-mail</w:t>
            </w:r>
          </w:p>
        </w:tc>
        <w:tc>
          <w:tcPr>
            <w:tcW w:w="3444" w:type="pct"/>
          </w:tcPr>
          <w:p w14:paraId="22B253E8" w14:textId="77777777" w:rsidR="00882D0D" w:rsidRPr="00882D0D" w:rsidRDefault="003A5271" w:rsidP="00882D0D">
            <w:pPr>
              <w:overflowPunct w:val="0"/>
              <w:autoSpaceDE w:val="0"/>
              <w:autoSpaceDN w:val="0"/>
              <w:adjustRightInd w:val="0"/>
              <w:spacing w:line="240" w:lineRule="auto"/>
              <w:textAlignment w:val="baseline"/>
              <w:rPr>
                <w:i/>
                <w:iCs/>
              </w:rPr>
            </w:pPr>
            <w:hyperlink r:id="rId40" w:history="1">
              <w:proofErr w:type="spellStart"/>
              <w:r>
                <w:rPr>
                  <w:i/>
                  <w:color w:val="0000FF"/>
                  <w:u w:val="single"/>
                </w:rPr>
                <w:t>Annalisa.Tessarolo@eesc.europa.eu</w:t>
              </w:r>
              <w:proofErr w:type="spellEnd"/>
            </w:hyperlink>
          </w:p>
        </w:tc>
      </w:tr>
    </w:tbl>
    <w:p w14:paraId="5CBAA359" w14:textId="1C551085" w:rsidR="00A067F3" w:rsidRDefault="00A067F3">
      <w:pPr>
        <w:spacing w:after="160" w:line="259" w:lineRule="auto"/>
        <w:jc w:val="left"/>
        <w:rPr>
          <w:szCs w:val="20"/>
          <w:lang w:val="nl-BE"/>
        </w:rPr>
      </w:pPr>
    </w:p>
    <w:p w14:paraId="1D1D0069" w14:textId="04581F81" w:rsidR="007C6EFD" w:rsidRDefault="00A067F3">
      <w:pPr>
        <w:spacing w:after="160" w:line="259" w:lineRule="auto"/>
        <w:jc w:val="left"/>
      </w:pPr>
      <w:r>
        <w:br w:type="page"/>
      </w:r>
    </w:p>
    <w:p w14:paraId="58C55E8F" w14:textId="45F5002C" w:rsidR="00426604" w:rsidRPr="00426604" w:rsidRDefault="003A5271" w:rsidP="0050478A">
      <w:pPr>
        <w:widowControl w:val="0"/>
        <w:numPr>
          <w:ilvl w:val="0"/>
          <w:numId w:val="4"/>
        </w:numPr>
        <w:overflowPunct w:val="0"/>
        <w:autoSpaceDE w:val="0"/>
        <w:autoSpaceDN w:val="0"/>
        <w:adjustRightInd w:val="0"/>
        <w:spacing w:after="120"/>
        <w:ind w:hanging="567"/>
        <w:textAlignment w:val="baseline"/>
        <w:rPr>
          <w:sz w:val="20"/>
          <w:szCs w:val="20"/>
        </w:rPr>
      </w:pPr>
      <w:hyperlink r:id="rId41" w:history="1">
        <w:r>
          <w:rPr>
            <w:b/>
            <w:i/>
            <w:color w:val="0000FF"/>
            <w:sz w:val="28"/>
            <w:u w:val="single"/>
          </w:rPr>
          <w:t>Forbrugerdagsorden 2030</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Ordfører</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 xml:space="preserve">Thierry </w:t>
            </w:r>
            <w:proofErr w:type="spellStart"/>
            <w:r>
              <w:t>Libaert</w:t>
            </w:r>
            <w:proofErr w:type="spellEnd"/>
            <w:r>
              <w:t xml:space="preserve"> (Gruppen af civilsamfundsorganisationer –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8C015D" w:rsidRPr="00426604" w14:paraId="0E79D1B5" w14:textId="77777777" w:rsidTr="00CD23D3">
        <w:trPr>
          <w:trHeight w:val="828"/>
        </w:trPr>
        <w:tc>
          <w:tcPr>
            <w:tcW w:w="1701" w:type="dxa"/>
          </w:tcPr>
          <w:p w14:paraId="434AA7EC" w14:textId="77777777" w:rsidR="008C015D" w:rsidRPr="00426604" w:rsidRDefault="008C015D" w:rsidP="00426604">
            <w:pPr>
              <w:tabs>
                <w:tab w:val="center" w:pos="284"/>
              </w:tabs>
              <w:overflowPunct w:val="0"/>
              <w:autoSpaceDE w:val="0"/>
              <w:autoSpaceDN w:val="0"/>
              <w:adjustRightInd w:val="0"/>
              <w:ind w:left="266" w:hanging="266"/>
              <w:textAlignment w:val="baseline"/>
              <w:rPr>
                <w:b/>
              </w:rPr>
            </w:pPr>
            <w:r>
              <w:rPr>
                <w:b/>
              </w:rPr>
              <w:t>Ref.</w:t>
            </w:r>
          </w:p>
        </w:tc>
        <w:tc>
          <w:tcPr>
            <w:tcW w:w="5812" w:type="dxa"/>
          </w:tcPr>
          <w:p w14:paraId="2218EA85" w14:textId="77777777" w:rsidR="008C015D" w:rsidRPr="00426604" w:rsidRDefault="008C015D" w:rsidP="00426604">
            <w:pPr>
              <w:tabs>
                <w:tab w:val="center" w:pos="284"/>
              </w:tabs>
              <w:overflowPunct w:val="0"/>
              <w:autoSpaceDE w:val="0"/>
              <w:autoSpaceDN w:val="0"/>
              <w:adjustRightInd w:val="0"/>
              <w:ind w:left="266" w:hanging="266"/>
              <w:textAlignment w:val="baseline"/>
            </w:pPr>
            <w:proofErr w:type="gramStart"/>
            <w:r>
              <w:t>COM(</w:t>
            </w:r>
            <w:proofErr w:type="gramEnd"/>
            <w:r>
              <w:t>2025) 848 final</w:t>
            </w:r>
          </w:p>
          <w:p w14:paraId="30E9A55E" w14:textId="77777777" w:rsidR="008C015D" w:rsidRPr="00426604" w:rsidRDefault="008C015D" w:rsidP="00426604">
            <w:pPr>
              <w:tabs>
                <w:tab w:val="center" w:pos="284"/>
              </w:tabs>
              <w:overflowPunct w:val="0"/>
              <w:autoSpaceDE w:val="0"/>
              <w:autoSpaceDN w:val="0"/>
              <w:adjustRightInd w:val="0"/>
              <w:ind w:left="266" w:hanging="266"/>
              <w:textAlignment w:val="baseline"/>
            </w:pPr>
            <w:proofErr w:type="spellStart"/>
            <w:r>
              <w:t>EESC</w:t>
            </w:r>
            <w:proofErr w:type="spellEnd"/>
            <w:r>
              <w:t>-2025-03969-00-00-AC</w:t>
            </w: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Hovedpunkter</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proofErr w:type="spellStart"/>
      <w:r>
        <w:t>EØSU</w:t>
      </w:r>
      <w:proofErr w:type="spellEnd"/>
      <w:r>
        <w:t>:</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hilser forbrugerdagsordenen 2025-2030 velkommen. Både i form og indhold er der tale om en fremragende rammetekst for forbrugerbeskyttelse i de kommende år</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så gerne, at Kommissionen ville foreslå en bredere strategi for forbrugerne, som ikke indskrænker sig til blot at handle om rettigheder</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ville gerne kunne råde over en struktureret, detaljeret og talbaseret analyse af den foregående dagsorden med henblik på at kunne foretage en mere komplet evaluering</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støtter forenklingstiltagene, men understreger, at de ikke må føre til en forringelse af forbrugerbeskyttelsen</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mener, at det i forbindelse med forbrugerbeskyttelse er nødvendigt at tage hensyn til en lang række forskellige situationer, bl.a. kommercielle ørkener og visse forbrugergruppers sårbarhed</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ser gerne en hurtigere og grundigere kontrol af importerede produkters farlighed, navnlig de produkter der sælges gennem e-handelsplatforme med hjemsted uden for Den Europæiske Union</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opfordrer til, at der i højere grad gøres brug af såkaldt mikroretfærdighed til at bilægge tvister, der involverer små beløb</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støtter digitaliseringsforanstaltninger, men opfordrer til, at det sikres, at forbrugerne i forbindelse med enhver klage altid i sidste ende skal have mulighed for at tale med et menneske for at få svar på deres spørgsmål</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opfordrer Kommissionen til at udvise større interesse for produkters cirkularitet og bæredygtighed</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anbefaler, at der indføres en stærk forbrugerbeskyttelsespolitik mod kommercielle budskaber fra influencere, især når de henvender sig til børn</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opfordrer medlemsstaterne til at støtte forbrugerorganisationer.</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Kontakt</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Tlf.</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00 32 2 546 81 88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E-mail</w:t>
            </w:r>
          </w:p>
        </w:tc>
        <w:tc>
          <w:tcPr>
            <w:tcW w:w="5670" w:type="dxa"/>
          </w:tcPr>
          <w:p w14:paraId="21BA9078" w14:textId="77777777" w:rsidR="00426604" w:rsidRPr="00426604" w:rsidRDefault="003A5271" w:rsidP="00426604">
            <w:pPr>
              <w:overflowPunct w:val="0"/>
              <w:autoSpaceDE w:val="0"/>
              <w:autoSpaceDN w:val="0"/>
              <w:adjustRightInd w:val="0"/>
              <w:spacing w:line="240" w:lineRule="auto"/>
              <w:textAlignment w:val="baseline"/>
              <w:rPr>
                <w:i/>
              </w:rPr>
            </w:pPr>
            <w:hyperlink r:id="rId42" w:history="1">
              <w:proofErr w:type="spellStart"/>
              <w:r>
                <w:rPr>
                  <w:i/>
                  <w:color w:val="0000FF"/>
                  <w:u w:val="single"/>
                </w:rPr>
                <w:t>Radoslava.Stefankova@eesc.europa.eu</w:t>
              </w:r>
              <w:proofErr w:type="spellEnd"/>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2356C935" w:rsidR="00A83352" w:rsidRPr="00A83352" w:rsidRDefault="003A5271"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 xml:space="preserve">Forordning om </w:t>
        </w:r>
        <w:proofErr w:type="spellStart"/>
        <w:r>
          <w:rPr>
            <w:b/>
            <w:i/>
            <w:color w:val="0000FF"/>
            <w:sz w:val="28"/>
            <w:u w:val="single"/>
          </w:rPr>
          <w:t>cybersikkerhed</w:t>
        </w:r>
        <w:proofErr w:type="spellEnd"/>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Ordfører</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 xml:space="preserve">Miroslav </w:t>
            </w:r>
            <w:proofErr w:type="spellStart"/>
            <w:r>
              <w:t>Hajnoš</w:t>
            </w:r>
            <w:proofErr w:type="spellEnd"/>
            <w:r>
              <w:t xml:space="preserve"> (Arbejdstagergruppen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Ref.</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proofErr w:type="gramStart"/>
            <w:r>
              <w:t>COM(</w:t>
            </w:r>
            <w:proofErr w:type="gramEnd"/>
            <w:r>
              <w:t xml:space="preserve">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proofErr w:type="gramStart"/>
            <w:r>
              <w:t>COM(</w:t>
            </w:r>
            <w:proofErr w:type="gramEnd"/>
            <w:r>
              <w:t xml:space="preserve">2026) 13 final </w:t>
            </w:r>
          </w:p>
          <w:p w14:paraId="0B733C5A" w14:textId="5D38B621" w:rsidR="004D2D6F" w:rsidRPr="008C015D" w:rsidRDefault="007A3096" w:rsidP="008C015D">
            <w:pPr>
              <w:tabs>
                <w:tab w:val="center" w:pos="284"/>
              </w:tabs>
              <w:overflowPunct w:val="0"/>
              <w:autoSpaceDE w:val="0"/>
              <w:autoSpaceDN w:val="0"/>
              <w:adjustRightInd w:val="0"/>
              <w:ind w:left="266" w:hanging="266"/>
              <w:textAlignment w:val="baseline"/>
            </w:pPr>
            <w:proofErr w:type="spellStart"/>
            <w:r>
              <w:t>EESC</w:t>
            </w:r>
            <w:proofErr w:type="spellEnd"/>
            <w:r>
              <w:t>-2026-00075-00-00-AC</w:t>
            </w: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Hovedpunkter</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proofErr w:type="spellStart"/>
      <w:r>
        <w:t>EØSU</w:t>
      </w:r>
      <w:proofErr w:type="spellEnd"/>
      <w:r>
        <w:t xml:space="preserve">: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glæder sig over revisionen af forordningen om </w:t>
      </w:r>
      <w:proofErr w:type="spellStart"/>
      <w:r>
        <w:t>cybersikkerhed</w:t>
      </w:r>
      <w:proofErr w:type="spellEnd"/>
      <w:r>
        <w:t xml:space="preserve"> og ændringerne af NIS </w:t>
      </w:r>
      <w:proofErr w:type="spellStart"/>
      <w:r>
        <w:t>2-direktivet</w:t>
      </w:r>
      <w:proofErr w:type="spellEnd"/>
      <w:r>
        <w:t xml:space="preserve"> og understreger, at </w:t>
      </w:r>
      <w:proofErr w:type="spellStart"/>
      <w:r>
        <w:t>cybersikkerhed</w:t>
      </w:r>
      <w:proofErr w:type="spellEnd"/>
      <w:r>
        <w:t xml:space="preserve"> skal betragtes som et</w:t>
      </w:r>
      <w:r>
        <w:rPr>
          <w:b/>
        </w:rPr>
        <w:t xml:space="preserve"> centralt spørgsmål om økonomisk sikkerhed og geopolitisk modstandsdygtighed</w:t>
      </w:r>
      <w:r>
        <w:t>, samtidig med at reglerne forenkles, og de administrative byrder for virksomhederne mindskes</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går ind for et </w:t>
      </w:r>
      <w:r>
        <w:rPr>
          <w:b/>
        </w:rPr>
        <w:t>stærkere ENISA med flere ressourcer</w:t>
      </w:r>
      <w:r>
        <w:t>, som har et klart og konsolideret mandat og tilstrækkelig finansiering og personale til effektivt at opfylde dets udvidede ansvarsområder, herunder inden for udvikling og certificering af færdigheder</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fremhæver, at </w:t>
      </w:r>
      <w:r>
        <w:rPr>
          <w:b/>
        </w:rPr>
        <w:t>arbejdsstyrkens færdigheder og uddannelse</w:t>
      </w:r>
      <w:r>
        <w:t xml:space="preserve"> er afgørende for at sikre </w:t>
      </w:r>
      <w:proofErr w:type="spellStart"/>
      <w:r>
        <w:t>cyberrobusthed</w:t>
      </w:r>
      <w:proofErr w:type="spellEnd"/>
      <w:r>
        <w:t>, og støtter EU-dækkende rammer for færdigheder og certificeringsordninger, under forudsætning af at de forbliver praktiske, koordinerede og tilgængelige på tværs af medlemsstaterne</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fremhæver den stigende betydning af </w:t>
      </w:r>
      <w:proofErr w:type="spellStart"/>
      <w:r>
        <w:t>cybersikkerhed</w:t>
      </w:r>
      <w:proofErr w:type="spellEnd"/>
      <w:r>
        <w:t xml:space="preserve"> for </w:t>
      </w:r>
      <w:r>
        <w:rPr>
          <w:b/>
        </w:rPr>
        <w:t>demokratisk modstandsdygtighed</w:t>
      </w:r>
      <w:r>
        <w:t xml:space="preserve">, og opfordrer indtrængende til </w:t>
      </w:r>
      <w:r>
        <w:rPr>
          <w:b/>
        </w:rPr>
        <w:t>styrket koordinering på EU-plan</w:t>
      </w:r>
      <w:r>
        <w:t xml:space="preserve"> for at beskytte valgsystemerne og kritisk infrastruktur mod </w:t>
      </w:r>
      <w:proofErr w:type="spellStart"/>
      <w:r>
        <w:t>cyberangreb</w:t>
      </w:r>
      <w:proofErr w:type="spellEnd"/>
      <w:r>
        <w:t>, desinformation og udenlandsk indblanding</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støtter en </w:t>
      </w:r>
      <w:r>
        <w:rPr>
          <w:b/>
        </w:rPr>
        <w:t>strømlinet og effektiv certificeringsramme</w:t>
      </w:r>
      <w:r>
        <w:t>, som bygger på en tilgang, hvor én certificering gælder overalt, hvilket vil sikre retssikkerhed, gennemsigtighed og proportionalitet, navnlig for SMV'er og grænseoverskridende aktører</w:t>
      </w:r>
    </w:p>
    <w:p w14:paraId="287DCAC1" w14:textId="6FF7ACAF"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opfordrer indtrængende til, at der anlægges en </w:t>
      </w:r>
      <w:r>
        <w:rPr>
          <w:b/>
        </w:rPr>
        <w:t>afbalanceret tilgang til sikkerheden i IKT</w:t>
      </w:r>
      <w:r w:rsidR="008C015D">
        <w:rPr>
          <w:b/>
        </w:rPr>
        <w:noBreakHyphen/>
      </w:r>
      <w:r>
        <w:rPr>
          <w:b/>
        </w:rPr>
        <w:t>forsyningskæderne</w:t>
      </w:r>
      <w:r>
        <w:t xml:space="preserve"> med gennemsigtige og risikobaserede foranstaltninger og en fuldstændig vurdering af de økonomiske, operationelle og sociale virkninger, samtidig med at man undgår uforholdsmæssigt store overholdelsesbyrder og sikrer stor inddragelse af arbejdsmarkedets parter og interessenter.</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Kontakt</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Tlf.</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00 32 2 546 83 78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E-mail</w:t>
            </w:r>
          </w:p>
        </w:tc>
        <w:tc>
          <w:tcPr>
            <w:tcW w:w="5670" w:type="dxa"/>
          </w:tcPr>
          <w:p w14:paraId="1D8269C1" w14:textId="77777777" w:rsidR="00A83352" w:rsidRPr="00A83352" w:rsidRDefault="003A5271" w:rsidP="00A83352">
            <w:pPr>
              <w:overflowPunct w:val="0"/>
              <w:autoSpaceDE w:val="0"/>
              <w:autoSpaceDN w:val="0"/>
              <w:adjustRightInd w:val="0"/>
              <w:spacing w:line="240" w:lineRule="auto"/>
              <w:textAlignment w:val="baseline"/>
              <w:rPr>
                <w:i/>
              </w:rPr>
            </w:pPr>
            <w:hyperlink r:id="rId44" w:history="1">
              <w:proofErr w:type="spellStart"/>
              <w:r>
                <w:rPr>
                  <w:i/>
                  <w:color w:val="0000FF"/>
                  <w:u w:val="single"/>
                </w:rPr>
                <w:t>Silvia.Staffa@eesc.europa.eu</w:t>
              </w:r>
              <w:proofErr w:type="spellEnd"/>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67875F69" w:rsidR="00665940" w:rsidRPr="00665940" w:rsidRDefault="003A5271" w:rsidP="0050478A">
      <w:pPr>
        <w:widowControl w:val="0"/>
        <w:numPr>
          <w:ilvl w:val="0"/>
          <w:numId w:val="4"/>
        </w:numPr>
        <w:overflowPunct w:val="0"/>
        <w:autoSpaceDE w:val="0"/>
        <w:autoSpaceDN w:val="0"/>
        <w:adjustRightInd w:val="0"/>
        <w:spacing w:after="120"/>
        <w:ind w:hanging="567"/>
        <w:textAlignment w:val="baseline"/>
        <w:rPr>
          <w:sz w:val="20"/>
          <w:szCs w:val="20"/>
        </w:rPr>
      </w:pPr>
      <w:hyperlink r:id="rId45" w:history="1">
        <w:r>
          <w:rPr>
            <w:b/>
            <w:i/>
            <w:color w:val="0000FF"/>
            <w:sz w:val="28"/>
            <w:u w:val="single"/>
          </w:rPr>
          <w:t>Udvikling af et europæisk center for klinisk ekspertise inden for lægemidler</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7398"/>
      </w:tblGrid>
      <w:tr w:rsidR="00665940" w:rsidRPr="00665940" w14:paraId="42EBD1F0" w14:textId="77777777" w:rsidTr="008C015D">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Ordfører</w:t>
            </w:r>
          </w:p>
        </w:tc>
        <w:tc>
          <w:tcPr>
            <w:tcW w:w="6663"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proofErr w:type="spellStart"/>
            <w:r>
              <w:t>Veselin</w:t>
            </w:r>
            <w:proofErr w:type="spellEnd"/>
            <w:r>
              <w:t xml:space="preserve"> </w:t>
            </w:r>
            <w:proofErr w:type="spellStart"/>
            <w:r>
              <w:t>Mitov</w:t>
            </w:r>
            <w:proofErr w:type="spellEnd"/>
            <w:r>
              <w:t xml:space="preserve"> (Arbejdstagergruppen – BG)</w:t>
            </w:r>
          </w:p>
        </w:tc>
      </w:tr>
      <w:tr w:rsidR="00665940" w:rsidRPr="00665940" w14:paraId="4D35B05F" w14:textId="77777777" w:rsidTr="008C015D">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8C015D">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Ref.</w:t>
            </w:r>
          </w:p>
        </w:tc>
        <w:tc>
          <w:tcPr>
            <w:tcW w:w="6663" w:type="dxa"/>
          </w:tcPr>
          <w:p w14:paraId="0BCAF6AE" w14:textId="03E7889E" w:rsidR="00665940" w:rsidRPr="00665940" w:rsidRDefault="00665940" w:rsidP="008C015D">
            <w:pPr>
              <w:overflowPunct w:val="0"/>
              <w:autoSpaceDE w:val="0"/>
              <w:autoSpaceDN w:val="0"/>
              <w:adjustRightInd w:val="0"/>
              <w:ind w:right="-70"/>
              <w:textAlignment w:val="baseline"/>
            </w:pPr>
            <w:r>
              <w:t>Sonderende udtalelse på anmodning af det cypriotiske formandskab for Rådet for Den Europæiske Union</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proofErr w:type="spellStart"/>
            <w:r>
              <w:t>EESC</w:t>
            </w:r>
            <w:proofErr w:type="spellEnd"/>
            <w:r>
              <w:t>-2025-03937-00-00-AC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Hovedpunkter</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proofErr w:type="spellStart"/>
      <w:r>
        <w:t>EØSU</w:t>
      </w:r>
      <w:proofErr w:type="spellEnd"/>
      <w:r>
        <w:t>:</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anbefaler, at der oprettes et europæisk center for klinisk ekspertise (</w:t>
      </w:r>
      <w:proofErr w:type="spellStart"/>
      <w:r>
        <w:t>ECCE</w:t>
      </w:r>
      <w:proofErr w:type="spellEnd"/>
      <w:r>
        <w:t>) som et ikkebindende EU-referenceorgan. Organet skal sikre, at videnskabelig dokumentation omsættes til kliniske retningslinjer af høj kvalitet under fuld overholdelse af nærhedsprincippet og proportionalitetsprincippet, og fremme en fair adgang til sundhedspleje af høj kvalitet i hele EU</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mener, at </w:t>
      </w:r>
      <w:proofErr w:type="spellStart"/>
      <w:r>
        <w:t>ECCE</w:t>
      </w:r>
      <w:proofErr w:type="spellEnd"/>
      <w:r>
        <w:t xml:space="preserve"> bør integreres i en bredere EU-strategi for modstandsdygtighed på sundhedsområdet, der skal styrke videnskabeligt samarbejde, udbredelsen af innovation og EU's strategiske autonomi</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mener, at </w:t>
      </w:r>
      <w:proofErr w:type="spellStart"/>
      <w:r>
        <w:t>ECCE</w:t>
      </w:r>
      <w:proofErr w:type="spellEnd"/>
      <w:r>
        <w:t xml:space="preserve"> bør supplere og ikke erstatte eksisterende strukturer på EU-plan og nationalt plan, optræde som et fælles videnskabeligt referencepunkt og fungere inden for en stærk forvaltningsramme</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har den holdning, at </w:t>
      </w:r>
      <w:proofErr w:type="spellStart"/>
      <w:r>
        <w:t>ECCE's</w:t>
      </w:r>
      <w:proofErr w:type="spellEnd"/>
      <w:r>
        <w:t xml:space="preserve"> mandat bør være klart defineret og centreret om høj videnskabelig kvalitet, gennemsigtighed og praktisk relevans med fokus på systematisk analyse og sammenfatning af kliniske data, herunder fælles kliniske vurderinger og evidens fra den virkelige verden. </w:t>
      </w:r>
      <w:proofErr w:type="spellStart"/>
      <w:r>
        <w:t>ECCE</w:t>
      </w:r>
      <w:proofErr w:type="spellEnd"/>
      <w:r>
        <w:t xml:space="preserve"> bør udarbejde ikkebindende, evidensbaserede anbefalinger om </w:t>
      </w:r>
      <w:proofErr w:type="spellStart"/>
      <w:r>
        <w:t>farmakoterapi</w:t>
      </w:r>
      <w:proofErr w:type="spellEnd"/>
      <w:r>
        <w:t xml:space="preserve"> og kliniske protokoller til støtte for den nationale beslutningstagning</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 xml:space="preserve">anbefaler, at </w:t>
      </w:r>
      <w:proofErr w:type="spellStart"/>
      <w:r>
        <w:t>ECCE</w:t>
      </w:r>
      <w:proofErr w:type="spellEnd"/>
      <w:r>
        <w:t xml:space="preserve"> oprettes som et nyt decentraliseret EU-organ for at sikre videnskabelig sammenhæng, institutionel kontinuitet og uafhængighed, og at centret forvaltes ved hjælp af en afbalanceret model med flere niveauer bestående af medlemsstaterne, Kommissionen og det organiserede civilsamfund</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 xml:space="preserve">mener, at en stabil, tilstrækkelig og forudsigelig finansiering fra EU-budgettet er en forudsætning for </w:t>
      </w:r>
      <w:proofErr w:type="spellStart"/>
      <w:r>
        <w:t>ECCE's</w:t>
      </w:r>
      <w:proofErr w:type="spellEnd"/>
      <w:r>
        <w:t xml:space="preserve"> troværdighed og uafhængighed og for gennemslagskraften på lang sigt. Enhver supplerende finansiering skal være strengt reguleret og fuldstændig gennemsigtig for at forhindre utilbørlig påvirkning af videnskabelige resultater.</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Kontakt</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Tlf.</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00 32 2 546 81 88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E-mail</w:t>
            </w:r>
          </w:p>
        </w:tc>
        <w:tc>
          <w:tcPr>
            <w:tcW w:w="5670" w:type="dxa"/>
          </w:tcPr>
          <w:p w14:paraId="51562D55" w14:textId="77777777" w:rsidR="00665940" w:rsidRPr="00665940" w:rsidRDefault="003A5271" w:rsidP="00665940">
            <w:pPr>
              <w:overflowPunct w:val="0"/>
              <w:autoSpaceDE w:val="0"/>
              <w:autoSpaceDN w:val="0"/>
              <w:adjustRightInd w:val="0"/>
              <w:spacing w:line="240" w:lineRule="auto"/>
              <w:textAlignment w:val="baseline"/>
              <w:rPr>
                <w:i/>
              </w:rPr>
            </w:pPr>
            <w:hyperlink r:id="rId46" w:history="1">
              <w:proofErr w:type="spellStart"/>
              <w:r>
                <w:rPr>
                  <w:i/>
                  <w:color w:val="0000FF"/>
                  <w:u w:val="single"/>
                </w:rPr>
                <w:t>Radoslava.Stefankova@eesc.europa.eu</w:t>
              </w:r>
              <w:proofErr w:type="spellEnd"/>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7E21D025" w:rsidR="00445258" w:rsidRPr="00445258"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proofErr w:type="spellStart"/>
        <w:r>
          <w:rPr>
            <w:b/>
            <w:i/>
            <w:color w:val="0000FF"/>
            <w:sz w:val="28"/>
            <w:u w:val="single"/>
          </w:rPr>
          <w:t>Narkotikaprækursorer</w:t>
        </w:r>
        <w:proofErr w:type="spellEnd"/>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6820"/>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Ordfører</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 xml:space="preserve">Diego </w:t>
            </w:r>
            <w:proofErr w:type="spellStart"/>
            <w:r>
              <w:t>Dutto</w:t>
            </w:r>
            <w:proofErr w:type="spellEnd"/>
            <w:r>
              <w:t xml:space="preserve"> (Gruppen af civilsamfundsorganisationer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Ref.</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proofErr w:type="gramStart"/>
            <w:r>
              <w:t>COM(</w:t>
            </w:r>
            <w:proofErr w:type="gramEnd"/>
            <w:r>
              <w:t xml:space="preserve">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proofErr w:type="spellStart"/>
            <w:r>
              <w:t>EESC</w:t>
            </w:r>
            <w:proofErr w:type="spellEnd"/>
            <w:r>
              <w:t>-2025-04277-00-00-AC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Hovedpunkter</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proofErr w:type="spellStart"/>
      <w:r>
        <w:t>EØSU</w:t>
      </w:r>
      <w:proofErr w:type="spellEnd"/>
      <w:r>
        <w:t xml:space="preserve"> anbefaler følgende:</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sikre, at der er fuldstændig gratis adgang til "informationsregistret for </w:t>
      </w:r>
      <w:proofErr w:type="spellStart"/>
      <w:r>
        <w:t>narkotikaprækursorer</w:t>
      </w:r>
      <w:proofErr w:type="spellEnd"/>
      <w:r>
        <w:t>"</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sørge for fuldstændige fritagelser for eller betydelige nedsættelser af gebyrer for udstedelse af licenser for universiteter, forskningsinstitutter og filantropiske organisationer</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strømline procedurerne for forhåndsmeddelelse om anvendelse af små mængder af </w:t>
      </w:r>
      <w:proofErr w:type="spellStart"/>
      <w:r>
        <w:t>designerprækursorer</w:t>
      </w:r>
      <w:proofErr w:type="spellEnd"/>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oprette en særlig kanal om tekniske retningslinjer for alle interessenter, herunder organisationer i den tredje sektor, med hurtig præcisering af klassificeringen af stofvarianter</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undgå juridisk usikkerhed for forskningslaboratorier som følge af generisk optagelse af stofgrupper i kategori 3 ved at offentliggøre klare, rettidige og udtømmende undtagelseslister</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inddrage civilsamfundsorganisationer, der er specialiseret i forebyggelse af afhængighed og skadesbegrænsning, i oplysnings- og uddannelsesaktiviteter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anvende forpligtelsen til at udpege en "ansvarlig medarbejder" med fleksibilitet for små civile organisationer, så det er muligt at udpege eksisterende internt personale</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opnå ensartet regulering i EU. Dette vil hjælpe myndighederne med at spore handel med og anvendelse af stoffer inden for forskning i Europa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beskytte uafhængigheden for forskere, der anvender kategori 3-</w:t>
      </w:r>
      <w:proofErr w:type="spellStart"/>
      <w:r>
        <w:t>prækursorer</w:t>
      </w:r>
      <w:proofErr w:type="spellEnd"/>
      <w:r>
        <w:t>, ved at sikre, at de ansvarlige myndigheders kontrol er risikobaseret og ikke griber ind i videnskabelige forskningsprotokollers fortrolighed eller integritet.</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499"/>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Kontakt</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Tlf.</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00 32 2 546 81 88</w:t>
            </w:r>
          </w:p>
        </w:tc>
      </w:tr>
      <w:tr w:rsidR="00445258" w:rsidRPr="00445258" w14:paraId="751CD754" w14:textId="77777777" w:rsidTr="002E7EFB">
        <w:tc>
          <w:tcPr>
            <w:tcW w:w="1556"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E-mail</w:t>
            </w:r>
          </w:p>
        </w:tc>
        <w:tc>
          <w:tcPr>
            <w:tcW w:w="3444" w:type="pct"/>
          </w:tcPr>
          <w:p w14:paraId="7DA66FD2" w14:textId="77777777" w:rsidR="00445258" w:rsidRPr="00445258" w:rsidRDefault="003A5271" w:rsidP="00445258">
            <w:pPr>
              <w:overflowPunct w:val="0"/>
              <w:autoSpaceDE w:val="0"/>
              <w:autoSpaceDN w:val="0"/>
              <w:adjustRightInd w:val="0"/>
              <w:spacing w:line="240" w:lineRule="auto"/>
              <w:textAlignment w:val="baseline"/>
              <w:rPr>
                <w:i/>
                <w:iCs/>
              </w:rPr>
            </w:pPr>
            <w:hyperlink r:id="rId48" w:history="1">
              <w:proofErr w:type="spellStart"/>
              <w:r>
                <w:rPr>
                  <w:i/>
                  <w:color w:val="0000FF"/>
                  <w:u w:val="single"/>
                </w:rPr>
                <w:t>Radoslava.Stefankova@eesc.europa.eu</w:t>
              </w:r>
              <w:proofErr w:type="spellEnd"/>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7960F288"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 xml:space="preserve">Forslag til forordning – Forenkling af reglerne om medicinsk udstyr og in </w:t>
        </w:r>
        <w:proofErr w:type="spellStart"/>
        <w:r>
          <w:rPr>
            <w:b/>
            <w:i/>
            <w:color w:val="0000FF"/>
            <w:sz w:val="28"/>
            <w:u w:val="single"/>
          </w:rPr>
          <w:t>vitro</w:t>
        </w:r>
        <w:proofErr w:type="spellEnd"/>
        <w:r>
          <w:rPr>
            <w:b/>
            <w:i/>
            <w:color w:val="0000FF"/>
            <w:sz w:val="28"/>
            <w:u w:val="single"/>
          </w:rPr>
          <w:t>-diagnostik</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238"/>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Ordfører</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proofErr w:type="spellStart"/>
            <w:r>
              <w:t>Danko</w:t>
            </w:r>
            <w:proofErr w:type="spellEnd"/>
            <w:r>
              <w:t xml:space="preserve"> </w:t>
            </w:r>
            <w:proofErr w:type="spellStart"/>
            <w:r>
              <w:t>Relić</w:t>
            </w:r>
            <w:proofErr w:type="spellEnd"/>
            <w:r>
              <w:t xml:space="preserve"> (Gruppen af civilsamfundsorganisationer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Ref.</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proofErr w:type="gramStart"/>
            <w:r>
              <w:t>COM(</w:t>
            </w:r>
            <w:proofErr w:type="gramEnd"/>
            <w:r>
              <w:t xml:space="preserve">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proofErr w:type="spellStart"/>
            <w:r>
              <w:t>EESC</w:t>
            </w:r>
            <w:proofErr w:type="spellEnd"/>
            <w:r>
              <w:t>-2025-04298-00-00-AC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Hovedpunkter</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proofErr w:type="spellStart"/>
      <w:r>
        <w:t>EØSU</w:t>
      </w:r>
      <w:proofErr w:type="spellEnd"/>
      <w:r>
        <w:t>:</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1D4ABC00" w:rsidR="00DE758A" w:rsidRPr="004C6742" w:rsidRDefault="00DE758A" w:rsidP="004C6742">
      <w:pPr>
        <w:pStyle w:val="ListParagraph"/>
        <w:numPr>
          <w:ilvl w:val="0"/>
          <w:numId w:val="77"/>
        </w:numPr>
        <w:ind w:left="567" w:hanging="567"/>
      </w:pPr>
      <w:r>
        <w:t xml:space="preserve">glæder sig over Kommissionens forslag om at forenkle og strømline forordningen om medicinsk udstyr (MD-forordningen) og forordningen om medicinsk udstyr til in </w:t>
      </w:r>
      <w:proofErr w:type="spellStart"/>
      <w:r>
        <w:t>vitro</w:t>
      </w:r>
      <w:proofErr w:type="spellEnd"/>
      <w:r>
        <w:t>-diagnostik (</w:t>
      </w:r>
      <w:proofErr w:type="spellStart"/>
      <w:r>
        <w:t>IVD</w:t>
      </w:r>
      <w:proofErr w:type="spellEnd"/>
      <w:r w:rsidR="008C015D">
        <w:noBreakHyphen/>
      </w:r>
      <w:r>
        <w:t>forordningen), samtidig med at der sikres patientsikkerhed, beskyttelse af folkesundheden og tillid til reguleringssystemet</w:t>
      </w:r>
    </w:p>
    <w:p w14:paraId="3F3B23CD" w14:textId="77777777" w:rsidR="00DE758A" w:rsidRPr="004C6742" w:rsidRDefault="00DE758A" w:rsidP="004C6742">
      <w:pPr>
        <w:pStyle w:val="ListParagraph"/>
        <w:numPr>
          <w:ilvl w:val="0"/>
          <w:numId w:val="77"/>
        </w:numPr>
        <w:ind w:left="567" w:hanging="567"/>
      </w:pPr>
      <w:r>
        <w:t xml:space="preserve">understreger, at </w:t>
      </w:r>
      <w:r>
        <w:rPr>
          <w:b/>
        </w:rPr>
        <w:t>forenkling skal sikre retssikkerhed, forudsigelighed med hensyn til certificeringsresultater og harmoniseret praksis i medlemsstaterne</w:t>
      </w:r>
      <w:r>
        <w:t>, hvorved man undgår forskelle mellem bemyndigede organer og beskytter SMV'er og mikrovirksomheder mod usikkerhed</w:t>
      </w:r>
    </w:p>
    <w:p w14:paraId="5AD93FCB" w14:textId="77777777" w:rsidR="00DE758A" w:rsidRPr="004C6742" w:rsidRDefault="00DE758A" w:rsidP="004C6742">
      <w:pPr>
        <w:pStyle w:val="ListParagraph"/>
        <w:numPr>
          <w:ilvl w:val="0"/>
          <w:numId w:val="77"/>
        </w:numPr>
        <w:ind w:left="567" w:hanging="567"/>
      </w:pPr>
      <w:r>
        <w:t xml:space="preserve">pointerer, at </w:t>
      </w:r>
      <w:r>
        <w:rPr>
          <w:b/>
        </w:rPr>
        <w:t>digitalisering af overensstemmelsesvurderinger og revisioner skal undgå overlappende krav og yderligere omkostninger</w:t>
      </w:r>
      <w:r>
        <w:t>, navnlig for SMV'er, arbejdstagere og sundhedspersonale, og skal understøttes af klar vejledning, uddannelse og teknisk bistand</w:t>
      </w:r>
    </w:p>
    <w:p w14:paraId="5B714428" w14:textId="77777777" w:rsidR="00DE758A" w:rsidRPr="004C6742" w:rsidRDefault="00DE758A" w:rsidP="004C6742">
      <w:pPr>
        <w:pStyle w:val="ListParagraph"/>
        <w:numPr>
          <w:ilvl w:val="0"/>
          <w:numId w:val="77"/>
        </w:numPr>
        <w:ind w:left="567" w:hanging="567"/>
      </w:pPr>
      <w:r>
        <w:t xml:space="preserve">insisterer på, at </w:t>
      </w:r>
      <w:r>
        <w:rPr>
          <w:b/>
        </w:rPr>
        <w:t>forenklingen ikke må undermineres af øgede gebyrer til bemyndigede organer</w:t>
      </w:r>
      <w:r>
        <w:t xml:space="preserve">, og at </w:t>
      </w:r>
      <w:r>
        <w:rPr>
          <w:b/>
        </w:rPr>
        <w:t>systemer til overvågning, efter at udstyret er bragt i omsætning, og sikkerhedsovervågning skal styrkes</w:t>
      </w:r>
      <w:r>
        <w:t xml:space="preserve"> som en vigtig kompenserende foranstaltning for øget fleksibilitet i kravene, før udstyr bringes i omsætning</w:t>
      </w:r>
    </w:p>
    <w:p w14:paraId="2350A493" w14:textId="77777777" w:rsidR="00DE758A" w:rsidRPr="004C6742" w:rsidRDefault="00DE758A" w:rsidP="004C6742">
      <w:pPr>
        <w:pStyle w:val="ListParagraph"/>
        <w:numPr>
          <w:ilvl w:val="0"/>
          <w:numId w:val="77"/>
        </w:numPr>
        <w:ind w:left="567" w:hanging="567"/>
      </w:pPr>
      <w:r>
        <w:t xml:space="preserve">støtter </w:t>
      </w:r>
      <w:r>
        <w:rPr>
          <w:b/>
        </w:rPr>
        <w:t>innovationsvenlige reguleringsforløb for banebrydende udstyr og udstyr til sjældne sygdomme, samtidig med at der sikres gennemsigtighed</w:t>
      </w:r>
      <w:r>
        <w:t xml:space="preserve"> (bl.a. gennem </w:t>
      </w:r>
      <w:proofErr w:type="spellStart"/>
      <w:r>
        <w:t>Eudamed</w:t>
      </w:r>
      <w:proofErr w:type="spellEnd"/>
      <w:r>
        <w:t xml:space="preserve">), og opfordrer til systematisk </w:t>
      </w:r>
      <w:r>
        <w:rPr>
          <w:b/>
        </w:rPr>
        <w:t>inddragelse af arbejdsmarkedets parter, sundhedspersoner og civilsamfundet</w:t>
      </w:r>
      <w:r>
        <w:t xml:space="preserve"> i overvågningen af gennemførelsen og virkningerne.</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8"/>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Kontakt</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Tlf.</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00 32 2 546 83 78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E-mail</w:t>
            </w:r>
          </w:p>
        </w:tc>
        <w:tc>
          <w:tcPr>
            <w:tcW w:w="3941" w:type="pct"/>
          </w:tcPr>
          <w:p w14:paraId="7476247D" w14:textId="77777777" w:rsidR="00DE758A" w:rsidRPr="00DE758A" w:rsidRDefault="003A5271" w:rsidP="00DE758A">
            <w:pPr>
              <w:overflowPunct w:val="0"/>
              <w:autoSpaceDE w:val="0"/>
              <w:autoSpaceDN w:val="0"/>
              <w:adjustRightInd w:val="0"/>
              <w:spacing w:line="240" w:lineRule="auto"/>
              <w:textAlignment w:val="baseline"/>
              <w:rPr>
                <w:i/>
                <w:iCs/>
              </w:rPr>
            </w:pPr>
            <w:hyperlink r:id="rId50" w:history="1">
              <w:proofErr w:type="spellStart"/>
              <w:r>
                <w:rPr>
                  <w:i/>
                  <w:color w:val="0000FF"/>
                  <w:u w:val="single"/>
                </w:rPr>
                <w:t>Silvia.Staffa@eesc.europa.eu</w:t>
              </w:r>
              <w:proofErr w:type="spellEnd"/>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2EFA7F4B"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Strategisk standardisering med henblik på at styrke det indre marked</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Ordfører</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 xml:space="preserve">Angelo </w:t>
            </w:r>
            <w:proofErr w:type="spellStart"/>
            <w:r>
              <w:t>Pagliara</w:t>
            </w:r>
            <w:proofErr w:type="spellEnd"/>
            <w:r>
              <w:t xml:space="preserve"> (Arbejdstagergruppen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Ref.</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Initiativudtalelse</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proofErr w:type="spellStart"/>
            <w:r>
              <w:t>EESC</w:t>
            </w:r>
            <w:proofErr w:type="spellEnd"/>
            <w:r>
              <w:t>-2026-00549-00-00-AC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Hovedpunkter</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proofErr w:type="spellStart"/>
      <w:r>
        <w:t>EØSU</w:t>
      </w:r>
      <w:proofErr w:type="spellEnd"/>
      <w:r>
        <w:t>:</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understreger, at </w:t>
      </w:r>
      <w:r>
        <w:rPr>
          <w:b/>
        </w:rPr>
        <w:t>inklusion</w:t>
      </w:r>
      <w:r>
        <w:t xml:space="preserve"> er afgørende for det europæiske standardiseringssystems legitimitet og effektivitet, og opfordrer til, at </w:t>
      </w:r>
      <w:r>
        <w:rPr>
          <w:b/>
        </w:rPr>
        <w:t>SMV'er, fagforeninger og civilsamfundsorganisationer inddrages mere</w:t>
      </w:r>
      <w:r>
        <w:t>, hvilket bør støttes med passende finansiering, kapacitetsopbygning og forenklet adgang</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efterlyser klare sikkerhedsforanstaltninger for at beskytte den sociale dialog og insisterer på, at </w:t>
      </w:r>
      <w:r>
        <w:rPr>
          <w:b/>
        </w:rPr>
        <w:t>de europæiske standarder forbliver tekniske værktøjer til støtte for lovgivning</w:t>
      </w:r>
      <w:r>
        <w:t xml:space="preserve"> og ikke må regulere eller gribe ind i arbejdstagernes rettigheder, arbejdsvilkår eller kollektive overenskomster</w:t>
      </w:r>
    </w:p>
    <w:p w14:paraId="12F2C5AB" w14:textId="452EB5CE"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anbefaler </w:t>
      </w:r>
      <w:r>
        <w:rPr>
          <w:b/>
        </w:rPr>
        <w:t>større gennemsigtighed</w:t>
      </w:r>
      <w:r>
        <w:t xml:space="preserve"> og bedre tilgængelighed, herunder </w:t>
      </w:r>
      <w:r>
        <w:rPr>
          <w:b/>
        </w:rPr>
        <w:t>lettere offentlig adgang til standarder, klarere forvaltning af tekniske udvalg</w:t>
      </w:r>
      <w:r>
        <w:t xml:space="preserve"> og en </w:t>
      </w:r>
      <w:r>
        <w:rPr>
          <w:b/>
        </w:rPr>
        <w:t>forudgående vurdering af standardiseringsanmodninger</w:t>
      </w:r>
      <w:r>
        <w:t xml:space="preserve"> for at sikre overholdelse af de grundlæggende rettigheder og EU</w:t>
      </w:r>
      <w:r w:rsidR="008C015D">
        <w:noBreakHyphen/>
      </w:r>
      <w:r>
        <w:t>lovgivningen</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fremhæver standardiseringens strategiske rolle med hensyn til at styrke det indre marked, konkurrenceevnen og åben strategisk autonomi, og opfordrer indtrængende til en stærkere</w:t>
      </w:r>
      <w:r>
        <w:rPr>
          <w:b/>
        </w:rPr>
        <w:t xml:space="preserve"> koordinering af EU's position i internationale standardiseringsorganer</w:t>
      </w:r>
      <w:r>
        <w:t xml:space="preserve"> for at beskytte europæiske interesser og høje standarder</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slår til lyd for et mere effektivt og </w:t>
      </w:r>
      <w:r>
        <w:rPr>
          <w:b/>
        </w:rPr>
        <w:t>fremtidssikret</w:t>
      </w:r>
      <w:r>
        <w:t xml:space="preserve"> system med </w:t>
      </w:r>
      <w:r>
        <w:rPr>
          <w:b/>
        </w:rPr>
        <w:t>hurtigere procedurer</w:t>
      </w:r>
      <w:r>
        <w:t xml:space="preserve"> og forbedret kvalitet, samtidig med at der lægges vægt på standarder for nye teknologier og standarder, som støtter innovation, bæredygtighed og et </w:t>
      </w:r>
      <w:r>
        <w:rPr>
          <w:b/>
        </w:rPr>
        <w:t>højt beskyttelsesniveau for arbejdstagerne, forbrugerne og miljøet</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Kontakt</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Tlf.</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00 32 2 546 83 78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E-mail</w:t>
            </w:r>
          </w:p>
        </w:tc>
        <w:tc>
          <w:tcPr>
            <w:tcW w:w="5670" w:type="dxa"/>
          </w:tcPr>
          <w:p w14:paraId="06BF328F" w14:textId="77777777" w:rsidR="00CB6F1C" w:rsidRPr="00CB6F1C" w:rsidRDefault="003A5271" w:rsidP="00CB6F1C">
            <w:pPr>
              <w:overflowPunct w:val="0"/>
              <w:autoSpaceDE w:val="0"/>
              <w:autoSpaceDN w:val="0"/>
              <w:adjustRightInd w:val="0"/>
              <w:spacing w:line="240" w:lineRule="auto"/>
              <w:textAlignment w:val="baseline"/>
              <w:rPr>
                <w:i/>
              </w:rPr>
            </w:pPr>
            <w:hyperlink r:id="rId52" w:history="1">
              <w:proofErr w:type="spellStart"/>
              <w:r>
                <w:rPr>
                  <w:i/>
                  <w:color w:val="0000FF"/>
                  <w:u w:val="single"/>
                </w:rPr>
                <w:t>Silvia.Staffa@eesc.europa.eu</w:t>
              </w:r>
              <w:proofErr w:type="spellEnd"/>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5919CFDB" w:rsidR="001F4150" w:rsidRPr="001F4150" w:rsidRDefault="00A067F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Pr>
            <w:b/>
            <w:i/>
            <w:color w:val="0000FF"/>
            <w:sz w:val="28"/>
            <w:u w:val="single"/>
          </w:rPr>
          <w:t>Det indre marked – afskaffelse af uberettigede territoriale forsyningsbegrænsninger</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6820"/>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Ordfører</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 xml:space="preserve">Antje </w:t>
            </w:r>
            <w:proofErr w:type="spellStart"/>
            <w:r>
              <w:t>Gerstein</w:t>
            </w:r>
            <w:proofErr w:type="spellEnd"/>
            <w:r>
              <w:t xml:space="preserve"> (Arbejdsgivergruppen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Ref.</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Sonderende udtalelse på anmodning af Kommissionen</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proofErr w:type="spellStart"/>
            <w:r>
              <w:t>EESC</w:t>
            </w:r>
            <w:proofErr w:type="spellEnd"/>
            <w:r>
              <w:t>-2026-00673-00-00-AC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Hovedpunkter</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proofErr w:type="spellStart"/>
      <w:r>
        <w:t>EØSU</w:t>
      </w:r>
      <w:proofErr w:type="spellEnd"/>
      <w:r>
        <w:t>:</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mener, at territoriale forsyningsbegrænsninger skader den grænseoverskridende handel og bryder løftet om, at det indre marked skal give forbrugerne valgmuligheder og priskonkurrence</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mener, at det er særlig vigtigt, at forbrugerne og arbejdstagerne kan høste alle de potentielle fordele ved et velfungerende indre marked med hensyn til priser og produktudvalg</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 xml:space="preserve">opfordrer indtrængende medlemsstaterne til ikke at vedtage national lovgivning, der </w:t>
      </w:r>
      <w:proofErr w:type="spellStart"/>
      <w:r>
        <w:t>renationaliserer</w:t>
      </w:r>
      <w:proofErr w:type="spellEnd"/>
      <w:r>
        <w:t xml:space="preserve"> markedet for indkøb yderligere. De bør i stedet fjerne uberettigede hindringer for varers frie bevægelighed, uden at det underminerer legitime forbrugerbeskyttelseskrav</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ser en merværdi i at undersøge mulighederne for at udarbejde retningslinjer for nationale konkurrencemyndigheder og relevante interessenter</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opfordrer Kommissionen til at overveje lovgivning baseret på principperne i forordningen om digitale markeder eller direktivet om urimelig handelspraksis i landbrugsfødevareforsyningskæden for at tage effektivt hånd om territoriale forsyningsbegrænsninger og sikre en mere retfærdig handelspraksis i forsyningskæden.</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499"/>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Kontakt</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Tlf.</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00 32 2 546 97 32</w:t>
            </w:r>
          </w:p>
        </w:tc>
      </w:tr>
      <w:tr w:rsidR="001F4150" w:rsidRPr="001F4150" w14:paraId="1C237976" w14:textId="77777777" w:rsidTr="002E7EFB">
        <w:tc>
          <w:tcPr>
            <w:tcW w:w="1556"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E-mail</w:t>
            </w:r>
          </w:p>
        </w:tc>
        <w:tc>
          <w:tcPr>
            <w:tcW w:w="3444" w:type="pct"/>
          </w:tcPr>
          <w:p w14:paraId="67D97326" w14:textId="77777777" w:rsidR="001F4150" w:rsidRPr="001F4150" w:rsidRDefault="003A5271" w:rsidP="001F4150">
            <w:pPr>
              <w:overflowPunct w:val="0"/>
              <w:autoSpaceDE w:val="0"/>
              <w:autoSpaceDN w:val="0"/>
              <w:adjustRightInd w:val="0"/>
              <w:spacing w:line="240" w:lineRule="auto"/>
              <w:textAlignment w:val="baseline"/>
              <w:rPr>
                <w:i/>
                <w:iCs/>
              </w:rPr>
            </w:pPr>
            <w:hyperlink r:id="rId54" w:history="1">
              <w:proofErr w:type="spellStart"/>
              <w:r>
                <w:rPr>
                  <w:i/>
                  <w:color w:val="0000FF"/>
                  <w:u w:val="single"/>
                </w:rPr>
                <w:t>Annalisa.Tessarolo@eesc.europa.eu</w:t>
              </w:r>
              <w:proofErr w:type="spellEnd"/>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5604570F" w:rsidR="00227AA1" w:rsidRPr="00227AA1" w:rsidRDefault="003A5271"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EU's strategi for opstarts- og vækstvirksomheder – med fokus på retsakten om europæisk innovation</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7398"/>
      </w:tblGrid>
      <w:tr w:rsidR="00227AA1" w:rsidRPr="00227AA1" w14:paraId="6C2F2EA8" w14:textId="77777777" w:rsidTr="008C015D">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Ordfører</w:t>
            </w:r>
          </w:p>
        </w:tc>
        <w:tc>
          <w:tcPr>
            <w:tcW w:w="6663" w:type="dxa"/>
          </w:tcPr>
          <w:p w14:paraId="0C2DB9EA" w14:textId="7F8CAD64" w:rsidR="00227AA1" w:rsidRPr="00227AA1" w:rsidRDefault="00227AA1" w:rsidP="00227AA1">
            <w:pPr>
              <w:tabs>
                <w:tab w:val="center" w:pos="284"/>
              </w:tabs>
              <w:overflowPunct w:val="0"/>
              <w:autoSpaceDE w:val="0"/>
              <w:autoSpaceDN w:val="0"/>
              <w:adjustRightInd w:val="0"/>
              <w:ind w:left="266" w:hanging="266"/>
              <w:textAlignment w:val="baseline"/>
            </w:pPr>
            <w:r>
              <w:t xml:space="preserve">Paul </w:t>
            </w:r>
            <w:proofErr w:type="spellStart"/>
            <w:r>
              <w:t>Rübig</w:t>
            </w:r>
            <w:proofErr w:type="spellEnd"/>
            <w:r>
              <w:t xml:space="preserve"> (Arbejdsgivergruppen – AT)</w:t>
            </w:r>
          </w:p>
          <w:p w14:paraId="5142010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r w:rsidR="00227AA1" w:rsidRPr="00227AA1" w14:paraId="35AF9FA7" w14:textId="77777777" w:rsidTr="008C015D">
        <w:tc>
          <w:tcPr>
            <w:tcW w:w="8364"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8C015D">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Ref.</w:t>
            </w:r>
          </w:p>
        </w:tc>
        <w:tc>
          <w:tcPr>
            <w:tcW w:w="6663" w:type="dxa"/>
          </w:tcPr>
          <w:p w14:paraId="05D43623" w14:textId="3773BAC0" w:rsidR="00227AA1" w:rsidRPr="00227AA1" w:rsidRDefault="00227AA1" w:rsidP="008C015D">
            <w:pPr>
              <w:overflowPunct w:val="0"/>
              <w:autoSpaceDE w:val="0"/>
              <w:autoSpaceDN w:val="0"/>
              <w:adjustRightInd w:val="0"/>
              <w:ind w:left="-2"/>
              <w:textAlignment w:val="baseline"/>
            </w:pPr>
            <w:r>
              <w:t>Sonderende udtalelse på anmodning af det cypriotiske formandskab for Rådet for Den Europæiske Union</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proofErr w:type="spellStart"/>
            <w:r>
              <w:t>EESC</w:t>
            </w:r>
            <w:proofErr w:type="spellEnd"/>
            <w:r>
              <w:t>-2025-04126-00-00-AC</w:t>
            </w:r>
          </w:p>
        </w:tc>
      </w:tr>
      <w:tr w:rsidR="00227AA1" w:rsidRPr="00227AA1" w14:paraId="2384CA2A" w14:textId="77777777" w:rsidTr="008C015D">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Hovedpunkter</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proofErr w:type="spellStart"/>
      <w:r>
        <w:t>EØSU</w:t>
      </w:r>
      <w:proofErr w:type="spellEnd"/>
      <w:r>
        <w:t xml:space="preserve"> mener, at:</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Europa skal i høj grad styrke sin innovation og forskning og har meget at indhente, når det gælder om at markedsføre resultaterne af spinoff-, opstarts- og vækstvirksomheders innovation og forskning.</w:t>
      </w:r>
      <w:r>
        <w:rPr>
          <w:rFonts w:ascii="Calibri" w:hAnsi="Calibri"/>
        </w:rPr>
        <w:t xml:space="preserve"> </w:t>
      </w:r>
      <w:r>
        <w:t>I strategisk relevante industrier er der stigende bekymring for, at miljøet i Europa er blevet for fragmenteret, for reguleret og for langsomt til at kunne holde trit med den hurtige teknologiske udvikling på verdensplan</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hovedårsagerne hertil er den faldende forståelse af de markedsøkonomiske processer og de stadig mere fragmenterede regler i det indre marked, hvilket hæmmer grænseoverskridende markedsvækst og teknologioverførsel fra forskning til industri</w:t>
      </w:r>
    </w:p>
    <w:p w14:paraId="1B8E4833" w14:textId="026D78EA"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langsomme administrative procedurer, begrænset digitalisering og inkonsekvent anvendelse af EU</w:t>
      </w:r>
      <w:r w:rsidR="008C015D">
        <w:noBreakHyphen/>
      </w:r>
      <w:r>
        <w:t>lovgivningen på nationalt og regionalt plan udgør yderligere hindringer for virksomhederne</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retsakten om europæisk innovation kan komme grænseoverskridende opstarts- og vækstvirksomheder til hjælp, hvis der fastsættes tværgående forenklinger for opstartsvirksomheder, og hvis ordningen kan håndhæves som bindende i alle medlemsstater samtidig med, at der tages hensyn til arbejdstagernes rettigheder og medarbejderdeltagelse. Udvalget understreger, at retsakten om europæisk innovation bør efterleve principperne om en retfærdig omstilling og sikre, at innovation bidrager til økonomisk vækst, konkurrenceevne og jobskabelse under hensyntagen til behovet for at støtte arbejdstagere og regioner, der er berørt af den teknologiske og industrielle omstilling</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en liste over kriterier til vurdering af innovationsindhold og vækstperspektiver ville være mere effektiv og præcis end en fast definition af opstarts- og vækstvirksomheder. En rangliste over iværksættervenlige universiteter ville også være et godt bidrag til retsakten om europæisk innovation. Derudover bør retsakten om europæisk innovation styrke den rolle, som forsknings- og teknologiorganisationer og Det Europæiske Institut for Innovation og Teknologi (</w:t>
      </w:r>
      <w:proofErr w:type="spellStart"/>
      <w:r>
        <w:t>EIT</w:t>
      </w:r>
      <w:proofErr w:type="spellEnd"/>
      <w:r>
        <w:t xml:space="preserve">) spiller, navnlig i </w:t>
      </w:r>
      <w:proofErr w:type="spellStart"/>
      <w:r>
        <w:t>deep</w:t>
      </w:r>
      <w:proofErr w:type="spellEnd"/>
      <w:r>
        <w:t xml:space="preserve"> </w:t>
      </w:r>
      <w:proofErr w:type="spellStart"/>
      <w:r>
        <w:t>tech</w:t>
      </w:r>
      <w:proofErr w:type="spellEnd"/>
      <w:r>
        <w:t>- og kapitalintensive sektorer</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EU-dækkende skatteincitamenter for medarbejderaktier ville fremme innovation og vækst. Virksomhedsstiftere bør også tilbydes risikobeskyttelse, og samtidig bør ansatte og kreditorer have passende sikkerhedsforanstaltninger i overensstemmelse med eksisterende insolvensregler.</w:t>
      </w:r>
    </w:p>
    <w:p w14:paraId="5C529301" w14:textId="77777777" w:rsidR="00336295" w:rsidRPr="00227AA1" w:rsidRDefault="00336295" w:rsidP="008C015D">
      <w:pPr>
        <w:overflowPunct w:val="0"/>
        <w:autoSpaceDE w:val="0"/>
        <w:autoSpaceDN w:val="0"/>
        <w:adjustRightInd w:val="0"/>
        <w:spacing w:after="200" w:line="276" w:lineRule="auto"/>
        <w:ind w:left="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Kontakt</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 xml:space="preserve">Jana </w:t>
            </w:r>
            <w:proofErr w:type="spellStart"/>
            <w:r>
              <w:rPr>
                <w:i/>
              </w:rPr>
              <w:t>Valant</w:t>
            </w:r>
            <w:proofErr w:type="spellEnd"/>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Tlf.</w:t>
            </w:r>
          </w:p>
        </w:tc>
        <w:tc>
          <w:tcPr>
            <w:tcW w:w="5670"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00 32 2 546 89 24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E-mail</w:t>
            </w:r>
          </w:p>
        </w:tc>
        <w:tc>
          <w:tcPr>
            <w:tcW w:w="5670" w:type="dxa"/>
          </w:tcPr>
          <w:p w14:paraId="30AFF7EB" w14:textId="77777777" w:rsidR="00227AA1" w:rsidRPr="00227AA1" w:rsidRDefault="003A5271" w:rsidP="00227AA1">
            <w:pPr>
              <w:overflowPunct w:val="0"/>
              <w:autoSpaceDE w:val="0"/>
              <w:autoSpaceDN w:val="0"/>
              <w:adjustRightInd w:val="0"/>
              <w:spacing w:line="240" w:lineRule="auto"/>
              <w:textAlignment w:val="baseline"/>
              <w:rPr>
                <w:i/>
              </w:rPr>
            </w:pPr>
            <w:hyperlink r:id="rId56" w:history="1">
              <w:proofErr w:type="spellStart"/>
              <w:r>
                <w:rPr>
                  <w:i/>
                  <w:color w:val="0000FF"/>
                  <w:u w:val="single"/>
                </w:rPr>
                <w:t>Jana.Valant@eesc.europa.eu</w:t>
              </w:r>
              <w:proofErr w:type="spellEnd"/>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7777777" w:rsidR="004D7AC0" w:rsidRDefault="004D7AC0" w:rsidP="001766B2">
      <w:pPr>
        <w:jc w:val="left"/>
      </w:pPr>
      <w:r>
        <w:br w:type="page"/>
      </w:r>
    </w:p>
    <w:p w14:paraId="4982DE1F" w14:textId="1B0F62B5" w:rsidR="004D7AC0" w:rsidRDefault="004D7AC0" w:rsidP="004C6742">
      <w:pPr>
        <w:pStyle w:val="Heading2"/>
      </w:pPr>
      <w:bookmarkStart w:id="18" w:name="_Toc70322234"/>
      <w:bookmarkStart w:id="19" w:name="_Toc75527084"/>
      <w:bookmarkStart w:id="20" w:name="_Toc229140656"/>
      <w:r>
        <w:lastRenderedPageBreak/>
        <w:t>LANDBRUG, UDVIKLING AF LANDDISTRIKTERNE OG MILJØ</w:t>
      </w:r>
      <w:bookmarkEnd w:id="18"/>
      <w:bookmarkEnd w:id="19"/>
      <w:bookmarkEnd w:id="20"/>
    </w:p>
    <w:p w14:paraId="4982DE20" w14:textId="77777777" w:rsidR="004D7AC0" w:rsidRDefault="004D7AC0" w:rsidP="001766B2"/>
    <w:p w14:paraId="38C8A97D" w14:textId="1D29CA87" w:rsidR="00341FC2" w:rsidRPr="004C6742" w:rsidRDefault="00341FC2" w:rsidP="004C6742">
      <w:pPr>
        <w:widowControl w:val="0"/>
        <w:numPr>
          <w:ilvl w:val="0"/>
          <w:numId w:val="4"/>
        </w:numPr>
        <w:overflowPunct w:val="0"/>
        <w:autoSpaceDE w:val="0"/>
        <w:autoSpaceDN w:val="0"/>
        <w:adjustRightInd w:val="0"/>
        <w:ind w:hanging="567"/>
        <w:textAlignment w:val="baseline"/>
        <w:rPr>
          <w:b/>
        </w:rPr>
      </w:pPr>
      <w:hyperlink r:id="rId57" w:history="1">
        <w:r>
          <w:rPr>
            <w:b/>
            <w:i/>
            <w:color w:val="0000FF"/>
            <w:sz w:val="28"/>
            <w:u w:val="single"/>
          </w:rPr>
          <w:t>En omfattende strategi for naturbaserede bionedbrydelige materialer for at fremme cirkularitet og ressourceeffektivitet, styrke landbrugsfødevaresektoren og opskalere EU's bioøkonomi</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Ordfører</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proofErr w:type="spellStart"/>
            <w:r>
              <w:t>Stoyan</w:t>
            </w:r>
            <w:proofErr w:type="spellEnd"/>
            <w:r>
              <w:t xml:space="preserve"> </w:t>
            </w:r>
            <w:proofErr w:type="spellStart"/>
            <w:r>
              <w:t>Tchoukanov</w:t>
            </w:r>
            <w:proofErr w:type="spellEnd"/>
            <w:r>
              <w:t xml:space="preserve"> (Gruppen af civilsamfundsorganisationer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Ref.</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Initiativudtalelse</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proofErr w:type="spellStart"/>
            <w:r>
              <w:t>EESC</w:t>
            </w:r>
            <w:proofErr w:type="spellEnd"/>
            <w:r>
              <w:t>-2025-04330-00-00-AC</w:t>
            </w:r>
          </w:p>
        </w:tc>
      </w:tr>
    </w:tbl>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Hovedpunkter</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proofErr w:type="spellStart"/>
      <w:r>
        <w:t>EØSU</w:t>
      </w:r>
      <w:proofErr w:type="spellEnd"/>
      <w:r>
        <w:t>:</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mener, at EU har en oplagt mulighed for at styrke sin omstilling til en cirkulær bioøkonomi, der kombinerer cirkularitet, reduceret brug af materialer inden for planetens grænser, bæredygtig anvendelse af biomasse og industriel konkurrenceevne. Med udgangspunkt i den kommende retsakt om cirkulær økonomi og EU's opdaterede bioøkonomiske strategi efterlyser udvalget en sammenhængende og ambitiøs gennemførelse, der omsætter politisk momentum til praktiske resultater inden for industriel og regional udvikling</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understreger, at effektiv udnyttelse af miljøressourcer kræver anvendelse af affaldshierarkiet i overensstemmelse med affaldsrammedirektivet baseret på livscyklustankegangen og det bedste samlede miljøresultat. Udvalget støtter derfor en resultatorienteret og teknologineutral tilgang til cirkularitet, der prioriterer affaldsforebyggelse, genanvendelse og materialeeffektivitet og anerkender både tekniske og biologiske cyklusser gennem differentierede cirkulære veje</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fremhæver, at materialer fremstillet af naturlige polymerer, der ikke er kemisk modificerede og ved lov er anerkendt som ikkeplast i henhold til direktivet om engangsplast og i overensstemmelse med REACH, kan hjælpe med at forebygge forurening, herunder ved at reducere udledningen af mikroplast. Deres rolle bør vurderes i overensstemmelse med One Health-modellen i erkendelse af de indbyrdes forbindelser mellem miljømæssig integritet, økosystemernes modstandsdygtighed og menneskers og dyrs sundhed</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understreger, at sådanne materialer har potentiale til at styrke økonomierne i landdistrikter og kystområder ved at nyttiggøre sekundær biomasse fra landbruget og havet, styrke lokale og regionale værdikæder, støtte generationsskiftet inden for landbrug og fiskeri samt skabe arbejdspladser af høj kvalitet og derved bidrage til social samhørighed. Udvalget understreger, at anvendelse til fødevarer, foder og jordbundsbeskyttelse fortsat bør prioriteres, i nævnte rækkefølge</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efterlyser større lovgivningsmæssig sammenhæng på tværs af EU's produkt-, affalds- og industrilovgivning for at sikre en konsekvent anvendelse af den retlige sondring mellem plast og </w:t>
      </w:r>
      <w:proofErr w:type="spellStart"/>
      <w:r>
        <w:t>umodificerede</w:t>
      </w:r>
      <w:proofErr w:type="spellEnd"/>
      <w:r>
        <w:t xml:space="preserve"> naturlige polymerer. I forbindelse med lovgivningen om emballage bør man undgå utilsigtede hindringer eller de facto-udelukkelse fra markedet, og den bør afspejle både teknisk og biologisk cirkularitet og sikre klare, harmoniserede oplysninger til forbrugerne og forudsigelighed for operatører og små virksomheder</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 xml:space="preserve">pointerer, at gennemførelsen af forordningen om emballage og emballageaffald er en prioritet, og advarer om, at emballage fremstillet af naturlige polymerer, der ikke er kemisk modificerede, kan </w:t>
      </w:r>
      <w:r>
        <w:lastRenderedPageBreak/>
        <w:t>blive udelukket, hvis reglerne om genanvendelighed kun tillader teknisk genanvendelse. Udvalget opfordrer derfor Kommissionen til at sikre, at det i forbindelse med gennemførelsen af forordningen om emballage og emballageaffald anerkendes, at de har status som ikkeplast, og at der gives mulighed for biologisk udformede bortskaffelsesmetoder, hvor dette giver det bedste samlede miljøresultat</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 xml:space="preserve">opfordrer Kommissionen til at sikre en koordineret indsats på tværs af miljø-, industri- og landbrugspolitikkerne for at opskalere bæredygtige materialer, fremme industriel udrulning, styrke regionale værdikæder og sikre Europas globale konkurrenceevne inden for bæredygtig materialeinnovation og samtidig støtte private investeringer og </w:t>
      </w:r>
      <w:proofErr w:type="spellStart"/>
      <w:r>
        <w:t>opskalering</w:t>
      </w:r>
      <w:proofErr w:type="spellEnd"/>
      <w:r>
        <w:t xml:space="preserve"> af innovative løsninger.</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Kontakt</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 xml:space="preserve">Caroline </w:t>
            </w:r>
            <w:proofErr w:type="spellStart"/>
            <w:r>
              <w:rPr>
                <w:i/>
              </w:rPr>
              <w:t>Verhelst</w:t>
            </w:r>
            <w:proofErr w:type="spellEnd"/>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Tlf.</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00 32 2 546 94 97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E-mail</w:t>
            </w:r>
          </w:p>
        </w:tc>
        <w:tc>
          <w:tcPr>
            <w:tcW w:w="3923" w:type="pct"/>
          </w:tcPr>
          <w:p w14:paraId="06E89BE5" w14:textId="77777777" w:rsidR="00341FC2" w:rsidRPr="00341FC2" w:rsidRDefault="003A5271" w:rsidP="00341FC2">
            <w:pPr>
              <w:overflowPunct w:val="0"/>
              <w:autoSpaceDE w:val="0"/>
              <w:autoSpaceDN w:val="0"/>
              <w:adjustRightInd w:val="0"/>
              <w:textAlignment w:val="baseline"/>
              <w:rPr>
                <w:i/>
              </w:rPr>
            </w:pPr>
            <w:hyperlink r:id="rId58" w:history="1">
              <w:proofErr w:type="spellStart"/>
              <w:r>
                <w:rPr>
                  <w:i/>
                  <w:color w:val="0000FF"/>
                  <w:u w:val="single"/>
                </w:rPr>
                <w:t>Caroline.Verhelst@eesc.europa.eu</w:t>
              </w:r>
              <w:proofErr w:type="spellEnd"/>
            </w:hyperlink>
            <w:r>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2C38035D"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EU's bioøkonomistrategi – Mod en cirkulær, regenerativ og konkurrencedygtig bioøkonomi</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Ordfører</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 (Gruppen af civilsamfundsorganisationer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Ref.</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proofErr w:type="gramStart"/>
            <w:r>
              <w:t>COM(</w:t>
            </w:r>
            <w:proofErr w:type="gramEnd"/>
            <w:r>
              <w:t>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proofErr w:type="spellStart"/>
            <w:r>
              <w:t>EESC</w:t>
            </w:r>
            <w:proofErr w:type="spellEnd"/>
            <w:r>
              <w:t>-2025-03968-00-00-AC</w:t>
            </w:r>
          </w:p>
        </w:tc>
      </w:tr>
    </w:tbl>
    <w:p w14:paraId="6E491DEA" w14:textId="77777777" w:rsidR="000C5A16" w:rsidRDefault="000C5A16" w:rsidP="000C5A16">
      <w:pPr>
        <w:keepNext/>
        <w:keepLines/>
        <w:tabs>
          <w:tab w:val="center" w:pos="284"/>
        </w:tabs>
        <w:overflowPunct w:val="0"/>
        <w:autoSpaceDE w:val="0"/>
        <w:autoSpaceDN w:val="0"/>
        <w:adjustRightInd w:val="0"/>
        <w:ind w:left="266" w:hanging="266"/>
        <w:textAlignment w:val="baseline"/>
        <w:rPr>
          <w:bCs/>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Hovedpunkter</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proofErr w:type="spellStart"/>
      <w:r>
        <w:t>EØSU</w:t>
      </w:r>
      <w:proofErr w:type="spellEnd"/>
      <w:r>
        <w:t>:</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fremhæver, at Europa er et kontinent med begrænsede ressourcer, som i en stadig mere anspændt geopolitisk situation er stærkt afhængig af import af bl.a. fossile brændstoffer og råmaterialer. Samtidig er overudnyttelsen af naturressourcer en af de væsentligste årsager til det igangværende tab af biodiversitet</w:t>
      </w:r>
      <w:r w:rsidRPr="00944198">
        <w:rPr>
          <w:sz w:val="24"/>
          <w:szCs w:val="20"/>
          <w:vertAlign w:val="superscript"/>
          <w:lang w:val="en-GB"/>
        </w:rPr>
        <w:footnoteReference w:id="1"/>
      </w:r>
      <w:r>
        <w:t xml:space="preserve">. I tråd med verdensmålene for bæredygtig udvikling skal det sikres, at der er sammenhæng mellem EU's klima- og biodiversitetsmål og den cirkulære økonomi. En robust og veldefineret </w:t>
      </w:r>
      <w:r>
        <w:rPr>
          <w:b/>
        </w:rPr>
        <w:t>bioøkonomistrategi vil supplere</w:t>
      </w:r>
      <w:r>
        <w:t xml:space="preserve"> de fremskridt, der er gjort inden for </w:t>
      </w:r>
      <w:r>
        <w:rPr>
          <w:b/>
        </w:rPr>
        <w:t xml:space="preserve">cirkulær økonomi, og gøre det muligt at </w:t>
      </w:r>
      <w:proofErr w:type="spellStart"/>
      <w:r>
        <w:rPr>
          <w:b/>
        </w:rPr>
        <w:t>dekarbonisere</w:t>
      </w:r>
      <w:proofErr w:type="spellEnd"/>
      <w:r>
        <w:rPr>
          <w:b/>
        </w:rPr>
        <w:t xml:space="preserve"> og opnå trivsel og langsigtet konkurrenceevne inden for planetens begrænsninger</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minder om, at EU kun vil blive en global leder, hvis dets institutioner </w:t>
      </w:r>
      <w:r>
        <w:rPr>
          <w:b/>
        </w:rPr>
        <w:t>fastsætter strenge principper og sikkerhedsforanstaltninger</w:t>
      </w:r>
      <w:r>
        <w:t xml:space="preserve"> for, hvad der kan udgøre input i bioøkonomien, hvad enten der er tale om primær eller sekundær biomasse fra landbrug, akvakultur, skove, natur eller kommunalt/industrielt affald. EU's strategi for bioøkonomi skal fokusere på økonomiens grønne omstilling, og der skal medtænkes miljømæssige og sociale aspekter. En bæredygtig og cirkulær bioøkonomi vil styrke EU's økonomi og konkurrenceevne, mindske afhængigheden af fossile ressourcer, bidrage til at opnå klimamålene og skabe nye job og miljømæssige og sociale fordele. Dette lederskab bør </w:t>
      </w:r>
      <w:r>
        <w:rPr>
          <w:b/>
        </w:rPr>
        <w:t>prioritere kvalitetsjob, navnlig i landdistrikter og fjerntliggende regioner</w:t>
      </w:r>
      <w:r>
        <w:t xml:space="preserve">. Disse principper bør være kvantificerbare, kunne håndhæves og overvåges i hele forsyningskæden og anvendes på samme måde for europæiske og importerede råmaterialer. I en global sammenhæng er det vigtigt, at vi </w:t>
      </w:r>
      <w:r>
        <w:rPr>
          <w:b/>
        </w:rPr>
        <w:t>gør op med den unfair konkurrence fra underprissatte</w:t>
      </w:r>
      <w:r>
        <w:t xml:space="preserve"> (ofte subsidierede) </w:t>
      </w:r>
      <w:r>
        <w:rPr>
          <w:b/>
        </w:rPr>
        <w:t>fossile råmaterialer</w:t>
      </w:r>
      <w:r>
        <w:t>, hvor de eksterne virkninger af udvinding, anvendelse og udtømning ikke medregnes i prisen</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Kontakt</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Tlf.</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00 32 2 546 82 28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E-mail</w:t>
            </w:r>
          </w:p>
        </w:tc>
        <w:tc>
          <w:tcPr>
            <w:tcW w:w="7567" w:type="dxa"/>
          </w:tcPr>
          <w:p w14:paraId="53CEC4E5"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u w:val="single"/>
              </w:rPr>
            </w:pPr>
            <w:hyperlink r:id="rId60" w:history="1">
              <w:proofErr w:type="spellStart"/>
              <w:r>
                <w:rPr>
                  <w:rStyle w:val="Hyperlink"/>
                  <w:i/>
                  <w:sz w:val="20"/>
                </w:rPr>
                <w:t>Anna.Cameron@eesc.europa.eu</w:t>
              </w:r>
              <w:proofErr w:type="spellEnd"/>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2604F6A5" w14:textId="52811D70" w:rsidR="007323B9" w:rsidRPr="004C6742" w:rsidRDefault="007D7A17" w:rsidP="0050478A">
      <w:pPr>
        <w:spacing w:after="160" w:line="259" w:lineRule="auto"/>
        <w:jc w:val="left"/>
        <w:rPr>
          <w:b/>
          <w:lang w:val="en-GB"/>
        </w:rPr>
      </w:pPr>
      <w:r>
        <w:br w:type="page"/>
      </w:r>
    </w:p>
    <w:p w14:paraId="48D068B9" w14:textId="7ED02479"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Omnibusforenklingspakke om fødevarer og foder</w:t>
        </w:r>
      </w:hyperlink>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Ordfører</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Medordfører</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(Arbejdsgivergruppen – ES)</w:t>
            </w:r>
          </w:p>
          <w:p w14:paraId="5CFB0DE6" w14:textId="3CC450F2" w:rsidR="00F10208" w:rsidRDefault="00403683" w:rsidP="00403683">
            <w:pPr>
              <w:tabs>
                <w:tab w:val="center" w:pos="284"/>
              </w:tabs>
              <w:overflowPunct w:val="0"/>
              <w:autoSpaceDE w:val="0"/>
              <w:autoSpaceDN w:val="0"/>
              <w:adjustRightInd w:val="0"/>
              <w:ind w:left="266" w:right="-3091" w:hanging="266"/>
              <w:textAlignment w:val="baseline"/>
            </w:pPr>
            <w:r>
              <w:t xml:space="preserve">John </w:t>
            </w:r>
            <w:proofErr w:type="spellStart"/>
            <w:r>
              <w:t>Comer</w:t>
            </w:r>
            <w:proofErr w:type="spellEnd"/>
            <w:r>
              <w:t xml:space="preserve"> (Gruppen af civilsamfundsorganisationer – </w:t>
            </w:r>
            <w:proofErr w:type="spellStart"/>
            <w:r>
              <w:t>IE</w:t>
            </w:r>
            <w:proofErr w:type="spellEnd"/>
            <w:r>
              <w:t>)</w:t>
            </w: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Ref.</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proofErr w:type="gramStart"/>
            <w:r>
              <w:t>COM(</w:t>
            </w:r>
            <w:proofErr w:type="gramEnd"/>
            <w:r>
              <w:t>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proofErr w:type="spellStart"/>
            <w:r>
              <w:t>EESC</w:t>
            </w:r>
            <w:proofErr w:type="spellEnd"/>
            <w:r>
              <w:t>-2025-04381-00-00-AC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Hovedpunkter</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proofErr w:type="spellStart"/>
      <w:r>
        <w:t>EØSU</w:t>
      </w:r>
      <w:proofErr w:type="spellEnd"/>
      <w:r>
        <w:t>:</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bifalder den overordnede idé bag forenklingspakken for fødevarer og foder, som burde mindske de unødvendige administrative byrder og omkostningerne, men fremhæver, at forenkling aldrig må bringe EU's høje standarder for fødevare- og fodersikkerhed, miljøbeskyttelse og folkesundhed i fare, og at yderligere forenkling ville have været nyttigt</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fremhæver betydningen af kvalitet i lovgivningen og behovet for at styrke civilsamfundets rolle i at overvåge og håndhæve lovgivningen</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bifalder forslaget om at fremme mere udbredt brug af droner til sprøjtning med pesticider, men understreger samtidig, at landbobefolkningen uden for landbruget og alle arbejdstagere skal være sikret ordentlig beskyttelse og garanti, hvad angår sundhed og miljø</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mener, at Den Europæiske Fødevaresikkerhedsautoritet (</w:t>
      </w:r>
      <w:proofErr w:type="spellStart"/>
      <w:r>
        <w:t>EFSA</w:t>
      </w:r>
      <w:proofErr w:type="spellEnd"/>
      <w:r>
        <w:t>) bør kunne advare om behov for målrettet revurdering af aktivstoffer med ubegrænset godkendelse, og den bør anmodes om at afgive udtalelse om, hvorvidt en bestemt forlængelsesperiode er hensigtsmæssig</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finder det positivt, at godkendelsesprocedurerne for stoffer til biologisk bekæmpelse bliver hurtigere og forenkles</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opfordrer til, at forlængelsesperioderne harmoniseres på det højeste beskyttelsesniveau i hele EU for at undgå ubalancer mellem medlemsstaterne, og at gensidig anerkendelse gøres lettere</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støtter, at plantebeskyttelsesmidler, der indeholder EU-godkendte aktivstoffer til behandling af frø bestemt til eksport, godkendes, forudsat at anvendelsen er i overensstemmelse med lovkravene i bestemmelseslandet</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foreslår, at private sundheds- og certificeringsanalyser, der gennemføres af virksomheder, anerkendes som officielle for at forenkle eksportproceduren for plantebeskyttelsesmidler til lande uden for EU, og at myndighederne indfører strengere kontrol og bøder, så denne anerkendelse bliver mulig</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anerkender, at ækvivalens mellem standarder er vigtig, men er betænkelig ved afskaffelsen af importtolerancer for visse stoffer, der ikke er godkendt i EU, og mener i overensstemmelse med forsigtighedsprincippet, at en konsekvensanalyse er uundværlig ved så store ændringer med mulige konsekvenser for alle aktører i kæden, som er stærkt afhængige af import</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mener, at der til stoffer til biologisk bekæmpelse bør kunne anvendes tungmetaller som f.eks. kobber, for så vidt der er garanti for menneskers, dyrs og jordbundens sundhed samt biodiversiteten</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mener, at et økonomisk rentabelt alternativ, der er lige så effektivt, bør være tilgængeligt, før et aktivstof, der er kandidat til substitution, trækkes tilbage</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lastRenderedPageBreak/>
        <w:t>mener, at EU skal opretholde de højeste standarder for gennemsigtighed og sikkerhed, hvad angår nye fødevarer og genetisk modificerede fødevarer</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opfordrer til, at mærkningen af frø harmoniseres, så den kommer til at omfatte relevante forsigtigheds- og risikostyringsforanstaltninger.</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Kontakt</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 xml:space="preserve">Martine </w:t>
            </w:r>
            <w:proofErr w:type="spellStart"/>
            <w:r>
              <w:rPr>
                <w:i/>
              </w:rPr>
              <w:t>Delanoy</w:t>
            </w:r>
            <w:proofErr w:type="spellEnd"/>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Tlf.</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00 32 2 546 98 02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E-mail</w:t>
            </w:r>
          </w:p>
        </w:tc>
        <w:tc>
          <w:tcPr>
            <w:tcW w:w="3923" w:type="pct"/>
          </w:tcPr>
          <w:p w14:paraId="40D17F4B" w14:textId="77777777" w:rsidR="00403683" w:rsidRDefault="003A5271" w:rsidP="00403683">
            <w:pPr>
              <w:overflowPunct w:val="0"/>
              <w:autoSpaceDE w:val="0"/>
              <w:autoSpaceDN w:val="0"/>
              <w:adjustRightInd w:val="0"/>
              <w:textAlignment w:val="baseline"/>
              <w:rPr>
                <w:i/>
              </w:rPr>
            </w:pPr>
            <w:hyperlink r:id="rId62" w:history="1">
              <w:proofErr w:type="spellStart"/>
              <w:r>
                <w:rPr>
                  <w:i/>
                  <w:color w:val="0000FF"/>
                  <w:u w:val="single"/>
                </w:rPr>
                <w:t>Martine.Delanoy@eesc.europa.eu</w:t>
              </w:r>
              <w:proofErr w:type="spellEnd"/>
            </w:hyperlink>
            <w:r>
              <w:rPr>
                <w:i/>
              </w:rPr>
              <w:t xml:space="preserve"> </w:t>
            </w:r>
          </w:p>
          <w:p w14:paraId="01C39410" w14:textId="77777777" w:rsidR="00CA6EC9" w:rsidRDefault="00CA6EC9" w:rsidP="00403683">
            <w:pPr>
              <w:overflowPunct w:val="0"/>
              <w:autoSpaceDE w:val="0"/>
              <w:autoSpaceDN w:val="0"/>
              <w:adjustRightInd w:val="0"/>
              <w:textAlignment w:val="baseline"/>
              <w:rPr>
                <w:i/>
              </w:rPr>
            </w:pP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7DB24ABB" w:rsidR="00A230F1" w:rsidRPr="007B6F06" w:rsidRDefault="007B6F06" w:rsidP="0050478A">
      <w:pPr>
        <w:widowControl w:val="0"/>
        <w:numPr>
          <w:ilvl w:val="0"/>
          <w:numId w:val="4"/>
        </w:numPr>
        <w:overflowPunct w:val="0"/>
        <w:autoSpaceDE w:val="0"/>
        <w:autoSpaceDN w:val="0"/>
        <w:adjustRightInd w:val="0"/>
        <w:spacing w:after="120"/>
        <w:ind w:hanging="567"/>
        <w:textAlignment w:val="baseline"/>
        <w:rPr>
          <w:b/>
          <w:bCs/>
          <w:szCs w:val="20"/>
        </w:rPr>
      </w:pPr>
      <w:r>
        <w:br w:type="page"/>
      </w:r>
      <w:hyperlink r:id="rId63" w:history="1">
        <w:r>
          <w:rPr>
            <w:b/>
            <w:i/>
            <w:color w:val="0000FF"/>
            <w:sz w:val="28"/>
            <w:u w:val="single"/>
          </w:rPr>
          <w:t>Ligestilling af markinspektioner af afgrøder til formering af udsæd i tredjelande og ligestilling af frø produceret i tredjelande</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Ref.</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Kategori C-udtalelse</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proofErr w:type="gramStart"/>
            <w:r>
              <w:t>COM(</w:t>
            </w:r>
            <w:proofErr w:type="gramEnd"/>
            <w:r>
              <w:t>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proofErr w:type="spellStart"/>
            <w:r>
              <w:t>EESC</w:t>
            </w:r>
            <w:proofErr w:type="spellEnd"/>
            <w:r>
              <w:t>-2026-01152-00-00-AC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56166F44" w:rsidR="002B30F4" w:rsidRPr="002B30F4" w:rsidRDefault="00A230F1" w:rsidP="004C6742">
      <w:pPr>
        <w:pStyle w:val="Footer"/>
        <w:rPr>
          <w:bCs/>
          <w:iCs/>
        </w:rPr>
      </w:pPr>
      <w:r>
        <w:t xml:space="preserve">Eftersom </w:t>
      </w:r>
      <w:proofErr w:type="spellStart"/>
      <w:r>
        <w:t>EØSU</w:t>
      </w:r>
      <w:proofErr w:type="spellEnd"/>
      <w:r>
        <w:t xml:space="preserve"> allerede har behandlet dette forslag i sine udtalelser </w:t>
      </w:r>
      <w:proofErr w:type="spellStart"/>
      <w:r>
        <w:t>EESC</w:t>
      </w:r>
      <w:proofErr w:type="spellEnd"/>
      <w:r>
        <w:t>-2018-00043-00-00-AC-</w:t>
      </w:r>
      <w:proofErr w:type="spellStart"/>
      <w:r>
        <w:t>TRA</w:t>
      </w:r>
      <w:proofErr w:type="spellEnd"/>
      <w:r>
        <w:t>, vedtaget den 14. februar 2018</w:t>
      </w:r>
      <w:r w:rsidR="002B30F4" w:rsidRPr="002B30F4">
        <w:rPr>
          <w:sz w:val="24"/>
          <w:vertAlign w:val="superscript"/>
          <w:lang w:val="en-GB"/>
        </w:rPr>
        <w:footnoteReference w:id="2"/>
      </w:r>
      <w:r>
        <w:t xml:space="preserve">, og </w:t>
      </w:r>
      <w:proofErr w:type="spellStart"/>
      <w:r>
        <w:t>EESC</w:t>
      </w:r>
      <w:proofErr w:type="spellEnd"/>
      <w:r>
        <w:t>-2020-02029-00-00-AC-</w:t>
      </w:r>
      <w:proofErr w:type="spellStart"/>
      <w:r>
        <w:t>TRA</w:t>
      </w:r>
      <w:proofErr w:type="spellEnd"/>
      <w:r>
        <w:t>-EN, vedtaget den 18.</w:t>
      </w:r>
      <w:r w:rsidR="004D7D0C">
        <w:t> </w:t>
      </w:r>
      <w:r>
        <w:t>september 2020</w:t>
      </w:r>
      <w:r w:rsidR="002B30F4" w:rsidRPr="002B30F4">
        <w:rPr>
          <w:sz w:val="24"/>
          <w:vertAlign w:val="superscript"/>
          <w:lang w:val="en-GB"/>
        </w:rPr>
        <w:footnoteReference w:id="3"/>
      </w:r>
      <w:r>
        <w:t>, har udvalget besluttet ikke at afgive en ny udtalelse om emnet, men at henvise til den holdning, det har givet udtryk for i ovennævnte dokumenter.</w:t>
      </w:r>
    </w:p>
    <w:p w14:paraId="23AFABFB" w14:textId="193EFDF4" w:rsidR="00A230F1" w:rsidRDefault="00A230F1" w:rsidP="00A230F1">
      <w:pPr>
        <w:overflowPunct w:val="0"/>
        <w:autoSpaceDE w:val="0"/>
        <w:autoSpaceDN w:val="0"/>
        <w:adjustRightInd w:val="0"/>
        <w:textAlignment w:val="baseline"/>
        <w:rPr>
          <w:szCs w:val="20"/>
          <w:lang w:val="en-GB"/>
        </w:rPr>
      </w:pP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6"/>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Kontakt</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Pr>
                <w:i/>
              </w:rPr>
              <w:t xml:space="preserve">Arturo </w:t>
            </w:r>
            <w:proofErr w:type="spellStart"/>
            <w:r>
              <w:rPr>
                <w:i/>
              </w:rPr>
              <w:t>Iniguez</w:t>
            </w:r>
            <w:proofErr w:type="spellEnd"/>
            <w:r>
              <w:rPr>
                <w:i/>
              </w:rPr>
              <w:t xml:space="preserve"> </w:t>
            </w:r>
            <w:proofErr w:type="spellStart"/>
            <w:r>
              <w:rPr>
                <w:i/>
              </w:rPr>
              <w:t>Yuste</w:t>
            </w:r>
            <w:proofErr w:type="spellEnd"/>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Tlf.</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00 32 2 546 87 68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E-mail</w:t>
            </w:r>
          </w:p>
        </w:tc>
        <w:tc>
          <w:tcPr>
            <w:tcW w:w="3922" w:type="pct"/>
          </w:tcPr>
          <w:p w14:paraId="1FAC504A" w14:textId="77777777" w:rsidR="00A230F1" w:rsidRPr="00A230F1" w:rsidRDefault="003A5271" w:rsidP="00A230F1">
            <w:pPr>
              <w:overflowPunct w:val="0"/>
              <w:autoSpaceDE w:val="0"/>
              <w:autoSpaceDN w:val="0"/>
              <w:adjustRightInd w:val="0"/>
              <w:textAlignment w:val="baseline"/>
              <w:rPr>
                <w:i/>
                <w:iCs/>
              </w:rPr>
            </w:pPr>
            <w:hyperlink r:id="rId64" w:history="1">
              <w:proofErr w:type="spellStart"/>
              <w:r>
                <w:rPr>
                  <w:i/>
                  <w:color w:val="0000FF"/>
                  <w:u w:val="single"/>
                </w:rPr>
                <w:t>Arturo.Iniguez@eesc.europa.eu</w:t>
              </w:r>
              <w:proofErr w:type="spellEnd"/>
            </w:hyperlink>
            <w:r>
              <w:rPr>
                <w:i/>
              </w:rPr>
              <w:t xml:space="preserve"> </w:t>
            </w:r>
          </w:p>
        </w:tc>
      </w:tr>
    </w:tbl>
    <w:p w14:paraId="07B8FDA7" w14:textId="77777777" w:rsidR="00A230F1" w:rsidRDefault="00A230F1">
      <w:pPr>
        <w:spacing w:after="160" w:line="259" w:lineRule="auto"/>
        <w:jc w:val="left"/>
      </w:pPr>
      <w:r>
        <w:br w:type="page"/>
      </w:r>
    </w:p>
    <w:p w14:paraId="77C06DA1" w14:textId="331BEA9D"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proofErr w:type="spellStart"/>
        <w:r>
          <w:rPr>
            <w:b/>
            <w:i/>
            <w:color w:val="0000FF"/>
            <w:sz w:val="28"/>
            <w:u w:val="single"/>
          </w:rPr>
          <w:t>Ugyldiggørelse</w:t>
        </w:r>
        <w:proofErr w:type="spellEnd"/>
        <w:r>
          <w:rPr>
            <w:b/>
            <w:i/>
            <w:color w:val="0000FF"/>
            <w:sz w:val="28"/>
            <w:u w:val="single"/>
          </w:rPr>
          <w:t xml:space="preserve"> af kvoter i markedsstabilitetsreserven</w:t>
        </w:r>
      </w:hyperlink>
    </w:p>
    <w:p w14:paraId="2C3AAF47" w14:textId="77777777" w:rsidR="00EC4D43" w:rsidRDefault="00EC4D43"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Ref.</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Kategori C-udtalelse</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proofErr w:type="gramStart"/>
            <w:r>
              <w:t>COM(</w:t>
            </w:r>
            <w:proofErr w:type="gramEnd"/>
            <w:r>
              <w:t>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proofErr w:type="spellStart"/>
            <w:r>
              <w:t>EESC</w:t>
            </w:r>
            <w:proofErr w:type="spellEnd"/>
            <w:r>
              <w:t>-2026-01164-00-00-AC</w:t>
            </w:r>
          </w:p>
        </w:tc>
      </w:tr>
    </w:tbl>
    <w:p w14:paraId="0A0C239E" w14:textId="77777777" w:rsidR="00EC4D43" w:rsidRDefault="00EC4D43" w:rsidP="00EC4D43">
      <w:pPr>
        <w:tabs>
          <w:tab w:val="center" w:pos="284"/>
        </w:tabs>
        <w:overflowPunct w:val="0"/>
        <w:autoSpaceDE w:val="0"/>
        <w:autoSpaceDN w:val="0"/>
        <w:adjustRightInd w:val="0"/>
        <w:ind w:left="266" w:hanging="266"/>
        <w:textAlignment w:val="baseline"/>
        <w:rPr>
          <w:b/>
          <w:lang w:val="en-GB"/>
        </w:rPr>
      </w:pPr>
    </w:p>
    <w:p w14:paraId="3ABFEF49" w14:textId="0C867BC5" w:rsidR="008548EA" w:rsidRPr="008548EA" w:rsidRDefault="00EC4D43" w:rsidP="004C6742">
      <w:pPr>
        <w:widowControl w:val="0"/>
        <w:overflowPunct w:val="0"/>
        <w:autoSpaceDE w:val="0"/>
        <w:autoSpaceDN w:val="0"/>
        <w:adjustRightInd w:val="0"/>
        <w:textAlignment w:val="baseline"/>
        <w:rPr>
          <w:bCs/>
          <w:iCs/>
        </w:rPr>
      </w:pPr>
      <w:proofErr w:type="spellStart"/>
      <w:r>
        <w:t>EØSU</w:t>
      </w:r>
      <w:proofErr w:type="spellEnd"/>
      <w:r>
        <w:t xml:space="preserve"> går ind for forslagets indhold og har allerede fremsat sine synspunkter om emnet i sin tidligere udtalelse </w:t>
      </w:r>
      <w:proofErr w:type="spellStart"/>
      <w:r>
        <w:t>EESC</w:t>
      </w:r>
      <w:proofErr w:type="spellEnd"/>
      <w:r>
        <w:t>-2021-03918-00-00-AC-</w:t>
      </w:r>
      <w:proofErr w:type="spellStart"/>
      <w:r>
        <w:t>TRA</w:t>
      </w:r>
      <w:proofErr w:type="spellEnd"/>
      <w:r>
        <w:t>, der blev vedtaget den 8. december 2021</w:t>
      </w:r>
      <w:r w:rsidR="008548EA" w:rsidRPr="008548EA">
        <w:rPr>
          <w:sz w:val="24"/>
          <w:szCs w:val="20"/>
          <w:vertAlign w:val="superscript"/>
          <w:lang w:val="en-GB"/>
        </w:rPr>
        <w:footnoteReference w:id="4"/>
      </w:r>
      <w:r>
        <w:t>. Udvalget har derfor besluttet at afgive en udtalelse til støtte for det fremsatte forslag og at henvise til den holdning, det gav udtryk for i ovennævnte dokument.</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6"/>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Kontakt</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proofErr w:type="spellStart"/>
            <w:r>
              <w:rPr>
                <w:i/>
              </w:rPr>
              <w:t>Gaizka</w:t>
            </w:r>
            <w:proofErr w:type="spellEnd"/>
            <w:r>
              <w:rPr>
                <w:i/>
              </w:rPr>
              <w:t xml:space="preserve"> </w:t>
            </w:r>
            <w:proofErr w:type="spellStart"/>
            <w:r>
              <w:rPr>
                <w:i/>
              </w:rPr>
              <w:t>Malo</w:t>
            </w:r>
            <w:proofErr w:type="spellEnd"/>
            <w:r>
              <w:rPr>
                <w:i/>
              </w:rPr>
              <w:t xml:space="preserve"> </w:t>
            </w:r>
            <w:proofErr w:type="spellStart"/>
            <w:r>
              <w:rPr>
                <w:i/>
              </w:rPr>
              <w:t>Elcoro-Iribe</w:t>
            </w:r>
            <w:proofErr w:type="spellEnd"/>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Tlf.</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00 32 2 546 85 26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E-mail</w:t>
            </w:r>
          </w:p>
        </w:tc>
        <w:tc>
          <w:tcPr>
            <w:tcW w:w="3922" w:type="pct"/>
          </w:tcPr>
          <w:p w14:paraId="4685C922" w14:textId="77777777" w:rsidR="00EC4D43" w:rsidRPr="00EC4D43" w:rsidRDefault="003A5271" w:rsidP="00EC4D43">
            <w:pPr>
              <w:overflowPunct w:val="0"/>
              <w:autoSpaceDE w:val="0"/>
              <w:autoSpaceDN w:val="0"/>
              <w:adjustRightInd w:val="0"/>
              <w:textAlignment w:val="baseline"/>
              <w:rPr>
                <w:i/>
                <w:iCs/>
              </w:rPr>
            </w:pPr>
            <w:hyperlink r:id="rId66" w:history="1">
              <w:proofErr w:type="spellStart"/>
              <w:r>
                <w:rPr>
                  <w:i/>
                  <w:color w:val="0000FF"/>
                  <w:u w:val="single"/>
                </w:rPr>
                <w:t>Gaizka.Maloelcoro-iribe@eesc.europa.eu</w:t>
              </w:r>
              <w:proofErr w:type="spellEnd"/>
            </w:hyperlink>
            <w:r>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14026A78" w14:textId="34519E14" w:rsidR="007F5784" w:rsidRDefault="007F5784" w:rsidP="004D7D0C">
      <w:pPr>
        <w:pStyle w:val="Heading2"/>
        <w:spacing w:line="240" w:lineRule="auto"/>
      </w:pPr>
      <w:bookmarkStart w:id="41" w:name="_Toc229140657"/>
      <w:r>
        <w:lastRenderedPageBreak/>
        <w:t>EKSTERNE FORBINDELSER</w:t>
      </w:r>
      <w:bookmarkEnd w:id="41"/>
    </w:p>
    <w:p w14:paraId="3BBB3E68" w14:textId="77777777" w:rsidR="007F5784" w:rsidRDefault="007F5784" w:rsidP="004D7D0C">
      <w:pPr>
        <w:spacing w:line="240" w:lineRule="auto"/>
      </w:pPr>
    </w:p>
    <w:p w14:paraId="1A338A4C" w14:textId="4F132571" w:rsidR="00D16830" w:rsidRPr="0050478A" w:rsidRDefault="00D16830" w:rsidP="0050478A">
      <w:pPr>
        <w:widowControl w:val="0"/>
        <w:numPr>
          <w:ilvl w:val="0"/>
          <w:numId w:val="4"/>
        </w:numPr>
        <w:overflowPunct w:val="0"/>
        <w:autoSpaceDE w:val="0"/>
        <w:autoSpaceDN w:val="0"/>
        <w:adjustRightInd w:val="0"/>
        <w:spacing w:after="120"/>
        <w:ind w:hanging="567"/>
        <w:textAlignment w:val="baseline"/>
        <w:rPr>
          <w:b/>
          <w:i/>
          <w:color w:val="0000FF"/>
          <w:sz w:val="28"/>
          <w:u w:val="single"/>
        </w:rPr>
      </w:pPr>
      <w:hyperlink r:id="rId67" w:history="1">
        <w:r w:rsidRPr="0050478A">
          <w:rPr>
            <w:b/>
            <w:i/>
            <w:color w:val="0000FF"/>
            <w:sz w:val="28"/>
            <w:u w:val="single"/>
          </w:rPr>
          <w:t>Civilsamfundets rolle, når det gælder støtte til vækstplanerne for Vestbalkan og Moldova samt Ukraines reformkurs</w:t>
        </w:r>
      </w:hyperlink>
    </w:p>
    <w:p w14:paraId="464D5003" w14:textId="77777777" w:rsidR="00D16830" w:rsidRPr="00D16830" w:rsidRDefault="00D16830" w:rsidP="004D7D0C">
      <w:pPr>
        <w:tabs>
          <w:tab w:val="center" w:pos="284"/>
        </w:tabs>
        <w:overflowPunct w:val="0"/>
        <w:autoSpaceDE w:val="0"/>
        <w:autoSpaceDN w:val="0"/>
        <w:adjustRightInd w:val="0"/>
        <w:spacing w:line="240" w:lineRule="auto"/>
        <w:ind w:left="266" w:hanging="266"/>
        <w:textAlignment w:val="baseline"/>
        <w:rPr>
          <w:b/>
          <w:lang w:val="en-GB"/>
        </w:rPr>
      </w:pP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7430"/>
      </w:tblGrid>
      <w:tr w:rsidR="00D16830" w:rsidRPr="00D16830" w14:paraId="10A26714" w14:textId="77777777" w:rsidTr="004D7D0C">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Ordfører</w:t>
            </w:r>
          </w:p>
        </w:tc>
        <w:tc>
          <w:tcPr>
            <w:tcW w:w="680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 xml:space="preserve">Oleg </w:t>
            </w:r>
            <w:proofErr w:type="spellStart"/>
            <w:r>
              <w:t>Roibu</w:t>
            </w:r>
            <w:proofErr w:type="spellEnd"/>
            <w:r>
              <w:t xml:space="preserve"> (Arbejdsgivergruppen – RO)</w:t>
            </w:r>
          </w:p>
        </w:tc>
      </w:tr>
      <w:tr w:rsidR="00D16830" w:rsidRPr="00D16830" w14:paraId="16FB2AA9" w14:textId="77777777" w:rsidTr="004D7D0C">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Medordfører</w:t>
            </w:r>
          </w:p>
        </w:tc>
        <w:tc>
          <w:tcPr>
            <w:tcW w:w="680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 xml:space="preserve">Andrej </w:t>
            </w:r>
            <w:proofErr w:type="spellStart"/>
            <w:r>
              <w:t>Zorko</w:t>
            </w:r>
            <w:proofErr w:type="spellEnd"/>
            <w:r>
              <w:t xml:space="preserve"> (Arbejdstagergruppen – SI)</w:t>
            </w:r>
          </w:p>
        </w:tc>
      </w:tr>
      <w:tr w:rsidR="00D16830" w:rsidRPr="004D7D0C" w14:paraId="6E76E965" w14:textId="77777777" w:rsidTr="004D7D0C">
        <w:tc>
          <w:tcPr>
            <w:tcW w:w="8505" w:type="dxa"/>
            <w:gridSpan w:val="2"/>
          </w:tcPr>
          <w:p w14:paraId="3CA058AE" w14:textId="77777777" w:rsidR="00D16830" w:rsidRPr="004D7D0C" w:rsidRDefault="00D16830" w:rsidP="004D7D0C">
            <w:pPr>
              <w:tabs>
                <w:tab w:val="center" w:pos="284"/>
              </w:tabs>
              <w:overflowPunct w:val="0"/>
              <w:autoSpaceDE w:val="0"/>
              <w:autoSpaceDN w:val="0"/>
              <w:adjustRightInd w:val="0"/>
              <w:spacing w:line="240" w:lineRule="auto"/>
              <w:ind w:left="266" w:hanging="266"/>
              <w:textAlignment w:val="baseline"/>
              <w:rPr>
                <w:sz w:val="14"/>
                <w:szCs w:val="14"/>
              </w:rPr>
            </w:pPr>
          </w:p>
        </w:tc>
      </w:tr>
      <w:tr w:rsidR="00D16830" w:rsidRPr="00D16830" w14:paraId="0673089E" w14:textId="77777777" w:rsidTr="004D7D0C">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Ref.</w:t>
            </w:r>
          </w:p>
        </w:tc>
        <w:tc>
          <w:tcPr>
            <w:tcW w:w="6804" w:type="dxa"/>
          </w:tcPr>
          <w:p w14:paraId="7F3E1AFA" w14:textId="712E7546" w:rsidR="006717BA" w:rsidRDefault="006717BA" w:rsidP="004D7D0C">
            <w:pPr>
              <w:overflowPunct w:val="0"/>
              <w:autoSpaceDE w:val="0"/>
              <w:autoSpaceDN w:val="0"/>
              <w:adjustRightInd w:val="0"/>
              <w:textAlignment w:val="baseline"/>
            </w:pPr>
            <w:r>
              <w:t>Sonderende udtalelse på anmodning af det cypriotiske formandskab for Rådet for Den Europæiske Union</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proofErr w:type="spellStart"/>
            <w:r>
              <w:t>EESC</w:t>
            </w:r>
            <w:proofErr w:type="spellEnd"/>
            <w:r>
              <w:t>-2026-00143-00-00-AC</w:t>
            </w:r>
          </w:p>
        </w:tc>
      </w:tr>
      <w:tr w:rsidR="00D16830" w:rsidRPr="00D16830" w14:paraId="2A8B5342" w14:textId="77777777" w:rsidTr="004D7D0C">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4D7D0C">
      <w:pPr>
        <w:keepNext/>
        <w:keepLines/>
        <w:tabs>
          <w:tab w:val="center" w:pos="284"/>
        </w:tabs>
        <w:overflowPunct w:val="0"/>
        <w:autoSpaceDE w:val="0"/>
        <w:autoSpaceDN w:val="0"/>
        <w:adjustRightInd w:val="0"/>
        <w:spacing w:line="240" w:lineRule="auto"/>
        <w:ind w:left="266" w:hanging="266"/>
        <w:textAlignment w:val="baseline"/>
        <w:rPr>
          <w:b/>
        </w:rPr>
      </w:pPr>
      <w:r>
        <w:rPr>
          <w:b/>
        </w:rPr>
        <w:t xml:space="preserve">Hovedpunkter </w:t>
      </w:r>
    </w:p>
    <w:p w14:paraId="7EE6889C" w14:textId="77777777" w:rsidR="00D16830" w:rsidRPr="00D16830" w:rsidRDefault="00D16830" w:rsidP="004D7D0C">
      <w:pPr>
        <w:keepNext/>
        <w:keepLines/>
        <w:tabs>
          <w:tab w:val="center" w:pos="284"/>
        </w:tabs>
        <w:overflowPunct w:val="0"/>
        <w:autoSpaceDE w:val="0"/>
        <w:autoSpaceDN w:val="0"/>
        <w:adjustRightInd w:val="0"/>
        <w:spacing w:line="240" w:lineRule="auto"/>
        <w:ind w:left="266" w:hanging="266"/>
        <w:textAlignment w:val="baseline"/>
        <w:rPr>
          <w:b/>
          <w:lang w:val="en-GB"/>
        </w:rPr>
      </w:pPr>
    </w:p>
    <w:p w14:paraId="6D13BD68" w14:textId="77777777" w:rsidR="00D16830" w:rsidRDefault="00D16830" w:rsidP="004D7D0C">
      <w:pPr>
        <w:overflowPunct w:val="0"/>
        <w:autoSpaceDE w:val="0"/>
        <w:autoSpaceDN w:val="0"/>
        <w:adjustRightInd w:val="0"/>
        <w:spacing w:line="240" w:lineRule="auto"/>
        <w:textAlignment w:val="baseline"/>
        <w:rPr>
          <w:bCs/>
          <w:iCs/>
        </w:rPr>
      </w:pPr>
      <w:proofErr w:type="spellStart"/>
      <w:r>
        <w:t>EØSU</w:t>
      </w:r>
      <w:proofErr w:type="spellEnd"/>
      <w:r>
        <w:t>:</w:t>
      </w:r>
    </w:p>
    <w:p w14:paraId="34AABBC4" w14:textId="77777777" w:rsidR="00037101" w:rsidRPr="00D16830" w:rsidRDefault="00037101" w:rsidP="004D7D0C">
      <w:pPr>
        <w:overflowPunct w:val="0"/>
        <w:autoSpaceDE w:val="0"/>
        <w:autoSpaceDN w:val="0"/>
        <w:adjustRightInd w:val="0"/>
        <w:spacing w:line="240" w:lineRule="auto"/>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understreger, at der i forbindelse med alle tre faciliteter for Vestbalkan, Ukraine og Moldova </w:t>
      </w:r>
      <w:r>
        <w:rPr>
          <w:b/>
        </w:rPr>
        <w:t>skal praktiseres aktiv inddragelse af civilsamfundet</w:t>
      </w:r>
      <w:r>
        <w:t xml:space="preserve">, hvilket er en strukturel betingelse, der understøtter </w:t>
      </w:r>
      <w:r>
        <w:rPr>
          <w:b/>
        </w:rPr>
        <w:t>udvidelsesprocessens bæredygtighed</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pointerer, at civilsamfundets ejerskab af de tre facilitetsstøttede reformer bør tage form af en </w:t>
      </w:r>
      <w:r>
        <w:rPr>
          <w:b/>
        </w:rPr>
        <w:t>permanent, aktiv, struktureret og formelt institutionaliseret rolle for arbejdsmarkedets parter og civilsamfundsorganisationerne</w:t>
      </w:r>
      <w:r>
        <w:t xml:space="preserve"> side om side med de nationale myndigheder</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understreger, at </w:t>
      </w:r>
      <w:r>
        <w:rPr>
          <w:b/>
        </w:rPr>
        <w:t>finansieringen bør bidrage aktivt til at forberede landene på EU-medlemskab</w:t>
      </w:r>
      <w:r>
        <w:t xml:space="preserve"> i overensstemmelse med den europæiske sociale og økonomiske model og ikke være begrænset til at støtte integrationen i det indre marked</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 xml:space="preserve">understreger, at </w:t>
      </w:r>
      <w:r>
        <w:rPr>
          <w:b/>
        </w:rPr>
        <w:t>frister ikke bør undergrave de demokratiske procedurer, den offentlige debat, den obligatoriske høring af eller dialogen</w:t>
      </w:r>
      <w:r>
        <w:t xml:space="preserve"> med arbejdsmarkedets parter og civilsamfundsorganisationerne eller anvendes som begrundelse for lovgivningsmæssige nødløsninger, der udelukker arbejdsmarkedets parter og civilsamfundsorganisationerne</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påpeger, at regeringerne bør fastlægge en </w:t>
      </w:r>
      <w:r>
        <w:rPr>
          <w:b/>
        </w:rPr>
        <w:t>struktureret ramme for social dialog</w:t>
      </w:r>
      <w:r>
        <w:t xml:space="preserve">, der sikrer inddragelse af nationalt repræsentative organisationer med et passende antal medlemmer, arbejdsgiver- og arbejdstagerorganisationer samt civilsamfundsorganisationer, samtidig med at </w:t>
      </w:r>
      <w:r>
        <w:rPr>
          <w:b/>
        </w:rPr>
        <w:t>arbejdsmarkedsparternes særlige rolle og autonomi respekteres</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anbefaler klare, offentlige retningslinjer fra Kommissionen om vurdering af, om </w:t>
      </w:r>
      <w:r>
        <w:rPr>
          <w:b/>
        </w:rPr>
        <w:t>reformdagsordenens gennemførelsesindikatorer er helt eller delvist opfyldt</w:t>
      </w:r>
      <w:r>
        <w:t>. Det gælder også verifikationsstandarderne og i forhold til, om der er sket tilbageskridt med de betingelser, der tidligere var opfyldt</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anbefaler, at der sikres skræddersyet bæredygtig og forudsigelig </w:t>
      </w:r>
      <w:r>
        <w:rPr>
          <w:b/>
        </w:rPr>
        <w:t>økonomisk støtte til civilsamfundsorganisationer og arbejdsmarkedets parter</w:t>
      </w:r>
      <w:r>
        <w:t xml:space="preserve"> gennem </w:t>
      </w:r>
      <w:r>
        <w:rPr>
          <w:b/>
        </w:rPr>
        <w:t>flerårige og gennemsigtige finansieringsmekanismer</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opfordrer Kommissionen til at </w:t>
      </w:r>
      <w:r>
        <w:rPr>
          <w:b/>
        </w:rPr>
        <w:t>trække på midtvejsevalueringer</w:t>
      </w:r>
      <w:r>
        <w:t xml:space="preserve"> af facilitetens nuværende forvaltnings- og gennemførelsesrammer og </w:t>
      </w:r>
      <w:r>
        <w:rPr>
          <w:b/>
        </w:rPr>
        <w:t>yderligere at forbedre gennemførelsen af EU's nuværende og fremtidige relevante resultatbaserede udvidelsesinstrumenter</w:t>
      </w:r>
      <w:r>
        <w:t>.</w:t>
      </w:r>
    </w:p>
    <w:p w14:paraId="77E533A4" w14:textId="77777777" w:rsidR="00D16830" w:rsidRPr="004D7D0C" w:rsidRDefault="00D16830" w:rsidP="004D7D0C">
      <w:pPr>
        <w:widowControl w:val="0"/>
        <w:overflowPunct w:val="0"/>
        <w:autoSpaceDE w:val="0"/>
        <w:autoSpaceDN w:val="0"/>
        <w:adjustRightInd w:val="0"/>
        <w:spacing w:line="240" w:lineRule="auto"/>
        <w:ind w:left="284" w:hanging="284"/>
        <w:textAlignment w:val="baseline"/>
        <w:rPr>
          <w:sz w:val="18"/>
          <w:szCs w:val="16"/>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D16830" w14:paraId="06D6E640" w14:textId="77777777" w:rsidTr="002E7EFB">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t>Kontakt</w:t>
            </w:r>
          </w:p>
        </w:tc>
        <w:tc>
          <w:tcPr>
            <w:tcW w:w="5670"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 xml:space="preserve">David </w:t>
            </w:r>
            <w:proofErr w:type="spellStart"/>
            <w:r>
              <w:rPr>
                <w:i/>
              </w:rPr>
              <w:t>Hoić</w:t>
            </w:r>
            <w:proofErr w:type="spellEnd"/>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Tlf.</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00 32 2 546 90 69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E-mail</w:t>
            </w:r>
          </w:p>
        </w:tc>
        <w:tc>
          <w:tcPr>
            <w:tcW w:w="5670" w:type="dxa"/>
          </w:tcPr>
          <w:p w14:paraId="104A20AD" w14:textId="77777777" w:rsidR="00D16830" w:rsidRPr="00D16830" w:rsidRDefault="003A5271" w:rsidP="00D16830">
            <w:pPr>
              <w:overflowPunct w:val="0"/>
              <w:autoSpaceDE w:val="0"/>
              <w:autoSpaceDN w:val="0"/>
              <w:adjustRightInd w:val="0"/>
              <w:spacing w:line="240" w:lineRule="auto"/>
              <w:textAlignment w:val="baseline"/>
              <w:rPr>
                <w:i/>
              </w:rPr>
            </w:pPr>
            <w:hyperlink r:id="rId68" w:history="1">
              <w:proofErr w:type="spellStart"/>
              <w:r>
                <w:rPr>
                  <w:i/>
                  <w:color w:val="0000FF"/>
                  <w:u w:val="single"/>
                </w:rPr>
                <w:t>David.Hoic@eesc.europa.eu</w:t>
              </w:r>
              <w:proofErr w:type="spellEnd"/>
            </w:hyperlink>
            <w:r>
              <w:rPr>
                <w:i/>
              </w:rPr>
              <w:t xml:space="preserve"> </w:t>
            </w:r>
          </w:p>
        </w:tc>
      </w:tr>
    </w:tbl>
    <w:p w14:paraId="00FAE656" w14:textId="3E532CCD" w:rsidR="00A3691D" w:rsidRDefault="00A067F3" w:rsidP="004D7D0C">
      <w:pPr>
        <w:spacing w:line="240" w:lineRule="auto"/>
        <w:jc w:val="left"/>
      </w:pPr>
      <w:r>
        <w:br w:type="page"/>
      </w:r>
    </w:p>
    <w:p w14:paraId="41D04A86" w14:textId="49CFB439" w:rsidR="00297F0C" w:rsidRPr="00297F0C" w:rsidRDefault="00297F0C" w:rsidP="0050478A">
      <w:pPr>
        <w:widowControl w:val="0"/>
        <w:numPr>
          <w:ilvl w:val="0"/>
          <w:numId w:val="4"/>
        </w:numPr>
        <w:overflowPunct w:val="0"/>
        <w:autoSpaceDE w:val="0"/>
        <w:autoSpaceDN w:val="0"/>
        <w:adjustRightInd w:val="0"/>
        <w:spacing w:after="120"/>
        <w:ind w:hanging="567"/>
        <w:textAlignment w:val="baseline"/>
        <w:rPr>
          <w:sz w:val="20"/>
          <w:szCs w:val="20"/>
        </w:rPr>
      </w:pPr>
      <w:hyperlink r:id="rId69" w:history="1">
        <w:r>
          <w:rPr>
            <w:b/>
            <w:i/>
            <w:color w:val="0000FF"/>
            <w:sz w:val="28"/>
            <w:u w:val="single"/>
          </w:rPr>
          <w:t>Den private sektors og civilsamfundets rolle i styrkelsen af det økonomiske samarbejde inden for rammerne af pagten for Middelhavsområdet</w:t>
        </w:r>
      </w:hyperlink>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Ordfører</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 xml:space="preserve">Thomas </w:t>
            </w:r>
            <w:proofErr w:type="spellStart"/>
            <w:r>
              <w:t>Wagnsonner</w:t>
            </w:r>
            <w:proofErr w:type="spellEnd"/>
            <w:r>
              <w:t xml:space="preserve"> (Arbejdstagergruppen –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Medordfører</w:t>
            </w:r>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 xml:space="preserve">Lidija </w:t>
            </w:r>
            <w:proofErr w:type="spellStart"/>
            <w:r>
              <w:t>Pavić-Rogošić</w:t>
            </w:r>
            <w:proofErr w:type="spellEnd"/>
            <w:r>
              <w:t xml:space="preserve"> (Gruppen af civilsamfundsorganisationer – HR)</w:t>
            </w:r>
          </w:p>
          <w:p w14:paraId="14EF11F7" w14:textId="77777777" w:rsidR="00F76EE7" w:rsidRPr="00297F0C" w:rsidRDefault="00F76EE7" w:rsidP="004D7D0C">
            <w:pPr>
              <w:tabs>
                <w:tab w:val="center" w:pos="284"/>
              </w:tabs>
              <w:overflowPunct w:val="0"/>
              <w:autoSpaceDE w:val="0"/>
              <w:autoSpaceDN w:val="0"/>
              <w:adjustRightInd w:val="0"/>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Ref.</w:t>
            </w:r>
          </w:p>
        </w:tc>
        <w:tc>
          <w:tcPr>
            <w:tcW w:w="3923" w:type="pct"/>
          </w:tcPr>
          <w:p w14:paraId="4F6E33CF" w14:textId="1323A011" w:rsidR="005D6457" w:rsidRDefault="005D6457" w:rsidP="004D7D0C">
            <w:pPr>
              <w:tabs>
                <w:tab w:val="center" w:pos="284"/>
              </w:tabs>
              <w:overflowPunct w:val="0"/>
              <w:autoSpaceDE w:val="0"/>
              <w:autoSpaceDN w:val="0"/>
              <w:adjustRightInd w:val="0"/>
              <w:textAlignment w:val="baseline"/>
            </w:pPr>
            <w:r>
              <w:t>Sonderende udtalelse på anmodning af det cypriotiske formandskab for Rådet for Den Europæiske Union</w:t>
            </w:r>
          </w:p>
          <w:p w14:paraId="6DA7AE0B" w14:textId="1B6A132C" w:rsidR="00297F0C" w:rsidRPr="00297F0C" w:rsidRDefault="00297F0C" w:rsidP="004D7D0C">
            <w:pPr>
              <w:tabs>
                <w:tab w:val="center" w:pos="284"/>
              </w:tabs>
              <w:overflowPunct w:val="0"/>
              <w:autoSpaceDE w:val="0"/>
              <w:autoSpaceDN w:val="0"/>
              <w:adjustRightInd w:val="0"/>
              <w:textAlignment w:val="baseline"/>
            </w:pPr>
            <w:proofErr w:type="spellStart"/>
            <w:r>
              <w:t>EESC</w:t>
            </w:r>
            <w:proofErr w:type="spellEnd"/>
            <w:r>
              <w:t>-2025-04127-00-00-AC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Hovedpunkter</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proofErr w:type="spellStart"/>
      <w:r>
        <w:t>EØSU</w:t>
      </w:r>
      <w:proofErr w:type="spellEnd"/>
      <w:r>
        <w:t>:</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mener, at pagten for Middelhavsområdet kun kan lykkes gennem et ligeværdigt partnerskab mellem EU, medlemsstaterne og partnerne i det sydlige Middelhavsområde og dermed give direkte fordele for mennesker og lokalsamfund</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mener, at en struktureret og permanent inddragelse af det organiserede civilsamfund, ud over lejlighedsvise høringer, er nødvendig, herunder af fagforeninger, arbejdsgivergrupper og civilsamfundsorganisationer</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mener, at der i regionen, for at styrke den private sektor og særligt mikrovirksomheder og SMV'er, er brug for reformer, der forbedrer adgangen til finansiering, forenkler procedurer og støtter digitalisering og konnektivitet, så virksomheder har mulighed for at tilslutte sig regionale værdikæder</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 xml:space="preserve">er af den opfattelse, at eksisterende EU-handelsaftaler med mange sydlige Middelhavslande er forældede og bør moderniseres. I den forbindelse skal civilsamfundet bidrage til at føre tilsyn med </w:t>
      </w:r>
      <w:proofErr w:type="spellStart"/>
      <w:r>
        <w:t>arbejds</w:t>
      </w:r>
      <w:proofErr w:type="spellEnd"/>
      <w:r>
        <w:t>-, miljø- og menneskerettighedsforpligtelserne</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mener, at handel og investeringer bør være uløseligt forbundet med bæredygtig udvikling og anstændigt arbejde, herunder rimelige lønninger, sikre arbejdsvilkår, retligt bindende standarder og investeringer i bæredygtige regionale projekter</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understreger, at overgangen fra den uformelle til den formelle økonomi bør følge ILO's henstilling nr. 204, hvilket betyder, at den bør være gradvis, inklusiv og økonomisk realistisk frem for straffende</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mener, at pagtens handlingsplan bør garantere social beskyttelse, arbejdstagerrettigheder og overholdelse af ILO's grundlæggende konventioner, samtidig med at det sikres, at Global Gateway og andre store projekter inddrager arbejdsmarkedets parter og civilsamfundet allerede fra planlægningsfasen</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opfordrer til, at der lægges særlig vægt på samfundsøkonomiske aktører samt kvinder og unge gennem økonomisk støtte, kapacitetsopbygning, juridisk støtte, iværksætterprogrammer og deltagelse i forvaltning, samtidig med at det i forbindelse med arbejdskraftmobilitet sikres, at menneskerettighederne overholdes og hjerneflugt undgås</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 xml:space="preserve">mener, at koordineringen mellem de EU-finansierede og internationale finansielle institutioner bør styrkes for at forbedre virkningen, og at oprettelsen af en regional udviklingsbank eller en lignende finansiel mekanisme vil kunne bidrage til at finansiere infrastruktur, mikrovirksomheder og </w:t>
      </w:r>
      <w:r>
        <w:lastRenderedPageBreak/>
        <w:t>SMV'er, startupvirksomheder og socialøkonomiske projekter med gennemsigtig inddragelse af civilsamfundet.</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br w:type="page"/>
            </w:r>
            <w:r>
              <w:rPr>
                <w:b/>
                <w:i/>
              </w:rPr>
              <w:t>Kontakt</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Tlf.</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00 32 2 546 90 62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E-mail</w:t>
            </w:r>
          </w:p>
        </w:tc>
        <w:tc>
          <w:tcPr>
            <w:tcW w:w="3923" w:type="pct"/>
          </w:tcPr>
          <w:p w14:paraId="6FC2A286" w14:textId="77777777" w:rsidR="00297F0C" w:rsidRPr="00297F0C" w:rsidRDefault="003A5271" w:rsidP="00297F0C">
            <w:pPr>
              <w:overflowPunct w:val="0"/>
              <w:autoSpaceDE w:val="0"/>
              <w:autoSpaceDN w:val="0"/>
              <w:adjustRightInd w:val="0"/>
              <w:textAlignment w:val="baseline"/>
              <w:rPr>
                <w:i/>
              </w:rPr>
            </w:pPr>
            <w:hyperlink r:id="rId70" w:history="1">
              <w:proofErr w:type="spellStart"/>
              <w:r>
                <w:rPr>
                  <w:i/>
                  <w:color w:val="0000FF"/>
                  <w:u w:val="single"/>
                </w:rPr>
                <w:t>Andreas.Berger@eesc.europa.eu</w:t>
              </w:r>
              <w:proofErr w:type="spellEnd"/>
            </w:hyperlink>
            <w:r>
              <w:rPr>
                <w:i/>
              </w:rPr>
              <w:t xml:space="preserve"> </w:t>
            </w:r>
          </w:p>
        </w:tc>
      </w:tr>
    </w:tbl>
    <w:p w14:paraId="12CF0795" w14:textId="1C00578F" w:rsidR="00A067F3" w:rsidRDefault="00A067F3" w:rsidP="0066696D">
      <w:pPr>
        <w:pStyle w:val="ListParagraph"/>
        <w:ind w:left="567" w:hanging="567"/>
        <w:jc w:val="left"/>
      </w:pPr>
    </w:p>
    <w:p w14:paraId="1BF4DE49" w14:textId="17EA8985" w:rsidR="007F5784" w:rsidRDefault="00A067F3" w:rsidP="0050478A">
      <w:pPr>
        <w:spacing w:after="160" w:line="259" w:lineRule="auto"/>
        <w:jc w:val="left"/>
      </w:pPr>
      <w:r>
        <w:br w:type="page"/>
      </w:r>
    </w:p>
    <w:p w14:paraId="528C73AA" w14:textId="46DE726B" w:rsidR="006D2C8A" w:rsidRPr="006D2C8A" w:rsidRDefault="006D2C8A" w:rsidP="004D7D0C">
      <w:pPr>
        <w:pStyle w:val="Heading2"/>
        <w:spacing w:line="240" w:lineRule="auto"/>
      </w:pPr>
      <w:bookmarkStart w:id="42" w:name="_Toc229140651"/>
      <w:bookmarkStart w:id="43" w:name="_Toc229140658"/>
      <w:bookmarkStart w:id="44" w:name="_Toc229140659"/>
      <w:bookmarkEnd w:id="42"/>
      <w:bookmarkEnd w:id="43"/>
      <w:r>
        <w:lastRenderedPageBreak/>
        <w:t>DEN RÅDGIVENDE KOMMISSION FOR INDUSTRIELLE ÆNDRINGER</w:t>
      </w:r>
      <w:bookmarkEnd w:id="44"/>
    </w:p>
    <w:p w14:paraId="713E272F" w14:textId="77777777" w:rsidR="006D2C8A" w:rsidRDefault="006D2C8A" w:rsidP="004D7D0C">
      <w:pPr>
        <w:spacing w:line="240" w:lineRule="auto"/>
      </w:pPr>
    </w:p>
    <w:p w14:paraId="1B9F790A" w14:textId="7126C76E" w:rsidR="00814A54" w:rsidRPr="00814A54" w:rsidRDefault="00814A54" w:rsidP="0050478A">
      <w:pPr>
        <w:widowControl w:val="0"/>
        <w:numPr>
          <w:ilvl w:val="0"/>
          <w:numId w:val="4"/>
        </w:numPr>
        <w:overflowPunct w:val="0"/>
        <w:autoSpaceDE w:val="0"/>
        <w:autoSpaceDN w:val="0"/>
        <w:adjustRightInd w:val="0"/>
        <w:spacing w:after="120"/>
        <w:ind w:hanging="567"/>
        <w:textAlignment w:val="baseline"/>
        <w:rPr>
          <w:sz w:val="28"/>
          <w:szCs w:val="28"/>
        </w:rPr>
      </w:pPr>
      <w:hyperlink r:id="rId71" w:history="1">
        <w:r>
          <w:rPr>
            <w:b/>
            <w:i/>
            <w:color w:val="0000FF"/>
            <w:sz w:val="28"/>
            <w:u w:val="single"/>
          </w:rPr>
          <w:t>Programmet for fleksibel og hurtig innovation på forsvarsområdet (AGILE)</w:t>
        </w:r>
      </w:hyperlink>
      <w:r>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814A54" w14:paraId="37988BA0" w14:textId="77777777" w:rsidTr="002E7EFB">
        <w:tc>
          <w:tcPr>
            <w:tcW w:w="1701" w:type="dxa"/>
          </w:tcPr>
          <w:p w14:paraId="44EB374B" w14:textId="77777777" w:rsidR="007173CF" w:rsidRPr="00814A54" w:rsidRDefault="007173CF" w:rsidP="004D7D0C">
            <w:pPr>
              <w:tabs>
                <w:tab w:val="center" w:pos="284"/>
              </w:tabs>
              <w:spacing w:line="240" w:lineRule="auto"/>
              <w:rPr>
                <w:b/>
              </w:rPr>
            </w:pPr>
          </w:p>
          <w:p w14:paraId="41B7C4EB" w14:textId="77777777" w:rsidR="00814A54" w:rsidRPr="00814A54" w:rsidRDefault="00814A54" w:rsidP="00814A54">
            <w:pPr>
              <w:tabs>
                <w:tab w:val="center" w:pos="284"/>
              </w:tabs>
              <w:ind w:left="266" w:hanging="266"/>
              <w:rPr>
                <w:b/>
              </w:rPr>
            </w:pPr>
            <w:r>
              <w:rPr>
                <w:b/>
              </w:rPr>
              <w:t>Ordfører</w:t>
            </w:r>
          </w:p>
        </w:tc>
        <w:tc>
          <w:tcPr>
            <w:tcW w:w="5670" w:type="dxa"/>
          </w:tcPr>
          <w:p w14:paraId="6883D11C" w14:textId="77777777" w:rsidR="007173CF" w:rsidRDefault="007173CF" w:rsidP="004D7D0C">
            <w:pPr>
              <w:tabs>
                <w:tab w:val="center" w:pos="284"/>
              </w:tabs>
              <w:spacing w:line="240" w:lineRule="auto"/>
              <w:ind w:left="266" w:hanging="266"/>
            </w:pPr>
          </w:p>
          <w:p w14:paraId="1D11312F" w14:textId="073C09C2" w:rsidR="00814A54" w:rsidRPr="00814A54" w:rsidRDefault="00814A54" w:rsidP="00814A54">
            <w:pPr>
              <w:tabs>
                <w:tab w:val="center" w:pos="284"/>
              </w:tabs>
              <w:ind w:left="266" w:hanging="266"/>
            </w:pPr>
            <w:r>
              <w:t xml:space="preserve">Monika </w:t>
            </w:r>
            <w:proofErr w:type="spellStart"/>
            <w:r>
              <w:t>Sitárová</w:t>
            </w:r>
            <w:proofErr w:type="spellEnd"/>
            <w:r>
              <w:t xml:space="preserve"> (Arbejdstagergruppen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rPr>
              <w:t>Medordfører</w:t>
            </w:r>
          </w:p>
        </w:tc>
        <w:tc>
          <w:tcPr>
            <w:tcW w:w="5670" w:type="dxa"/>
          </w:tcPr>
          <w:p w14:paraId="691AA178" w14:textId="77BDBBFF" w:rsidR="00814A54" w:rsidRPr="00814A54" w:rsidRDefault="00814A54" w:rsidP="00814A54">
            <w:pPr>
              <w:tabs>
                <w:tab w:val="center" w:pos="284"/>
              </w:tabs>
              <w:ind w:left="266" w:hanging="266"/>
            </w:pPr>
            <w:proofErr w:type="spellStart"/>
            <w:r>
              <w:t>Srita</w:t>
            </w:r>
            <w:proofErr w:type="spellEnd"/>
            <w:r>
              <w:t xml:space="preserve"> Heide (Kat. 3 – 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Pr>
                <w:b/>
              </w:rPr>
              <w:t>Ref.</w:t>
            </w:r>
          </w:p>
        </w:tc>
        <w:tc>
          <w:tcPr>
            <w:tcW w:w="5670" w:type="dxa"/>
          </w:tcPr>
          <w:p w14:paraId="699F0B48" w14:textId="3F25C095" w:rsidR="00BA2BB0" w:rsidRDefault="00BA2BB0" w:rsidP="00814A54">
            <w:pPr>
              <w:tabs>
                <w:tab w:val="center" w:pos="284"/>
              </w:tabs>
              <w:ind w:left="266" w:hanging="266"/>
            </w:pPr>
            <w:proofErr w:type="gramStart"/>
            <w:r>
              <w:t>COM(</w:t>
            </w:r>
            <w:proofErr w:type="gramEnd"/>
            <w:r>
              <w:t>2026) 135 final</w:t>
            </w:r>
          </w:p>
          <w:p w14:paraId="30557EA2" w14:textId="294C27C9" w:rsidR="00814A54" w:rsidRPr="00814A54" w:rsidRDefault="00814A54" w:rsidP="00814A54">
            <w:pPr>
              <w:tabs>
                <w:tab w:val="center" w:pos="284"/>
              </w:tabs>
              <w:ind w:left="266" w:hanging="266"/>
            </w:pPr>
            <w:proofErr w:type="spellStart"/>
            <w:r>
              <w:t>EESC</w:t>
            </w:r>
            <w:proofErr w:type="spellEnd"/>
            <w:r>
              <w:t>-2026-01126-00-00-AC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4D7D0C">
      <w:pPr>
        <w:keepNext/>
        <w:keepLines/>
        <w:tabs>
          <w:tab w:val="center" w:pos="284"/>
        </w:tabs>
        <w:spacing w:line="240" w:lineRule="auto"/>
        <w:ind w:left="266" w:hanging="266"/>
        <w:rPr>
          <w:b/>
        </w:rPr>
      </w:pPr>
      <w:r>
        <w:rPr>
          <w:b/>
        </w:rPr>
        <w:t>Hovedpunkter</w:t>
      </w:r>
    </w:p>
    <w:p w14:paraId="0388059A" w14:textId="77777777" w:rsidR="00814A54" w:rsidRPr="00814A54" w:rsidRDefault="00814A54" w:rsidP="004D7D0C">
      <w:pPr>
        <w:keepNext/>
        <w:keepLines/>
        <w:tabs>
          <w:tab w:val="center" w:pos="284"/>
        </w:tabs>
        <w:spacing w:line="240" w:lineRule="auto"/>
        <w:ind w:left="266" w:hanging="266"/>
        <w:rPr>
          <w:b/>
        </w:rPr>
      </w:pPr>
    </w:p>
    <w:p w14:paraId="144BA9E2" w14:textId="77777777" w:rsidR="00814A54" w:rsidRPr="00814A54" w:rsidRDefault="00814A54" w:rsidP="004D7D0C">
      <w:pPr>
        <w:keepNext/>
        <w:keepLines/>
        <w:tabs>
          <w:tab w:val="center" w:pos="284"/>
        </w:tabs>
        <w:spacing w:line="240" w:lineRule="auto"/>
        <w:ind w:left="266" w:hanging="266"/>
        <w:rPr>
          <w:bCs/>
        </w:rPr>
      </w:pPr>
      <w:proofErr w:type="spellStart"/>
      <w:r>
        <w:t>EØSU</w:t>
      </w:r>
      <w:proofErr w:type="spellEnd"/>
      <w:r>
        <w:t>:</w:t>
      </w:r>
    </w:p>
    <w:p w14:paraId="35C0FAC6" w14:textId="77777777" w:rsidR="00814A54" w:rsidRPr="00814A54" w:rsidRDefault="00814A54" w:rsidP="004D7D0C">
      <w:pPr>
        <w:keepNext/>
        <w:keepLines/>
        <w:tabs>
          <w:tab w:val="center" w:pos="284"/>
        </w:tabs>
        <w:spacing w:line="240" w:lineRule="auto"/>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støtter indsatsen for at forbedre hastigheden, reaktionsevnen og innovationskapaciteten i den europæiske forsvarsteknologiske og -industrielle base (</w:t>
      </w:r>
      <w:proofErr w:type="spellStart"/>
      <w:r>
        <w:t>EDTIB</w:t>
      </w:r>
      <w:proofErr w:type="spellEnd"/>
      <w:r>
        <w:t>) i lyset af det skiftende sikkerhedsmiljø og glæder sig derfor over Kommissionens foreslåede AGILE-forsvarsramme</w:t>
      </w:r>
      <w:bookmarkEnd w:id="45"/>
    </w:p>
    <w:p w14:paraId="7C3494F3" w14:textId="77777777" w:rsidR="00814A54" w:rsidRPr="00814A54" w:rsidRDefault="00814A54" w:rsidP="004C6742">
      <w:pPr>
        <w:numPr>
          <w:ilvl w:val="1"/>
          <w:numId w:val="65"/>
        </w:numPr>
        <w:outlineLvl w:val="1"/>
      </w:pPr>
      <w:bookmarkStart w:id="46" w:name="_Toc228805458"/>
      <w:r>
        <w:t xml:space="preserve">ser med tilfredshed på AGILE som en platform, hvor SMV'er, nystartede virksomheder, civilteknologiske virksomheder og iværksættere kan levere hurtige løsninger af høj kvalitet til EU's forsvarsberedskab. </w:t>
      </w:r>
      <w:proofErr w:type="spellStart"/>
      <w:r>
        <w:t>EØSU</w:t>
      </w:r>
      <w:proofErr w:type="spellEnd"/>
      <w:r>
        <w:t xml:space="preserve"> understreger den vigtige rolle, som nye aktører på forsvarsområdet spiller i omstillingen af EU's forsvarsindustri</w:t>
      </w:r>
      <w:bookmarkEnd w:id="46"/>
      <w:r>
        <w:t xml:space="preserve"> </w:t>
      </w:r>
    </w:p>
    <w:p w14:paraId="084337D9" w14:textId="77777777" w:rsidR="00814A54" w:rsidRPr="00814A54" w:rsidRDefault="00814A54" w:rsidP="004C6742">
      <w:pPr>
        <w:numPr>
          <w:ilvl w:val="1"/>
          <w:numId w:val="65"/>
        </w:numPr>
        <w:outlineLvl w:val="1"/>
      </w:pPr>
      <w:bookmarkStart w:id="47" w:name="_Toc228805459"/>
      <w:r>
        <w:t>understreger, at fremskyndelsen ikke må ske på bekostning af gennemsigtighed, ansvarlighed og demokratisk kontrol, som fortsat er afgørende for legitimiteten og effektiviteten af EU's indsats</w:t>
      </w:r>
      <w:bookmarkEnd w:id="47"/>
    </w:p>
    <w:p w14:paraId="15C24631" w14:textId="77777777" w:rsidR="00814A54" w:rsidRPr="00814A54" w:rsidRDefault="00814A54" w:rsidP="004C6742">
      <w:pPr>
        <w:numPr>
          <w:ilvl w:val="1"/>
          <w:numId w:val="65"/>
        </w:numPr>
        <w:outlineLvl w:val="1"/>
      </w:pPr>
      <w:bookmarkStart w:id="48" w:name="_Toc228805460"/>
      <w:r>
        <w:t xml:space="preserve">opfordrer til, at AGILE-midlerne ydes i tillæg til eksisterende EU-forsvarsprogrammer. </w:t>
      </w:r>
      <w:proofErr w:type="spellStart"/>
      <w:r>
        <w:t>EØSU</w:t>
      </w:r>
      <w:proofErr w:type="spellEnd"/>
      <w:r>
        <w:t xml:space="preserve"> anbefaler, på grundlag af resultatet af evalueringen af pilotprogrammet, at budgettet for dette instrument øges betydeligt i den næste </w:t>
      </w:r>
      <w:proofErr w:type="spellStart"/>
      <w:r>
        <w:t>FFR</w:t>
      </w:r>
      <w:proofErr w:type="spellEnd"/>
      <w:r>
        <w:t>-periode</w:t>
      </w:r>
      <w:bookmarkEnd w:id="48"/>
      <w:r>
        <w:t xml:space="preserve"> </w:t>
      </w:r>
    </w:p>
    <w:p w14:paraId="590B8EC8" w14:textId="040EE69C" w:rsidR="00814A54" w:rsidRPr="00814A54" w:rsidRDefault="00814A54" w:rsidP="004C6742">
      <w:pPr>
        <w:numPr>
          <w:ilvl w:val="1"/>
          <w:numId w:val="65"/>
        </w:numPr>
        <w:outlineLvl w:val="1"/>
      </w:pPr>
      <w:bookmarkStart w:id="49" w:name="_Toc228805461"/>
      <w:r>
        <w:t xml:space="preserve">anbefaler, at der indføres bestemmelser for at sikre, at </w:t>
      </w:r>
      <w:proofErr w:type="spellStart"/>
      <w:r>
        <w:t>AGILE's</w:t>
      </w:r>
      <w:proofErr w:type="spellEnd"/>
      <w:r>
        <w:t xml:space="preserve"> opsøgende arbejde, udvælgelses</w:t>
      </w:r>
      <w:r w:rsidR="004D7D0C">
        <w:noBreakHyphen/>
      </w:r>
      <w:r>
        <w:t xml:space="preserve"> og evalueringsprocesser proaktivt inddrager innovative SMV'er, nystartede virksomheder og enkeltvirksomheder fra alle medlemsstater og sektorer med henblik på at styrke den geografiske balance og inklusion i hele Unionen</w:t>
      </w:r>
      <w:bookmarkEnd w:id="49"/>
    </w:p>
    <w:p w14:paraId="2B71655A" w14:textId="77777777" w:rsidR="00814A54" w:rsidRPr="00814A54" w:rsidRDefault="00814A54" w:rsidP="004C6742">
      <w:pPr>
        <w:numPr>
          <w:ilvl w:val="1"/>
          <w:numId w:val="65"/>
        </w:numPr>
        <w:outlineLvl w:val="1"/>
      </w:pPr>
      <w:bookmarkStart w:id="50" w:name="_Toc228805462"/>
      <w:r>
        <w:t>anbefaler, at der indføres solide og bindende foranstaltninger for at sikre effektiv overholdelse af artikel 9, stk. 5, om støtteberettigelse. For at beskytte Unionens strategiske autonomi og sikkerhedsinteresser bør denne artikel udtrykkeligt præcisere og skærpe udelukkelseskriterierne</w:t>
      </w:r>
      <w:bookmarkEnd w:id="50"/>
    </w:p>
    <w:p w14:paraId="3849E73E" w14:textId="77777777" w:rsidR="00814A54" w:rsidRPr="00814A54" w:rsidRDefault="00814A54" w:rsidP="004C6742">
      <w:pPr>
        <w:numPr>
          <w:ilvl w:val="1"/>
          <w:numId w:val="65"/>
        </w:numPr>
        <w:outlineLvl w:val="1"/>
      </w:pPr>
      <w:bookmarkStart w:id="51" w:name="_Toc228805463"/>
      <w:r>
        <w:t>anbefaler, at AGILE-projekter drives resolut af klart fastsatte forsvarskapacitetskrav, og at projekterne nøje afstemmes efter slutbrugernes behov. Udvalget understreger, at AGILE-projekter bør have adgang til virkelige testmiljøer, herunder militære øvelser og testområder, med henblik på at validere løsninger under operationelle forhold og fremskynde deres udbredelse</w:t>
      </w:r>
      <w:bookmarkEnd w:id="51"/>
    </w:p>
    <w:p w14:paraId="0638FC2F" w14:textId="77777777" w:rsidR="00814A54" w:rsidRPr="00814A54" w:rsidRDefault="00814A54" w:rsidP="004C6742">
      <w:pPr>
        <w:numPr>
          <w:ilvl w:val="1"/>
          <w:numId w:val="65"/>
        </w:numPr>
        <w:outlineLvl w:val="1"/>
      </w:pPr>
      <w:bookmarkStart w:id="52" w:name="_Toc228805464"/>
      <w:r>
        <w:t xml:space="preserve">anbefaler, at overholdelse af EU's arbejdsmarkeds-, social- og miljølovgivning udtrykkeligt indarbejdes i gennemførelsen af AGILE. </w:t>
      </w:r>
      <w:proofErr w:type="spellStart"/>
      <w:r>
        <w:t>EØSU</w:t>
      </w:r>
      <w:proofErr w:type="spellEnd"/>
      <w:r>
        <w:t xml:space="preserve"> understreger, at deltagelse i AGILE-programmet bør være betinget af et tilsagn om udvikling af færdigheder, beskæftigelse af høj kvalitet og fuld respekt for arbejdstagernes rettigheder i overensstemmelse med den europæiske sociale model.</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t>Kontakt</w:t>
            </w:r>
          </w:p>
        </w:tc>
        <w:tc>
          <w:tcPr>
            <w:tcW w:w="5670" w:type="dxa"/>
          </w:tcPr>
          <w:p w14:paraId="42A1FC82" w14:textId="7A465A63" w:rsidR="00814A54" w:rsidRPr="004C6742" w:rsidRDefault="00814A54" w:rsidP="00814A54">
            <w:pPr>
              <w:spacing w:line="240" w:lineRule="auto"/>
              <w:rPr>
                <w:bCs/>
                <w:i/>
              </w:rPr>
            </w:pPr>
            <w:r>
              <w:rPr>
                <w:i/>
              </w:rPr>
              <w:t xml:space="preserve">Ioannis </w:t>
            </w:r>
            <w:proofErr w:type="spellStart"/>
            <w:r>
              <w:rPr>
                <w:i/>
              </w:rPr>
              <w:t>Diamantopoulos</w:t>
            </w:r>
            <w:proofErr w:type="spellEnd"/>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Tlf.</w:t>
            </w:r>
          </w:p>
        </w:tc>
        <w:tc>
          <w:tcPr>
            <w:tcW w:w="5670" w:type="dxa"/>
          </w:tcPr>
          <w:p w14:paraId="2671F0CA" w14:textId="77777777" w:rsidR="00814A54" w:rsidRPr="00814A54" w:rsidRDefault="00814A54" w:rsidP="00814A54">
            <w:pPr>
              <w:spacing w:line="240" w:lineRule="auto"/>
              <w:rPr>
                <w:i/>
              </w:rPr>
            </w:pPr>
            <w:r>
              <w:rPr>
                <w:i/>
              </w:rPr>
              <w:t>00 32 2 546 91 70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E-mail</w:t>
            </w:r>
          </w:p>
        </w:tc>
        <w:tc>
          <w:tcPr>
            <w:tcW w:w="5670" w:type="dxa"/>
          </w:tcPr>
          <w:p w14:paraId="210C9375" w14:textId="77777777" w:rsidR="00814A54" w:rsidRPr="00814A54" w:rsidRDefault="003A5271" w:rsidP="00814A54">
            <w:pPr>
              <w:spacing w:line="240" w:lineRule="auto"/>
              <w:rPr>
                <w:i/>
              </w:rPr>
            </w:pPr>
            <w:hyperlink r:id="rId72" w:history="1">
              <w:proofErr w:type="spellStart"/>
              <w:r>
                <w:rPr>
                  <w:i/>
                  <w:color w:val="0000FF"/>
                  <w:u w:val="single"/>
                </w:rPr>
                <w:t>Ioannis.Diamantopoulos@eesc.europa.eu</w:t>
              </w:r>
              <w:proofErr w:type="spellEnd"/>
            </w:hyperlink>
          </w:p>
        </w:tc>
      </w:tr>
    </w:tbl>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50478A">
      <w:footerReference w:type="even" r:id="rId73"/>
      <w:footerReference w:type="default" r:id="rId74"/>
      <w:footerReference w:type="first" r:id="rId7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4078" w14:textId="77777777" w:rsidR="001742CB" w:rsidRDefault="001742CB" w:rsidP="00B518C9">
      <w:pPr>
        <w:spacing w:line="240" w:lineRule="auto"/>
      </w:pPr>
      <w:r>
        <w:separator/>
      </w:r>
    </w:p>
  </w:endnote>
  <w:endnote w:type="continuationSeparator" w:id="0">
    <w:p w14:paraId="7A117121" w14:textId="77777777" w:rsidR="001742CB" w:rsidRDefault="001742CB"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proofErr w:type="spellStart"/>
    <w:r>
      <w:t>EESC</w:t>
    </w:r>
    <w:proofErr w:type="spellEnd"/>
    <w:r>
      <w:t>-2026-00936-00-00-TCD-</w:t>
    </w:r>
    <w:proofErr w:type="spellStart"/>
    <w:r>
      <w:t>TRA</w:t>
    </w:r>
    <w:proofErr w:type="spellEnd"/>
    <w:r>
      <w:t xml:space="preserve">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proofErr w:type="spellStart"/>
    <w:r>
      <w:t>EESC</w:t>
    </w:r>
    <w:proofErr w:type="spellEnd"/>
    <w:r>
      <w:t>-2026-00936-00-00-TCD-</w:t>
    </w:r>
    <w:proofErr w:type="spellStart"/>
    <w:r>
      <w:t>TRA</w:t>
    </w:r>
    <w:proofErr w:type="spellEnd"/>
    <w:r>
      <w:t xml:space="preserve">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AA6C" w14:textId="77777777" w:rsidR="001742CB" w:rsidRDefault="001742CB" w:rsidP="00B518C9">
      <w:pPr>
        <w:spacing w:line="240" w:lineRule="auto"/>
      </w:pPr>
      <w:r>
        <w:separator/>
      </w:r>
    </w:p>
  </w:footnote>
  <w:footnote w:type="continuationSeparator" w:id="0">
    <w:p w14:paraId="7D89C4BB" w14:textId="77777777" w:rsidR="001742CB" w:rsidRDefault="001742CB" w:rsidP="00B518C9">
      <w:pPr>
        <w:spacing w:line="240" w:lineRule="auto"/>
      </w:pPr>
      <w:r>
        <w:continuationSeparator/>
      </w:r>
    </w:p>
  </w:footnote>
  <w:footnote w:id="1">
    <w:p w14:paraId="7B651DAB" w14:textId="77777777" w:rsidR="00944198" w:rsidRPr="00BD72B3" w:rsidRDefault="00944198" w:rsidP="00944198">
      <w:pPr>
        <w:pStyle w:val="FootnoteText"/>
      </w:pPr>
      <w:r>
        <w:rPr>
          <w:rStyle w:val="FootnoteReference"/>
        </w:rPr>
        <w:footnoteRef/>
      </w:r>
      <w:r>
        <w:tab/>
      </w:r>
      <w:proofErr w:type="spellStart"/>
      <w:r>
        <w:t>EUT</w:t>
      </w:r>
      <w:proofErr w:type="spellEnd"/>
      <w:r>
        <w:t xml:space="preserve"> C, C/2024/6880, 28.11.2024, ELI: </w:t>
      </w:r>
      <w:hyperlink r:id="rId1" w:history="1">
        <w:r>
          <w:rPr>
            <w:rStyle w:val="Hyperlink"/>
          </w:rPr>
          <w:t>http://</w:t>
        </w:r>
        <w:proofErr w:type="spellStart"/>
        <w:r>
          <w:rPr>
            <w:rStyle w:val="Hyperlink"/>
          </w:rPr>
          <w:t>data.europa.eu</w:t>
        </w:r>
        <w:proofErr w:type="spellEnd"/>
        <w:r>
          <w:rPr>
            <w:rStyle w:val="Hyperlink"/>
          </w:rPr>
          <w:t>/</w:t>
        </w:r>
        <w:proofErr w:type="spellStart"/>
        <w:r>
          <w:rPr>
            <w:rStyle w:val="Hyperlink"/>
          </w:rPr>
          <w:t>eli</w:t>
        </w:r>
        <w:proofErr w:type="spellEnd"/>
        <w:r>
          <w:rPr>
            <w:rStyle w:val="Hyperlink"/>
          </w:rPr>
          <w:t>/C/2024/6880/</w:t>
        </w:r>
        <w:proofErr w:type="spellStart"/>
        <w:r>
          <w:rPr>
            <w:rStyle w:val="Hyperlink"/>
          </w:rPr>
          <w:t>oj</w:t>
        </w:r>
        <w:proofErr w:type="spellEnd"/>
      </w:hyperlink>
      <w:r>
        <w:t>.</w:t>
      </w:r>
    </w:p>
  </w:footnote>
  <w:footnote w:id="2">
    <w:p w14:paraId="6A5DF5FB" w14:textId="77777777" w:rsidR="002B30F4" w:rsidRDefault="002B30F4" w:rsidP="002B30F4">
      <w:pPr>
        <w:pStyle w:val="FootnoteText"/>
      </w:pPr>
      <w:r>
        <w:rPr>
          <w:rStyle w:val="FootnoteReference"/>
        </w:rPr>
        <w:footnoteRef/>
      </w:r>
      <w:r>
        <w:tab/>
        <w:t xml:space="preserve">EØSU's udtalelse om </w:t>
      </w:r>
      <w:hyperlink r:id="rId2" w:history="1">
        <w:r>
          <w:rPr>
            <w:rStyle w:val="Hyperlink"/>
            <w:i/>
          </w:rPr>
          <w:t>Ligestilling af inspektioner – frø fra Brasilien og Moldova (ændring)</w:t>
        </w:r>
      </w:hyperlink>
      <w:r>
        <w:t xml:space="preserve">, </w:t>
      </w:r>
      <w:hyperlink r:id="rId3" w:history="1">
        <w:r>
          <w:rPr>
            <w:rStyle w:val="Hyperlink"/>
          </w:rPr>
          <w:t>EUT C 227 af 28.6.2018, s. 76</w:t>
        </w:r>
      </w:hyperlink>
      <w:r>
        <w:t>.</w:t>
      </w:r>
    </w:p>
  </w:footnote>
  <w:footnote w:id="3">
    <w:p w14:paraId="31B28570" w14:textId="0A8711BB" w:rsidR="002B30F4" w:rsidRDefault="002B30F4" w:rsidP="002B30F4">
      <w:pPr>
        <w:pStyle w:val="FootnoteText"/>
      </w:pPr>
      <w:r>
        <w:rPr>
          <w:rStyle w:val="FootnoteReference"/>
        </w:rPr>
        <w:footnoteRef/>
      </w:r>
      <w:r>
        <w:tab/>
        <w:t xml:space="preserve">EØSU's udtalelse </w:t>
      </w:r>
      <w:hyperlink r:id="rId4" w:history="1">
        <w:r>
          <w:rPr>
            <w:rStyle w:val="Hyperlink"/>
            <w:i/>
          </w:rPr>
          <w:t>Ligestilling af sædekorn – Ukraine</w:t>
        </w:r>
      </w:hyperlink>
      <w:r>
        <w:t xml:space="preserve">, </w:t>
      </w:r>
      <w:hyperlink r:id="rId5" w:history="1">
        <w:r>
          <w:rPr>
            <w:rStyle w:val="Hyperlink"/>
          </w:rPr>
          <w:t>EUT C 429 af 11.12.2020, s. 276</w:t>
        </w:r>
      </w:hyperlink>
      <w:r>
        <w:t>.</w:t>
      </w:r>
    </w:p>
  </w:footnote>
  <w:footnote w:id="4">
    <w:p w14:paraId="704BA872" w14:textId="77777777" w:rsidR="008548EA" w:rsidRDefault="008548EA" w:rsidP="008548EA">
      <w:pPr>
        <w:pStyle w:val="FootnoteText"/>
      </w:pPr>
      <w:r>
        <w:rPr>
          <w:rStyle w:val="FootnoteReference"/>
        </w:rPr>
        <w:footnoteRef/>
      </w:r>
      <w:r>
        <w:tab/>
        <w:t xml:space="preserve">EØSU's udtalelse </w:t>
      </w:r>
      <w:hyperlink r:id="rId6">
        <w:r>
          <w:rPr>
            <w:rStyle w:val="Hyperlink"/>
            <w:i/>
          </w:rPr>
          <w:t>Revision af EU's emissionshandelssystem (ETS), herunder søtransport og markedsstabilitetsreserven</w:t>
        </w:r>
      </w:hyperlink>
      <w:r>
        <w:t xml:space="preserve">, </w:t>
      </w:r>
      <w:hyperlink r:id="rId7">
        <w:r>
          <w:rPr>
            <w:rStyle w:val="Hyperlink"/>
          </w:rPr>
          <w:t>EUT C 152 af 6.4.2022, s.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5619340">
    <w:abstractNumId w:val="0"/>
  </w:num>
  <w:num w:numId="2" w16cid:durableId="206963720">
    <w:abstractNumId w:val="61"/>
  </w:num>
  <w:num w:numId="3" w16cid:durableId="942759678">
    <w:abstractNumId w:val="68"/>
  </w:num>
  <w:num w:numId="4" w16cid:durableId="799805890">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1944876038">
    <w:abstractNumId w:val="62"/>
  </w:num>
  <w:num w:numId="6" w16cid:durableId="1715960495">
    <w:abstractNumId w:val="69"/>
  </w:num>
  <w:num w:numId="7" w16cid:durableId="1790934492">
    <w:abstractNumId w:val="25"/>
  </w:num>
  <w:num w:numId="8" w16cid:durableId="1000699598">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1828084662">
    <w:abstractNumId w:val="56"/>
  </w:num>
  <w:num w:numId="10" w16cid:durableId="396823177">
    <w:abstractNumId w:val="46"/>
  </w:num>
  <w:num w:numId="11" w16cid:durableId="1107773181">
    <w:abstractNumId w:val="58"/>
  </w:num>
  <w:num w:numId="12" w16cid:durableId="925531901">
    <w:abstractNumId w:val="47"/>
  </w:num>
  <w:num w:numId="13" w16cid:durableId="571156722">
    <w:abstractNumId w:val="60"/>
  </w:num>
  <w:num w:numId="14" w16cid:durableId="1234702727">
    <w:abstractNumId w:val="54"/>
  </w:num>
  <w:num w:numId="15" w16cid:durableId="423456500">
    <w:abstractNumId w:val="10"/>
  </w:num>
  <w:num w:numId="16" w16cid:durableId="34166078">
    <w:abstractNumId w:val="53"/>
  </w:num>
  <w:num w:numId="17" w16cid:durableId="780028747">
    <w:abstractNumId w:val="32"/>
  </w:num>
  <w:num w:numId="18" w16cid:durableId="1320383901">
    <w:abstractNumId w:val="23"/>
  </w:num>
  <w:num w:numId="19" w16cid:durableId="611596399">
    <w:abstractNumId w:val="8"/>
  </w:num>
  <w:num w:numId="20" w16cid:durableId="800267443">
    <w:abstractNumId w:val="71"/>
  </w:num>
  <w:num w:numId="21" w16cid:durableId="183635548">
    <w:abstractNumId w:val="51"/>
  </w:num>
  <w:num w:numId="22" w16cid:durableId="350571994">
    <w:abstractNumId w:val="3"/>
  </w:num>
  <w:num w:numId="23" w16cid:durableId="1865635798">
    <w:abstractNumId w:val="39"/>
  </w:num>
  <w:num w:numId="24" w16cid:durableId="247544494">
    <w:abstractNumId w:val="40"/>
  </w:num>
  <w:num w:numId="25" w16cid:durableId="1675380631">
    <w:abstractNumId w:val="55"/>
  </w:num>
  <w:num w:numId="26" w16cid:durableId="837581524">
    <w:abstractNumId w:val="14"/>
  </w:num>
  <w:num w:numId="27" w16cid:durableId="1265771720">
    <w:abstractNumId w:val="11"/>
  </w:num>
  <w:num w:numId="28" w16cid:durableId="377632991">
    <w:abstractNumId w:val="37"/>
  </w:num>
  <w:num w:numId="29" w16cid:durableId="1130242949">
    <w:abstractNumId w:val="38"/>
  </w:num>
  <w:num w:numId="30" w16cid:durableId="1511604684">
    <w:abstractNumId w:val="31"/>
  </w:num>
  <w:num w:numId="31" w16cid:durableId="1888297642">
    <w:abstractNumId w:val="45"/>
  </w:num>
  <w:num w:numId="32" w16cid:durableId="701787441">
    <w:abstractNumId w:val="7"/>
  </w:num>
  <w:num w:numId="33" w16cid:durableId="64193045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1052776245">
    <w:abstractNumId w:val="19"/>
  </w:num>
  <w:num w:numId="35" w16cid:durableId="941186091">
    <w:abstractNumId w:val="65"/>
  </w:num>
  <w:num w:numId="36" w16cid:durableId="548806203">
    <w:abstractNumId w:val="43"/>
  </w:num>
  <w:num w:numId="37" w16cid:durableId="992837166">
    <w:abstractNumId w:val="33"/>
  </w:num>
  <w:num w:numId="38" w16cid:durableId="997615653">
    <w:abstractNumId w:val="36"/>
  </w:num>
  <w:num w:numId="39" w16cid:durableId="422803141">
    <w:abstractNumId w:val="63"/>
  </w:num>
  <w:num w:numId="40" w16cid:durableId="723796805">
    <w:abstractNumId w:val="6"/>
  </w:num>
  <w:num w:numId="41" w16cid:durableId="1551839606">
    <w:abstractNumId w:val="48"/>
  </w:num>
  <w:num w:numId="42" w16cid:durableId="903687366">
    <w:abstractNumId w:val="67"/>
  </w:num>
  <w:num w:numId="43" w16cid:durableId="1660040750">
    <w:abstractNumId w:val="13"/>
  </w:num>
  <w:num w:numId="44" w16cid:durableId="1475368081">
    <w:abstractNumId w:val="18"/>
  </w:num>
  <w:num w:numId="45" w16cid:durableId="1914047959">
    <w:abstractNumId w:val="4"/>
  </w:num>
  <w:num w:numId="46" w16cid:durableId="1116294285">
    <w:abstractNumId w:val="64"/>
  </w:num>
  <w:num w:numId="47" w16cid:durableId="567424128">
    <w:abstractNumId w:val="41"/>
  </w:num>
  <w:num w:numId="48" w16cid:durableId="1215116509">
    <w:abstractNumId w:val="12"/>
  </w:num>
  <w:num w:numId="49" w16cid:durableId="858815777">
    <w:abstractNumId w:val="57"/>
  </w:num>
  <w:num w:numId="50" w16cid:durableId="1253204274">
    <w:abstractNumId w:val="26"/>
  </w:num>
  <w:num w:numId="51" w16cid:durableId="517621568">
    <w:abstractNumId w:val="66"/>
  </w:num>
  <w:num w:numId="52" w16cid:durableId="1892186155">
    <w:abstractNumId w:val="50"/>
  </w:num>
  <w:num w:numId="53" w16cid:durableId="490754222">
    <w:abstractNumId w:val="22"/>
  </w:num>
  <w:num w:numId="54" w16cid:durableId="1420251373">
    <w:abstractNumId w:val="5"/>
  </w:num>
  <w:num w:numId="55" w16cid:durableId="1128427735">
    <w:abstractNumId w:val="52"/>
  </w:num>
  <w:num w:numId="56" w16cid:durableId="1688868533">
    <w:abstractNumId w:val="9"/>
  </w:num>
  <w:num w:numId="57" w16cid:durableId="1851793084">
    <w:abstractNumId w:val="30"/>
  </w:num>
  <w:num w:numId="58" w16cid:durableId="2052025360">
    <w:abstractNumId w:val="44"/>
  </w:num>
  <w:num w:numId="59" w16cid:durableId="1669868925">
    <w:abstractNumId w:val="28"/>
  </w:num>
  <w:num w:numId="60" w16cid:durableId="1045836525">
    <w:abstractNumId w:val="27"/>
  </w:num>
  <w:num w:numId="61" w16cid:durableId="833689624">
    <w:abstractNumId w:val="20"/>
  </w:num>
  <w:num w:numId="62" w16cid:durableId="884946320">
    <w:abstractNumId w:val="49"/>
  </w:num>
  <w:num w:numId="63" w16cid:durableId="1654870351">
    <w:abstractNumId w:val="29"/>
  </w:num>
  <w:num w:numId="64" w16cid:durableId="2065252512">
    <w:abstractNumId w:val="21"/>
  </w:num>
  <w:num w:numId="65" w16cid:durableId="1243099321">
    <w:abstractNumId w:val="35"/>
  </w:num>
  <w:num w:numId="66" w16cid:durableId="206366950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296183225">
    <w:abstractNumId w:val="24"/>
  </w:num>
  <w:num w:numId="68" w16cid:durableId="476072177">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354693966">
    <w:abstractNumId w:val="17"/>
  </w:num>
  <w:num w:numId="70" w16cid:durableId="1576891508">
    <w:abstractNumId w:val="34"/>
  </w:num>
  <w:num w:numId="71" w16cid:durableId="582372134">
    <w:abstractNumId w:val="2"/>
  </w:num>
  <w:num w:numId="72" w16cid:durableId="1649364068">
    <w:abstractNumId w:val="16"/>
  </w:num>
  <w:num w:numId="73" w16cid:durableId="1544975049">
    <w:abstractNumId w:val="59"/>
  </w:num>
  <w:num w:numId="74" w16cid:durableId="1669627769">
    <w:abstractNumId w:val="72"/>
  </w:num>
  <w:num w:numId="75" w16cid:durableId="1347713138">
    <w:abstractNumId w:val="42"/>
  </w:num>
  <w:num w:numId="76" w16cid:durableId="725420054">
    <w:abstractNumId w:val="15"/>
  </w:num>
  <w:num w:numId="77" w16cid:durableId="56366548">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04E5"/>
    <w:rsid w:val="0006268B"/>
    <w:rsid w:val="00063DFF"/>
    <w:rsid w:val="00070ED2"/>
    <w:rsid w:val="0009249B"/>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42CB"/>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549D7"/>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A5271"/>
    <w:rsid w:val="003B25E1"/>
    <w:rsid w:val="003B7B77"/>
    <w:rsid w:val="003C0021"/>
    <w:rsid w:val="003C1C0C"/>
    <w:rsid w:val="003C3284"/>
    <w:rsid w:val="003C7540"/>
    <w:rsid w:val="003D0BE5"/>
    <w:rsid w:val="003E20A3"/>
    <w:rsid w:val="003E263E"/>
    <w:rsid w:val="003F0300"/>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D7D0C"/>
    <w:rsid w:val="004E385F"/>
    <w:rsid w:val="004E5363"/>
    <w:rsid w:val="004F74E4"/>
    <w:rsid w:val="0050478A"/>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1601"/>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8F0"/>
    <w:rsid w:val="00862DC4"/>
    <w:rsid w:val="00867002"/>
    <w:rsid w:val="008676ED"/>
    <w:rsid w:val="0087045E"/>
    <w:rsid w:val="008713EF"/>
    <w:rsid w:val="0088219D"/>
    <w:rsid w:val="00882D0D"/>
    <w:rsid w:val="00892891"/>
    <w:rsid w:val="008A47F4"/>
    <w:rsid w:val="008B155C"/>
    <w:rsid w:val="008B2CEB"/>
    <w:rsid w:val="008B4117"/>
    <w:rsid w:val="008C015D"/>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085D"/>
    <w:rsid w:val="00B251D5"/>
    <w:rsid w:val="00B310E6"/>
    <w:rsid w:val="00B31966"/>
    <w:rsid w:val="00B31AE4"/>
    <w:rsid w:val="00B358A7"/>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367D"/>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908"/>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A652D"/>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2085D"/>
    <w:pPr>
      <w:tabs>
        <w:tab w:val="right" w:leader="dot" w:pos="9063"/>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da/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da/our-work/opinions-information-reports/opinions/new-rules-drug-precursors" TargetMode="External"/><Relationship Id="rId63" Type="http://schemas.openxmlformats.org/officeDocument/2006/relationships/hyperlink" Target="https://www.eesc.europa.eu/da/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da/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da/our-work/opinions-information-reports/opinions/developing-european-centre-clinical-excellence-pharmaceuticals" TargetMode="External"/><Relationship Id="rId53" Type="http://schemas.openxmlformats.org/officeDocument/2006/relationships/hyperlink" Target="https://www.eesc.europa.eu/da/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da/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da/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da/our-work/opinions-information-reports/opinions/over-tourism-short-term-rentals-and-crowding-out-local-populations-finding-right-balance" TargetMode="External"/><Relationship Id="rId43" Type="http://schemas.openxmlformats.org/officeDocument/2006/relationships/hyperlink" Target="https://www.eesc.europa.eu/da/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da/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da/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da/our-work/opinions-information-reports/opinions/ban-conversion-practices-european-union" TargetMode="External"/><Relationship Id="rId33" Type="http://schemas.openxmlformats.org/officeDocument/2006/relationships/hyperlink" Target="https://www.eesc.europa.eu/da/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da/our-work/opinions-information-reports/opinions/eu-bioeconomy-strategy-towards-circular-regenerative-and-competitive-bioeconomy" TargetMode="External"/><Relationship Id="rId67" Type="http://schemas.openxmlformats.org/officeDocument/2006/relationships/hyperlink" Target="https://www.eesc.europa.eu/da/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da/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da/our-work/opinions-information-reports/opinions/supplementary-pensions-package-pepp-and-iorp" TargetMode="External"/><Relationship Id="rId28" Type="http://schemas.openxmlformats.org/officeDocument/2006/relationships/hyperlink" Target="Bartek.Bednarowicz%40eesc.europa.eu"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da/our-work/opinions-information-reports/opinions/proposal-regulation-targeted-revision-eu-rules-medical-devices-and-vitro-diagnostics" TargetMode="External"/><Relationship Id="rId57" Type="http://schemas.openxmlformats.org/officeDocument/2006/relationships/hyperlink" Target="https://www.eesc.europa.eu/en/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da/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da/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da/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da/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da/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da/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da/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DA/TXT/?uri=uriserv:OJ.C_.2018.227.01.0076.01.DAN&amp;toc=OJ:C:2018:227:TOC" TargetMode="External"/><Relationship Id="rId7" Type="http://schemas.openxmlformats.org/officeDocument/2006/relationships/hyperlink" Target="https://eur-lex.europa.eu/legal-content/DA/TXT/?uri=uriserv%3AOJ.C_.2022.152.01.0175.01.DAN&amp;toc=OJ%3AC%3A2022%3A152%3ATOC" TargetMode="External"/><Relationship Id="rId2" Type="http://schemas.openxmlformats.org/officeDocument/2006/relationships/hyperlink" Target="https://www.eesc.europa.eu/da/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da/our-work/opinions-information-reports/opinions/revision-eu-emissions-trading-system-ets-including-maritime-transport-and-market-stability-reserve" TargetMode="External"/><Relationship Id="rId5" Type="http://schemas.openxmlformats.org/officeDocument/2006/relationships/hyperlink" Target="https://eur-lex.europa.eu/legal-content/DA/TXT/?uri=uriserv%3AOJ.C_.2020.429.01.0276.01.DAN&amp;toc=OJ%3AC%3A2020%3A429%3ATOC" TargetMode="External"/><Relationship Id="rId4" Type="http://schemas.openxmlformats.org/officeDocument/2006/relationships/hyperlink" Target="https://www.eesc.europa.eu/da/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VP3JK3XSEPRV-2087481956-8860</_dlc_DocId>
    <_dlc_DocIdUrl xmlns="7d640e6d-779c-472f-a269-6b546787f1c9">
      <Url>http://dm/eesc/2026/_layouts/15/DocIdRedir.aspx?ID=VP3JK3XSEPRV-2087481956-8860</Url>
      <Description>VP3JK3XSEPRV-2087481956-8860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2026-05-19T12:00:00+00:00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Rossen Jette</DisplayName>
        <AccountId>1060</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2.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5C4DA03C-675E-4C10-A68A-3E3D2A0C4D50}"/>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33</TotalTime>
  <Pages>34</Pages>
  <Words>7779</Words>
  <Characters>58733</Characters>
  <Application>Microsoft Office Word</Application>
  <DocSecurity>0</DocSecurity>
  <Lines>7341</Lines>
  <Paragraphs>3695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- 605. plenarforsamling - april 2026</dc:title>
  <dc:subject>ADMIN</dc:subject>
  <dc:creator/>
  <cp:keywords>COR-EESC-2022-02583-00-00-ADMIN-TRA-EN</cp:keywords>
  <dc:description>Rapporteur:  - Original language: EN - Date of document: 20/05/2022 - Date of meeting:  - External documents:  - Administrator:  SUCIU Serban</dc:description>
  <cp:lastModifiedBy/>
  <cp:revision>14</cp:revision>
  <dcterms:created xsi:type="dcterms:W3CDTF">2026-05-08T11:50:00Z</dcterms:created>
  <dcterms:modified xsi:type="dcterms:W3CDTF">2026-05-19T14:59:00Z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b6e56d20-ee0d-4334-bc87-86809bb9c0fa</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31;#SL|98a412ae-eb01-49e9-ae3d-585a81724cfc;#28;#PT|50ccc04a-eadd-42ae-a0cb-acaf45f812ba;#25;#FI|87606a43-d45f-42d6-b8c9-e1a3457db5b7;#59;#SPL-CES|32d8cb1f-c9ec-4365-95c7-8385a18618ac;#19;#Unrestricted|826e22d7-d029-4ec0-a450-0c28ff673572;#18;#TCD|cd9d6eb6-3f4f-424a-b2d1-57c9d450eaaf;#51;#LV|46f7e311-5d9f-4663-b433-18aeccb7ace7;#13;#IT|0774613c-01ed-4e5d-a25d-11d2388de825;#12;#ES|e7a6b05b-ae16-40c8-add9-68b64b03aeba;#11;#DE|f6b31e5a-26fa-4935-b661-318e46daf27e;#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46;#DA|5d49c027-8956-412b-aa16-e85a0f96ad0e</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PT|50ccc04a-eadd-42ae-a0cb-acaf45f812ba;DE|f6b31e5a-26fa-4935-b661-318e46daf27e;ES|e7a6b05b-ae16-40c8-add9-68b64b03aeba;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