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3F9FDC25" w:rsidR="004D7AC0" w:rsidRDefault="00E60ACE" w:rsidP="001766B2">
      <w:pPr>
        <w:jc w:val="center"/>
      </w:pPr>
      <w:r>
        <w:rPr>
          <w:noProof/>
        </w:rPr>
        <w:drawing>
          <wp:inline distT="0" distB="0" distL="0" distR="0" wp14:anchorId="3EDEE0F6" wp14:editId="6CACE37B">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Picture 1" title="EESCLogo_C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72CD580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CS</w:t>
                      </w:r>
                    </w:p>
                  </w:txbxContent>
                </v:textbox>
                <w10:wrap anchorx="page" anchory="page"/>
              </v:shape>
            </w:pict>
          </mc:Fallback>
        </mc:AlternateContent>
      </w:r>
    </w:p>
    <w:p w14:paraId="4982DD4E" w14:textId="77777777" w:rsidR="004D7AC0" w:rsidRDefault="004D7AC0" w:rsidP="001766B2"/>
    <w:p w14:paraId="4982DD4F" w14:textId="14DDC9F5" w:rsidR="004D7AC0" w:rsidRDefault="00B01229" w:rsidP="001766B2">
      <w:pPr>
        <w:jc w:val="right"/>
      </w:pPr>
      <w:r w:rsidRPr="00B01229">
        <w:t>V Bruselu dne 2</w:t>
      </w:r>
      <w:r w:rsidR="001B28B8">
        <w:t>2. </w:t>
      </w:r>
      <w:r w:rsidRPr="00B01229">
        <w:t>května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0CD14C7" w:rsidR="003066BE" w:rsidRDefault="003E263E" w:rsidP="001766B2">
            <w:pPr>
              <w:snapToGrid w:val="0"/>
              <w:jc w:val="center"/>
              <w:rPr>
                <w:b/>
                <w:sz w:val="32"/>
                <w:szCs w:val="32"/>
              </w:rPr>
            </w:pPr>
            <w:r>
              <w:rPr>
                <w:b/>
                <w:sz w:val="32"/>
              </w:rPr>
              <w:t>60</w:t>
            </w:r>
            <w:r w:rsidR="001B28B8">
              <w:rPr>
                <w:b/>
                <w:sz w:val="32"/>
              </w:rPr>
              <w:t>5. </w:t>
            </w:r>
            <w:r>
              <w:rPr>
                <w:b/>
                <w:sz w:val="32"/>
              </w:rPr>
              <w:t>PLENÁRNÍ ZASEDÁNÍ</w:t>
            </w:r>
          </w:p>
          <w:p w14:paraId="4982DD54" w14:textId="77777777" w:rsidR="003066BE" w:rsidRDefault="003066BE" w:rsidP="001766B2">
            <w:pPr>
              <w:snapToGrid w:val="0"/>
              <w:jc w:val="center"/>
              <w:rPr>
                <w:b/>
                <w:sz w:val="32"/>
                <w:szCs w:val="32"/>
              </w:rPr>
            </w:pPr>
          </w:p>
          <w:p w14:paraId="4982DD55" w14:textId="5A80813C" w:rsidR="003066BE" w:rsidRDefault="003E263E" w:rsidP="001766B2">
            <w:pPr>
              <w:snapToGrid w:val="0"/>
              <w:jc w:val="center"/>
              <w:rPr>
                <w:b/>
                <w:sz w:val="32"/>
                <w:szCs w:val="32"/>
              </w:rPr>
            </w:pPr>
            <w:r>
              <w:rPr>
                <w:b/>
                <w:sz w:val="32"/>
              </w:rPr>
              <w:t>2</w:t>
            </w:r>
            <w:r w:rsidR="001B28B8">
              <w:rPr>
                <w:b/>
                <w:sz w:val="32"/>
              </w:rPr>
              <w:t>9. a </w:t>
            </w:r>
            <w:r>
              <w:rPr>
                <w:b/>
                <w:sz w:val="32"/>
              </w:rPr>
              <w:t>3</w:t>
            </w:r>
            <w:r w:rsidR="001B28B8">
              <w:rPr>
                <w:b/>
                <w:sz w:val="32"/>
              </w:rPr>
              <w:t>0. </w:t>
            </w:r>
            <w:r>
              <w:rPr>
                <w:b/>
                <w:sz w:val="32"/>
              </w:rPr>
              <w:t>dubna 2026</w:t>
            </w:r>
          </w:p>
          <w:p w14:paraId="4982DD56" w14:textId="77777777" w:rsidR="003066BE" w:rsidRDefault="003066BE" w:rsidP="001766B2">
            <w:pPr>
              <w:snapToGrid w:val="0"/>
              <w:jc w:val="center"/>
              <w:rPr>
                <w:b/>
                <w:sz w:val="32"/>
                <w:szCs w:val="32"/>
              </w:rPr>
            </w:pPr>
          </w:p>
          <w:p w14:paraId="4982DD57" w14:textId="6EF35561" w:rsidR="004D7AC0" w:rsidRPr="0081153B" w:rsidRDefault="00754027" w:rsidP="001766B2">
            <w:pPr>
              <w:snapToGrid w:val="0"/>
              <w:jc w:val="center"/>
              <w:rPr>
                <w:rFonts w:eastAsia="MS Mincho"/>
                <w:b/>
                <w:sz w:val="32"/>
                <w:szCs w:val="32"/>
              </w:rPr>
            </w:pPr>
            <w:r>
              <w:rPr>
                <w:b/>
                <w:sz w:val="32"/>
              </w:rPr>
              <w:t>SOUHRN PŘIJATÝCH STANOVISEK, USNESENÍ</w:t>
            </w:r>
            <w:r w:rsidR="001B28B8">
              <w:rPr>
                <w:b/>
                <w:sz w:val="32"/>
              </w:rPr>
              <w:t xml:space="preserve"> A </w:t>
            </w:r>
            <w:r>
              <w:rPr>
                <w:b/>
                <w:sz w:val="32"/>
              </w:rPr>
              <w:t>INFORMAČNÍCH / HODNOTÍCÍCH ZPRÁV</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0E5E7DC2" w14:textId="77777777" w:rsidR="001B28B8" w:rsidRDefault="001B28B8" w:rsidP="001766B2">
            <w:pPr>
              <w:snapToGrid w:val="0"/>
              <w:jc w:val="center"/>
            </w:pPr>
          </w:p>
          <w:p w14:paraId="4982DD5A" w14:textId="2BA259DF" w:rsidR="004D7AC0" w:rsidRPr="0081153B" w:rsidRDefault="004D7AC0" w:rsidP="001766B2">
            <w:pPr>
              <w:snapToGrid w:val="0"/>
              <w:jc w:val="center"/>
            </w:pPr>
            <w:r>
              <w:t>Tento dokument je</w:t>
            </w:r>
            <w:r w:rsidR="001B28B8">
              <w:t xml:space="preserve"> k </w:t>
            </w:r>
            <w:r>
              <w:t>dispozici ve všech úředních jazycích Evropské unie na internetových stránkách EHSV na adrese:</w:t>
            </w:r>
            <w:r>
              <w:br/>
            </w:r>
            <w:r>
              <w:br/>
            </w:r>
            <w:hyperlink r:id="rId13" w:history="1">
              <w:r>
                <w:rPr>
                  <w:rStyle w:val="Hyperlink"/>
                </w:rPr>
                <w:t>https://www.eesc.europa.eu/cs/our-work/opinions-information-reports/plenary-session-summaries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1FDF7FEA" w:rsidR="004D7AC0" w:rsidRPr="00044561" w:rsidRDefault="004D7AC0" w:rsidP="001766B2">
            <w:pPr>
              <w:snapToGrid w:val="0"/>
              <w:jc w:val="center"/>
            </w:pPr>
            <w:r>
              <w:t>Uvedená stanoviska jsou</w:t>
            </w:r>
            <w:r w:rsidR="001B28B8">
              <w:t xml:space="preserve"> k </w:t>
            </w:r>
            <w:r>
              <w:t>dispozici on-line prostřednictvím vyhledávače EHSV:</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footerReference w:type="default" r:id="rId15"/>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Obsah:</w:t>
      </w:r>
    </w:p>
    <w:p w14:paraId="2174B63A" w14:textId="77777777" w:rsidR="00A067F3" w:rsidRPr="00A81AFE" w:rsidRDefault="00A067F3" w:rsidP="001766B2">
      <w:pPr>
        <w:rPr>
          <w:b/>
        </w:rPr>
      </w:pPr>
    </w:p>
    <w:p w14:paraId="396D2E07" w14:textId="156529FE" w:rsidR="00AA5081" w:rsidRDefault="00AA5081">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"1-1" \h \z \u </w:instrText>
      </w:r>
      <w:r>
        <w:fldChar w:fldCharType="separate"/>
      </w:r>
      <w:hyperlink w:anchor="_Toc229143561" w:history="1">
        <w:r w:rsidRPr="00D26F20">
          <w:rPr>
            <w:rStyle w:val="Hyperlink"/>
            <w:bCs/>
            <w:noProof/>
          </w:rPr>
          <w:t>1.</w:t>
        </w:r>
        <w:r>
          <w:rPr>
            <w:rFonts w:asciiTheme="minorHAnsi" w:eastAsiaTheme="minorEastAsia" w:hAnsiTheme="minorHAnsi" w:cstheme="minorBidi"/>
            <w:noProof/>
            <w:lang w:val="en-US"/>
          </w:rPr>
          <w:tab/>
        </w:r>
        <w:r w:rsidRPr="00D26F20">
          <w:rPr>
            <w:rStyle w:val="Hyperlink"/>
            <w:noProof/>
          </w:rPr>
          <w:t>HOSPODÁŘSKÁ</w:t>
        </w:r>
        <w:r w:rsidR="001B28B8">
          <w:rPr>
            <w:rStyle w:val="Hyperlink"/>
            <w:noProof/>
          </w:rPr>
          <w:t xml:space="preserve"> A </w:t>
        </w:r>
        <w:r w:rsidRPr="00D26F20">
          <w:rPr>
            <w:rStyle w:val="Hyperlink"/>
            <w:noProof/>
          </w:rPr>
          <w:t>MĚNOVÁ UNIE, HOSPODÁŘSKÁ</w:t>
        </w:r>
        <w:r w:rsidR="001B28B8">
          <w:rPr>
            <w:rStyle w:val="Hyperlink"/>
            <w:noProof/>
          </w:rPr>
          <w:t xml:space="preserve"> A </w:t>
        </w:r>
        <w:r w:rsidRPr="00D26F20">
          <w:rPr>
            <w:rStyle w:val="Hyperlink"/>
            <w:noProof/>
          </w:rPr>
          <w:t>SOCIÁLNÍ SOUDRŽNOST</w:t>
        </w:r>
        <w:r>
          <w:rPr>
            <w:noProof/>
            <w:webHidden/>
          </w:rPr>
          <w:tab/>
        </w:r>
        <w:r>
          <w:rPr>
            <w:noProof/>
            <w:webHidden/>
          </w:rPr>
          <w:fldChar w:fldCharType="begin"/>
        </w:r>
        <w:r>
          <w:rPr>
            <w:noProof/>
            <w:webHidden/>
          </w:rPr>
          <w:instrText xml:space="preserve"> PAGEREF _Toc229143561 \h </w:instrText>
        </w:r>
        <w:r>
          <w:rPr>
            <w:noProof/>
            <w:webHidden/>
          </w:rPr>
        </w:r>
        <w:r>
          <w:rPr>
            <w:noProof/>
            <w:webHidden/>
          </w:rPr>
          <w:fldChar w:fldCharType="separate"/>
        </w:r>
        <w:r w:rsidR="00FB4D8E">
          <w:rPr>
            <w:noProof/>
            <w:webHidden/>
          </w:rPr>
          <w:t>3</w:t>
        </w:r>
        <w:r>
          <w:rPr>
            <w:noProof/>
            <w:webHidden/>
          </w:rPr>
          <w:fldChar w:fldCharType="end"/>
        </w:r>
      </w:hyperlink>
    </w:p>
    <w:p w14:paraId="2C8B8468" w14:textId="01B478F0" w:rsidR="00AA5081" w:rsidRDefault="00123016">
      <w:pPr>
        <w:pStyle w:val="TOC1"/>
        <w:tabs>
          <w:tab w:val="left" w:pos="440"/>
          <w:tab w:val="right" w:leader="dot" w:pos="9063"/>
        </w:tabs>
        <w:rPr>
          <w:rFonts w:asciiTheme="minorHAnsi" w:eastAsiaTheme="minorEastAsia" w:hAnsiTheme="minorHAnsi" w:cstheme="minorBidi"/>
          <w:noProof/>
          <w:lang w:val="en-US"/>
        </w:rPr>
      </w:pPr>
      <w:hyperlink w:anchor="_Toc229143562" w:history="1">
        <w:r w:rsidR="00AA5081" w:rsidRPr="00D26F20">
          <w:rPr>
            <w:rStyle w:val="Hyperlink"/>
            <w:bCs/>
            <w:noProof/>
          </w:rPr>
          <w:t>2.</w:t>
        </w:r>
        <w:r w:rsidR="00AA5081">
          <w:rPr>
            <w:rFonts w:asciiTheme="minorHAnsi" w:eastAsiaTheme="minorEastAsia" w:hAnsiTheme="minorHAnsi" w:cstheme="minorBidi"/>
            <w:noProof/>
            <w:lang w:val="en-US"/>
          </w:rPr>
          <w:tab/>
        </w:r>
        <w:r w:rsidR="00AA5081" w:rsidRPr="00D26F20">
          <w:rPr>
            <w:rStyle w:val="Hyperlink"/>
            <w:noProof/>
          </w:rPr>
          <w:t>ZAMĚSTNANOST, SOCIÁLNÍ VĚCI, OBČANSTVÍ</w:t>
        </w:r>
        <w:r w:rsidR="00AA5081">
          <w:rPr>
            <w:noProof/>
            <w:webHidden/>
          </w:rPr>
          <w:tab/>
        </w:r>
        <w:r w:rsidR="00AA5081">
          <w:rPr>
            <w:noProof/>
            <w:webHidden/>
          </w:rPr>
          <w:fldChar w:fldCharType="begin"/>
        </w:r>
        <w:r w:rsidR="00AA5081">
          <w:rPr>
            <w:noProof/>
            <w:webHidden/>
          </w:rPr>
          <w:instrText xml:space="preserve"> PAGEREF _Toc229143562 \h </w:instrText>
        </w:r>
        <w:r w:rsidR="00AA5081">
          <w:rPr>
            <w:noProof/>
            <w:webHidden/>
          </w:rPr>
        </w:r>
        <w:r w:rsidR="00AA5081">
          <w:rPr>
            <w:noProof/>
            <w:webHidden/>
          </w:rPr>
          <w:fldChar w:fldCharType="separate"/>
        </w:r>
        <w:r w:rsidR="00FB4D8E">
          <w:rPr>
            <w:noProof/>
            <w:webHidden/>
          </w:rPr>
          <w:t>7</w:t>
        </w:r>
        <w:r w:rsidR="00AA5081">
          <w:rPr>
            <w:noProof/>
            <w:webHidden/>
          </w:rPr>
          <w:fldChar w:fldCharType="end"/>
        </w:r>
      </w:hyperlink>
    </w:p>
    <w:p w14:paraId="7F6356A7" w14:textId="443D6AC6" w:rsidR="00AA5081" w:rsidRDefault="00123016">
      <w:pPr>
        <w:pStyle w:val="TOC1"/>
        <w:tabs>
          <w:tab w:val="left" w:pos="440"/>
          <w:tab w:val="right" w:leader="dot" w:pos="9063"/>
        </w:tabs>
        <w:rPr>
          <w:rFonts w:asciiTheme="minorHAnsi" w:eastAsiaTheme="minorEastAsia" w:hAnsiTheme="minorHAnsi" w:cstheme="minorBidi"/>
          <w:noProof/>
          <w:lang w:val="en-US"/>
        </w:rPr>
      </w:pPr>
      <w:hyperlink w:anchor="_Toc229143563" w:history="1">
        <w:r w:rsidR="00AA5081" w:rsidRPr="00D26F20">
          <w:rPr>
            <w:rStyle w:val="Hyperlink"/>
            <w:bCs/>
            <w:noProof/>
          </w:rPr>
          <w:t>3.</w:t>
        </w:r>
        <w:r w:rsidR="00AA5081">
          <w:rPr>
            <w:rFonts w:asciiTheme="minorHAnsi" w:eastAsiaTheme="minorEastAsia" w:hAnsiTheme="minorHAnsi" w:cstheme="minorBidi"/>
            <w:noProof/>
            <w:lang w:val="en-US"/>
          </w:rPr>
          <w:tab/>
        </w:r>
        <w:r w:rsidR="00AA5081" w:rsidRPr="00D26F20">
          <w:rPr>
            <w:rStyle w:val="Hyperlink"/>
            <w:noProof/>
          </w:rPr>
          <w:t>JEDNOTNÝ TRH, VÝROBA</w:t>
        </w:r>
        <w:r w:rsidR="001B28B8">
          <w:rPr>
            <w:rStyle w:val="Hyperlink"/>
            <w:noProof/>
          </w:rPr>
          <w:t xml:space="preserve"> A </w:t>
        </w:r>
        <w:r w:rsidR="00AA5081" w:rsidRPr="00D26F20">
          <w:rPr>
            <w:rStyle w:val="Hyperlink"/>
            <w:noProof/>
          </w:rPr>
          <w:t>SPOTŘEBA</w:t>
        </w:r>
        <w:r w:rsidR="00AA5081">
          <w:rPr>
            <w:noProof/>
            <w:webHidden/>
          </w:rPr>
          <w:tab/>
        </w:r>
        <w:r w:rsidR="00AA5081">
          <w:rPr>
            <w:noProof/>
            <w:webHidden/>
          </w:rPr>
          <w:fldChar w:fldCharType="begin"/>
        </w:r>
        <w:r w:rsidR="00AA5081">
          <w:rPr>
            <w:noProof/>
            <w:webHidden/>
          </w:rPr>
          <w:instrText xml:space="preserve"> PAGEREF _Toc229143563 \h </w:instrText>
        </w:r>
        <w:r w:rsidR="00AA5081">
          <w:rPr>
            <w:noProof/>
            <w:webHidden/>
          </w:rPr>
        </w:r>
        <w:r w:rsidR="00AA5081">
          <w:rPr>
            <w:noProof/>
            <w:webHidden/>
          </w:rPr>
          <w:fldChar w:fldCharType="separate"/>
        </w:r>
        <w:r w:rsidR="00FB4D8E">
          <w:rPr>
            <w:noProof/>
            <w:webHidden/>
          </w:rPr>
          <w:t>13</w:t>
        </w:r>
        <w:r w:rsidR="00AA5081">
          <w:rPr>
            <w:noProof/>
            <w:webHidden/>
          </w:rPr>
          <w:fldChar w:fldCharType="end"/>
        </w:r>
      </w:hyperlink>
    </w:p>
    <w:p w14:paraId="210052CF" w14:textId="20DF873F" w:rsidR="00AA5081" w:rsidRDefault="00123016">
      <w:pPr>
        <w:pStyle w:val="TOC1"/>
        <w:tabs>
          <w:tab w:val="left" w:pos="440"/>
          <w:tab w:val="right" w:leader="dot" w:pos="9063"/>
        </w:tabs>
        <w:rPr>
          <w:rFonts w:asciiTheme="minorHAnsi" w:eastAsiaTheme="minorEastAsia" w:hAnsiTheme="minorHAnsi" w:cstheme="minorBidi"/>
          <w:noProof/>
          <w:lang w:val="en-US"/>
        </w:rPr>
      </w:pPr>
      <w:hyperlink w:anchor="_Toc229143564" w:history="1">
        <w:r w:rsidR="00AA5081" w:rsidRPr="00D26F20">
          <w:rPr>
            <w:rStyle w:val="Hyperlink"/>
            <w:bCs/>
            <w:noProof/>
          </w:rPr>
          <w:t>4.</w:t>
        </w:r>
        <w:r w:rsidR="00AA5081">
          <w:rPr>
            <w:rFonts w:asciiTheme="minorHAnsi" w:eastAsiaTheme="minorEastAsia" w:hAnsiTheme="minorHAnsi" w:cstheme="minorBidi"/>
            <w:noProof/>
            <w:lang w:val="en-US"/>
          </w:rPr>
          <w:tab/>
        </w:r>
        <w:r w:rsidR="00AA5081" w:rsidRPr="00D26F20">
          <w:rPr>
            <w:rStyle w:val="Hyperlink"/>
            <w:noProof/>
          </w:rPr>
          <w:t>ZEMĚDĚLSTVÍ, ROZVOJ VENKOVA, ŽIVOTNÍ PROSTŘEDÍ</w:t>
        </w:r>
        <w:r w:rsidR="00AA5081">
          <w:rPr>
            <w:noProof/>
            <w:webHidden/>
          </w:rPr>
          <w:tab/>
        </w:r>
        <w:r w:rsidR="00AA5081">
          <w:rPr>
            <w:noProof/>
            <w:webHidden/>
          </w:rPr>
          <w:fldChar w:fldCharType="begin"/>
        </w:r>
        <w:r w:rsidR="00AA5081">
          <w:rPr>
            <w:noProof/>
            <w:webHidden/>
          </w:rPr>
          <w:instrText xml:space="preserve"> PAGEREF _Toc229143564 \h </w:instrText>
        </w:r>
        <w:r w:rsidR="00AA5081">
          <w:rPr>
            <w:noProof/>
            <w:webHidden/>
          </w:rPr>
        </w:r>
        <w:r w:rsidR="00AA5081">
          <w:rPr>
            <w:noProof/>
            <w:webHidden/>
          </w:rPr>
          <w:fldChar w:fldCharType="separate"/>
        </w:r>
        <w:r w:rsidR="00FB4D8E">
          <w:rPr>
            <w:noProof/>
            <w:webHidden/>
          </w:rPr>
          <w:t>24</w:t>
        </w:r>
        <w:r w:rsidR="00AA5081">
          <w:rPr>
            <w:noProof/>
            <w:webHidden/>
          </w:rPr>
          <w:fldChar w:fldCharType="end"/>
        </w:r>
      </w:hyperlink>
    </w:p>
    <w:p w14:paraId="247598B5" w14:textId="0DC8ABB6" w:rsidR="00AA5081" w:rsidRDefault="00123016">
      <w:pPr>
        <w:pStyle w:val="TOC1"/>
        <w:tabs>
          <w:tab w:val="left" w:pos="440"/>
          <w:tab w:val="right" w:leader="dot" w:pos="9063"/>
        </w:tabs>
        <w:rPr>
          <w:rFonts w:asciiTheme="minorHAnsi" w:eastAsiaTheme="minorEastAsia" w:hAnsiTheme="minorHAnsi" w:cstheme="minorBidi"/>
          <w:noProof/>
          <w:lang w:val="en-US"/>
        </w:rPr>
      </w:pPr>
      <w:hyperlink w:anchor="_Toc229143565" w:history="1">
        <w:r w:rsidR="00AA5081" w:rsidRPr="00D26F20">
          <w:rPr>
            <w:rStyle w:val="Hyperlink"/>
            <w:bCs/>
            <w:noProof/>
          </w:rPr>
          <w:t>5.</w:t>
        </w:r>
        <w:r w:rsidR="00AA5081">
          <w:rPr>
            <w:rFonts w:asciiTheme="minorHAnsi" w:eastAsiaTheme="minorEastAsia" w:hAnsiTheme="minorHAnsi" w:cstheme="minorBidi"/>
            <w:noProof/>
            <w:lang w:val="en-US"/>
          </w:rPr>
          <w:tab/>
        </w:r>
        <w:r w:rsidR="00AA5081" w:rsidRPr="00D26F20">
          <w:rPr>
            <w:rStyle w:val="Hyperlink"/>
            <w:noProof/>
          </w:rPr>
          <w:t>VNĚJŠÍ VZTAHY</w:t>
        </w:r>
        <w:r w:rsidR="00AA5081">
          <w:rPr>
            <w:noProof/>
            <w:webHidden/>
          </w:rPr>
          <w:tab/>
        </w:r>
        <w:r w:rsidR="00AA5081">
          <w:rPr>
            <w:noProof/>
            <w:webHidden/>
          </w:rPr>
          <w:fldChar w:fldCharType="begin"/>
        </w:r>
        <w:r w:rsidR="00AA5081">
          <w:rPr>
            <w:noProof/>
            <w:webHidden/>
          </w:rPr>
          <w:instrText xml:space="preserve"> PAGEREF _Toc229143565 \h </w:instrText>
        </w:r>
        <w:r w:rsidR="00AA5081">
          <w:rPr>
            <w:noProof/>
            <w:webHidden/>
          </w:rPr>
        </w:r>
        <w:r w:rsidR="00AA5081">
          <w:rPr>
            <w:noProof/>
            <w:webHidden/>
          </w:rPr>
          <w:fldChar w:fldCharType="separate"/>
        </w:r>
        <w:r w:rsidR="00FB4D8E">
          <w:rPr>
            <w:noProof/>
            <w:webHidden/>
          </w:rPr>
          <w:t>31</w:t>
        </w:r>
        <w:r w:rsidR="00AA5081">
          <w:rPr>
            <w:noProof/>
            <w:webHidden/>
          </w:rPr>
          <w:fldChar w:fldCharType="end"/>
        </w:r>
      </w:hyperlink>
    </w:p>
    <w:p w14:paraId="4E70127F" w14:textId="2647543C" w:rsidR="00AA5081" w:rsidRDefault="00123016">
      <w:pPr>
        <w:pStyle w:val="TOC1"/>
        <w:tabs>
          <w:tab w:val="left" w:pos="440"/>
          <w:tab w:val="right" w:leader="dot" w:pos="9063"/>
        </w:tabs>
        <w:rPr>
          <w:rFonts w:asciiTheme="minorHAnsi" w:eastAsiaTheme="minorEastAsia" w:hAnsiTheme="minorHAnsi" w:cstheme="minorBidi"/>
          <w:noProof/>
          <w:lang w:val="en-US"/>
        </w:rPr>
      </w:pPr>
      <w:hyperlink w:anchor="_Toc229143566" w:history="1">
        <w:r w:rsidR="00AA5081" w:rsidRPr="00D26F20">
          <w:rPr>
            <w:rStyle w:val="Hyperlink"/>
            <w:bCs/>
            <w:noProof/>
          </w:rPr>
          <w:t>6.</w:t>
        </w:r>
        <w:r w:rsidR="00AA5081">
          <w:rPr>
            <w:rFonts w:asciiTheme="minorHAnsi" w:eastAsiaTheme="minorEastAsia" w:hAnsiTheme="minorHAnsi" w:cstheme="minorBidi"/>
            <w:noProof/>
            <w:lang w:val="en-US"/>
          </w:rPr>
          <w:tab/>
        </w:r>
        <w:r w:rsidR="00AA5081" w:rsidRPr="00D26F20">
          <w:rPr>
            <w:rStyle w:val="Hyperlink"/>
            <w:noProof/>
          </w:rPr>
          <w:t>PORADNÍ KOMISE PRO PRŮMYSLOVÉ ZMĚNY</w:t>
        </w:r>
        <w:r w:rsidR="00AA5081">
          <w:rPr>
            <w:noProof/>
            <w:webHidden/>
          </w:rPr>
          <w:tab/>
        </w:r>
        <w:r w:rsidR="00AA5081">
          <w:rPr>
            <w:noProof/>
            <w:webHidden/>
          </w:rPr>
          <w:fldChar w:fldCharType="begin"/>
        </w:r>
        <w:r w:rsidR="00AA5081">
          <w:rPr>
            <w:noProof/>
            <w:webHidden/>
          </w:rPr>
          <w:instrText xml:space="preserve"> PAGEREF _Toc229143566 \h </w:instrText>
        </w:r>
        <w:r w:rsidR="00AA5081">
          <w:rPr>
            <w:noProof/>
            <w:webHidden/>
          </w:rPr>
        </w:r>
        <w:r w:rsidR="00AA5081">
          <w:rPr>
            <w:noProof/>
            <w:webHidden/>
          </w:rPr>
          <w:fldChar w:fldCharType="separate"/>
        </w:r>
        <w:r w:rsidR="00FB4D8E">
          <w:rPr>
            <w:noProof/>
            <w:webHidden/>
          </w:rPr>
          <w:t>34</w:t>
        </w:r>
        <w:r w:rsidR="00AA5081">
          <w:rPr>
            <w:noProof/>
            <w:webHidden/>
          </w:rPr>
          <w:fldChar w:fldCharType="end"/>
        </w:r>
      </w:hyperlink>
    </w:p>
    <w:p w14:paraId="07C09CA0" w14:textId="3C827B90" w:rsidR="00AA5081" w:rsidRDefault="00AA5081" w:rsidP="001766B2">
      <w:r>
        <w:fldChar w:fldCharType="end"/>
      </w:r>
    </w:p>
    <w:p w14:paraId="4982DD6C" w14:textId="77777777" w:rsidR="004D7AC0" w:rsidRDefault="004D7AC0" w:rsidP="001766B2">
      <w:pPr>
        <w:jc w:val="left"/>
      </w:pPr>
      <w:r>
        <w:br w:type="page"/>
      </w:r>
    </w:p>
    <w:p w14:paraId="4982DD6D" w14:textId="0B71CDE2" w:rsidR="004D7AC0" w:rsidRPr="00AA5081" w:rsidRDefault="004D7AC0" w:rsidP="00AA5081">
      <w:pPr>
        <w:pStyle w:val="Heading1"/>
      </w:pPr>
      <w:bookmarkStart w:id="0" w:name="_Toc229140653"/>
      <w:bookmarkStart w:id="1" w:name="_Toc229143561"/>
      <w:r w:rsidRPr="00AA5081">
        <w:lastRenderedPageBreak/>
        <w:t>HOSPODÁŘSKÁ</w:t>
      </w:r>
      <w:r w:rsidR="001B28B8">
        <w:t xml:space="preserve"> A </w:t>
      </w:r>
      <w:r w:rsidRPr="00AA5081">
        <w:t>MĚNOVÁ UNIE, HOSPODÁŘSKÁ</w:t>
      </w:r>
      <w:r w:rsidR="001B28B8">
        <w:t xml:space="preserve"> A </w:t>
      </w:r>
      <w:r w:rsidRPr="00AA5081">
        <w:t>SOCIÁLNÍ SOUDRŽNOST</w:t>
      </w:r>
      <w:bookmarkEnd w:id="0"/>
      <w:bookmarkEnd w:id="1"/>
    </w:p>
    <w:p w14:paraId="4982DD6E" w14:textId="77777777" w:rsidR="004D7AC0" w:rsidRDefault="004D7AC0" w:rsidP="001766B2"/>
    <w:p w14:paraId="258C871E" w14:textId="2FC654DE" w:rsidR="00F37962" w:rsidRPr="00877A49" w:rsidRDefault="00123016" w:rsidP="001B28B8">
      <w:pPr>
        <w:widowControl w:val="0"/>
        <w:numPr>
          <w:ilvl w:val="0"/>
          <w:numId w:val="2"/>
        </w:numPr>
        <w:overflowPunct w:val="0"/>
        <w:autoSpaceDE w:val="0"/>
        <w:autoSpaceDN w:val="0"/>
        <w:adjustRightInd w:val="0"/>
        <w:ind w:hanging="567"/>
        <w:textAlignment w:val="baseline"/>
        <w:rPr>
          <w:b/>
          <w:bCs/>
          <w:i/>
          <w:iCs/>
          <w:sz w:val="28"/>
          <w:szCs w:val="28"/>
        </w:rPr>
      </w:pPr>
      <w:hyperlink r:id="rId16" w:history="1">
        <w:r w:rsidR="00E60ACE" w:rsidRPr="00877A49">
          <w:rPr>
            <w:rStyle w:val="Hyperlink"/>
            <w:b/>
            <w:bCs/>
            <w:i/>
            <w:iCs/>
            <w:sz w:val="28"/>
            <w:szCs w:val="28"/>
          </w:rPr>
          <w:t>Politická agenda EU pro města vhodná pro život</w:t>
        </w:r>
      </w:hyperlink>
    </w:p>
    <w:p w14:paraId="050FF4D0" w14:textId="77777777" w:rsidR="00435FF5" w:rsidRPr="001B28B8" w:rsidRDefault="00435FF5" w:rsidP="001B28B8">
      <w:pPr>
        <w:widowControl w:val="0"/>
        <w:overflowPunct w:val="0"/>
        <w:autoSpaceDE w:val="0"/>
        <w:autoSpaceDN w:val="0"/>
        <w:adjustRightInd w:val="0"/>
        <w:ind w:left="284" w:hanging="284"/>
        <w:textAlignment w:val="baseline"/>
        <w:rPr>
          <w:b/>
          <w:i/>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E129EB" w14:paraId="60D343A5" w14:textId="77777777" w:rsidTr="002E7EFB">
        <w:tc>
          <w:tcPr>
            <w:tcW w:w="1701" w:type="dxa"/>
          </w:tcPr>
          <w:p w14:paraId="1B284A7D" w14:textId="77777777" w:rsidR="00F37962" w:rsidRPr="00E129EB" w:rsidRDefault="00F37962" w:rsidP="001B28B8">
            <w:pPr>
              <w:tabs>
                <w:tab w:val="center" w:pos="284"/>
              </w:tabs>
              <w:overflowPunct w:val="0"/>
              <w:autoSpaceDE w:val="0"/>
              <w:autoSpaceDN w:val="0"/>
              <w:adjustRightInd w:val="0"/>
              <w:ind w:left="266" w:hanging="266"/>
              <w:textAlignment w:val="baseline"/>
              <w:rPr>
                <w:b/>
              </w:rPr>
            </w:pPr>
            <w:r>
              <w:rPr>
                <w:b/>
              </w:rPr>
              <w:t>Zpravodaj</w:t>
            </w:r>
          </w:p>
          <w:p w14:paraId="73BE66E9" w14:textId="76C45705" w:rsidR="00F37962" w:rsidRPr="00E129EB" w:rsidRDefault="00F37962" w:rsidP="001B28B8">
            <w:pPr>
              <w:tabs>
                <w:tab w:val="center" w:pos="284"/>
              </w:tabs>
              <w:overflowPunct w:val="0"/>
              <w:autoSpaceDE w:val="0"/>
              <w:autoSpaceDN w:val="0"/>
              <w:adjustRightInd w:val="0"/>
              <w:ind w:left="266" w:hanging="266"/>
              <w:textAlignment w:val="baseline"/>
              <w:rPr>
                <w:b/>
                <w:bCs/>
              </w:rPr>
            </w:pPr>
            <w:r>
              <w:rPr>
                <w:b/>
              </w:rPr>
              <w:t>Spoluzpravodaj</w:t>
            </w:r>
          </w:p>
        </w:tc>
        <w:tc>
          <w:tcPr>
            <w:tcW w:w="7621" w:type="dxa"/>
          </w:tcPr>
          <w:p w14:paraId="6A7F001D" w14:textId="5F7AE198" w:rsidR="00F37962" w:rsidRPr="00E129EB" w:rsidRDefault="00F37962" w:rsidP="001B28B8">
            <w:pPr>
              <w:tabs>
                <w:tab w:val="center" w:pos="284"/>
              </w:tabs>
              <w:overflowPunct w:val="0"/>
              <w:autoSpaceDE w:val="0"/>
              <w:autoSpaceDN w:val="0"/>
              <w:adjustRightInd w:val="0"/>
              <w:ind w:left="266" w:hanging="266"/>
              <w:textAlignment w:val="baseline"/>
            </w:pPr>
            <w:r>
              <w:t>Florian MARIN (Zaměstnanci – RO)</w:t>
            </w:r>
          </w:p>
          <w:p w14:paraId="5228A3F8" w14:textId="609D7A30" w:rsidR="00F37962" w:rsidRDefault="00F37962" w:rsidP="001B28B8">
            <w:pPr>
              <w:tabs>
                <w:tab w:val="center" w:pos="284"/>
              </w:tabs>
              <w:overflowPunct w:val="0"/>
              <w:autoSpaceDE w:val="0"/>
              <w:autoSpaceDN w:val="0"/>
              <w:adjustRightInd w:val="0"/>
              <w:ind w:left="266" w:hanging="266"/>
              <w:textAlignment w:val="baseline"/>
            </w:pPr>
            <w:r>
              <w:t>Roman HAKEN (</w:t>
            </w:r>
            <w:r w:rsidR="00AA7DAC">
              <w:t xml:space="preserve">Organizace občanské společnosti </w:t>
            </w:r>
            <w:r w:rsidR="00AA7DAC">
              <w:t>–</w:t>
            </w:r>
            <w:r>
              <w:t xml:space="preserve"> CZ)</w:t>
            </w:r>
          </w:p>
          <w:p w14:paraId="253441F6" w14:textId="77777777" w:rsidR="00D923C9" w:rsidRPr="00FB4D8E" w:rsidRDefault="00D923C9" w:rsidP="001B28B8">
            <w:pPr>
              <w:tabs>
                <w:tab w:val="center" w:pos="284"/>
              </w:tabs>
              <w:overflowPunct w:val="0"/>
              <w:autoSpaceDE w:val="0"/>
              <w:autoSpaceDN w:val="0"/>
              <w:adjustRightInd w:val="0"/>
              <w:ind w:left="266" w:hanging="266"/>
              <w:textAlignment w:val="baseline"/>
              <w:rPr>
                <w:bCs/>
                <w:sz w:val="14"/>
                <w:szCs w:val="14"/>
              </w:rPr>
            </w:pPr>
          </w:p>
        </w:tc>
      </w:tr>
      <w:tr w:rsidR="00F37962" w:rsidRPr="00E129EB" w14:paraId="5EE50BD3" w14:textId="77777777" w:rsidTr="002E7EFB">
        <w:tc>
          <w:tcPr>
            <w:tcW w:w="1701" w:type="dxa"/>
          </w:tcPr>
          <w:p w14:paraId="23D70382" w14:textId="1848910C" w:rsidR="00F37962" w:rsidRPr="00E129EB" w:rsidRDefault="00986FC0" w:rsidP="001B28B8">
            <w:pPr>
              <w:tabs>
                <w:tab w:val="center" w:pos="284"/>
              </w:tabs>
              <w:overflowPunct w:val="0"/>
              <w:autoSpaceDE w:val="0"/>
              <w:autoSpaceDN w:val="0"/>
              <w:adjustRightInd w:val="0"/>
              <w:ind w:left="266" w:hanging="266"/>
              <w:textAlignment w:val="baseline"/>
              <w:rPr>
                <w:b/>
              </w:rPr>
            </w:pPr>
            <w:r>
              <w:rPr>
                <w:b/>
              </w:rPr>
              <w:t>Odkazy</w:t>
            </w:r>
          </w:p>
        </w:tc>
        <w:tc>
          <w:tcPr>
            <w:tcW w:w="7621" w:type="dxa"/>
          </w:tcPr>
          <w:p w14:paraId="5B4DE008" w14:textId="77777777" w:rsidR="00D923C9" w:rsidRDefault="00F37962" w:rsidP="001B28B8">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1B28B8">
            <w:pPr>
              <w:tabs>
                <w:tab w:val="center" w:pos="284"/>
              </w:tabs>
              <w:overflowPunct w:val="0"/>
              <w:autoSpaceDE w:val="0"/>
              <w:autoSpaceDN w:val="0"/>
              <w:adjustRightInd w:val="0"/>
              <w:ind w:left="266" w:hanging="266"/>
              <w:textAlignment w:val="baseline"/>
            </w:pPr>
            <w:r>
              <w:t>EESC-2025-04288-00-00-AC</w:t>
            </w:r>
          </w:p>
        </w:tc>
      </w:tr>
    </w:tbl>
    <w:p w14:paraId="2D8AE51B" w14:textId="77777777" w:rsidR="001B28B8" w:rsidRDefault="001B28B8" w:rsidP="001B28B8">
      <w:pPr>
        <w:keepNext/>
        <w:keepLines/>
        <w:tabs>
          <w:tab w:val="center" w:pos="284"/>
        </w:tabs>
        <w:overflowPunct w:val="0"/>
        <w:autoSpaceDE w:val="0"/>
        <w:autoSpaceDN w:val="0"/>
        <w:adjustRightInd w:val="0"/>
        <w:ind w:left="266" w:hanging="266"/>
        <w:textAlignment w:val="baseline"/>
        <w:rPr>
          <w:b/>
        </w:rPr>
      </w:pPr>
    </w:p>
    <w:p w14:paraId="1403746C" w14:textId="0BCF5F62" w:rsidR="00F37962" w:rsidRPr="00E129EB" w:rsidRDefault="00F37962" w:rsidP="001B28B8">
      <w:pPr>
        <w:keepNext/>
        <w:keepLines/>
        <w:tabs>
          <w:tab w:val="center" w:pos="284"/>
        </w:tabs>
        <w:overflowPunct w:val="0"/>
        <w:autoSpaceDE w:val="0"/>
        <w:autoSpaceDN w:val="0"/>
        <w:adjustRightInd w:val="0"/>
        <w:ind w:left="266" w:hanging="266"/>
        <w:textAlignment w:val="baseline"/>
        <w:rPr>
          <w:b/>
        </w:rPr>
      </w:pPr>
      <w:r>
        <w:rPr>
          <w:b/>
        </w:rPr>
        <w:t>Hlavní body</w:t>
      </w:r>
    </w:p>
    <w:p w14:paraId="639613BF" w14:textId="77777777" w:rsidR="00F37962" w:rsidRPr="00E129EB" w:rsidRDefault="00F37962" w:rsidP="001B28B8">
      <w:pPr>
        <w:keepNext/>
        <w:keepLines/>
        <w:tabs>
          <w:tab w:val="center" w:pos="284"/>
        </w:tabs>
        <w:overflowPunct w:val="0"/>
        <w:autoSpaceDE w:val="0"/>
        <w:autoSpaceDN w:val="0"/>
        <w:adjustRightInd w:val="0"/>
        <w:ind w:left="266" w:hanging="266"/>
        <w:textAlignment w:val="baseline"/>
        <w:rPr>
          <w:b/>
          <w:lang w:val="en-GB"/>
        </w:rPr>
      </w:pPr>
    </w:p>
    <w:p w14:paraId="0F806F4A" w14:textId="77777777" w:rsidR="00F37962" w:rsidRDefault="00F37962" w:rsidP="001B28B8">
      <w:pPr>
        <w:overflowPunct w:val="0"/>
        <w:autoSpaceDE w:val="0"/>
        <w:autoSpaceDN w:val="0"/>
        <w:adjustRightInd w:val="0"/>
        <w:textAlignment w:val="baseline"/>
        <w:rPr>
          <w:bCs/>
          <w:iCs/>
        </w:rPr>
      </w:pPr>
      <w:r>
        <w:t>EHSV:</w:t>
      </w:r>
    </w:p>
    <w:p w14:paraId="49864E90" w14:textId="77777777" w:rsidR="00ED1C2B" w:rsidRPr="00E129EB" w:rsidRDefault="00ED1C2B" w:rsidP="001B28B8">
      <w:pPr>
        <w:overflowPunct w:val="0"/>
        <w:autoSpaceDE w:val="0"/>
        <w:autoSpaceDN w:val="0"/>
        <w:adjustRightInd w:val="0"/>
        <w:textAlignment w:val="baseline"/>
        <w:rPr>
          <w:bCs/>
          <w:iCs/>
          <w:lang w:val="en-GB"/>
        </w:rPr>
      </w:pPr>
    </w:p>
    <w:p w14:paraId="4D3A28BF" w14:textId="01F0020C" w:rsidR="00F37962" w:rsidRPr="00E129EB" w:rsidRDefault="00790250" w:rsidP="001B28B8">
      <w:pPr>
        <w:numPr>
          <w:ilvl w:val="0"/>
          <w:numId w:val="13"/>
        </w:numPr>
        <w:overflowPunct w:val="0"/>
        <w:autoSpaceDE w:val="0"/>
        <w:autoSpaceDN w:val="0"/>
        <w:adjustRightInd w:val="0"/>
        <w:ind w:left="567" w:hanging="567"/>
        <w:contextualSpacing/>
        <w:textAlignment w:val="baseline"/>
        <w:rPr>
          <w:szCs w:val="20"/>
        </w:rPr>
      </w:pPr>
      <w:r>
        <w:t>považuje města za základ hospodářského, sociálního</w:t>
      </w:r>
      <w:r w:rsidR="001B28B8">
        <w:t xml:space="preserve"> a </w:t>
      </w:r>
      <w:r>
        <w:t>územního rozvoje Evropské unie. Jsou hlavním dějištěm sociálních, environmentálních</w:t>
      </w:r>
      <w:r w:rsidR="001B28B8">
        <w:t xml:space="preserve"> a </w:t>
      </w:r>
      <w:r>
        <w:t>hospodářských změn, přičemž jejich inovační řešení by se měla zaměřit na zkvalitnění života;</w:t>
      </w:r>
    </w:p>
    <w:p w14:paraId="4B3A1070" w14:textId="75DE157B" w:rsidR="00F37962" w:rsidRPr="00E129EB" w:rsidRDefault="00790250" w:rsidP="001B28B8">
      <w:pPr>
        <w:numPr>
          <w:ilvl w:val="0"/>
          <w:numId w:val="13"/>
        </w:numPr>
        <w:overflowPunct w:val="0"/>
        <w:autoSpaceDE w:val="0"/>
        <w:autoSpaceDN w:val="0"/>
        <w:adjustRightInd w:val="0"/>
        <w:ind w:left="567" w:hanging="567"/>
        <w:contextualSpacing/>
        <w:textAlignment w:val="baseline"/>
        <w:rPr>
          <w:szCs w:val="20"/>
        </w:rPr>
      </w:pPr>
      <w:r>
        <w:t>vítá sice komplexní přístup Komise</w:t>
      </w:r>
      <w:r w:rsidR="001B28B8">
        <w:t xml:space="preserve"> a </w:t>
      </w:r>
      <w:r>
        <w:t>záměr posílit Agendu EU pro města</w:t>
      </w:r>
      <w:r w:rsidR="001B28B8">
        <w:t xml:space="preserve"> a </w:t>
      </w:r>
      <w:r>
        <w:t>její ucelenou vizi prosperujících</w:t>
      </w:r>
      <w:r w:rsidR="001B28B8">
        <w:t xml:space="preserve"> a </w:t>
      </w:r>
      <w:r>
        <w:t>inkluzivních měst vhodných pro život, je však přesvědčen, že navrhovaná agenda zatím neodpovídá stanoveným ambicím;</w:t>
      </w:r>
    </w:p>
    <w:p w14:paraId="0D95657E" w14:textId="0D9CD0C1" w:rsidR="00F37962" w:rsidRPr="00E129EB" w:rsidRDefault="00790250" w:rsidP="001B28B8">
      <w:pPr>
        <w:numPr>
          <w:ilvl w:val="0"/>
          <w:numId w:val="13"/>
        </w:numPr>
        <w:overflowPunct w:val="0"/>
        <w:autoSpaceDE w:val="0"/>
        <w:autoSpaceDN w:val="0"/>
        <w:adjustRightInd w:val="0"/>
        <w:ind w:left="567" w:hanging="567"/>
        <w:contextualSpacing/>
        <w:textAlignment w:val="baseline"/>
        <w:rPr>
          <w:szCs w:val="20"/>
        </w:rPr>
      </w:pPr>
      <w:r>
        <w:t>doporučuje, že by měl být vedle Výboru regionů</w:t>
      </w:r>
      <w:r w:rsidR="001B28B8">
        <w:t xml:space="preserve"> i </w:t>
      </w:r>
      <w:r>
        <w:t>on sám formálně začleněn do navrhované Agendy EU pro města, což by odráželo jeho formální úlohu uznanou</w:t>
      </w:r>
      <w:r w:rsidR="001B28B8">
        <w:t xml:space="preserve"> v </w:t>
      </w:r>
      <w:r>
        <w:t>Lublaňské dohodě</w:t>
      </w:r>
      <w:r w:rsidR="001B28B8">
        <w:t xml:space="preserve"> a v </w:t>
      </w:r>
      <w:r>
        <w:t>Amsterodamském paktu, jakož</w:t>
      </w:r>
      <w:r w:rsidR="001B28B8">
        <w:t xml:space="preserve"> i </w:t>
      </w:r>
      <w:r>
        <w:t>jeho aktivní zapojení ve všech oblastech městské agendy;</w:t>
      </w:r>
    </w:p>
    <w:p w14:paraId="37634D38" w14:textId="2B17B96B" w:rsidR="00F37962" w:rsidRPr="00E129EB" w:rsidRDefault="00790250" w:rsidP="001B28B8">
      <w:pPr>
        <w:numPr>
          <w:ilvl w:val="0"/>
          <w:numId w:val="13"/>
        </w:numPr>
        <w:overflowPunct w:val="0"/>
        <w:autoSpaceDE w:val="0"/>
        <w:autoSpaceDN w:val="0"/>
        <w:adjustRightInd w:val="0"/>
        <w:ind w:left="567" w:hanging="567"/>
        <w:contextualSpacing/>
        <w:textAlignment w:val="baseline"/>
        <w:rPr>
          <w:szCs w:val="20"/>
        </w:rPr>
      </w:pPr>
      <w:r>
        <w:t>navrhuje, aby byla Agenda EU pro města pevně zakotvena ve víceúrovňové správě, zásadě partnerství</w:t>
      </w:r>
      <w:r w:rsidR="001B28B8">
        <w:t xml:space="preserve"> a </w:t>
      </w:r>
      <w:r>
        <w:t>místně orientovaném přístupu. Musí zajistit vyvážený územní rozvoj</w:t>
      </w:r>
      <w:r w:rsidR="001B28B8">
        <w:t xml:space="preserve"> a </w:t>
      </w:r>
      <w:r>
        <w:t>posílit sociální</w:t>
      </w:r>
      <w:r w:rsidR="001B28B8">
        <w:t xml:space="preserve"> a </w:t>
      </w:r>
      <w:r>
        <w:t>občanský dialog;</w:t>
      </w:r>
    </w:p>
    <w:p w14:paraId="77962AE4" w14:textId="62619727" w:rsidR="00F37962" w:rsidRPr="00E129EB" w:rsidRDefault="00790250" w:rsidP="001B28B8">
      <w:pPr>
        <w:numPr>
          <w:ilvl w:val="0"/>
          <w:numId w:val="13"/>
        </w:numPr>
        <w:overflowPunct w:val="0"/>
        <w:autoSpaceDE w:val="0"/>
        <w:autoSpaceDN w:val="0"/>
        <w:adjustRightInd w:val="0"/>
        <w:ind w:left="567" w:hanging="567"/>
        <w:contextualSpacing/>
        <w:textAlignment w:val="baseline"/>
        <w:rPr>
          <w:szCs w:val="20"/>
        </w:rPr>
      </w:pPr>
      <w:r>
        <w:t>vyzývá proto Evropskou komisi, aby:</w:t>
      </w:r>
    </w:p>
    <w:p w14:paraId="2A9DA828" w14:textId="478A0A79" w:rsidR="00790250" w:rsidRDefault="00790250" w:rsidP="001B28B8">
      <w:pPr>
        <w:pStyle w:val="ListParagraph"/>
        <w:numPr>
          <w:ilvl w:val="0"/>
          <w:numId w:val="13"/>
        </w:numPr>
        <w:overflowPunct w:val="0"/>
        <w:autoSpaceDE w:val="0"/>
        <w:autoSpaceDN w:val="0"/>
        <w:adjustRightInd w:val="0"/>
        <w:ind w:left="851" w:hanging="284"/>
        <w:textAlignment w:val="baseline"/>
      </w:pPr>
      <w:r>
        <w:t>formálně uznala EHSV</w:t>
      </w:r>
      <w:r w:rsidR="001B28B8">
        <w:t xml:space="preserve"> i </w:t>
      </w:r>
      <w:r>
        <w:t>města jako rovnocenné partnery při tvorbě městské politiky EU,</w:t>
      </w:r>
      <w:r w:rsidR="001B28B8">
        <w:t xml:space="preserve"> a </w:t>
      </w:r>
      <w:r>
        <w:t>nikoli pouze jako subjekty provádějící tuto politiku,</w:t>
      </w:r>
      <w:r w:rsidR="001B28B8">
        <w:t xml:space="preserve"> a </w:t>
      </w:r>
      <w:r>
        <w:t>za tímto účelem zavedla stálé</w:t>
      </w:r>
      <w:r w:rsidR="001B28B8">
        <w:t xml:space="preserve"> a </w:t>
      </w:r>
      <w:r>
        <w:t>strukturované mechanismy víceúrovňové správy,</w:t>
      </w:r>
    </w:p>
    <w:p w14:paraId="7D48DC9F" w14:textId="582D3DA1" w:rsidR="00790250" w:rsidRDefault="00790250" w:rsidP="001B28B8">
      <w:pPr>
        <w:pStyle w:val="ListParagraph"/>
        <w:numPr>
          <w:ilvl w:val="0"/>
          <w:numId w:val="13"/>
        </w:numPr>
        <w:overflowPunct w:val="0"/>
        <w:autoSpaceDE w:val="0"/>
        <w:autoSpaceDN w:val="0"/>
        <w:adjustRightInd w:val="0"/>
        <w:ind w:left="851" w:hanging="284"/>
        <w:textAlignment w:val="baseline"/>
      </w:pPr>
      <w:r>
        <w:t>posílila zásadu partnerství tím, že zaručí systematické</w:t>
      </w:r>
      <w:r w:rsidR="001B28B8">
        <w:t xml:space="preserve"> a </w:t>
      </w:r>
      <w:r>
        <w:t>účelné zapojení organizované občanské společnosti do celého politického cyklu Agendy EU pro města,</w:t>
      </w:r>
    </w:p>
    <w:p w14:paraId="6F44B4A6" w14:textId="3B01F818" w:rsidR="00790250" w:rsidRDefault="00790250" w:rsidP="001B28B8">
      <w:pPr>
        <w:pStyle w:val="ListParagraph"/>
        <w:numPr>
          <w:ilvl w:val="0"/>
          <w:numId w:val="13"/>
        </w:numPr>
        <w:overflowPunct w:val="0"/>
        <w:autoSpaceDE w:val="0"/>
        <w:autoSpaceDN w:val="0"/>
        <w:adjustRightInd w:val="0"/>
        <w:ind w:left="851" w:hanging="284"/>
        <w:textAlignment w:val="baseline"/>
      </w:pPr>
      <w:r>
        <w:t>vybavila Agendu EU pro města konkrétním</w:t>
      </w:r>
      <w:r w:rsidR="001B28B8">
        <w:t xml:space="preserve"> a </w:t>
      </w:r>
      <w:r>
        <w:t>funkčním rámcem opatření, včetně jasně definovaných odpovědností, časových harmonogramů</w:t>
      </w:r>
      <w:r w:rsidR="001B28B8">
        <w:t xml:space="preserve"> a </w:t>
      </w:r>
      <w:r>
        <w:t>měřitelných ukazatelů,</w:t>
      </w:r>
      <w:r w:rsidR="001B28B8">
        <w:t xml:space="preserve"> a </w:t>
      </w:r>
      <w:r>
        <w:t>zavedla systematické posuzování územního dopadu</w:t>
      </w:r>
      <w:r w:rsidR="001B28B8">
        <w:t xml:space="preserve"> s </w:t>
      </w:r>
      <w:r>
        <w:t>cílem vyhodnocovat dopady právních předpisů EU na města</w:t>
      </w:r>
      <w:r w:rsidR="001B28B8">
        <w:t xml:space="preserve"> a </w:t>
      </w:r>
      <w:r>
        <w:t>obce,</w:t>
      </w:r>
    </w:p>
    <w:p w14:paraId="39D32BEE" w14:textId="5F97DAA0" w:rsidR="00790250" w:rsidRDefault="00790250" w:rsidP="001B28B8">
      <w:pPr>
        <w:pStyle w:val="ListParagraph"/>
        <w:numPr>
          <w:ilvl w:val="0"/>
          <w:numId w:val="13"/>
        </w:numPr>
        <w:overflowPunct w:val="0"/>
        <w:autoSpaceDE w:val="0"/>
        <w:autoSpaceDN w:val="0"/>
        <w:adjustRightInd w:val="0"/>
        <w:ind w:left="851" w:hanging="284"/>
        <w:textAlignment w:val="baseline"/>
      </w:pPr>
      <w:r>
        <w:t>zajistila přiměřené, předvídatelné</w:t>
      </w:r>
      <w:r w:rsidR="001B28B8">
        <w:t xml:space="preserve"> a </w:t>
      </w:r>
      <w:r>
        <w:t>dostupné financování rozvoje měst, včetně přímého přístupu měst</w:t>
      </w:r>
      <w:r w:rsidR="001B28B8">
        <w:t xml:space="preserve"> k </w:t>
      </w:r>
      <w:r>
        <w:t>finančním prostředkům EU,</w:t>
      </w:r>
    </w:p>
    <w:p w14:paraId="75492B64" w14:textId="405E1767" w:rsidR="00790250" w:rsidRDefault="00790250" w:rsidP="001B28B8">
      <w:pPr>
        <w:pStyle w:val="ListParagraph"/>
        <w:numPr>
          <w:ilvl w:val="0"/>
          <w:numId w:val="13"/>
        </w:numPr>
        <w:overflowPunct w:val="0"/>
        <w:autoSpaceDE w:val="0"/>
        <w:autoSpaceDN w:val="0"/>
        <w:adjustRightInd w:val="0"/>
        <w:ind w:left="851" w:hanging="284"/>
        <w:textAlignment w:val="baseline"/>
      </w:pPr>
      <w:r>
        <w:t>podporovala integrovaný, projektově</w:t>
      </w:r>
      <w:r w:rsidR="001B28B8">
        <w:t xml:space="preserve"> a </w:t>
      </w:r>
      <w:r>
        <w:t>místně orientovaný přístup</w:t>
      </w:r>
      <w:r w:rsidR="001B28B8">
        <w:t xml:space="preserve"> k </w:t>
      </w:r>
      <w:r>
        <w:t>územní soudržnosti</w:t>
      </w:r>
      <w:r w:rsidR="001B28B8">
        <w:t xml:space="preserve"> a </w:t>
      </w:r>
      <w:r>
        <w:t>výslovně posilovala doplňkovost mezi městy</w:t>
      </w:r>
      <w:r w:rsidR="001B28B8">
        <w:t xml:space="preserve"> a </w:t>
      </w:r>
      <w:r>
        <w:t>venkovskými oblastmi,</w:t>
      </w:r>
    </w:p>
    <w:p w14:paraId="131284AE" w14:textId="5E599F5A" w:rsidR="00790250" w:rsidRDefault="00790250" w:rsidP="001B28B8">
      <w:pPr>
        <w:pStyle w:val="ListParagraph"/>
        <w:numPr>
          <w:ilvl w:val="0"/>
          <w:numId w:val="13"/>
        </w:numPr>
        <w:overflowPunct w:val="0"/>
        <w:autoSpaceDE w:val="0"/>
        <w:autoSpaceDN w:val="0"/>
        <w:adjustRightInd w:val="0"/>
        <w:ind w:left="851" w:hanging="284"/>
        <w:textAlignment w:val="baseline"/>
      </w:pPr>
      <w:r>
        <w:t>rozvíjela dialog na úrovni EU</w:t>
      </w:r>
      <w:r w:rsidR="001B28B8">
        <w:t xml:space="preserve"> v </w:t>
      </w:r>
      <w:r>
        <w:t>rámci platformy EU pro města</w:t>
      </w:r>
      <w:r w:rsidR="001B28B8">
        <w:t xml:space="preserve"> s </w:t>
      </w:r>
      <w:r>
        <w:t>cílem upozornit na význam sociálního</w:t>
      </w:r>
      <w:r w:rsidR="001B28B8">
        <w:t xml:space="preserve"> a </w:t>
      </w:r>
      <w:r>
        <w:t>občanského dialogu</w:t>
      </w:r>
      <w:r w:rsidR="001B28B8">
        <w:t xml:space="preserve"> v </w:t>
      </w:r>
      <w:r>
        <w:t>otázkách týkajících se zaměstnanosti,</w:t>
      </w:r>
    </w:p>
    <w:p w14:paraId="4878C9AC" w14:textId="78A4B6CA" w:rsidR="00790250" w:rsidRDefault="00790250" w:rsidP="001B28B8">
      <w:pPr>
        <w:pStyle w:val="ListParagraph"/>
        <w:numPr>
          <w:ilvl w:val="0"/>
          <w:numId w:val="13"/>
        </w:numPr>
        <w:overflowPunct w:val="0"/>
        <w:autoSpaceDE w:val="0"/>
        <w:autoSpaceDN w:val="0"/>
        <w:adjustRightInd w:val="0"/>
        <w:ind w:left="851" w:hanging="284"/>
        <w:textAlignment w:val="baseline"/>
      </w:pPr>
      <w:r>
        <w:t>navýšila fond technické pomoci určený pro města</w:t>
      </w:r>
      <w:r w:rsidR="001B28B8">
        <w:t xml:space="preserve"> a </w:t>
      </w:r>
      <w:r>
        <w:t>zavedla specializovanou evropskou iniciativu nebo fond se zaměřením přímo na městské projekty,</w:t>
      </w:r>
    </w:p>
    <w:p w14:paraId="5CDDA9BE" w14:textId="6DCF21F0" w:rsidR="00790250" w:rsidRDefault="00790250" w:rsidP="001B28B8">
      <w:pPr>
        <w:pStyle w:val="ListParagraph"/>
        <w:numPr>
          <w:ilvl w:val="0"/>
          <w:numId w:val="13"/>
        </w:numPr>
        <w:overflowPunct w:val="0"/>
        <w:autoSpaceDE w:val="0"/>
        <w:autoSpaceDN w:val="0"/>
        <w:adjustRightInd w:val="0"/>
        <w:ind w:left="851" w:hanging="284"/>
        <w:textAlignment w:val="baseline"/>
      </w:pPr>
      <w:r>
        <w:t>navrhla jasné normy pro konzultace</w:t>
      </w:r>
      <w:r w:rsidR="001B28B8">
        <w:t xml:space="preserve"> s </w:t>
      </w:r>
      <w:r>
        <w:t>cílem zajistit účelné, včasné</w:t>
      </w:r>
      <w:r w:rsidR="001B28B8">
        <w:t xml:space="preserve"> a </w:t>
      </w:r>
      <w:r>
        <w:t>reprezentativní zapojení sociálních partnerů</w:t>
      </w:r>
      <w:r w:rsidR="001B28B8">
        <w:t xml:space="preserve"> a </w:t>
      </w:r>
      <w:r>
        <w:t xml:space="preserve">občanské společnosti na všech úrovních, </w:t>
      </w:r>
    </w:p>
    <w:p w14:paraId="3EC5CB32" w14:textId="37A82CAC" w:rsidR="00790250" w:rsidRDefault="00790250" w:rsidP="001B28B8">
      <w:pPr>
        <w:pStyle w:val="ListParagraph"/>
        <w:numPr>
          <w:ilvl w:val="0"/>
          <w:numId w:val="13"/>
        </w:numPr>
        <w:overflowPunct w:val="0"/>
        <w:autoSpaceDE w:val="0"/>
        <w:autoSpaceDN w:val="0"/>
        <w:adjustRightInd w:val="0"/>
        <w:ind w:left="851" w:hanging="284"/>
        <w:textAlignment w:val="baseline"/>
      </w:pPr>
      <w:r>
        <w:lastRenderedPageBreak/>
        <w:t>vytvořila jednotný rámec na úrovni EU pro sběr</w:t>
      </w:r>
      <w:r w:rsidR="001B28B8">
        <w:t xml:space="preserve"> a </w:t>
      </w:r>
      <w:r>
        <w:t>vykazování údajů</w:t>
      </w:r>
      <w:r w:rsidR="001B28B8">
        <w:t xml:space="preserve"> o </w:t>
      </w:r>
      <w:r>
        <w:t>městech, aby se zajistila srovnatelnost ukazatelů</w:t>
      </w:r>
      <w:r w:rsidR="001B28B8">
        <w:t xml:space="preserve"> a </w:t>
      </w:r>
      <w:r>
        <w:t>účinnost monitorování ve všech členských státech,</w:t>
      </w:r>
    </w:p>
    <w:p w14:paraId="45110997" w14:textId="02EF2DAF" w:rsidR="00790250" w:rsidRDefault="00790250" w:rsidP="001B28B8">
      <w:pPr>
        <w:pStyle w:val="ListParagraph"/>
        <w:numPr>
          <w:ilvl w:val="0"/>
          <w:numId w:val="13"/>
        </w:numPr>
        <w:overflowPunct w:val="0"/>
        <w:autoSpaceDE w:val="0"/>
        <w:autoSpaceDN w:val="0"/>
        <w:adjustRightInd w:val="0"/>
        <w:ind w:left="851" w:hanging="284"/>
        <w:textAlignment w:val="baseline"/>
      </w:pPr>
      <w:r>
        <w:t>pokládala bydlení za jeden ze strukturálních sociálních</w:t>
      </w:r>
      <w:r w:rsidR="001B28B8">
        <w:t xml:space="preserve"> a </w:t>
      </w:r>
      <w:r>
        <w:t>ekonomických problémů,</w:t>
      </w:r>
      <w:r w:rsidR="001B28B8">
        <w:t xml:space="preserve"> a </w:t>
      </w:r>
      <w:r>
        <w:t>nikoliv za výsledek působení tržních sil,</w:t>
      </w:r>
      <w:r w:rsidR="001B28B8">
        <w:t xml:space="preserve"> a </w:t>
      </w:r>
      <w:r>
        <w:t>vyzvala</w:t>
      </w:r>
      <w:r w:rsidR="001B28B8">
        <w:t xml:space="preserve"> k </w:t>
      </w:r>
      <w:r>
        <w:t>vypracování rámce EU</w:t>
      </w:r>
      <w:r w:rsidR="001B28B8">
        <w:t xml:space="preserve"> s </w:t>
      </w:r>
      <w:r>
        <w:t>cílem zajistit přístup</w:t>
      </w:r>
      <w:r w:rsidR="001B28B8">
        <w:t xml:space="preserve"> k </w:t>
      </w:r>
      <w:r>
        <w:t>cenově dostupnému, bydlení;</w:t>
      </w:r>
    </w:p>
    <w:p w14:paraId="6C5CAB4A" w14:textId="6D38786A" w:rsidR="00790250" w:rsidRDefault="00790250" w:rsidP="001B28B8">
      <w:pPr>
        <w:pStyle w:val="ListParagraph"/>
        <w:numPr>
          <w:ilvl w:val="0"/>
          <w:numId w:val="13"/>
        </w:numPr>
        <w:overflowPunct w:val="0"/>
        <w:autoSpaceDE w:val="0"/>
        <w:autoSpaceDN w:val="0"/>
        <w:adjustRightInd w:val="0"/>
        <w:ind w:left="567" w:hanging="567"/>
        <w:textAlignment w:val="baseline"/>
      </w:pPr>
      <w:r>
        <w:t>má za to, že hlavním mechanismem používaným</w:t>
      </w:r>
      <w:r w:rsidR="001B28B8">
        <w:t xml:space="preserve"> k </w:t>
      </w:r>
      <w:r>
        <w:t>realizaci financování evropské politiky soudržnosti na základě integrovaného</w:t>
      </w:r>
      <w:r w:rsidR="001B28B8">
        <w:t xml:space="preserve"> a </w:t>
      </w:r>
      <w:r>
        <w:t>místně orientovaného přístupu je komunitně vedený místní rozvoj. Je nutné, aby komunitně vedený místní rozvoj ve městech / městských oblastech překonal svůj současný status pilotního projektu</w:t>
      </w:r>
      <w:r w:rsidR="001B28B8">
        <w:t xml:space="preserve"> a </w:t>
      </w:r>
      <w:r>
        <w:t>byl uznán jako jeden</w:t>
      </w:r>
      <w:r w:rsidR="001B28B8">
        <w:t xml:space="preserve"> z </w:t>
      </w:r>
      <w:r>
        <w:t>nejúčinnějších nástrojů pro aktivizaci místních komunit, vytváření pracovních míst, posilování sociální ekonomiky</w:t>
      </w:r>
      <w:r w:rsidR="001B28B8">
        <w:t xml:space="preserve"> a </w:t>
      </w:r>
      <w:r>
        <w:t>zapojování zúčastněných stran;</w:t>
      </w:r>
    </w:p>
    <w:p w14:paraId="3429112F" w14:textId="40C959CE" w:rsidR="00F37962" w:rsidRPr="00E129EB" w:rsidRDefault="00790250" w:rsidP="001B28B8">
      <w:pPr>
        <w:numPr>
          <w:ilvl w:val="0"/>
          <w:numId w:val="13"/>
        </w:numPr>
        <w:overflowPunct w:val="0"/>
        <w:autoSpaceDE w:val="0"/>
        <w:autoSpaceDN w:val="0"/>
        <w:adjustRightInd w:val="0"/>
        <w:ind w:left="567" w:hanging="567"/>
        <w:contextualSpacing/>
        <w:textAlignment w:val="baseline"/>
        <w:rPr>
          <w:szCs w:val="20"/>
        </w:rPr>
      </w:pPr>
      <w:r>
        <w:t>je přesvědčen, že by mělo být zavedeno zvláštní opatření, které by</w:t>
      </w:r>
      <w:r w:rsidR="001B28B8">
        <w:t xml:space="preserve"> v </w:t>
      </w:r>
      <w:r>
        <w:t>budoucnu komunitně vedený místní rozvoj upevnilo</w:t>
      </w:r>
      <w:r w:rsidR="001B28B8">
        <w:t xml:space="preserve"> a </w:t>
      </w:r>
      <w:r>
        <w:t>zajistilo jeho formální začlenění do rozhodovacích procesů na úrovni EU</w:t>
      </w:r>
      <w:r w:rsidR="001B28B8">
        <w:t xml:space="preserve"> a </w:t>
      </w:r>
      <w:r>
        <w:t>do cílených technických konzultací</w:t>
      </w:r>
      <w:r w:rsidR="001B28B8">
        <w:t xml:space="preserve"> s </w:t>
      </w:r>
      <w:r>
        <w:t>odborníky.</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Kontakt:</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Tel.</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E-mail:</w:t>
            </w:r>
          </w:p>
        </w:tc>
        <w:tc>
          <w:tcPr>
            <w:tcW w:w="7904" w:type="dxa"/>
          </w:tcPr>
          <w:p w14:paraId="122227DF" w14:textId="77777777" w:rsidR="00F37962" w:rsidRPr="00E129EB" w:rsidRDefault="00123016" w:rsidP="002E7EFB">
            <w:pPr>
              <w:overflowPunct w:val="0"/>
              <w:autoSpaceDE w:val="0"/>
              <w:autoSpaceDN w:val="0"/>
              <w:adjustRightInd w:val="0"/>
              <w:textAlignment w:val="baseline"/>
              <w:rPr>
                <w:i/>
                <w:iCs/>
              </w:rPr>
            </w:pPr>
            <w:hyperlink r:id="rId17" w:history="1">
              <w:r w:rsidR="00E60ACE">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01DF911B" w:rsidR="00F37962" w:rsidRPr="00C82D5A" w:rsidRDefault="00123016" w:rsidP="001B28B8">
      <w:pPr>
        <w:pStyle w:val="ListParagraph"/>
        <w:numPr>
          <w:ilvl w:val="0"/>
          <w:numId w:val="26"/>
        </w:numPr>
        <w:ind w:left="567" w:hanging="567"/>
        <w:rPr>
          <w:b/>
          <w:bCs/>
          <w:i/>
          <w:iCs/>
          <w:sz w:val="28"/>
          <w:szCs w:val="28"/>
        </w:rPr>
      </w:pPr>
      <w:hyperlink r:id="rId18" w:history="1">
        <w:r w:rsidR="00A067F3" w:rsidRPr="00C82D5A">
          <w:rPr>
            <w:rStyle w:val="Hyperlink"/>
            <w:b/>
            <w:bCs/>
            <w:i/>
            <w:iCs/>
            <w:sz w:val="28"/>
            <w:szCs w:val="28"/>
          </w:rPr>
          <w:t>Balíček předpisů týkajících se doplňkových důchodů: PEPP</w:t>
        </w:r>
        <w:r w:rsidR="001B28B8" w:rsidRPr="00C82D5A">
          <w:rPr>
            <w:rStyle w:val="Hyperlink"/>
            <w:b/>
            <w:bCs/>
            <w:i/>
            <w:iCs/>
            <w:sz w:val="28"/>
            <w:szCs w:val="28"/>
          </w:rPr>
          <w:t xml:space="preserve"> a </w:t>
        </w:r>
        <w:r w:rsidR="00A067F3" w:rsidRPr="00C82D5A">
          <w:rPr>
            <w:rStyle w:val="Hyperlink"/>
            <w:b/>
            <w:bCs/>
            <w:i/>
            <w:iCs/>
            <w:sz w:val="28"/>
            <w:szCs w:val="28"/>
          </w:rPr>
          <w:t>IZPP</w:t>
        </w:r>
      </w:hyperlink>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Zpravodaj</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BARRERA CHAMORRO Maria del Carmen (Workers' Group - ES)</w:t>
            </w:r>
          </w:p>
        </w:tc>
      </w:tr>
      <w:tr w:rsidR="00F37962" w:rsidRPr="009360D7" w14:paraId="68747D90" w14:textId="77777777" w:rsidTr="002E7EFB">
        <w:tc>
          <w:tcPr>
            <w:tcW w:w="1077" w:type="pct"/>
          </w:tcPr>
          <w:p w14:paraId="5B2075D4" w14:textId="77777777" w:rsidR="00F37962" w:rsidRPr="001B28B8" w:rsidRDefault="00F37962" w:rsidP="004C6742">
            <w:pPr>
              <w:tabs>
                <w:tab w:val="center" w:pos="284"/>
              </w:tabs>
              <w:overflowPunct w:val="0"/>
              <w:autoSpaceDE w:val="0"/>
              <w:autoSpaceDN w:val="0"/>
              <w:adjustRightInd w:val="0"/>
              <w:spacing w:line="240" w:lineRule="auto"/>
              <w:ind w:left="266" w:hanging="266"/>
              <w:textAlignment w:val="baseline"/>
              <w:rPr>
                <w:b/>
                <w:sz w:val="14"/>
                <w:szCs w:val="14"/>
                <w:lang w:val="es-ES"/>
              </w:rPr>
            </w:pPr>
          </w:p>
        </w:tc>
        <w:tc>
          <w:tcPr>
            <w:tcW w:w="3923" w:type="pct"/>
          </w:tcPr>
          <w:p w14:paraId="075524E1" w14:textId="77777777" w:rsidR="00F37962" w:rsidRPr="001B28B8" w:rsidRDefault="00F37962" w:rsidP="004C6742">
            <w:pPr>
              <w:tabs>
                <w:tab w:val="center" w:pos="284"/>
              </w:tabs>
              <w:overflowPunct w:val="0"/>
              <w:autoSpaceDE w:val="0"/>
              <w:autoSpaceDN w:val="0"/>
              <w:adjustRightInd w:val="0"/>
              <w:spacing w:line="240" w:lineRule="auto"/>
              <w:ind w:left="266" w:right="-3091" w:hanging="266"/>
              <w:textAlignment w:val="baseline"/>
              <w:rPr>
                <w:sz w:val="14"/>
                <w:szCs w:val="14"/>
                <w:lang w:val="es-ES"/>
              </w:rPr>
            </w:pPr>
          </w:p>
        </w:tc>
      </w:tr>
      <w:tr w:rsidR="00F37962" w:rsidRPr="009360D7" w14:paraId="5E5AA138" w14:textId="77777777" w:rsidTr="002E7EFB">
        <w:tc>
          <w:tcPr>
            <w:tcW w:w="1077" w:type="pct"/>
          </w:tcPr>
          <w:p w14:paraId="5801F57F" w14:textId="6AECECEB" w:rsidR="00F37962" w:rsidRPr="009360D7" w:rsidRDefault="00986FC0" w:rsidP="004C6742">
            <w:pPr>
              <w:tabs>
                <w:tab w:val="center" w:pos="284"/>
              </w:tabs>
              <w:overflowPunct w:val="0"/>
              <w:autoSpaceDE w:val="0"/>
              <w:autoSpaceDN w:val="0"/>
              <w:adjustRightInd w:val="0"/>
              <w:spacing w:line="240" w:lineRule="auto"/>
              <w:ind w:left="266" w:hanging="266"/>
              <w:textAlignment w:val="baseline"/>
              <w:rPr>
                <w:b/>
              </w:rPr>
            </w:pPr>
            <w:r>
              <w:rPr>
                <w:b/>
              </w:rPr>
              <w:t>Odkazy</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final </w:t>
            </w:r>
          </w:p>
          <w:p w14:paraId="7749B274" w14:textId="3BA93651" w:rsidR="00790250" w:rsidRPr="004E365E" w:rsidRDefault="00790250" w:rsidP="00790250">
            <w:pPr>
              <w:tabs>
                <w:tab w:val="center" w:pos="284"/>
              </w:tabs>
              <w:ind w:left="266" w:right="-3091" w:firstLine="5"/>
              <w:rPr>
                <w:szCs w:val="22"/>
              </w:rPr>
            </w:pPr>
            <w:r>
              <w:t xml:space="preserve">COM(2025) 840 final </w:t>
            </w:r>
          </w:p>
          <w:p w14:paraId="5F2CC97B" w14:textId="06FCBEE6" w:rsidR="00F37962" w:rsidRPr="009360D7" w:rsidRDefault="00790250" w:rsidP="00790250">
            <w:pPr>
              <w:tabs>
                <w:tab w:val="center" w:pos="284"/>
              </w:tabs>
              <w:overflowPunct w:val="0"/>
              <w:autoSpaceDE w:val="0"/>
              <w:autoSpaceDN w:val="0"/>
              <w:adjustRightInd w:val="0"/>
              <w:spacing w:line="240" w:lineRule="auto"/>
              <w:ind w:left="550" w:right="-3091" w:hanging="266"/>
              <w:textAlignment w:val="baseline"/>
            </w:pPr>
            <w:r>
              <w:t xml:space="preserve">COM(2025) 842 final </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Hlavní body</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5F680656" w:rsidR="00F37962" w:rsidRDefault="00F37962" w:rsidP="00F37962">
      <w:pPr>
        <w:overflowPunct w:val="0"/>
        <w:autoSpaceDE w:val="0"/>
        <w:autoSpaceDN w:val="0"/>
        <w:adjustRightInd w:val="0"/>
        <w:textAlignment w:val="baseline"/>
      </w:pPr>
      <w:r>
        <w:t>EHSV:</w:t>
      </w:r>
    </w:p>
    <w:p w14:paraId="34C7E803" w14:textId="77777777" w:rsidR="001B28B8" w:rsidRDefault="001B28B8" w:rsidP="00F37962">
      <w:pPr>
        <w:overflowPunct w:val="0"/>
        <w:autoSpaceDE w:val="0"/>
        <w:autoSpaceDN w:val="0"/>
        <w:adjustRightInd w:val="0"/>
        <w:textAlignment w:val="baseline"/>
        <w:rPr>
          <w:bCs/>
          <w:iCs/>
        </w:rPr>
      </w:pPr>
    </w:p>
    <w:p w14:paraId="5B7B1477" w14:textId="03BEABD9" w:rsidR="00790250" w:rsidRPr="003D505B" w:rsidRDefault="00790250" w:rsidP="008D7B21">
      <w:pPr>
        <w:pStyle w:val="Heading2"/>
        <w:numPr>
          <w:ilvl w:val="0"/>
          <w:numId w:val="3"/>
        </w:numPr>
        <w:spacing w:line="283" w:lineRule="auto"/>
        <w:ind w:left="567" w:hanging="567"/>
      </w:pPr>
      <w:r>
        <w:rPr>
          <w:b/>
        </w:rPr>
        <w:t>uznává</w:t>
      </w:r>
      <w:r>
        <w:t xml:space="preserve"> přínosy </w:t>
      </w:r>
      <w:r>
        <w:rPr>
          <w:b/>
        </w:rPr>
        <w:t>vícepilířového důchodového systému</w:t>
      </w:r>
      <w:r w:rsidR="001B28B8">
        <w:t xml:space="preserve"> a </w:t>
      </w:r>
      <w:r>
        <w:t>domnívá se, že doplňkové důchody by neměly být důvodem</w:t>
      </w:r>
      <w:r w:rsidR="001B28B8">
        <w:t xml:space="preserve"> k </w:t>
      </w:r>
      <w:r>
        <w:t>oslabení veřejných důchodů</w:t>
      </w:r>
      <w:r w:rsidR="001B28B8">
        <w:t xml:space="preserve"> a </w:t>
      </w:r>
      <w:r>
        <w:t>měly by zajišťovat, aby všichni občané</w:t>
      </w:r>
      <w:r w:rsidR="001B28B8">
        <w:t xml:space="preserve"> v </w:t>
      </w:r>
      <w:r>
        <w:t>celé EU mohli odcházet do důchodu důstojně, zabezpečeně</w:t>
      </w:r>
      <w:r w:rsidR="001B28B8">
        <w:t xml:space="preserve"> a s </w:t>
      </w:r>
      <w:r>
        <w:t>přiměřeným příjmem. Na</w:t>
      </w:r>
      <w:r w:rsidR="001B28B8">
        <w:t> </w:t>
      </w:r>
      <w:r>
        <w:t xml:space="preserve">příslušné – vnitrostátní či evropské – úrovni </w:t>
      </w:r>
      <w:r>
        <w:rPr>
          <w:b/>
        </w:rPr>
        <w:t>je nezbytný komplexní přístup</w:t>
      </w:r>
      <w:r>
        <w:t>, který by měl zlepšit jak trh práce, tak systém doplňkového penzijního pojištění;</w:t>
      </w:r>
    </w:p>
    <w:p w14:paraId="1BCCF4DF" w14:textId="46DC3FE0" w:rsidR="00790250" w:rsidRPr="003D505B" w:rsidRDefault="00790250" w:rsidP="008D7B21">
      <w:pPr>
        <w:pStyle w:val="Heading2"/>
        <w:numPr>
          <w:ilvl w:val="0"/>
          <w:numId w:val="3"/>
        </w:numPr>
        <w:spacing w:line="283" w:lineRule="auto"/>
        <w:ind w:left="567" w:hanging="567"/>
      </w:pPr>
      <w:r>
        <w:rPr>
          <w:b/>
        </w:rPr>
        <w:t>doporučuje</w:t>
      </w:r>
      <w:r>
        <w:t xml:space="preserve"> vhodná opatření</w:t>
      </w:r>
      <w:r w:rsidR="001B28B8">
        <w:t xml:space="preserve"> k </w:t>
      </w:r>
      <w:r>
        <w:rPr>
          <w:b/>
        </w:rPr>
        <w:t>posílení participativní správy</w:t>
      </w:r>
      <w:r w:rsidR="001B28B8">
        <w:t xml:space="preserve"> a k </w:t>
      </w:r>
      <w:r>
        <w:t>podpoře zapojení sociálních partnerů</w:t>
      </w:r>
      <w:r w:rsidR="001B28B8">
        <w:t xml:space="preserve"> s </w:t>
      </w:r>
      <w:r>
        <w:t>tím, že bude zachována jejich svoboda vyjednávat</w:t>
      </w:r>
      <w:r w:rsidR="001B28B8">
        <w:t xml:space="preserve"> a </w:t>
      </w:r>
      <w:r>
        <w:t>bude zohledněna pestrá škála systémů</w:t>
      </w:r>
      <w:r w:rsidR="001B28B8">
        <w:t xml:space="preserve"> v </w:t>
      </w:r>
      <w:r>
        <w:t>EU;</w:t>
      </w:r>
    </w:p>
    <w:p w14:paraId="20DAC81C" w14:textId="64AE53BE" w:rsidR="00790250" w:rsidRDefault="00790250" w:rsidP="008D7B21">
      <w:pPr>
        <w:pStyle w:val="Heading2"/>
        <w:numPr>
          <w:ilvl w:val="0"/>
          <w:numId w:val="3"/>
        </w:numPr>
        <w:spacing w:line="283" w:lineRule="auto"/>
        <w:ind w:left="567" w:hanging="567"/>
      </w:pPr>
      <w:r>
        <w:rPr>
          <w:b/>
        </w:rPr>
        <w:t>doporučuje</w:t>
      </w:r>
      <w:r>
        <w:t xml:space="preserve"> konkrétní změny </w:t>
      </w:r>
      <w:r>
        <w:rPr>
          <w:b/>
        </w:rPr>
        <w:t>směrnice IZPP</w:t>
      </w:r>
      <w:r w:rsidR="001B28B8">
        <w:t xml:space="preserve"> s </w:t>
      </w:r>
      <w:r>
        <w:t>cílem snížit roztříštěnost, zvýšit srovnatelnost</w:t>
      </w:r>
      <w:r w:rsidR="001B28B8">
        <w:t xml:space="preserve"> a </w:t>
      </w:r>
      <w:r>
        <w:t>transparentnost</w:t>
      </w:r>
      <w:r w:rsidR="001B28B8">
        <w:t xml:space="preserve"> a </w:t>
      </w:r>
      <w:r>
        <w:t>zajistit důvěru účastníků penzijních plánů;</w:t>
      </w:r>
    </w:p>
    <w:p w14:paraId="043B9D63" w14:textId="63708D6F" w:rsidR="00790250" w:rsidRPr="003D505B" w:rsidRDefault="00790250" w:rsidP="008D7B21">
      <w:pPr>
        <w:pStyle w:val="Heading2"/>
        <w:numPr>
          <w:ilvl w:val="0"/>
          <w:numId w:val="3"/>
        </w:numPr>
        <w:spacing w:line="283" w:lineRule="auto"/>
        <w:ind w:left="567" w:hanging="567"/>
      </w:pPr>
      <w:r>
        <w:rPr>
          <w:b/>
        </w:rPr>
        <w:t>doporučuje</w:t>
      </w:r>
      <w:r>
        <w:t xml:space="preserve"> konkrétní změny </w:t>
      </w:r>
      <w:r>
        <w:rPr>
          <w:b/>
        </w:rPr>
        <w:t>nařízení</w:t>
      </w:r>
      <w:r w:rsidR="001B28B8">
        <w:rPr>
          <w:b/>
        </w:rPr>
        <w:t xml:space="preserve"> o </w:t>
      </w:r>
      <w:r>
        <w:rPr>
          <w:b/>
        </w:rPr>
        <w:t>PEPP</w:t>
      </w:r>
      <w:r>
        <w:t>, včetně informací</w:t>
      </w:r>
      <w:r w:rsidR="001B28B8">
        <w:t xml:space="preserve"> a </w:t>
      </w:r>
      <w:r>
        <w:t>poradenství, úlohy orgánu EIOPA</w:t>
      </w:r>
      <w:r w:rsidR="001B28B8">
        <w:t xml:space="preserve"> a </w:t>
      </w:r>
      <w:r>
        <w:t>přeshraničních převodů;</w:t>
      </w:r>
    </w:p>
    <w:p w14:paraId="7E118FD1" w14:textId="1F8362CB" w:rsidR="00790250" w:rsidRPr="002F7DE3" w:rsidRDefault="00790250" w:rsidP="008D7B21">
      <w:pPr>
        <w:pStyle w:val="Heading2"/>
        <w:numPr>
          <w:ilvl w:val="0"/>
          <w:numId w:val="3"/>
        </w:numPr>
        <w:spacing w:line="283" w:lineRule="auto"/>
        <w:ind w:left="567" w:hanging="567"/>
      </w:pPr>
      <w:r>
        <w:rPr>
          <w:b/>
        </w:rPr>
        <w:t>doporučuje</w:t>
      </w:r>
      <w:r>
        <w:t xml:space="preserve"> opatření</w:t>
      </w:r>
      <w:r w:rsidR="001B28B8">
        <w:t xml:space="preserve"> k </w:t>
      </w:r>
      <w:r>
        <w:t xml:space="preserve">dosažení lepší </w:t>
      </w:r>
      <w:r>
        <w:rPr>
          <w:b/>
        </w:rPr>
        <w:t>genderové rovnováhy</w:t>
      </w:r>
      <w:r w:rsidR="001B28B8">
        <w:t xml:space="preserve"> a k </w:t>
      </w:r>
      <w:r>
        <w:rPr>
          <w:b/>
        </w:rPr>
        <w:t>posílení důvěry veřejnosti</w:t>
      </w:r>
      <w:r w:rsidR="001B28B8">
        <w:t xml:space="preserve"> v </w:t>
      </w:r>
      <w:r>
        <w:t>penzijní produkty</w:t>
      </w:r>
      <w:r w:rsidR="001B28B8">
        <w:t xml:space="preserve"> a </w:t>
      </w:r>
      <w:r>
        <w:t xml:space="preserve">také to, aby </w:t>
      </w:r>
      <w:r>
        <w:rPr>
          <w:b/>
        </w:rPr>
        <w:t>PEPP zůstaly osobními produkty</w:t>
      </w:r>
      <w:r w:rsidR="001B28B8">
        <w:t xml:space="preserve"> a </w:t>
      </w:r>
      <w:r>
        <w:t>nebylo povoleno jejich společné nabývání;</w:t>
      </w:r>
    </w:p>
    <w:p w14:paraId="02C72F41" w14:textId="49B956FD" w:rsidR="00790250" w:rsidRDefault="00790250" w:rsidP="008D7B21">
      <w:pPr>
        <w:pStyle w:val="Heading2"/>
        <w:numPr>
          <w:ilvl w:val="0"/>
          <w:numId w:val="3"/>
        </w:numPr>
        <w:spacing w:line="283" w:lineRule="auto"/>
        <w:ind w:left="567" w:hanging="567"/>
      </w:pPr>
      <w:r>
        <w:rPr>
          <w:b/>
        </w:rPr>
        <w:t>naléhavě vyzývá</w:t>
      </w:r>
      <w:r>
        <w:t xml:space="preserve"> spolunormotvůrce, aby zvážili </w:t>
      </w:r>
      <w:r>
        <w:rPr>
          <w:b/>
        </w:rPr>
        <w:t>přeformulování zásady obezřetné osoby</w:t>
      </w:r>
      <w:r>
        <w:t xml:space="preserve"> uvedené ve směrnici IZPP</w:t>
      </w:r>
      <w:r w:rsidR="001B28B8">
        <w:t xml:space="preserve"> s </w:t>
      </w:r>
      <w:r>
        <w:t xml:space="preserve">cílem </w:t>
      </w:r>
      <w:r>
        <w:rPr>
          <w:b/>
        </w:rPr>
        <w:t>nalézt správnou rovnováhu</w:t>
      </w:r>
      <w:r>
        <w:t xml:space="preserve"> mezi investičním rizikem</w:t>
      </w:r>
      <w:r w:rsidR="001B28B8">
        <w:t xml:space="preserve"> a </w:t>
      </w:r>
      <w:r>
        <w:t>zárukou příspěvků do plánů;</w:t>
      </w:r>
    </w:p>
    <w:p w14:paraId="2E6C7A80" w14:textId="377D11D5" w:rsidR="00790250" w:rsidRPr="002F7DE3" w:rsidRDefault="00790250" w:rsidP="008D7B21">
      <w:pPr>
        <w:pStyle w:val="Heading2"/>
        <w:numPr>
          <w:ilvl w:val="0"/>
          <w:numId w:val="3"/>
        </w:numPr>
        <w:spacing w:line="283" w:lineRule="auto"/>
        <w:ind w:left="567" w:hanging="567"/>
      </w:pPr>
      <w:r>
        <w:rPr>
          <w:b/>
        </w:rPr>
        <w:t>doporučuje</w:t>
      </w:r>
      <w:r>
        <w:t xml:space="preserve">, aby </w:t>
      </w:r>
      <w:r>
        <w:rPr>
          <w:b/>
        </w:rPr>
        <w:t>automatické zařazení</w:t>
      </w:r>
      <w:r>
        <w:t xml:space="preserve"> bylo výsledkem posíleného </w:t>
      </w:r>
      <w:r>
        <w:rPr>
          <w:b/>
        </w:rPr>
        <w:t>sociálního dialogu</w:t>
      </w:r>
      <w:r w:rsidR="001B28B8">
        <w:t xml:space="preserve"> a </w:t>
      </w:r>
      <w:r>
        <w:t>případně kolektivního vyjednávání, což by umožnilo zachovat svobodu sociálních partnerů vyjednávat, navrhovat</w:t>
      </w:r>
      <w:r w:rsidR="001B28B8">
        <w:t xml:space="preserve"> a </w:t>
      </w:r>
      <w:r>
        <w:t>rozhodovat</w:t>
      </w:r>
      <w:r w:rsidR="001B28B8">
        <w:t xml:space="preserve"> o </w:t>
      </w:r>
      <w:r>
        <w:t>automatickém zařazení;</w:t>
      </w:r>
    </w:p>
    <w:p w14:paraId="12A44896" w14:textId="5C231A02" w:rsidR="00790250" w:rsidRPr="001604AB" w:rsidRDefault="00790250" w:rsidP="008D7B21">
      <w:pPr>
        <w:pStyle w:val="Heading2"/>
        <w:numPr>
          <w:ilvl w:val="0"/>
          <w:numId w:val="3"/>
        </w:numPr>
        <w:spacing w:line="283" w:lineRule="auto"/>
        <w:ind w:left="567" w:hanging="567"/>
      </w:pPr>
      <w:r>
        <w:rPr>
          <w:b/>
        </w:rPr>
        <w:t>doporučuje</w:t>
      </w:r>
      <w:r>
        <w:t xml:space="preserve">, aby Evropská komise zřídila </w:t>
      </w:r>
      <w:r>
        <w:rPr>
          <w:b/>
        </w:rPr>
        <w:t>monitorovací výbor</w:t>
      </w:r>
      <w:r>
        <w:t xml:space="preserve">, který by účinně </w:t>
      </w:r>
      <w:r>
        <w:rPr>
          <w:b/>
        </w:rPr>
        <w:t>sledoval pokrok</w:t>
      </w:r>
      <w:r w:rsidR="001B28B8">
        <w:rPr>
          <w:b/>
        </w:rPr>
        <w:t xml:space="preserve"> v </w:t>
      </w:r>
      <w:r>
        <w:rPr>
          <w:b/>
        </w:rPr>
        <w:t>oblasti doplňkových důchodů</w:t>
      </w:r>
      <w:r>
        <w:t>. Do tohoto monitorovacího výboru by měly být zapojeny veřejné orgány, sociální partneři</w:t>
      </w:r>
      <w:r w:rsidR="001B28B8">
        <w:t xml:space="preserve"> a </w:t>
      </w:r>
      <w:r>
        <w:t xml:space="preserve">organizace občanské společnosti. Jeho činnost by měla být </w:t>
      </w:r>
      <w:r>
        <w:rPr>
          <w:b/>
        </w:rPr>
        <w:t>podkladem</w:t>
      </w:r>
      <w:r>
        <w:t xml:space="preserve"> pro budoucí regulační změny</w:t>
      </w:r>
      <w:r w:rsidR="001B28B8">
        <w:t xml:space="preserve"> a </w:t>
      </w:r>
      <w:r>
        <w:t>měla by se promítnout do činnosti evropského semestru</w:t>
      </w:r>
      <w:r w:rsidR="001B28B8">
        <w:t xml:space="preserve"> a </w:t>
      </w:r>
      <w:r>
        <w:t>Rady;</w:t>
      </w:r>
    </w:p>
    <w:p w14:paraId="438162EE" w14:textId="78412B46" w:rsidR="00790250" w:rsidRDefault="00790250" w:rsidP="008D7B21">
      <w:pPr>
        <w:pStyle w:val="Heading2"/>
        <w:numPr>
          <w:ilvl w:val="0"/>
          <w:numId w:val="3"/>
        </w:numPr>
        <w:spacing w:line="283" w:lineRule="auto"/>
        <w:ind w:left="567" w:hanging="567"/>
      </w:pPr>
      <w:r>
        <w:rPr>
          <w:b/>
        </w:rPr>
        <w:t>doporučuje opatření</w:t>
      </w:r>
      <w:r>
        <w:t xml:space="preserve"> ke </w:t>
      </w:r>
      <w:r>
        <w:rPr>
          <w:b/>
        </w:rPr>
        <w:t>zmírnění</w:t>
      </w:r>
      <w:r>
        <w:t xml:space="preserve"> možných dopadů na </w:t>
      </w:r>
      <w:r>
        <w:rPr>
          <w:b/>
        </w:rPr>
        <w:t>udržitelnost</w:t>
      </w:r>
      <w:r>
        <w:t xml:space="preserve"> důchodů</w:t>
      </w:r>
      <w:r w:rsidR="001B28B8">
        <w:t xml:space="preserve"> a </w:t>
      </w:r>
      <w:r>
        <w:t xml:space="preserve">na </w:t>
      </w:r>
      <w:r>
        <w:rPr>
          <w:b/>
        </w:rPr>
        <w:t>chudobu</w:t>
      </w:r>
      <w:r w:rsidR="001B28B8">
        <w:t xml:space="preserve"> a </w:t>
      </w:r>
      <w:r>
        <w:rPr>
          <w:b/>
        </w:rPr>
        <w:t>nerovnost</w:t>
      </w:r>
      <w:r>
        <w:t>;</w:t>
      </w:r>
    </w:p>
    <w:p w14:paraId="03157B5C" w14:textId="4AC2C150" w:rsidR="00790250" w:rsidRDefault="00790250" w:rsidP="008D7B21">
      <w:pPr>
        <w:pStyle w:val="Heading2"/>
        <w:numPr>
          <w:ilvl w:val="0"/>
          <w:numId w:val="3"/>
        </w:numPr>
        <w:spacing w:line="283" w:lineRule="auto"/>
        <w:ind w:left="567" w:hanging="567"/>
      </w:pPr>
      <w:r w:rsidRPr="00790250">
        <w:rPr>
          <w:b/>
        </w:rPr>
        <w:t>doporučuje</w:t>
      </w:r>
      <w:r>
        <w:t xml:space="preserve"> dokončit činnost týkající se koordinace </w:t>
      </w:r>
      <w:r w:rsidRPr="00790250">
        <w:rPr>
          <w:b/>
        </w:rPr>
        <w:t>digitalizace evropských systémů sociálního zabezpečení</w:t>
      </w:r>
      <w:r>
        <w:t>;</w:t>
      </w:r>
    </w:p>
    <w:p w14:paraId="029BFBEF" w14:textId="34E75004" w:rsidR="00613302" w:rsidRDefault="00790250" w:rsidP="008D7B21">
      <w:pPr>
        <w:pStyle w:val="Heading2"/>
        <w:numPr>
          <w:ilvl w:val="0"/>
          <w:numId w:val="3"/>
        </w:numPr>
        <w:spacing w:line="283" w:lineRule="auto"/>
        <w:ind w:left="567" w:hanging="567"/>
      </w:pPr>
      <w:r w:rsidRPr="00790250">
        <w:rPr>
          <w:b/>
        </w:rPr>
        <w:t>poukazuje</w:t>
      </w:r>
      <w:r>
        <w:t xml:space="preserve"> na potřebu </w:t>
      </w:r>
      <w:r w:rsidRPr="00790250">
        <w:rPr>
          <w:b/>
        </w:rPr>
        <w:t>finančního vzdělávání</w:t>
      </w:r>
      <w:r>
        <w:t xml:space="preserve"> pomocí uživatelsky vstřícných </w:t>
      </w:r>
      <w:r w:rsidRPr="00790250">
        <w:rPr>
          <w:b/>
        </w:rPr>
        <w:t>monitorovacích nástrojů</w:t>
      </w:r>
      <w:r w:rsidR="001B28B8">
        <w:t xml:space="preserve"> a </w:t>
      </w:r>
      <w:r>
        <w:t>přístupu</w:t>
      </w:r>
      <w:r w:rsidR="001B28B8">
        <w:t xml:space="preserve"> k </w:t>
      </w:r>
      <w:r w:rsidRPr="00790250">
        <w:rPr>
          <w:b/>
        </w:rPr>
        <w:t>pokynům</w:t>
      </w:r>
      <w:r w:rsidR="001B28B8">
        <w:rPr>
          <w:b/>
        </w:rPr>
        <w:t xml:space="preserve"> a </w:t>
      </w:r>
      <w:r w:rsidRPr="00790250">
        <w:rPr>
          <w:b/>
        </w:rPr>
        <w:t>poradenství</w:t>
      </w:r>
      <w:r>
        <w:t xml:space="preserve"> za účelem přijímání rozhodnutí.</w:t>
      </w:r>
    </w:p>
    <w:p w14:paraId="7BF18923" w14:textId="77777777" w:rsidR="00790250" w:rsidRPr="00790250" w:rsidRDefault="00790250" w:rsidP="00790250"/>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905"/>
      </w:tblGrid>
      <w:tr w:rsidR="00F37962" w:rsidRPr="009360D7" w14:paraId="2F150675" w14:textId="77777777" w:rsidTr="00FB4D8E">
        <w:tc>
          <w:tcPr>
            <w:tcW w:w="745" w:type="pct"/>
          </w:tcPr>
          <w:p w14:paraId="0E22D454" w14:textId="77777777" w:rsidR="00F37962" w:rsidRPr="009360D7" w:rsidRDefault="00F37962" w:rsidP="001B28B8">
            <w:pPr>
              <w:keepNext/>
              <w:keepLines/>
              <w:overflowPunct w:val="0"/>
              <w:autoSpaceDE w:val="0"/>
              <w:autoSpaceDN w:val="0"/>
              <w:adjustRightInd w:val="0"/>
              <w:textAlignment w:val="baseline"/>
              <w:rPr>
                <w:i/>
              </w:rPr>
            </w:pPr>
            <w:r>
              <w:rPr>
                <w:b/>
                <w:i/>
              </w:rPr>
              <w:lastRenderedPageBreak/>
              <w:t>Kontakt:</w:t>
            </w:r>
          </w:p>
        </w:tc>
        <w:tc>
          <w:tcPr>
            <w:tcW w:w="4255" w:type="pct"/>
          </w:tcPr>
          <w:p w14:paraId="69384752" w14:textId="77777777" w:rsidR="00F37962" w:rsidRPr="009360D7" w:rsidRDefault="00F37962" w:rsidP="001B28B8">
            <w:pPr>
              <w:keepNext/>
              <w:keepLines/>
              <w:overflowPunct w:val="0"/>
              <w:autoSpaceDE w:val="0"/>
              <w:autoSpaceDN w:val="0"/>
              <w:adjustRightInd w:val="0"/>
              <w:textAlignment w:val="baseline"/>
              <w:rPr>
                <w:i/>
              </w:rPr>
            </w:pPr>
            <w:r>
              <w:rPr>
                <w:i/>
              </w:rPr>
              <w:t>Sergio Lorencio Matallana</w:t>
            </w:r>
          </w:p>
        </w:tc>
      </w:tr>
      <w:tr w:rsidR="00F37962" w:rsidRPr="009360D7" w14:paraId="6F824D39" w14:textId="77777777" w:rsidTr="00FB4D8E">
        <w:tc>
          <w:tcPr>
            <w:tcW w:w="745" w:type="pct"/>
          </w:tcPr>
          <w:p w14:paraId="54A57F09" w14:textId="77777777" w:rsidR="00F37962" w:rsidRPr="009360D7" w:rsidRDefault="00F37962" w:rsidP="002E7EFB">
            <w:pPr>
              <w:overflowPunct w:val="0"/>
              <w:autoSpaceDE w:val="0"/>
              <w:autoSpaceDN w:val="0"/>
              <w:adjustRightInd w:val="0"/>
              <w:textAlignment w:val="baseline"/>
              <w:rPr>
                <w:i/>
              </w:rPr>
            </w:pPr>
            <w:r>
              <w:rPr>
                <w:i/>
              </w:rPr>
              <w:t>Tel.</w:t>
            </w:r>
          </w:p>
        </w:tc>
        <w:tc>
          <w:tcPr>
            <w:tcW w:w="4255"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FB4D8E">
        <w:tc>
          <w:tcPr>
            <w:tcW w:w="745" w:type="pct"/>
          </w:tcPr>
          <w:p w14:paraId="74D96EA0" w14:textId="77777777" w:rsidR="00F37962" w:rsidRPr="009360D7" w:rsidRDefault="00F37962" w:rsidP="002E7EFB">
            <w:pPr>
              <w:overflowPunct w:val="0"/>
              <w:autoSpaceDE w:val="0"/>
              <w:autoSpaceDN w:val="0"/>
              <w:adjustRightInd w:val="0"/>
              <w:textAlignment w:val="baseline"/>
              <w:rPr>
                <w:i/>
              </w:rPr>
            </w:pPr>
            <w:r>
              <w:rPr>
                <w:i/>
              </w:rPr>
              <w:t>E-mail:</w:t>
            </w:r>
          </w:p>
        </w:tc>
        <w:tc>
          <w:tcPr>
            <w:tcW w:w="4255" w:type="pct"/>
          </w:tcPr>
          <w:p w14:paraId="5475F81E" w14:textId="77777777" w:rsidR="00F37962" w:rsidRPr="009360D7" w:rsidRDefault="00123016" w:rsidP="002E7EFB">
            <w:pPr>
              <w:overflowPunct w:val="0"/>
              <w:autoSpaceDE w:val="0"/>
              <w:autoSpaceDN w:val="0"/>
              <w:adjustRightInd w:val="0"/>
              <w:textAlignment w:val="baseline"/>
              <w:rPr>
                <w:i/>
              </w:rPr>
            </w:pPr>
            <w:hyperlink r:id="rId19" w:history="1">
              <w:r w:rsidR="00E60ACE">
                <w:rPr>
                  <w:i/>
                  <w:color w:val="0000FF"/>
                  <w:u w:val="single"/>
                </w:rPr>
                <w:t>Sergio.LorencioMatallana@eesc.europa.eu</w:t>
              </w:r>
            </w:hyperlink>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9" w14:textId="06AFDB78" w:rsidR="004D7AC0" w:rsidRDefault="004D7AC0" w:rsidP="00C82D5A">
      <w:pPr>
        <w:pStyle w:val="Heading1"/>
      </w:pPr>
      <w:bookmarkStart w:id="2" w:name="_Toc75527081"/>
      <w:bookmarkStart w:id="3" w:name="_Toc229140654"/>
      <w:bookmarkStart w:id="4" w:name="_Toc229143562"/>
      <w:r>
        <w:lastRenderedPageBreak/>
        <w:t>ZAMĚSTNANOST, SOCIÁLNÍ VĚCI, OBČANSTVÍ</w:t>
      </w:r>
      <w:bookmarkEnd w:id="2"/>
      <w:bookmarkEnd w:id="3"/>
      <w:bookmarkEnd w:id="4"/>
    </w:p>
    <w:p w14:paraId="4982DD9A" w14:textId="77777777" w:rsidR="004D7AC0" w:rsidRDefault="004D7AC0" w:rsidP="00C82D5A"/>
    <w:p w14:paraId="0FBA9E33" w14:textId="45FA6F0C" w:rsidR="00943240" w:rsidRPr="00C82D5A" w:rsidRDefault="00123016" w:rsidP="00C82D5A">
      <w:pPr>
        <w:widowControl w:val="0"/>
        <w:numPr>
          <w:ilvl w:val="0"/>
          <w:numId w:val="4"/>
        </w:numPr>
        <w:overflowPunct w:val="0"/>
        <w:autoSpaceDE w:val="0"/>
        <w:autoSpaceDN w:val="0"/>
        <w:adjustRightInd w:val="0"/>
        <w:ind w:left="567" w:hanging="567"/>
        <w:textAlignment w:val="baseline"/>
        <w:rPr>
          <w:b/>
          <w:bCs/>
          <w:i/>
          <w:iCs/>
          <w:sz w:val="28"/>
          <w:szCs w:val="28"/>
        </w:rPr>
      </w:pPr>
      <w:hyperlink r:id="rId20" w:history="1">
        <w:r w:rsidR="00943240" w:rsidRPr="00C82D5A">
          <w:rPr>
            <w:rStyle w:val="Hyperlink"/>
            <w:b/>
            <w:bCs/>
            <w:i/>
            <w:iCs/>
            <w:sz w:val="28"/>
            <w:szCs w:val="28"/>
          </w:rPr>
          <w:t>Zákaz konverzních praktik</w:t>
        </w:r>
        <w:r w:rsidR="001B28B8" w:rsidRPr="00C82D5A">
          <w:rPr>
            <w:rStyle w:val="Hyperlink"/>
            <w:b/>
            <w:bCs/>
            <w:i/>
            <w:iCs/>
            <w:sz w:val="28"/>
            <w:szCs w:val="28"/>
          </w:rPr>
          <w:t xml:space="preserve"> v </w:t>
        </w:r>
        <w:r w:rsidR="00943240" w:rsidRPr="00C82D5A">
          <w:rPr>
            <w:rStyle w:val="Hyperlink"/>
            <w:b/>
            <w:bCs/>
            <w:i/>
            <w:iCs/>
            <w:sz w:val="28"/>
            <w:szCs w:val="28"/>
          </w:rPr>
          <w:t>Evropské unii</w:t>
        </w:r>
      </w:hyperlink>
    </w:p>
    <w:p w14:paraId="0DD8BE16" w14:textId="77777777" w:rsidR="00537B03" w:rsidRPr="001B28B8" w:rsidRDefault="00537B03" w:rsidP="00943240">
      <w:pPr>
        <w:tabs>
          <w:tab w:val="center" w:pos="284"/>
        </w:tabs>
        <w:overflowPunct w:val="0"/>
        <w:autoSpaceDE w:val="0"/>
        <w:autoSpaceDN w:val="0"/>
        <w:adjustRightInd w:val="0"/>
        <w:ind w:left="567" w:hanging="567"/>
        <w:textAlignment w:val="baseline"/>
        <w:rPr>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Zpravodaj</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(Workers' Group - FR)</w:t>
            </w:r>
          </w:p>
        </w:tc>
      </w:tr>
      <w:tr w:rsidR="00943240" w:rsidRPr="00943240" w14:paraId="007125B5" w14:textId="77777777" w:rsidTr="002E7EFB">
        <w:tc>
          <w:tcPr>
            <w:tcW w:w="1701" w:type="dxa"/>
          </w:tcPr>
          <w:p w14:paraId="1D19C4E2" w14:textId="1AA7AB20"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Spoluzpravodaj</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r>
              <w:t>Ionuţ SIBIAN (Organizace občanské společnosti – RO)</w:t>
            </w:r>
          </w:p>
        </w:tc>
      </w:tr>
      <w:tr w:rsidR="00943240" w:rsidRPr="00943240" w14:paraId="2715214D" w14:textId="77777777" w:rsidTr="002E7EFB">
        <w:tc>
          <w:tcPr>
            <w:tcW w:w="1701" w:type="dxa"/>
          </w:tcPr>
          <w:p w14:paraId="0FC04702" w14:textId="77777777" w:rsidR="00943240" w:rsidRPr="001B28B8" w:rsidRDefault="00943240" w:rsidP="00943240">
            <w:pPr>
              <w:tabs>
                <w:tab w:val="center" w:pos="284"/>
              </w:tabs>
              <w:overflowPunct w:val="0"/>
              <w:autoSpaceDE w:val="0"/>
              <w:autoSpaceDN w:val="0"/>
              <w:adjustRightInd w:val="0"/>
              <w:ind w:left="567" w:hanging="567"/>
              <w:textAlignment w:val="baseline"/>
              <w:rPr>
                <w:b/>
                <w:sz w:val="14"/>
                <w:szCs w:val="14"/>
                <w:lang w:val="en-IE"/>
              </w:rPr>
            </w:pPr>
          </w:p>
        </w:tc>
        <w:tc>
          <w:tcPr>
            <w:tcW w:w="6237" w:type="dxa"/>
          </w:tcPr>
          <w:p w14:paraId="5E70C3D1" w14:textId="77777777" w:rsidR="00943240" w:rsidRPr="001B28B8" w:rsidRDefault="00943240" w:rsidP="00943240">
            <w:pPr>
              <w:overflowPunct w:val="0"/>
              <w:autoSpaceDE w:val="0"/>
              <w:autoSpaceDN w:val="0"/>
              <w:adjustRightInd w:val="0"/>
              <w:ind w:left="567" w:hanging="567"/>
              <w:textAlignment w:val="baseline"/>
              <w:rPr>
                <w:sz w:val="14"/>
                <w:szCs w:val="14"/>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Odkazy</w:t>
            </w:r>
          </w:p>
        </w:tc>
        <w:tc>
          <w:tcPr>
            <w:tcW w:w="6237" w:type="dxa"/>
          </w:tcPr>
          <w:p w14:paraId="75B16B24" w14:textId="332CC2F9" w:rsidR="00943240" w:rsidRPr="00943240" w:rsidRDefault="00943240" w:rsidP="00943240">
            <w:pPr>
              <w:tabs>
                <w:tab w:val="center" w:pos="284"/>
              </w:tabs>
              <w:overflowPunct w:val="0"/>
              <w:autoSpaceDE w:val="0"/>
              <w:autoSpaceDN w:val="0"/>
              <w:adjustRightInd w:val="0"/>
              <w:ind w:left="567" w:hanging="567"/>
              <w:textAlignment w:val="baseline"/>
            </w:pPr>
            <w:r>
              <w:t>stanovisko</w:t>
            </w:r>
            <w:r w:rsidR="001B28B8">
              <w:t xml:space="preserve"> z </w:t>
            </w:r>
            <w:r>
              <w:t>vlastní iniciativy</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1B28B8" w:rsidRDefault="00943240" w:rsidP="00943240">
            <w:pPr>
              <w:tabs>
                <w:tab w:val="center" w:pos="284"/>
              </w:tabs>
              <w:overflowPunct w:val="0"/>
              <w:autoSpaceDE w:val="0"/>
              <w:autoSpaceDN w:val="0"/>
              <w:adjustRightInd w:val="0"/>
              <w:ind w:left="266" w:hanging="266"/>
              <w:textAlignment w:val="baseline"/>
              <w:rPr>
                <w:sz w:val="22"/>
                <w:szCs w:val="22"/>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Hlavní body</w:t>
      </w:r>
    </w:p>
    <w:p w14:paraId="367A8012" w14:textId="77777777" w:rsidR="00943240" w:rsidRPr="00943240" w:rsidRDefault="00943240" w:rsidP="00943240">
      <w:pPr>
        <w:spacing w:before="100" w:beforeAutospacing="1" w:after="100" w:afterAutospacing="1" w:line="240" w:lineRule="auto"/>
        <w:jc w:val="left"/>
        <w:rPr>
          <w:b/>
          <w:bCs/>
        </w:rPr>
      </w:pPr>
      <w:r>
        <w:t>EHSV:</w:t>
      </w:r>
    </w:p>
    <w:p w14:paraId="51B543CF" w14:textId="4B4718AA" w:rsidR="00790250" w:rsidRPr="00F81EBB" w:rsidRDefault="00790250" w:rsidP="008D7B21">
      <w:pPr>
        <w:pStyle w:val="Heading2"/>
        <w:numPr>
          <w:ilvl w:val="0"/>
          <w:numId w:val="27"/>
        </w:numPr>
        <w:ind w:left="567" w:hanging="567"/>
      </w:pPr>
      <w:r>
        <w:t>důrazně odsuzuje veškeré formy konverzních praktik, které mají</w:t>
      </w:r>
      <w:r w:rsidR="001B28B8">
        <w:t xml:space="preserve"> u </w:t>
      </w:r>
      <w:r>
        <w:t>lidí měnit, potlačovat nebo vymazat sexuální orientaci, genderovou identitu nebo její vyjádření,</w:t>
      </w:r>
      <w:r w:rsidR="001B28B8">
        <w:t xml:space="preserve"> a </w:t>
      </w:r>
      <w:r>
        <w:t>považuje je za porušení absolutního zákazu mučení</w:t>
      </w:r>
      <w:r w:rsidR="001B28B8">
        <w:t xml:space="preserve"> a </w:t>
      </w:r>
      <w:r>
        <w:t>nelidského či ponižujícího zacházení anebo trestu;</w:t>
      </w:r>
    </w:p>
    <w:p w14:paraId="31F74D44" w14:textId="688CF4FF" w:rsidR="00790250" w:rsidRPr="00F81EBB" w:rsidRDefault="00790250" w:rsidP="008D7B21">
      <w:pPr>
        <w:pStyle w:val="Heading2"/>
        <w:numPr>
          <w:ilvl w:val="0"/>
          <w:numId w:val="27"/>
        </w:numPr>
        <w:ind w:left="567" w:hanging="567"/>
      </w:pPr>
      <w:r>
        <w:t>připomíná, že diskriminace, násilí</w:t>
      </w:r>
      <w:r w:rsidR="001B28B8">
        <w:t xml:space="preserve"> a </w:t>
      </w:r>
      <w:r>
        <w:t>mučení namířené proti LGBTIQ+ osobám</w:t>
      </w:r>
      <w:r w:rsidR="001B28B8">
        <w:t xml:space="preserve"> v </w:t>
      </w:r>
      <w:r>
        <w:t>EU jsou</w:t>
      </w:r>
      <w:r w:rsidR="001B28B8">
        <w:t xml:space="preserve"> v </w:t>
      </w:r>
      <w:r>
        <w:t>rozporu se základními právy</w:t>
      </w:r>
      <w:r w:rsidR="001B28B8">
        <w:t xml:space="preserve"> a </w:t>
      </w:r>
      <w:r>
        <w:t>hodnotami EU;</w:t>
      </w:r>
    </w:p>
    <w:p w14:paraId="775C0736" w14:textId="64567B84" w:rsidR="00790250" w:rsidRPr="00F81EBB" w:rsidRDefault="00790250" w:rsidP="008D7B21">
      <w:pPr>
        <w:pStyle w:val="Heading2"/>
        <w:numPr>
          <w:ilvl w:val="0"/>
          <w:numId w:val="27"/>
        </w:numPr>
        <w:ind w:left="567" w:hanging="567"/>
      </w:pPr>
      <w:r>
        <w:t>naléhá na Evropskou komisi, aby předložila návrh právně závazného celounijního zákazu konverzních praktik, který by se vztahoval na jejich provozování</w:t>
      </w:r>
      <w:r w:rsidR="001B28B8">
        <w:t xml:space="preserve"> a </w:t>
      </w:r>
      <w:r>
        <w:t>propagování,</w:t>
      </w:r>
      <w:r w:rsidR="001B28B8">
        <w:t xml:space="preserve"> a </w:t>
      </w:r>
      <w:r>
        <w:t>aby zařadila konverzní praktiky mezi „trestné činy EU“</w:t>
      </w:r>
      <w:r w:rsidR="001B28B8">
        <w:t xml:space="preserve"> a </w:t>
      </w:r>
      <w:r>
        <w:t>uznala je za zločiny</w:t>
      </w:r>
      <w:r w:rsidR="001B28B8">
        <w:t xml:space="preserve"> z </w:t>
      </w:r>
      <w:r>
        <w:t>nenávisti, což bude zárukou stejné úrovně ochrany po celé EU;</w:t>
      </w:r>
    </w:p>
    <w:p w14:paraId="208D96D5" w14:textId="18B051A8" w:rsidR="00790250" w:rsidRPr="00F81EBB" w:rsidRDefault="00790250" w:rsidP="008D7B21">
      <w:pPr>
        <w:pStyle w:val="Heading2"/>
        <w:numPr>
          <w:ilvl w:val="0"/>
          <w:numId w:val="27"/>
        </w:numPr>
        <w:ind w:left="567" w:hanging="567"/>
      </w:pPr>
      <w:r>
        <w:t>naléhavě žádá, aby byl zákaz komplexní</w:t>
      </w:r>
      <w:r w:rsidR="001B28B8">
        <w:t xml:space="preserve"> a </w:t>
      </w:r>
      <w:r>
        <w:t>přesně definovaný, platil stejně pro děti</w:t>
      </w:r>
      <w:r w:rsidR="001B28B8">
        <w:t xml:space="preserve"> i </w:t>
      </w:r>
      <w:r>
        <w:t>dospělé, vztahoval se na všechny veřejné</w:t>
      </w:r>
      <w:r w:rsidR="001B28B8">
        <w:t xml:space="preserve"> i </w:t>
      </w:r>
      <w:r>
        <w:t>soukromé subjekty (profesní</w:t>
      </w:r>
      <w:r w:rsidR="001B28B8">
        <w:t xml:space="preserve"> i </w:t>
      </w:r>
      <w:r>
        <w:t>neprofesní)</w:t>
      </w:r>
      <w:r w:rsidR="001B28B8">
        <w:t xml:space="preserve"> a </w:t>
      </w:r>
      <w:r>
        <w:t>zajišťoval, že osobám, které jim byly podrobeny, nebude ze zákazu nikdy plynout žádná trestní ani občanská odpovědnost;</w:t>
      </w:r>
    </w:p>
    <w:p w14:paraId="72E038BA" w14:textId="2DA98FA4" w:rsidR="00790250" w:rsidRPr="00F81EBB" w:rsidRDefault="00790250" w:rsidP="008D7B21">
      <w:pPr>
        <w:pStyle w:val="Heading2"/>
        <w:numPr>
          <w:ilvl w:val="0"/>
          <w:numId w:val="27"/>
        </w:numPr>
        <w:ind w:left="567" w:hanging="567"/>
      </w:pPr>
      <w:r>
        <w:t>požaduje, aby součástí zákazu byly účinné, přiměřené</w:t>
      </w:r>
      <w:r w:rsidR="001B28B8">
        <w:t xml:space="preserve"> a </w:t>
      </w:r>
      <w:r>
        <w:t>odrazující tresty odrážející závažnost újmy způsobené konverzními praktikami;</w:t>
      </w:r>
    </w:p>
    <w:p w14:paraId="57A68ED2" w14:textId="68C81AD0" w:rsidR="00790250" w:rsidRPr="00790250" w:rsidRDefault="00790250" w:rsidP="008D7B21">
      <w:pPr>
        <w:pStyle w:val="Heading2"/>
        <w:numPr>
          <w:ilvl w:val="0"/>
          <w:numId w:val="27"/>
        </w:numPr>
        <w:ind w:left="567" w:hanging="567"/>
      </w:pPr>
      <w:r>
        <w:t>požaduje, aby byl zákaz výslovně řešil</w:t>
      </w:r>
      <w:r w:rsidR="001B28B8">
        <w:t xml:space="preserve"> i </w:t>
      </w:r>
      <w:r>
        <w:t>pohlavní znaky</w:t>
      </w:r>
      <w:r w:rsidR="001B28B8">
        <w:t xml:space="preserve"> s </w:t>
      </w:r>
      <w:r>
        <w:t>cílem chránit intersexuální osoby před neterapeutickými</w:t>
      </w:r>
      <w:r w:rsidR="001B28B8">
        <w:t xml:space="preserve"> a </w:t>
      </w:r>
      <w:r>
        <w:t>nekonsensuálními zákroky, jelikož vynucují binární genderovou identifikaci;</w:t>
      </w:r>
    </w:p>
    <w:p w14:paraId="0B408DE2" w14:textId="5E6B3403" w:rsidR="00943240" w:rsidRDefault="00790250" w:rsidP="008D7B21">
      <w:pPr>
        <w:pStyle w:val="Heading2"/>
        <w:numPr>
          <w:ilvl w:val="0"/>
          <w:numId w:val="27"/>
        </w:numPr>
        <w:ind w:left="567" w:hanging="567"/>
      </w:pPr>
      <w:r>
        <w:t>doporučuje přijmout účinná prováděcí opatření</w:t>
      </w:r>
      <w:r w:rsidR="001B28B8">
        <w:t xml:space="preserve"> v </w:t>
      </w:r>
      <w:r>
        <w:t>rámci Strategie pro rovnost LGBTIQ+ osob na období 2026–203</w:t>
      </w:r>
      <w:r w:rsidR="001B28B8">
        <w:t>0. </w:t>
      </w:r>
      <w:r>
        <w:t>Mezi ně by mělo patřit každoroční monitorování prováděné ve spolupráci</w:t>
      </w:r>
      <w:r w:rsidR="001B28B8">
        <w:t xml:space="preserve"> s </w:t>
      </w:r>
      <w:r>
        <w:t>organizovanou občanskou společností, účelové financování odborného vzdělávání</w:t>
      </w:r>
      <w:r w:rsidR="001B28B8">
        <w:t xml:space="preserve"> a </w:t>
      </w:r>
      <w:r>
        <w:t>organizací zabývajících se rovností</w:t>
      </w:r>
      <w:r w:rsidR="001B28B8">
        <w:t xml:space="preserve"> a </w:t>
      </w:r>
      <w:r>
        <w:t>iniciativy</w:t>
      </w:r>
      <w:r w:rsidR="001B28B8">
        <w:t xml:space="preserve"> v </w:t>
      </w:r>
      <w:r>
        <w:t>oblasti vzdělávání</w:t>
      </w:r>
      <w:r w:rsidR="001B28B8">
        <w:t xml:space="preserve"> a </w:t>
      </w:r>
      <w:r>
        <w:t>zvyšování povědomí veřejnosti podporované EU, které jsou nezbytné pro odhalování</w:t>
      </w:r>
      <w:r w:rsidR="001B28B8">
        <w:t xml:space="preserve"> a </w:t>
      </w:r>
      <w:r>
        <w:t>vymýcení těchto praktik.</w:t>
      </w:r>
    </w:p>
    <w:p w14:paraId="307B4F4E" w14:textId="77777777" w:rsidR="00790250" w:rsidRPr="00790250" w:rsidRDefault="00790250" w:rsidP="00790250"/>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Kontakt:</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E-mail:</w:t>
            </w:r>
          </w:p>
        </w:tc>
        <w:tc>
          <w:tcPr>
            <w:tcW w:w="4493" w:type="dxa"/>
          </w:tcPr>
          <w:p w14:paraId="05B7586B" w14:textId="0FF94C49" w:rsidR="00943240" w:rsidRPr="001B28B8" w:rsidRDefault="00123016" w:rsidP="00943240">
            <w:pPr>
              <w:overflowPunct w:val="0"/>
              <w:autoSpaceDE w:val="0"/>
              <w:autoSpaceDN w:val="0"/>
              <w:adjustRightInd w:val="0"/>
              <w:spacing w:line="240" w:lineRule="auto"/>
              <w:textAlignment w:val="baseline"/>
              <w:rPr>
                <w:i/>
                <w:iCs/>
              </w:rPr>
            </w:pPr>
            <w:hyperlink r:id="rId21" w:history="1">
              <w:r w:rsidR="00E60ACE">
                <w:rPr>
                  <w:i/>
                  <w:color w:val="0000FF"/>
                  <w:u w:val="single"/>
                </w:rPr>
                <w:t>Bartek.Bednarowicz@eesc.europa.eu</w:t>
              </w:r>
            </w:hyperlink>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36F503E5" w:rsidR="00354B98" w:rsidRPr="00C82D5A" w:rsidRDefault="00123016" w:rsidP="008D7B21">
      <w:pPr>
        <w:widowControl w:val="0"/>
        <w:numPr>
          <w:ilvl w:val="0"/>
          <w:numId w:val="5"/>
        </w:numPr>
        <w:overflowPunct w:val="0"/>
        <w:autoSpaceDE w:val="0"/>
        <w:autoSpaceDN w:val="0"/>
        <w:adjustRightInd w:val="0"/>
        <w:spacing w:after="200" w:line="276" w:lineRule="auto"/>
        <w:ind w:left="567" w:hanging="567"/>
        <w:contextualSpacing/>
        <w:jc w:val="left"/>
        <w:textAlignment w:val="baseline"/>
        <w:rPr>
          <w:b/>
          <w:bCs/>
          <w:i/>
          <w:iCs/>
          <w:sz w:val="28"/>
          <w:szCs w:val="28"/>
        </w:rPr>
      </w:pPr>
      <w:hyperlink r:id="rId22" w:history="1">
        <w:r w:rsidR="00E60ACE" w:rsidRPr="00C82D5A">
          <w:rPr>
            <w:rStyle w:val="Hyperlink"/>
            <w:b/>
            <w:bCs/>
            <w:i/>
            <w:iCs/>
            <w:sz w:val="28"/>
            <w:szCs w:val="28"/>
          </w:rPr>
          <w:t>Unie rovnosti: Strategie pro rovnost LGBTIQ+ osob na období 2026–2030</w:t>
        </w:r>
      </w:hyperlink>
    </w:p>
    <w:p w14:paraId="0E47B1B5" w14:textId="2D9E1616" w:rsidR="00354B98" w:rsidRPr="004917CF" w:rsidRDefault="00354B98" w:rsidP="004C6742">
      <w:pPr>
        <w:widowControl w:val="0"/>
        <w:overflowPunct w:val="0"/>
        <w:autoSpaceDE w:val="0"/>
        <w:autoSpaceDN w:val="0"/>
        <w:adjustRightInd w:val="0"/>
        <w:jc w:val="left"/>
        <w:textAlignment w:val="baseline"/>
        <w:rPr>
          <w:b/>
          <w:bCs/>
          <w:i/>
          <w:iCs/>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230BE0CE"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Zpravodaj</w:t>
            </w:r>
            <w:r w:rsidR="00790250">
              <w:rPr>
                <w:b/>
              </w:rPr>
              <w:t>ka</w:t>
            </w:r>
            <w:r>
              <w:rPr>
                <w:b/>
              </w:rPr>
              <w:t>:</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(Organizace občanské společnosti – DK)</w:t>
            </w: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Odkazy: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COM(2025)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Hlavní body</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EHSV:</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29564C7B" w14:textId="79FEB0B6" w:rsidR="00790250" w:rsidRPr="00C21C6F" w:rsidRDefault="00790250" w:rsidP="008D7B21">
      <w:pPr>
        <w:widowControl w:val="0"/>
        <w:numPr>
          <w:ilvl w:val="0"/>
          <w:numId w:val="14"/>
        </w:numPr>
        <w:overflowPunct w:val="0"/>
        <w:autoSpaceDE w:val="0"/>
        <w:autoSpaceDN w:val="0"/>
        <w:adjustRightInd w:val="0"/>
        <w:ind w:left="567" w:hanging="567"/>
        <w:textAlignment w:val="baseline"/>
      </w:pPr>
      <w:r>
        <w:t>vítá novou Strategii pro rovnost LGBTIQ+ osob na období 2026–2030, nicméně požaduje podniknout důraznější kroky, neboť přetrvávající diskriminace, násilí, obtěžování</w:t>
      </w:r>
      <w:r w:rsidR="001B28B8">
        <w:t xml:space="preserve"> a </w:t>
      </w:r>
      <w:r>
        <w:t>vyloučení, které se týká zejména trans, nebinárních</w:t>
      </w:r>
      <w:r w:rsidR="001B28B8">
        <w:t xml:space="preserve"> a </w:t>
      </w:r>
      <w:r>
        <w:t xml:space="preserve">intersexuálních osob, vyžaduje důraznější politická opatření; </w:t>
      </w:r>
    </w:p>
    <w:p w14:paraId="6EC0C739" w14:textId="31A74A70" w:rsidR="00790250" w:rsidRPr="00C21C6F" w:rsidRDefault="00790250" w:rsidP="008D7B21">
      <w:pPr>
        <w:widowControl w:val="0"/>
        <w:numPr>
          <w:ilvl w:val="0"/>
          <w:numId w:val="14"/>
        </w:numPr>
        <w:overflowPunct w:val="0"/>
        <w:autoSpaceDE w:val="0"/>
        <w:autoSpaceDN w:val="0"/>
        <w:adjustRightInd w:val="0"/>
        <w:ind w:left="567" w:hanging="567"/>
        <w:textAlignment w:val="baseline"/>
      </w:pPr>
      <w:r>
        <w:t>požaduje důslednější prosazování</w:t>
      </w:r>
      <w:r w:rsidR="001B28B8">
        <w:t xml:space="preserve"> a </w:t>
      </w:r>
      <w:r>
        <w:t>odpovědnost prostřednictvím závazných kritérií, systematických řízení</w:t>
      </w:r>
      <w:r w:rsidR="001B28B8">
        <w:t xml:space="preserve"> o </w:t>
      </w:r>
      <w:r>
        <w:t>nesplnění povinnosti, podmínky právního státu</w:t>
      </w:r>
      <w:r w:rsidR="001B28B8">
        <w:t xml:space="preserve"> a </w:t>
      </w:r>
      <w:r>
        <w:t xml:space="preserve">provádění národních strategií pro rovnost LGBTIQ+ osob; </w:t>
      </w:r>
    </w:p>
    <w:p w14:paraId="74A7CCEA" w14:textId="6E729DA3" w:rsidR="00790250" w:rsidRPr="00C21C6F" w:rsidRDefault="00790250" w:rsidP="008D7B21">
      <w:pPr>
        <w:widowControl w:val="0"/>
        <w:numPr>
          <w:ilvl w:val="0"/>
          <w:numId w:val="14"/>
        </w:numPr>
        <w:overflowPunct w:val="0"/>
        <w:autoSpaceDE w:val="0"/>
        <w:autoSpaceDN w:val="0"/>
        <w:adjustRightInd w:val="0"/>
        <w:ind w:left="567" w:hanging="567"/>
        <w:textAlignment w:val="baseline"/>
      </w:pPr>
      <w:r>
        <w:t>vyzývá</w:t>
      </w:r>
      <w:r w:rsidR="001B28B8">
        <w:t xml:space="preserve"> k </w:t>
      </w:r>
      <w:r>
        <w:t>přijetí rozhodných opatření na ochranu základních práv</w:t>
      </w:r>
      <w:r w:rsidR="001B28B8">
        <w:t xml:space="preserve"> a </w:t>
      </w:r>
      <w:r>
        <w:t>občanského prostoru prostřednictvím reakce na odmítavý postoj, dezinformace</w:t>
      </w:r>
      <w:r w:rsidR="001B28B8">
        <w:t xml:space="preserve"> a </w:t>
      </w:r>
      <w:r>
        <w:t>nenávistné verbální projevy</w:t>
      </w:r>
      <w:r w:rsidR="001B28B8">
        <w:t xml:space="preserve"> a </w:t>
      </w:r>
      <w:r>
        <w:t xml:space="preserve">zaručením trvalé podpory pro občanskou společnost; </w:t>
      </w:r>
    </w:p>
    <w:p w14:paraId="646D2CE9" w14:textId="6FD02F5A" w:rsidR="00790250" w:rsidRDefault="00790250" w:rsidP="008D7B21">
      <w:pPr>
        <w:widowControl w:val="0"/>
        <w:numPr>
          <w:ilvl w:val="0"/>
          <w:numId w:val="14"/>
        </w:numPr>
        <w:overflowPunct w:val="0"/>
        <w:autoSpaceDE w:val="0"/>
        <w:autoSpaceDN w:val="0"/>
        <w:adjustRightInd w:val="0"/>
        <w:ind w:left="567" w:hanging="567"/>
        <w:textAlignment w:val="baseline"/>
      </w:pPr>
      <w:r>
        <w:t>požaduje plnou rovnost</w:t>
      </w:r>
      <w:r w:rsidR="001B28B8">
        <w:t xml:space="preserve"> v </w:t>
      </w:r>
      <w:r>
        <w:t>každodenním životě díky zajištění rovného přístupu ke zdravotní péči, vzdělání</w:t>
      </w:r>
      <w:r w:rsidR="001B28B8">
        <w:t xml:space="preserve"> a </w:t>
      </w:r>
      <w:r>
        <w:t>práci</w:t>
      </w:r>
      <w:r w:rsidR="001B28B8">
        <w:t xml:space="preserve"> a </w:t>
      </w:r>
      <w:r>
        <w:t>posílení začleňování na pracovišti;</w:t>
      </w:r>
    </w:p>
    <w:p w14:paraId="4B60C2E2" w14:textId="3467A47F" w:rsidR="00790250" w:rsidRPr="00C21C6F" w:rsidRDefault="00790250" w:rsidP="008D7B21">
      <w:pPr>
        <w:widowControl w:val="0"/>
        <w:numPr>
          <w:ilvl w:val="0"/>
          <w:numId w:val="14"/>
        </w:numPr>
        <w:overflowPunct w:val="0"/>
        <w:autoSpaceDE w:val="0"/>
        <w:autoSpaceDN w:val="0"/>
        <w:adjustRightInd w:val="0"/>
        <w:ind w:left="567" w:hanging="567"/>
        <w:textAlignment w:val="baseline"/>
      </w:pPr>
      <w:r>
        <w:t>naléhá na Evropskou komisi, aby předložila návrh právně závazného celounijního zákazu konverzních praktik, který by se vztahoval na jejich provozování</w:t>
      </w:r>
      <w:r w:rsidR="001B28B8">
        <w:t xml:space="preserve"> a </w:t>
      </w:r>
      <w:r>
        <w:t>propagování,</w:t>
      </w:r>
      <w:r w:rsidR="001B28B8">
        <w:t xml:space="preserve"> a </w:t>
      </w:r>
      <w:r>
        <w:t>aby zařadila konverzní praktiky mezi „trestné činy EU“</w:t>
      </w:r>
      <w:r w:rsidR="001B28B8">
        <w:t xml:space="preserve"> a </w:t>
      </w:r>
      <w:r>
        <w:t>uznala je za zločiny</w:t>
      </w:r>
      <w:r w:rsidR="001B28B8">
        <w:t xml:space="preserve"> z </w:t>
      </w:r>
      <w:r>
        <w:t>nenávisti, což bude zárukou stejné úrovně ochrany po celé EU;</w:t>
      </w:r>
    </w:p>
    <w:p w14:paraId="5A212294" w14:textId="3431058F" w:rsidR="00790250" w:rsidRPr="00C21C6F" w:rsidRDefault="00790250" w:rsidP="008D7B21">
      <w:pPr>
        <w:widowControl w:val="0"/>
        <w:numPr>
          <w:ilvl w:val="0"/>
          <w:numId w:val="14"/>
        </w:numPr>
        <w:overflowPunct w:val="0"/>
        <w:autoSpaceDE w:val="0"/>
        <w:autoSpaceDN w:val="0"/>
        <w:adjustRightInd w:val="0"/>
        <w:ind w:left="567" w:hanging="567"/>
        <w:textAlignment w:val="baseline"/>
      </w:pPr>
      <w:r>
        <w:t>vyzývá</w:t>
      </w:r>
      <w:r w:rsidR="001B28B8">
        <w:t xml:space="preserve"> k </w:t>
      </w:r>
      <w:r>
        <w:t>řešení strukturálních nerovností prostřednictvím začlenění rovnosti LGBTIQ+ osob do politik sociálního začleňování, bydlení</w:t>
      </w:r>
      <w:r w:rsidR="001B28B8">
        <w:t xml:space="preserve"> a </w:t>
      </w:r>
      <w:r>
        <w:t>boje proti chudobě,</w:t>
      </w:r>
      <w:r w:rsidR="001B28B8">
        <w:t xml:space="preserve"> a </w:t>
      </w:r>
      <w:r>
        <w:t>to včetně cílené podpory pro osoby čelící diskriminaci</w:t>
      </w:r>
      <w:r w:rsidR="001B28B8">
        <w:t xml:space="preserve"> z </w:t>
      </w:r>
      <w:r>
        <w:t>důvodu příslušnosti ke dvěma či více skupinám;</w:t>
      </w:r>
    </w:p>
    <w:p w14:paraId="7CD0D179" w14:textId="70C5B7A5" w:rsidR="00354B98" w:rsidRPr="00354B98" w:rsidRDefault="00790250" w:rsidP="008D7B21">
      <w:pPr>
        <w:widowControl w:val="0"/>
        <w:numPr>
          <w:ilvl w:val="0"/>
          <w:numId w:val="14"/>
        </w:numPr>
        <w:overflowPunct w:val="0"/>
        <w:autoSpaceDE w:val="0"/>
        <w:autoSpaceDN w:val="0"/>
        <w:adjustRightInd w:val="0"/>
        <w:ind w:left="567" w:hanging="567"/>
        <w:textAlignment w:val="baseline"/>
        <w:rPr>
          <w:rFonts w:asciiTheme="minorHAnsi" w:hAnsiTheme="minorHAnsi"/>
          <w:szCs w:val="20"/>
        </w:rPr>
      </w:pPr>
      <w:r>
        <w:t>požaduje vytvoření rámců, které budou připraveny na budoucnost</w:t>
      </w:r>
      <w:r w:rsidR="001B28B8">
        <w:t xml:space="preserve"> a </w:t>
      </w:r>
      <w:r>
        <w:t>budou založeny na právech,</w:t>
      </w:r>
      <w:r w:rsidR="001B28B8">
        <w:t xml:space="preserve"> a </w:t>
      </w:r>
      <w:r>
        <w:t>to prostřednictvím odstranění právních mezer, zajištění uznání genderové identity na základě vlastního rozhodnutí, posílení přístupu ke spravedlnosti, zajištění dostatečného financování pro organizace občanské společnosti, zlepšení meziodvětvových údajů</w:t>
      </w:r>
      <w:r w:rsidR="001B28B8">
        <w:t xml:space="preserve"> a </w:t>
      </w:r>
      <w:r>
        <w:t>zajištění rovnosti</w:t>
      </w:r>
      <w:r w:rsidR="001B28B8">
        <w:t xml:space="preserve"> v </w:t>
      </w:r>
      <w:r>
        <w:t>oblasti digitálních technologií</w:t>
      </w:r>
      <w:r w:rsidR="001B28B8">
        <w:t xml:space="preserve"> a </w:t>
      </w:r>
      <w:r>
        <w:t>umělé inteligence.</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354B98" w14:paraId="3184797F" w14:textId="77777777" w:rsidTr="002E7EFB">
        <w:tc>
          <w:tcPr>
            <w:tcW w:w="1418" w:type="dxa"/>
          </w:tcPr>
          <w:p w14:paraId="2A28D240" w14:textId="6874227D" w:rsidR="00354B98" w:rsidRPr="00354B98" w:rsidRDefault="00354B98" w:rsidP="00354B98">
            <w:pPr>
              <w:overflowPunct w:val="0"/>
              <w:autoSpaceDE w:val="0"/>
              <w:autoSpaceDN w:val="0"/>
              <w:adjustRightInd w:val="0"/>
              <w:spacing w:line="240" w:lineRule="auto"/>
              <w:textAlignment w:val="baseline"/>
              <w:rPr>
                <w:i/>
              </w:rPr>
            </w:pPr>
            <w:r>
              <w:rPr>
                <w:b/>
                <w:i/>
              </w:rPr>
              <w:t>Kontakt:</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E-mail:</w:t>
            </w:r>
          </w:p>
        </w:tc>
        <w:tc>
          <w:tcPr>
            <w:tcW w:w="5670" w:type="dxa"/>
          </w:tcPr>
          <w:p w14:paraId="25F375C5" w14:textId="77777777" w:rsidR="00354B98" w:rsidRPr="00354B98" w:rsidRDefault="00123016" w:rsidP="00354B98">
            <w:pPr>
              <w:overflowPunct w:val="0"/>
              <w:autoSpaceDE w:val="0"/>
              <w:autoSpaceDN w:val="0"/>
              <w:adjustRightInd w:val="0"/>
              <w:spacing w:line="240" w:lineRule="auto"/>
              <w:textAlignment w:val="baseline"/>
              <w:rPr>
                <w:i/>
                <w:iCs/>
              </w:rPr>
            </w:pPr>
            <w:hyperlink r:id="rId23" w:history="1">
              <w:r w:rsidR="00E60ACE">
                <w:rPr>
                  <w:i/>
                  <w:color w:val="0000FF"/>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969D8E8" w:rsidR="005D43B9" w:rsidRPr="00C82D5A" w:rsidRDefault="00123016" w:rsidP="008D7B21">
      <w:pPr>
        <w:widowControl w:val="0"/>
        <w:numPr>
          <w:ilvl w:val="0"/>
          <w:numId w:val="4"/>
        </w:numPr>
        <w:overflowPunct w:val="0"/>
        <w:autoSpaceDE w:val="0"/>
        <w:autoSpaceDN w:val="0"/>
        <w:adjustRightInd w:val="0"/>
        <w:ind w:left="567" w:hanging="567"/>
        <w:textAlignment w:val="baseline"/>
        <w:rPr>
          <w:b/>
          <w:bCs/>
          <w:i/>
          <w:iCs/>
          <w:sz w:val="28"/>
          <w:szCs w:val="28"/>
        </w:rPr>
      </w:pPr>
      <w:hyperlink r:id="rId24" w:history="1">
        <w:r w:rsidR="00E60ACE" w:rsidRPr="00C82D5A">
          <w:rPr>
            <w:rStyle w:val="Hyperlink"/>
            <w:b/>
            <w:bCs/>
            <w:i/>
            <w:iCs/>
            <w:sz w:val="28"/>
            <w:szCs w:val="28"/>
          </w:rPr>
          <w:t>Konkurenceschopnost EU</w:t>
        </w:r>
        <w:r w:rsidR="001B28B8" w:rsidRPr="00C82D5A">
          <w:rPr>
            <w:rStyle w:val="Hyperlink"/>
            <w:b/>
            <w:bCs/>
            <w:i/>
            <w:iCs/>
            <w:sz w:val="28"/>
            <w:szCs w:val="28"/>
          </w:rPr>
          <w:t xml:space="preserve"> a </w:t>
        </w:r>
        <w:r w:rsidR="00E60ACE" w:rsidRPr="00C82D5A">
          <w:rPr>
            <w:rStyle w:val="Hyperlink"/>
            <w:b/>
            <w:bCs/>
            <w:i/>
            <w:iCs/>
            <w:sz w:val="28"/>
            <w:szCs w:val="28"/>
          </w:rPr>
          <w:t>podnikání mladých lidí</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Zpravodaj</w:t>
            </w:r>
          </w:p>
          <w:p w14:paraId="2658A4F3" w14:textId="77777777" w:rsidR="005D43B9" w:rsidRPr="004917CF" w:rsidRDefault="005D43B9" w:rsidP="005D43B9">
            <w:pPr>
              <w:tabs>
                <w:tab w:val="center" w:pos="284"/>
              </w:tabs>
              <w:overflowPunct w:val="0"/>
              <w:autoSpaceDE w:val="0"/>
              <w:autoSpaceDN w:val="0"/>
              <w:adjustRightInd w:val="0"/>
              <w:spacing w:line="240" w:lineRule="auto"/>
              <w:ind w:left="567" w:hanging="567"/>
              <w:textAlignment w:val="baseline"/>
              <w:rPr>
                <w:b/>
                <w:sz w:val="14"/>
                <w:szCs w:val="14"/>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(Organizace občanské společnosti –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Odkazy</w:t>
            </w:r>
          </w:p>
        </w:tc>
        <w:tc>
          <w:tcPr>
            <w:tcW w:w="6663"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(průzkumné stanovisko na žádost kyperského předsednictví Rady EU)</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4917CF" w:rsidRDefault="005D43B9" w:rsidP="005D43B9">
            <w:pPr>
              <w:tabs>
                <w:tab w:val="center" w:pos="284"/>
              </w:tabs>
              <w:overflowPunct w:val="0"/>
              <w:autoSpaceDE w:val="0"/>
              <w:autoSpaceDN w:val="0"/>
              <w:adjustRightInd w:val="0"/>
              <w:spacing w:line="240" w:lineRule="auto"/>
              <w:ind w:left="266" w:hanging="266"/>
              <w:textAlignment w:val="baseline"/>
              <w:rPr>
                <w:sz w:val="22"/>
                <w:szCs w:val="22"/>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Hlavní body</w:t>
      </w:r>
    </w:p>
    <w:p w14:paraId="79AD68CC" w14:textId="77777777" w:rsidR="005D43B9" w:rsidRPr="005D43B9" w:rsidRDefault="005D43B9" w:rsidP="005D43B9">
      <w:pPr>
        <w:spacing w:before="100" w:beforeAutospacing="1" w:after="100" w:afterAutospacing="1" w:line="240" w:lineRule="auto"/>
        <w:rPr>
          <w:sz w:val="24"/>
          <w:szCs w:val="24"/>
        </w:rPr>
      </w:pPr>
      <w:r>
        <w:rPr>
          <w:sz w:val="24"/>
        </w:rPr>
        <w:t>EHSV:</w:t>
      </w:r>
    </w:p>
    <w:p w14:paraId="186C7B5F" w14:textId="64E2B957" w:rsidR="00AF6230" w:rsidRDefault="00AF6230" w:rsidP="008D7B21">
      <w:pPr>
        <w:pStyle w:val="Heading2"/>
        <w:numPr>
          <w:ilvl w:val="0"/>
          <w:numId w:val="6"/>
        </w:numPr>
        <w:ind w:left="567" w:hanging="567"/>
      </w:pPr>
      <w:r>
        <w:t>požaduje komplexní</w:t>
      </w:r>
      <w:r w:rsidR="001B28B8">
        <w:t xml:space="preserve"> a </w:t>
      </w:r>
      <w:r>
        <w:t>koordinovanou strategii EU</w:t>
      </w:r>
      <w:r w:rsidR="001B28B8">
        <w:t xml:space="preserve"> a </w:t>
      </w:r>
      <w:r>
        <w:t>členských států, která zajistí, že mladí lidé budou mít přístup</w:t>
      </w:r>
      <w:r w:rsidR="001B28B8">
        <w:t xml:space="preserve"> k </w:t>
      </w:r>
      <w:r>
        <w:t>integrovanému balíčku dostupného financování, individualizovaných školení, mentorských služeb, koučování, programů podnikatelských inkubátorů</w:t>
      </w:r>
      <w:r w:rsidR="001B28B8">
        <w:t xml:space="preserve"> a </w:t>
      </w:r>
      <w:r>
        <w:t>stabilních místních sítí, aby se co nejvíce podpořilo zakládání nových podniků</w:t>
      </w:r>
      <w:r w:rsidR="001B28B8">
        <w:t xml:space="preserve"> a </w:t>
      </w:r>
      <w:r>
        <w:t>jejich udržitelnost;</w:t>
      </w:r>
    </w:p>
    <w:p w14:paraId="14C5A210" w14:textId="19B86C6F" w:rsidR="00AF6230" w:rsidRDefault="00AF6230" w:rsidP="008D7B21">
      <w:pPr>
        <w:pStyle w:val="Heading2"/>
        <w:numPr>
          <w:ilvl w:val="0"/>
          <w:numId w:val="6"/>
        </w:numPr>
        <w:ind w:left="567" w:hanging="567"/>
      </w:pPr>
      <w:r>
        <w:t>požaduje zásadní změnu</w:t>
      </w:r>
      <w:r w:rsidR="001B28B8">
        <w:t xml:space="preserve"> v </w:t>
      </w:r>
      <w:r>
        <w:t>přístupu</w:t>
      </w:r>
      <w:r w:rsidR="001B28B8">
        <w:t xml:space="preserve"> k </w:t>
      </w:r>
      <w:r>
        <w:t>financování prostřednictvím rozšíření finančních nástrojů přizpůsobených potřebám mladých lidí nad rámec tradičních bankovních úvěrů, včetně mikrofinancování, alternativního kapitálu</w:t>
      </w:r>
      <w:r w:rsidR="001B28B8">
        <w:t xml:space="preserve"> a </w:t>
      </w:r>
      <w:r>
        <w:t>cílené podpory podniků sociální ekonomiky</w:t>
      </w:r>
      <w:r w:rsidR="001B28B8">
        <w:t xml:space="preserve"> a </w:t>
      </w:r>
      <w:r>
        <w:t>dalších modelů zaměřených na dosahování dopadu;</w:t>
      </w:r>
    </w:p>
    <w:p w14:paraId="7CE6FC47" w14:textId="15AD534F" w:rsidR="00AF6230" w:rsidRDefault="00AF6230" w:rsidP="008D7B21">
      <w:pPr>
        <w:pStyle w:val="Heading2"/>
        <w:numPr>
          <w:ilvl w:val="0"/>
          <w:numId w:val="6"/>
        </w:numPr>
        <w:ind w:left="567" w:hanging="567"/>
      </w:pPr>
      <w:r>
        <w:t>vyzývá</w:t>
      </w:r>
      <w:r w:rsidR="001B28B8">
        <w:t xml:space="preserve"> k </w:t>
      </w:r>
      <w:r>
        <w:t>zásadnímu zjednodušení správních</w:t>
      </w:r>
      <w:r w:rsidR="001B28B8">
        <w:t xml:space="preserve"> a </w:t>
      </w:r>
      <w:r>
        <w:t>regulačních rámců na unijní, celostátní</w:t>
      </w:r>
      <w:r w:rsidR="001B28B8">
        <w:t xml:space="preserve"> a </w:t>
      </w:r>
      <w:r>
        <w:t>místní úrovni</w:t>
      </w:r>
      <w:r w:rsidR="001B28B8">
        <w:t xml:space="preserve"> s </w:t>
      </w:r>
      <w:r>
        <w:t>cílem omezit byrokracii, snížit náklady na dodržování předpisů</w:t>
      </w:r>
      <w:r w:rsidR="001B28B8">
        <w:t xml:space="preserve"> a </w:t>
      </w:r>
      <w:r>
        <w:t>vytvořit pro mladé podnikatele stabilní prostředí příznivé pro podnikání;</w:t>
      </w:r>
    </w:p>
    <w:p w14:paraId="44692009" w14:textId="0007BAD3" w:rsidR="00AF6230" w:rsidRDefault="00AF6230" w:rsidP="008D7B21">
      <w:pPr>
        <w:pStyle w:val="Heading2"/>
        <w:numPr>
          <w:ilvl w:val="0"/>
          <w:numId w:val="6"/>
        </w:numPr>
        <w:ind w:left="567" w:hanging="567"/>
      </w:pPr>
      <w:r>
        <w:t>doporučuje začlenit podnikatelskou průpravu, finanční gramotnost</w:t>
      </w:r>
      <w:r w:rsidR="001B28B8">
        <w:t xml:space="preserve"> a </w:t>
      </w:r>
      <w:r>
        <w:t>podnikatelské myšlení do všech systémů vzdělávání</w:t>
      </w:r>
      <w:r w:rsidR="001B28B8">
        <w:t xml:space="preserve"> a </w:t>
      </w:r>
      <w:r>
        <w:t>odborné přípravy, zejména do odborného</w:t>
      </w:r>
      <w:r w:rsidR="001B28B8">
        <w:t xml:space="preserve"> a </w:t>
      </w:r>
      <w:r>
        <w:t>duálního vzdělávání,</w:t>
      </w:r>
      <w:r w:rsidR="001B28B8">
        <w:t xml:space="preserve"> a </w:t>
      </w:r>
      <w:r>
        <w:t>zároveň posilovat digitální</w:t>
      </w:r>
      <w:r w:rsidR="001B28B8">
        <w:t xml:space="preserve"> a </w:t>
      </w:r>
      <w:r>
        <w:t>pokročilé dovednosti, včetně umělé inteligence,</w:t>
      </w:r>
      <w:r w:rsidR="001B28B8">
        <w:t xml:space="preserve"> s </w:t>
      </w:r>
      <w:r>
        <w:t>cílem připravit mladé lidi na budoucí trhy;</w:t>
      </w:r>
    </w:p>
    <w:p w14:paraId="0FFED702" w14:textId="0FA92CEE" w:rsidR="00AF6230" w:rsidRDefault="00AF6230" w:rsidP="008D7B21">
      <w:pPr>
        <w:pStyle w:val="Heading2"/>
        <w:numPr>
          <w:ilvl w:val="0"/>
          <w:numId w:val="6"/>
        </w:numPr>
        <w:ind w:left="567" w:hanging="567"/>
      </w:pPr>
      <w:r>
        <w:t>vyzývá</w:t>
      </w:r>
      <w:r w:rsidR="001B28B8">
        <w:t xml:space="preserve"> k </w:t>
      </w:r>
      <w:r>
        <w:t>posílení podpůrných systémů prostřednictvím mentorských služeb, sponzorství, budování sítí</w:t>
      </w:r>
      <w:r w:rsidR="001B28B8">
        <w:t xml:space="preserve"> a </w:t>
      </w:r>
      <w:r>
        <w:t>příležitostí</w:t>
      </w:r>
      <w:r w:rsidR="001B28B8">
        <w:t xml:space="preserve"> k </w:t>
      </w:r>
      <w:r>
        <w:t>internacionalizaci, včetně programů mobility</w:t>
      </w:r>
      <w:r w:rsidR="001B28B8">
        <w:t xml:space="preserve"> a </w:t>
      </w:r>
      <w:r>
        <w:t>přístupu</w:t>
      </w:r>
      <w:r w:rsidR="001B28B8">
        <w:t xml:space="preserve"> k </w:t>
      </w:r>
      <w:r>
        <w:t>přeshraničním trhům,</w:t>
      </w:r>
      <w:r w:rsidR="001B28B8">
        <w:t xml:space="preserve"> s </w:t>
      </w:r>
      <w:r>
        <w:t>cílem posílit inovace, škálovatelnost</w:t>
      </w:r>
      <w:r w:rsidR="001B28B8">
        <w:t xml:space="preserve"> a </w:t>
      </w:r>
      <w:r>
        <w:t>konkurenceschopnost;</w:t>
      </w:r>
    </w:p>
    <w:p w14:paraId="3E8B241F" w14:textId="41050896" w:rsidR="00AF6230" w:rsidRDefault="00AF6230" w:rsidP="008D7B21">
      <w:pPr>
        <w:pStyle w:val="Heading2"/>
        <w:numPr>
          <w:ilvl w:val="0"/>
          <w:numId w:val="6"/>
        </w:numPr>
        <w:ind w:left="567" w:hanging="567"/>
      </w:pPr>
      <w:r>
        <w:t>vyzývá</w:t>
      </w:r>
      <w:r w:rsidR="001B28B8">
        <w:t xml:space="preserve"> k </w:t>
      </w:r>
      <w:r>
        <w:t>zavedení inkluzivních</w:t>
      </w:r>
      <w:r w:rsidR="001B28B8">
        <w:t xml:space="preserve"> a </w:t>
      </w:r>
      <w:r>
        <w:t>udržitelných politik</w:t>
      </w:r>
      <w:r w:rsidR="001B28B8">
        <w:t xml:space="preserve"> v </w:t>
      </w:r>
      <w:r>
        <w:t>oblasti podnikání, které odstraní překážky pro nedostatečně zastoupené skupiny, budou podporovat kulturu „druhé šance“, zajistí odpovídající sociální ochranu</w:t>
      </w:r>
      <w:r w:rsidR="001B28B8">
        <w:t xml:space="preserve"> a </w:t>
      </w:r>
      <w:r>
        <w:t>etabluje podnikání mladých lidí jako dobrovolnou, avšak strategickou cestu</w:t>
      </w:r>
      <w:r w:rsidR="001B28B8">
        <w:t xml:space="preserve"> k </w:t>
      </w:r>
      <w:r>
        <w:t>odolným trhům práce</w:t>
      </w:r>
      <w:r w:rsidR="001B28B8">
        <w:t xml:space="preserve"> a </w:t>
      </w:r>
      <w:r>
        <w:t>dlouhodobé konkurenceschopnosti EU.</w:t>
      </w:r>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250"/>
      </w:tblGrid>
      <w:tr w:rsidR="005D43B9" w:rsidRPr="005D43B9" w14:paraId="3AEDDC10" w14:textId="77777777" w:rsidTr="00FB4D8E">
        <w:tc>
          <w:tcPr>
            <w:tcW w:w="1384" w:type="dxa"/>
          </w:tcPr>
          <w:p w14:paraId="0448BC47" w14:textId="77777777" w:rsidR="005D43B9" w:rsidRPr="00AF6230" w:rsidRDefault="005D43B9" w:rsidP="005D43B9">
            <w:pPr>
              <w:overflowPunct w:val="0"/>
              <w:autoSpaceDE w:val="0"/>
              <w:autoSpaceDN w:val="0"/>
              <w:adjustRightInd w:val="0"/>
              <w:textAlignment w:val="baseline"/>
              <w:rPr>
                <w:b/>
                <w:bCs/>
                <w:i/>
                <w:iCs/>
              </w:rPr>
            </w:pPr>
            <w:r w:rsidRPr="00AF6230">
              <w:rPr>
                <w:b/>
                <w:bCs/>
                <w:i/>
              </w:rPr>
              <w:t>Kontakt:</w:t>
            </w:r>
          </w:p>
        </w:tc>
        <w:tc>
          <w:tcPr>
            <w:tcW w:w="8250"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FB4D8E">
        <w:tc>
          <w:tcPr>
            <w:tcW w:w="1384"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w:t>
            </w:r>
          </w:p>
        </w:tc>
        <w:tc>
          <w:tcPr>
            <w:tcW w:w="8250"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FB4D8E">
        <w:tc>
          <w:tcPr>
            <w:tcW w:w="1384"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E-mail:</w:t>
            </w:r>
          </w:p>
        </w:tc>
        <w:tc>
          <w:tcPr>
            <w:tcW w:w="8250" w:type="dxa"/>
          </w:tcPr>
          <w:p w14:paraId="22B77F87" w14:textId="77777777" w:rsidR="005D43B9" w:rsidRPr="005D43B9" w:rsidRDefault="00123016" w:rsidP="005D43B9">
            <w:pPr>
              <w:overflowPunct w:val="0"/>
              <w:autoSpaceDE w:val="0"/>
              <w:autoSpaceDN w:val="0"/>
              <w:adjustRightInd w:val="0"/>
              <w:textAlignment w:val="baseline"/>
              <w:rPr>
                <w:i/>
                <w:iCs/>
              </w:rPr>
            </w:pPr>
            <w:hyperlink r:id="rId25" w:history="1">
              <w:r w:rsidR="00E60ACE">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556674FF" w:rsidR="001A42F8" w:rsidRPr="00C82D5A" w:rsidRDefault="00123016" w:rsidP="008D7B21">
      <w:pPr>
        <w:widowControl w:val="0"/>
        <w:numPr>
          <w:ilvl w:val="0"/>
          <w:numId w:val="4"/>
        </w:numPr>
        <w:overflowPunct w:val="0"/>
        <w:autoSpaceDE w:val="0"/>
        <w:autoSpaceDN w:val="0"/>
        <w:adjustRightInd w:val="0"/>
        <w:ind w:left="567" w:hanging="567"/>
        <w:textAlignment w:val="baseline"/>
        <w:rPr>
          <w:b/>
          <w:bCs/>
          <w:i/>
          <w:iCs/>
          <w:sz w:val="28"/>
          <w:szCs w:val="28"/>
        </w:rPr>
      </w:pPr>
      <w:hyperlink r:id="rId26" w:history="1">
        <w:r w:rsidR="00E60ACE" w:rsidRPr="00C82D5A">
          <w:rPr>
            <w:rStyle w:val="Hyperlink"/>
            <w:b/>
            <w:bCs/>
            <w:i/>
            <w:iCs/>
            <w:sz w:val="28"/>
            <w:szCs w:val="28"/>
          </w:rPr>
          <w:t>Strategie EU pro oblast drog</w:t>
        </w:r>
      </w:hyperlink>
    </w:p>
    <w:p w14:paraId="5FDF64E4" w14:textId="77777777" w:rsidR="004917CF" w:rsidRPr="004917CF" w:rsidRDefault="004917CF" w:rsidP="004917CF">
      <w:pPr>
        <w:widowControl w:val="0"/>
        <w:overflowPunct w:val="0"/>
        <w:autoSpaceDE w:val="0"/>
        <w:autoSpaceDN w:val="0"/>
        <w:adjustRightInd w:val="0"/>
        <w:jc w:val="left"/>
        <w:textAlignment w:val="baseline"/>
        <w:rPr>
          <w:b/>
          <w:bCs/>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Zpravodaj</w:t>
            </w:r>
          </w:p>
          <w:p w14:paraId="62145102" w14:textId="77777777" w:rsidR="001A42F8" w:rsidRPr="004917CF" w:rsidRDefault="001A42F8" w:rsidP="004917CF">
            <w:pPr>
              <w:tabs>
                <w:tab w:val="center" w:pos="284"/>
              </w:tabs>
              <w:overflowPunct w:val="0"/>
              <w:autoSpaceDE w:val="0"/>
              <w:autoSpaceDN w:val="0"/>
              <w:adjustRightInd w:val="0"/>
              <w:spacing w:line="240" w:lineRule="auto"/>
              <w:ind w:left="567" w:hanging="567"/>
              <w:textAlignment w:val="baseline"/>
              <w:rPr>
                <w:b/>
                <w:sz w:val="14"/>
                <w:szCs w:val="14"/>
              </w:rPr>
            </w:pPr>
          </w:p>
        </w:tc>
        <w:tc>
          <w:tcPr>
            <w:tcW w:w="6237" w:type="dxa"/>
          </w:tcPr>
          <w:p w14:paraId="56646FC8" w14:textId="63FDEAFD" w:rsidR="001A42F8" w:rsidRPr="001A42F8" w:rsidRDefault="001A42F8" w:rsidP="001A42F8">
            <w:pPr>
              <w:overflowPunct w:val="0"/>
              <w:autoSpaceDE w:val="0"/>
              <w:autoSpaceDN w:val="0"/>
              <w:adjustRightInd w:val="0"/>
              <w:ind w:left="567" w:hanging="567"/>
              <w:textAlignment w:val="baseline"/>
            </w:pPr>
            <w:r>
              <w:t>Diego DUTTO (skupina Organizace občanské společnosti – IT)</w:t>
            </w:r>
          </w:p>
        </w:tc>
      </w:tr>
      <w:tr w:rsidR="001A42F8" w:rsidRPr="001A42F8" w14:paraId="090EED85" w14:textId="77777777" w:rsidTr="004C6742">
        <w:tc>
          <w:tcPr>
            <w:tcW w:w="1701" w:type="dxa"/>
            <w:vMerge w:val="restart"/>
          </w:tcPr>
          <w:p w14:paraId="233A8D32" w14:textId="13ED18C7" w:rsidR="001A42F8" w:rsidRPr="001A42F8" w:rsidRDefault="00986FC0" w:rsidP="001A42F8">
            <w:pPr>
              <w:tabs>
                <w:tab w:val="center" w:pos="284"/>
              </w:tabs>
              <w:overflowPunct w:val="0"/>
              <w:autoSpaceDE w:val="0"/>
              <w:autoSpaceDN w:val="0"/>
              <w:adjustRightInd w:val="0"/>
              <w:ind w:left="567" w:hanging="567"/>
              <w:textAlignment w:val="baseline"/>
              <w:rPr>
                <w:b/>
              </w:rPr>
            </w:pPr>
            <w:r>
              <w:rPr>
                <w:b/>
              </w:rPr>
              <w:t>Odkazy</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COM(2025)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COM(2025)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4917CF" w:rsidRDefault="001A42F8" w:rsidP="001A42F8">
            <w:pPr>
              <w:tabs>
                <w:tab w:val="center" w:pos="284"/>
              </w:tabs>
              <w:overflowPunct w:val="0"/>
              <w:autoSpaceDE w:val="0"/>
              <w:autoSpaceDN w:val="0"/>
              <w:adjustRightInd w:val="0"/>
              <w:ind w:left="266" w:hanging="266"/>
              <w:textAlignment w:val="baseline"/>
              <w:rPr>
                <w:sz w:val="22"/>
                <w:szCs w:val="22"/>
                <w:lang w:val="pt-PT"/>
              </w:rPr>
            </w:pPr>
          </w:p>
        </w:tc>
      </w:tr>
    </w:tbl>
    <w:p w14:paraId="30C02137" w14:textId="77777777" w:rsidR="001A42F8" w:rsidRPr="001A42F8" w:rsidRDefault="001A42F8" w:rsidP="004917CF">
      <w:pPr>
        <w:keepNext/>
        <w:keepLines/>
        <w:tabs>
          <w:tab w:val="center" w:pos="284"/>
        </w:tabs>
        <w:overflowPunct w:val="0"/>
        <w:autoSpaceDE w:val="0"/>
        <w:autoSpaceDN w:val="0"/>
        <w:adjustRightInd w:val="0"/>
        <w:ind w:left="266" w:hanging="266"/>
        <w:textAlignment w:val="baseline"/>
        <w:rPr>
          <w:b/>
        </w:rPr>
      </w:pPr>
      <w:r>
        <w:rPr>
          <w:b/>
        </w:rPr>
        <w:t>Hlavní body</w:t>
      </w:r>
    </w:p>
    <w:p w14:paraId="55C710FF" w14:textId="77777777" w:rsidR="001A42F8" w:rsidRPr="001A42F8" w:rsidRDefault="001A42F8" w:rsidP="004917CF">
      <w:pPr>
        <w:overflowPunct w:val="0"/>
        <w:autoSpaceDE w:val="0"/>
        <w:autoSpaceDN w:val="0"/>
        <w:adjustRightInd w:val="0"/>
        <w:textAlignment w:val="baseline"/>
        <w:rPr>
          <w:szCs w:val="20"/>
          <w:lang w:val="en-GB"/>
        </w:rPr>
      </w:pPr>
    </w:p>
    <w:p w14:paraId="50E3F48E" w14:textId="7AF0B2E7" w:rsidR="001A42F8" w:rsidRPr="004C6742" w:rsidRDefault="001A42F8" w:rsidP="004917CF">
      <w:pPr>
        <w:spacing w:line="240" w:lineRule="auto"/>
      </w:pPr>
      <w:r>
        <w:rPr>
          <w:b/>
        </w:rPr>
        <w:t>Evropský hospodářský</w:t>
      </w:r>
      <w:r w:rsidR="001B28B8">
        <w:rPr>
          <w:b/>
        </w:rPr>
        <w:t xml:space="preserve"> a </w:t>
      </w:r>
      <w:r>
        <w:rPr>
          <w:b/>
        </w:rPr>
        <w:t>sociální výbor (EHSV):</w:t>
      </w:r>
    </w:p>
    <w:p w14:paraId="5429D755" w14:textId="77777777" w:rsidR="001A42F8" w:rsidRPr="001A42F8" w:rsidRDefault="001A42F8" w:rsidP="004917CF">
      <w:pPr>
        <w:ind w:left="1134" w:hanging="1134"/>
        <w:rPr>
          <w:lang w:val="en-GB" w:eastAsia="fr-BE"/>
        </w:rPr>
      </w:pPr>
    </w:p>
    <w:p w14:paraId="754C418F" w14:textId="73140599" w:rsidR="00AF6230" w:rsidRPr="0005742E"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zdůrazňuje, že účinnost strategie EU bude záviset na tom, zda se</w:t>
      </w:r>
      <w:r w:rsidR="001B28B8">
        <w:rPr>
          <w:sz w:val="22"/>
        </w:rPr>
        <w:t xml:space="preserve"> v </w:t>
      </w:r>
      <w:r>
        <w:rPr>
          <w:sz w:val="22"/>
        </w:rPr>
        <w:t>jejím rámci podaří předvídat budoucí vývoj. Doporučuje Komisi, aby se neomezovala jen na reaktivní ukazatele (tj. množství zabavených drog</w:t>
      </w:r>
      <w:r w:rsidR="001B28B8">
        <w:rPr>
          <w:sz w:val="22"/>
        </w:rPr>
        <w:t xml:space="preserve"> a </w:t>
      </w:r>
      <w:r>
        <w:rPr>
          <w:sz w:val="22"/>
        </w:rPr>
        <w:t>počet úmrtí)</w:t>
      </w:r>
      <w:r w:rsidR="001B28B8">
        <w:rPr>
          <w:sz w:val="22"/>
        </w:rPr>
        <w:t xml:space="preserve"> a </w:t>
      </w:r>
      <w:r>
        <w:rPr>
          <w:sz w:val="22"/>
        </w:rPr>
        <w:t>aby rovněž zajistila povinnou strukturální podporu standardizovaných monitorovacích systémů;</w:t>
      </w:r>
    </w:p>
    <w:p w14:paraId="097C0E61" w14:textId="3155A18A" w:rsidR="00AF6230" w:rsidRPr="0005742E"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se znepokojením konstatuje, že se strategie až příliš zaměřuje na tradiční nelegální látky. Mladí lidé však přecházejí</w:t>
      </w:r>
      <w:r w:rsidR="001B28B8">
        <w:rPr>
          <w:sz w:val="22"/>
        </w:rPr>
        <w:t xml:space="preserve"> k </w:t>
      </w:r>
      <w:r>
        <w:rPr>
          <w:sz w:val="22"/>
        </w:rPr>
        <w:t>užívání legálních drog mimo schválenou indikaci. EHSV proto doporučuje, aby byly na úrovni EU stanoveny pokyny pro monitorování předepisování léků</w:t>
      </w:r>
      <w:r w:rsidR="001B28B8">
        <w:rPr>
          <w:sz w:val="22"/>
        </w:rPr>
        <w:t xml:space="preserve"> a </w:t>
      </w:r>
      <w:r>
        <w:rPr>
          <w:sz w:val="22"/>
        </w:rPr>
        <w:t>aby byly prováděny speciální informační kampaně</w:t>
      </w:r>
      <w:r w:rsidR="001B28B8">
        <w:rPr>
          <w:sz w:val="22"/>
        </w:rPr>
        <w:t xml:space="preserve"> s </w:t>
      </w:r>
      <w:r>
        <w:rPr>
          <w:sz w:val="22"/>
        </w:rPr>
        <w:t>cílem upozornit na riziko vzniku závislosti na legálních psychoaktivních látkách;</w:t>
      </w:r>
    </w:p>
    <w:p w14:paraId="7740436D" w14:textId="5966D1BD" w:rsidR="00AF6230" w:rsidRPr="0005742E"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doporučuje, aby byl přísně monitorován rozsah užívání opioidních analgetik. Je nutné podniknout kroky</w:t>
      </w:r>
      <w:r w:rsidR="001B28B8">
        <w:rPr>
          <w:sz w:val="22"/>
        </w:rPr>
        <w:t xml:space="preserve"> s </w:t>
      </w:r>
      <w:r>
        <w:rPr>
          <w:sz w:val="22"/>
        </w:rPr>
        <w:t>cílem zajistit, aby si část společnosti – která se nezdá být rizikovou – na</w:t>
      </w:r>
      <w:r w:rsidR="00C82D5A">
        <w:rPr>
          <w:sz w:val="22"/>
        </w:rPr>
        <w:t> </w:t>
      </w:r>
      <w:r>
        <w:rPr>
          <w:sz w:val="22"/>
        </w:rPr>
        <w:t>těchto legálně získávaných látkách nevytvořila závislost;</w:t>
      </w:r>
    </w:p>
    <w:p w14:paraId="7767A288" w14:textId="276D922F" w:rsidR="00AF6230" w:rsidRPr="0005742E"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poukazuje na to, že je třeba vypracovat protokoly EU pro včasnou intervenci, které sociálním</w:t>
      </w:r>
      <w:r w:rsidR="001B28B8">
        <w:rPr>
          <w:sz w:val="22"/>
        </w:rPr>
        <w:t xml:space="preserve"> a </w:t>
      </w:r>
      <w:r>
        <w:rPr>
          <w:sz w:val="22"/>
        </w:rPr>
        <w:t>zdravotnickým službám pomohou identifikovat nové uživatele</w:t>
      </w:r>
      <w:r w:rsidR="001B28B8">
        <w:rPr>
          <w:sz w:val="22"/>
        </w:rPr>
        <w:t xml:space="preserve"> v </w:t>
      </w:r>
      <w:r>
        <w:rPr>
          <w:sz w:val="22"/>
        </w:rPr>
        <w:t>okamžiku, kdy drogy teprve začínají užívat;</w:t>
      </w:r>
    </w:p>
    <w:p w14:paraId="5DD33803" w14:textId="1E700EE8" w:rsidR="00AF6230" w:rsidRPr="0005742E"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doporučuje, aby byly stanoveny konkrétní klíčové ukazatele výkonnosti pro posuzování účinnosti preventivních kroků</w:t>
      </w:r>
      <w:r w:rsidR="001B28B8">
        <w:rPr>
          <w:sz w:val="22"/>
        </w:rPr>
        <w:t xml:space="preserve"> a </w:t>
      </w:r>
      <w:r>
        <w:rPr>
          <w:sz w:val="22"/>
        </w:rPr>
        <w:t>aby se úspěšnost měřila nejenom</w:t>
      </w:r>
      <w:r w:rsidR="001B28B8">
        <w:rPr>
          <w:sz w:val="22"/>
        </w:rPr>
        <w:t xml:space="preserve"> z </w:t>
      </w:r>
      <w:r>
        <w:rPr>
          <w:sz w:val="22"/>
        </w:rPr>
        <w:t>hlediska množství zabavených drog, ale také</w:t>
      </w:r>
      <w:r w:rsidR="001B28B8">
        <w:rPr>
          <w:sz w:val="22"/>
        </w:rPr>
        <w:t xml:space="preserve"> z </w:t>
      </w:r>
      <w:r>
        <w:rPr>
          <w:sz w:val="22"/>
        </w:rPr>
        <w:t>hlediska toho, zda se podařilo omezit nárůst počtu drogově závislých</w:t>
      </w:r>
      <w:r w:rsidR="001B28B8">
        <w:rPr>
          <w:sz w:val="22"/>
        </w:rPr>
        <w:t xml:space="preserve"> a </w:t>
      </w:r>
      <w:r>
        <w:rPr>
          <w:sz w:val="22"/>
        </w:rPr>
        <w:t>nakolik jsou účinná reintegrační opatření;</w:t>
      </w:r>
    </w:p>
    <w:p w14:paraId="0B18A7A1" w14:textId="2CBFFC6E" w:rsidR="00AF6230" w:rsidRPr="0005742E"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připomíná, že boj proti obchodu</w:t>
      </w:r>
      <w:r w:rsidR="001B28B8">
        <w:rPr>
          <w:sz w:val="22"/>
        </w:rPr>
        <w:t xml:space="preserve"> s </w:t>
      </w:r>
      <w:r>
        <w:rPr>
          <w:sz w:val="22"/>
        </w:rPr>
        <w:t>drogami musí být doprovázen důraznou politikou</w:t>
      </w:r>
      <w:r w:rsidR="001B28B8">
        <w:rPr>
          <w:sz w:val="22"/>
        </w:rPr>
        <w:t xml:space="preserve"> v </w:t>
      </w:r>
      <w:r>
        <w:rPr>
          <w:sz w:val="22"/>
        </w:rPr>
        <w:t>oblasti veřejného zdraví;</w:t>
      </w:r>
    </w:p>
    <w:p w14:paraId="4BE38B7A" w14:textId="3A4BD328" w:rsidR="00AF6230" w:rsidRPr="0005742E"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poukazuje na to, že se akční plán téměř výhradně soustřeďuje na zabezpečení fyzické infrastruktury (přístavů</w:t>
      </w:r>
      <w:r w:rsidR="001B28B8">
        <w:rPr>
          <w:sz w:val="22"/>
        </w:rPr>
        <w:t xml:space="preserve"> a </w:t>
      </w:r>
      <w:r>
        <w:rPr>
          <w:sz w:val="22"/>
        </w:rPr>
        <w:t>logistických center)</w:t>
      </w:r>
      <w:r w:rsidR="001B28B8">
        <w:rPr>
          <w:sz w:val="22"/>
        </w:rPr>
        <w:t xml:space="preserve"> a </w:t>
      </w:r>
      <w:r>
        <w:rPr>
          <w:sz w:val="22"/>
        </w:rPr>
        <w:t>infrastruktury digitální</w:t>
      </w:r>
      <w:r w:rsidR="001B28B8">
        <w:rPr>
          <w:sz w:val="22"/>
        </w:rPr>
        <w:t xml:space="preserve"> a </w:t>
      </w:r>
      <w:r>
        <w:rPr>
          <w:sz w:val="22"/>
        </w:rPr>
        <w:t>nevěnuje patřičnou pozornost úrovni místních komunit;</w:t>
      </w:r>
    </w:p>
    <w:p w14:paraId="736AA5CD" w14:textId="048A5878" w:rsidR="00AF6230" w:rsidRDefault="00AF6230" w:rsidP="004917CF">
      <w:pPr>
        <w:pStyle w:val="NormalWeb"/>
        <w:numPr>
          <w:ilvl w:val="0"/>
          <w:numId w:val="7"/>
        </w:numPr>
        <w:tabs>
          <w:tab w:val="clear" w:pos="720"/>
        </w:tabs>
        <w:spacing w:before="0" w:beforeAutospacing="0" w:after="0" w:afterAutospacing="0" w:line="288" w:lineRule="auto"/>
        <w:ind w:left="567" w:hanging="567"/>
        <w:jc w:val="both"/>
        <w:rPr>
          <w:sz w:val="22"/>
          <w:szCs w:val="22"/>
        </w:rPr>
      </w:pPr>
      <w:r>
        <w:rPr>
          <w:sz w:val="22"/>
        </w:rPr>
        <w:t>upozorňuje, že akční plán neposkytuje členským státům dostatečné pokyny ohledně toho, jaká veřejná opatření bude nutné zavést</w:t>
      </w:r>
      <w:r w:rsidR="001B28B8">
        <w:rPr>
          <w:sz w:val="22"/>
        </w:rPr>
        <w:t xml:space="preserve"> s </w:t>
      </w:r>
      <w:r>
        <w:rPr>
          <w:sz w:val="22"/>
        </w:rPr>
        <w:t>cílem omezit užívání drog.</w:t>
      </w:r>
    </w:p>
    <w:p w14:paraId="7CC45175" w14:textId="77777777" w:rsidR="001A42F8" w:rsidRPr="001A42F8" w:rsidRDefault="001A42F8" w:rsidP="004917CF">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4917CF">
            <w:pPr>
              <w:overflowPunct w:val="0"/>
              <w:autoSpaceDE w:val="0"/>
              <w:autoSpaceDN w:val="0"/>
              <w:adjustRightInd w:val="0"/>
              <w:spacing w:line="240" w:lineRule="auto"/>
              <w:textAlignment w:val="baseline"/>
              <w:rPr>
                <w:i/>
              </w:rPr>
            </w:pPr>
            <w:r>
              <w:rPr>
                <w:b/>
                <w:i/>
              </w:rPr>
              <w:t>Kontakt:</w:t>
            </w:r>
          </w:p>
        </w:tc>
        <w:tc>
          <w:tcPr>
            <w:tcW w:w="4493" w:type="dxa"/>
          </w:tcPr>
          <w:p w14:paraId="51601E16" w14:textId="77777777" w:rsidR="001A42F8" w:rsidRPr="001A42F8" w:rsidRDefault="001A42F8" w:rsidP="004917CF">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2E7EFB">
        <w:tc>
          <w:tcPr>
            <w:tcW w:w="1210" w:type="dxa"/>
          </w:tcPr>
          <w:p w14:paraId="11A461E0" w14:textId="77777777" w:rsidR="001A42F8" w:rsidRPr="001A42F8" w:rsidRDefault="001A42F8" w:rsidP="004917CF">
            <w:pPr>
              <w:overflowPunct w:val="0"/>
              <w:autoSpaceDE w:val="0"/>
              <w:autoSpaceDN w:val="0"/>
              <w:adjustRightInd w:val="0"/>
              <w:spacing w:line="240" w:lineRule="auto"/>
              <w:textAlignment w:val="baseline"/>
              <w:rPr>
                <w:i/>
              </w:rPr>
            </w:pPr>
            <w:r>
              <w:rPr>
                <w:i/>
              </w:rPr>
              <w:t>Tel.</w:t>
            </w:r>
          </w:p>
        </w:tc>
        <w:tc>
          <w:tcPr>
            <w:tcW w:w="4493" w:type="dxa"/>
          </w:tcPr>
          <w:p w14:paraId="6A4B7B1B" w14:textId="77777777" w:rsidR="001A42F8" w:rsidRPr="001A42F8" w:rsidRDefault="001A42F8" w:rsidP="004917CF">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2E7EFB">
        <w:tc>
          <w:tcPr>
            <w:tcW w:w="1210" w:type="dxa"/>
          </w:tcPr>
          <w:p w14:paraId="68E038E0" w14:textId="77777777" w:rsidR="001A42F8" w:rsidRPr="001A42F8" w:rsidRDefault="001A42F8" w:rsidP="004917CF">
            <w:pPr>
              <w:overflowPunct w:val="0"/>
              <w:autoSpaceDE w:val="0"/>
              <w:autoSpaceDN w:val="0"/>
              <w:adjustRightInd w:val="0"/>
              <w:spacing w:line="240" w:lineRule="auto"/>
              <w:textAlignment w:val="baseline"/>
              <w:rPr>
                <w:i/>
              </w:rPr>
            </w:pPr>
            <w:r>
              <w:rPr>
                <w:i/>
              </w:rPr>
              <w:t>E-mail:</w:t>
            </w:r>
          </w:p>
        </w:tc>
        <w:tc>
          <w:tcPr>
            <w:tcW w:w="4493" w:type="dxa"/>
          </w:tcPr>
          <w:p w14:paraId="7CF2E2AE" w14:textId="77777777" w:rsidR="001A42F8" w:rsidRPr="001A42F8" w:rsidRDefault="00123016" w:rsidP="004917CF">
            <w:pPr>
              <w:overflowPunct w:val="0"/>
              <w:autoSpaceDE w:val="0"/>
              <w:autoSpaceDN w:val="0"/>
              <w:adjustRightInd w:val="0"/>
              <w:spacing w:line="240" w:lineRule="auto"/>
              <w:textAlignment w:val="baseline"/>
              <w:rPr>
                <w:i/>
                <w:iCs/>
              </w:rPr>
            </w:pPr>
            <w:hyperlink r:id="rId27" w:history="1">
              <w:r w:rsidR="00E60ACE">
                <w:rPr>
                  <w:i/>
                  <w:color w:val="0000FF"/>
                  <w:u w:val="single"/>
                </w:rPr>
                <w:t>Gemma.Amran@eesc.europa.eu</w:t>
              </w:r>
            </w:hyperlink>
          </w:p>
        </w:tc>
      </w:tr>
    </w:tbl>
    <w:p w14:paraId="6961E51E" w14:textId="5180950B" w:rsidR="001A42F8" w:rsidRDefault="001A42F8" w:rsidP="004917CF"/>
    <w:p w14:paraId="4CE2AFBF" w14:textId="77777777" w:rsidR="001A42F8" w:rsidRDefault="001A42F8" w:rsidP="004917CF">
      <w:pPr>
        <w:spacing w:line="259" w:lineRule="auto"/>
        <w:jc w:val="left"/>
      </w:pPr>
      <w:r>
        <w:br w:type="page"/>
      </w:r>
    </w:p>
    <w:p w14:paraId="6E89C215" w14:textId="515955A1" w:rsidR="00C53E67" w:rsidRPr="00C82D5A"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28" w:history="1">
        <w:r w:rsidR="00A067F3" w:rsidRPr="00C82D5A">
          <w:rPr>
            <w:rStyle w:val="Hyperlink"/>
            <w:b/>
            <w:bCs/>
            <w:i/>
            <w:iCs/>
            <w:sz w:val="28"/>
            <w:szCs w:val="28"/>
          </w:rPr>
          <w:t>Kulturní kompas pro Evropu</w:t>
        </w:r>
      </w:hyperlink>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C53E67" w14:paraId="2091F211" w14:textId="77777777" w:rsidTr="002E7EFB">
        <w:tc>
          <w:tcPr>
            <w:tcW w:w="1321" w:type="pct"/>
          </w:tcPr>
          <w:p w14:paraId="10C92D44" w14:textId="77777777" w:rsidR="00C53E67" w:rsidRPr="00C53E67" w:rsidRDefault="00C53E67" w:rsidP="004917CF">
            <w:pPr>
              <w:overflowPunct w:val="0"/>
              <w:autoSpaceDE w:val="0"/>
              <w:autoSpaceDN w:val="0"/>
              <w:adjustRightInd w:val="0"/>
              <w:textAlignment w:val="baseline"/>
              <w:rPr>
                <w:b/>
              </w:rPr>
            </w:pPr>
            <w:r>
              <w:rPr>
                <w:b/>
              </w:rPr>
              <w:t xml:space="preserve">Zpravodaj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r>
              <w:t>Luca JAHIER (Organizace občanské společnosti – IT)</w:t>
            </w:r>
          </w:p>
        </w:tc>
      </w:tr>
      <w:tr w:rsidR="00C53E67" w:rsidRPr="00C53E67" w14:paraId="12DAA263" w14:textId="77777777" w:rsidTr="002E7EFB">
        <w:tc>
          <w:tcPr>
            <w:tcW w:w="5000" w:type="pct"/>
            <w:gridSpan w:val="2"/>
          </w:tcPr>
          <w:p w14:paraId="1A0026BB" w14:textId="77777777" w:rsidR="00C53E67" w:rsidRPr="00C53E67" w:rsidRDefault="00C53E67" w:rsidP="004917CF">
            <w:pPr>
              <w:overflowPunct w:val="0"/>
              <w:autoSpaceDE w:val="0"/>
              <w:autoSpaceDN w:val="0"/>
              <w:adjustRightInd w:val="0"/>
              <w:spacing w:line="160" w:lineRule="exact"/>
              <w:textAlignment w:val="baseline"/>
              <w:rPr>
                <w:sz w:val="14"/>
                <w:szCs w:val="14"/>
              </w:rPr>
            </w:pPr>
          </w:p>
        </w:tc>
      </w:tr>
      <w:tr w:rsidR="00C53E67" w:rsidRPr="00C53E67" w14:paraId="1917B1A6" w14:textId="77777777" w:rsidTr="002E7EFB">
        <w:tc>
          <w:tcPr>
            <w:tcW w:w="1321" w:type="pct"/>
          </w:tcPr>
          <w:p w14:paraId="68946A42" w14:textId="77777777" w:rsidR="00C53E67" w:rsidRPr="00C53E67" w:rsidRDefault="00C53E67" w:rsidP="004917CF">
            <w:pPr>
              <w:overflowPunct w:val="0"/>
              <w:autoSpaceDE w:val="0"/>
              <w:autoSpaceDN w:val="0"/>
              <w:adjustRightInd w:val="0"/>
              <w:textAlignment w:val="baseline"/>
              <w:rPr>
                <w:b/>
              </w:rPr>
            </w:pPr>
            <w:r>
              <w:rPr>
                <w:b/>
              </w:rPr>
              <w:t>Odkazy</w:t>
            </w:r>
          </w:p>
        </w:tc>
        <w:tc>
          <w:tcPr>
            <w:tcW w:w="3679" w:type="pct"/>
          </w:tcPr>
          <w:p w14:paraId="3649F935" w14:textId="5EC0AA86" w:rsidR="00DE1BF7" w:rsidRDefault="00DE1BF7" w:rsidP="00C53E67">
            <w:pPr>
              <w:overflowPunct w:val="0"/>
              <w:autoSpaceDE w:val="0"/>
              <w:autoSpaceDN w:val="0"/>
              <w:adjustRightInd w:val="0"/>
              <w:ind w:left="-113"/>
              <w:textAlignment w:val="baseline"/>
            </w:pPr>
            <w:r>
              <w:t>COM(2025) 785 final</w:t>
            </w:r>
          </w:p>
          <w:p w14:paraId="72ADC23E" w14:textId="431F11BB" w:rsidR="00DE1BF7" w:rsidRDefault="00DE1BF7" w:rsidP="00C53E67">
            <w:pPr>
              <w:overflowPunct w:val="0"/>
              <w:autoSpaceDE w:val="0"/>
              <w:autoSpaceDN w:val="0"/>
              <w:adjustRightInd w:val="0"/>
              <w:ind w:left="-113"/>
              <w:textAlignment w:val="baseline"/>
            </w:pPr>
            <w:r>
              <w:t>COM(2025) 786 final</w:t>
            </w:r>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4917CF"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Hlavní body</w:t>
      </w:r>
    </w:p>
    <w:p w14:paraId="2BEAC91B" w14:textId="77777777" w:rsidR="00C53E67" w:rsidRPr="004917CF"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6931DC56" w14:textId="170B5CB2" w:rsidR="00C53E67" w:rsidRDefault="00C53E67" w:rsidP="00C53E67">
      <w:pPr>
        <w:overflowPunct w:val="0"/>
        <w:autoSpaceDE w:val="0"/>
        <w:autoSpaceDN w:val="0"/>
        <w:adjustRightInd w:val="0"/>
        <w:spacing w:line="240" w:lineRule="auto"/>
        <w:contextualSpacing/>
        <w:textAlignment w:val="baseline"/>
      </w:pPr>
      <w:r>
        <w:t>EHSV:</w:t>
      </w:r>
    </w:p>
    <w:p w14:paraId="29EFCB18" w14:textId="77777777" w:rsidR="004917CF" w:rsidRDefault="004917CF" w:rsidP="00C53E67">
      <w:pPr>
        <w:overflowPunct w:val="0"/>
        <w:autoSpaceDE w:val="0"/>
        <w:autoSpaceDN w:val="0"/>
        <w:adjustRightInd w:val="0"/>
        <w:spacing w:line="240" w:lineRule="auto"/>
        <w:contextualSpacing/>
        <w:textAlignment w:val="baseline"/>
        <w:rPr>
          <w:bCs/>
          <w:iCs/>
        </w:rPr>
      </w:pPr>
    </w:p>
    <w:p w14:paraId="2F1E3C31" w14:textId="6B980291"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b/>
          <w:sz w:val="22"/>
          <w:szCs w:val="22"/>
        </w:rPr>
        <w:t>plně podporuje Kulturní kompas pro Evropu</w:t>
      </w:r>
      <w:r w:rsidRPr="00130A28">
        <w:rPr>
          <w:sz w:val="22"/>
          <w:szCs w:val="22"/>
        </w:rPr>
        <w:t xml:space="preserve"> jako včasnou průřezovou strategii na podporu kultury</w:t>
      </w:r>
      <w:r w:rsidR="001B28B8">
        <w:rPr>
          <w:sz w:val="22"/>
          <w:szCs w:val="22"/>
        </w:rPr>
        <w:t xml:space="preserve"> a </w:t>
      </w:r>
      <w:r w:rsidRPr="00130A28">
        <w:rPr>
          <w:sz w:val="22"/>
          <w:szCs w:val="22"/>
        </w:rPr>
        <w:t>evropských hodnot, jež zajišťuje, aby odvětví kultury prosperovalo;</w:t>
      </w:r>
    </w:p>
    <w:p w14:paraId="35F801C3" w14:textId="77A8D41D"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 xml:space="preserve">vyzdvihuje </w:t>
      </w:r>
      <w:r w:rsidRPr="00130A28">
        <w:rPr>
          <w:b/>
          <w:sz w:val="22"/>
          <w:szCs w:val="22"/>
        </w:rPr>
        <w:t>úlohu kultury při posilování demokracie</w:t>
      </w:r>
      <w:r w:rsidRPr="00130A28">
        <w:rPr>
          <w:sz w:val="22"/>
          <w:szCs w:val="22"/>
        </w:rPr>
        <w:t>, boji proti populistickým</w:t>
      </w:r>
      <w:r w:rsidR="001B28B8">
        <w:rPr>
          <w:sz w:val="22"/>
          <w:szCs w:val="22"/>
        </w:rPr>
        <w:t xml:space="preserve"> a </w:t>
      </w:r>
      <w:r w:rsidRPr="00130A28">
        <w:rPr>
          <w:sz w:val="22"/>
          <w:szCs w:val="22"/>
        </w:rPr>
        <w:t>autoritářským narativům</w:t>
      </w:r>
      <w:r w:rsidR="001B28B8">
        <w:rPr>
          <w:sz w:val="22"/>
          <w:szCs w:val="22"/>
        </w:rPr>
        <w:t xml:space="preserve"> a </w:t>
      </w:r>
      <w:r w:rsidRPr="00130A28">
        <w:rPr>
          <w:sz w:val="22"/>
          <w:szCs w:val="22"/>
        </w:rPr>
        <w:t>podpoře sociální soudržnosti, připravenosti</w:t>
      </w:r>
      <w:r w:rsidR="001B28B8">
        <w:rPr>
          <w:sz w:val="22"/>
          <w:szCs w:val="22"/>
        </w:rPr>
        <w:t xml:space="preserve"> a </w:t>
      </w:r>
      <w:r w:rsidRPr="00130A28">
        <w:rPr>
          <w:sz w:val="22"/>
          <w:szCs w:val="22"/>
        </w:rPr>
        <w:t>udržitelného rozvoje;</w:t>
      </w:r>
    </w:p>
    <w:p w14:paraId="06686724" w14:textId="33D2A04B"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 xml:space="preserve">doporučuje </w:t>
      </w:r>
      <w:r w:rsidRPr="00130A28">
        <w:rPr>
          <w:b/>
          <w:sz w:val="22"/>
          <w:szCs w:val="22"/>
        </w:rPr>
        <w:t>rozvíjet součinnost</w:t>
      </w:r>
      <w:r w:rsidRPr="00130A28">
        <w:rPr>
          <w:sz w:val="22"/>
          <w:szCs w:val="22"/>
        </w:rPr>
        <w:t xml:space="preserve"> mezi Kulturním kompasem</w:t>
      </w:r>
      <w:r w:rsidR="001B28B8">
        <w:rPr>
          <w:sz w:val="22"/>
          <w:szCs w:val="22"/>
        </w:rPr>
        <w:t xml:space="preserve"> a </w:t>
      </w:r>
      <w:r w:rsidRPr="00130A28">
        <w:rPr>
          <w:sz w:val="22"/>
          <w:szCs w:val="22"/>
        </w:rPr>
        <w:t>iniciativami, jako je Evropský štít pro demokracii, zejména</w:t>
      </w:r>
      <w:r w:rsidR="001B28B8">
        <w:rPr>
          <w:sz w:val="22"/>
          <w:szCs w:val="22"/>
        </w:rPr>
        <w:t xml:space="preserve"> v </w:t>
      </w:r>
      <w:r w:rsidRPr="00130A28">
        <w:rPr>
          <w:sz w:val="22"/>
          <w:szCs w:val="22"/>
        </w:rPr>
        <w:t>digitální oblasti;</w:t>
      </w:r>
    </w:p>
    <w:p w14:paraId="6E4986A0" w14:textId="609D9A00"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 xml:space="preserve">poukazuje na to, že je důležité vypracovat </w:t>
      </w:r>
      <w:r w:rsidRPr="00130A28">
        <w:rPr>
          <w:b/>
          <w:sz w:val="22"/>
          <w:szCs w:val="22"/>
        </w:rPr>
        <w:t>specializovanou strategii umělé inteligence pro kulturní</w:t>
      </w:r>
      <w:r w:rsidR="001B28B8">
        <w:rPr>
          <w:b/>
          <w:sz w:val="22"/>
          <w:szCs w:val="22"/>
        </w:rPr>
        <w:t xml:space="preserve"> a </w:t>
      </w:r>
      <w:r w:rsidRPr="00130A28">
        <w:rPr>
          <w:b/>
          <w:sz w:val="22"/>
          <w:szCs w:val="22"/>
        </w:rPr>
        <w:t>kreativní odvětví</w:t>
      </w:r>
      <w:r w:rsidRPr="00130A28">
        <w:rPr>
          <w:sz w:val="22"/>
          <w:szCs w:val="22"/>
        </w:rPr>
        <w:t>, včetně ochrany tvůrčího vlastnictví, rozvoje trhů</w:t>
      </w:r>
      <w:r w:rsidR="001B28B8">
        <w:rPr>
          <w:sz w:val="22"/>
          <w:szCs w:val="22"/>
        </w:rPr>
        <w:t xml:space="preserve"> s </w:t>
      </w:r>
      <w:r w:rsidRPr="00130A28">
        <w:rPr>
          <w:sz w:val="22"/>
          <w:szCs w:val="22"/>
        </w:rPr>
        <w:t>licencemi</w:t>
      </w:r>
      <w:r w:rsidR="001B28B8">
        <w:rPr>
          <w:sz w:val="22"/>
          <w:szCs w:val="22"/>
        </w:rPr>
        <w:t xml:space="preserve"> a </w:t>
      </w:r>
      <w:r w:rsidRPr="00130A28">
        <w:rPr>
          <w:sz w:val="22"/>
          <w:szCs w:val="22"/>
        </w:rPr>
        <w:t>pokynů podle aktu</w:t>
      </w:r>
      <w:r w:rsidR="001B28B8">
        <w:rPr>
          <w:sz w:val="22"/>
          <w:szCs w:val="22"/>
        </w:rPr>
        <w:t xml:space="preserve"> o </w:t>
      </w:r>
      <w:r w:rsidRPr="00130A28">
        <w:rPr>
          <w:sz w:val="22"/>
          <w:szCs w:val="22"/>
        </w:rPr>
        <w:t>umělé inteligenci;</w:t>
      </w:r>
    </w:p>
    <w:p w14:paraId="15BE8AF5" w14:textId="2A6C51B4"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vyzývá</w:t>
      </w:r>
      <w:r w:rsidR="001B28B8">
        <w:rPr>
          <w:sz w:val="22"/>
          <w:szCs w:val="22"/>
        </w:rPr>
        <w:t xml:space="preserve"> k </w:t>
      </w:r>
      <w:r w:rsidRPr="00130A28">
        <w:rPr>
          <w:b/>
          <w:sz w:val="22"/>
          <w:szCs w:val="22"/>
        </w:rPr>
        <w:t>silné</w:t>
      </w:r>
      <w:r w:rsidR="001B28B8">
        <w:rPr>
          <w:b/>
          <w:sz w:val="22"/>
          <w:szCs w:val="22"/>
        </w:rPr>
        <w:t xml:space="preserve"> a </w:t>
      </w:r>
      <w:r w:rsidRPr="00130A28">
        <w:rPr>
          <w:b/>
          <w:sz w:val="22"/>
          <w:szCs w:val="22"/>
        </w:rPr>
        <w:t>průřezové finanční podpoře</w:t>
      </w:r>
      <w:r w:rsidR="001B28B8">
        <w:rPr>
          <w:b/>
          <w:sz w:val="22"/>
          <w:szCs w:val="22"/>
        </w:rPr>
        <w:t xml:space="preserve"> v </w:t>
      </w:r>
      <w:r w:rsidRPr="00130A28">
        <w:rPr>
          <w:b/>
          <w:sz w:val="22"/>
          <w:szCs w:val="22"/>
        </w:rPr>
        <w:t>příštím VFR (2028–2034)</w:t>
      </w:r>
      <w:r w:rsidRPr="00130A28">
        <w:rPr>
          <w:sz w:val="22"/>
          <w:szCs w:val="22"/>
        </w:rPr>
        <w:t>, včetně přidělení 2</w:t>
      </w:r>
      <w:r w:rsidR="001B28B8">
        <w:rPr>
          <w:sz w:val="22"/>
          <w:szCs w:val="22"/>
        </w:rPr>
        <w:t> %</w:t>
      </w:r>
      <w:r w:rsidRPr="00130A28">
        <w:rPr>
          <w:sz w:val="22"/>
          <w:szCs w:val="22"/>
        </w:rPr>
        <w:t xml:space="preserve"> rozpočtu EU na kulturu</w:t>
      </w:r>
      <w:r w:rsidR="001B28B8">
        <w:rPr>
          <w:sz w:val="22"/>
          <w:szCs w:val="22"/>
        </w:rPr>
        <w:t xml:space="preserve"> a </w:t>
      </w:r>
      <w:r w:rsidRPr="00130A28">
        <w:rPr>
          <w:sz w:val="22"/>
          <w:szCs w:val="22"/>
        </w:rPr>
        <w:t>jejího začlenění do hlavních programů EU;</w:t>
      </w:r>
    </w:p>
    <w:p w14:paraId="49E5A2F5" w14:textId="6D0D7A29"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vyzývá</w:t>
      </w:r>
      <w:r w:rsidR="001B28B8">
        <w:rPr>
          <w:sz w:val="22"/>
          <w:szCs w:val="22"/>
        </w:rPr>
        <w:t xml:space="preserve"> k </w:t>
      </w:r>
      <w:r w:rsidRPr="00130A28">
        <w:rPr>
          <w:sz w:val="22"/>
          <w:szCs w:val="22"/>
        </w:rPr>
        <w:t>důslednému</w:t>
      </w:r>
      <w:r w:rsidR="001B28B8">
        <w:rPr>
          <w:sz w:val="22"/>
          <w:szCs w:val="22"/>
        </w:rPr>
        <w:t xml:space="preserve"> a </w:t>
      </w:r>
      <w:r w:rsidRPr="00130A28">
        <w:rPr>
          <w:b/>
          <w:sz w:val="22"/>
          <w:szCs w:val="22"/>
        </w:rPr>
        <w:t>cílenému provádění Kulturního kompasu prostřednictvím jasného akčního plánu</w:t>
      </w:r>
      <w:r w:rsidRPr="00130A28">
        <w:rPr>
          <w:sz w:val="22"/>
          <w:szCs w:val="22"/>
        </w:rPr>
        <w:t>, odpovídající správní kapacity</w:t>
      </w:r>
      <w:r w:rsidR="001B28B8">
        <w:rPr>
          <w:sz w:val="22"/>
          <w:szCs w:val="22"/>
        </w:rPr>
        <w:t xml:space="preserve"> a </w:t>
      </w:r>
      <w:r w:rsidRPr="00130A28">
        <w:rPr>
          <w:sz w:val="22"/>
          <w:szCs w:val="22"/>
        </w:rPr>
        <w:t>dlouhodobé kontinuity politiky;</w:t>
      </w:r>
    </w:p>
    <w:p w14:paraId="09A97590" w14:textId="759FF034"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 xml:space="preserve">doporučuje </w:t>
      </w:r>
      <w:r w:rsidRPr="00130A28">
        <w:rPr>
          <w:b/>
          <w:sz w:val="22"/>
          <w:szCs w:val="22"/>
        </w:rPr>
        <w:t>včasné systematické zapojení kulturních</w:t>
      </w:r>
      <w:r w:rsidR="001B28B8">
        <w:rPr>
          <w:b/>
          <w:sz w:val="22"/>
          <w:szCs w:val="22"/>
        </w:rPr>
        <w:t xml:space="preserve"> a </w:t>
      </w:r>
      <w:r w:rsidRPr="00130A28">
        <w:rPr>
          <w:b/>
          <w:sz w:val="22"/>
          <w:szCs w:val="22"/>
        </w:rPr>
        <w:t>jiných zúčastněných stran</w:t>
      </w:r>
      <w:r w:rsidRPr="00130A28">
        <w:rPr>
          <w:sz w:val="22"/>
          <w:szCs w:val="22"/>
        </w:rPr>
        <w:t>, včetně místních orgánů, malých</w:t>
      </w:r>
      <w:r w:rsidR="001B28B8">
        <w:rPr>
          <w:sz w:val="22"/>
          <w:szCs w:val="22"/>
        </w:rPr>
        <w:t xml:space="preserve"> a </w:t>
      </w:r>
      <w:r w:rsidRPr="00130A28">
        <w:rPr>
          <w:sz w:val="22"/>
          <w:szCs w:val="22"/>
        </w:rPr>
        <w:t>středních podniků</w:t>
      </w:r>
      <w:r w:rsidR="001B28B8">
        <w:rPr>
          <w:sz w:val="22"/>
          <w:szCs w:val="22"/>
        </w:rPr>
        <w:t xml:space="preserve"> a </w:t>
      </w:r>
      <w:r w:rsidRPr="00130A28">
        <w:rPr>
          <w:sz w:val="22"/>
          <w:szCs w:val="22"/>
        </w:rPr>
        <w:t>kulturních</w:t>
      </w:r>
      <w:r w:rsidR="001B28B8">
        <w:rPr>
          <w:sz w:val="22"/>
          <w:szCs w:val="22"/>
        </w:rPr>
        <w:t xml:space="preserve"> a </w:t>
      </w:r>
      <w:r w:rsidRPr="00130A28">
        <w:rPr>
          <w:sz w:val="22"/>
          <w:szCs w:val="22"/>
        </w:rPr>
        <w:t>kreativních odvětví,</w:t>
      </w:r>
      <w:r w:rsidR="001B28B8">
        <w:rPr>
          <w:sz w:val="22"/>
          <w:szCs w:val="22"/>
        </w:rPr>
        <w:t xml:space="preserve"> a </w:t>
      </w:r>
      <w:r w:rsidRPr="00130A28">
        <w:rPr>
          <w:sz w:val="22"/>
          <w:szCs w:val="22"/>
        </w:rPr>
        <w:t>to</w:t>
      </w:r>
      <w:r w:rsidR="001B28B8">
        <w:rPr>
          <w:sz w:val="22"/>
          <w:szCs w:val="22"/>
        </w:rPr>
        <w:t xml:space="preserve"> s </w:t>
      </w:r>
      <w:r w:rsidRPr="00130A28">
        <w:rPr>
          <w:sz w:val="22"/>
          <w:szCs w:val="22"/>
        </w:rPr>
        <w:t>cílem posílit odpovědnost</w:t>
      </w:r>
      <w:r w:rsidR="001B28B8">
        <w:rPr>
          <w:sz w:val="22"/>
          <w:szCs w:val="22"/>
        </w:rPr>
        <w:t xml:space="preserve"> a </w:t>
      </w:r>
      <w:r w:rsidRPr="00130A28">
        <w:rPr>
          <w:sz w:val="22"/>
          <w:szCs w:val="22"/>
        </w:rPr>
        <w:t>dopad;</w:t>
      </w:r>
    </w:p>
    <w:p w14:paraId="450FBFA6" w14:textId="5FA89D28"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vyzývá</w:t>
      </w:r>
      <w:r w:rsidR="001B28B8">
        <w:rPr>
          <w:sz w:val="22"/>
          <w:szCs w:val="22"/>
        </w:rPr>
        <w:t xml:space="preserve"> k </w:t>
      </w:r>
      <w:r w:rsidRPr="00130A28">
        <w:rPr>
          <w:b/>
          <w:sz w:val="22"/>
          <w:szCs w:val="22"/>
        </w:rPr>
        <w:t>většímu začlenění subjektů sociální ekonomiky</w:t>
      </w:r>
      <w:r w:rsidR="001B28B8">
        <w:rPr>
          <w:sz w:val="22"/>
          <w:szCs w:val="22"/>
        </w:rPr>
        <w:t xml:space="preserve"> a </w:t>
      </w:r>
      <w:r w:rsidRPr="00130A28">
        <w:rPr>
          <w:sz w:val="22"/>
          <w:szCs w:val="22"/>
        </w:rPr>
        <w:t>komunitních kulturních iniciativ do veřejných politik, včetně přizpůsobených fiskálních</w:t>
      </w:r>
      <w:r w:rsidR="001B28B8">
        <w:rPr>
          <w:sz w:val="22"/>
          <w:szCs w:val="22"/>
        </w:rPr>
        <w:t xml:space="preserve"> a </w:t>
      </w:r>
      <w:r w:rsidRPr="00130A28">
        <w:rPr>
          <w:sz w:val="22"/>
          <w:szCs w:val="22"/>
        </w:rPr>
        <w:t>finančních nástrojů;</w:t>
      </w:r>
    </w:p>
    <w:p w14:paraId="08380ED6" w14:textId="0416B567"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b/>
          <w:sz w:val="22"/>
          <w:szCs w:val="22"/>
        </w:rPr>
        <w:t>vítá navrhovaný strukturovaný dialog EU se zúčastněnými stranami</w:t>
      </w:r>
      <w:r w:rsidR="001B28B8">
        <w:rPr>
          <w:sz w:val="22"/>
          <w:szCs w:val="22"/>
        </w:rPr>
        <w:t xml:space="preserve"> a </w:t>
      </w:r>
      <w:r w:rsidRPr="00130A28">
        <w:rPr>
          <w:sz w:val="22"/>
          <w:szCs w:val="22"/>
        </w:rPr>
        <w:t>nabízí, že bude klíčovým partnerem při usnadňování výměn</w:t>
      </w:r>
      <w:r w:rsidR="001B28B8">
        <w:rPr>
          <w:sz w:val="22"/>
          <w:szCs w:val="22"/>
        </w:rPr>
        <w:t xml:space="preserve"> s </w:t>
      </w:r>
      <w:r w:rsidRPr="00130A28">
        <w:rPr>
          <w:sz w:val="22"/>
          <w:szCs w:val="22"/>
        </w:rPr>
        <w:t>institucionálními</w:t>
      </w:r>
      <w:r w:rsidR="001B28B8">
        <w:rPr>
          <w:sz w:val="22"/>
          <w:szCs w:val="22"/>
        </w:rPr>
        <w:t xml:space="preserve"> a </w:t>
      </w:r>
      <w:r w:rsidRPr="00130A28">
        <w:rPr>
          <w:sz w:val="22"/>
          <w:szCs w:val="22"/>
        </w:rPr>
        <w:t>odvětvovými subjekty;</w:t>
      </w:r>
    </w:p>
    <w:p w14:paraId="699DDED0" w14:textId="7A8E85CE"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zdůrazňuje, že kulturní</w:t>
      </w:r>
      <w:r w:rsidR="001B28B8">
        <w:rPr>
          <w:sz w:val="22"/>
          <w:szCs w:val="22"/>
        </w:rPr>
        <w:t xml:space="preserve"> a </w:t>
      </w:r>
      <w:r w:rsidRPr="00130A28">
        <w:rPr>
          <w:sz w:val="22"/>
          <w:szCs w:val="22"/>
        </w:rPr>
        <w:t xml:space="preserve">kreativní odvětví jsou </w:t>
      </w:r>
      <w:r w:rsidRPr="00130A28">
        <w:rPr>
          <w:b/>
          <w:sz w:val="22"/>
          <w:szCs w:val="22"/>
        </w:rPr>
        <w:t>strategickým hospodářským ekosystémem</w:t>
      </w:r>
      <w:r w:rsidRPr="00130A28">
        <w:rPr>
          <w:sz w:val="22"/>
          <w:szCs w:val="22"/>
        </w:rPr>
        <w:t>,</w:t>
      </w:r>
      <w:r w:rsidR="001B28B8">
        <w:rPr>
          <w:sz w:val="22"/>
          <w:szCs w:val="22"/>
        </w:rPr>
        <w:t xml:space="preserve"> a </w:t>
      </w:r>
      <w:r w:rsidRPr="00130A28">
        <w:rPr>
          <w:sz w:val="22"/>
          <w:szCs w:val="22"/>
        </w:rPr>
        <w:t>vyzývá</w:t>
      </w:r>
      <w:r w:rsidR="001B28B8">
        <w:rPr>
          <w:sz w:val="22"/>
          <w:szCs w:val="22"/>
        </w:rPr>
        <w:t xml:space="preserve"> k </w:t>
      </w:r>
      <w:r w:rsidRPr="00130A28">
        <w:rPr>
          <w:sz w:val="22"/>
          <w:szCs w:val="22"/>
        </w:rPr>
        <w:t>lepšímu začlenění klíčových odvětví, jako jsou hry, film, hudba</w:t>
      </w:r>
      <w:r w:rsidR="001B28B8">
        <w:rPr>
          <w:sz w:val="22"/>
          <w:szCs w:val="22"/>
        </w:rPr>
        <w:t xml:space="preserve"> a </w:t>
      </w:r>
      <w:r w:rsidRPr="00130A28">
        <w:rPr>
          <w:sz w:val="22"/>
          <w:szCs w:val="22"/>
        </w:rPr>
        <w:t>móda, do Kulturního kompasu;</w:t>
      </w:r>
    </w:p>
    <w:p w14:paraId="6879BECE" w14:textId="29DC6535"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 xml:space="preserve">podporuje </w:t>
      </w:r>
      <w:r w:rsidRPr="00130A28">
        <w:rPr>
          <w:b/>
          <w:sz w:val="22"/>
          <w:szCs w:val="22"/>
        </w:rPr>
        <w:t>kulturní vzdělávání</w:t>
      </w:r>
      <w:r w:rsidR="001B28B8">
        <w:rPr>
          <w:b/>
          <w:sz w:val="22"/>
          <w:szCs w:val="22"/>
        </w:rPr>
        <w:t xml:space="preserve"> a </w:t>
      </w:r>
      <w:r w:rsidRPr="00130A28">
        <w:rPr>
          <w:b/>
          <w:sz w:val="22"/>
          <w:szCs w:val="22"/>
        </w:rPr>
        <w:t>rozvoj dovedností</w:t>
      </w:r>
      <w:r w:rsidR="001B28B8">
        <w:rPr>
          <w:sz w:val="22"/>
          <w:szCs w:val="22"/>
        </w:rPr>
        <w:t xml:space="preserve"> a </w:t>
      </w:r>
      <w:r w:rsidRPr="00130A28">
        <w:rPr>
          <w:sz w:val="22"/>
          <w:szCs w:val="22"/>
        </w:rPr>
        <w:t>vyzývá</w:t>
      </w:r>
      <w:r w:rsidR="001B28B8">
        <w:rPr>
          <w:sz w:val="22"/>
          <w:szCs w:val="22"/>
        </w:rPr>
        <w:t xml:space="preserve"> k </w:t>
      </w:r>
      <w:r w:rsidRPr="00130A28">
        <w:rPr>
          <w:sz w:val="22"/>
          <w:szCs w:val="22"/>
        </w:rPr>
        <w:t>inkluzivnímu přístupu, účelovému financování</w:t>
      </w:r>
      <w:r w:rsidR="001B28B8">
        <w:rPr>
          <w:sz w:val="22"/>
          <w:szCs w:val="22"/>
        </w:rPr>
        <w:t xml:space="preserve"> a </w:t>
      </w:r>
      <w:r w:rsidRPr="00130A28">
        <w:rPr>
          <w:sz w:val="22"/>
          <w:szCs w:val="22"/>
        </w:rPr>
        <w:t>silnějším vazbám na programy EU, jako je Erasmus+</w:t>
      </w:r>
      <w:r w:rsidR="001B28B8">
        <w:rPr>
          <w:sz w:val="22"/>
          <w:szCs w:val="22"/>
        </w:rPr>
        <w:t xml:space="preserve"> a </w:t>
      </w:r>
      <w:r w:rsidRPr="00130A28">
        <w:rPr>
          <w:sz w:val="22"/>
          <w:szCs w:val="22"/>
        </w:rPr>
        <w:t>politika soudržnosti;</w:t>
      </w:r>
    </w:p>
    <w:p w14:paraId="2199DE99" w14:textId="670B4DAB"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b/>
          <w:sz w:val="22"/>
          <w:szCs w:val="22"/>
        </w:rPr>
        <w:t>podporuje vypracování Charty umělců EU</w:t>
      </w:r>
      <w:r w:rsidR="001B28B8">
        <w:rPr>
          <w:sz w:val="22"/>
          <w:szCs w:val="22"/>
        </w:rPr>
        <w:t xml:space="preserve"> s </w:t>
      </w:r>
      <w:r w:rsidRPr="00130A28">
        <w:rPr>
          <w:sz w:val="22"/>
          <w:szCs w:val="22"/>
        </w:rPr>
        <w:t>cílem zajistit spravedlivé pracovní podmínky, silnější sociální ochranu</w:t>
      </w:r>
      <w:r w:rsidR="001B28B8">
        <w:rPr>
          <w:sz w:val="22"/>
          <w:szCs w:val="22"/>
        </w:rPr>
        <w:t xml:space="preserve"> a </w:t>
      </w:r>
      <w:r w:rsidRPr="00130A28">
        <w:rPr>
          <w:sz w:val="22"/>
          <w:szCs w:val="22"/>
        </w:rPr>
        <w:t>sladění financování EU</w:t>
      </w:r>
      <w:r w:rsidR="001B28B8">
        <w:rPr>
          <w:sz w:val="22"/>
          <w:szCs w:val="22"/>
        </w:rPr>
        <w:t xml:space="preserve"> s </w:t>
      </w:r>
      <w:r w:rsidRPr="00130A28">
        <w:rPr>
          <w:sz w:val="22"/>
          <w:szCs w:val="22"/>
        </w:rPr>
        <w:t>normami kvalitní zaměstnanosti;</w:t>
      </w:r>
    </w:p>
    <w:p w14:paraId="26FD4D6E" w14:textId="668E5757"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 xml:space="preserve">zdůrazňuje </w:t>
      </w:r>
      <w:r w:rsidRPr="00130A28">
        <w:rPr>
          <w:b/>
          <w:sz w:val="22"/>
          <w:szCs w:val="22"/>
        </w:rPr>
        <w:t>význam trvalých veřejných investic</w:t>
      </w:r>
      <w:r w:rsidRPr="00130A28">
        <w:rPr>
          <w:sz w:val="22"/>
          <w:szCs w:val="22"/>
        </w:rPr>
        <w:t xml:space="preserve"> do kulturních</w:t>
      </w:r>
      <w:r w:rsidR="001B28B8">
        <w:rPr>
          <w:sz w:val="22"/>
          <w:szCs w:val="22"/>
        </w:rPr>
        <w:t xml:space="preserve"> a </w:t>
      </w:r>
      <w:r w:rsidRPr="00130A28">
        <w:rPr>
          <w:sz w:val="22"/>
          <w:szCs w:val="22"/>
        </w:rPr>
        <w:t>kreativních odvětví</w:t>
      </w:r>
      <w:r w:rsidR="001B28B8">
        <w:rPr>
          <w:sz w:val="22"/>
          <w:szCs w:val="22"/>
        </w:rPr>
        <w:t xml:space="preserve"> a </w:t>
      </w:r>
      <w:r w:rsidRPr="00130A28">
        <w:rPr>
          <w:sz w:val="22"/>
          <w:szCs w:val="22"/>
        </w:rPr>
        <w:t>zároveň podpory lepšího přístupu malých</w:t>
      </w:r>
      <w:r w:rsidR="001B28B8">
        <w:rPr>
          <w:sz w:val="22"/>
          <w:szCs w:val="22"/>
        </w:rPr>
        <w:t xml:space="preserve"> a </w:t>
      </w:r>
      <w:r w:rsidRPr="00130A28">
        <w:rPr>
          <w:sz w:val="22"/>
          <w:szCs w:val="22"/>
        </w:rPr>
        <w:t>středních podniků</w:t>
      </w:r>
      <w:r w:rsidR="001B28B8">
        <w:rPr>
          <w:sz w:val="22"/>
          <w:szCs w:val="22"/>
        </w:rPr>
        <w:t xml:space="preserve"> k </w:t>
      </w:r>
      <w:r w:rsidRPr="00130A28">
        <w:rPr>
          <w:sz w:val="22"/>
          <w:szCs w:val="22"/>
        </w:rPr>
        <w:t>financování prostřednictvím větší mobilizace nástrojů EIB</w:t>
      </w:r>
      <w:r w:rsidR="001B28B8">
        <w:rPr>
          <w:sz w:val="22"/>
          <w:szCs w:val="22"/>
        </w:rPr>
        <w:t xml:space="preserve"> a </w:t>
      </w:r>
      <w:r w:rsidRPr="00130A28">
        <w:rPr>
          <w:sz w:val="22"/>
          <w:szCs w:val="22"/>
        </w:rPr>
        <w:t>EIF spolu</w:t>
      </w:r>
      <w:r w:rsidR="001B28B8">
        <w:rPr>
          <w:sz w:val="22"/>
          <w:szCs w:val="22"/>
        </w:rPr>
        <w:t xml:space="preserve"> s </w:t>
      </w:r>
      <w:r w:rsidRPr="00130A28">
        <w:rPr>
          <w:sz w:val="22"/>
          <w:szCs w:val="22"/>
        </w:rPr>
        <w:t>rozvojem doplňkových rámců soukromé podpory;</w:t>
      </w:r>
    </w:p>
    <w:p w14:paraId="5E903120" w14:textId="529BD169"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t>zasazuje se</w:t>
      </w:r>
      <w:r w:rsidR="001B28B8">
        <w:rPr>
          <w:sz w:val="22"/>
          <w:szCs w:val="22"/>
        </w:rPr>
        <w:t xml:space="preserve"> o </w:t>
      </w:r>
      <w:r w:rsidRPr="00130A28">
        <w:rPr>
          <w:sz w:val="22"/>
          <w:szCs w:val="22"/>
        </w:rPr>
        <w:t xml:space="preserve">to, aby </w:t>
      </w:r>
      <w:r w:rsidRPr="00130A28">
        <w:rPr>
          <w:b/>
          <w:sz w:val="22"/>
          <w:szCs w:val="22"/>
        </w:rPr>
        <w:t>bylo společné prohlášení přijato na institucionální úrovni</w:t>
      </w:r>
      <w:r w:rsidRPr="00130A28">
        <w:rPr>
          <w:sz w:val="22"/>
          <w:szCs w:val="22"/>
        </w:rPr>
        <w:t xml:space="preserve"> evropskými orgány (včetně EHSV</w:t>
      </w:r>
      <w:r w:rsidR="001B28B8">
        <w:rPr>
          <w:sz w:val="22"/>
          <w:szCs w:val="22"/>
        </w:rPr>
        <w:t xml:space="preserve"> a </w:t>
      </w:r>
      <w:r w:rsidRPr="00130A28">
        <w:rPr>
          <w:sz w:val="22"/>
          <w:szCs w:val="22"/>
        </w:rPr>
        <w:t>Výboru regionů)</w:t>
      </w:r>
      <w:r w:rsidR="001B28B8">
        <w:rPr>
          <w:sz w:val="22"/>
          <w:szCs w:val="22"/>
        </w:rPr>
        <w:t xml:space="preserve"> a </w:t>
      </w:r>
      <w:r w:rsidRPr="00130A28">
        <w:rPr>
          <w:sz w:val="22"/>
          <w:szCs w:val="22"/>
        </w:rPr>
        <w:t>zúčastněnými stranami</w:t>
      </w:r>
      <w:r w:rsidR="001B28B8">
        <w:rPr>
          <w:sz w:val="22"/>
          <w:szCs w:val="22"/>
        </w:rPr>
        <w:t xml:space="preserve"> s </w:t>
      </w:r>
      <w:r w:rsidRPr="00130A28">
        <w:rPr>
          <w:sz w:val="22"/>
          <w:szCs w:val="22"/>
        </w:rPr>
        <w:t>cílem zajistit širokou odpovědnost</w:t>
      </w:r>
      <w:r w:rsidR="001B28B8">
        <w:rPr>
          <w:sz w:val="22"/>
          <w:szCs w:val="22"/>
        </w:rPr>
        <w:t xml:space="preserve"> a </w:t>
      </w:r>
      <w:r w:rsidRPr="00130A28">
        <w:rPr>
          <w:sz w:val="22"/>
          <w:szCs w:val="22"/>
        </w:rPr>
        <w:t>legitimitu;</w:t>
      </w:r>
    </w:p>
    <w:p w14:paraId="5CB9935B" w14:textId="3D655FA9" w:rsidR="00AF6230" w:rsidRPr="00130A28" w:rsidRDefault="00AF6230" w:rsidP="008D7B21">
      <w:pPr>
        <w:pStyle w:val="NormalWeb"/>
        <w:numPr>
          <w:ilvl w:val="0"/>
          <w:numId w:val="28"/>
        </w:numPr>
        <w:spacing w:before="0" w:beforeAutospacing="0" w:after="0" w:afterAutospacing="0" w:line="288" w:lineRule="auto"/>
        <w:ind w:left="567" w:hanging="567"/>
        <w:jc w:val="both"/>
        <w:rPr>
          <w:sz w:val="22"/>
          <w:szCs w:val="22"/>
        </w:rPr>
      </w:pPr>
      <w:r w:rsidRPr="00130A28">
        <w:rPr>
          <w:sz w:val="22"/>
          <w:szCs w:val="22"/>
        </w:rPr>
        <w:lastRenderedPageBreak/>
        <w:t xml:space="preserve">zdůrazňuje </w:t>
      </w:r>
      <w:r w:rsidRPr="00130A28">
        <w:rPr>
          <w:b/>
          <w:sz w:val="22"/>
          <w:szCs w:val="22"/>
        </w:rPr>
        <w:t>význam mezinárodního rozměru kultury</w:t>
      </w:r>
      <w:r w:rsidRPr="00130A28">
        <w:rPr>
          <w:sz w:val="22"/>
          <w:szCs w:val="22"/>
        </w:rPr>
        <w:t>, vyzývá</w:t>
      </w:r>
      <w:r w:rsidR="001B28B8">
        <w:rPr>
          <w:sz w:val="22"/>
          <w:szCs w:val="22"/>
        </w:rPr>
        <w:t xml:space="preserve"> k </w:t>
      </w:r>
      <w:r w:rsidRPr="00130A28">
        <w:rPr>
          <w:sz w:val="22"/>
          <w:szCs w:val="22"/>
        </w:rPr>
        <w:t>jejímu plnému znovuzačlenění do společného prohlášení</w:t>
      </w:r>
      <w:r w:rsidR="001B28B8">
        <w:rPr>
          <w:sz w:val="22"/>
          <w:szCs w:val="22"/>
        </w:rPr>
        <w:t xml:space="preserve"> a k </w:t>
      </w:r>
      <w:r w:rsidRPr="00130A28">
        <w:rPr>
          <w:sz w:val="22"/>
          <w:szCs w:val="22"/>
        </w:rPr>
        <w:t>vypracování komplexního akčního plánu založeného na strategii EU pro mezinárodní kulturní vztahy.</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C53E67" w:rsidRPr="00C53E67" w14:paraId="272A79A3" w14:textId="77777777" w:rsidTr="00FB4D8E">
        <w:tc>
          <w:tcPr>
            <w:tcW w:w="1059"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Kontakt:</w:t>
            </w:r>
          </w:p>
        </w:tc>
        <w:tc>
          <w:tcPr>
            <w:tcW w:w="3941"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 Marie Rogue</w:t>
            </w:r>
          </w:p>
        </w:tc>
      </w:tr>
      <w:tr w:rsidR="00C53E67" w:rsidRPr="00C53E67" w14:paraId="6943624D" w14:textId="77777777" w:rsidTr="00FB4D8E">
        <w:tc>
          <w:tcPr>
            <w:tcW w:w="1059"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w:t>
            </w:r>
          </w:p>
        </w:tc>
        <w:tc>
          <w:tcPr>
            <w:tcW w:w="3941"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FB4D8E">
        <w:tc>
          <w:tcPr>
            <w:tcW w:w="1059"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E-mail:</w:t>
            </w:r>
          </w:p>
        </w:tc>
        <w:tc>
          <w:tcPr>
            <w:tcW w:w="3941" w:type="pct"/>
          </w:tcPr>
          <w:p w14:paraId="18C49AA7" w14:textId="77777777" w:rsidR="00C53E67" w:rsidRPr="00C53E67" w:rsidRDefault="00123016" w:rsidP="00C53E67">
            <w:pPr>
              <w:overflowPunct w:val="0"/>
              <w:autoSpaceDE w:val="0"/>
              <w:autoSpaceDN w:val="0"/>
              <w:adjustRightInd w:val="0"/>
              <w:spacing w:line="240" w:lineRule="auto"/>
              <w:textAlignment w:val="baseline"/>
              <w:rPr>
                <w:i/>
              </w:rPr>
            </w:pPr>
            <w:hyperlink r:id="rId29" w:history="1">
              <w:r w:rsidR="00E60ACE">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3" w14:textId="27B591C8" w:rsidR="004D7AC0" w:rsidRDefault="004D7AC0" w:rsidP="00AA5081">
      <w:pPr>
        <w:pStyle w:val="Heading1"/>
      </w:pPr>
      <w:bookmarkStart w:id="5" w:name="_Toc75527083"/>
      <w:bookmarkStart w:id="6" w:name="_Toc229140655"/>
      <w:bookmarkStart w:id="7" w:name="_Toc229143563"/>
      <w:r>
        <w:lastRenderedPageBreak/>
        <w:t>JEDNOTNÝ TRH, VÝROBA</w:t>
      </w:r>
      <w:r w:rsidR="001B28B8">
        <w:t xml:space="preserve"> A </w:t>
      </w:r>
      <w:r>
        <w:t>SPOTŘEBA</w:t>
      </w:r>
      <w:bookmarkEnd w:id="5"/>
      <w:bookmarkEnd w:id="6"/>
      <w:bookmarkEnd w:id="7"/>
    </w:p>
    <w:p w14:paraId="4982DDF4" w14:textId="77777777" w:rsidR="004D7AC0" w:rsidRDefault="004D7AC0" w:rsidP="001766B2"/>
    <w:p w14:paraId="566598A4" w14:textId="38B58356" w:rsidR="00392AE5" w:rsidRPr="00EB0DDD" w:rsidRDefault="00123016" w:rsidP="008D7B21">
      <w:pPr>
        <w:widowControl w:val="0"/>
        <w:numPr>
          <w:ilvl w:val="0"/>
          <w:numId w:val="2"/>
        </w:numPr>
        <w:tabs>
          <w:tab w:val="left" w:pos="2127"/>
        </w:tabs>
        <w:overflowPunct w:val="0"/>
        <w:autoSpaceDE w:val="0"/>
        <w:autoSpaceDN w:val="0"/>
        <w:adjustRightInd w:val="0"/>
        <w:ind w:hanging="567"/>
        <w:textAlignment w:val="baseline"/>
        <w:rPr>
          <w:b/>
          <w:bCs/>
          <w:i/>
          <w:iCs/>
          <w:sz w:val="28"/>
          <w:szCs w:val="28"/>
        </w:rPr>
      </w:pPr>
      <w:hyperlink r:id="rId30" w:history="1">
        <w:r w:rsidR="00392AE5" w:rsidRPr="00EB0DDD">
          <w:rPr>
            <w:rStyle w:val="Hyperlink"/>
            <w:b/>
            <w:bCs/>
            <w:i/>
            <w:iCs/>
            <w:sz w:val="28"/>
            <w:szCs w:val="28"/>
          </w:rPr>
          <w:t>Nadměrný cestovní ruch, krátkodobé pronájmy</w:t>
        </w:r>
        <w:r w:rsidR="001B28B8" w:rsidRPr="00EB0DDD">
          <w:rPr>
            <w:rStyle w:val="Hyperlink"/>
            <w:b/>
            <w:bCs/>
            <w:i/>
            <w:iCs/>
            <w:sz w:val="28"/>
            <w:szCs w:val="28"/>
          </w:rPr>
          <w:t xml:space="preserve"> a </w:t>
        </w:r>
        <w:r w:rsidR="00392AE5" w:rsidRPr="00EB0DDD">
          <w:rPr>
            <w:rStyle w:val="Hyperlink"/>
            <w:b/>
            <w:bCs/>
            <w:i/>
            <w:iCs/>
            <w:sz w:val="28"/>
            <w:szCs w:val="28"/>
          </w:rPr>
          <w:t>vytlačování místního obyvatelstva</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Zpravodaj</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Marine Dănuț MUREŞAN (skupina Zaměstnavatelé – RO)</w:t>
            </w:r>
          </w:p>
          <w:p w14:paraId="6824E4B7" w14:textId="3A5073A7" w:rsidR="003F20DF" w:rsidRPr="004917CF" w:rsidRDefault="003F20DF" w:rsidP="00392AE5">
            <w:pPr>
              <w:tabs>
                <w:tab w:val="center" w:pos="284"/>
              </w:tabs>
              <w:overflowPunct w:val="0"/>
              <w:autoSpaceDE w:val="0"/>
              <w:autoSpaceDN w:val="0"/>
              <w:adjustRightInd w:val="0"/>
              <w:ind w:left="266" w:right="-3091" w:hanging="266"/>
              <w:textAlignment w:val="baseline"/>
              <w:rPr>
                <w:bCs/>
                <w:sz w:val="14"/>
                <w:szCs w:val="14"/>
              </w:rPr>
            </w:pPr>
          </w:p>
        </w:tc>
      </w:tr>
      <w:tr w:rsidR="00392AE5" w:rsidRPr="00392AE5" w14:paraId="241C9609" w14:textId="77777777" w:rsidTr="002E7EFB">
        <w:tc>
          <w:tcPr>
            <w:tcW w:w="1077" w:type="pct"/>
          </w:tcPr>
          <w:p w14:paraId="13E4A55F" w14:textId="6422FEBE" w:rsidR="00392AE5" w:rsidRPr="00392AE5" w:rsidRDefault="00986FC0" w:rsidP="00392AE5">
            <w:pPr>
              <w:tabs>
                <w:tab w:val="center" w:pos="284"/>
              </w:tabs>
              <w:overflowPunct w:val="0"/>
              <w:autoSpaceDE w:val="0"/>
              <w:autoSpaceDN w:val="0"/>
              <w:adjustRightInd w:val="0"/>
              <w:ind w:left="266" w:hanging="266"/>
              <w:textAlignment w:val="baseline"/>
              <w:rPr>
                <w:b/>
              </w:rPr>
            </w:pPr>
            <w:r>
              <w:rPr>
                <w:b/>
              </w:rPr>
              <w:t>Odkazy</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(průzkumné stanovisko na žádost kyperského předsednictví Rady EU)</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Hlavní body</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EHSV:</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23EB9C47" w14:textId="0ADE561D" w:rsidR="00AF6230" w:rsidRDefault="00AF6230" w:rsidP="008D7B21">
      <w:pPr>
        <w:numPr>
          <w:ilvl w:val="0"/>
          <w:numId w:val="15"/>
        </w:numPr>
        <w:ind w:left="567" w:hanging="567"/>
      </w:pPr>
      <w:r>
        <w:t>zdůrazňuje, že cestovní ruch je pro Evropskou unii strategickým ekosystémem, který přispívá</w:t>
      </w:r>
      <w:r w:rsidR="001B28B8">
        <w:t xml:space="preserve"> k </w:t>
      </w:r>
      <w:r>
        <w:t>růstu, zaměstnanosti</w:t>
      </w:r>
      <w:r w:rsidR="001B28B8">
        <w:t xml:space="preserve"> a </w:t>
      </w:r>
      <w:r>
        <w:t>sociálnímu rozvoji,</w:t>
      </w:r>
      <w:r w:rsidR="001B28B8">
        <w:t xml:space="preserve"> a </w:t>
      </w:r>
      <w:r>
        <w:t>vyzývá</w:t>
      </w:r>
      <w:r w:rsidR="001B28B8">
        <w:t xml:space="preserve"> k </w:t>
      </w:r>
      <w:r>
        <w:t>posunu směrem</w:t>
      </w:r>
      <w:r w:rsidR="001B28B8">
        <w:t xml:space="preserve"> k </w:t>
      </w:r>
      <w:r>
        <w:t>udržitelnějšímu, vyváženějšímu</w:t>
      </w:r>
      <w:r w:rsidR="001B28B8">
        <w:t xml:space="preserve"> a </w:t>
      </w:r>
      <w:r>
        <w:t xml:space="preserve">konkurenceschopnějšímu modelu, jenž ochrání kvalitu života místních komunit; </w:t>
      </w:r>
    </w:p>
    <w:p w14:paraId="20D71448" w14:textId="258865D5" w:rsidR="00AF6230" w:rsidRDefault="00AF6230" w:rsidP="008D7B21">
      <w:pPr>
        <w:numPr>
          <w:ilvl w:val="0"/>
          <w:numId w:val="15"/>
        </w:numPr>
        <w:ind w:left="567" w:hanging="567"/>
      </w:pPr>
      <w:r>
        <w:t>varuje před rostoucím tlakem nadměrného cestovního ruchu</w:t>
      </w:r>
      <w:r w:rsidR="001B28B8">
        <w:t xml:space="preserve"> a </w:t>
      </w:r>
      <w:r>
        <w:t>krátkodobých pronájmů</w:t>
      </w:r>
      <w:r w:rsidR="001B28B8">
        <w:t xml:space="preserve"> v </w:t>
      </w:r>
      <w:r>
        <w:t>některých destinacích</w:t>
      </w:r>
      <w:r w:rsidR="001B28B8">
        <w:t xml:space="preserve"> a </w:t>
      </w:r>
      <w:r>
        <w:rPr>
          <w:b/>
        </w:rPr>
        <w:t>požaduje, aby na úrovni EU probíhala koordinovaná činnost</w:t>
      </w:r>
      <w:r>
        <w:t xml:space="preserve"> na podporu členských států při vytváření přiměřených místně orientovaných řešení založených na důkazech; </w:t>
      </w:r>
    </w:p>
    <w:p w14:paraId="7631C261" w14:textId="63CF7416" w:rsidR="00AF6230" w:rsidRDefault="00AF6230" w:rsidP="008D7B21">
      <w:pPr>
        <w:numPr>
          <w:ilvl w:val="0"/>
          <w:numId w:val="15"/>
        </w:numPr>
        <w:ind w:left="567" w:hanging="567"/>
      </w:pPr>
      <w:r>
        <w:t>navrhuje vytvořit nástroje</w:t>
      </w:r>
      <w:r w:rsidR="001B28B8">
        <w:t xml:space="preserve"> a </w:t>
      </w:r>
      <w:r>
        <w:t>strategie podporované Evropskou unií za účelem lepšího řízení toků cestovního ruchu, včetně systémů digitální kontroly, diverzifikace destinací</w:t>
      </w:r>
      <w:r w:rsidR="001B28B8">
        <w:t xml:space="preserve"> a </w:t>
      </w:r>
      <w:r>
        <w:t>turistických sezón</w:t>
      </w:r>
      <w:r w:rsidR="001B28B8">
        <w:t xml:space="preserve"> a </w:t>
      </w:r>
      <w:r>
        <w:t>pevnějšího propojení cestovního ruchu</w:t>
      </w:r>
      <w:r w:rsidR="001B28B8">
        <w:t xml:space="preserve"> a </w:t>
      </w:r>
      <w:r>
        <w:t>místních ekonomik, kultury</w:t>
      </w:r>
      <w:r w:rsidR="001B28B8">
        <w:t xml:space="preserve"> a </w:t>
      </w:r>
      <w:r>
        <w:t xml:space="preserve">tradičních řemesel; </w:t>
      </w:r>
    </w:p>
    <w:p w14:paraId="6DFAF43A" w14:textId="23F1A305" w:rsidR="00AF6230" w:rsidRDefault="00AF6230" w:rsidP="008D7B21">
      <w:pPr>
        <w:numPr>
          <w:ilvl w:val="0"/>
          <w:numId w:val="15"/>
        </w:numPr>
        <w:ind w:left="567" w:hanging="567"/>
      </w:pPr>
      <w:r>
        <w:t>zasazuje se</w:t>
      </w:r>
      <w:r w:rsidR="001B28B8">
        <w:t xml:space="preserve"> o </w:t>
      </w:r>
      <w:r>
        <w:t>inovativní modely správy</w:t>
      </w:r>
      <w:r w:rsidR="001B28B8">
        <w:t xml:space="preserve"> a </w:t>
      </w:r>
      <w:r>
        <w:t>financování, jež budou kombinací veřejných</w:t>
      </w:r>
      <w:r w:rsidR="001B28B8">
        <w:t xml:space="preserve"> a </w:t>
      </w:r>
      <w:r>
        <w:t>soukromých investic,</w:t>
      </w:r>
      <w:r w:rsidR="001B28B8">
        <w:t xml:space="preserve"> s </w:t>
      </w:r>
      <w:r>
        <w:t>cílem podporovat udržitelný cestovní ruch, dostupné bydlení</w:t>
      </w:r>
      <w:r w:rsidR="001B28B8">
        <w:t xml:space="preserve"> a </w:t>
      </w:r>
      <w:r>
        <w:t>místní podnikatelské ekosystémy,</w:t>
      </w:r>
      <w:r w:rsidR="001B28B8">
        <w:t xml:space="preserve"> v </w:t>
      </w:r>
      <w:r>
        <w:t>nichž budou hrát významnou roli malé</w:t>
      </w:r>
      <w:r w:rsidR="001B28B8">
        <w:t xml:space="preserve"> a </w:t>
      </w:r>
      <w:r>
        <w:t>střední podniky</w:t>
      </w:r>
      <w:r w:rsidR="001B28B8">
        <w:t xml:space="preserve"> a </w:t>
      </w:r>
      <w:r>
        <w:t xml:space="preserve">místní komunity; </w:t>
      </w:r>
    </w:p>
    <w:p w14:paraId="4F7851FA" w14:textId="2BB7B2EA" w:rsidR="00AF6230" w:rsidRPr="00DA7229" w:rsidRDefault="00AF6230" w:rsidP="008D7B21">
      <w:pPr>
        <w:widowControl w:val="0"/>
        <w:numPr>
          <w:ilvl w:val="0"/>
          <w:numId w:val="15"/>
        </w:numPr>
        <w:ind w:left="567" w:hanging="567"/>
        <w:rPr>
          <w:bCs/>
          <w:iCs/>
        </w:rPr>
      </w:pPr>
      <w:r>
        <w:t>doporučuje posilovat dovednosti, odbornou přípravu</w:t>
      </w:r>
      <w:r w:rsidR="001B28B8">
        <w:t xml:space="preserve"> a </w:t>
      </w:r>
      <w:r>
        <w:t>zapojení mladých lidí</w:t>
      </w:r>
      <w:r w:rsidR="001B28B8">
        <w:t xml:space="preserve"> a </w:t>
      </w:r>
      <w:r>
        <w:t>vyzývá</w:t>
      </w:r>
      <w:r w:rsidR="001B28B8">
        <w:t xml:space="preserve"> k </w:t>
      </w:r>
      <w:r>
        <w:t xml:space="preserve">vytvoření </w:t>
      </w:r>
      <w:r>
        <w:rPr>
          <w:b/>
        </w:rPr>
        <w:t>Evropského střediska pro tradiční řemesla</w:t>
      </w:r>
      <w:r w:rsidR="001B28B8">
        <w:rPr>
          <w:b/>
        </w:rPr>
        <w:t xml:space="preserve"> a </w:t>
      </w:r>
      <w:r>
        <w:rPr>
          <w:b/>
        </w:rPr>
        <w:t>profese</w:t>
      </w:r>
      <w:r>
        <w:t>, jež by podporovalo místní ekonomiky</w:t>
      </w:r>
      <w:r w:rsidR="001B28B8">
        <w:t xml:space="preserve"> a </w:t>
      </w:r>
      <w:r>
        <w:t>kulturní udržitelnost</w:t>
      </w:r>
      <w:r w:rsidR="001B28B8">
        <w:t xml:space="preserve"> v </w:t>
      </w:r>
      <w:r>
        <w:t>celé EU.</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905"/>
      </w:tblGrid>
      <w:tr w:rsidR="00392AE5" w:rsidRPr="00392AE5" w14:paraId="519A6FBB" w14:textId="77777777" w:rsidTr="00FB4D8E">
        <w:tc>
          <w:tcPr>
            <w:tcW w:w="745" w:type="pct"/>
          </w:tcPr>
          <w:p w14:paraId="2511DD3A" w14:textId="6223CE3A" w:rsidR="00392AE5" w:rsidRPr="00392AE5" w:rsidRDefault="00392AE5" w:rsidP="00392AE5">
            <w:pPr>
              <w:overflowPunct w:val="0"/>
              <w:autoSpaceDE w:val="0"/>
              <w:autoSpaceDN w:val="0"/>
              <w:adjustRightInd w:val="0"/>
              <w:textAlignment w:val="baseline"/>
              <w:rPr>
                <w:i/>
              </w:rPr>
            </w:pPr>
            <w:r>
              <w:rPr>
                <w:b/>
                <w:i/>
              </w:rPr>
              <w:t>Kontakt:</w:t>
            </w:r>
          </w:p>
        </w:tc>
        <w:tc>
          <w:tcPr>
            <w:tcW w:w="4255"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FB4D8E">
        <w:tc>
          <w:tcPr>
            <w:tcW w:w="745" w:type="pct"/>
          </w:tcPr>
          <w:p w14:paraId="2CBD3E50" w14:textId="77777777" w:rsidR="00392AE5" w:rsidRPr="00392AE5" w:rsidRDefault="00392AE5" w:rsidP="00392AE5">
            <w:pPr>
              <w:overflowPunct w:val="0"/>
              <w:autoSpaceDE w:val="0"/>
              <w:autoSpaceDN w:val="0"/>
              <w:adjustRightInd w:val="0"/>
              <w:textAlignment w:val="baseline"/>
              <w:rPr>
                <w:i/>
              </w:rPr>
            </w:pPr>
            <w:r>
              <w:rPr>
                <w:i/>
              </w:rPr>
              <w:t>Tel.</w:t>
            </w:r>
          </w:p>
        </w:tc>
        <w:tc>
          <w:tcPr>
            <w:tcW w:w="4255"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FB4D8E">
        <w:tc>
          <w:tcPr>
            <w:tcW w:w="745" w:type="pct"/>
          </w:tcPr>
          <w:p w14:paraId="22A428C5" w14:textId="77777777" w:rsidR="00392AE5" w:rsidRPr="00392AE5" w:rsidRDefault="00392AE5" w:rsidP="00392AE5">
            <w:pPr>
              <w:overflowPunct w:val="0"/>
              <w:autoSpaceDE w:val="0"/>
              <w:autoSpaceDN w:val="0"/>
              <w:adjustRightInd w:val="0"/>
              <w:textAlignment w:val="baseline"/>
              <w:rPr>
                <w:i/>
              </w:rPr>
            </w:pPr>
            <w:r>
              <w:rPr>
                <w:i/>
              </w:rPr>
              <w:t>E-mail:</w:t>
            </w:r>
          </w:p>
        </w:tc>
        <w:tc>
          <w:tcPr>
            <w:tcW w:w="4255" w:type="pct"/>
          </w:tcPr>
          <w:p w14:paraId="0EBCDB0C" w14:textId="77777777" w:rsidR="00392AE5" w:rsidRPr="00392AE5" w:rsidRDefault="00123016" w:rsidP="00392AE5">
            <w:pPr>
              <w:overflowPunct w:val="0"/>
              <w:autoSpaceDE w:val="0"/>
              <w:autoSpaceDN w:val="0"/>
              <w:adjustRightInd w:val="0"/>
              <w:spacing w:line="240" w:lineRule="auto"/>
              <w:textAlignment w:val="baseline"/>
              <w:rPr>
                <w:i/>
              </w:rPr>
            </w:pPr>
            <w:hyperlink r:id="rId31" w:history="1">
              <w:r w:rsidR="00E60ACE">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4B11B988" w:rsidR="008E331E" w:rsidRPr="00EB0DDD"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32" w:history="1">
        <w:r w:rsidR="00E60ACE" w:rsidRPr="00EB0DDD">
          <w:rPr>
            <w:rStyle w:val="Hyperlink"/>
            <w:b/>
            <w:bCs/>
            <w:i/>
            <w:iCs/>
            <w:sz w:val="28"/>
            <w:szCs w:val="28"/>
          </w:rPr>
          <w:t>Revize norem CO</w:t>
        </w:r>
        <w:r w:rsidR="00E60ACE" w:rsidRPr="00EB0DDD">
          <w:rPr>
            <w:rStyle w:val="Hyperlink"/>
            <w:b/>
            <w:bCs/>
            <w:i/>
            <w:iCs/>
            <w:sz w:val="28"/>
            <w:szCs w:val="28"/>
            <w:vertAlign w:val="subscript"/>
          </w:rPr>
          <w:t>2</w:t>
        </w:r>
        <w:r w:rsidR="00E60ACE" w:rsidRPr="00EB0DDD">
          <w:rPr>
            <w:rStyle w:val="Hyperlink"/>
            <w:b/>
            <w:bCs/>
            <w:i/>
            <w:iCs/>
            <w:sz w:val="28"/>
            <w:szCs w:val="28"/>
          </w:rPr>
          <w:t xml:space="preserve"> pro osobní automobily</w:t>
        </w:r>
        <w:r w:rsidR="001B28B8" w:rsidRPr="00EB0DDD">
          <w:rPr>
            <w:rStyle w:val="Hyperlink"/>
            <w:b/>
            <w:bCs/>
            <w:i/>
            <w:iCs/>
            <w:sz w:val="28"/>
            <w:szCs w:val="28"/>
          </w:rPr>
          <w:t xml:space="preserve"> a </w:t>
        </w:r>
        <w:r w:rsidR="00E60ACE" w:rsidRPr="00EB0DDD">
          <w:rPr>
            <w:rStyle w:val="Hyperlink"/>
            <w:b/>
            <w:bCs/>
            <w:i/>
            <w:iCs/>
            <w:sz w:val="28"/>
            <w:szCs w:val="28"/>
          </w:rPr>
          <w:t>dodávky</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Zpravodaj</w:t>
            </w:r>
          </w:p>
        </w:tc>
        <w:tc>
          <w:tcPr>
            <w:tcW w:w="5387" w:type="dxa"/>
          </w:tcPr>
          <w:p w14:paraId="3D9FC490" w14:textId="5CEECB84" w:rsidR="008E331E" w:rsidRPr="008E331E" w:rsidRDefault="008E331E" w:rsidP="008E331E">
            <w:pPr>
              <w:tabs>
                <w:tab w:val="center" w:pos="284"/>
              </w:tabs>
              <w:overflowPunct w:val="0"/>
              <w:autoSpaceDE w:val="0"/>
              <w:autoSpaceDN w:val="0"/>
              <w:adjustRightInd w:val="0"/>
              <w:ind w:left="266" w:hanging="266"/>
              <w:textAlignment w:val="baseline"/>
            </w:pPr>
            <w:r>
              <w:t>Matteo Carlo BORSANI (Zaměstnavatelé – IT)</w:t>
            </w: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tcPr>
          <w:p w14:paraId="145A97E5" w14:textId="6110CF55"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Odkaz</w:t>
            </w:r>
            <w:r w:rsidR="00AF6230">
              <w:rPr>
                <w:b/>
              </w:rPr>
              <w:t>y</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Hlavní body</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EHSV:</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0D915D90" w14:textId="542A52BB" w:rsidR="00AF6230" w:rsidRPr="0088480C" w:rsidRDefault="00AF6230" w:rsidP="008D7B21">
      <w:pPr>
        <w:pStyle w:val="ListParagraph"/>
        <w:numPr>
          <w:ilvl w:val="0"/>
          <w:numId w:val="29"/>
        </w:numPr>
        <w:ind w:left="567" w:hanging="567"/>
      </w:pPr>
      <w:r w:rsidRPr="0088480C">
        <w:rPr>
          <w:b/>
          <w:bCs/>
        </w:rPr>
        <w:t>žádá vyvážený</w:t>
      </w:r>
      <w:r w:rsidR="001B28B8">
        <w:rPr>
          <w:b/>
          <w:bCs/>
        </w:rPr>
        <w:t xml:space="preserve"> a </w:t>
      </w:r>
      <w:r w:rsidRPr="0088480C">
        <w:rPr>
          <w:b/>
          <w:bCs/>
        </w:rPr>
        <w:t>soudržný rámec EU</w:t>
      </w:r>
      <w:r w:rsidRPr="0088480C">
        <w:t xml:space="preserve"> pro transformaci automobilového průmyslu, jenž bude spojovat jasný signál ve prospěch mobility</w:t>
      </w:r>
      <w:r w:rsidR="001B28B8">
        <w:t xml:space="preserve"> s </w:t>
      </w:r>
      <w:r w:rsidRPr="0088480C">
        <w:t>nulovými</w:t>
      </w:r>
      <w:r w:rsidR="001B28B8">
        <w:t xml:space="preserve"> a </w:t>
      </w:r>
      <w:r w:rsidRPr="0088480C">
        <w:t>nízkými emisemi</w:t>
      </w:r>
      <w:r w:rsidR="001B28B8">
        <w:t xml:space="preserve"> s </w:t>
      </w:r>
      <w:r w:rsidRPr="0088480C">
        <w:t>technologickou neutralitou, posílení faktoru „vyrobeno</w:t>
      </w:r>
      <w:r w:rsidR="001B28B8">
        <w:t xml:space="preserve"> v </w:t>
      </w:r>
      <w:r w:rsidRPr="0088480C">
        <w:t>EU“</w:t>
      </w:r>
      <w:r w:rsidR="001B28B8">
        <w:t xml:space="preserve"> v </w:t>
      </w:r>
      <w:r w:rsidRPr="0088480C">
        <w:t>hodnotovém řetězci</w:t>
      </w:r>
      <w:r w:rsidR="001B28B8">
        <w:t xml:space="preserve"> a </w:t>
      </w:r>
      <w:r w:rsidRPr="0088480C">
        <w:t>ochranu kvalitních pracovních míst, průmyslové kapacity</w:t>
      </w:r>
      <w:r w:rsidR="001B28B8">
        <w:t xml:space="preserve"> a </w:t>
      </w:r>
      <w:r w:rsidRPr="0088480C">
        <w:t>inovací;</w:t>
      </w:r>
    </w:p>
    <w:p w14:paraId="1CBF13CA" w14:textId="54E7B014" w:rsidR="00AF6230" w:rsidRPr="0088480C" w:rsidRDefault="00AF6230" w:rsidP="008D7B21">
      <w:pPr>
        <w:pStyle w:val="ListParagraph"/>
        <w:numPr>
          <w:ilvl w:val="0"/>
          <w:numId w:val="29"/>
        </w:numPr>
        <w:ind w:left="567" w:hanging="567"/>
      </w:pPr>
      <w:r w:rsidRPr="0088480C">
        <w:rPr>
          <w:b/>
          <w:bCs/>
        </w:rPr>
        <w:t>naléhavě vyzývá</w:t>
      </w:r>
      <w:r w:rsidR="001B28B8">
        <w:rPr>
          <w:b/>
          <w:bCs/>
        </w:rPr>
        <w:t xml:space="preserve"> k </w:t>
      </w:r>
      <w:r w:rsidRPr="0088480C">
        <w:rPr>
          <w:b/>
          <w:bCs/>
        </w:rPr>
        <w:t>pragmatické revizi norem CO</w:t>
      </w:r>
      <w:r w:rsidRPr="0088480C">
        <w:rPr>
          <w:b/>
          <w:bCs/>
          <w:vertAlign w:val="subscript"/>
        </w:rPr>
        <w:t>2</w:t>
      </w:r>
      <w:r w:rsidRPr="0088480C">
        <w:t xml:space="preserve"> pro osobní automobily</w:t>
      </w:r>
      <w:r w:rsidR="001B28B8">
        <w:t xml:space="preserve"> a </w:t>
      </w:r>
      <w:r w:rsidRPr="0088480C">
        <w:t>dodávky sladěné</w:t>
      </w:r>
      <w:r w:rsidR="001B28B8">
        <w:t xml:space="preserve"> s </w:t>
      </w:r>
      <w:r w:rsidRPr="0088480C">
        <w:t>reálným stavem trhu</w:t>
      </w:r>
      <w:r w:rsidR="001B28B8">
        <w:t xml:space="preserve"> a </w:t>
      </w:r>
      <w:r w:rsidRPr="0088480C">
        <w:t>klimatickými cíli tak, aby bylo možno obnovit konkurenceschopnost</w:t>
      </w:r>
      <w:r w:rsidR="001B28B8">
        <w:t xml:space="preserve"> a </w:t>
      </w:r>
      <w:r w:rsidRPr="0088480C">
        <w:t>zároveň zachovat dlouhodobou trajektorii dekarbonizace;</w:t>
      </w:r>
    </w:p>
    <w:p w14:paraId="6966E1E1" w14:textId="461F1A42" w:rsidR="00AF6230" w:rsidRPr="0088480C" w:rsidRDefault="00AF6230" w:rsidP="008D7B21">
      <w:pPr>
        <w:pStyle w:val="ListParagraph"/>
        <w:numPr>
          <w:ilvl w:val="0"/>
          <w:numId w:val="29"/>
        </w:numPr>
        <w:ind w:left="567" w:hanging="567"/>
      </w:pPr>
      <w:r w:rsidRPr="0088480C">
        <w:rPr>
          <w:b/>
          <w:bCs/>
        </w:rPr>
        <w:t>vyslovuje se pro posílení významu přechodových technologií</w:t>
      </w:r>
      <w:r w:rsidRPr="0088480C">
        <w:t xml:space="preserve"> včetně hybridních vozidel, udržitelných obnovitelných paliv</w:t>
      </w:r>
      <w:r w:rsidR="001B28B8">
        <w:t xml:space="preserve"> a </w:t>
      </w:r>
      <w:r w:rsidRPr="0088480C">
        <w:t>nízkoemisních materiálů</w:t>
      </w:r>
      <w:r w:rsidR="001B28B8">
        <w:t xml:space="preserve"> a </w:t>
      </w:r>
      <w:r w:rsidRPr="0088480C">
        <w:t>vyzývá ke snížení výhradní závislosti na výfukových emisích, aby bylo možno provést realističtější</w:t>
      </w:r>
      <w:r w:rsidR="001B28B8">
        <w:t xml:space="preserve"> a </w:t>
      </w:r>
      <w:r w:rsidRPr="0088480C">
        <w:t>sociálně vyváženější transformaci;</w:t>
      </w:r>
    </w:p>
    <w:p w14:paraId="2AF4691B" w14:textId="0ED300B9" w:rsidR="00AF6230" w:rsidRDefault="00AF6230" w:rsidP="008D7B21">
      <w:pPr>
        <w:pStyle w:val="ListParagraph"/>
        <w:numPr>
          <w:ilvl w:val="0"/>
          <w:numId w:val="29"/>
        </w:numPr>
        <w:ind w:left="567" w:hanging="567"/>
      </w:pPr>
      <w:r w:rsidRPr="0088480C">
        <w:rPr>
          <w:b/>
          <w:bCs/>
        </w:rPr>
        <w:t>vítá vyšší flexibilitu ke splnění cílů pro rok 2030</w:t>
      </w:r>
      <w:r w:rsidRPr="0088480C">
        <w:t xml:space="preserve"> včetně víceletého dodržování předpisů</w:t>
      </w:r>
      <w:r w:rsidR="001B28B8">
        <w:t xml:space="preserve"> a </w:t>
      </w:r>
      <w:r w:rsidRPr="0088480C">
        <w:t>žádá cílenou podporu nabíjecí infrastruktury, elektrifikaci podnikových vozových parků</w:t>
      </w:r>
      <w:r w:rsidR="001B28B8">
        <w:t xml:space="preserve"> a </w:t>
      </w:r>
      <w:r w:rsidRPr="0088480C">
        <w:t>lehkých užitkových vozidel, jež zatím pronikají na trh pouze</w:t>
      </w:r>
      <w:r w:rsidR="001B28B8">
        <w:t xml:space="preserve"> v </w:t>
      </w:r>
      <w:r w:rsidRPr="0088480C">
        <w:t>omezené míře;</w:t>
      </w:r>
    </w:p>
    <w:p w14:paraId="5E4844AB" w14:textId="62A35197" w:rsidR="008E331E" w:rsidRPr="00AF6230" w:rsidRDefault="00AF6230" w:rsidP="008D7B21">
      <w:pPr>
        <w:pStyle w:val="ListParagraph"/>
        <w:numPr>
          <w:ilvl w:val="0"/>
          <w:numId w:val="29"/>
        </w:numPr>
        <w:ind w:left="567" w:hanging="567"/>
      </w:pPr>
      <w:r w:rsidRPr="00EB0DDD">
        <w:rPr>
          <w:b/>
          <w:bCs/>
        </w:rPr>
        <w:t>doporučuje posílit vedoucí postavení EU</w:t>
      </w:r>
      <w:r w:rsidR="001B28B8" w:rsidRPr="00EB0DDD">
        <w:rPr>
          <w:b/>
          <w:bCs/>
        </w:rPr>
        <w:t xml:space="preserve"> v </w:t>
      </w:r>
      <w:r w:rsidRPr="00EB0DDD">
        <w:rPr>
          <w:b/>
          <w:bCs/>
        </w:rPr>
        <w:t>průmyslu</w:t>
      </w:r>
      <w:r w:rsidRPr="0088480C">
        <w:t xml:space="preserve"> prostřednictvím pobídek, jako jsou podpora domácí výroby „Made in the EU“, podpora nízkoemisní oceli</w:t>
      </w:r>
      <w:r w:rsidR="001B28B8">
        <w:t xml:space="preserve"> a </w:t>
      </w:r>
      <w:r w:rsidRPr="0088480C">
        <w:t>rozšířené superkredity pro elektromobily spolu</w:t>
      </w:r>
      <w:r w:rsidR="001B28B8">
        <w:t xml:space="preserve"> s </w:t>
      </w:r>
      <w:r w:rsidRPr="0088480C">
        <w:t>komplexnější metodikou pro emise</w:t>
      </w:r>
      <w:r w:rsidR="001B28B8">
        <w:t xml:space="preserve"> a </w:t>
      </w:r>
      <w:r w:rsidRPr="0088480C">
        <w:t>transformací nastavenou tak, aby zůstala cenově dostupná, inkluzivní</w:t>
      </w:r>
      <w:r w:rsidR="001B28B8">
        <w:t xml:space="preserve"> a </w:t>
      </w:r>
      <w:r w:rsidRPr="0088480C">
        <w:t>bohatá na pracovní místa.</w:t>
      </w: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Kontakt:</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32 25468378</w:t>
            </w:r>
          </w:p>
        </w:tc>
      </w:tr>
      <w:tr w:rsidR="008E331E" w:rsidRPr="008E331E" w14:paraId="5F4D2CBA" w14:textId="77777777" w:rsidTr="002E7EFB">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E-mail:</w:t>
            </w:r>
          </w:p>
        </w:tc>
        <w:tc>
          <w:tcPr>
            <w:tcW w:w="5670" w:type="dxa"/>
          </w:tcPr>
          <w:p w14:paraId="334E5630" w14:textId="6F4F148F" w:rsidR="008E331E" w:rsidRPr="008E331E" w:rsidRDefault="00123016" w:rsidP="008E331E">
            <w:pPr>
              <w:overflowPunct w:val="0"/>
              <w:autoSpaceDE w:val="0"/>
              <w:autoSpaceDN w:val="0"/>
              <w:adjustRightInd w:val="0"/>
              <w:spacing w:line="240" w:lineRule="auto"/>
              <w:textAlignment w:val="baseline"/>
              <w:rPr>
                <w:i/>
              </w:rPr>
            </w:pPr>
            <w:hyperlink r:id="rId33" w:history="1">
              <w:r w:rsidR="00E60ACE">
                <w:rPr>
                  <w:i/>
                  <w:color w:val="0000FF"/>
                  <w:u w:val="single"/>
                </w:rPr>
                <w:t>Silvia.Staffa@eesc.europa.eu</w:t>
              </w:r>
            </w:hyperlink>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12CD94B8" w:rsidR="00882D0D" w:rsidRPr="004A48C9" w:rsidRDefault="00123016" w:rsidP="004917CF">
      <w:pPr>
        <w:widowControl w:val="0"/>
        <w:numPr>
          <w:ilvl w:val="0"/>
          <w:numId w:val="9"/>
        </w:numPr>
        <w:overflowPunct w:val="0"/>
        <w:autoSpaceDE w:val="0"/>
        <w:autoSpaceDN w:val="0"/>
        <w:adjustRightInd w:val="0"/>
        <w:spacing w:after="200" w:line="276" w:lineRule="auto"/>
        <w:ind w:left="567" w:hanging="567"/>
        <w:contextualSpacing/>
        <w:jc w:val="left"/>
        <w:textAlignment w:val="baseline"/>
        <w:rPr>
          <w:b/>
          <w:bCs/>
          <w:i/>
          <w:iCs/>
          <w:sz w:val="28"/>
          <w:szCs w:val="28"/>
        </w:rPr>
      </w:pPr>
      <w:hyperlink r:id="rId34" w:history="1">
        <w:r w:rsidR="00882D0D" w:rsidRPr="004A48C9">
          <w:rPr>
            <w:rStyle w:val="Hyperlink"/>
            <w:b/>
            <w:bCs/>
            <w:i/>
            <w:iCs/>
            <w:sz w:val="28"/>
            <w:szCs w:val="28"/>
          </w:rPr>
          <w:t>Hodnocení nařízení (EU) 2019/1020</w:t>
        </w:r>
        <w:r w:rsidR="001B28B8" w:rsidRPr="004A48C9">
          <w:rPr>
            <w:rStyle w:val="Hyperlink"/>
            <w:b/>
            <w:bCs/>
            <w:i/>
            <w:iCs/>
            <w:sz w:val="28"/>
            <w:szCs w:val="28"/>
          </w:rPr>
          <w:t xml:space="preserve"> o </w:t>
        </w:r>
        <w:r w:rsidR="00882D0D" w:rsidRPr="004A48C9">
          <w:rPr>
            <w:rStyle w:val="Hyperlink"/>
            <w:b/>
            <w:bCs/>
            <w:i/>
            <w:iCs/>
            <w:sz w:val="28"/>
            <w:szCs w:val="28"/>
          </w:rPr>
          <w:t>dozoru nad trhem</w:t>
        </w:r>
      </w:hyperlink>
    </w:p>
    <w:p w14:paraId="3DC7A7FA" w14:textId="77777777" w:rsidR="002A0F5D" w:rsidRPr="004917CF" w:rsidRDefault="002A0F5D" w:rsidP="004917CF">
      <w:pPr>
        <w:widowControl w:val="0"/>
        <w:overflowPunct w:val="0"/>
        <w:autoSpaceDE w:val="0"/>
        <w:autoSpaceDN w:val="0"/>
        <w:adjustRightInd w:val="0"/>
        <w:spacing w:after="200" w:line="276" w:lineRule="auto"/>
        <w:contextualSpacing/>
        <w:jc w:val="left"/>
        <w:textAlignment w:val="baseline"/>
        <w:rPr>
          <w:b/>
          <w:i/>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882D0D" w14:paraId="5D4233BC" w14:textId="77777777" w:rsidTr="002E7EFB">
        <w:tc>
          <w:tcPr>
            <w:tcW w:w="1148" w:type="pct"/>
          </w:tcPr>
          <w:p w14:paraId="59FB1452" w14:textId="77777777" w:rsidR="00882D0D" w:rsidRPr="00882D0D" w:rsidRDefault="00882D0D" w:rsidP="004917CF">
            <w:pPr>
              <w:tabs>
                <w:tab w:val="center" w:pos="284"/>
              </w:tabs>
              <w:overflowPunct w:val="0"/>
              <w:autoSpaceDE w:val="0"/>
              <w:autoSpaceDN w:val="0"/>
              <w:adjustRightInd w:val="0"/>
              <w:ind w:left="266" w:hanging="266"/>
              <w:textAlignment w:val="baseline"/>
              <w:rPr>
                <w:b/>
              </w:rPr>
            </w:pPr>
            <w:r>
              <w:rPr>
                <w:b/>
              </w:rPr>
              <w:t>Zpravodaj</w:t>
            </w:r>
          </w:p>
          <w:p w14:paraId="1047859A" w14:textId="55593F96" w:rsidR="00882D0D" w:rsidRPr="00882D0D" w:rsidRDefault="00882D0D" w:rsidP="004917CF">
            <w:pPr>
              <w:tabs>
                <w:tab w:val="center" w:pos="284"/>
              </w:tabs>
              <w:overflowPunct w:val="0"/>
              <w:autoSpaceDE w:val="0"/>
              <w:autoSpaceDN w:val="0"/>
              <w:adjustRightInd w:val="0"/>
              <w:ind w:left="266" w:hanging="266"/>
              <w:textAlignment w:val="baseline"/>
              <w:rPr>
                <w:b/>
              </w:rPr>
            </w:pPr>
            <w:r>
              <w:rPr>
                <w:b/>
              </w:rPr>
              <w:t>Spolu</w:t>
            </w:r>
            <w:r w:rsidR="00986FC0">
              <w:rPr>
                <w:b/>
              </w:rPr>
              <w:t>zpravodaj</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(Zaměstnavatelé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(Organizace občanské společnosti – CY)</w:t>
            </w:r>
          </w:p>
          <w:p w14:paraId="0D785ADB" w14:textId="77777777" w:rsidR="00882D0D" w:rsidRPr="004917CF" w:rsidRDefault="00882D0D" w:rsidP="00882D0D">
            <w:pPr>
              <w:tabs>
                <w:tab w:val="center" w:pos="284"/>
              </w:tabs>
              <w:overflowPunct w:val="0"/>
              <w:autoSpaceDE w:val="0"/>
              <w:autoSpaceDN w:val="0"/>
              <w:adjustRightInd w:val="0"/>
              <w:ind w:left="266" w:hanging="266"/>
              <w:textAlignment w:val="baseline"/>
              <w:rPr>
                <w:sz w:val="14"/>
                <w:szCs w:val="14"/>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4917CF">
            <w:pPr>
              <w:tabs>
                <w:tab w:val="center" w:pos="284"/>
              </w:tabs>
              <w:overflowPunct w:val="0"/>
              <w:autoSpaceDE w:val="0"/>
              <w:autoSpaceDN w:val="0"/>
              <w:adjustRightInd w:val="0"/>
              <w:ind w:left="266" w:hanging="266"/>
              <w:textAlignment w:val="baseline"/>
              <w:rPr>
                <w:b/>
              </w:rPr>
            </w:pPr>
            <w:r>
              <w:rPr>
                <w:b/>
              </w:rPr>
              <w:t>Odkazy</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Hodnoticí zpráva</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COM(2025)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05735721" w14:textId="77777777" w:rsidR="004917CF" w:rsidRDefault="004917CF" w:rsidP="004917CF">
      <w:pPr>
        <w:widowControl w:val="0"/>
        <w:tabs>
          <w:tab w:val="center" w:pos="284"/>
        </w:tabs>
        <w:overflowPunct w:val="0"/>
        <w:autoSpaceDE w:val="0"/>
        <w:autoSpaceDN w:val="0"/>
        <w:adjustRightInd w:val="0"/>
        <w:spacing w:line="240" w:lineRule="auto"/>
        <w:ind w:left="567"/>
        <w:textAlignment w:val="baseline"/>
        <w:rPr>
          <w:b/>
        </w:rPr>
      </w:pPr>
    </w:p>
    <w:p w14:paraId="7E28CB07" w14:textId="7B5EF895"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Hlavní body</w:t>
      </w:r>
    </w:p>
    <w:p w14:paraId="7E01B620" w14:textId="77777777" w:rsidR="00882D0D" w:rsidRPr="00882D0D" w:rsidRDefault="00882D0D" w:rsidP="004917CF">
      <w:pPr>
        <w:widowControl w:val="0"/>
        <w:tabs>
          <w:tab w:val="center" w:pos="284"/>
        </w:tabs>
        <w:overflowPunct w:val="0"/>
        <w:autoSpaceDE w:val="0"/>
        <w:autoSpaceDN w:val="0"/>
        <w:adjustRightInd w:val="0"/>
        <w:spacing w:line="240" w:lineRule="auto"/>
        <w:ind w:left="567"/>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EHSV doporučuje:</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050122E" w14:textId="4D474D62" w:rsidR="00AF6230" w:rsidRDefault="00AF6230" w:rsidP="008D7B21">
      <w:pPr>
        <w:widowControl w:val="0"/>
        <w:numPr>
          <w:ilvl w:val="0"/>
          <w:numId w:val="16"/>
        </w:numPr>
        <w:overflowPunct w:val="0"/>
        <w:autoSpaceDE w:val="0"/>
        <w:autoSpaceDN w:val="0"/>
        <w:adjustRightInd w:val="0"/>
        <w:ind w:left="567" w:hanging="567"/>
        <w:textAlignment w:val="baseline"/>
      </w:pPr>
      <w:r>
        <w:t>prosazovat přijetí konsolidovaného Evropského aktu</w:t>
      </w:r>
      <w:r w:rsidR="001B28B8">
        <w:t xml:space="preserve"> o </w:t>
      </w:r>
      <w:r>
        <w:t>výrobcích;</w:t>
      </w:r>
    </w:p>
    <w:p w14:paraId="5AD63A2A" w14:textId="3EBC3DFC" w:rsidR="00AF6230" w:rsidRDefault="00AF6230" w:rsidP="008D7B21">
      <w:pPr>
        <w:widowControl w:val="0"/>
        <w:numPr>
          <w:ilvl w:val="0"/>
          <w:numId w:val="16"/>
        </w:numPr>
        <w:overflowPunct w:val="0"/>
        <w:autoSpaceDE w:val="0"/>
        <w:autoSpaceDN w:val="0"/>
        <w:adjustRightInd w:val="0"/>
        <w:ind w:left="567" w:hanging="567"/>
        <w:textAlignment w:val="baseline"/>
      </w:pPr>
      <w:r>
        <w:t>zajistit soudržnost nařízení</w:t>
      </w:r>
      <w:r w:rsidR="001B28B8">
        <w:t xml:space="preserve"> o </w:t>
      </w:r>
      <w:r>
        <w:t>dozoru nad trhem (MSR), nařízení</w:t>
      </w:r>
      <w:r w:rsidR="001B28B8">
        <w:t xml:space="preserve"> o </w:t>
      </w:r>
      <w:r>
        <w:t>obecné bezpečnosti výrobků, odvětvové legislativy</w:t>
      </w:r>
      <w:r w:rsidR="001B28B8">
        <w:t xml:space="preserve"> a </w:t>
      </w:r>
      <w:r>
        <w:t>celního kodexu Unie;</w:t>
      </w:r>
    </w:p>
    <w:p w14:paraId="678233B9" w14:textId="55BA432A" w:rsidR="00AF6230" w:rsidRDefault="00AF6230" w:rsidP="008D7B21">
      <w:pPr>
        <w:widowControl w:val="0"/>
        <w:numPr>
          <w:ilvl w:val="0"/>
          <w:numId w:val="16"/>
        </w:numPr>
        <w:overflowPunct w:val="0"/>
        <w:autoSpaceDE w:val="0"/>
        <w:autoSpaceDN w:val="0"/>
        <w:adjustRightInd w:val="0"/>
        <w:ind w:left="567" w:hanging="567"/>
        <w:textAlignment w:val="baseline"/>
      </w:pPr>
      <w:r>
        <w:t>posílit strukturovanou spolupráci mezi celními orgány</w:t>
      </w:r>
      <w:r w:rsidR="001B28B8">
        <w:t xml:space="preserve"> a </w:t>
      </w:r>
      <w:r>
        <w:t>orgány dozoru nad trhem;</w:t>
      </w:r>
    </w:p>
    <w:p w14:paraId="09073194" w14:textId="328702CC" w:rsidR="00AF6230" w:rsidRDefault="00AF6230" w:rsidP="008D7B21">
      <w:pPr>
        <w:widowControl w:val="0"/>
        <w:numPr>
          <w:ilvl w:val="0"/>
          <w:numId w:val="16"/>
        </w:numPr>
        <w:overflowPunct w:val="0"/>
        <w:autoSpaceDE w:val="0"/>
        <w:autoSpaceDN w:val="0"/>
        <w:adjustRightInd w:val="0"/>
        <w:ind w:left="567" w:hanging="567"/>
        <w:textAlignment w:val="baseline"/>
      </w:pPr>
      <w:r>
        <w:t>zaměřit</w:t>
      </w:r>
      <w:r w:rsidR="001B28B8">
        <w:t xml:space="preserve"> v </w:t>
      </w:r>
      <w:r>
        <w:t>budoucnu revize MSR na specifické rysy AI</w:t>
      </w:r>
      <w:r w:rsidR="001B28B8">
        <w:t xml:space="preserve"> a </w:t>
      </w:r>
      <w:r>
        <w:t>dalších digitálních technologií;</w:t>
      </w:r>
    </w:p>
    <w:p w14:paraId="7405A76C" w14:textId="449FB5C6" w:rsidR="00AF6230" w:rsidRDefault="00AF6230" w:rsidP="008D7B21">
      <w:pPr>
        <w:widowControl w:val="0"/>
        <w:numPr>
          <w:ilvl w:val="0"/>
          <w:numId w:val="16"/>
        </w:numPr>
        <w:overflowPunct w:val="0"/>
        <w:autoSpaceDE w:val="0"/>
        <w:autoSpaceDN w:val="0"/>
        <w:adjustRightInd w:val="0"/>
        <w:ind w:left="567" w:hanging="567"/>
        <w:textAlignment w:val="baseline"/>
      </w:pPr>
      <w:r>
        <w:t>zajistit odpovídající, předvídatelné</w:t>
      </w:r>
      <w:r w:rsidR="001B28B8">
        <w:t xml:space="preserve"> a </w:t>
      </w:r>
      <w:r>
        <w:t>na výkonnosti založené lidské</w:t>
      </w:r>
      <w:r w:rsidR="001B28B8">
        <w:t xml:space="preserve"> a </w:t>
      </w:r>
      <w:r>
        <w:t>finanční zdroje pro orgány dozoru nad trhem</w:t>
      </w:r>
      <w:r w:rsidR="001B28B8">
        <w:t xml:space="preserve"> a </w:t>
      </w:r>
      <w:r>
        <w:t>celní orgány,</w:t>
      </w:r>
      <w:r w:rsidR="001B28B8">
        <w:t xml:space="preserve"> a </w:t>
      </w:r>
      <w:r>
        <w:t>spolu</w:t>
      </w:r>
      <w:r w:rsidR="001B28B8">
        <w:t xml:space="preserve"> s </w:t>
      </w:r>
      <w:r>
        <w:t>nimi měřitelné ukazatele provádění;</w:t>
      </w:r>
    </w:p>
    <w:p w14:paraId="17F4BDF7" w14:textId="50B5A474" w:rsidR="00AF6230" w:rsidRDefault="00AF6230" w:rsidP="008D7B21">
      <w:pPr>
        <w:widowControl w:val="0"/>
        <w:numPr>
          <w:ilvl w:val="0"/>
          <w:numId w:val="16"/>
        </w:numPr>
        <w:overflowPunct w:val="0"/>
        <w:autoSpaceDE w:val="0"/>
        <w:autoSpaceDN w:val="0"/>
        <w:adjustRightInd w:val="0"/>
        <w:ind w:left="567" w:hanging="567"/>
        <w:textAlignment w:val="baseline"/>
      </w:pPr>
      <w:r>
        <w:t>poskytnout vnitrostátním orgánům účinné, přiměřené</w:t>
      </w:r>
      <w:r w:rsidR="001B28B8">
        <w:t xml:space="preserve"> a </w:t>
      </w:r>
      <w:r>
        <w:t>odrazující donucovací nástroje;</w:t>
      </w:r>
    </w:p>
    <w:p w14:paraId="23287D95" w14:textId="4787AE83" w:rsidR="00AF6230" w:rsidRDefault="00AF6230" w:rsidP="008D7B21">
      <w:pPr>
        <w:widowControl w:val="0"/>
        <w:numPr>
          <w:ilvl w:val="0"/>
          <w:numId w:val="16"/>
        </w:numPr>
        <w:overflowPunct w:val="0"/>
        <w:autoSpaceDE w:val="0"/>
        <w:autoSpaceDN w:val="0"/>
        <w:adjustRightInd w:val="0"/>
        <w:ind w:left="567" w:hanging="567"/>
        <w:textAlignment w:val="baseline"/>
      </w:pPr>
      <w:r>
        <w:t>zřídit posílenou evropskou kapacitu pro prosazování schopnou řešit systémová přeshraniční rizika</w:t>
      </w:r>
      <w:r w:rsidR="001B28B8">
        <w:t xml:space="preserve"> a </w:t>
      </w:r>
      <w:r>
        <w:t xml:space="preserve">rozsáhlé toky digitálního obchodu; </w:t>
      </w:r>
    </w:p>
    <w:p w14:paraId="6366703A" w14:textId="77777777" w:rsidR="00AF6230" w:rsidRDefault="00AF6230" w:rsidP="008D7B21">
      <w:pPr>
        <w:widowControl w:val="0"/>
        <w:numPr>
          <w:ilvl w:val="0"/>
          <w:numId w:val="16"/>
        </w:numPr>
        <w:overflowPunct w:val="0"/>
        <w:autoSpaceDE w:val="0"/>
        <w:autoSpaceDN w:val="0"/>
        <w:adjustRightInd w:val="0"/>
        <w:ind w:left="567" w:hanging="567"/>
        <w:textAlignment w:val="baseline"/>
      </w:pPr>
      <w:r>
        <w:t>přijmout jasný prosazovací rámec založený na posouzení rizik;</w:t>
      </w:r>
    </w:p>
    <w:p w14:paraId="6BEC5CA0" w14:textId="191B4062" w:rsidR="00AF6230" w:rsidRDefault="00AF6230" w:rsidP="008D7B21">
      <w:pPr>
        <w:widowControl w:val="0"/>
        <w:numPr>
          <w:ilvl w:val="0"/>
          <w:numId w:val="16"/>
        </w:numPr>
        <w:overflowPunct w:val="0"/>
        <w:autoSpaceDE w:val="0"/>
        <w:autoSpaceDN w:val="0"/>
        <w:adjustRightInd w:val="0"/>
        <w:ind w:left="567" w:hanging="567"/>
        <w:textAlignment w:val="baseline"/>
      </w:pPr>
      <w:r>
        <w:t>sladit rámec pro prosazování MSR</w:t>
      </w:r>
      <w:r w:rsidR="001B28B8">
        <w:t xml:space="preserve"> s </w:t>
      </w:r>
      <w:r>
        <w:t>logikou nařízení</w:t>
      </w:r>
      <w:r w:rsidR="001B28B8">
        <w:t xml:space="preserve"> o </w:t>
      </w:r>
      <w:r>
        <w:t>digitálních službách zavedením přiměřených dodatečných povinností pro subjekty, jejichž činnost svým rozsahem vytváří systémová rizika</w:t>
      </w:r>
      <w:r w:rsidR="001B28B8">
        <w:t xml:space="preserve"> z </w:t>
      </w:r>
      <w:r>
        <w:t>hlediska dodržování předpisů;</w:t>
      </w:r>
    </w:p>
    <w:p w14:paraId="65AA541E" w14:textId="7D842DEC" w:rsidR="00AF6230" w:rsidRDefault="00AF6230" w:rsidP="008D7B21">
      <w:pPr>
        <w:widowControl w:val="0"/>
        <w:numPr>
          <w:ilvl w:val="0"/>
          <w:numId w:val="16"/>
        </w:numPr>
        <w:overflowPunct w:val="0"/>
        <w:autoSpaceDE w:val="0"/>
        <w:autoSpaceDN w:val="0"/>
        <w:adjustRightInd w:val="0"/>
        <w:ind w:left="567" w:hanging="567"/>
        <w:textAlignment w:val="baseline"/>
      </w:pPr>
      <w:r>
        <w:t>vypracovat strukturovaný rámec partnerství pro dodržování předpisů, díky němuž budou orgány moci proaktivně pracovat</w:t>
      </w:r>
      <w:r w:rsidR="001B28B8">
        <w:t xml:space="preserve"> s </w:t>
      </w:r>
      <w:r>
        <w:t>hospodářskými subjekty;</w:t>
      </w:r>
    </w:p>
    <w:p w14:paraId="5269F59D" w14:textId="69D40352" w:rsidR="00AF6230" w:rsidRDefault="00AF6230" w:rsidP="008D7B21">
      <w:pPr>
        <w:widowControl w:val="0"/>
        <w:numPr>
          <w:ilvl w:val="0"/>
          <w:numId w:val="16"/>
        </w:numPr>
        <w:overflowPunct w:val="0"/>
        <w:autoSpaceDE w:val="0"/>
        <w:autoSpaceDN w:val="0"/>
        <w:adjustRightInd w:val="0"/>
        <w:ind w:left="567" w:hanging="567"/>
        <w:textAlignment w:val="baseline"/>
      </w:pPr>
      <w:r>
        <w:t>upravit MSR tak, aby bylo proporcionálnější</w:t>
      </w:r>
      <w:r w:rsidR="001B28B8">
        <w:t xml:space="preserve"> a </w:t>
      </w:r>
      <w:r>
        <w:t>přístupnější pro MSP</w:t>
      </w:r>
      <w:r w:rsidR="001B28B8">
        <w:t xml:space="preserve"> a </w:t>
      </w:r>
      <w:r>
        <w:t>mikropodniky;</w:t>
      </w:r>
    </w:p>
    <w:p w14:paraId="46006565" w14:textId="77777777" w:rsidR="00AF6230" w:rsidRDefault="00AF6230" w:rsidP="008D7B21">
      <w:pPr>
        <w:widowControl w:val="0"/>
        <w:numPr>
          <w:ilvl w:val="0"/>
          <w:numId w:val="16"/>
        </w:numPr>
        <w:overflowPunct w:val="0"/>
        <w:autoSpaceDE w:val="0"/>
        <w:autoSpaceDN w:val="0"/>
        <w:adjustRightInd w:val="0"/>
        <w:ind w:left="567" w:hanging="567"/>
        <w:textAlignment w:val="baseline"/>
      </w:pPr>
      <w:r>
        <w:t>zřídit evropské středisko pro sledování výrobků, jež nesplňují předpisy;</w:t>
      </w:r>
    </w:p>
    <w:p w14:paraId="183EB9F9" w14:textId="42312E80" w:rsidR="00AF6230" w:rsidRDefault="00AF6230" w:rsidP="008D7B21">
      <w:pPr>
        <w:widowControl w:val="0"/>
        <w:numPr>
          <w:ilvl w:val="0"/>
          <w:numId w:val="16"/>
        </w:numPr>
        <w:overflowPunct w:val="0"/>
        <w:autoSpaceDE w:val="0"/>
        <w:autoSpaceDN w:val="0"/>
        <w:adjustRightInd w:val="0"/>
        <w:ind w:left="567" w:hanging="567"/>
        <w:textAlignment w:val="baseline"/>
      </w:pPr>
      <w:r>
        <w:t>vyjasnit řetězec odpovědnosti</w:t>
      </w:r>
      <w:r w:rsidR="001B28B8">
        <w:t xml:space="preserve"> a </w:t>
      </w:r>
      <w:r>
        <w:t>přizpůsobit jej fungování</w:t>
      </w:r>
      <w:r w:rsidR="001B28B8">
        <w:t xml:space="preserve"> v </w:t>
      </w:r>
      <w:r>
        <w:t>praxi zavedením minimálních kritérií kvality pro zplnomocněné zástupce;</w:t>
      </w:r>
    </w:p>
    <w:p w14:paraId="3971369C" w14:textId="54037A34" w:rsidR="00AF6230" w:rsidRDefault="00AF6230" w:rsidP="008D7B21">
      <w:pPr>
        <w:widowControl w:val="0"/>
        <w:numPr>
          <w:ilvl w:val="0"/>
          <w:numId w:val="16"/>
        </w:numPr>
        <w:overflowPunct w:val="0"/>
        <w:autoSpaceDE w:val="0"/>
        <w:autoSpaceDN w:val="0"/>
        <w:adjustRightInd w:val="0"/>
        <w:ind w:left="567" w:hanging="567"/>
        <w:textAlignment w:val="baseline"/>
      </w:pPr>
      <w:r>
        <w:t>zlepšit interoperabilitu mezi Informačním</w:t>
      </w:r>
      <w:r w:rsidR="001B28B8">
        <w:t xml:space="preserve"> a </w:t>
      </w:r>
      <w:r>
        <w:t>komunikačním systémem pro dozor nad trhem, Safety Gate, celními databázemi</w:t>
      </w:r>
      <w:r w:rsidR="001B28B8">
        <w:t xml:space="preserve"> a </w:t>
      </w:r>
      <w:r>
        <w:t>dalšími příslušnými systémy;</w:t>
      </w:r>
    </w:p>
    <w:p w14:paraId="4748DE81" w14:textId="126FC9BC" w:rsidR="00AF6230" w:rsidRDefault="00AF6230" w:rsidP="008D7B21">
      <w:pPr>
        <w:widowControl w:val="0"/>
        <w:numPr>
          <w:ilvl w:val="0"/>
          <w:numId w:val="16"/>
        </w:numPr>
        <w:overflowPunct w:val="0"/>
        <w:autoSpaceDE w:val="0"/>
        <w:autoSpaceDN w:val="0"/>
        <w:adjustRightInd w:val="0"/>
        <w:ind w:left="567" w:hanging="567"/>
        <w:textAlignment w:val="baseline"/>
      </w:pPr>
      <w:r>
        <w:t>zajistit pravidelné</w:t>
      </w:r>
      <w:r w:rsidR="001B28B8">
        <w:t xml:space="preserve"> a </w:t>
      </w:r>
      <w:r>
        <w:t>přístupné zveřejňování</w:t>
      </w:r>
      <w:r w:rsidR="001B28B8">
        <w:t xml:space="preserve"> a </w:t>
      </w:r>
      <w:r>
        <w:t>šíření výsledků prosazování;</w:t>
      </w:r>
    </w:p>
    <w:p w14:paraId="518CE0EA" w14:textId="602ED44F" w:rsidR="00AF6230" w:rsidRDefault="00AF6230" w:rsidP="008D7B21">
      <w:pPr>
        <w:widowControl w:val="0"/>
        <w:numPr>
          <w:ilvl w:val="0"/>
          <w:numId w:val="16"/>
        </w:numPr>
        <w:overflowPunct w:val="0"/>
        <w:autoSpaceDE w:val="0"/>
        <w:autoSpaceDN w:val="0"/>
        <w:adjustRightInd w:val="0"/>
        <w:ind w:left="567" w:hanging="567"/>
        <w:textAlignment w:val="baseline"/>
      </w:pPr>
      <w:r>
        <w:t>posílit strukturované zapojení občanské společnosti</w:t>
      </w:r>
      <w:r w:rsidR="001B28B8">
        <w:t xml:space="preserve"> a </w:t>
      </w:r>
      <w:r>
        <w:t>sociálních partnerů (prostřednictvím formálních konzultačních mechanismů, platforem pro stálý dialog, včasného zapojení do legislativního vývoje</w:t>
      </w:r>
      <w:r w:rsidR="001B28B8">
        <w:t xml:space="preserve"> a </w:t>
      </w:r>
      <w:r>
        <w:t>lepšího přístupu</w:t>
      </w:r>
      <w:r w:rsidR="001B28B8">
        <w:t xml:space="preserve"> k </w:t>
      </w:r>
      <w:r>
        <w:t>informacím</w:t>
      </w:r>
      <w:r w:rsidR="001B28B8">
        <w:t xml:space="preserve"> a </w:t>
      </w:r>
      <w:r>
        <w:t>digitálním rozhraním pro styk</w:t>
      </w:r>
      <w:r w:rsidR="001B28B8">
        <w:t xml:space="preserve"> s </w:t>
      </w:r>
      <w:r>
        <w:t>orgány);</w:t>
      </w:r>
    </w:p>
    <w:p w14:paraId="249D59FC" w14:textId="3F1615A6" w:rsidR="00AF6230" w:rsidRDefault="00AF6230" w:rsidP="008D7B21">
      <w:pPr>
        <w:widowControl w:val="0"/>
        <w:numPr>
          <w:ilvl w:val="0"/>
          <w:numId w:val="16"/>
        </w:numPr>
        <w:overflowPunct w:val="0"/>
        <w:autoSpaceDE w:val="0"/>
        <w:autoSpaceDN w:val="0"/>
        <w:adjustRightInd w:val="0"/>
        <w:ind w:left="567" w:hanging="567"/>
        <w:textAlignment w:val="baseline"/>
      </w:pPr>
      <w:r>
        <w:t>poskytovat podporu při budování kapacit</w:t>
      </w:r>
      <w:r w:rsidR="001B28B8">
        <w:t xml:space="preserve"> a </w:t>
      </w:r>
      <w:r>
        <w:t>cílenou odbornou přípravu orgánům</w:t>
      </w:r>
      <w:r w:rsidR="001B28B8">
        <w:t xml:space="preserve"> i </w:t>
      </w:r>
      <w:r>
        <w:t>subjektům občanské společnosti;</w:t>
      </w:r>
    </w:p>
    <w:p w14:paraId="64C493EB" w14:textId="2B6E5D4F" w:rsidR="00882D0D" w:rsidRPr="00882D0D" w:rsidRDefault="00AF6230" w:rsidP="008D7B21">
      <w:pPr>
        <w:widowControl w:val="0"/>
        <w:numPr>
          <w:ilvl w:val="0"/>
          <w:numId w:val="16"/>
        </w:numPr>
        <w:overflowPunct w:val="0"/>
        <w:autoSpaceDE w:val="0"/>
        <w:autoSpaceDN w:val="0"/>
        <w:adjustRightInd w:val="0"/>
        <w:ind w:left="567" w:hanging="567"/>
        <w:textAlignment w:val="baseline"/>
        <w:rPr>
          <w:szCs w:val="20"/>
        </w:rPr>
      </w:pPr>
      <w:r>
        <w:t>zavést jednoduché</w:t>
      </w:r>
      <w:r w:rsidR="001B28B8">
        <w:t xml:space="preserve"> a </w:t>
      </w:r>
      <w:r>
        <w:t>účinné nástroje pro oznamování podvodné reklamy.</w:t>
      </w:r>
    </w:p>
    <w:p w14:paraId="646B798F" w14:textId="77777777" w:rsidR="00882D0D" w:rsidRPr="00882D0D" w:rsidRDefault="00882D0D" w:rsidP="004917CF">
      <w:pPr>
        <w:widowControl w:val="0"/>
        <w:overflowPunct w:val="0"/>
        <w:autoSpaceDE w:val="0"/>
        <w:autoSpaceDN w:val="0"/>
        <w:adjustRightInd w:val="0"/>
        <w:spacing w:line="240" w:lineRule="auto"/>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Kontakt:</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E-mail:</w:t>
            </w:r>
          </w:p>
        </w:tc>
        <w:tc>
          <w:tcPr>
            <w:tcW w:w="3444" w:type="pct"/>
          </w:tcPr>
          <w:p w14:paraId="22B253E8" w14:textId="77777777" w:rsidR="00882D0D" w:rsidRPr="00882D0D" w:rsidRDefault="00123016" w:rsidP="00882D0D">
            <w:pPr>
              <w:overflowPunct w:val="0"/>
              <w:autoSpaceDE w:val="0"/>
              <w:autoSpaceDN w:val="0"/>
              <w:adjustRightInd w:val="0"/>
              <w:spacing w:line="240" w:lineRule="auto"/>
              <w:textAlignment w:val="baseline"/>
              <w:rPr>
                <w:i/>
                <w:iCs/>
              </w:rPr>
            </w:pPr>
            <w:hyperlink r:id="rId35" w:history="1">
              <w:r w:rsidR="00E60ACE">
                <w:rPr>
                  <w:i/>
                  <w:color w:val="0000FF"/>
                  <w:u w:val="single"/>
                </w:rPr>
                <w:t>Annalisa.Tessarolo@eesc.europa.eu</w:t>
              </w:r>
            </w:hyperlink>
          </w:p>
        </w:tc>
      </w:tr>
    </w:tbl>
    <w:p w14:paraId="0667917E" w14:textId="77777777" w:rsidR="00A067F3" w:rsidRDefault="00A067F3">
      <w:pPr>
        <w:spacing w:after="160" w:line="259" w:lineRule="auto"/>
        <w:jc w:val="left"/>
        <w:rPr>
          <w:szCs w:val="20"/>
        </w:rPr>
      </w:pPr>
      <w:r>
        <w:br w:type="page"/>
      </w:r>
    </w:p>
    <w:p w14:paraId="58C55E8F" w14:textId="41807841" w:rsidR="00426604" w:rsidRPr="004A48C9"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36" w:history="1">
        <w:r w:rsidR="00E60ACE" w:rsidRPr="004A48C9">
          <w:rPr>
            <w:rStyle w:val="Hyperlink"/>
            <w:b/>
            <w:bCs/>
            <w:i/>
            <w:iCs/>
            <w:sz w:val="28"/>
            <w:szCs w:val="28"/>
          </w:rPr>
          <w:t>Agenda pro spotřebitele do roku 2030</w:t>
        </w:r>
      </w:hyperlink>
    </w:p>
    <w:p w14:paraId="26C97129" w14:textId="77777777" w:rsidR="00426604" w:rsidRPr="00426604" w:rsidRDefault="00426604" w:rsidP="004917CF">
      <w:pPr>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Zpravodaj</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(skupina Organizace občanské společnosti –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tcPr>
          <w:p w14:paraId="434AA7EC" w14:textId="13507CF8" w:rsidR="00426604" w:rsidRPr="00426604" w:rsidRDefault="00986FC0" w:rsidP="00426604">
            <w:pPr>
              <w:tabs>
                <w:tab w:val="center" w:pos="284"/>
              </w:tabs>
              <w:overflowPunct w:val="0"/>
              <w:autoSpaceDE w:val="0"/>
              <w:autoSpaceDN w:val="0"/>
              <w:adjustRightInd w:val="0"/>
              <w:ind w:left="266" w:hanging="266"/>
              <w:textAlignment w:val="baseline"/>
              <w:rPr>
                <w:b/>
              </w:rPr>
            </w:pPr>
            <w:r>
              <w:rPr>
                <w:b/>
              </w:rPr>
              <w:t>Odkazy</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COM(2025)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Hlavní body</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EHSV:</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4259BDB9" w14:textId="447120F2" w:rsidR="00217581" w:rsidRPr="00A6689B" w:rsidRDefault="00217581" w:rsidP="008D7B21">
      <w:pPr>
        <w:widowControl w:val="0"/>
        <w:numPr>
          <w:ilvl w:val="0"/>
          <w:numId w:val="17"/>
        </w:numPr>
        <w:overflowPunct w:val="0"/>
        <w:autoSpaceDE w:val="0"/>
        <w:autoSpaceDN w:val="0"/>
        <w:adjustRightInd w:val="0"/>
        <w:spacing w:line="276" w:lineRule="auto"/>
        <w:ind w:left="567" w:hanging="567"/>
        <w:textAlignment w:val="baseline"/>
        <w:rPr>
          <w:bCs/>
          <w:iCs/>
        </w:rPr>
      </w:pPr>
      <w:r>
        <w:t>vítá agendu pro spotřebitele na období 2025–2030, neboť představuje vynikající rámec pro ochranu spotřebitele</w:t>
      </w:r>
      <w:r w:rsidR="001B28B8">
        <w:t xml:space="preserve"> v </w:t>
      </w:r>
      <w:r>
        <w:t>nadcházejících letech,</w:t>
      </w:r>
      <w:r w:rsidR="001B28B8">
        <w:t xml:space="preserve"> a </w:t>
      </w:r>
      <w:r>
        <w:t>to jak</w:t>
      </w:r>
      <w:r w:rsidR="001B28B8">
        <w:t xml:space="preserve"> z </w:t>
      </w:r>
      <w:r>
        <w:t>formálního, tak</w:t>
      </w:r>
      <w:r w:rsidR="001B28B8">
        <w:t xml:space="preserve"> z </w:t>
      </w:r>
      <w:r>
        <w:t>obsahového hlediska;</w:t>
      </w:r>
    </w:p>
    <w:p w14:paraId="07D049FD" w14:textId="77777777" w:rsidR="00217581" w:rsidRPr="00A6689B" w:rsidRDefault="00217581" w:rsidP="008D7B21">
      <w:pPr>
        <w:widowControl w:val="0"/>
        <w:numPr>
          <w:ilvl w:val="0"/>
          <w:numId w:val="17"/>
        </w:numPr>
        <w:overflowPunct w:val="0"/>
        <w:autoSpaceDE w:val="0"/>
        <w:autoSpaceDN w:val="0"/>
        <w:adjustRightInd w:val="0"/>
        <w:spacing w:line="276" w:lineRule="auto"/>
        <w:ind w:left="567" w:hanging="567"/>
        <w:textAlignment w:val="baseline"/>
        <w:rPr>
          <w:bCs/>
          <w:iCs/>
        </w:rPr>
      </w:pPr>
      <w:r>
        <w:t>domnívá se, že by Komise měla ve věci spotřebitelů navrhnout komplexnější vizi, která se nebude zabývat jen otázkou práv;</w:t>
      </w:r>
    </w:p>
    <w:p w14:paraId="5CB311FA" w14:textId="43D06A33" w:rsidR="00217581" w:rsidRPr="00A6689B" w:rsidRDefault="00217581" w:rsidP="008D7B21">
      <w:pPr>
        <w:widowControl w:val="0"/>
        <w:numPr>
          <w:ilvl w:val="0"/>
          <w:numId w:val="17"/>
        </w:numPr>
        <w:overflowPunct w:val="0"/>
        <w:autoSpaceDE w:val="0"/>
        <w:autoSpaceDN w:val="0"/>
        <w:adjustRightInd w:val="0"/>
        <w:spacing w:line="276" w:lineRule="auto"/>
        <w:ind w:left="567" w:hanging="567"/>
        <w:textAlignment w:val="baseline"/>
        <w:rPr>
          <w:bCs/>
          <w:iCs/>
        </w:rPr>
      </w:pPr>
      <w:r>
        <w:t>ocenil by, kdyby měl</w:t>
      </w:r>
      <w:r w:rsidR="001B28B8">
        <w:t xml:space="preserve"> k </w:t>
      </w:r>
      <w:r>
        <w:t>dispozici strukturované, podrobné</w:t>
      </w:r>
      <w:r w:rsidR="001B28B8">
        <w:t xml:space="preserve"> a </w:t>
      </w:r>
      <w:r>
        <w:t>číselnými údaji podložené zhodnocení předcházející agendy pro spotřebitele, neboť by tak mohl důkladněji posoudit agendu navrhovanou;</w:t>
      </w:r>
    </w:p>
    <w:p w14:paraId="5CC57DF5" w14:textId="281B913C" w:rsidR="00217581" w:rsidRPr="00A6689B" w:rsidRDefault="00217581" w:rsidP="008D7B21">
      <w:pPr>
        <w:widowControl w:val="0"/>
        <w:numPr>
          <w:ilvl w:val="0"/>
          <w:numId w:val="17"/>
        </w:numPr>
        <w:overflowPunct w:val="0"/>
        <w:autoSpaceDE w:val="0"/>
        <w:autoSpaceDN w:val="0"/>
        <w:adjustRightInd w:val="0"/>
        <w:spacing w:line="276" w:lineRule="auto"/>
        <w:ind w:left="567" w:hanging="567"/>
        <w:textAlignment w:val="baseline"/>
      </w:pPr>
      <w:r>
        <w:t>podporuje opatření, která mají přinést zjednodušení, zdůrazňuje však, že těmito opatřeními se</w:t>
      </w:r>
      <w:r w:rsidR="001B28B8">
        <w:t xml:space="preserve"> v </w:t>
      </w:r>
      <w:r>
        <w:t>žádném případě nesmí snížit míra ochrany spotřebitele;</w:t>
      </w:r>
    </w:p>
    <w:p w14:paraId="1F7E0D8D" w14:textId="6751A598" w:rsidR="00217581" w:rsidRPr="00B6480E" w:rsidRDefault="00217581" w:rsidP="008D7B21">
      <w:pPr>
        <w:widowControl w:val="0"/>
        <w:numPr>
          <w:ilvl w:val="0"/>
          <w:numId w:val="17"/>
        </w:numPr>
        <w:overflowPunct w:val="0"/>
        <w:autoSpaceDE w:val="0"/>
        <w:autoSpaceDN w:val="0"/>
        <w:adjustRightInd w:val="0"/>
        <w:spacing w:line="276" w:lineRule="auto"/>
        <w:ind w:left="567" w:hanging="567"/>
        <w:textAlignment w:val="baseline"/>
        <w:rPr>
          <w:rFonts w:asciiTheme="minorHAnsi" w:hAnsiTheme="minorHAnsi"/>
        </w:rPr>
      </w:pPr>
      <w:r>
        <w:t>domnívá se, že</w:t>
      </w:r>
      <w:r w:rsidR="001B28B8">
        <w:t xml:space="preserve"> v </w:t>
      </w:r>
      <w:r>
        <w:t>rámci ochrany spotřebitele musí být brána</w:t>
      </w:r>
      <w:r w:rsidR="001B28B8">
        <w:t xml:space="preserve"> v </w:t>
      </w:r>
      <w:r>
        <w:t>potaz rozmanitost okolností, zejména co se týče oblastí</w:t>
      </w:r>
      <w:r w:rsidR="001B28B8">
        <w:t xml:space="preserve"> s </w:t>
      </w:r>
      <w:r>
        <w:t>nedostatkem nákupních možností</w:t>
      </w:r>
      <w:r w:rsidR="001B28B8">
        <w:t xml:space="preserve"> a </w:t>
      </w:r>
      <w:r>
        <w:t>některých zranitelných skupin spotřebitelů;</w:t>
      </w:r>
    </w:p>
    <w:p w14:paraId="41DAA321" w14:textId="43EBA2F0" w:rsidR="00217581" w:rsidRPr="00B6480E" w:rsidRDefault="00217581" w:rsidP="008D7B21">
      <w:pPr>
        <w:widowControl w:val="0"/>
        <w:numPr>
          <w:ilvl w:val="0"/>
          <w:numId w:val="17"/>
        </w:numPr>
        <w:overflowPunct w:val="0"/>
        <w:autoSpaceDE w:val="0"/>
        <w:autoSpaceDN w:val="0"/>
        <w:adjustRightInd w:val="0"/>
        <w:spacing w:line="276" w:lineRule="auto"/>
        <w:ind w:left="567" w:hanging="567"/>
        <w:textAlignment w:val="baseline"/>
        <w:rPr>
          <w:rFonts w:asciiTheme="minorHAnsi" w:hAnsiTheme="minorHAnsi"/>
        </w:rPr>
      </w:pPr>
      <w:r>
        <w:t>požaduje, aby byla rychleji</w:t>
      </w:r>
      <w:r w:rsidR="001B28B8">
        <w:t xml:space="preserve"> a </w:t>
      </w:r>
      <w:r>
        <w:t>intenzivněji kontrolována nebezpečnost dovážených výrobků, zejména</w:t>
      </w:r>
      <w:r w:rsidR="001B28B8">
        <w:t xml:space="preserve"> v </w:t>
      </w:r>
      <w:r>
        <w:t>případě zakoupení na platformách elektronického obchodu sídlících mimo území EU;</w:t>
      </w:r>
    </w:p>
    <w:p w14:paraId="7BB0F8B5" w14:textId="2D7C7AF6" w:rsidR="00217581" w:rsidRPr="00B6480E" w:rsidRDefault="00217581" w:rsidP="008D7B21">
      <w:pPr>
        <w:widowControl w:val="0"/>
        <w:numPr>
          <w:ilvl w:val="0"/>
          <w:numId w:val="17"/>
        </w:numPr>
        <w:overflowPunct w:val="0"/>
        <w:autoSpaceDE w:val="0"/>
        <w:autoSpaceDN w:val="0"/>
        <w:adjustRightInd w:val="0"/>
        <w:spacing w:line="276" w:lineRule="auto"/>
        <w:ind w:left="567" w:hanging="567"/>
        <w:textAlignment w:val="baseline"/>
        <w:rPr>
          <w:rFonts w:asciiTheme="minorHAnsi" w:hAnsiTheme="minorHAnsi"/>
        </w:rPr>
      </w:pPr>
      <w:r>
        <w:t>doporučuje, aby byla věnována větší pozornost praktikám pro usnadnění přístupu</w:t>
      </w:r>
      <w:r w:rsidR="001B28B8">
        <w:t xml:space="preserve"> k </w:t>
      </w:r>
      <w:r>
        <w:t>základním právním službám („microjustice“), jež umožňují řešit spory týkající se menších částek;</w:t>
      </w:r>
    </w:p>
    <w:p w14:paraId="4F424225" w14:textId="778D1065" w:rsidR="00217581" w:rsidRPr="00B6480E" w:rsidRDefault="00217581" w:rsidP="008D7B21">
      <w:pPr>
        <w:widowControl w:val="0"/>
        <w:numPr>
          <w:ilvl w:val="0"/>
          <w:numId w:val="17"/>
        </w:numPr>
        <w:overflowPunct w:val="0"/>
        <w:autoSpaceDE w:val="0"/>
        <w:autoSpaceDN w:val="0"/>
        <w:adjustRightInd w:val="0"/>
        <w:spacing w:line="276" w:lineRule="auto"/>
        <w:ind w:left="567" w:hanging="567"/>
        <w:textAlignment w:val="baseline"/>
        <w:rPr>
          <w:rFonts w:asciiTheme="minorHAnsi" w:hAnsiTheme="minorHAnsi"/>
        </w:rPr>
      </w:pPr>
      <w:r>
        <w:t>podporuje opatření</w:t>
      </w:r>
      <w:r w:rsidR="001B28B8">
        <w:t xml:space="preserve"> v </w:t>
      </w:r>
      <w:r>
        <w:t>oblasti digitalizace, žádá však, aby měl spotřebitel při reklamaci</w:t>
      </w:r>
      <w:r w:rsidR="001B28B8">
        <w:t xml:space="preserve"> v </w:t>
      </w:r>
      <w:r>
        <w:t>poslední instanci vždy možnost komunikovat</w:t>
      </w:r>
      <w:r w:rsidR="001B28B8">
        <w:t xml:space="preserve"> s </w:t>
      </w:r>
      <w:r>
        <w:t>lidským pracovníkem, který mu odpoví na jeho dotazy;</w:t>
      </w:r>
    </w:p>
    <w:p w14:paraId="3BF0722A" w14:textId="3586A84E" w:rsidR="00217581" w:rsidRPr="00366E88" w:rsidRDefault="00217581" w:rsidP="008D7B21">
      <w:pPr>
        <w:widowControl w:val="0"/>
        <w:numPr>
          <w:ilvl w:val="0"/>
          <w:numId w:val="17"/>
        </w:numPr>
        <w:overflowPunct w:val="0"/>
        <w:autoSpaceDE w:val="0"/>
        <w:autoSpaceDN w:val="0"/>
        <w:adjustRightInd w:val="0"/>
        <w:spacing w:line="276" w:lineRule="auto"/>
        <w:ind w:left="567" w:hanging="567"/>
        <w:textAlignment w:val="baseline"/>
        <w:rPr>
          <w:rFonts w:asciiTheme="minorHAnsi" w:hAnsiTheme="minorHAnsi"/>
        </w:rPr>
      </w:pPr>
      <w:r>
        <w:t>vyzývá Komisi, aby věnovala větší pozornost oběhovosti</w:t>
      </w:r>
      <w:r w:rsidR="001B28B8">
        <w:t xml:space="preserve"> a </w:t>
      </w:r>
      <w:r>
        <w:t>udržitelnosti výrobků;</w:t>
      </w:r>
    </w:p>
    <w:p w14:paraId="12587E3E" w14:textId="10141A43" w:rsidR="00217581" w:rsidRPr="00366E88" w:rsidRDefault="00217581" w:rsidP="008D7B21">
      <w:pPr>
        <w:widowControl w:val="0"/>
        <w:numPr>
          <w:ilvl w:val="0"/>
          <w:numId w:val="17"/>
        </w:numPr>
        <w:overflowPunct w:val="0"/>
        <w:autoSpaceDE w:val="0"/>
        <w:autoSpaceDN w:val="0"/>
        <w:adjustRightInd w:val="0"/>
        <w:spacing w:line="276" w:lineRule="auto"/>
        <w:ind w:left="567" w:hanging="567"/>
        <w:textAlignment w:val="baseline"/>
        <w:rPr>
          <w:rFonts w:asciiTheme="minorHAnsi" w:hAnsiTheme="minorHAnsi"/>
        </w:rPr>
      </w:pPr>
      <w:r>
        <w:t>doporučuje, aby byla zavedena důrazná opatření na ochranu spotřebitelů před marketingovými aktivitami influencerů, zejména</w:t>
      </w:r>
      <w:r w:rsidR="001B28B8">
        <w:t xml:space="preserve"> v </w:t>
      </w:r>
      <w:r>
        <w:t>případě, že jsou jejich cílovou skupinou děti;</w:t>
      </w:r>
    </w:p>
    <w:p w14:paraId="67EFC0DA" w14:textId="77777777" w:rsidR="00217581" w:rsidRPr="00B46754" w:rsidRDefault="00217581" w:rsidP="008D7B21">
      <w:pPr>
        <w:widowControl w:val="0"/>
        <w:numPr>
          <w:ilvl w:val="0"/>
          <w:numId w:val="17"/>
        </w:numPr>
        <w:overflowPunct w:val="0"/>
        <w:autoSpaceDE w:val="0"/>
        <w:autoSpaceDN w:val="0"/>
        <w:adjustRightInd w:val="0"/>
        <w:spacing w:line="276" w:lineRule="auto"/>
        <w:ind w:left="567" w:hanging="567"/>
        <w:textAlignment w:val="baseline"/>
        <w:rPr>
          <w:rFonts w:asciiTheme="minorHAnsi" w:hAnsiTheme="minorHAnsi"/>
        </w:rPr>
      </w:pPr>
      <w:r>
        <w:t>vybízí členské státy, aby podporovaly spotřebitelské organizace.</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Kontakt:</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Radoslava Štefanková</w:t>
            </w:r>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E-mail:</w:t>
            </w:r>
          </w:p>
        </w:tc>
        <w:tc>
          <w:tcPr>
            <w:tcW w:w="5670" w:type="dxa"/>
          </w:tcPr>
          <w:p w14:paraId="0D4503F1" w14:textId="103B8783" w:rsidR="00426604" w:rsidRPr="00426604" w:rsidRDefault="00123016" w:rsidP="00426604">
            <w:pPr>
              <w:overflowPunct w:val="0"/>
              <w:autoSpaceDE w:val="0"/>
              <w:autoSpaceDN w:val="0"/>
              <w:adjustRightInd w:val="0"/>
              <w:spacing w:line="240" w:lineRule="auto"/>
              <w:textAlignment w:val="baseline"/>
              <w:rPr>
                <w:i/>
              </w:rPr>
            </w:pPr>
            <w:hyperlink r:id="rId37" w:history="1">
              <w:r w:rsidR="00E60ACE">
                <w:rPr>
                  <w:i/>
                  <w:color w:val="0000FF"/>
                  <w:u w:val="single"/>
                </w:rPr>
                <w:t>Radoslava.Stefankova@eesc.europa.eu</w:t>
              </w:r>
            </w:hyperlink>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0EF9E2ED" w:rsidR="00A83352" w:rsidRPr="004A48C9"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38" w:history="1">
        <w:r w:rsidR="00E60ACE" w:rsidRPr="004A48C9">
          <w:rPr>
            <w:rStyle w:val="Hyperlink"/>
            <w:b/>
            <w:bCs/>
            <w:i/>
            <w:iCs/>
            <w:sz w:val="28"/>
            <w:szCs w:val="28"/>
          </w:rPr>
          <w:t>Akt</w:t>
        </w:r>
        <w:r w:rsidR="001B28B8" w:rsidRPr="004A48C9">
          <w:rPr>
            <w:rStyle w:val="Hyperlink"/>
            <w:b/>
            <w:bCs/>
            <w:i/>
            <w:iCs/>
            <w:sz w:val="28"/>
            <w:szCs w:val="28"/>
          </w:rPr>
          <w:t xml:space="preserve"> o </w:t>
        </w:r>
        <w:r w:rsidR="00E60ACE" w:rsidRPr="004A48C9">
          <w:rPr>
            <w:rStyle w:val="Hyperlink"/>
            <w:b/>
            <w:bCs/>
            <w:i/>
            <w:iCs/>
            <w:sz w:val="28"/>
            <w:szCs w:val="28"/>
          </w:rPr>
          <w:t>kybernetické bezpečnosti</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7A3096" w:rsidRPr="007A3096" w14:paraId="73A340D2" w14:textId="77777777" w:rsidTr="004917CF">
        <w:tc>
          <w:tcPr>
            <w:tcW w:w="1701" w:type="dxa"/>
          </w:tcPr>
          <w:p w14:paraId="189AB4BF" w14:textId="77777777" w:rsidR="007A3096" w:rsidRPr="007A3096" w:rsidRDefault="007A3096" w:rsidP="004917CF">
            <w:pPr>
              <w:tabs>
                <w:tab w:val="center" w:pos="284"/>
              </w:tabs>
              <w:overflowPunct w:val="0"/>
              <w:autoSpaceDE w:val="0"/>
              <w:autoSpaceDN w:val="0"/>
              <w:adjustRightInd w:val="0"/>
              <w:ind w:left="266" w:hanging="266"/>
              <w:textAlignment w:val="baseline"/>
              <w:rPr>
                <w:b/>
              </w:rPr>
            </w:pPr>
            <w:r>
              <w:rPr>
                <w:b/>
              </w:rPr>
              <w:t>Zpravodaj</w:t>
            </w:r>
          </w:p>
        </w:tc>
        <w:tc>
          <w:tcPr>
            <w:tcW w:w="7479" w:type="dxa"/>
          </w:tcPr>
          <w:p w14:paraId="0214D104" w14:textId="5371BD6F" w:rsidR="007A3096" w:rsidRPr="007A3096" w:rsidRDefault="007A3096" w:rsidP="004917CF">
            <w:pPr>
              <w:tabs>
                <w:tab w:val="center" w:pos="284"/>
              </w:tabs>
              <w:overflowPunct w:val="0"/>
              <w:autoSpaceDE w:val="0"/>
              <w:autoSpaceDN w:val="0"/>
              <w:adjustRightInd w:val="0"/>
              <w:ind w:left="266" w:hanging="266"/>
              <w:textAlignment w:val="baseline"/>
            </w:pPr>
            <w:r>
              <w:t>Miroslav HAJNOŠ (Workers' Group - SK)</w:t>
            </w:r>
          </w:p>
        </w:tc>
      </w:tr>
      <w:tr w:rsidR="007A3096" w:rsidRPr="007A3096" w14:paraId="22A1E3C3" w14:textId="77777777" w:rsidTr="004917CF">
        <w:tc>
          <w:tcPr>
            <w:tcW w:w="9180" w:type="dxa"/>
            <w:gridSpan w:val="2"/>
          </w:tcPr>
          <w:p w14:paraId="58FAA53C" w14:textId="77777777" w:rsidR="007A3096" w:rsidRPr="007A3096" w:rsidRDefault="007A3096" w:rsidP="004917CF">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4917CF">
        <w:tc>
          <w:tcPr>
            <w:tcW w:w="1701" w:type="dxa"/>
          </w:tcPr>
          <w:p w14:paraId="37AB7812" w14:textId="7BF98126" w:rsidR="007A3096" w:rsidRPr="007A3096" w:rsidRDefault="00986FC0" w:rsidP="004917CF">
            <w:pPr>
              <w:tabs>
                <w:tab w:val="center" w:pos="284"/>
              </w:tabs>
              <w:overflowPunct w:val="0"/>
              <w:autoSpaceDE w:val="0"/>
              <w:autoSpaceDN w:val="0"/>
              <w:adjustRightInd w:val="0"/>
              <w:ind w:left="266" w:hanging="266"/>
              <w:textAlignment w:val="baseline"/>
              <w:rPr>
                <w:b/>
              </w:rPr>
            </w:pPr>
            <w:r>
              <w:rPr>
                <w:b/>
              </w:rPr>
              <w:t>Odkazy</w:t>
            </w:r>
          </w:p>
        </w:tc>
        <w:tc>
          <w:tcPr>
            <w:tcW w:w="7479" w:type="dxa"/>
          </w:tcPr>
          <w:p w14:paraId="482A2846" w14:textId="4D7D3A98" w:rsidR="007A3096" w:rsidRPr="007A3096" w:rsidRDefault="007A3096" w:rsidP="004917CF">
            <w:pPr>
              <w:tabs>
                <w:tab w:val="center" w:pos="284"/>
              </w:tabs>
              <w:overflowPunct w:val="0"/>
              <w:autoSpaceDE w:val="0"/>
              <w:autoSpaceDN w:val="0"/>
              <w:adjustRightInd w:val="0"/>
              <w:ind w:left="266" w:hanging="266"/>
              <w:textAlignment w:val="baseline"/>
            </w:pPr>
            <w:r>
              <w:t xml:space="preserve">COM(2026) 11 final </w:t>
            </w:r>
          </w:p>
          <w:p w14:paraId="1457E830" w14:textId="583DA8F1" w:rsidR="007A3096" w:rsidRPr="007A3096" w:rsidRDefault="007A3096" w:rsidP="004917CF">
            <w:pPr>
              <w:tabs>
                <w:tab w:val="center" w:pos="284"/>
              </w:tabs>
              <w:overflowPunct w:val="0"/>
              <w:autoSpaceDE w:val="0"/>
              <w:autoSpaceDN w:val="0"/>
              <w:adjustRightInd w:val="0"/>
              <w:ind w:left="266" w:right="1458" w:hanging="266"/>
              <w:textAlignment w:val="baseline"/>
            </w:pPr>
            <w:r>
              <w:t xml:space="preserve">COM(2026) 13 final </w:t>
            </w:r>
          </w:p>
          <w:p w14:paraId="0B733C5A" w14:textId="27ED2594" w:rsidR="004D2D6F" w:rsidRPr="00217581" w:rsidRDefault="007A3096" w:rsidP="004917CF">
            <w:pPr>
              <w:tabs>
                <w:tab w:val="center" w:pos="284"/>
              </w:tabs>
              <w:overflowPunct w:val="0"/>
              <w:autoSpaceDE w:val="0"/>
              <w:autoSpaceDN w:val="0"/>
              <w:adjustRightInd w:val="0"/>
              <w:ind w:left="266" w:hanging="266"/>
              <w:textAlignment w:val="baseline"/>
            </w:pPr>
            <w:r>
              <w:t>EESC-2026-00075-00-00-AC</w:t>
            </w:r>
          </w:p>
        </w:tc>
      </w:tr>
    </w:tbl>
    <w:p w14:paraId="11A74B00" w14:textId="77777777" w:rsidR="004917CF" w:rsidRDefault="004917CF" w:rsidP="00C95C7D">
      <w:pPr>
        <w:widowControl w:val="0"/>
        <w:overflowPunct w:val="0"/>
        <w:autoSpaceDE w:val="0"/>
        <w:autoSpaceDN w:val="0"/>
        <w:adjustRightInd w:val="0"/>
        <w:textAlignment w:val="baseline"/>
        <w:rPr>
          <w:b/>
        </w:rPr>
      </w:pPr>
    </w:p>
    <w:p w14:paraId="5A2D7504" w14:textId="6EAA2DAD" w:rsidR="008676ED" w:rsidRPr="00C95C7D" w:rsidRDefault="008676ED" w:rsidP="00C95C7D">
      <w:pPr>
        <w:widowControl w:val="0"/>
        <w:overflowPunct w:val="0"/>
        <w:autoSpaceDE w:val="0"/>
        <w:autoSpaceDN w:val="0"/>
        <w:adjustRightInd w:val="0"/>
        <w:textAlignment w:val="baseline"/>
        <w:rPr>
          <w:b/>
          <w:iCs/>
        </w:rPr>
      </w:pPr>
      <w:r>
        <w:rPr>
          <w:b/>
        </w:rPr>
        <w:t>Hlavní body:</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EHSV: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1B527DE2" w14:textId="3C2F9461" w:rsidR="00217581" w:rsidRPr="004A50B9" w:rsidRDefault="00217581" w:rsidP="008D7B21">
      <w:pPr>
        <w:widowControl w:val="0"/>
        <w:numPr>
          <w:ilvl w:val="0"/>
          <w:numId w:val="19"/>
        </w:numPr>
        <w:overflowPunct w:val="0"/>
        <w:autoSpaceDE w:val="0"/>
        <w:autoSpaceDN w:val="0"/>
        <w:adjustRightInd w:val="0"/>
        <w:ind w:left="567" w:hanging="567"/>
        <w:textAlignment w:val="baseline"/>
        <w:rPr>
          <w:bCs/>
          <w:iCs/>
        </w:rPr>
      </w:pPr>
      <w:r w:rsidRPr="004A50B9">
        <w:t>vítá revizi aktu</w:t>
      </w:r>
      <w:r w:rsidR="001B28B8">
        <w:t xml:space="preserve"> o </w:t>
      </w:r>
      <w:r w:rsidRPr="004A50B9">
        <w:t>kybernetické bezpečnosti</w:t>
      </w:r>
      <w:r w:rsidR="001B28B8">
        <w:t xml:space="preserve"> a </w:t>
      </w:r>
      <w:r w:rsidRPr="004A50B9">
        <w:t>aktualizaci směrnice NIS 2</w:t>
      </w:r>
      <w:r w:rsidR="001B28B8">
        <w:t xml:space="preserve"> s </w:t>
      </w:r>
      <w:r w:rsidRPr="004A50B9">
        <w:t xml:space="preserve">tím, že kybernetickou bezpečnost je nutno považovat za </w:t>
      </w:r>
      <w:r w:rsidRPr="004A50B9">
        <w:rPr>
          <w:b/>
          <w:bCs/>
        </w:rPr>
        <w:t>zásadní otázku hospodářské bezpečnosti</w:t>
      </w:r>
      <w:r w:rsidR="001B28B8">
        <w:rPr>
          <w:b/>
          <w:bCs/>
        </w:rPr>
        <w:t xml:space="preserve"> a </w:t>
      </w:r>
      <w:r w:rsidRPr="004A50B9">
        <w:rPr>
          <w:b/>
          <w:bCs/>
        </w:rPr>
        <w:t>geopolitické odolnosti</w:t>
      </w:r>
      <w:r w:rsidR="001B28B8">
        <w:t xml:space="preserve"> a </w:t>
      </w:r>
      <w:r w:rsidRPr="004A50B9">
        <w:t>souběžně je třeba zjednodušit pravidla</w:t>
      </w:r>
      <w:r w:rsidR="001B28B8">
        <w:t xml:space="preserve"> a </w:t>
      </w:r>
      <w:r w:rsidRPr="004A50B9">
        <w:t>snížit administrativní zátěž pro podniky;</w:t>
      </w:r>
    </w:p>
    <w:p w14:paraId="46B40225" w14:textId="50265507" w:rsidR="00217581" w:rsidRPr="004A50B9" w:rsidRDefault="00217581" w:rsidP="008D7B21">
      <w:pPr>
        <w:widowControl w:val="0"/>
        <w:numPr>
          <w:ilvl w:val="0"/>
          <w:numId w:val="19"/>
        </w:numPr>
        <w:overflowPunct w:val="0"/>
        <w:autoSpaceDE w:val="0"/>
        <w:autoSpaceDN w:val="0"/>
        <w:adjustRightInd w:val="0"/>
        <w:ind w:left="567" w:hanging="567"/>
        <w:textAlignment w:val="baseline"/>
        <w:rPr>
          <w:bCs/>
          <w:iCs/>
        </w:rPr>
      </w:pPr>
      <w:r w:rsidRPr="004A50B9">
        <w:t xml:space="preserve">žádá </w:t>
      </w:r>
      <w:r w:rsidRPr="004A50B9">
        <w:rPr>
          <w:b/>
          <w:bCs/>
        </w:rPr>
        <w:t>silnější</w:t>
      </w:r>
      <w:r w:rsidR="001B28B8">
        <w:rPr>
          <w:b/>
          <w:bCs/>
        </w:rPr>
        <w:t xml:space="preserve"> a </w:t>
      </w:r>
      <w:r w:rsidRPr="004A50B9">
        <w:rPr>
          <w:b/>
          <w:bCs/>
        </w:rPr>
        <w:t>lépe vybavenou agenturu ENISA</w:t>
      </w:r>
      <w:r w:rsidR="001B28B8">
        <w:t xml:space="preserve"> s </w:t>
      </w:r>
      <w:r w:rsidRPr="004A50B9">
        <w:t>jasným, konsolidovaným mandátem</w:t>
      </w:r>
      <w:r w:rsidR="001B28B8">
        <w:t xml:space="preserve"> a </w:t>
      </w:r>
      <w:r w:rsidRPr="004A50B9">
        <w:t>dostatečným financováním</w:t>
      </w:r>
      <w:r w:rsidR="001B28B8">
        <w:t xml:space="preserve"> a </w:t>
      </w:r>
      <w:r w:rsidRPr="004A50B9">
        <w:t>personálem, aby mohla efektivně plnit své rozšířené povinnosti též na poli rozvoje dovedností</w:t>
      </w:r>
      <w:r w:rsidR="001B28B8">
        <w:t xml:space="preserve"> a </w:t>
      </w:r>
      <w:r w:rsidRPr="004A50B9">
        <w:t>certifikace;</w:t>
      </w:r>
    </w:p>
    <w:p w14:paraId="02C32461" w14:textId="0B03F3A0" w:rsidR="00217581" w:rsidRPr="004A50B9" w:rsidRDefault="00217581" w:rsidP="008D7B21">
      <w:pPr>
        <w:widowControl w:val="0"/>
        <w:numPr>
          <w:ilvl w:val="0"/>
          <w:numId w:val="19"/>
        </w:numPr>
        <w:overflowPunct w:val="0"/>
        <w:autoSpaceDE w:val="0"/>
        <w:autoSpaceDN w:val="0"/>
        <w:adjustRightInd w:val="0"/>
        <w:ind w:left="567" w:hanging="567"/>
        <w:textAlignment w:val="baseline"/>
        <w:rPr>
          <w:bCs/>
          <w:iCs/>
        </w:rPr>
      </w:pPr>
      <w:r w:rsidRPr="004A50B9">
        <w:t xml:space="preserve">poukazuje na zásadní význam </w:t>
      </w:r>
      <w:r w:rsidRPr="004A50B9">
        <w:rPr>
          <w:b/>
          <w:bCs/>
        </w:rPr>
        <w:t>dovedností</w:t>
      </w:r>
      <w:r w:rsidR="001B28B8">
        <w:rPr>
          <w:b/>
          <w:bCs/>
        </w:rPr>
        <w:t xml:space="preserve"> a </w:t>
      </w:r>
      <w:r w:rsidRPr="004A50B9">
        <w:rPr>
          <w:b/>
          <w:bCs/>
        </w:rPr>
        <w:t>odborné přípravy pracovníků</w:t>
      </w:r>
      <w:r w:rsidRPr="004A50B9">
        <w:t xml:space="preserve"> pro kybernetickou odolnost, podpory celounijních rámců</w:t>
      </w:r>
      <w:r w:rsidR="001B28B8">
        <w:t xml:space="preserve"> a </w:t>
      </w:r>
      <w:r w:rsidRPr="004A50B9">
        <w:t>certifikačních systémů, jež musí zůstat praktické, koordinované</w:t>
      </w:r>
      <w:r w:rsidR="001B28B8">
        <w:t xml:space="preserve"> a </w:t>
      </w:r>
      <w:r w:rsidRPr="004A50B9">
        <w:t>přístupné ve všech členských státech;</w:t>
      </w:r>
    </w:p>
    <w:p w14:paraId="13575609" w14:textId="7F754F6C" w:rsidR="00217581" w:rsidRPr="004A50B9" w:rsidRDefault="00217581" w:rsidP="008D7B21">
      <w:pPr>
        <w:widowControl w:val="0"/>
        <w:numPr>
          <w:ilvl w:val="0"/>
          <w:numId w:val="19"/>
        </w:numPr>
        <w:overflowPunct w:val="0"/>
        <w:autoSpaceDE w:val="0"/>
        <w:autoSpaceDN w:val="0"/>
        <w:adjustRightInd w:val="0"/>
        <w:ind w:left="567" w:hanging="567"/>
        <w:textAlignment w:val="baseline"/>
        <w:rPr>
          <w:bCs/>
          <w:iCs/>
        </w:rPr>
      </w:pPr>
      <w:r w:rsidRPr="004A50B9">
        <w:t xml:space="preserve">zdůrazňuje rostoucí význam kybernetické bezpečnosti pro </w:t>
      </w:r>
      <w:r w:rsidRPr="004A50B9">
        <w:rPr>
          <w:b/>
          <w:bCs/>
        </w:rPr>
        <w:t>demokratickou odolnost</w:t>
      </w:r>
      <w:r w:rsidR="001B28B8">
        <w:rPr>
          <w:b/>
          <w:bCs/>
        </w:rPr>
        <w:t xml:space="preserve"> a </w:t>
      </w:r>
      <w:r w:rsidRPr="004A50B9">
        <w:t>naléhavě vyzývá</w:t>
      </w:r>
      <w:r w:rsidR="001B28B8">
        <w:t xml:space="preserve"> k </w:t>
      </w:r>
      <w:r w:rsidRPr="004A50B9">
        <w:rPr>
          <w:b/>
          <w:bCs/>
        </w:rPr>
        <w:t xml:space="preserve">posílené koordinaci na unijní úrovni </w:t>
      </w:r>
      <w:r w:rsidRPr="004A50B9">
        <w:t>na ochranu voleb</w:t>
      </w:r>
      <w:r w:rsidR="001B28B8">
        <w:t xml:space="preserve"> a </w:t>
      </w:r>
      <w:r w:rsidRPr="004A50B9">
        <w:t>kritické infrastruktury před kybernetickými útoky, dezinformacemi</w:t>
      </w:r>
      <w:r w:rsidR="001B28B8">
        <w:t xml:space="preserve"> a </w:t>
      </w:r>
      <w:r w:rsidRPr="004A50B9">
        <w:t>zahraničním vměšováním;</w:t>
      </w:r>
    </w:p>
    <w:p w14:paraId="188C64FA" w14:textId="145AA1DD" w:rsidR="00217581" w:rsidRPr="004A50B9" w:rsidRDefault="00217581" w:rsidP="008D7B21">
      <w:pPr>
        <w:widowControl w:val="0"/>
        <w:numPr>
          <w:ilvl w:val="0"/>
          <w:numId w:val="19"/>
        </w:numPr>
        <w:overflowPunct w:val="0"/>
        <w:autoSpaceDE w:val="0"/>
        <w:autoSpaceDN w:val="0"/>
        <w:adjustRightInd w:val="0"/>
        <w:ind w:left="567" w:hanging="567"/>
        <w:textAlignment w:val="baseline"/>
        <w:rPr>
          <w:bCs/>
          <w:iCs/>
        </w:rPr>
      </w:pPr>
      <w:r w:rsidRPr="004A50B9">
        <w:t xml:space="preserve">podporuje </w:t>
      </w:r>
      <w:r w:rsidRPr="004A50B9">
        <w:rPr>
          <w:b/>
          <w:bCs/>
        </w:rPr>
        <w:t>zjednodušený</w:t>
      </w:r>
      <w:r w:rsidR="001B28B8">
        <w:rPr>
          <w:b/>
          <w:bCs/>
        </w:rPr>
        <w:t xml:space="preserve"> a </w:t>
      </w:r>
      <w:r w:rsidRPr="004A50B9">
        <w:rPr>
          <w:b/>
          <w:bCs/>
        </w:rPr>
        <w:t>účinný certifikační rámec založený</w:t>
      </w:r>
      <w:r w:rsidRPr="004A50B9">
        <w:t xml:space="preserve"> na myšlence „jednou</w:t>
      </w:r>
      <w:r w:rsidR="004917CF">
        <w:t> </w:t>
      </w:r>
      <w:r w:rsidRPr="004A50B9">
        <w:t>certifikováno, všude certifikováno“, jenž bude garancí právní jistoty, transparentnosti</w:t>
      </w:r>
      <w:r w:rsidR="001B28B8">
        <w:t xml:space="preserve"> a </w:t>
      </w:r>
      <w:r w:rsidRPr="004A50B9">
        <w:t>proporcionality,</w:t>
      </w:r>
      <w:r w:rsidR="001B28B8">
        <w:t xml:space="preserve"> a </w:t>
      </w:r>
      <w:r w:rsidRPr="004A50B9">
        <w:t>to zejména pro MSP</w:t>
      </w:r>
      <w:r w:rsidR="001B28B8">
        <w:t xml:space="preserve"> a </w:t>
      </w:r>
      <w:r w:rsidRPr="004A50B9">
        <w:t>přeshraniční subjekty;</w:t>
      </w:r>
    </w:p>
    <w:p w14:paraId="5D0A7CCC" w14:textId="2E20B470" w:rsidR="00217581" w:rsidRPr="004A50B9" w:rsidRDefault="00217581" w:rsidP="008D7B21">
      <w:pPr>
        <w:widowControl w:val="0"/>
        <w:numPr>
          <w:ilvl w:val="0"/>
          <w:numId w:val="19"/>
        </w:numPr>
        <w:overflowPunct w:val="0"/>
        <w:autoSpaceDE w:val="0"/>
        <w:autoSpaceDN w:val="0"/>
        <w:adjustRightInd w:val="0"/>
        <w:ind w:left="567" w:hanging="567"/>
        <w:textAlignment w:val="baseline"/>
        <w:rPr>
          <w:bCs/>
          <w:iCs/>
        </w:rPr>
      </w:pPr>
      <w:r w:rsidRPr="004A50B9">
        <w:t xml:space="preserve">naléhavě žádá </w:t>
      </w:r>
      <w:r w:rsidRPr="004A50B9">
        <w:rPr>
          <w:b/>
          <w:bCs/>
        </w:rPr>
        <w:t>vyvážený přístup</w:t>
      </w:r>
      <w:r w:rsidR="001B28B8">
        <w:rPr>
          <w:b/>
          <w:bCs/>
        </w:rPr>
        <w:t xml:space="preserve"> k </w:t>
      </w:r>
      <w:r w:rsidRPr="004A50B9">
        <w:rPr>
          <w:b/>
          <w:bCs/>
        </w:rPr>
        <w:t>bezpečnosti dodavatelského řetězce IKT</w:t>
      </w:r>
      <w:r w:rsidRPr="004A50B9">
        <w:t>, jehož součástí budou transparentní opatření založená na posouzení rizik</w:t>
      </w:r>
      <w:r w:rsidR="001B28B8">
        <w:t xml:space="preserve"> a </w:t>
      </w:r>
      <w:r w:rsidRPr="004A50B9">
        <w:t>plném posouzení hospodářských, provozních</w:t>
      </w:r>
      <w:r w:rsidR="001B28B8">
        <w:t xml:space="preserve"> a </w:t>
      </w:r>
      <w:r w:rsidRPr="004A50B9">
        <w:t>sociálních dopadů bez nadměrné zátěži spojené</w:t>
      </w:r>
      <w:r w:rsidR="001B28B8">
        <w:t xml:space="preserve"> s </w:t>
      </w:r>
      <w:r w:rsidRPr="004A50B9">
        <w:t>dodržováním předpisů</w:t>
      </w:r>
      <w:r w:rsidR="001B28B8">
        <w:t xml:space="preserve"> a </w:t>
      </w:r>
      <w:r w:rsidRPr="004A50B9">
        <w:t>se</w:t>
      </w:r>
      <w:r w:rsidR="00FB4D8E">
        <w:t> </w:t>
      </w:r>
      <w:r w:rsidRPr="004A50B9">
        <w:t>silným zapojením sociálních partnerů</w:t>
      </w:r>
      <w:r w:rsidR="001B28B8">
        <w:t xml:space="preserve"> a </w:t>
      </w:r>
      <w:r w:rsidRPr="004A50B9">
        <w:t>zúčastněných stran.</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Kontakt:</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E-mail:</w:t>
            </w:r>
          </w:p>
        </w:tc>
        <w:tc>
          <w:tcPr>
            <w:tcW w:w="5670" w:type="dxa"/>
          </w:tcPr>
          <w:p w14:paraId="2F1FD287" w14:textId="74006AA2" w:rsidR="00A83352" w:rsidRPr="00A83352" w:rsidRDefault="00123016" w:rsidP="00A83352">
            <w:pPr>
              <w:overflowPunct w:val="0"/>
              <w:autoSpaceDE w:val="0"/>
              <w:autoSpaceDN w:val="0"/>
              <w:adjustRightInd w:val="0"/>
              <w:spacing w:line="240" w:lineRule="auto"/>
              <w:textAlignment w:val="baseline"/>
              <w:rPr>
                <w:i/>
              </w:rPr>
            </w:pPr>
            <w:hyperlink r:id="rId39" w:history="1">
              <w:r w:rsidR="00E60ACE">
                <w:rPr>
                  <w:i/>
                  <w:color w:val="0000FF"/>
                  <w:u w:val="single"/>
                </w:rPr>
                <w:t>Silvia.Staffa@eesc.europa.eu</w:t>
              </w:r>
            </w:hyperlink>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0C4382AA" w:rsidR="00665940" w:rsidRPr="004A48C9"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40" w:history="1">
        <w:r w:rsidR="00E60ACE" w:rsidRPr="004A48C9">
          <w:rPr>
            <w:rStyle w:val="Hyperlink"/>
            <w:b/>
            <w:bCs/>
            <w:i/>
            <w:iCs/>
            <w:sz w:val="28"/>
            <w:szCs w:val="28"/>
          </w:rPr>
          <w:t>Vytvoření Evropského střediska pro klinickou odbornost</w:t>
        </w:r>
        <w:r w:rsidR="001B28B8" w:rsidRPr="004A48C9">
          <w:rPr>
            <w:rStyle w:val="Hyperlink"/>
            <w:b/>
            <w:bCs/>
            <w:i/>
            <w:iCs/>
            <w:sz w:val="28"/>
            <w:szCs w:val="28"/>
          </w:rPr>
          <w:t xml:space="preserve"> v </w:t>
        </w:r>
        <w:r w:rsidR="00E60ACE" w:rsidRPr="004A48C9">
          <w:rPr>
            <w:rStyle w:val="Hyperlink"/>
            <w:b/>
            <w:bCs/>
            <w:i/>
            <w:iCs/>
            <w:sz w:val="28"/>
            <w:szCs w:val="28"/>
          </w:rPr>
          <w:t>oblasti léčivých přípravků</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665940" w14:paraId="42EBD1F0" w14:textId="77777777" w:rsidTr="004C6742">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Zpravodaj</w:t>
            </w:r>
          </w:p>
        </w:tc>
        <w:tc>
          <w:tcPr>
            <w:tcW w:w="6663"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Veselin MITOV (Zaměstnanci – BG)</w:t>
            </w:r>
          </w:p>
        </w:tc>
      </w:tr>
      <w:tr w:rsidR="00665940" w:rsidRPr="00665940" w14:paraId="4D35B05F" w14:textId="77777777" w:rsidTr="004C6742">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4C6742">
        <w:trPr>
          <w:trHeight w:val="404"/>
        </w:trPr>
        <w:tc>
          <w:tcPr>
            <w:tcW w:w="1701" w:type="dxa"/>
          </w:tcPr>
          <w:p w14:paraId="1FBC09A6" w14:textId="006CFCA7" w:rsidR="00665940" w:rsidRPr="00665940" w:rsidRDefault="00986FC0" w:rsidP="00665940">
            <w:pPr>
              <w:tabs>
                <w:tab w:val="center" w:pos="284"/>
              </w:tabs>
              <w:overflowPunct w:val="0"/>
              <w:autoSpaceDE w:val="0"/>
              <w:autoSpaceDN w:val="0"/>
              <w:adjustRightInd w:val="0"/>
              <w:ind w:left="266" w:hanging="266"/>
              <w:textAlignment w:val="baseline"/>
              <w:rPr>
                <w:b/>
              </w:rPr>
            </w:pPr>
            <w:r>
              <w:rPr>
                <w:b/>
              </w:rPr>
              <w:t>Odkazy</w:t>
            </w:r>
          </w:p>
        </w:tc>
        <w:tc>
          <w:tcPr>
            <w:tcW w:w="6663"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(průzkumné stanovisko na žádost kyperského předsednictví Rady EU)</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Hlavní body</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EHSV:</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630D0C16" w14:textId="0B3B907F" w:rsidR="00217581" w:rsidRPr="0006358D" w:rsidRDefault="00217581" w:rsidP="008D7B21">
      <w:pPr>
        <w:widowControl w:val="0"/>
        <w:numPr>
          <w:ilvl w:val="0"/>
          <w:numId w:val="20"/>
        </w:numPr>
        <w:overflowPunct w:val="0"/>
        <w:autoSpaceDE w:val="0"/>
        <w:autoSpaceDN w:val="0"/>
        <w:adjustRightInd w:val="0"/>
        <w:ind w:left="567" w:hanging="567"/>
        <w:textAlignment w:val="baseline"/>
        <w:rPr>
          <w:bCs/>
          <w:iCs/>
        </w:rPr>
      </w:pPr>
      <w:r>
        <w:t>doporučuje proto vytvořit Evropské středisko pro klinickou odbornost jako nezávazný referenční subjekt EU, který by na základě vědeckých poznatků formuloval kvalitní klinické pokyny, které budou</w:t>
      </w:r>
      <w:r w:rsidR="001B28B8">
        <w:t xml:space="preserve"> v </w:t>
      </w:r>
      <w:r>
        <w:t>plném souladu se zásadou subsidiarity</w:t>
      </w:r>
      <w:r w:rsidR="001B28B8">
        <w:t xml:space="preserve"> a </w:t>
      </w:r>
      <w:r>
        <w:t>proporcionality</w:t>
      </w:r>
      <w:r w:rsidR="001B28B8">
        <w:t xml:space="preserve"> a </w:t>
      </w:r>
      <w:r>
        <w:t>budou prosazovat spravedlivý přístup ke kvalitní péči</w:t>
      </w:r>
      <w:r w:rsidR="001B28B8">
        <w:t xml:space="preserve"> v </w:t>
      </w:r>
      <w:r>
        <w:t>celé EU;</w:t>
      </w:r>
    </w:p>
    <w:p w14:paraId="069589DA" w14:textId="68B4BE5B" w:rsidR="00217581" w:rsidRPr="00A6689B" w:rsidRDefault="00217581" w:rsidP="008D7B21">
      <w:pPr>
        <w:widowControl w:val="0"/>
        <w:numPr>
          <w:ilvl w:val="0"/>
          <w:numId w:val="20"/>
        </w:numPr>
        <w:overflowPunct w:val="0"/>
        <w:autoSpaceDE w:val="0"/>
        <w:autoSpaceDN w:val="0"/>
        <w:adjustRightInd w:val="0"/>
        <w:ind w:left="567" w:hanging="567"/>
        <w:textAlignment w:val="baseline"/>
        <w:rPr>
          <w:bCs/>
          <w:iCs/>
        </w:rPr>
      </w:pPr>
      <w:r>
        <w:t>je toho názoru, že by Evropské středisko pro klinickou odbornost mělo být součástí širší strategie EU pro odolnost</w:t>
      </w:r>
      <w:r w:rsidR="001B28B8">
        <w:t xml:space="preserve"> v </w:t>
      </w:r>
      <w:r>
        <w:t>oblasti zdraví</w:t>
      </w:r>
      <w:r w:rsidR="001B28B8">
        <w:t xml:space="preserve"> s </w:t>
      </w:r>
      <w:r>
        <w:t>cílem posílit vědeckou spolupráci, zavádění inovací</w:t>
      </w:r>
      <w:r w:rsidR="001B28B8">
        <w:t xml:space="preserve"> a </w:t>
      </w:r>
      <w:r>
        <w:t>strategickou autonomii EU;</w:t>
      </w:r>
    </w:p>
    <w:p w14:paraId="31D62C37" w14:textId="4FC38568" w:rsidR="00217581" w:rsidRPr="000353AF" w:rsidRDefault="00217581" w:rsidP="008D7B21">
      <w:pPr>
        <w:widowControl w:val="0"/>
        <w:numPr>
          <w:ilvl w:val="0"/>
          <w:numId w:val="20"/>
        </w:numPr>
        <w:overflowPunct w:val="0"/>
        <w:autoSpaceDE w:val="0"/>
        <w:autoSpaceDN w:val="0"/>
        <w:adjustRightInd w:val="0"/>
        <w:ind w:left="567" w:hanging="567"/>
        <w:textAlignment w:val="baseline"/>
        <w:rPr>
          <w:bCs/>
          <w:iCs/>
        </w:rPr>
      </w:pPr>
      <w:r>
        <w:t>domnívá se, že by Evropské středisko pro klinickou odbornost mělo doplňovat stávající struktury EU</w:t>
      </w:r>
      <w:r w:rsidR="001B28B8">
        <w:t xml:space="preserve"> a </w:t>
      </w:r>
      <w:r>
        <w:t>jednotlivých členských států, nikoli je nahrazovat, sloužit jako společný vědecký referenční subjekt</w:t>
      </w:r>
      <w:r w:rsidR="001B28B8">
        <w:t xml:space="preserve"> a </w:t>
      </w:r>
      <w:r>
        <w:t>fungovat</w:t>
      </w:r>
      <w:r w:rsidR="001B28B8">
        <w:t xml:space="preserve"> v </w:t>
      </w:r>
      <w:r>
        <w:t>pevném řídicím rámci;</w:t>
      </w:r>
    </w:p>
    <w:p w14:paraId="006B006B" w14:textId="678AC93D" w:rsidR="00217581" w:rsidRPr="00A6689B" w:rsidRDefault="00217581" w:rsidP="008D7B21">
      <w:pPr>
        <w:widowControl w:val="0"/>
        <w:numPr>
          <w:ilvl w:val="0"/>
          <w:numId w:val="20"/>
        </w:numPr>
        <w:overflowPunct w:val="0"/>
        <w:autoSpaceDE w:val="0"/>
        <w:autoSpaceDN w:val="0"/>
        <w:adjustRightInd w:val="0"/>
        <w:ind w:left="567" w:hanging="567"/>
        <w:textAlignment w:val="baseline"/>
        <w:rPr>
          <w:bCs/>
          <w:iCs/>
        </w:rPr>
      </w:pPr>
      <w:r>
        <w:t>má za to, že by mandát Evropského střediska pro klinickou odbornost měl být jasně definovaný</w:t>
      </w:r>
      <w:r w:rsidR="001B28B8">
        <w:t xml:space="preserve"> a </w:t>
      </w:r>
      <w:r>
        <w:t>zaměřený na špičkovou vědeckou úroveň, transparentnost</w:t>
      </w:r>
      <w:r w:rsidR="001B28B8">
        <w:t xml:space="preserve"> a </w:t>
      </w:r>
      <w:r>
        <w:t>praktický význam</w:t>
      </w:r>
      <w:r w:rsidR="001B28B8">
        <w:t xml:space="preserve"> a </w:t>
      </w:r>
      <w:r>
        <w:t>že musí klást důraz na systematickou analýzu</w:t>
      </w:r>
      <w:r w:rsidR="001B28B8">
        <w:t xml:space="preserve"> a </w:t>
      </w:r>
      <w:r>
        <w:t>syntézu klinických údajů, jejichž součástí budou společná klinická hodnocení</w:t>
      </w:r>
      <w:r w:rsidR="001B28B8">
        <w:t xml:space="preserve"> a </w:t>
      </w:r>
      <w:r>
        <w:t>důkazy</w:t>
      </w:r>
      <w:r w:rsidR="001B28B8">
        <w:t xml:space="preserve"> z </w:t>
      </w:r>
      <w:r>
        <w:t>praxe. Středisko by mělo vypracovávat nezávazná, fakticky podložená farmakoterapeutická doporučení</w:t>
      </w:r>
      <w:r w:rsidR="001B28B8">
        <w:t xml:space="preserve"> a </w:t>
      </w:r>
      <w:r>
        <w:t>klinické protokoly</w:t>
      </w:r>
      <w:r w:rsidR="001B28B8">
        <w:t xml:space="preserve"> s </w:t>
      </w:r>
      <w:r>
        <w:t>cílem podpořit rozhodování</w:t>
      </w:r>
      <w:r w:rsidR="001B28B8">
        <w:t xml:space="preserve"> v </w:t>
      </w:r>
      <w:r>
        <w:t>jednotlivých členských státech;</w:t>
      </w:r>
    </w:p>
    <w:p w14:paraId="23FBB275" w14:textId="7D87C388" w:rsidR="00217581" w:rsidRPr="00A6689B" w:rsidRDefault="00217581" w:rsidP="008D7B21">
      <w:pPr>
        <w:widowControl w:val="0"/>
        <w:numPr>
          <w:ilvl w:val="0"/>
          <w:numId w:val="20"/>
        </w:numPr>
        <w:overflowPunct w:val="0"/>
        <w:autoSpaceDE w:val="0"/>
        <w:autoSpaceDN w:val="0"/>
        <w:adjustRightInd w:val="0"/>
        <w:ind w:left="567" w:hanging="567"/>
        <w:textAlignment w:val="baseline"/>
      </w:pPr>
      <w:r>
        <w:t>doporučuje zřídit Evropské středisko pro klinickou odbornost jako nový decentralizovaný subjekt EU, který by zajistil vědeckou konzistentnost, institucionální kontinuitu</w:t>
      </w:r>
      <w:r w:rsidR="001B28B8">
        <w:t xml:space="preserve"> a </w:t>
      </w:r>
      <w:r>
        <w:t>nezávislost</w:t>
      </w:r>
      <w:r w:rsidR="001B28B8">
        <w:t xml:space="preserve"> a </w:t>
      </w:r>
      <w:r>
        <w:t>byl spravován na základě vyváženého modelu spojujícího úroveň členských států, Evropské komise</w:t>
      </w:r>
      <w:r w:rsidR="001B28B8">
        <w:t xml:space="preserve"> a </w:t>
      </w:r>
      <w:r>
        <w:t>organizované občanské společnosti;</w:t>
      </w:r>
    </w:p>
    <w:p w14:paraId="43AC5B7A" w14:textId="7505C484" w:rsidR="00665940" w:rsidRPr="00665940" w:rsidRDefault="00217581" w:rsidP="008D7B21">
      <w:pPr>
        <w:widowControl w:val="0"/>
        <w:numPr>
          <w:ilvl w:val="0"/>
          <w:numId w:val="20"/>
        </w:numPr>
        <w:overflowPunct w:val="0"/>
        <w:autoSpaceDE w:val="0"/>
        <w:autoSpaceDN w:val="0"/>
        <w:adjustRightInd w:val="0"/>
        <w:ind w:left="567" w:hanging="567"/>
        <w:textAlignment w:val="baseline"/>
        <w:rPr>
          <w:rFonts w:asciiTheme="minorHAnsi" w:hAnsiTheme="minorHAnsi"/>
          <w:szCs w:val="20"/>
        </w:rPr>
      </w:pPr>
      <w:r>
        <w:t>je přesvědčen, že předpokladem důvěryhodnosti, nezávislosti</w:t>
      </w:r>
      <w:r w:rsidR="001B28B8">
        <w:t xml:space="preserve"> a </w:t>
      </w:r>
      <w:r>
        <w:t>dlouhodobé účinnosti Evropského střediska pro klinickou odbornost je stabilní, přiměřené</w:t>
      </w:r>
      <w:r w:rsidR="001B28B8">
        <w:t xml:space="preserve"> a </w:t>
      </w:r>
      <w:r>
        <w:t>předvídatelné financování</w:t>
      </w:r>
      <w:r w:rsidR="001B28B8">
        <w:t xml:space="preserve"> z </w:t>
      </w:r>
      <w:r>
        <w:t>rozpočtu EU. Veškerá doplňující financování musí být přísně regulována</w:t>
      </w:r>
      <w:r w:rsidR="001B28B8">
        <w:t xml:space="preserve"> a </w:t>
      </w:r>
      <w:r>
        <w:t>být plně transparentní, aby se zabránilo nepatřičnému ovlivňování vědeckých výstupů.</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Kontakt:</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Radoslava Štefanková</w:t>
            </w:r>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E-mail:</w:t>
            </w:r>
          </w:p>
        </w:tc>
        <w:tc>
          <w:tcPr>
            <w:tcW w:w="5670" w:type="dxa"/>
          </w:tcPr>
          <w:p w14:paraId="51562D55" w14:textId="77777777" w:rsidR="00665940" w:rsidRPr="00665940" w:rsidRDefault="00123016" w:rsidP="00665940">
            <w:pPr>
              <w:overflowPunct w:val="0"/>
              <w:autoSpaceDE w:val="0"/>
              <w:autoSpaceDN w:val="0"/>
              <w:adjustRightInd w:val="0"/>
              <w:spacing w:line="240" w:lineRule="auto"/>
              <w:textAlignment w:val="baseline"/>
              <w:rPr>
                <w:i/>
              </w:rPr>
            </w:pPr>
            <w:hyperlink r:id="rId41" w:history="1">
              <w:r w:rsidR="00E60ACE">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28E03FD6" w:rsidR="00445258" w:rsidRPr="004A48C9" w:rsidRDefault="00123016" w:rsidP="008D7B21">
      <w:pPr>
        <w:widowControl w:val="0"/>
        <w:numPr>
          <w:ilvl w:val="0"/>
          <w:numId w:val="9"/>
        </w:numPr>
        <w:overflowPunct w:val="0"/>
        <w:autoSpaceDE w:val="0"/>
        <w:autoSpaceDN w:val="0"/>
        <w:adjustRightInd w:val="0"/>
        <w:spacing w:after="200" w:line="276" w:lineRule="auto"/>
        <w:ind w:left="567" w:hanging="567"/>
        <w:contextualSpacing/>
        <w:jc w:val="left"/>
        <w:textAlignment w:val="baseline"/>
        <w:rPr>
          <w:b/>
          <w:bCs/>
          <w:i/>
          <w:iCs/>
          <w:sz w:val="28"/>
          <w:szCs w:val="28"/>
        </w:rPr>
      </w:pPr>
      <w:hyperlink r:id="rId42" w:history="1">
        <w:r w:rsidR="00445258" w:rsidRPr="004A48C9">
          <w:rPr>
            <w:rStyle w:val="Hyperlink"/>
            <w:b/>
            <w:bCs/>
            <w:i/>
            <w:iCs/>
            <w:sz w:val="28"/>
            <w:szCs w:val="28"/>
          </w:rPr>
          <w:t>Prekursory drog</w:t>
        </w:r>
      </w:hyperlink>
    </w:p>
    <w:p w14:paraId="75073A74" w14:textId="77777777" w:rsidR="004917CF" w:rsidRPr="004917CF" w:rsidRDefault="004917CF" w:rsidP="004917CF">
      <w:pPr>
        <w:widowControl w:val="0"/>
        <w:overflowPunct w:val="0"/>
        <w:autoSpaceDE w:val="0"/>
        <w:autoSpaceDN w:val="0"/>
        <w:adjustRightInd w:val="0"/>
        <w:spacing w:after="200" w:line="276" w:lineRule="auto"/>
        <w:ind w:left="567"/>
        <w:contextualSpacing/>
        <w:jc w:val="left"/>
        <w:textAlignment w:val="baseline"/>
        <w:rPr>
          <w:b/>
          <w:bCs/>
        </w:rPr>
      </w:pPr>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445258" w14:paraId="7E507868" w14:textId="77777777" w:rsidTr="002E7EFB">
        <w:tc>
          <w:tcPr>
            <w:tcW w:w="1148" w:type="pct"/>
          </w:tcPr>
          <w:p w14:paraId="4BFF03AB" w14:textId="77777777" w:rsidR="00445258" w:rsidRPr="00445258" w:rsidRDefault="00445258" w:rsidP="004917CF">
            <w:pPr>
              <w:overflowPunct w:val="0"/>
              <w:autoSpaceDE w:val="0"/>
              <w:autoSpaceDN w:val="0"/>
              <w:adjustRightInd w:val="0"/>
              <w:ind w:left="266" w:hanging="266"/>
              <w:textAlignment w:val="baseline"/>
              <w:rPr>
                <w:b/>
              </w:rPr>
            </w:pPr>
            <w:r>
              <w:rPr>
                <w:b/>
              </w:rPr>
              <w:t>Zpravodaj</w:t>
            </w:r>
          </w:p>
          <w:p w14:paraId="113C8799" w14:textId="77777777" w:rsidR="00445258" w:rsidRPr="004A48C9" w:rsidRDefault="00445258" w:rsidP="004917CF">
            <w:pPr>
              <w:overflowPunct w:val="0"/>
              <w:autoSpaceDE w:val="0"/>
              <w:autoSpaceDN w:val="0"/>
              <w:adjustRightInd w:val="0"/>
              <w:ind w:left="266" w:hanging="266"/>
              <w:textAlignment w:val="baseline"/>
              <w:rPr>
                <w:b/>
                <w:sz w:val="14"/>
                <w:szCs w:val="14"/>
              </w:rPr>
            </w:pPr>
          </w:p>
        </w:tc>
        <w:tc>
          <w:tcPr>
            <w:tcW w:w="3852" w:type="pct"/>
          </w:tcPr>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(skupina Organizace občanské společnosti – IT)</w:t>
            </w:r>
          </w:p>
          <w:p w14:paraId="641B170F" w14:textId="77777777" w:rsidR="00445258" w:rsidRPr="004A48C9" w:rsidRDefault="00445258" w:rsidP="00445258">
            <w:pPr>
              <w:tabs>
                <w:tab w:val="center" w:pos="284"/>
              </w:tabs>
              <w:overflowPunct w:val="0"/>
              <w:autoSpaceDE w:val="0"/>
              <w:autoSpaceDN w:val="0"/>
              <w:adjustRightInd w:val="0"/>
              <w:ind w:left="266" w:hanging="266"/>
              <w:textAlignment w:val="baseline"/>
              <w:rPr>
                <w:sz w:val="14"/>
                <w:szCs w:val="14"/>
                <w:lang w:val="en-GB"/>
              </w:rPr>
            </w:pPr>
          </w:p>
        </w:tc>
      </w:tr>
      <w:tr w:rsidR="00445258" w:rsidRPr="00445258" w14:paraId="2EFF6C25" w14:textId="77777777" w:rsidTr="002E7EFB">
        <w:tc>
          <w:tcPr>
            <w:tcW w:w="1148" w:type="pct"/>
            <w:vMerge w:val="restart"/>
          </w:tcPr>
          <w:p w14:paraId="70282570" w14:textId="6D201C02" w:rsidR="00445258" w:rsidRPr="00445258" w:rsidRDefault="00986FC0" w:rsidP="004917CF">
            <w:pPr>
              <w:overflowPunct w:val="0"/>
              <w:autoSpaceDE w:val="0"/>
              <w:autoSpaceDN w:val="0"/>
              <w:adjustRightInd w:val="0"/>
              <w:ind w:left="266" w:hanging="266"/>
              <w:textAlignment w:val="baseline"/>
              <w:rPr>
                <w:b/>
              </w:rPr>
            </w:pPr>
            <w:r>
              <w:rPr>
                <w:b/>
              </w:rPr>
              <w:t>Odkazy</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Hlavní body</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EHSV doporučuje následující:</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074B3E7F" w14:textId="312CB623"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zajistit, aby přístup</w:t>
      </w:r>
      <w:r w:rsidR="001B28B8">
        <w:t xml:space="preserve"> k </w:t>
      </w:r>
      <w:r w:rsidRPr="00DA63AC">
        <w:t>„úložišti informací</w:t>
      </w:r>
      <w:r w:rsidR="001B28B8">
        <w:t xml:space="preserve"> o </w:t>
      </w:r>
      <w:r w:rsidRPr="00DA63AC">
        <w:t>prekursorech drog“ byl zcela bezplatný;</w:t>
      </w:r>
    </w:p>
    <w:p w14:paraId="6CA94847" w14:textId="5376A65A"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stanovit úplné osvobození od poplatků za vydávání licencí nebo jejich výrazné snížení pro vysoké školy, výzkumná zařízení</w:t>
      </w:r>
      <w:r w:rsidR="001B28B8">
        <w:t xml:space="preserve"> a </w:t>
      </w:r>
      <w:r w:rsidRPr="00DA63AC">
        <w:t>dobročinné organizace;</w:t>
      </w:r>
    </w:p>
    <w:p w14:paraId="3546CA33" w14:textId="77777777"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zjednodušit postup předchozího oznamování použití malého množství designer prekursorů;</w:t>
      </w:r>
    </w:p>
    <w:p w14:paraId="77C7CA7C" w14:textId="77777777"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vytvořit speciální kanál pro poskytování technické podpory všem zainteresovaným stranám, včetně organizací třetího sektoru, který umožní rychle objasnit klasifikaci různých typů látek;</w:t>
      </w:r>
    </w:p>
    <w:p w14:paraId="46AFED95" w14:textId="5636AADD"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zamezit právní nejistotě, kterou by mohlo výzkumným laboratořím způsobit všeobecné zahrnutí skupin látek do kategorie 3,</w:t>
      </w:r>
      <w:r w:rsidR="001B28B8">
        <w:t xml:space="preserve"> a </w:t>
      </w:r>
      <w:r w:rsidRPr="00DA63AC">
        <w:t>to včasným zveřejněním jasných</w:t>
      </w:r>
      <w:r w:rsidR="001B28B8">
        <w:t xml:space="preserve"> a </w:t>
      </w:r>
      <w:r w:rsidRPr="00DA63AC">
        <w:t>vyčerpávajících seznamů výjimek;</w:t>
      </w:r>
    </w:p>
    <w:p w14:paraId="663A54C1" w14:textId="70549D7C"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zapojit organizace občanské společnosti, které se specializují na prevenci závislostí</w:t>
      </w:r>
      <w:r w:rsidR="001B28B8">
        <w:t xml:space="preserve"> a </w:t>
      </w:r>
      <w:r w:rsidRPr="00DA63AC">
        <w:t>minimalizaci negativních důsledků, do osvětových</w:t>
      </w:r>
      <w:r w:rsidR="001B28B8">
        <w:t xml:space="preserve"> a </w:t>
      </w:r>
      <w:r w:rsidRPr="00DA63AC">
        <w:t xml:space="preserve">vzdělávacích aktivit; </w:t>
      </w:r>
    </w:p>
    <w:p w14:paraId="66D251F8" w14:textId="77777777"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uplatňovat povinnost jmenovat „odpovědného pracovníka“, přičemž malé organizace občanské společnosti by měly možnost určit jednoho ze svých stávajících zaměstnanců;</w:t>
      </w:r>
    </w:p>
    <w:p w14:paraId="2D9F797A" w14:textId="17E7C585" w:rsidR="00217581" w:rsidRPr="00DA63AC" w:rsidRDefault="00217581" w:rsidP="008D7B21">
      <w:pPr>
        <w:widowControl w:val="0"/>
        <w:numPr>
          <w:ilvl w:val="0"/>
          <w:numId w:val="22"/>
        </w:numPr>
        <w:overflowPunct w:val="0"/>
        <w:autoSpaceDE w:val="0"/>
        <w:autoSpaceDN w:val="0"/>
        <w:adjustRightInd w:val="0"/>
        <w:ind w:left="567" w:hanging="567"/>
        <w:textAlignment w:val="baseline"/>
      </w:pPr>
      <w:r w:rsidRPr="00DA63AC">
        <w:t>zavést</w:t>
      </w:r>
      <w:r w:rsidR="001B28B8">
        <w:t xml:space="preserve"> v </w:t>
      </w:r>
      <w:r w:rsidRPr="00DA63AC">
        <w:t>EU jednotnou regulaci, díky níž budou moci veřejné orgány monitorovat obchodování</w:t>
      </w:r>
      <w:r w:rsidR="001B28B8">
        <w:t xml:space="preserve"> s </w:t>
      </w:r>
      <w:r w:rsidRPr="00DA63AC">
        <w:t>látkami</w:t>
      </w:r>
      <w:r w:rsidR="001B28B8">
        <w:t xml:space="preserve"> a </w:t>
      </w:r>
      <w:r w:rsidRPr="00DA63AC">
        <w:t>využívání látek</w:t>
      </w:r>
      <w:r w:rsidR="001B28B8">
        <w:t xml:space="preserve"> k </w:t>
      </w:r>
      <w:r w:rsidRPr="00DA63AC">
        <w:t>výzkumným účelům</w:t>
      </w:r>
      <w:r w:rsidR="001B28B8">
        <w:t xml:space="preserve"> v </w:t>
      </w:r>
      <w:r w:rsidRPr="00DA63AC">
        <w:t xml:space="preserve">Evropě; </w:t>
      </w:r>
    </w:p>
    <w:p w14:paraId="6673E6C9" w14:textId="2B7B9A3A" w:rsidR="00445258" w:rsidRPr="00445258" w:rsidRDefault="00217581" w:rsidP="008D7B21">
      <w:pPr>
        <w:widowControl w:val="0"/>
        <w:numPr>
          <w:ilvl w:val="0"/>
          <w:numId w:val="22"/>
        </w:numPr>
        <w:overflowPunct w:val="0"/>
        <w:autoSpaceDE w:val="0"/>
        <w:autoSpaceDN w:val="0"/>
        <w:adjustRightInd w:val="0"/>
        <w:spacing w:line="276" w:lineRule="auto"/>
        <w:ind w:left="567" w:hanging="567"/>
        <w:textAlignment w:val="baseline"/>
        <w:rPr>
          <w:szCs w:val="20"/>
        </w:rPr>
      </w:pPr>
      <w:r w:rsidRPr="00DA63AC">
        <w:t>chránit nezávislost výzkumných pracovníků používajících prekursory kategorie 3 tím, že příslušné orgány budou provádět kontroly</w:t>
      </w:r>
      <w:r w:rsidR="001B28B8">
        <w:t xml:space="preserve"> v </w:t>
      </w:r>
      <w:r w:rsidRPr="00DA63AC">
        <w:t>závislosti na riziku</w:t>
      </w:r>
      <w:r w:rsidR="001B28B8">
        <w:t xml:space="preserve"> a </w:t>
      </w:r>
      <w:r w:rsidRPr="00DA63AC">
        <w:t>nebudou porušovat důvěrný charakter nebo integritu protokolů vědeckého výzkumu.</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006"/>
      </w:tblGrid>
      <w:tr w:rsidR="00445258" w:rsidRPr="00445258" w14:paraId="34E47DF7" w14:textId="77777777" w:rsidTr="00FB4D8E">
        <w:tc>
          <w:tcPr>
            <w:tcW w:w="1168"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Kontakt:</w:t>
            </w:r>
          </w:p>
        </w:tc>
        <w:tc>
          <w:tcPr>
            <w:tcW w:w="3832"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Radoslava Štefanková</w:t>
            </w:r>
          </w:p>
        </w:tc>
      </w:tr>
      <w:tr w:rsidR="00445258" w:rsidRPr="00445258" w14:paraId="12D23E6C" w14:textId="77777777" w:rsidTr="00FB4D8E">
        <w:tc>
          <w:tcPr>
            <w:tcW w:w="1168"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w:t>
            </w:r>
          </w:p>
        </w:tc>
        <w:tc>
          <w:tcPr>
            <w:tcW w:w="3832"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FB4D8E">
        <w:tc>
          <w:tcPr>
            <w:tcW w:w="1168"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E-mail:</w:t>
            </w:r>
          </w:p>
        </w:tc>
        <w:tc>
          <w:tcPr>
            <w:tcW w:w="3832" w:type="pct"/>
          </w:tcPr>
          <w:p w14:paraId="7DA66FD2" w14:textId="77777777" w:rsidR="00445258" w:rsidRPr="00445258" w:rsidRDefault="00123016" w:rsidP="00445258">
            <w:pPr>
              <w:overflowPunct w:val="0"/>
              <w:autoSpaceDE w:val="0"/>
              <w:autoSpaceDN w:val="0"/>
              <w:adjustRightInd w:val="0"/>
              <w:spacing w:line="240" w:lineRule="auto"/>
              <w:textAlignment w:val="baseline"/>
              <w:rPr>
                <w:i/>
                <w:iCs/>
              </w:rPr>
            </w:pPr>
            <w:hyperlink r:id="rId43" w:history="1">
              <w:r w:rsidR="00E60ACE">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62313C11" w:rsidR="00DE758A" w:rsidRPr="004A48C9" w:rsidRDefault="00123016" w:rsidP="008D7B21">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r:id="rId44" w:history="1">
        <w:r w:rsidR="00DE758A" w:rsidRPr="004A48C9">
          <w:rPr>
            <w:rStyle w:val="Hyperlink"/>
            <w:b/>
            <w:bCs/>
            <w:i/>
            <w:iCs/>
            <w:sz w:val="28"/>
            <w:szCs w:val="28"/>
          </w:rPr>
          <w:t>Návrh nařízení – Cílená revize pravidel EU týkajících se zdravotnických prostředků</w:t>
        </w:r>
        <w:r w:rsidR="001B28B8" w:rsidRPr="004A48C9">
          <w:rPr>
            <w:rStyle w:val="Hyperlink"/>
            <w:b/>
            <w:bCs/>
            <w:i/>
            <w:iCs/>
            <w:sz w:val="28"/>
            <w:szCs w:val="28"/>
          </w:rPr>
          <w:t xml:space="preserve"> a </w:t>
        </w:r>
        <w:r w:rsidR="00DE758A" w:rsidRPr="004A48C9">
          <w:rPr>
            <w:rStyle w:val="Hyperlink"/>
            <w:b/>
            <w:bCs/>
            <w:i/>
            <w:iCs/>
            <w:sz w:val="28"/>
            <w:szCs w:val="28"/>
          </w:rPr>
          <w:t>diagnostických zdravotnických prostředků in vitro</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Zpravodaj</w:t>
            </w:r>
          </w:p>
          <w:p w14:paraId="3BDC8518" w14:textId="77777777" w:rsidR="00DE758A" w:rsidRPr="004917CF" w:rsidRDefault="00DE758A" w:rsidP="00DE758A">
            <w:pPr>
              <w:tabs>
                <w:tab w:val="center" w:pos="284"/>
              </w:tabs>
              <w:overflowPunct w:val="0"/>
              <w:autoSpaceDE w:val="0"/>
              <w:autoSpaceDN w:val="0"/>
              <w:adjustRightInd w:val="0"/>
              <w:ind w:left="266" w:hanging="266"/>
              <w:textAlignment w:val="baseline"/>
              <w:rPr>
                <w:b/>
                <w:sz w:val="14"/>
                <w:szCs w:val="14"/>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(Skupina Organizace občanské společnosti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Odkazy</w:t>
            </w:r>
          </w:p>
        </w:tc>
        <w:tc>
          <w:tcPr>
            <w:tcW w:w="3771" w:type="pct"/>
          </w:tcPr>
          <w:p w14:paraId="6D00FAF5" w14:textId="2DDC2D65"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final </w:t>
            </w:r>
            <w:r w:rsidR="00217581" w:rsidRPr="001439A7">
              <w:rPr>
                <w:szCs w:val="22"/>
              </w:rPr>
              <w:t>– 2025/0404 (COD)</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Hlavní body</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EHSV:</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48CC0B92" w14:textId="6F6AC63F" w:rsidR="00217581" w:rsidRPr="001439A7" w:rsidRDefault="00217581" w:rsidP="008D7B21">
      <w:pPr>
        <w:pStyle w:val="ListParagraph"/>
        <w:numPr>
          <w:ilvl w:val="0"/>
          <w:numId w:val="30"/>
        </w:numPr>
        <w:ind w:left="567" w:hanging="567"/>
      </w:pPr>
      <w:r w:rsidRPr="001439A7">
        <w:t>vítá návrh Komise zjednodušit</w:t>
      </w:r>
      <w:r w:rsidR="001B28B8">
        <w:t xml:space="preserve"> a </w:t>
      </w:r>
      <w:r w:rsidRPr="001439A7">
        <w:t>zefektivnit nařízení</w:t>
      </w:r>
      <w:r w:rsidR="001B28B8">
        <w:t xml:space="preserve"> o </w:t>
      </w:r>
      <w:r w:rsidRPr="001439A7">
        <w:t>zdravotnických prostředcích</w:t>
      </w:r>
      <w:r w:rsidR="001B28B8">
        <w:t xml:space="preserve"> a </w:t>
      </w:r>
      <w:r w:rsidRPr="001439A7">
        <w:t>nařízení</w:t>
      </w:r>
      <w:r w:rsidR="001B28B8">
        <w:t xml:space="preserve"> o </w:t>
      </w:r>
      <w:r w:rsidRPr="001439A7">
        <w:t xml:space="preserve">diagnostických zdravotnických prostředcích </w:t>
      </w:r>
      <w:r w:rsidRPr="001439A7">
        <w:rPr>
          <w:i/>
          <w:iCs/>
        </w:rPr>
        <w:t>in vitro</w:t>
      </w:r>
      <w:r w:rsidR="001B28B8">
        <w:t xml:space="preserve"> a </w:t>
      </w:r>
      <w:r w:rsidRPr="001439A7">
        <w:t>zároveň zajistit bezpečnost pacientů, ochranu veřejného zdraví</w:t>
      </w:r>
      <w:r w:rsidR="001B28B8">
        <w:t xml:space="preserve"> a </w:t>
      </w:r>
      <w:r w:rsidRPr="001439A7">
        <w:t>důvěru</w:t>
      </w:r>
      <w:r w:rsidR="001B28B8">
        <w:t xml:space="preserve"> v </w:t>
      </w:r>
      <w:r w:rsidRPr="001439A7">
        <w:t>regulační systém;</w:t>
      </w:r>
    </w:p>
    <w:p w14:paraId="56E4B29C" w14:textId="2957B823" w:rsidR="00217581" w:rsidRPr="001439A7" w:rsidRDefault="00217581" w:rsidP="008D7B21">
      <w:pPr>
        <w:pStyle w:val="ListParagraph"/>
        <w:numPr>
          <w:ilvl w:val="0"/>
          <w:numId w:val="30"/>
        </w:numPr>
        <w:ind w:left="567" w:hanging="567"/>
      </w:pPr>
      <w:r w:rsidRPr="001439A7">
        <w:t xml:space="preserve">zdůrazňuje, že </w:t>
      </w:r>
      <w:r w:rsidRPr="001439A7">
        <w:rPr>
          <w:b/>
        </w:rPr>
        <w:t>toto zjednodušení musí vést</w:t>
      </w:r>
      <w:r w:rsidR="001B28B8">
        <w:rPr>
          <w:b/>
        </w:rPr>
        <w:t xml:space="preserve"> k </w:t>
      </w:r>
      <w:r w:rsidRPr="001439A7">
        <w:rPr>
          <w:b/>
        </w:rPr>
        <w:t>právní jistotě, předvídatelnosti výsledků certifikace</w:t>
      </w:r>
      <w:r w:rsidR="001B28B8">
        <w:rPr>
          <w:b/>
        </w:rPr>
        <w:t xml:space="preserve"> a </w:t>
      </w:r>
      <w:r w:rsidRPr="001439A7">
        <w:rPr>
          <w:b/>
        </w:rPr>
        <w:t>harmonizaci postupů ve všech členských státech</w:t>
      </w:r>
      <w:r w:rsidRPr="001439A7">
        <w:t>. Nesmí však způsobit rozdíly mezi oznámenými subjekty ani vyvolat nejistotu mezi malými</w:t>
      </w:r>
      <w:r w:rsidR="001B28B8">
        <w:t xml:space="preserve"> a </w:t>
      </w:r>
      <w:r w:rsidRPr="001439A7">
        <w:t>středními podniky</w:t>
      </w:r>
      <w:r w:rsidR="001B28B8">
        <w:t xml:space="preserve"> a </w:t>
      </w:r>
      <w:r w:rsidRPr="001439A7">
        <w:t>mikropodniky;</w:t>
      </w:r>
    </w:p>
    <w:p w14:paraId="1EA4EAF5" w14:textId="4BCDB778" w:rsidR="00217581" w:rsidRPr="001439A7" w:rsidRDefault="00217581" w:rsidP="008D7B21">
      <w:pPr>
        <w:pStyle w:val="ListParagraph"/>
        <w:numPr>
          <w:ilvl w:val="0"/>
          <w:numId w:val="30"/>
        </w:numPr>
        <w:ind w:left="567" w:hanging="567"/>
      </w:pPr>
      <w:r w:rsidRPr="001439A7">
        <w:t xml:space="preserve">upozorňuje, že </w:t>
      </w:r>
      <w:r w:rsidRPr="001439A7">
        <w:rPr>
          <w:b/>
        </w:rPr>
        <w:t>digitalizace</w:t>
      </w:r>
      <w:r w:rsidR="001B28B8">
        <w:rPr>
          <w:b/>
        </w:rPr>
        <w:t xml:space="preserve"> v </w:t>
      </w:r>
      <w:r w:rsidRPr="001439A7">
        <w:rPr>
          <w:b/>
        </w:rPr>
        <w:t>oblasti posuzování shody</w:t>
      </w:r>
      <w:r w:rsidR="001B28B8">
        <w:rPr>
          <w:b/>
        </w:rPr>
        <w:t xml:space="preserve"> a </w:t>
      </w:r>
      <w:r w:rsidRPr="001439A7">
        <w:rPr>
          <w:b/>
        </w:rPr>
        <w:t>auditů nesmí vést ke stanovování dvojích požadavků ani</w:t>
      </w:r>
      <w:r w:rsidR="001B28B8">
        <w:rPr>
          <w:b/>
        </w:rPr>
        <w:t xml:space="preserve"> k </w:t>
      </w:r>
      <w:r w:rsidRPr="001439A7">
        <w:rPr>
          <w:b/>
        </w:rPr>
        <w:t>žádným dodatečným nákladům</w:t>
      </w:r>
      <w:r w:rsidRPr="001439A7">
        <w:t>, zejména pro malé</w:t>
      </w:r>
      <w:r w:rsidR="001B28B8">
        <w:t xml:space="preserve"> a </w:t>
      </w:r>
      <w:r w:rsidRPr="001439A7">
        <w:t>střední podniky, pracovníky</w:t>
      </w:r>
      <w:r w:rsidR="001B28B8">
        <w:t xml:space="preserve"> a </w:t>
      </w:r>
      <w:r w:rsidRPr="001439A7">
        <w:t>zdravotnický personál,</w:t>
      </w:r>
      <w:r w:rsidR="001B28B8">
        <w:t xml:space="preserve"> a </w:t>
      </w:r>
      <w:r w:rsidRPr="001439A7">
        <w:t>musí být doplněna jasnými pokyny, školením</w:t>
      </w:r>
      <w:r w:rsidR="001B28B8">
        <w:t xml:space="preserve"> a </w:t>
      </w:r>
      <w:r w:rsidRPr="001439A7">
        <w:t>technickou podporou;</w:t>
      </w:r>
    </w:p>
    <w:p w14:paraId="37D67C24" w14:textId="0E9E4AAE" w:rsidR="00217581" w:rsidRPr="001439A7" w:rsidRDefault="00217581" w:rsidP="008D7B21">
      <w:pPr>
        <w:pStyle w:val="ListParagraph"/>
        <w:numPr>
          <w:ilvl w:val="0"/>
          <w:numId w:val="30"/>
        </w:numPr>
        <w:ind w:left="567" w:hanging="567"/>
      </w:pPr>
      <w:r w:rsidRPr="001439A7">
        <w:t xml:space="preserve">je přesvědčen, že </w:t>
      </w:r>
      <w:r w:rsidRPr="001439A7">
        <w:rPr>
          <w:b/>
        </w:rPr>
        <w:t>zmíněné zjednodušení nesmí být znehodnoceno zvýšením poplatků, které si budou účtovat oznámené subjekty</w:t>
      </w:r>
      <w:r w:rsidRPr="001439A7">
        <w:t>,</w:t>
      </w:r>
      <w:r w:rsidR="001B28B8">
        <w:t xml:space="preserve"> a </w:t>
      </w:r>
      <w:r w:rsidRPr="001439A7">
        <w:t xml:space="preserve">že </w:t>
      </w:r>
      <w:r w:rsidRPr="001439A7">
        <w:rPr>
          <w:b/>
        </w:rPr>
        <w:t>je třeba posílit systémy sledování po uvedení na trh</w:t>
      </w:r>
      <w:r w:rsidR="001B28B8">
        <w:rPr>
          <w:b/>
        </w:rPr>
        <w:t xml:space="preserve"> a </w:t>
      </w:r>
      <w:r w:rsidRPr="001439A7">
        <w:rPr>
          <w:b/>
        </w:rPr>
        <w:t>vigilance</w:t>
      </w:r>
      <w:r w:rsidRPr="001439A7">
        <w:t>, neboť jde</w:t>
      </w:r>
      <w:r w:rsidR="001B28B8">
        <w:t xml:space="preserve"> o </w:t>
      </w:r>
      <w:r w:rsidRPr="001439A7">
        <w:t>klíčový mechanismus, který vyvažuje uvolnění požadavků před uvedením na trh;</w:t>
      </w:r>
    </w:p>
    <w:p w14:paraId="3A654154" w14:textId="0D4195B2" w:rsidR="00217581" w:rsidRPr="001439A7" w:rsidRDefault="00217581" w:rsidP="008D7B21">
      <w:pPr>
        <w:pStyle w:val="ListParagraph"/>
        <w:numPr>
          <w:ilvl w:val="0"/>
          <w:numId w:val="30"/>
        </w:numPr>
        <w:ind w:left="567" w:hanging="567"/>
        <w:rPr>
          <w:bCs/>
          <w:iCs/>
        </w:rPr>
      </w:pPr>
      <w:r w:rsidRPr="001439A7">
        <w:t xml:space="preserve">podporuje zavedení </w:t>
      </w:r>
      <w:r w:rsidRPr="001439A7">
        <w:rPr>
          <w:b/>
        </w:rPr>
        <w:t>regulačních postupů pro průlomové prostředky</w:t>
      </w:r>
      <w:r w:rsidR="001B28B8">
        <w:rPr>
          <w:b/>
        </w:rPr>
        <w:t xml:space="preserve"> a </w:t>
      </w:r>
      <w:r w:rsidRPr="001439A7">
        <w:rPr>
          <w:b/>
        </w:rPr>
        <w:t>prostředky pro vzácná onemocnění, které mohou stimulovat inovace, přičemž je třeba zajistit transparentnost</w:t>
      </w:r>
      <w:r w:rsidRPr="001439A7">
        <w:t xml:space="preserve"> (mimo jiné</w:t>
      </w:r>
      <w:r w:rsidR="001B28B8">
        <w:t xml:space="preserve"> s </w:t>
      </w:r>
      <w:r w:rsidRPr="001439A7">
        <w:t>využitím databáze EUDAMED),</w:t>
      </w:r>
      <w:r w:rsidR="001B28B8">
        <w:t xml:space="preserve"> a </w:t>
      </w:r>
      <w:r w:rsidRPr="001439A7">
        <w:t>vyzývá</w:t>
      </w:r>
      <w:r w:rsidR="001B28B8">
        <w:t xml:space="preserve"> k </w:t>
      </w:r>
      <w:r w:rsidRPr="001439A7">
        <w:t xml:space="preserve">systematickému </w:t>
      </w:r>
      <w:r w:rsidRPr="001439A7">
        <w:rPr>
          <w:b/>
        </w:rPr>
        <w:t>zapojení sociálních partnerů, zdravotnických pracovníků</w:t>
      </w:r>
      <w:r w:rsidR="001B28B8">
        <w:rPr>
          <w:b/>
        </w:rPr>
        <w:t xml:space="preserve"> a </w:t>
      </w:r>
      <w:r w:rsidRPr="001439A7">
        <w:rPr>
          <w:b/>
        </w:rPr>
        <w:t>občanské společnosti</w:t>
      </w:r>
      <w:r w:rsidRPr="001439A7">
        <w:t xml:space="preserve"> do sledování provádění</w:t>
      </w:r>
      <w:r w:rsidR="001B28B8">
        <w:t xml:space="preserve"> a </w:t>
      </w:r>
      <w:r w:rsidRPr="001439A7">
        <w:t>reálného dopadu.</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Kontakt:</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E-mail:</w:t>
            </w:r>
          </w:p>
        </w:tc>
        <w:tc>
          <w:tcPr>
            <w:tcW w:w="3941" w:type="pct"/>
          </w:tcPr>
          <w:p w14:paraId="7476247D" w14:textId="77777777" w:rsidR="00DE758A" w:rsidRPr="00DE758A" w:rsidRDefault="00123016" w:rsidP="00DE758A">
            <w:pPr>
              <w:overflowPunct w:val="0"/>
              <w:autoSpaceDE w:val="0"/>
              <w:autoSpaceDN w:val="0"/>
              <w:adjustRightInd w:val="0"/>
              <w:spacing w:line="240" w:lineRule="auto"/>
              <w:textAlignment w:val="baseline"/>
              <w:rPr>
                <w:i/>
                <w:iCs/>
              </w:rPr>
            </w:pPr>
            <w:hyperlink r:id="rId45" w:history="1">
              <w:r w:rsidR="00E60ACE">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36D18350" w:rsidR="00CB6F1C" w:rsidRPr="004A48C9"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46" w:history="1">
        <w:r w:rsidR="00CB6F1C" w:rsidRPr="004A48C9">
          <w:rPr>
            <w:rStyle w:val="Hyperlink"/>
            <w:b/>
            <w:bCs/>
            <w:i/>
            <w:iCs/>
            <w:sz w:val="28"/>
            <w:szCs w:val="28"/>
          </w:rPr>
          <w:t>Strategická normalizace pro silnější jednotný trh</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Zpravodaj</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(Zaměstnavatelé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Odkazy</w:t>
            </w:r>
          </w:p>
        </w:tc>
        <w:tc>
          <w:tcPr>
            <w:tcW w:w="7371" w:type="dxa"/>
          </w:tcPr>
          <w:p w14:paraId="4539C4CD" w14:textId="2F516576" w:rsidR="00CB6F1C" w:rsidRPr="00CB6F1C" w:rsidRDefault="00CB6F1C" w:rsidP="00CB6F1C">
            <w:pPr>
              <w:tabs>
                <w:tab w:val="center" w:pos="284"/>
              </w:tabs>
              <w:overflowPunct w:val="0"/>
              <w:autoSpaceDE w:val="0"/>
              <w:autoSpaceDN w:val="0"/>
              <w:adjustRightInd w:val="0"/>
              <w:ind w:left="266" w:hanging="266"/>
              <w:textAlignment w:val="baseline"/>
            </w:pPr>
            <w:r>
              <w:t>stanovisko</w:t>
            </w:r>
            <w:r w:rsidR="001B28B8">
              <w:t xml:space="preserve"> z </w:t>
            </w:r>
            <w:r>
              <w:t>vlastní iniciativy</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Hlavní body</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EHSV:</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597EA60" w14:textId="4EDFD698" w:rsidR="00217581" w:rsidRPr="00741CCD" w:rsidRDefault="00217581" w:rsidP="004917CF">
      <w:pPr>
        <w:widowControl w:val="0"/>
        <w:numPr>
          <w:ilvl w:val="0"/>
          <w:numId w:val="23"/>
        </w:numPr>
        <w:overflowPunct w:val="0"/>
        <w:autoSpaceDE w:val="0"/>
        <w:autoSpaceDN w:val="0"/>
        <w:adjustRightInd w:val="0"/>
        <w:ind w:left="567" w:hanging="567"/>
        <w:textAlignment w:val="baseline"/>
        <w:rPr>
          <w:bCs/>
          <w:iCs/>
        </w:rPr>
      </w:pPr>
      <w:r w:rsidRPr="00741CCD">
        <w:t xml:space="preserve">zdůrazňuje, že </w:t>
      </w:r>
      <w:r w:rsidRPr="00741CCD">
        <w:rPr>
          <w:b/>
        </w:rPr>
        <w:t>inkluzivnost</w:t>
      </w:r>
      <w:r w:rsidRPr="00741CCD">
        <w:t xml:space="preserve"> má zásadní význam pro legitimní</w:t>
      </w:r>
      <w:r w:rsidR="001B28B8">
        <w:t xml:space="preserve"> a </w:t>
      </w:r>
      <w:r w:rsidRPr="00741CCD">
        <w:t>účinný systém normalizace,</w:t>
      </w:r>
      <w:r w:rsidR="001B28B8">
        <w:t xml:space="preserve"> a </w:t>
      </w:r>
      <w:r w:rsidRPr="00741CCD">
        <w:t>vyzývá</w:t>
      </w:r>
      <w:r w:rsidR="001B28B8">
        <w:t xml:space="preserve"> k </w:t>
      </w:r>
      <w:r w:rsidRPr="00741CCD">
        <w:rPr>
          <w:b/>
        </w:rPr>
        <w:t>větší účasti malých</w:t>
      </w:r>
      <w:r w:rsidR="001B28B8">
        <w:rPr>
          <w:b/>
        </w:rPr>
        <w:t xml:space="preserve"> a </w:t>
      </w:r>
      <w:r w:rsidRPr="00741CCD">
        <w:rPr>
          <w:b/>
        </w:rPr>
        <w:t>středních podniků, odborů</w:t>
      </w:r>
      <w:r w:rsidR="001B28B8">
        <w:rPr>
          <w:b/>
        </w:rPr>
        <w:t xml:space="preserve"> a </w:t>
      </w:r>
      <w:r w:rsidRPr="00741CCD">
        <w:rPr>
          <w:b/>
        </w:rPr>
        <w:t>občanské společnosti</w:t>
      </w:r>
      <w:r w:rsidR="001B28B8">
        <w:t xml:space="preserve"> s </w:t>
      </w:r>
      <w:r w:rsidRPr="00741CCD">
        <w:t>podporou odpovídajícího financování, budování kapacit</w:t>
      </w:r>
      <w:r w:rsidR="001B28B8">
        <w:t xml:space="preserve"> a </w:t>
      </w:r>
      <w:r w:rsidRPr="00741CCD">
        <w:t>zjednodušeného přístupu;</w:t>
      </w:r>
    </w:p>
    <w:p w14:paraId="20072E3B" w14:textId="7B501C35" w:rsidR="00217581" w:rsidRPr="00741CCD" w:rsidRDefault="00217581" w:rsidP="004917CF">
      <w:pPr>
        <w:widowControl w:val="0"/>
        <w:numPr>
          <w:ilvl w:val="0"/>
          <w:numId w:val="23"/>
        </w:numPr>
        <w:overflowPunct w:val="0"/>
        <w:autoSpaceDE w:val="0"/>
        <w:autoSpaceDN w:val="0"/>
        <w:adjustRightInd w:val="0"/>
        <w:ind w:left="567" w:hanging="567"/>
        <w:textAlignment w:val="baseline"/>
        <w:rPr>
          <w:bCs/>
          <w:iCs/>
        </w:rPr>
      </w:pPr>
      <w:r w:rsidRPr="00741CCD">
        <w:t>požaduje jasné záruky na ochranu sociálního dialogu</w:t>
      </w:r>
      <w:r w:rsidR="001B28B8">
        <w:t xml:space="preserve"> a </w:t>
      </w:r>
      <w:r w:rsidRPr="00741CCD">
        <w:t xml:space="preserve">trvá na tom, že </w:t>
      </w:r>
      <w:r w:rsidRPr="00741CCD">
        <w:rPr>
          <w:b/>
        </w:rPr>
        <w:t>evropské normy musí zůstat technickými nástroji na podporu právních předpisů</w:t>
      </w:r>
      <w:r w:rsidR="001B28B8">
        <w:t xml:space="preserve"> a </w:t>
      </w:r>
      <w:r w:rsidRPr="00741CCD">
        <w:t>nesmí regulovat práva pracovníků, pracovní podmínky nebo kolektivní vyjednávání ani do nich zasahovat;</w:t>
      </w:r>
    </w:p>
    <w:p w14:paraId="4E85609A" w14:textId="1BA8FCD8" w:rsidR="00217581" w:rsidRPr="00741CCD" w:rsidRDefault="00217581" w:rsidP="004917CF">
      <w:pPr>
        <w:widowControl w:val="0"/>
        <w:numPr>
          <w:ilvl w:val="0"/>
          <w:numId w:val="23"/>
        </w:numPr>
        <w:overflowPunct w:val="0"/>
        <w:autoSpaceDE w:val="0"/>
        <w:autoSpaceDN w:val="0"/>
        <w:adjustRightInd w:val="0"/>
        <w:ind w:left="567" w:hanging="567"/>
        <w:textAlignment w:val="baseline"/>
        <w:rPr>
          <w:bCs/>
          <w:iCs/>
        </w:rPr>
      </w:pPr>
      <w:r w:rsidRPr="00741CCD">
        <w:t xml:space="preserve">doporučuje </w:t>
      </w:r>
      <w:r w:rsidRPr="00741CCD">
        <w:rPr>
          <w:b/>
        </w:rPr>
        <w:t>větší transparentnost</w:t>
      </w:r>
      <w:r w:rsidR="001B28B8">
        <w:t xml:space="preserve"> a </w:t>
      </w:r>
      <w:r w:rsidRPr="00741CCD">
        <w:t xml:space="preserve">dostupnost, včetně </w:t>
      </w:r>
      <w:r w:rsidRPr="00741CCD">
        <w:rPr>
          <w:b/>
        </w:rPr>
        <w:t>snazšího přístupu veřejnosti</w:t>
      </w:r>
      <w:r w:rsidR="001B28B8">
        <w:rPr>
          <w:b/>
        </w:rPr>
        <w:t xml:space="preserve"> k </w:t>
      </w:r>
      <w:r w:rsidRPr="00741CCD">
        <w:rPr>
          <w:b/>
        </w:rPr>
        <w:t>normám</w:t>
      </w:r>
      <w:r w:rsidRPr="00741CCD">
        <w:t xml:space="preserve">, </w:t>
      </w:r>
      <w:r w:rsidRPr="00741CCD">
        <w:rPr>
          <w:b/>
        </w:rPr>
        <w:t>jasnějšího řízení technických výborů</w:t>
      </w:r>
      <w:r w:rsidR="001B28B8">
        <w:t xml:space="preserve"> a </w:t>
      </w:r>
      <w:r w:rsidRPr="00741CCD">
        <w:rPr>
          <w:b/>
        </w:rPr>
        <w:t>předběžného posuzování žádostí</w:t>
      </w:r>
      <w:r w:rsidR="001B28B8">
        <w:rPr>
          <w:b/>
        </w:rPr>
        <w:t xml:space="preserve"> o </w:t>
      </w:r>
      <w:r w:rsidRPr="00741CCD">
        <w:rPr>
          <w:b/>
        </w:rPr>
        <w:t>normalizaci</w:t>
      </w:r>
      <w:r w:rsidR="001B28B8">
        <w:t xml:space="preserve"> s </w:t>
      </w:r>
      <w:r w:rsidRPr="00741CCD">
        <w:t>cílem zajistit dodržování základních práv</w:t>
      </w:r>
      <w:r w:rsidR="001B28B8">
        <w:t xml:space="preserve"> a </w:t>
      </w:r>
      <w:r w:rsidRPr="00741CCD">
        <w:t>právních předpisů EU;</w:t>
      </w:r>
    </w:p>
    <w:p w14:paraId="6DD7E59C" w14:textId="2C95F322" w:rsidR="00217581" w:rsidRPr="00741CCD" w:rsidRDefault="00217581" w:rsidP="004917CF">
      <w:pPr>
        <w:widowControl w:val="0"/>
        <w:numPr>
          <w:ilvl w:val="0"/>
          <w:numId w:val="23"/>
        </w:numPr>
        <w:overflowPunct w:val="0"/>
        <w:autoSpaceDE w:val="0"/>
        <w:autoSpaceDN w:val="0"/>
        <w:adjustRightInd w:val="0"/>
        <w:ind w:left="567" w:hanging="567"/>
        <w:textAlignment w:val="baseline"/>
        <w:rPr>
          <w:bCs/>
          <w:iCs/>
        </w:rPr>
      </w:pPr>
      <w:r w:rsidRPr="00741CCD">
        <w:t>zdůrazňuje strategickou úlohu normalizace při posilování jednotného trhu, konkurenceschopnosti</w:t>
      </w:r>
      <w:r w:rsidR="001B28B8">
        <w:t xml:space="preserve"> a </w:t>
      </w:r>
      <w:r w:rsidRPr="00741CCD">
        <w:t>otevřené strategické autonomie</w:t>
      </w:r>
      <w:r w:rsidR="001B28B8">
        <w:t xml:space="preserve"> a </w:t>
      </w:r>
      <w:r w:rsidRPr="00741CCD">
        <w:t>zároveň naléhavě vyzývá</w:t>
      </w:r>
      <w:r w:rsidR="001B28B8">
        <w:t xml:space="preserve"> k </w:t>
      </w:r>
      <w:r w:rsidRPr="00741CCD">
        <w:t xml:space="preserve">větší </w:t>
      </w:r>
      <w:r w:rsidRPr="00741CCD">
        <w:rPr>
          <w:b/>
        </w:rPr>
        <w:t>koordinaci EU při stanovování mezinárodních norem</w:t>
      </w:r>
      <w:r w:rsidR="001B28B8">
        <w:t xml:space="preserve"> s </w:t>
      </w:r>
      <w:r w:rsidRPr="00741CCD">
        <w:t>cílem chránit evropské zájmy</w:t>
      </w:r>
      <w:r w:rsidR="001B28B8">
        <w:t xml:space="preserve"> a </w:t>
      </w:r>
      <w:r w:rsidRPr="00741CCD">
        <w:t>přísné normy;</w:t>
      </w:r>
    </w:p>
    <w:p w14:paraId="3F5E5408" w14:textId="4BDF0D49" w:rsidR="00CB6F1C" w:rsidRPr="00CB6F1C" w:rsidRDefault="00217581" w:rsidP="004917CF">
      <w:pPr>
        <w:widowControl w:val="0"/>
        <w:numPr>
          <w:ilvl w:val="0"/>
          <w:numId w:val="23"/>
        </w:numPr>
        <w:overflowPunct w:val="0"/>
        <w:autoSpaceDE w:val="0"/>
        <w:autoSpaceDN w:val="0"/>
        <w:adjustRightInd w:val="0"/>
        <w:spacing w:line="276" w:lineRule="auto"/>
        <w:ind w:left="567" w:hanging="567"/>
        <w:textAlignment w:val="baseline"/>
        <w:rPr>
          <w:bCs/>
          <w:iCs/>
        </w:rPr>
      </w:pPr>
      <w:r w:rsidRPr="00741CCD">
        <w:t>zasazuje se</w:t>
      </w:r>
      <w:r w:rsidR="001B28B8">
        <w:t xml:space="preserve"> o </w:t>
      </w:r>
      <w:r w:rsidRPr="00741CCD">
        <w:t xml:space="preserve">účinnější systém, který </w:t>
      </w:r>
      <w:r w:rsidRPr="00741CCD">
        <w:rPr>
          <w:b/>
        </w:rPr>
        <w:t>obstojí</w:t>
      </w:r>
      <w:r w:rsidR="001B28B8">
        <w:rPr>
          <w:b/>
        </w:rPr>
        <w:t xml:space="preserve"> i v </w:t>
      </w:r>
      <w:r w:rsidRPr="00741CCD">
        <w:rPr>
          <w:b/>
        </w:rPr>
        <w:t>budoucnu</w:t>
      </w:r>
      <w:r w:rsidR="001B28B8">
        <w:t xml:space="preserve"> a </w:t>
      </w:r>
      <w:r w:rsidRPr="00741CCD">
        <w:t xml:space="preserve">jímž se zlepší </w:t>
      </w:r>
      <w:r w:rsidRPr="00741CCD">
        <w:rPr>
          <w:b/>
        </w:rPr>
        <w:t>včasnost</w:t>
      </w:r>
      <w:r w:rsidR="001B28B8">
        <w:t xml:space="preserve"> a </w:t>
      </w:r>
      <w:r w:rsidRPr="00741CCD">
        <w:t>kvalita</w:t>
      </w:r>
      <w:r w:rsidR="001B28B8">
        <w:t xml:space="preserve"> a </w:t>
      </w:r>
      <w:r w:rsidRPr="00741CCD">
        <w:t xml:space="preserve">zároveň se budou řešit </w:t>
      </w:r>
      <w:r w:rsidRPr="00741CCD">
        <w:rPr>
          <w:b/>
        </w:rPr>
        <w:t>nově vznikající technologie</w:t>
      </w:r>
      <w:r w:rsidR="001B28B8">
        <w:t xml:space="preserve"> a </w:t>
      </w:r>
      <w:r w:rsidRPr="00741CCD">
        <w:t>zajistí se, aby normy podporovaly inovace, udržitelnost</w:t>
      </w:r>
      <w:r w:rsidR="001B28B8">
        <w:t xml:space="preserve"> a </w:t>
      </w:r>
      <w:r w:rsidRPr="00741CCD">
        <w:rPr>
          <w:b/>
        </w:rPr>
        <w:t>vysokou úroveň ochrany pracovníků, spotřebitelů</w:t>
      </w:r>
      <w:r w:rsidR="001B28B8">
        <w:rPr>
          <w:b/>
        </w:rPr>
        <w:t xml:space="preserve"> a </w:t>
      </w:r>
      <w:r w:rsidRPr="00741CCD">
        <w:rPr>
          <w:b/>
        </w:rPr>
        <w:t>životního prostředí</w:t>
      </w:r>
      <w:r w:rsidRPr="00741CCD">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Kontakt:</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E-mail:</w:t>
            </w:r>
          </w:p>
        </w:tc>
        <w:tc>
          <w:tcPr>
            <w:tcW w:w="5670" w:type="dxa"/>
          </w:tcPr>
          <w:p w14:paraId="7003408F" w14:textId="479C96A0" w:rsidR="00CB6F1C" w:rsidRPr="00CB6F1C" w:rsidRDefault="00123016" w:rsidP="00CB6F1C">
            <w:pPr>
              <w:overflowPunct w:val="0"/>
              <w:autoSpaceDE w:val="0"/>
              <w:autoSpaceDN w:val="0"/>
              <w:adjustRightInd w:val="0"/>
              <w:spacing w:line="240" w:lineRule="auto"/>
              <w:textAlignment w:val="baseline"/>
              <w:rPr>
                <w:i/>
              </w:rPr>
            </w:pPr>
            <w:hyperlink r:id="rId47" w:history="1">
              <w:r w:rsidR="00E60ACE">
                <w:rPr>
                  <w:i/>
                  <w:color w:val="0000FF"/>
                  <w:u w:val="single"/>
                </w:rPr>
                <w:t>Silvia.Staffa@eesc.europa.eu</w:t>
              </w:r>
            </w:hyperlink>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48C17ADC" w:rsidR="001F4150" w:rsidRPr="004A48C9" w:rsidRDefault="00123016" w:rsidP="008D7B21">
      <w:pPr>
        <w:widowControl w:val="0"/>
        <w:numPr>
          <w:ilvl w:val="0"/>
          <w:numId w:val="9"/>
        </w:numPr>
        <w:overflowPunct w:val="0"/>
        <w:autoSpaceDE w:val="0"/>
        <w:autoSpaceDN w:val="0"/>
        <w:adjustRightInd w:val="0"/>
        <w:spacing w:after="200" w:line="276" w:lineRule="auto"/>
        <w:ind w:left="567" w:hanging="567"/>
        <w:contextualSpacing/>
        <w:jc w:val="left"/>
        <w:textAlignment w:val="baseline"/>
        <w:rPr>
          <w:b/>
          <w:bCs/>
          <w:i/>
          <w:iCs/>
          <w:sz w:val="28"/>
          <w:szCs w:val="28"/>
        </w:rPr>
      </w:pPr>
      <w:hyperlink r:id="rId48" w:history="1">
        <w:r w:rsidR="00A067F3" w:rsidRPr="004A48C9">
          <w:rPr>
            <w:rStyle w:val="Hyperlink"/>
            <w:b/>
            <w:bCs/>
            <w:i/>
            <w:iCs/>
            <w:sz w:val="28"/>
            <w:szCs w:val="28"/>
          </w:rPr>
          <w:t>Jednotný trh – řešení neodůvodněných územních omezení nabídky</w:t>
        </w:r>
      </w:hyperlink>
    </w:p>
    <w:p w14:paraId="2C4C9126" w14:textId="77777777" w:rsidR="004917CF" w:rsidRPr="004917CF" w:rsidRDefault="004917CF" w:rsidP="004917CF">
      <w:pPr>
        <w:widowControl w:val="0"/>
        <w:overflowPunct w:val="0"/>
        <w:autoSpaceDE w:val="0"/>
        <w:autoSpaceDN w:val="0"/>
        <w:adjustRightInd w:val="0"/>
        <w:spacing w:after="200" w:line="276" w:lineRule="auto"/>
        <w:contextualSpacing/>
        <w:jc w:val="left"/>
        <w:textAlignment w:val="baseline"/>
        <w:rPr>
          <w:b/>
        </w:rPr>
      </w:pPr>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1F4150" w14:paraId="27380A90" w14:textId="77777777" w:rsidTr="002E7EFB">
        <w:tc>
          <w:tcPr>
            <w:tcW w:w="1148" w:type="pct"/>
          </w:tcPr>
          <w:p w14:paraId="7485093C" w14:textId="77777777" w:rsidR="001F4150" w:rsidRPr="001F4150" w:rsidRDefault="001F4150" w:rsidP="004917CF">
            <w:pPr>
              <w:tabs>
                <w:tab w:val="center" w:pos="284"/>
              </w:tabs>
              <w:overflowPunct w:val="0"/>
              <w:autoSpaceDE w:val="0"/>
              <w:autoSpaceDN w:val="0"/>
              <w:adjustRightInd w:val="0"/>
              <w:ind w:left="266" w:hanging="266"/>
              <w:textAlignment w:val="baseline"/>
              <w:rPr>
                <w:b/>
              </w:rPr>
            </w:pPr>
            <w:r>
              <w:rPr>
                <w:b/>
              </w:rPr>
              <w:t>Zpravodaj</w:t>
            </w:r>
          </w:p>
          <w:p w14:paraId="2EC02C26" w14:textId="77777777" w:rsidR="001F4150" w:rsidRPr="004917CF" w:rsidRDefault="001F4150" w:rsidP="004917CF">
            <w:pPr>
              <w:tabs>
                <w:tab w:val="center" w:pos="284"/>
              </w:tabs>
              <w:overflowPunct w:val="0"/>
              <w:autoSpaceDE w:val="0"/>
              <w:autoSpaceDN w:val="0"/>
              <w:adjustRightInd w:val="0"/>
              <w:ind w:left="266" w:hanging="266"/>
              <w:textAlignment w:val="baseline"/>
              <w:rPr>
                <w:b/>
                <w:sz w:val="14"/>
                <w:szCs w:val="14"/>
              </w:rPr>
            </w:pPr>
          </w:p>
        </w:tc>
        <w:tc>
          <w:tcPr>
            <w:tcW w:w="3852" w:type="pct"/>
          </w:tcPr>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(Zaměstnavatelé – DE)</w:t>
            </w:r>
          </w:p>
          <w:p w14:paraId="1BE7D08A" w14:textId="77777777" w:rsidR="001F4150" w:rsidRPr="004917CF" w:rsidRDefault="001F4150" w:rsidP="001F4150">
            <w:pPr>
              <w:tabs>
                <w:tab w:val="center" w:pos="284"/>
              </w:tabs>
              <w:overflowPunct w:val="0"/>
              <w:autoSpaceDE w:val="0"/>
              <w:autoSpaceDN w:val="0"/>
              <w:adjustRightInd w:val="0"/>
              <w:ind w:left="266" w:hanging="266"/>
              <w:textAlignment w:val="baseline"/>
              <w:rPr>
                <w:sz w:val="14"/>
                <w:szCs w:val="14"/>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4917CF">
            <w:pPr>
              <w:tabs>
                <w:tab w:val="center" w:pos="284"/>
              </w:tabs>
              <w:overflowPunct w:val="0"/>
              <w:autoSpaceDE w:val="0"/>
              <w:autoSpaceDN w:val="0"/>
              <w:adjustRightInd w:val="0"/>
              <w:ind w:left="266" w:hanging="266"/>
              <w:textAlignment w:val="baseline"/>
              <w:rPr>
                <w:b/>
              </w:rPr>
            </w:pPr>
            <w:r>
              <w:rPr>
                <w:b/>
              </w:rPr>
              <w:t>Odkazy</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průzkumné stanovisko na žádost Evropské komise</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Hlavní body</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EHSV:</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1CD0AEF" w14:textId="30770C42" w:rsidR="00850A0C" w:rsidRDefault="00850A0C" w:rsidP="008D7B21">
      <w:pPr>
        <w:widowControl w:val="0"/>
        <w:numPr>
          <w:ilvl w:val="0"/>
          <w:numId w:val="21"/>
        </w:numPr>
        <w:overflowPunct w:val="0"/>
        <w:autoSpaceDE w:val="0"/>
        <w:autoSpaceDN w:val="0"/>
        <w:adjustRightInd w:val="0"/>
        <w:ind w:left="567" w:hanging="567"/>
        <w:textAlignment w:val="baseline"/>
      </w:pPr>
      <w:r>
        <w:t>domnívá se, že územní omezení nabídky poškozují přeshraniční podnikání</w:t>
      </w:r>
      <w:r w:rsidR="001B28B8">
        <w:t xml:space="preserve"> a </w:t>
      </w:r>
      <w:r>
        <w:t>porušují slib jednotného trhu, že přinese spotřebitelům možnost výběru</w:t>
      </w:r>
      <w:r w:rsidR="001B28B8">
        <w:t xml:space="preserve"> a </w:t>
      </w:r>
      <w:r>
        <w:t>cenovou konkurenci;</w:t>
      </w:r>
    </w:p>
    <w:p w14:paraId="02291ED0" w14:textId="12A45793" w:rsidR="00850A0C" w:rsidRDefault="00850A0C" w:rsidP="008D7B21">
      <w:pPr>
        <w:widowControl w:val="0"/>
        <w:numPr>
          <w:ilvl w:val="0"/>
          <w:numId w:val="21"/>
        </w:numPr>
        <w:overflowPunct w:val="0"/>
        <w:autoSpaceDE w:val="0"/>
        <w:autoSpaceDN w:val="0"/>
        <w:adjustRightInd w:val="0"/>
        <w:ind w:left="567" w:hanging="567"/>
        <w:textAlignment w:val="baseline"/>
      </w:pPr>
      <w:r>
        <w:t>pokládá za zvlášť důležité, aby spotřebitelé</w:t>
      </w:r>
      <w:r w:rsidR="001B28B8">
        <w:t xml:space="preserve"> a </w:t>
      </w:r>
      <w:r>
        <w:t>pracovníci mohli maximálně těžit</w:t>
      </w:r>
      <w:r w:rsidR="001B28B8">
        <w:t xml:space="preserve"> z </w:t>
      </w:r>
      <w:r>
        <w:t>výhod lépe fungujícího jednotného trhu, co se týče cen</w:t>
      </w:r>
      <w:r w:rsidR="001B28B8">
        <w:t xml:space="preserve"> a </w:t>
      </w:r>
      <w:r>
        <w:t>sortimentu výrobků;</w:t>
      </w:r>
    </w:p>
    <w:p w14:paraId="7E8FB693" w14:textId="77777777" w:rsidR="00850A0C" w:rsidRDefault="00850A0C" w:rsidP="008D7B21">
      <w:pPr>
        <w:widowControl w:val="0"/>
        <w:numPr>
          <w:ilvl w:val="0"/>
          <w:numId w:val="21"/>
        </w:numPr>
        <w:overflowPunct w:val="0"/>
        <w:autoSpaceDE w:val="0"/>
        <w:autoSpaceDN w:val="0"/>
        <w:adjustRightInd w:val="0"/>
        <w:ind w:left="567" w:hanging="567"/>
        <w:textAlignment w:val="baseline"/>
      </w:pPr>
      <w:r>
        <w:t>naléhavě vyzývá členské státy, aby nepřijímaly vnitrostátní předpisy, jež by dále renacionalizovaly trh se zdroji, nýbrž naopak odstraňovaly nedůvodné překážky volného pohybu zboží, ovšem bez oslabení legitimních požadavků na ochranu spotřebitele;</w:t>
      </w:r>
    </w:p>
    <w:p w14:paraId="6A5C1B44" w14:textId="65A649EF" w:rsidR="00850A0C" w:rsidRDefault="00850A0C" w:rsidP="008D7B21">
      <w:pPr>
        <w:widowControl w:val="0"/>
        <w:numPr>
          <w:ilvl w:val="0"/>
          <w:numId w:val="21"/>
        </w:numPr>
        <w:overflowPunct w:val="0"/>
        <w:autoSpaceDE w:val="0"/>
        <w:autoSpaceDN w:val="0"/>
        <w:adjustRightInd w:val="0"/>
        <w:ind w:left="567" w:hanging="567"/>
        <w:textAlignment w:val="baseline"/>
      </w:pPr>
      <w:r>
        <w:t>spatřuje přidanou hodnotu</w:t>
      </w:r>
      <w:r w:rsidR="001B28B8">
        <w:t xml:space="preserve"> v </w:t>
      </w:r>
      <w:r>
        <w:t>možnosti vytvořit pokyny pro vnitrostátní orgány pro hospodářskou soutěž</w:t>
      </w:r>
      <w:r w:rsidR="001B28B8">
        <w:t xml:space="preserve"> a </w:t>
      </w:r>
      <w:r>
        <w:t>příslušné zúčastněné strany;</w:t>
      </w:r>
    </w:p>
    <w:p w14:paraId="7CFAE062" w14:textId="13396478" w:rsidR="001F4150" w:rsidRPr="001F4150" w:rsidRDefault="00850A0C" w:rsidP="008D7B21">
      <w:pPr>
        <w:numPr>
          <w:ilvl w:val="0"/>
          <w:numId w:val="21"/>
        </w:numPr>
        <w:overflowPunct w:val="0"/>
        <w:autoSpaceDE w:val="0"/>
        <w:autoSpaceDN w:val="0"/>
        <w:adjustRightInd w:val="0"/>
        <w:spacing w:after="200" w:line="276" w:lineRule="auto"/>
        <w:ind w:left="567" w:hanging="567"/>
        <w:contextualSpacing/>
        <w:textAlignment w:val="baseline"/>
        <w:rPr>
          <w:szCs w:val="20"/>
        </w:rPr>
      </w:pPr>
      <w:r>
        <w:t>žádá Evropskou komisi, aby zvážila předložení návrhu předpisu, který by vycházel ze zásad nařízení</w:t>
      </w:r>
      <w:r w:rsidR="001B28B8">
        <w:t xml:space="preserve"> o </w:t>
      </w:r>
      <w:r>
        <w:t>digitálních trzích nebo směrnice</w:t>
      </w:r>
      <w:r w:rsidR="001B28B8">
        <w:t xml:space="preserve"> o </w:t>
      </w:r>
      <w:r>
        <w:t>nekalých obchodních praktikách</w:t>
      </w:r>
      <w:r w:rsidR="001B28B8">
        <w:t xml:space="preserve"> v </w:t>
      </w:r>
      <w:r>
        <w:t>zemědělsko-potravinářském dodavatelském řetězci. Mohl by být účinným řešením problému územních omezení nabídky</w:t>
      </w:r>
      <w:r w:rsidR="001B28B8">
        <w:t xml:space="preserve"> a </w:t>
      </w:r>
      <w:r>
        <w:t>zajistit spravedlivější obchodní praktiky</w:t>
      </w:r>
      <w:r w:rsidR="001B28B8">
        <w:t xml:space="preserve"> v </w:t>
      </w:r>
      <w:r>
        <w:t>dodavatelském řetězci.</w:t>
      </w: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1F4150" w:rsidRPr="001F4150" w14:paraId="040FF66B" w14:textId="77777777" w:rsidTr="00FB4D8E">
        <w:tc>
          <w:tcPr>
            <w:tcW w:w="1059"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Kontakt:</w:t>
            </w:r>
          </w:p>
        </w:tc>
        <w:tc>
          <w:tcPr>
            <w:tcW w:w="3941"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FB4D8E">
        <w:tc>
          <w:tcPr>
            <w:tcW w:w="1059"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w:t>
            </w:r>
          </w:p>
        </w:tc>
        <w:tc>
          <w:tcPr>
            <w:tcW w:w="3941"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FB4D8E">
        <w:tc>
          <w:tcPr>
            <w:tcW w:w="1059"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Eemail</w:t>
            </w:r>
          </w:p>
        </w:tc>
        <w:tc>
          <w:tcPr>
            <w:tcW w:w="3941" w:type="pct"/>
          </w:tcPr>
          <w:p w14:paraId="67D97326" w14:textId="77777777" w:rsidR="001F4150" w:rsidRPr="001F4150" w:rsidRDefault="00123016" w:rsidP="001F4150">
            <w:pPr>
              <w:overflowPunct w:val="0"/>
              <w:autoSpaceDE w:val="0"/>
              <w:autoSpaceDN w:val="0"/>
              <w:adjustRightInd w:val="0"/>
              <w:spacing w:line="240" w:lineRule="auto"/>
              <w:textAlignment w:val="baseline"/>
              <w:rPr>
                <w:i/>
                <w:iCs/>
              </w:rPr>
            </w:pPr>
            <w:hyperlink r:id="rId49" w:history="1">
              <w:r w:rsidR="00E60ACE">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684229A8" w:rsidR="00227AA1" w:rsidRPr="008414FF"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50" w:history="1">
        <w:r w:rsidR="00E60ACE" w:rsidRPr="008414FF">
          <w:rPr>
            <w:rStyle w:val="Hyperlink"/>
            <w:b/>
            <w:bCs/>
            <w:i/>
            <w:iCs/>
            <w:sz w:val="28"/>
            <w:szCs w:val="28"/>
          </w:rPr>
          <w:t>Strategie EU pro startupy</w:t>
        </w:r>
        <w:r w:rsidR="001B28B8" w:rsidRPr="008414FF">
          <w:rPr>
            <w:rStyle w:val="Hyperlink"/>
            <w:b/>
            <w:bCs/>
            <w:i/>
            <w:iCs/>
            <w:sz w:val="28"/>
            <w:szCs w:val="28"/>
          </w:rPr>
          <w:t xml:space="preserve"> a </w:t>
        </w:r>
        <w:r w:rsidR="00E60ACE" w:rsidRPr="008414FF">
          <w:rPr>
            <w:rStyle w:val="Hyperlink"/>
            <w:b/>
            <w:bCs/>
            <w:i/>
            <w:iCs/>
            <w:sz w:val="28"/>
            <w:szCs w:val="28"/>
          </w:rPr>
          <w:t>scaleupy – se zvláštním zřetelem na evropský inovační akt</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227AA1" w14:paraId="6C2F2EA8" w14:textId="77777777" w:rsidTr="004C6742">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Zpravodaj</w:t>
            </w:r>
          </w:p>
        </w:tc>
        <w:tc>
          <w:tcPr>
            <w:tcW w:w="6663" w:type="dxa"/>
          </w:tcPr>
          <w:p w14:paraId="5142010D" w14:textId="5CEE1E6F" w:rsidR="00227AA1" w:rsidRPr="00227AA1" w:rsidRDefault="00227AA1" w:rsidP="00227AA1">
            <w:pPr>
              <w:tabs>
                <w:tab w:val="center" w:pos="284"/>
              </w:tabs>
              <w:overflowPunct w:val="0"/>
              <w:autoSpaceDE w:val="0"/>
              <w:autoSpaceDN w:val="0"/>
              <w:adjustRightInd w:val="0"/>
              <w:ind w:left="266" w:hanging="266"/>
              <w:textAlignment w:val="baseline"/>
            </w:pPr>
            <w:r>
              <w:t>Paul RÜBIG (Zaměstnavatelé – AT)</w:t>
            </w:r>
          </w:p>
        </w:tc>
      </w:tr>
      <w:tr w:rsidR="00227AA1" w:rsidRPr="00227AA1" w14:paraId="35AF9FA7" w14:textId="77777777" w:rsidTr="004C6742">
        <w:tc>
          <w:tcPr>
            <w:tcW w:w="8364"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4C6742">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Odkazy</w:t>
            </w:r>
          </w:p>
        </w:tc>
        <w:tc>
          <w:tcPr>
            <w:tcW w:w="6663"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(průzkumné stanovisko na žádost kyperského předsednictví Rady EU)</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4C6742">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Hlavní body</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520927D3" w14:textId="77777777" w:rsidR="001338E5" w:rsidRDefault="001338E5" w:rsidP="001338E5">
      <w:pPr>
        <w:rPr>
          <w:bCs/>
          <w:iCs/>
        </w:rPr>
      </w:pPr>
      <w:r>
        <w:t>EHSV se domnívá, že:</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2B7CA019" w14:textId="150A3E1D" w:rsidR="001338E5" w:rsidRPr="0072637C" w:rsidRDefault="001338E5" w:rsidP="008D7B21">
      <w:pPr>
        <w:pStyle w:val="ListParagraph"/>
        <w:numPr>
          <w:ilvl w:val="0"/>
          <w:numId w:val="24"/>
        </w:numPr>
        <w:spacing w:after="200" w:line="276" w:lineRule="auto"/>
        <w:ind w:left="567" w:hanging="567"/>
      </w:pPr>
      <w:r>
        <w:t>Evropa musí výrazně posílit inovace</w:t>
      </w:r>
      <w:r w:rsidR="001B28B8">
        <w:t xml:space="preserve"> a </w:t>
      </w:r>
      <w:r>
        <w:t>výzkum, přičemž má co dohánět, pokud jde</w:t>
      </w:r>
      <w:r w:rsidR="001B28B8">
        <w:t xml:space="preserve"> o </w:t>
      </w:r>
      <w:r>
        <w:t>komercializaci výsledků těchto inovací</w:t>
      </w:r>
      <w:r w:rsidR="001B28B8">
        <w:t xml:space="preserve"> a </w:t>
      </w:r>
      <w:r>
        <w:t>výzkumu prostřednictvím odštěpených společností, startupů</w:t>
      </w:r>
      <w:r w:rsidR="001B28B8">
        <w:t xml:space="preserve"> a </w:t>
      </w:r>
      <w:r>
        <w:t>scaleupů. Ve strategicky významných odvětvích rostou obavy, že prostředí</w:t>
      </w:r>
      <w:r w:rsidR="001B28B8">
        <w:t xml:space="preserve"> v </w:t>
      </w:r>
      <w:r>
        <w:t>Evropě je příliš roztříštěné, příliš hutné</w:t>
      </w:r>
      <w:r w:rsidR="001B28B8">
        <w:t xml:space="preserve"> a </w:t>
      </w:r>
      <w:r>
        <w:t>příliš pomalé na to, aby udrželo krok</w:t>
      </w:r>
      <w:r w:rsidR="001B28B8">
        <w:t xml:space="preserve"> s </w:t>
      </w:r>
      <w:r>
        <w:t>rychlým technologickým vývojem ve světě;</w:t>
      </w:r>
    </w:p>
    <w:p w14:paraId="6716AE21" w14:textId="7D91B715" w:rsidR="001338E5" w:rsidRPr="0072637C" w:rsidRDefault="001338E5" w:rsidP="008D7B21">
      <w:pPr>
        <w:pStyle w:val="ListParagraph"/>
        <w:numPr>
          <w:ilvl w:val="0"/>
          <w:numId w:val="24"/>
        </w:numPr>
        <w:spacing w:after="200" w:line="276" w:lineRule="auto"/>
        <w:ind w:left="567" w:hanging="567"/>
      </w:pPr>
      <w:r>
        <w:t>hlavními příčinami tohoto stavu jsou stále menší porozumění procesům tržního hospodářství</w:t>
      </w:r>
      <w:r w:rsidR="001B28B8">
        <w:t xml:space="preserve"> a </w:t>
      </w:r>
      <w:r>
        <w:t>stále více roztříštěné předpisy</w:t>
      </w:r>
      <w:r w:rsidR="001B28B8">
        <w:t xml:space="preserve"> a </w:t>
      </w:r>
      <w:r>
        <w:t>jejich provádění na jednotném trhu, které brání rozvoji přeshraničního trhu</w:t>
      </w:r>
      <w:r w:rsidR="001B28B8">
        <w:t xml:space="preserve"> a </w:t>
      </w:r>
      <w:r>
        <w:t>přenosu technologií</w:t>
      </w:r>
      <w:r w:rsidR="001B28B8">
        <w:t xml:space="preserve"> z </w:t>
      </w:r>
      <w:r>
        <w:t>výzkumu do průmyslu;</w:t>
      </w:r>
    </w:p>
    <w:p w14:paraId="6C231A07" w14:textId="4FD28E28" w:rsidR="001338E5" w:rsidRPr="0072637C" w:rsidRDefault="001338E5" w:rsidP="008D7B21">
      <w:pPr>
        <w:pStyle w:val="ListParagraph"/>
        <w:numPr>
          <w:ilvl w:val="0"/>
          <w:numId w:val="24"/>
        </w:numPr>
        <w:spacing w:after="200" w:line="276" w:lineRule="auto"/>
        <w:ind w:left="567" w:hanging="567"/>
      </w:pPr>
      <w:r>
        <w:t>další překážky pro podniky představují pomalé administrativní procesy, omezená digitalizace</w:t>
      </w:r>
      <w:r w:rsidR="001B28B8">
        <w:t xml:space="preserve"> a </w:t>
      </w:r>
      <w:r>
        <w:t>nejednotné uplatňování předpisů EU na celostátní</w:t>
      </w:r>
      <w:r w:rsidR="001B28B8">
        <w:t xml:space="preserve"> a </w:t>
      </w:r>
      <w:r>
        <w:t>regionální úrovni;</w:t>
      </w:r>
    </w:p>
    <w:p w14:paraId="19AA69EB" w14:textId="527D84BB" w:rsidR="001338E5" w:rsidRPr="0072637C" w:rsidRDefault="001338E5" w:rsidP="008D7B21">
      <w:pPr>
        <w:pStyle w:val="ListParagraph"/>
        <w:numPr>
          <w:ilvl w:val="0"/>
          <w:numId w:val="24"/>
        </w:numPr>
        <w:spacing w:after="200" w:line="276" w:lineRule="auto"/>
        <w:ind w:left="567" w:hanging="567"/>
      </w:pPr>
      <w:r>
        <w:t>evropský inovační akt může nabídnout úlevu přeshraničním startupům</w:t>
      </w:r>
      <w:r w:rsidR="001B28B8">
        <w:t xml:space="preserve"> a </w:t>
      </w:r>
      <w:r>
        <w:t>scaleupům, pokud bude obsahovat průřezová zjednodušení pro startupy</w:t>
      </w:r>
      <w:r w:rsidR="001B28B8">
        <w:t xml:space="preserve"> a </w:t>
      </w:r>
      <w:r>
        <w:t>bude moci být prosazován jako závazný ve všech členských státech, přičemž budou rovněž zohledněna práva pracovníků</w:t>
      </w:r>
      <w:r w:rsidR="001B28B8">
        <w:t xml:space="preserve"> a </w:t>
      </w:r>
      <w:r>
        <w:t>účast zaměstnanců. Výbor zdůrazňuje, že by evropský inovační akt měl být</w:t>
      </w:r>
      <w:r w:rsidR="001B28B8">
        <w:t xml:space="preserve"> v </w:t>
      </w:r>
      <w:r>
        <w:t>souladu se zásadami spravedlivé transformace</w:t>
      </w:r>
      <w:r w:rsidR="001B28B8">
        <w:t xml:space="preserve"> a </w:t>
      </w:r>
      <w:r>
        <w:t>měl by zajistit, aby inovace přispívaly</w:t>
      </w:r>
      <w:r w:rsidR="001B28B8">
        <w:t xml:space="preserve"> k </w:t>
      </w:r>
      <w:r>
        <w:t>hospodářskému růstu, konkurenceschopnosti</w:t>
      </w:r>
      <w:r w:rsidR="001B28B8">
        <w:t xml:space="preserve"> a </w:t>
      </w:r>
      <w:r>
        <w:t>vytváření pracovních míst, přičemž je třeba zohlednit potřebu pomoci pracovníkům</w:t>
      </w:r>
      <w:r w:rsidR="001B28B8">
        <w:t xml:space="preserve"> a </w:t>
      </w:r>
      <w:r>
        <w:t>regionům ovlivněným technologickou</w:t>
      </w:r>
      <w:r w:rsidR="001B28B8">
        <w:t xml:space="preserve"> a </w:t>
      </w:r>
      <w:r>
        <w:t>průmyslovou transformací;</w:t>
      </w:r>
    </w:p>
    <w:p w14:paraId="39AE1B16" w14:textId="758E3F8E" w:rsidR="001338E5" w:rsidRPr="00F957C5" w:rsidRDefault="001338E5" w:rsidP="008D7B21">
      <w:pPr>
        <w:pStyle w:val="ListParagraph"/>
        <w:numPr>
          <w:ilvl w:val="0"/>
          <w:numId w:val="24"/>
        </w:numPr>
        <w:spacing w:after="200" w:line="276" w:lineRule="auto"/>
        <w:ind w:left="567" w:hanging="567"/>
      </w:pPr>
      <w:r>
        <w:t>účinnější</w:t>
      </w:r>
      <w:r w:rsidR="001B28B8">
        <w:t xml:space="preserve"> a </w:t>
      </w:r>
      <w:r>
        <w:t>přesnější než závazná definice startupů</w:t>
      </w:r>
      <w:r w:rsidR="001B28B8">
        <w:t xml:space="preserve"> a </w:t>
      </w:r>
      <w:r>
        <w:t>scaleupů by byl katalog kritérií pro hodnocení inovačního obsahu</w:t>
      </w:r>
      <w:r w:rsidR="001B28B8">
        <w:t xml:space="preserve"> a </w:t>
      </w:r>
      <w:r>
        <w:t>vyhlídek na růst. Evropský inovační akt by mohlo podpořit také sestavení žebříčku vysokých škol na základě toho, zda podporují zakladatele podniků. Kromě toho by tento akt měl posílit úlohu výzkumných</w:t>
      </w:r>
      <w:r w:rsidR="001B28B8">
        <w:t xml:space="preserve"> a </w:t>
      </w:r>
      <w:r>
        <w:t>technologických organizací</w:t>
      </w:r>
      <w:r w:rsidR="001B28B8">
        <w:t xml:space="preserve"> a </w:t>
      </w:r>
      <w:r>
        <w:t>Evropského inovačního</w:t>
      </w:r>
      <w:r w:rsidR="001B28B8">
        <w:t xml:space="preserve"> a </w:t>
      </w:r>
      <w:r>
        <w:t>technologického institutu (EIT), zejména</w:t>
      </w:r>
      <w:r w:rsidR="001B28B8">
        <w:t xml:space="preserve"> v </w:t>
      </w:r>
      <w:r>
        <w:t>odvětvích deep tech</w:t>
      </w:r>
      <w:r w:rsidR="001B28B8">
        <w:t xml:space="preserve"> a </w:t>
      </w:r>
      <w:r>
        <w:t>kapitálově náročných odvětvích;</w:t>
      </w:r>
    </w:p>
    <w:p w14:paraId="6751F61A" w14:textId="0A357C89" w:rsidR="001338E5" w:rsidRPr="000624A9" w:rsidRDefault="001338E5" w:rsidP="008D7B21">
      <w:pPr>
        <w:pStyle w:val="ListParagraph"/>
        <w:numPr>
          <w:ilvl w:val="0"/>
          <w:numId w:val="24"/>
        </w:numPr>
        <w:spacing w:after="200" w:line="276" w:lineRule="auto"/>
        <w:ind w:left="567" w:hanging="567"/>
      </w:pPr>
      <w:r>
        <w:t>podporou pro inovace</w:t>
      </w:r>
      <w:r w:rsidR="001B28B8">
        <w:t xml:space="preserve"> a </w:t>
      </w:r>
      <w:r>
        <w:t>růst by byly celoevropské daňové pobídky</w:t>
      </w:r>
      <w:r w:rsidR="001B28B8">
        <w:t xml:space="preserve"> v </w:t>
      </w:r>
      <w:r>
        <w:t>případě kapitálové účasti zaměstnanců. Zakladatelům podniků by také měla být nabídnuta ochrana proti rizikům</w:t>
      </w:r>
      <w:r w:rsidR="001B28B8">
        <w:t xml:space="preserve"> a </w:t>
      </w:r>
      <w:r>
        <w:t>zároveň je třeba zajistit vhodné záruky pro zaměstnance</w:t>
      </w:r>
      <w:r w:rsidR="001B28B8">
        <w:t xml:space="preserve"> a </w:t>
      </w:r>
      <w:r>
        <w:t>věřitele</w:t>
      </w:r>
      <w:r w:rsidR="001B28B8">
        <w:t xml:space="preserve"> v </w:t>
      </w:r>
      <w:r>
        <w:t>souladu se stávajícími insolvenčními rámci.</w:t>
      </w: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Kontakt:</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Tel.</w:t>
            </w:r>
          </w:p>
        </w:tc>
        <w:tc>
          <w:tcPr>
            <w:tcW w:w="5670"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E-mail:</w:t>
            </w:r>
          </w:p>
        </w:tc>
        <w:tc>
          <w:tcPr>
            <w:tcW w:w="5670" w:type="dxa"/>
          </w:tcPr>
          <w:p w14:paraId="69C6AF5C" w14:textId="361263D0" w:rsidR="00227AA1" w:rsidRPr="00227AA1" w:rsidRDefault="00123016" w:rsidP="00227AA1">
            <w:pPr>
              <w:overflowPunct w:val="0"/>
              <w:autoSpaceDE w:val="0"/>
              <w:autoSpaceDN w:val="0"/>
              <w:adjustRightInd w:val="0"/>
              <w:spacing w:line="240" w:lineRule="auto"/>
              <w:textAlignment w:val="baseline"/>
              <w:rPr>
                <w:i/>
              </w:rPr>
            </w:pPr>
            <w:hyperlink r:id="rId51" w:history="1">
              <w:r w:rsidR="00E60ACE">
                <w:rPr>
                  <w:i/>
                  <w:color w:val="0000FF"/>
                  <w:u w:val="single"/>
                </w:rPr>
                <w:t>Jana.Valant@eesc.europa.eu</w:t>
              </w:r>
            </w:hyperlink>
          </w:p>
        </w:tc>
      </w:tr>
    </w:tbl>
    <w:p w14:paraId="4982DE1E" w14:textId="77777777" w:rsidR="004D7AC0" w:rsidRDefault="004D7AC0" w:rsidP="001766B2">
      <w:pPr>
        <w:jc w:val="left"/>
      </w:pPr>
      <w:r>
        <w:br w:type="page"/>
      </w:r>
    </w:p>
    <w:p w14:paraId="4982DE1F" w14:textId="44A320AB" w:rsidR="004D7AC0" w:rsidRDefault="004D7AC0" w:rsidP="00AA5081">
      <w:pPr>
        <w:pStyle w:val="Heading1"/>
      </w:pPr>
      <w:bookmarkStart w:id="8" w:name="_Toc70322234"/>
      <w:bookmarkStart w:id="9" w:name="_Toc75527084"/>
      <w:bookmarkStart w:id="10" w:name="_Toc229140656"/>
      <w:bookmarkStart w:id="11" w:name="_Toc229143564"/>
      <w:r>
        <w:lastRenderedPageBreak/>
        <w:t>ZEMĚDĚLSTVÍ, ROZVOJ VENKOVA, ŽIVOTNÍ PROSTŘEDÍ</w:t>
      </w:r>
      <w:bookmarkEnd w:id="8"/>
      <w:bookmarkEnd w:id="9"/>
      <w:bookmarkEnd w:id="10"/>
      <w:bookmarkEnd w:id="11"/>
    </w:p>
    <w:p w14:paraId="4982DE20" w14:textId="77777777" w:rsidR="004D7AC0" w:rsidRDefault="004D7AC0" w:rsidP="001766B2"/>
    <w:p w14:paraId="38C8A97D" w14:textId="5A0E3ED7" w:rsidR="00341FC2" w:rsidRPr="008414FF"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52" w:history="1">
        <w:r w:rsidR="00341FC2" w:rsidRPr="008414FF">
          <w:rPr>
            <w:rStyle w:val="Hyperlink"/>
            <w:b/>
            <w:bCs/>
            <w:i/>
            <w:iCs/>
            <w:sz w:val="28"/>
            <w:szCs w:val="28"/>
          </w:rPr>
          <w:t>Zavedení komplexní strategie</w:t>
        </w:r>
        <w:r w:rsidR="001B28B8" w:rsidRPr="008414FF">
          <w:rPr>
            <w:rStyle w:val="Hyperlink"/>
            <w:b/>
            <w:bCs/>
            <w:i/>
            <w:iCs/>
            <w:sz w:val="28"/>
            <w:szCs w:val="28"/>
          </w:rPr>
          <w:t xml:space="preserve"> v </w:t>
        </w:r>
        <w:r w:rsidR="00341FC2" w:rsidRPr="008414FF">
          <w:rPr>
            <w:rStyle w:val="Hyperlink"/>
            <w:b/>
            <w:bCs/>
            <w:i/>
            <w:iCs/>
            <w:sz w:val="28"/>
            <w:szCs w:val="28"/>
          </w:rPr>
          <w:t>oblasti biologicky rozložitelných přírodních materiálů</w:t>
        </w:r>
        <w:r w:rsidR="001B28B8" w:rsidRPr="008414FF">
          <w:rPr>
            <w:rStyle w:val="Hyperlink"/>
            <w:b/>
            <w:bCs/>
            <w:i/>
            <w:iCs/>
            <w:sz w:val="28"/>
            <w:szCs w:val="28"/>
          </w:rPr>
          <w:t xml:space="preserve"> v </w:t>
        </w:r>
        <w:r w:rsidR="00341FC2" w:rsidRPr="008414FF">
          <w:rPr>
            <w:rStyle w:val="Hyperlink"/>
            <w:b/>
            <w:bCs/>
            <w:i/>
            <w:iCs/>
            <w:sz w:val="28"/>
            <w:szCs w:val="28"/>
          </w:rPr>
          <w:t>zájmu podpory oběhového hospodářství</w:t>
        </w:r>
        <w:r w:rsidR="001B28B8" w:rsidRPr="008414FF">
          <w:rPr>
            <w:rStyle w:val="Hyperlink"/>
            <w:b/>
            <w:bCs/>
            <w:i/>
            <w:iCs/>
            <w:sz w:val="28"/>
            <w:szCs w:val="28"/>
          </w:rPr>
          <w:t xml:space="preserve"> a </w:t>
        </w:r>
        <w:r w:rsidR="00341FC2" w:rsidRPr="008414FF">
          <w:rPr>
            <w:rStyle w:val="Hyperlink"/>
            <w:b/>
            <w:bCs/>
            <w:i/>
            <w:iCs/>
            <w:sz w:val="28"/>
            <w:szCs w:val="28"/>
          </w:rPr>
          <w:t>účinného využívání zdrojů, posílení zemědělsko-potravinářského odvětví</w:t>
        </w:r>
        <w:r w:rsidR="001B28B8" w:rsidRPr="008414FF">
          <w:rPr>
            <w:rStyle w:val="Hyperlink"/>
            <w:b/>
            <w:bCs/>
            <w:i/>
            <w:iCs/>
            <w:sz w:val="28"/>
            <w:szCs w:val="28"/>
          </w:rPr>
          <w:t xml:space="preserve"> a </w:t>
        </w:r>
        <w:r w:rsidR="00341FC2" w:rsidRPr="008414FF">
          <w:rPr>
            <w:rStyle w:val="Hyperlink"/>
            <w:b/>
            <w:bCs/>
            <w:i/>
            <w:iCs/>
            <w:sz w:val="28"/>
            <w:szCs w:val="28"/>
          </w:rPr>
          <w:t>rozvoje bioekonomiky</w:t>
        </w:r>
        <w:r w:rsidR="001B28B8" w:rsidRPr="008414FF">
          <w:rPr>
            <w:rStyle w:val="Hyperlink"/>
            <w:b/>
            <w:bCs/>
            <w:i/>
            <w:iCs/>
            <w:sz w:val="28"/>
            <w:szCs w:val="28"/>
          </w:rPr>
          <w:t xml:space="preserve"> v </w:t>
        </w:r>
        <w:r w:rsidR="00341FC2" w:rsidRPr="008414FF">
          <w:rPr>
            <w:rStyle w:val="Hyperlink"/>
            <w:b/>
            <w:bCs/>
            <w:i/>
            <w:iCs/>
            <w:sz w:val="28"/>
            <w:szCs w:val="28"/>
          </w:rPr>
          <w:t>EU</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Zpravodaj</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Stojan ČUKANOV (Organizace občanské společnosti – BG) </w:t>
            </w:r>
          </w:p>
          <w:p w14:paraId="734AA599" w14:textId="77777777" w:rsidR="00840C59" w:rsidRPr="00FA206D" w:rsidRDefault="00840C59" w:rsidP="00341FC2">
            <w:pPr>
              <w:tabs>
                <w:tab w:val="center" w:pos="284"/>
              </w:tabs>
              <w:overflowPunct w:val="0"/>
              <w:autoSpaceDE w:val="0"/>
              <w:autoSpaceDN w:val="0"/>
              <w:adjustRightInd w:val="0"/>
              <w:ind w:left="266" w:right="-3091" w:hanging="266"/>
              <w:textAlignment w:val="baseline"/>
              <w:rPr>
                <w:sz w:val="14"/>
                <w:szCs w:val="14"/>
              </w:rPr>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Odkazy</w:t>
            </w:r>
          </w:p>
        </w:tc>
        <w:tc>
          <w:tcPr>
            <w:tcW w:w="3923" w:type="pct"/>
          </w:tcPr>
          <w:p w14:paraId="54454E7C" w14:textId="0742FD34" w:rsidR="00516EEE" w:rsidRDefault="00516EEE" w:rsidP="00341FC2">
            <w:pPr>
              <w:tabs>
                <w:tab w:val="center" w:pos="284"/>
              </w:tabs>
              <w:overflowPunct w:val="0"/>
              <w:autoSpaceDE w:val="0"/>
              <w:autoSpaceDN w:val="0"/>
              <w:adjustRightInd w:val="0"/>
              <w:ind w:left="266" w:right="-3091" w:hanging="266"/>
              <w:textAlignment w:val="baseline"/>
            </w:pPr>
            <w:r>
              <w:t>stanovisko</w:t>
            </w:r>
            <w:r w:rsidR="001B28B8">
              <w:t xml:space="preserve"> z </w:t>
            </w:r>
            <w:r>
              <w:t>vlastní iniciativy</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Hlavní body</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EHSV:</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B5FA68C" w14:textId="3B709416" w:rsidR="00FA206D" w:rsidRDefault="00FA206D" w:rsidP="008D7B21">
      <w:pPr>
        <w:pStyle w:val="Heading2"/>
        <w:numPr>
          <w:ilvl w:val="1"/>
          <w:numId w:val="31"/>
        </w:numPr>
        <w:ind w:left="567" w:hanging="567"/>
      </w:pPr>
      <w:r>
        <w:t>se domnívá, že EU má vhodnou příležitost podpořit svůj přechod na oběhovou bioekonomiku, která propojuje oběhovost, snižování spotřeby materiálu</w:t>
      </w:r>
      <w:r w:rsidR="001B28B8">
        <w:t xml:space="preserve"> v </w:t>
      </w:r>
      <w:r>
        <w:t>mezích planety, udržitelné využívání biomasy</w:t>
      </w:r>
      <w:r w:rsidR="001B28B8">
        <w:t xml:space="preserve"> a </w:t>
      </w:r>
      <w:r>
        <w:t>konkurenceschopnost průmyslu.</w:t>
      </w:r>
      <w:r w:rsidR="001B28B8">
        <w:t xml:space="preserve"> S </w:t>
      </w:r>
      <w:r>
        <w:t>ohledem na připravovaný akt</w:t>
      </w:r>
      <w:r w:rsidR="001B28B8">
        <w:t xml:space="preserve"> o </w:t>
      </w:r>
      <w:r>
        <w:t>oběhovém hospodářství</w:t>
      </w:r>
      <w:r w:rsidR="001B28B8">
        <w:t xml:space="preserve"> a </w:t>
      </w:r>
      <w:r>
        <w:t>aktualizovanou strategii EU</w:t>
      </w:r>
      <w:r w:rsidR="001B28B8">
        <w:t xml:space="preserve"> v </w:t>
      </w:r>
      <w:r>
        <w:t>oblasti bioekonomiky Výbor vyzývá</w:t>
      </w:r>
      <w:r w:rsidR="001B28B8">
        <w:t xml:space="preserve"> k </w:t>
      </w:r>
      <w:r>
        <w:t>jejich soudržnému</w:t>
      </w:r>
      <w:r w:rsidR="001B28B8">
        <w:t xml:space="preserve"> a </w:t>
      </w:r>
      <w:r>
        <w:t>ambicióznímu provádění,</w:t>
      </w:r>
      <w:r w:rsidR="001B28B8">
        <w:t xml:space="preserve"> v </w:t>
      </w:r>
      <w:r>
        <w:t>rámci nějž se politický impuls promítne do praktických výsledků</w:t>
      </w:r>
      <w:r w:rsidR="001B28B8">
        <w:t xml:space="preserve"> z </w:t>
      </w:r>
      <w:r>
        <w:t>hlediska průmyslového</w:t>
      </w:r>
      <w:r w:rsidR="001B28B8">
        <w:t xml:space="preserve"> a </w:t>
      </w:r>
      <w:r>
        <w:t>regionálního rozvoje;</w:t>
      </w:r>
    </w:p>
    <w:p w14:paraId="1F854072" w14:textId="31584CC5" w:rsidR="00FA206D" w:rsidRDefault="00FA206D" w:rsidP="008D7B21">
      <w:pPr>
        <w:pStyle w:val="Heading2"/>
        <w:numPr>
          <w:ilvl w:val="1"/>
          <w:numId w:val="31"/>
        </w:numPr>
        <w:ind w:left="567" w:hanging="567"/>
      </w:pPr>
      <w:r>
        <w:t>zdůrazňuje, že</w:t>
      </w:r>
      <w:r w:rsidR="001B28B8">
        <w:t xml:space="preserve"> v </w:t>
      </w:r>
      <w:r>
        <w:t>zájmu účinného využívání environmentálních zdrojů je třeba postupovat</w:t>
      </w:r>
      <w:r w:rsidR="001B28B8">
        <w:t xml:space="preserve"> v </w:t>
      </w:r>
      <w:r>
        <w:t>souladu</w:t>
      </w:r>
      <w:r w:rsidR="001B28B8">
        <w:t xml:space="preserve"> s </w:t>
      </w:r>
      <w:r>
        <w:t>hierarchií způsobů nakládání</w:t>
      </w:r>
      <w:r w:rsidR="001B28B8">
        <w:t xml:space="preserve"> s </w:t>
      </w:r>
      <w:r>
        <w:t>odpady podle rámcové směrnice</w:t>
      </w:r>
      <w:r w:rsidR="001B28B8">
        <w:t xml:space="preserve"> o </w:t>
      </w:r>
      <w:r>
        <w:t>odpadech, která vychází ze zohlednění celého životního cyklu</w:t>
      </w:r>
      <w:r w:rsidR="001B28B8">
        <w:t xml:space="preserve"> a </w:t>
      </w:r>
      <w:r>
        <w:t>dosažení nejlepších celkových výsledků</w:t>
      </w:r>
      <w:r w:rsidR="001B28B8">
        <w:t xml:space="preserve"> z </w:t>
      </w:r>
      <w:r>
        <w:t>hlediska životního prostředí. Podporuje proto technologicky neutrální přístup</w:t>
      </w:r>
      <w:r w:rsidR="001B28B8">
        <w:t xml:space="preserve"> k </w:t>
      </w:r>
      <w:r>
        <w:t>oběhovému hospodářství zaměřený na výsledky, který upřednostňuje předcházení vzniku odpadů, opětovné použití</w:t>
      </w:r>
      <w:r w:rsidR="001B28B8">
        <w:t xml:space="preserve"> a </w:t>
      </w:r>
      <w:r>
        <w:t>materiálová účinnost</w:t>
      </w:r>
      <w:r w:rsidR="001B28B8">
        <w:t xml:space="preserve"> a </w:t>
      </w:r>
      <w:r>
        <w:t>bere</w:t>
      </w:r>
      <w:r w:rsidR="001B28B8">
        <w:t xml:space="preserve"> v </w:t>
      </w:r>
      <w:r>
        <w:t>potaz technické</w:t>
      </w:r>
      <w:r w:rsidR="001B28B8">
        <w:t xml:space="preserve"> i </w:t>
      </w:r>
      <w:r>
        <w:t>biologické cykly tím, že uplatňuje odlišné oběhové postupy;</w:t>
      </w:r>
    </w:p>
    <w:p w14:paraId="56062B5B" w14:textId="6361551A" w:rsidR="00FA206D" w:rsidRDefault="00FA206D" w:rsidP="008D7B21">
      <w:pPr>
        <w:pStyle w:val="Heading2"/>
        <w:numPr>
          <w:ilvl w:val="1"/>
          <w:numId w:val="31"/>
        </w:numPr>
        <w:ind w:left="567" w:hanging="567"/>
      </w:pPr>
      <w:r>
        <w:t>upozorňuje, že</w:t>
      </w:r>
      <w:r w:rsidR="001B28B8">
        <w:t xml:space="preserve"> k </w:t>
      </w:r>
      <w:r>
        <w:t>prevenci znečištění, mimo jiné omezením úniků mikroplastů, mohou přispět materiály získané</w:t>
      </w:r>
      <w:r w:rsidR="001B28B8">
        <w:t xml:space="preserve"> z </w:t>
      </w:r>
      <w:r>
        <w:t>chemicky neupravených přírodních polymerů,</w:t>
      </w:r>
      <w:r w:rsidR="001B28B8">
        <w:t xml:space="preserve"> u </w:t>
      </w:r>
      <w:r>
        <w:t>nichž je podle směrnice</w:t>
      </w:r>
      <w:r w:rsidR="001B28B8">
        <w:t xml:space="preserve"> o </w:t>
      </w:r>
      <w:r>
        <w:t>plastech na jedno použití právně uznáno, že se nejedná</w:t>
      </w:r>
      <w:r w:rsidR="001B28B8">
        <w:t xml:space="preserve"> o </w:t>
      </w:r>
      <w:r>
        <w:t>plasty</w:t>
      </w:r>
      <w:r w:rsidR="001B28B8">
        <w:t xml:space="preserve"> a </w:t>
      </w:r>
      <w:r>
        <w:t>které jsou</w:t>
      </w:r>
      <w:r w:rsidR="001B28B8">
        <w:t xml:space="preserve"> v </w:t>
      </w:r>
      <w:r>
        <w:t>souladu</w:t>
      </w:r>
      <w:r w:rsidR="001B28B8">
        <w:t xml:space="preserve"> s </w:t>
      </w:r>
      <w:r>
        <w:t>nařízením REACH. Jejich úloha by měla být posuzována</w:t>
      </w:r>
      <w:r w:rsidR="001B28B8">
        <w:t xml:space="preserve"> v </w:t>
      </w:r>
      <w:r>
        <w:t>souladu</w:t>
      </w:r>
      <w:r w:rsidR="001B28B8">
        <w:t xml:space="preserve"> s </w:t>
      </w:r>
      <w:r>
        <w:t>přístupem „jedno zdraví“, který zohledňuje vzájemné vazby mezi environmentální integritou, odolností ekosystémů</w:t>
      </w:r>
      <w:r w:rsidR="001B28B8">
        <w:t xml:space="preserve"> a </w:t>
      </w:r>
      <w:r>
        <w:t>zdravím lidí</w:t>
      </w:r>
      <w:r w:rsidR="001B28B8">
        <w:t xml:space="preserve"> a </w:t>
      </w:r>
      <w:r>
        <w:t>zvířat;</w:t>
      </w:r>
    </w:p>
    <w:p w14:paraId="45BA2903" w14:textId="5917E23A" w:rsidR="00FA206D" w:rsidRDefault="00FA206D" w:rsidP="008D7B21">
      <w:pPr>
        <w:pStyle w:val="Heading2"/>
        <w:numPr>
          <w:ilvl w:val="1"/>
          <w:numId w:val="31"/>
        </w:numPr>
        <w:ind w:left="567" w:hanging="567"/>
      </w:pPr>
      <w:r>
        <w:t>připomíná, že tyto materiály mohou posílit ekonomiku venkovských</w:t>
      </w:r>
      <w:r w:rsidR="001B28B8">
        <w:t xml:space="preserve"> a </w:t>
      </w:r>
      <w:r>
        <w:t>pobřežních oblastí, neboť zužitkovávají sekundární biomasu ze zemědělství</w:t>
      </w:r>
      <w:r w:rsidR="001B28B8">
        <w:t xml:space="preserve"> a </w:t>
      </w:r>
      <w:r>
        <w:t>mořského prostředí, posilují místní</w:t>
      </w:r>
      <w:r w:rsidR="001B28B8">
        <w:t xml:space="preserve"> a </w:t>
      </w:r>
      <w:r>
        <w:t>regionální hodnotové řetězce, podporují generační obměnu</w:t>
      </w:r>
      <w:r w:rsidR="001B28B8">
        <w:t xml:space="preserve"> v </w:t>
      </w:r>
      <w:r>
        <w:t>oblasti zemědělství</w:t>
      </w:r>
      <w:r w:rsidR="001B28B8">
        <w:t xml:space="preserve"> a </w:t>
      </w:r>
      <w:r>
        <w:t>rybolovu</w:t>
      </w:r>
      <w:r w:rsidR="001B28B8">
        <w:t xml:space="preserve"> a </w:t>
      </w:r>
      <w:r>
        <w:t>vytvářejí kvalitní pracovní místa,</w:t>
      </w:r>
      <w:r w:rsidR="001B28B8">
        <w:t xml:space="preserve"> a </w:t>
      </w:r>
      <w:r>
        <w:t>přispívají tak</w:t>
      </w:r>
      <w:r w:rsidR="001B28B8">
        <w:t xml:space="preserve"> k </w:t>
      </w:r>
      <w:r>
        <w:t>sociální soudržnosti. Výbor zdůrazňuje, že při využití těchto materiálů musí být prioritou –</w:t>
      </w:r>
      <w:r w:rsidR="001B28B8">
        <w:t xml:space="preserve"> v </w:t>
      </w:r>
      <w:r>
        <w:t>uvedeném pořadí – výroba potravin, výroba krmiv</w:t>
      </w:r>
      <w:r w:rsidR="001B28B8">
        <w:t xml:space="preserve"> a </w:t>
      </w:r>
      <w:r>
        <w:t>ochrana půdy;</w:t>
      </w:r>
    </w:p>
    <w:p w14:paraId="11C42199" w14:textId="3D462494" w:rsidR="00FA206D" w:rsidRDefault="00FA206D" w:rsidP="008414FF">
      <w:pPr>
        <w:pStyle w:val="Heading2"/>
        <w:keepNext/>
        <w:keepLines/>
        <w:numPr>
          <w:ilvl w:val="1"/>
          <w:numId w:val="31"/>
        </w:numPr>
        <w:ind w:left="567" w:hanging="567"/>
      </w:pPr>
      <w:r>
        <w:lastRenderedPageBreak/>
        <w:t>požaduje větší soudržnost právních předpisů EU týkajících se výrobků, odpadů</w:t>
      </w:r>
      <w:r w:rsidR="001B28B8">
        <w:t xml:space="preserve"> a </w:t>
      </w:r>
      <w:r>
        <w:t>průmyslu, která zajistí důsledné uplatňování zákonem stanoveného rozlišení mezi plasty</w:t>
      </w:r>
      <w:r w:rsidR="001B28B8">
        <w:t xml:space="preserve"> a </w:t>
      </w:r>
      <w:r>
        <w:t>neupravenými přírodními polymery. Právní předpisy týkající se obalů by měly zabránit vzniku nezamýšlených překážek nebo faktickému vyloučení</w:t>
      </w:r>
      <w:r w:rsidR="001B28B8">
        <w:t xml:space="preserve"> z </w:t>
      </w:r>
      <w:r>
        <w:t>trhu</w:t>
      </w:r>
      <w:r w:rsidR="001B28B8">
        <w:t xml:space="preserve"> a </w:t>
      </w:r>
      <w:r>
        <w:t>měly by zohledňovat jak technickou, tak biologickou oběhovost. Zároveň by měly zajistit jasné</w:t>
      </w:r>
      <w:r w:rsidR="001B28B8">
        <w:t xml:space="preserve"> a </w:t>
      </w:r>
      <w:r>
        <w:t>harmonizované informace pro spotřebitele</w:t>
      </w:r>
      <w:r w:rsidR="001B28B8">
        <w:t xml:space="preserve"> a </w:t>
      </w:r>
      <w:r>
        <w:t>předvídatelnost pro hospodářské subjekty</w:t>
      </w:r>
      <w:r w:rsidR="001B28B8">
        <w:t xml:space="preserve"> a </w:t>
      </w:r>
      <w:r>
        <w:t>malé podniky;</w:t>
      </w:r>
    </w:p>
    <w:p w14:paraId="2C49A554" w14:textId="670A2375" w:rsidR="00FA206D" w:rsidRDefault="00FA206D" w:rsidP="008D7B21">
      <w:pPr>
        <w:pStyle w:val="Heading2"/>
        <w:numPr>
          <w:ilvl w:val="1"/>
          <w:numId w:val="31"/>
        </w:numPr>
        <w:ind w:left="567" w:hanging="567"/>
      </w:pPr>
      <w:r>
        <w:t>připomíná, že prioritou je provést nařízení</w:t>
      </w:r>
      <w:r w:rsidR="001B28B8">
        <w:t xml:space="preserve"> o </w:t>
      </w:r>
      <w:r>
        <w:t>obalech</w:t>
      </w:r>
      <w:r w:rsidR="001B28B8">
        <w:t xml:space="preserve"> a </w:t>
      </w:r>
      <w:r>
        <w:t>obalových odpadech,</w:t>
      </w:r>
      <w:r w:rsidR="001B28B8">
        <w:t xml:space="preserve"> a </w:t>
      </w:r>
      <w:r>
        <w:t>upozorňuje, že obaly vyrobené</w:t>
      </w:r>
      <w:r w:rsidR="001B28B8">
        <w:t xml:space="preserve"> z </w:t>
      </w:r>
      <w:r>
        <w:t>chemicky neupravených přírodních polymerů by mohly být vyloučeny, pokud by pravidla recyklovatelnosti umožňovala pouze technickou recyklaci. Vyzývá proto Komisi, aby zajistila, že provedení zmíněného nařízení povede</w:t>
      </w:r>
      <w:r w:rsidR="001B28B8">
        <w:t xml:space="preserve"> k </w:t>
      </w:r>
      <w:r>
        <w:t>uznání neupravených přírodních polymerů jakožto materiálů, které nejsou plasty,</w:t>
      </w:r>
      <w:r w:rsidR="001B28B8">
        <w:t xml:space="preserve"> a </w:t>
      </w:r>
      <w:r>
        <w:t>umožní biologické způsoby zpracování na konci životnosti, bude-li to mít celkově nejlepší dopad na životního prostředí;</w:t>
      </w:r>
    </w:p>
    <w:p w14:paraId="462FAC8B" w14:textId="4FC74524" w:rsidR="00341FC2" w:rsidRPr="00FA206D" w:rsidRDefault="00FA206D" w:rsidP="008D7B21">
      <w:pPr>
        <w:pStyle w:val="Heading2"/>
        <w:numPr>
          <w:ilvl w:val="1"/>
          <w:numId w:val="31"/>
        </w:numPr>
        <w:ind w:left="567" w:hanging="567"/>
      </w:pPr>
      <w:r>
        <w:t>vyzývá Komisi, aby</w:t>
      </w:r>
      <w:r w:rsidR="001B28B8">
        <w:t xml:space="preserve"> v </w:t>
      </w:r>
      <w:r>
        <w:t>rámci environmentální, průmyslové</w:t>
      </w:r>
      <w:r w:rsidR="001B28B8">
        <w:t xml:space="preserve"> a </w:t>
      </w:r>
      <w:r>
        <w:t>zemědělské politiky zajistila koordinovaná opatření, která rozšíří udržitelné materiály, usnadní jejich průmyslové využití, posílí regionální hodnotové řetězce</w:t>
      </w:r>
      <w:r w:rsidR="001B28B8">
        <w:t xml:space="preserve"> a </w:t>
      </w:r>
      <w:r>
        <w:t>zajistí globální konkurenceschopnost Evropy</w:t>
      </w:r>
      <w:r w:rsidR="001B28B8">
        <w:t xml:space="preserve"> v </w:t>
      </w:r>
      <w:r>
        <w:t>souvislosti</w:t>
      </w:r>
      <w:r w:rsidR="001B28B8">
        <w:t xml:space="preserve"> s </w:t>
      </w:r>
      <w:r>
        <w:t>inovacemi</w:t>
      </w:r>
      <w:r w:rsidR="001B28B8">
        <w:t xml:space="preserve"> v </w:t>
      </w:r>
      <w:r>
        <w:t>oblasti udržitelných materiálů</w:t>
      </w:r>
      <w:r w:rsidR="001B28B8">
        <w:t xml:space="preserve"> a </w:t>
      </w:r>
      <w:r>
        <w:t>zároveň podpoří soukromé investice</w:t>
      </w:r>
      <w:r w:rsidR="001B28B8">
        <w:t xml:space="preserve"> a </w:t>
      </w:r>
      <w:r>
        <w:t>rozšíření inovativních řešení.</w:t>
      </w:r>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905"/>
      </w:tblGrid>
      <w:tr w:rsidR="00341FC2" w:rsidRPr="00341FC2" w14:paraId="7F4411DB" w14:textId="77777777" w:rsidTr="00FB4D8E">
        <w:tc>
          <w:tcPr>
            <w:tcW w:w="745" w:type="pct"/>
          </w:tcPr>
          <w:p w14:paraId="151013E3" w14:textId="77777777" w:rsidR="00341FC2" w:rsidRPr="00341FC2" w:rsidRDefault="00341FC2" w:rsidP="00341FC2">
            <w:pPr>
              <w:overflowPunct w:val="0"/>
              <w:autoSpaceDE w:val="0"/>
              <w:autoSpaceDN w:val="0"/>
              <w:adjustRightInd w:val="0"/>
              <w:textAlignment w:val="baseline"/>
              <w:rPr>
                <w:i/>
              </w:rPr>
            </w:pPr>
            <w:r>
              <w:rPr>
                <w:b/>
                <w:i/>
              </w:rPr>
              <w:t>Kontakt:</w:t>
            </w:r>
          </w:p>
        </w:tc>
        <w:tc>
          <w:tcPr>
            <w:tcW w:w="4255"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FB4D8E">
        <w:tc>
          <w:tcPr>
            <w:tcW w:w="745" w:type="pct"/>
          </w:tcPr>
          <w:p w14:paraId="716E0640" w14:textId="77777777" w:rsidR="00341FC2" w:rsidRPr="00341FC2" w:rsidRDefault="00341FC2" w:rsidP="00341FC2">
            <w:pPr>
              <w:overflowPunct w:val="0"/>
              <w:autoSpaceDE w:val="0"/>
              <w:autoSpaceDN w:val="0"/>
              <w:adjustRightInd w:val="0"/>
              <w:textAlignment w:val="baseline"/>
              <w:rPr>
                <w:i/>
              </w:rPr>
            </w:pPr>
            <w:r>
              <w:rPr>
                <w:i/>
              </w:rPr>
              <w:t>Tel.</w:t>
            </w:r>
          </w:p>
        </w:tc>
        <w:tc>
          <w:tcPr>
            <w:tcW w:w="4255"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FB4D8E">
        <w:tc>
          <w:tcPr>
            <w:tcW w:w="745" w:type="pct"/>
          </w:tcPr>
          <w:p w14:paraId="532D2B72" w14:textId="77777777" w:rsidR="00341FC2" w:rsidRPr="00341FC2" w:rsidRDefault="00341FC2" w:rsidP="00341FC2">
            <w:pPr>
              <w:overflowPunct w:val="0"/>
              <w:autoSpaceDE w:val="0"/>
              <w:autoSpaceDN w:val="0"/>
              <w:adjustRightInd w:val="0"/>
              <w:textAlignment w:val="baseline"/>
              <w:rPr>
                <w:i/>
              </w:rPr>
            </w:pPr>
            <w:r>
              <w:rPr>
                <w:i/>
              </w:rPr>
              <w:t>E-mail:</w:t>
            </w:r>
          </w:p>
        </w:tc>
        <w:tc>
          <w:tcPr>
            <w:tcW w:w="4255" w:type="pct"/>
          </w:tcPr>
          <w:p w14:paraId="06E89BE5" w14:textId="77777777" w:rsidR="00341FC2" w:rsidRPr="00341FC2" w:rsidRDefault="00123016" w:rsidP="00341FC2">
            <w:pPr>
              <w:overflowPunct w:val="0"/>
              <w:autoSpaceDE w:val="0"/>
              <w:autoSpaceDN w:val="0"/>
              <w:adjustRightInd w:val="0"/>
              <w:textAlignment w:val="baseline"/>
              <w:rPr>
                <w:i/>
              </w:rPr>
            </w:pPr>
            <w:hyperlink r:id="rId53" w:history="1">
              <w:r w:rsidR="00E60ACE">
                <w:rPr>
                  <w:i/>
                  <w:color w:val="0000FF"/>
                  <w:u w:val="single"/>
                </w:rPr>
                <w:t>Caroline.Verhelst@eesc.europa.eu</w:t>
              </w:r>
            </w:hyperlink>
            <w:r w:rsidR="00E60ACE">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5E6924B3" w:rsidR="000C5A16" w:rsidRPr="00793943" w:rsidRDefault="00123016" w:rsidP="006D7386">
      <w:pPr>
        <w:numPr>
          <w:ilvl w:val="0"/>
          <w:numId w:val="10"/>
        </w:numPr>
        <w:overflowPunct w:val="0"/>
        <w:autoSpaceDE w:val="0"/>
        <w:autoSpaceDN w:val="0"/>
        <w:adjustRightInd w:val="0"/>
        <w:spacing w:after="200" w:line="264" w:lineRule="auto"/>
        <w:ind w:left="567" w:hanging="567"/>
        <w:contextualSpacing/>
        <w:textAlignment w:val="baseline"/>
        <w:rPr>
          <w:b/>
          <w:bCs/>
          <w:i/>
          <w:iCs/>
          <w:sz w:val="28"/>
          <w:szCs w:val="28"/>
        </w:rPr>
      </w:pPr>
      <w:hyperlink r:id="rId54" w:history="1">
        <w:r w:rsidR="000C5A16" w:rsidRPr="00793943">
          <w:rPr>
            <w:rStyle w:val="Hyperlink"/>
            <w:b/>
            <w:bCs/>
            <w:i/>
            <w:iCs/>
            <w:sz w:val="28"/>
            <w:szCs w:val="28"/>
          </w:rPr>
          <w:t>Strategie EU</w:t>
        </w:r>
        <w:r w:rsidR="001B28B8" w:rsidRPr="00793943">
          <w:rPr>
            <w:rStyle w:val="Hyperlink"/>
            <w:b/>
            <w:bCs/>
            <w:i/>
            <w:iCs/>
            <w:sz w:val="28"/>
            <w:szCs w:val="28"/>
          </w:rPr>
          <w:t xml:space="preserve"> v </w:t>
        </w:r>
        <w:r w:rsidR="000C5A16" w:rsidRPr="00793943">
          <w:rPr>
            <w:rStyle w:val="Hyperlink"/>
            <w:b/>
            <w:bCs/>
            <w:i/>
            <w:iCs/>
            <w:sz w:val="28"/>
            <w:szCs w:val="28"/>
          </w:rPr>
          <w:t>oblasti bioekonomiky – na cestě</w:t>
        </w:r>
        <w:r w:rsidR="001B28B8" w:rsidRPr="00793943">
          <w:rPr>
            <w:rStyle w:val="Hyperlink"/>
            <w:b/>
            <w:bCs/>
            <w:i/>
            <w:iCs/>
            <w:sz w:val="28"/>
            <w:szCs w:val="28"/>
          </w:rPr>
          <w:t xml:space="preserve"> k </w:t>
        </w:r>
        <w:r w:rsidR="000C5A16" w:rsidRPr="00793943">
          <w:rPr>
            <w:rStyle w:val="Hyperlink"/>
            <w:b/>
            <w:bCs/>
            <w:i/>
            <w:iCs/>
            <w:sz w:val="28"/>
            <w:szCs w:val="28"/>
          </w:rPr>
          <w:t>oběhové, regenerativní</w:t>
        </w:r>
        <w:r w:rsidR="001B28B8" w:rsidRPr="00793943">
          <w:rPr>
            <w:rStyle w:val="Hyperlink"/>
            <w:b/>
            <w:bCs/>
            <w:i/>
            <w:iCs/>
            <w:sz w:val="28"/>
            <w:szCs w:val="28"/>
          </w:rPr>
          <w:t xml:space="preserve"> a </w:t>
        </w:r>
        <w:r w:rsidR="000C5A16" w:rsidRPr="00793943">
          <w:rPr>
            <w:rStyle w:val="Hyperlink"/>
            <w:b/>
            <w:bCs/>
            <w:i/>
            <w:iCs/>
            <w:sz w:val="28"/>
            <w:szCs w:val="28"/>
          </w:rPr>
          <w:t>konkurenceschopné bioekonomice</w:t>
        </w:r>
      </w:hyperlink>
    </w:p>
    <w:p w14:paraId="67EC52A8" w14:textId="77777777" w:rsidR="000C5A16" w:rsidRPr="004917CF" w:rsidRDefault="000C5A16" w:rsidP="006D7386">
      <w:pPr>
        <w:overflowPunct w:val="0"/>
        <w:autoSpaceDE w:val="0"/>
        <w:autoSpaceDN w:val="0"/>
        <w:adjustRightInd w:val="0"/>
        <w:spacing w:line="240" w:lineRule="auto"/>
        <w:textAlignment w:val="baseline"/>
        <w:outlineLvl w:val="1"/>
        <w:rPr>
          <w:bCs/>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6D7386">
            <w:pPr>
              <w:tabs>
                <w:tab w:val="center" w:pos="284"/>
              </w:tabs>
              <w:overflowPunct w:val="0"/>
              <w:autoSpaceDE w:val="0"/>
              <w:autoSpaceDN w:val="0"/>
              <w:adjustRightInd w:val="0"/>
              <w:spacing w:line="276" w:lineRule="auto"/>
              <w:ind w:left="266" w:hanging="266"/>
              <w:textAlignment w:val="baseline"/>
              <w:rPr>
                <w:b/>
              </w:rPr>
            </w:pPr>
            <w:r>
              <w:rPr>
                <w:b/>
              </w:rPr>
              <w:t>Zpravodaj</w:t>
            </w:r>
          </w:p>
        </w:tc>
        <w:tc>
          <w:tcPr>
            <w:tcW w:w="7621" w:type="dxa"/>
          </w:tcPr>
          <w:p w14:paraId="5ECA4C39" w14:textId="528DF1F9" w:rsidR="000C5A16" w:rsidRPr="000C5A16" w:rsidRDefault="000C5A16" w:rsidP="006D7386">
            <w:pPr>
              <w:tabs>
                <w:tab w:val="center" w:pos="284"/>
              </w:tabs>
              <w:overflowPunct w:val="0"/>
              <w:autoSpaceDE w:val="0"/>
              <w:autoSpaceDN w:val="0"/>
              <w:adjustRightInd w:val="0"/>
              <w:spacing w:line="276" w:lineRule="auto"/>
              <w:ind w:left="266" w:hanging="266"/>
              <w:textAlignment w:val="baseline"/>
              <w:rPr>
                <w:b/>
                <w:bCs/>
                <w:spacing w:val="-4"/>
              </w:rPr>
            </w:pPr>
            <w:r>
              <w:t>Arnaud SCHWARTZ (skupina Organizace občanské společnosti – FR)</w:t>
            </w:r>
          </w:p>
        </w:tc>
      </w:tr>
      <w:tr w:rsidR="000C5A16" w:rsidRPr="000C5A16" w14:paraId="7972012C" w14:textId="77777777" w:rsidTr="002E7EFB">
        <w:tc>
          <w:tcPr>
            <w:tcW w:w="1701" w:type="dxa"/>
          </w:tcPr>
          <w:p w14:paraId="19D90AB9" w14:textId="77777777" w:rsidR="000C5A16" w:rsidRPr="004917CF" w:rsidRDefault="000C5A16" w:rsidP="006D7386">
            <w:pPr>
              <w:tabs>
                <w:tab w:val="center" w:pos="284"/>
              </w:tabs>
              <w:overflowPunct w:val="0"/>
              <w:autoSpaceDE w:val="0"/>
              <w:autoSpaceDN w:val="0"/>
              <w:adjustRightInd w:val="0"/>
              <w:spacing w:line="276" w:lineRule="auto"/>
              <w:ind w:left="266" w:hanging="266"/>
              <w:textAlignment w:val="baseline"/>
              <w:rPr>
                <w:b/>
                <w:sz w:val="14"/>
                <w:szCs w:val="14"/>
              </w:rPr>
            </w:pPr>
          </w:p>
        </w:tc>
        <w:tc>
          <w:tcPr>
            <w:tcW w:w="7621" w:type="dxa"/>
          </w:tcPr>
          <w:p w14:paraId="367D2144" w14:textId="77777777" w:rsidR="000C5A16" w:rsidRPr="004917CF" w:rsidRDefault="000C5A16" w:rsidP="006D7386">
            <w:pPr>
              <w:tabs>
                <w:tab w:val="center" w:pos="284"/>
              </w:tabs>
              <w:overflowPunct w:val="0"/>
              <w:autoSpaceDE w:val="0"/>
              <w:autoSpaceDN w:val="0"/>
              <w:adjustRightInd w:val="0"/>
              <w:spacing w:line="276" w:lineRule="auto"/>
              <w:ind w:left="266" w:hanging="266"/>
              <w:textAlignment w:val="baseline"/>
              <w:rPr>
                <w:b/>
                <w:bCs/>
                <w:sz w:val="14"/>
                <w:szCs w:val="14"/>
                <w:lang w:val="en-GB"/>
              </w:rPr>
            </w:pPr>
          </w:p>
        </w:tc>
      </w:tr>
      <w:tr w:rsidR="000C5A16" w:rsidRPr="000C5A16" w14:paraId="21344BB5" w14:textId="77777777" w:rsidTr="002E7EFB">
        <w:tc>
          <w:tcPr>
            <w:tcW w:w="1701" w:type="dxa"/>
          </w:tcPr>
          <w:p w14:paraId="25A3DC2A" w14:textId="77777777" w:rsidR="000C5A16" w:rsidRPr="000C5A16" w:rsidRDefault="000C5A16" w:rsidP="006D7386">
            <w:pPr>
              <w:tabs>
                <w:tab w:val="center" w:pos="284"/>
              </w:tabs>
              <w:overflowPunct w:val="0"/>
              <w:autoSpaceDE w:val="0"/>
              <w:autoSpaceDN w:val="0"/>
              <w:adjustRightInd w:val="0"/>
              <w:spacing w:line="276" w:lineRule="auto"/>
              <w:ind w:left="266" w:hanging="266"/>
              <w:textAlignment w:val="baseline"/>
              <w:rPr>
                <w:b/>
              </w:rPr>
            </w:pPr>
            <w:r>
              <w:rPr>
                <w:b/>
              </w:rPr>
              <w:t>Odkazy</w:t>
            </w:r>
          </w:p>
        </w:tc>
        <w:tc>
          <w:tcPr>
            <w:tcW w:w="7621" w:type="dxa"/>
          </w:tcPr>
          <w:p w14:paraId="1A41EF62" w14:textId="77777777" w:rsidR="000C5A16" w:rsidRPr="000C5A16" w:rsidRDefault="000C5A16" w:rsidP="006D7386">
            <w:pPr>
              <w:tabs>
                <w:tab w:val="center" w:pos="284"/>
              </w:tabs>
              <w:overflowPunct w:val="0"/>
              <w:autoSpaceDE w:val="0"/>
              <w:autoSpaceDN w:val="0"/>
              <w:adjustRightInd w:val="0"/>
              <w:spacing w:line="276" w:lineRule="auto"/>
              <w:ind w:left="266" w:hanging="266"/>
              <w:textAlignment w:val="baseline"/>
            </w:pPr>
            <w:r>
              <w:t>COM(2025) 960 final</w:t>
            </w:r>
          </w:p>
          <w:p w14:paraId="6E8937F3" w14:textId="72C7BF98" w:rsidR="000C5A16" w:rsidRPr="000C5A16" w:rsidRDefault="000C5A16" w:rsidP="006D7386">
            <w:pPr>
              <w:tabs>
                <w:tab w:val="center" w:pos="284"/>
              </w:tabs>
              <w:overflowPunct w:val="0"/>
              <w:autoSpaceDE w:val="0"/>
              <w:autoSpaceDN w:val="0"/>
              <w:adjustRightInd w:val="0"/>
              <w:spacing w:line="276" w:lineRule="auto"/>
              <w:ind w:left="266" w:hanging="266"/>
              <w:textAlignment w:val="baseline"/>
            </w:pPr>
            <w:r>
              <w:t>EESC-2025-03968-00-00-AC</w:t>
            </w:r>
          </w:p>
        </w:tc>
      </w:tr>
    </w:tbl>
    <w:p w14:paraId="06FD5121" w14:textId="624A6349" w:rsidR="0017309D" w:rsidRPr="0017309D" w:rsidRDefault="0017309D" w:rsidP="006D7386">
      <w:pPr>
        <w:overflowPunct w:val="0"/>
        <w:autoSpaceDE w:val="0"/>
        <w:autoSpaceDN w:val="0"/>
        <w:adjustRightInd w:val="0"/>
        <w:spacing w:line="240" w:lineRule="auto"/>
        <w:textAlignment w:val="baseline"/>
        <w:outlineLvl w:val="1"/>
        <w:rPr>
          <w:szCs w:val="20"/>
          <w:lang w:val="en-GB"/>
        </w:rPr>
      </w:pPr>
    </w:p>
    <w:p w14:paraId="1F87D72F" w14:textId="77777777" w:rsidR="0039093C" w:rsidRPr="0039093C" w:rsidRDefault="0039093C" w:rsidP="006D7386">
      <w:pPr>
        <w:overflowPunct w:val="0"/>
        <w:autoSpaceDE w:val="0"/>
        <w:autoSpaceDN w:val="0"/>
        <w:adjustRightInd w:val="0"/>
        <w:spacing w:line="240" w:lineRule="auto"/>
        <w:textAlignment w:val="baseline"/>
        <w:outlineLvl w:val="1"/>
        <w:rPr>
          <w:b/>
          <w:szCs w:val="20"/>
        </w:rPr>
      </w:pPr>
      <w:r>
        <w:rPr>
          <w:b/>
        </w:rPr>
        <w:t>Hlavní body</w:t>
      </w:r>
    </w:p>
    <w:p w14:paraId="3956F520" w14:textId="77777777" w:rsidR="0039093C" w:rsidRPr="0039093C" w:rsidRDefault="0039093C" w:rsidP="006D7386">
      <w:pPr>
        <w:overflowPunct w:val="0"/>
        <w:autoSpaceDE w:val="0"/>
        <w:autoSpaceDN w:val="0"/>
        <w:adjustRightInd w:val="0"/>
        <w:spacing w:line="240" w:lineRule="auto"/>
        <w:textAlignment w:val="baseline"/>
        <w:outlineLvl w:val="1"/>
        <w:rPr>
          <w:bCs/>
          <w:szCs w:val="20"/>
          <w:lang w:val="en-GB"/>
        </w:rPr>
      </w:pPr>
    </w:p>
    <w:p w14:paraId="5806984D" w14:textId="77777777" w:rsidR="0039093C" w:rsidRDefault="0039093C" w:rsidP="006D7386">
      <w:pPr>
        <w:overflowPunct w:val="0"/>
        <w:autoSpaceDE w:val="0"/>
        <w:autoSpaceDN w:val="0"/>
        <w:adjustRightInd w:val="0"/>
        <w:spacing w:line="240" w:lineRule="auto"/>
        <w:textAlignment w:val="baseline"/>
        <w:outlineLvl w:val="1"/>
        <w:rPr>
          <w:bCs/>
          <w:iCs/>
          <w:szCs w:val="20"/>
        </w:rPr>
      </w:pPr>
      <w:r>
        <w:t>EHSV:</w:t>
      </w:r>
    </w:p>
    <w:p w14:paraId="555AEE0E" w14:textId="77777777" w:rsidR="00FD6A81" w:rsidRPr="0039093C" w:rsidRDefault="00FD6A81" w:rsidP="006D7386">
      <w:pPr>
        <w:overflowPunct w:val="0"/>
        <w:autoSpaceDE w:val="0"/>
        <w:autoSpaceDN w:val="0"/>
        <w:adjustRightInd w:val="0"/>
        <w:spacing w:line="240" w:lineRule="auto"/>
        <w:textAlignment w:val="baseline"/>
        <w:outlineLvl w:val="1"/>
        <w:rPr>
          <w:bCs/>
          <w:iCs/>
          <w:szCs w:val="20"/>
          <w:lang w:val="en-GB"/>
        </w:rPr>
      </w:pPr>
    </w:p>
    <w:p w14:paraId="3E80C784" w14:textId="0C134C54" w:rsidR="00FA206D" w:rsidRDefault="00FA206D" w:rsidP="006D7386">
      <w:pPr>
        <w:pStyle w:val="Heading2"/>
        <w:numPr>
          <w:ilvl w:val="0"/>
          <w:numId w:val="32"/>
        </w:numPr>
        <w:spacing w:line="276" w:lineRule="auto"/>
        <w:ind w:left="567" w:hanging="567"/>
      </w:pPr>
      <w:r>
        <w:t>Evropa je kontinent</w:t>
      </w:r>
      <w:r w:rsidR="001B28B8">
        <w:t xml:space="preserve"> s </w:t>
      </w:r>
      <w:r>
        <w:t>omezenými zdroji</w:t>
      </w:r>
      <w:r w:rsidR="001B28B8">
        <w:t xml:space="preserve"> a </w:t>
      </w:r>
      <w:r>
        <w:t>silnou závislostí na dovozu – mimo jiné pokud jde</w:t>
      </w:r>
      <w:r w:rsidR="001B28B8">
        <w:t xml:space="preserve"> o </w:t>
      </w:r>
      <w:r>
        <w:t>fosilní paliva</w:t>
      </w:r>
      <w:r w:rsidR="001B28B8">
        <w:t xml:space="preserve"> a </w:t>
      </w:r>
      <w:r>
        <w:t>suroviny –, který čelí stále napjatější geopolitické situaci. Nadměrné využívání přírodních zdrojů je zároveň jednou</w:t>
      </w:r>
      <w:r w:rsidR="001B28B8">
        <w:t xml:space="preserve"> z </w:t>
      </w:r>
      <w:r>
        <w:t>hlavních příčin pokračujícího úbytku biologické rozmanitosti</w:t>
      </w:r>
      <w:r>
        <w:rPr>
          <w:rStyle w:val="FootnoteReference"/>
        </w:rPr>
        <w:footnoteReference w:id="1"/>
      </w:r>
      <w:r>
        <w:t>.</w:t>
      </w:r>
      <w:r w:rsidR="001B28B8">
        <w:t xml:space="preserve"> V </w:t>
      </w:r>
      <w:r>
        <w:t>souladu</w:t>
      </w:r>
      <w:r w:rsidR="001B28B8">
        <w:t xml:space="preserve"> s </w:t>
      </w:r>
      <w:r>
        <w:t>cíli udržitelného rozvoje je nutné zajistit shodu mezi cíli EU</w:t>
      </w:r>
      <w:r w:rsidR="001B28B8">
        <w:t xml:space="preserve"> v </w:t>
      </w:r>
      <w:r>
        <w:t>oblastech klimatu</w:t>
      </w:r>
      <w:r w:rsidR="001B28B8">
        <w:t xml:space="preserve"> a </w:t>
      </w:r>
      <w:r>
        <w:t>biologické rozmanitosti</w:t>
      </w:r>
      <w:r w:rsidR="001B28B8">
        <w:t xml:space="preserve"> a </w:t>
      </w:r>
      <w:r>
        <w:t>oběhovým hospodářstvím. Robustní</w:t>
      </w:r>
      <w:r w:rsidR="001B28B8">
        <w:t xml:space="preserve"> a </w:t>
      </w:r>
      <w:r>
        <w:t xml:space="preserve">dobře definovaná </w:t>
      </w:r>
      <w:r>
        <w:rPr>
          <w:b/>
          <w:bCs/>
        </w:rPr>
        <w:t>strategie</w:t>
      </w:r>
      <w:r w:rsidR="001B28B8">
        <w:rPr>
          <w:b/>
          <w:bCs/>
        </w:rPr>
        <w:t xml:space="preserve"> v </w:t>
      </w:r>
      <w:r>
        <w:rPr>
          <w:b/>
          <w:bCs/>
        </w:rPr>
        <w:t>oblasti bioekonomiky doplní</w:t>
      </w:r>
      <w:r>
        <w:t xml:space="preserve"> pokrok dosažený</w:t>
      </w:r>
      <w:r w:rsidR="001B28B8">
        <w:t xml:space="preserve"> v </w:t>
      </w:r>
      <w:r>
        <w:t xml:space="preserve">oblasti </w:t>
      </w:r>
      <w:r>
        <w:rPr>
          <w:b/>
          <w:bCs/>
        </w:rPr>
        <w:t>oběhového hospodářství</w:t>
      </w:r>
      <w:r w:rsidR="001B28B8">
        <w:rPr>
          <w:b/>
          <w:bCs/>
        </w:rPr>
        <w:t xml:space="preserve"> a </w:t>
      </w:r>
      <w:r>
        <w:rPr>
          <w:b/>
          <w:bCs/>
        </w:rPr>
        <w:t>umožní docílit dekarbonizace, blahobytu</w:t>
      </w:r>
      <w:r w:rsidR="001B28B8">
        <w:rPr>
          <w:b/>
          <w:bCs/>
        </w:rPr>
        <w:t xml:space="preserve"> a </w:t>
      </w:r>
      <w:r>
        <w:rPr>
          <w:b/>
          <w:bCs/>
        </w:rPr>
        <w:t>dlouhodobé konkurenceschopnosti</w:t>
      </w:r>
      <w:r w:rsidR="001B28B8">
        <w:rPr>
          <w:b/>
          <w:bCs/>
        </w:rPr>
        <w:t xml:space="preserve"> v </w:t>
      </w:r>
      <w:r>
        <w:rPr>
          <w:b/>
          <w:bCs/>
        </w:rPr>
        <w:t>rámci planetárních mezí</w:t>
      </w:r>
      <w:r>
        <w:t>;</w:t>
      </w:r>
    </w:p>
    <w:p w14:paraId="62E16178" w14:textId="6944BC41" w:rsidR="00944198" w:rsidRPr="00944198" w:rsidRDefault="00FA206D" w:rsidP="007C63A1">
      <w:pPr>
        <w:pStyle w:val="Heading2"/>
        <w:numPr>
          <w:ilvl w:val="0"/>
          <w:numId w:val="32"/>
        </w:numPr>
        <w:spacing w:line="276" w:lineRule="auto"/>
        <w:ind w:left="567" w:hanging="567"/>
        <w:rPr>
          <w:szCs w:val="20"/>
        </w:rPr>
      </w:pPr>
      <w:r>
        <w:t>připomíná, že EU se stane světovým lídrem pouze</w:t>
      </w:r>
      <w:r w:rsidR="001B28B8">
        <w:t xml:space="preserve"> v </w:t>
      </w:r>
      <w:r>
        <w:t xml:space="preserve">případě, že její orgány </w:t>
      </w:r>
      <w:r>
        <w:rPr>
          <w:b/>
          <w:bCs/>
        </w:rPr>
        <w:t>zavedou přísné zásady</w:t>
      </w:r>
      <w:r w:rsidR="001B28B8">
        <w:rPr>
          <w:b/>
          <w:bCs/>
        </w:rPr>
        <w:t xml:space="preserve"> a </w:t>
      </w:r>
      <w:r>
        <w:rPr>
          <w:b/>
          <w:bCs/>
        </w:rPr>
        <w:t>záruky</w:t>
      </w:r>
      <w:r>
        <w:t xml:space="preserve"> ve vztahu</w:t>
      </w:r>
      <w:r w:rsidR="001B28B8">
        <w:t xml:space="preserve"> k </w:t>
      </w:r>
      <w:r>
        <w:t>tomu, co může sloužit jako vstupy do bioekonomiky, ať už se jedná například</w:t>
      </w:r>
      <w:r w:rsidR="001B28B8">
        <w:t xml:space="preserve"> o </w:t>
      </w:r>
      <w:r>
        <w:t>primární, nebo sekundární biomasu ze zemědělství, akvakultury, lesnictví, přírody nebo komunálního či průmyslového odpadu. Strategie EU</w:t>
      </w:r>
      <w:r w:rsidR="001B28B8">
        <w:t xml:space="preserve"> v </w:t>
      </w:r>
      <w:r>
        <w:t>oblasti bioekonomiky se musí zaměřit na ekologickou transformaci hospodářství</w:t>
      </w:r>
      <w:r w:rsidR="001B28B8">
        <w:t xml:space="preserve"> a </w:t>
      </w:r>
      <w:r>
        <w:t>současně zohlednit environmentální</w:t>
      </w:r>
      <w:r w:rsidR="001B28B8">
        <w:t xml:space="preserve"> a </w:t>
      </w:r>
      <w:r>
        <w:t>sociální aspekty. Udržitelná</w:t>
      </w:r>
      <w:r w:rsidR="001B28B8">
        <w:t xml:space="preserve"> a </w:t>
      </w:r>
      <w:r>
        <w:t>oběhová bioekonomika posílí hospodářství</w:t>
      </w:r>
      <w:r w:rsidR="001B28B8">
        <w:t xml:space="preserve"> a </w:t>
      </w:r>
      <w:r>
        <w:t>konkurenceschopnost EU, sníží závislost na fosilních zdrojích, přispěje</w:t>
      </w:r>
      <w:r w:rsidR="001B28B8">
        <w:t xml:space="preserve"> k </w:t>
      </w:r>
      <w:r>
        <w:t>dosažení cílů</w:t>
      </w:r>
      <w:r w:rsidR="001B28B8">
        <w:t xml:space="preserve"> v </w:t>
      </w:r>
      <w:r>
        <w:t>oblasti klimatu, bude se podílet na vytváření nových pracovních míst</w:t>
      </w:r>
      <w:r w:rsidR="001B28B8">
        <w:t xml:space="preserve"> a </w:t>
      </w:r>
      <w:r>
        <w:t>bude mít také environmentální</w:t>
      </w:r>
      <w:r w:rsidR="001B28B8">
        <w:t xml:space="preserve"> a </w:t>
      </w:r>
      <w:r>
        <w:t>sociální přínosy.</w:t>
      </w:r>
      <w:r w:rsidR="001B28B8">
        <w:t xml:space="preserve"> V </w:t>
      </w:r>
      <w:r>
        <w:t xml:space="preserve">rámci této vedoucí úlohy by měla </w:t>
      </w:r>
      <w:r>
        <w:rPr>
          <w:b/>
        </w:rPr>
        <w:t>být upřednostňována kvalitní pracovní místa,</w:t>
      </w:r>
      <w:r w:rsidR="001B28B8">
        <w:rPr>
          <w:b/>
        </w:rPr>
        <w:t xml:space="preserve"> a </w:t>
      </w:r>
      <w:r>
        <w:rPr>
          <w:b/>
        </w:rPr>
        <w:t>to zejména ve venkovských</w:t>
      </w:r>
      <w:r w:rsidR="001B28B8">
        <w:rPr>
          <w:b/>
        </w:rPr>
        <w:t xml:space="preserve"> a </w:t>
      </w:r>
      <w:r>
        <w:rPr>
          <w:b/>
        </w:rPr>
        <w:t>vzdálených regionech</w:t>
      </w:r>
      <w:r>
        <w:t>. Tyto zásady by měly být kvantifikovatelné</w:t>
      </w:r>
      <w:r w:rsidR="001B28B8">
        <w:t xml:space="preserve"> a </w:t>
      </w:r>
      <w:r>
        <w:t>vymahatelné, měly by být monitorovány</w:t>
      </w:r>
      <w:r w:rsidR="001B28B8">
        <w:t xml:space="preserve"> v </w:t>
      </w:r>
      <w:r>
        <w:t>celém dodavatelském řetězci</w:t>
      </w:r>
      <w:r w:rsidR="001B28B8">
        <w:t xml:space="preserve"> a </w:t>
      </w:r>
      <w:r>
        <w:t>měly by se vztahovat stejně na evropské</w:t>
      </w:r>
      <w:r w:rsidR="001B28B8">
        <w:t xml:space="preserve"> i </w:t>
      </w:r>
      <w:r>
        <w:t>dovážené suroviny.</w:t>
      </w:r>
      <w:r w:rsidR="001B28B8">
        <w:t xml:space="preserve"> V </w:t>
      </w:r>
      <w:r>
        <w:t xml:space="preserve">celosvětovém rámci je pak důležité, abychom se </w:t>
      </w:r>
      <w:r>
        <w:rPr>
          <w:b/>
        </w:rPr>
        <w:t>vypořádali</w:t>
      </w:r>
      <w:r w:rsidR="001B28B8">
        <w:rPr>
          <w:b/>
        </w:rPr>
        <w:t xml:space="preserve"> s </w:t>
      </w:r>
      <w:r>
        <w:rPr>
          <w:b/>
        </w:rPr>
        <w:t>nekalou konkurencí</w:t>
      </w:r>
      <w:r w:rsidR="001B28B8">
        <w:rPr>
          <w:b/>
        </w:rPr>
        <w:t xml:space="preserve"> v </w:t>
      </w:r>
      <w:r>
        <w:rPr>
          <w:b/>
        </w:rPr>
        <w:t>podobě cenově podhodnocených</w:t>
      </w:r>
      <w:r>
        <w:t xml:space="preserve"> (často dotovaných) </w:t>
      </w:r>
      <w:r>
        <w:rPr>
          <w:b/>
        </w:rPr>
        <w:t>fosilních vstupních surovin</w:t>
      </w:r>
      <w:r>
        <w:t>, jejichž cena nezohledňuje externality získávání, využívání</w:t>
      </w:r>
      <w:r w:rsidR="001B28B8">
        <w:t xml:space="preserve"> a </w:t>
      </w:r>
      <w:r>
        <w:t>vyčerpání zdrojů</w:t>
      </w:r>
      <w:r w:rsidR="007C63A1">
        <w:t>.</w:t>
      </w:r>
    </w:p>
    <w:p w14:paraId="2628EFBA" w14:textId="77777777" w:rsidR="0039093C" w:rsidRPr="006D7386" w:rsidRDefault="0039093C" w:rsidP="006D7386">
      <w:pPr>
        <w:overflowPunct w:val="0"/>
        <w:autoSpaceDE w:val="0"/>
        <w:autoSpaceDN w:val="0"/>
        <w:adjustRightInd w:val="0"/>
        <w:spacing w:line="240" w:lineRule="auto"/>
        <w:textAlignment w:val="baseline"/>
        <w:outlineLvl w:val="1"/>
        <w:rPr>
          <w:sz w:val="16"/>
          <w:szCs w:val="16"/>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96"/>
      </w:tblGrid>
      <w:tr w:rsidR="0039093C" w:rsidRPr="0039093C" w14:paraId="15A4E0A1" w14:textId="77777777" w:rsidTr="00FB4D8E">
        <w:trPr>
          <w:trHeight w:val="300"/>
        </w:trPr>
        <w:tc>
          <w:tcPr>
            <w:tcW w:w="1526" w:type="dxa"/>
          </w:tcPr>
          <w:p w14:paraId="0B8186B8" w14:textId="77777777" w:rsidR="0039093C" w:rsidRPr="004C6742" w:rsidRDefault="0039093C" w:rsidP="006D7386">
            <w:pPr>
              <w:overflowPunct w:val="0"/>
              <w:autoSpaceDE w:val="0"/>
              <w:autoSpaceDN w:val="0"/>
              <w:adjustRightInd w:val="0"/>
              <w:spacing w:line="240" w:lineRule="auto"/>
              <w:textAlignment w:val="baseline"/>
              <w:outlineLvl w:val="1"/>
              <w:rPr>
                <w:i/>
                <w:iCs/>
                <w:sz w:val="20"/>
                <w:szCs w:val="20"/>
              </w:rPr>
            </w:pPr>
            <w:r>
              <w:rPr>
                <w:b/>
                <w:i/>
                <w:sz w:val="20"/>
              </w:rPr>
              <w:t>Kontakt:</w:t>
            </w:r>
          </w:p>
        </w:tc>
        <w:tc>
          <w:tcPr>
            <w:tcW w:w="7796" w:type="dxa"/>
          </w:tcPr>
          <w:p w14:paraId="0319F3A6" w14:textId="11113606" w:rsidR="0039093C" w:rsidRPr="004C6742" w:rsidRDefault="0039093C" w:rsidP="006D7386">
            <w:pPr>
              <w:overflowPunct w:val="0"/>
              <w:autoSpaceDE w:val="0"/>
              <w:autoSpaceDN w:val="0"/>
              <w:adjustRightInd w:val="0"/>
              <w:spacing w:line="240" w:lineRule="auto"/>
              <w:textAlignment w:val="baseline"/>
              <w:outlineLvl w:val="1"/>
              <w:rPr>
                <w:i/>
                <w:sz w:val="20"/>
                <w:szCs w:val="20"/>
              </w:rPr>
            </w:pPr>
            <w:r>
              <w:rPr>
                <w:sz w:val="20"/>
              </w:rPr>
              <w:t>Anna Cameron</w:t>
            </w:r>
          </w:p>
        </w:tc>
      </w:tr>
      <w:tr w:rsidR="0039093C" w:rsidRPr="0039093C" w14:paraId="44DCA9C5" w14:textId="77777777" w:rsidTr="00FB4D8E">
        <w:trPr>
          <w:trHeight w:val="300"/>
        </w:trPr>
        <w:tc>
          <w:tcPr>
            <w:tcW w:w="1526" w:type="dxa"/>
          </w:tcPr>
          <w:p w14:paraId="714A323E" w14:textId="77777777" w:rsidR="0039093C" w:rsidRPr="004C6742" w:rsidRDefault="0039093C" w:rsidP="006D7386">
            <w:pPr>
              <w:overflowPunct w:val="0"/>
              <w:autoSpaceDE w:val="0"/>
              <w:autoSpaceDN w:val="0"/>
              <w:adjustRightInd w:val="0"/>
              <w:spacing w:line="240" w:lineRule="auto"/>
              <w:textAlignment w:val="baseline"/>
              <w:outlineLvl w:val="1"/>
              <w:rPr>
                <w:i/>
                <w:sz w:val="20"/>
                <w:szCs w:val="20"/>
              </w:rPr>
            </w:pPr>
            <w:r>
              <w:rPr>
                <w:i/>
                <w:sz w:val="20"/>
              </w:rPr>
              <w:t>Tel.</w:t>
            </w:r>
          </w:p>
        </w:tc>
        <w:tc>
          <w:tcPr>
            <w:tcW w:w="7796" w:type="dxa"/>
          </w:tcPr>
          <w:p w14:paraId="46765661" w14:textId="77777777" w:rsidR="0039093C" w:rsidRPr="004C6742" w:rsidRDefault="0039093C" w:rsidP="006D7386">
            <w:pPr>
              <w:overflowPunct w:val="0"/>
              <w:autoSpaceDE w:val="0"/>
              <w:autoSpaceDN w:val="0"/>
              <w:adjustRightInd w:val="0"/>
              <w:spacing w:line="240" w:lineRule="auto"/>
              <w:textAlignment w:val="baseline"/>
              <w:outlineLvl w:val="1"/>
              <w:rPr>
                <w:i/>
                <w:iCs/>
                <w:sz w:val="20"/>
                <w:szCs w:val="20"/>
              </w:rPr>
            </w:pPr>
            <w:r>
              <w:rPr>
                <w:i/>
                <w:sz w:val="20"/>
              </w:rPr>
              <w:t>+32 25468228</w:t>
            </w:r>
          </w:p>
        </w:tc>
      </w:tr>
      <w:tr w:rsidR="0039093C" w:rsidRPr="0039093C" w14:paraId="3E645883" w14:textId="77777777" w:rsidTr="00FB4D8E">
        <w:trPr>
          <w:trHeight w:val="300"/>
        </w:trPr>
        <w:tc>
          <w:tcPr>
            <w:tcW w:w="1526" w:type="dxa"/>
          </w:tcPr>
          <w:p w14:paraId="6069BEEF" w14:textId="77777777" w:rsidR="0039093C" w:rsidRPr="004C6742" w:rsidRDefault="0039093C" w:rsidP="006D7386">
            <w:pPr>
              <w:overflowPunct w:val="0"/>
              <w:autoSpaceDE w:val="0"/>
              <w:autoSpaceDN w:val="0"/>
              <w:adjustRightInd w:val="0"/>
              <w:spacing w:line="240" w:lineRule="auto"/>
              <w:textAlignment w:val="baseline"/>
              <w:outlineLvl w:val="1"/>
              <w:rPr>
                <w:i/>
                <w:sz w:val="20"/>
                <w:szCs w:val="20"/>
              </w:rPr>
            </w:pPr>
            <w:r>
              <w:rPr>
                <w:i/>
                <w:sz w:val="20"/>
              </w:rPr>
              <w:t>E-mail:</w:t>
            </w:r>
          </w:p>
        </w:tc>
        <w:tc>
          <w:tcPr>
            <w:tcW w:w="7796" w:type="dxa"/>
          </w:tcPr>
          <w:p w14:paraId="53CEC4E5" w14:textId="77777777" w:rsidR="0039093C" w:rsidRPr="004C6742" w:rsidRDefault="00123016" w:rsidP="006D7386">
            <w:pPr>
              <w:overflowPunct w:val="0"/>
              <w:autoSpaceDE w:val="0"/>
              <w:autoSpaceDN w:val="0"/>
              <w:adjustRightInd w:val="0"/>
              <w:spacing w:line="240" w:lineRule="auto"/>
              <w:textAlignment w:val="baseline"/>
              <w:outlineLvl w:val="1"/>
              <w:rPr>
                <w:i/>
                <w:iCs/>
                <w:sz w:val="20"/>
                <w:szCs w:val="20"/>
                <w:u w:val="single"/>
              </w:rPr>
            </w:pPr>
            <w:hyperlink r:id="rId55" w:history="1">
              <w:r w:rsidR="0039093C">
                <w:rPr>
                  <w:rStyle w:val="Hyperlink"/>
                  <w:i/>
                  <w:sz w:val="20"/>
                </w:rPr>
                <w:t>Anna.Cameron@eesc.europa.eu</w:t>
              </w:r>
            </w:hyperlink>
          </w:p>
        </w:tc>
      </w:tr>
    </w:tbl>
    <w:p w14:paraId="104E4E43" w14:textId="77777777" w:rsidR="007D7A17" w:rsidRDefault="007D7A17">
      <w:pPr>
        <w:spacing w:after="160" w:line="259" w:lineRule="auto"/>
        <w:jc w:val="left"/>
        <w:rPr>
          <w:szCs w:val="20"/>
        </w:rPr>
      </w:pPr>
      <w:r>
        <w:br w:type="page"/>
      </w:r>
    </w:p>
    <w:p w14:paraId="48D068B9" w14:textId="6C4B5134" w:rsidR="00403683" w:rsidRPr="00793943"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56" w:history="1">
        <w:r w:rsidR="00A067F3" w:rsidRPr="00793943">
          <w:rPr>
            <w:rStyle w:val="Hyperlink"/>
            <w:b/>
            <w:bCs/>
            <w:i/>
            <w:iCs/>
            <w:sz w:val="28"/>
            <w:szCs w:val="28"/>
          </w:rPr>
          <w:t>Souhrnný balíček zjednodušujících opatření</w:t>
        </w:r>
        <w:r w:rsidR="001B28B8" w:rsidRPr="00793943">
          <w:rPr>
            <w:rStyle w:val="Hyperlink"/>
            <w:b/>
            <w:bCs/>
            <w:i/>
            <w:iCs/>
            <w:sz w:val="28"/>
            <w:szCs w:val="28"/>
          </w:rPr>
          <w:t xml:space="preserve"> v </w:t>
        </w:r>
        <w:r w:rsidR="00A067F3" w:rsidRPr="00793943">
          <w:rPr>
            <w:rStyle w:val="Hyperlink"/>
            <w:b/>
            <w:bCs/>
            <w:i/>
            <w:iCs/>
            <w:sz w:val="28"/>
            <w:szCs w:val="28"/>
          </w:rPr>
          <w:t>oblasti potravin</w:t>
        </w:r>
        <w:r w:rsidR="001B28B8" w:rsidRPr="00793943">
          <w:rPr>
            <w:rStyle w:val="Hyperlink"/>
            <w:b/>
            <w:bCs/>
            <w:i/>
            <w:iCs/>
            <w:sz w:val="28"/>
            <w:szCs w:val="28"/>
          </w:rPr>
          <w:t xml:space="preserve"> a </w:t>
        </w:r>
        <w:r w:rsidR="00A067F3" w:rsidRPr="00793943">
          <w:rPr>
            <w:rStyle w:val="Hyperlink"/>
            <w:b/>
            <w:bCs/>
            <w:i/>
            <w:iCs/>
            <w:sz w:val="28"/>
            <w:szCs w:val="28"/>
          </w:rPr>
          <w:t>krmiv</w:t>
        </w:r>
      </w:hyperlink>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Zpravodaj</w:t>
            </w:r>
          </w:p>
          <w:p w14:paraId="1DA05D33" w14:textId="2AF3650A"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Spolu</w:t>
            </w:r>
            <w:r w:rsidR="00986FC0">
              <w:rPr>
                <w:b/>
              </w:rPr>
              <w:t>zpravodaj</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(Zaměstnavatelé –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(Organizace občanské společnosti – IE)</w:t>
            </w:r>
          </w:p>
          <w:p w14:paraId="037A195D" w14:textId="77777777" w:rsidR="00F10208" w:rsidRPr="00FA206D" w:rsidRDefault="00F10208" w:rsidP="00403683">
            <w:pPr>
              <w:tabs>
                <w:tab w:val="center" w:pos="284"/>
              </w:tabs>
              <w:overflowPunct w:val="0"/>
              <w:autoSpaceDE w:val="0"/>
              <w:autoSpaceDN w:val="0"/>
              <w:adjustRightInd w:val="0"/>
              <w:ind w:left="266" w:right="-3091" w:hanging="266"/>
              <w:textAlignment w:val="baseline"/>
              <w:rPr>
                <w:sz w:val="14"/>
                <w:szCs w:val="14"/>
              </w:rPr>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Odkazy</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COM(2025)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Hlavní body</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EHSV:</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6DD99402" w14:textId="49963A77" w:rsidR="00FA206D" w:rsidRDefault="00FA206D" w:rsidP="008D7B21">
      <w:pPr>
        <w:pStyle w:val="Heading2"/>
        <w:numPr>
          <w:ilvl w:val="0"/>
          <w:numId w:val="33"/>
        </w:numPr>
      </w:pPr>
      <w:r>
        <w:t>vítá celkové vyznění balíčku zjednodušujících opatření</w:t>
      </w:r>
      <w:r w:rsidR="001B28B8">
        <w:t xml:space="preserve"> v </w:t>
      </w:r>
      <w:r>
        <w:t>oblasti potravin</w:t>
      </w:r>
      <w:r w:rsidR="001B28B8">
        <w:t xml:space="preserve"> a </w:t>
      </w:r>
      <w:r>
        <w:t>krmiv, který by měl snížit zbytečnou administrativní zátěž</w:t>
      </w:r>
      <w:r w:rsidR="001B28B8">
        <w:t xml:space="preserve"> a </w:t>
      </w:r>
      <w:r>
        <w:t>náklady, zdůrazňuje však, že žádné zjednodušení nesmí ohrozit vysoké standardy EU</w:t>
      </w:r>
      <w:r w:rsidR="001B28B8">
        <w:t xml:space="preserve"> v </w:t>
      </w:r>
      <w:r>
        <w:t>oblasti bezpečnosti potravin</w:t>
      </w:r>
      <w:r w:rsidR="001B28B8">
        <w:t xml:space="preserve"> a </w:t>
      </w:r>
      <w:r>
        <w:t>krmiv, ochrany životního prostředí</w:t>
      </w:r>
      <w:r w:rsidR="001B28B8">
        <w:t xml:space="preserve"> a </w:t>
      </w:r>
      <w:r>
        <w:t>že by bylo prospěšné další zjednodušení;</w:t>
      </w:r>
    </w:p>
    <w:p w14:paraId="4F0FFDAC" w14:textId="7BCBE07D" w:rsidR="00FA206D" w:rsidRDefault="00FA206D" w:rsidP="008D7B21">
      <w:pPr>
        <w:pStyle w:val="Heading2"/>
        <w:numPr>
          <w:ilvl w:val="0"/>
          <w:numId w:val="33"/>
        </w:numPr>
      </w:pPr>
      <w:r>
        <w:t>zdůrazňuje význam kvality právních předpisů</w:t>
      </w:r>
      <w:r w:rsidR="001B28B8">
        <w:t xml:space="preserve"> a </w:t>
      </w:r>
      <w:r>
        <w:t>potřebu dále upevnit úlohu občanské společnosti</w:t>
      </w:r>
      <w:r w:rsidR="001B28B8">
        <w:t xml:space="preserve"> v </w:t>
      </w:r>
      <w:r>
        <w:t>rámci monitorování</w:t>
      </w:r>
      <w:r w:rsidR="001B28B8">
        <w:t xml:space="preserve"> a </w:t>
      </w:r>
      <w:r>
        <w:t>prosazování právních předpisů;</w:t>
      </w:r>
    </w:p>
    <w:p w14:paraId="33838D85" w14:textId="3F4CCFAE" w:rsidR="00FA206D" w:rsidRDefault="00FA206D" w:rsidP="008D7B21">
      <w:pPr>
        <w:pStyle w:val="Heading2"/>
        <w:numPr>
          <w:ilvl w:val="0"/>
          <w:numId w:val="33"/>
        </w:numPr>
      </w:pPr>
      <w:r>
        <w:t>vítá sice návrh, aby bylo usnadněno větší využívání dronů</w:t>
      </w:r>
      <w:r w:rsidR="001B28B8">
        <w:t xml:space="preserve"> k </w:t>
      </w:r>
      <w:r>
        <w:t>provádění postřiku pesticidy, zároveň však zdůrazňuje, že je nutné zajistit řádnou ochranu</w:t>
      </w:r>
      <w:r w:rsidR="001B28B8">
        <w:t xml:space="preserve"> a </w:t>
      </w:r>
      <w:r>
        <w:t>že je nutné chránit zdraví</w:t>
      </w:r>
      <w:r w:rsidR="001B28B8">
        <w:t xml:space="preserve"> a </w:t>
      </w:r>
      <w:r>
        <w:t>životní prostředí obyvatel venkova, kteří se nevěnují zemědělství,</w:t>
      </w:r>
      <w:r w:rsidR="001B28B8">
        <w:t xml:space="preserve"> a </w:t>
      </w:r>
      <w:r>
        <w:t xml:space="preserve">všech pracovníků; </w:t>
      </w:r>
    </w:p>
    <w:p w14:paraId="58D8FF95" w14:textId="01C95468" w:rsidR="00FA206D" w:rsidRPr="00F75C85" w:rsidRDefault="00FA206D" w:rsidP="008D7B21">
      <w:pPr>
        <w:pStyle w:val="Heading2"/>
        <w:numPr>
          <w:ilvl w:val="0"/>
          <w:numId w:val="33"/>
        </w:numPr>
      </w:pPr>
      <w:r>
        <w:t>má za to, že Evropský úřad pro bezpečnost potravin (EFSA) by měl mít právo upozornit na potřebu cílených opětovných posouzení účinných látek schválených bez časového omezení</w:t>
      </w:r>
      <w:r w:rsidR="001B28B8">
        <w:t xml:space="preserve"> a </w:t>
      </w:r>
      <w:r>
        <w:t>že by měl být</w:t>
      </w:r>
      <w:r w:rsidR="001B28B8">
        <w:t xml:space="preserve"> v </w:t>
      </w:r>
      <w:r>
        <w:t>případě veškerých odkladných lhůt žádán</w:t>
      </w:r>
      <w:r w:rsidR="001B28B8">
        <w:t xml:space="preserve"> o </w:t>
      </w:r>
      <w:r>
        <w:t xml:space="preserve">stanovisko ohledně jejich náležitosti; </w:t>
      </w:r>
    </w:p>
    <w:p w14:paraId="17D1CFEC" w14:textId="355567C6" w:rsidR="00FA206D" w:rsidRPr="00F75C85" w:rsidRDefault="00FA206D" w:rsidP="008D7B21">
      <w:pPr>
        <w:pStyle w:val="Heading2"/>
        <w:numPr>
          <w:ilvl w:val="0"/>
          <w:numId w:val="33"/>
        </w:numPr>
        <w:shd w:val="clear" w:color="auto" w:fill="FFFFFF" w:themeFill="background1"/>
      </w:pPr>
      <w:r>
        <w:t>hodnotí kladně urychlení</w:t>
      </w:r>
      <w:r w:rsidR="001B28B8">
        <w:t xml:space="preserve"> a </w:t>
      </w:r>
      <w:r>
        <w:t xml:space="preserve">zjednodušení povolovacích postupů pro přípravky biologické ochrany; </w:t>
      </w:r>
    </w:p>
    <w:p w14:paraId="67224D93" w14:textId="15CAC3B2" w:rsidR="00FA206D" w:rsidRPr="00F75C85" w:rsidRDefault="00FA206D" w:rsidP="008D7B21">
      <w:pPr>
        <w:pStyle w:val="Heading2"/>
        <w:numPr>
          <w:ilvl w:val="0"/>
          <w:numId w:val="33"/>
        </w:numPr>
        <w:shd w:val="clear" w:color="auto" w:fill="FFFFFF" w:themeFill="background1"/>
      </w:pPr>
      <w:r>
        <w:t>vyzývá</w:t>
      </w:r>
      <w:r w:rsidR="001B28B8">
        <w:t xml:space="preserve"> k </w:t>
      </w:r>
      <w:r>
        <w:t>tomu, aby byly odkladné lhůty harmonizovány napříč EU,</w:t>
      </w:r>
      <w:r w:rsidR="001B28B8">
        <w:t xml:space="preserve"> a </w:t>
      </w:r>
      <w:r>
        <w:t>to na nejvyšší úrovni ochrany,</w:t>
      </w:r>
      <w:r w:rsidR="001B28B8">
        <w:t xml:space="preserve"> a </w:t>
      </w:r>
      <w:r>
        <w:t>aby bylo zjednodušeno vzájemné uznávání;</w:t>
      </w:r>
    </w:p>
    <w:p w14:paraId="2A06ED20" w14:textId="5BF9DDC8" w:rsidR="00FA206D" w:rsidRDefault="00FA206D" w:rsidP="008D7B21">
      <w:pPr>
        <w:pStyle w:val="Heading2"/>
        <w:numPr>
          <w:ilvl w:val="0"/>
          <w:numId w:val="33"/>
        </w:numPr>
        <w:shd w:val="clear" w:color="auto" w:fill="FFFFFF" w:themeFill="background1"/>
      </w:pPr>
      <w:r>
        <w:t>podporuje povolování přípravků na ochranu rostlin obsahujících účinné látky schválené EU pro ošetření osiva určeného na vývoz za předpokladu, že takové použití splňuje regulační požadavky platné</w:t>
      </w:r>
      <w:r w:rsidR="001B28B8">
        <w:t xml:space="preserve"> v </w:t>
      </w:r>
      <w:r>
        <w:t>zemi určení;</w:t>
      </w:r>
    </w:p>
    <w:p w14:paraId="66C3AD9A" w14:textId="5848B10F" w:rsidR="00FA206D" w:rsidRDefault="00FA206D" w:rsidP="008D7B21">
      <w:pPr>
        <w:pStyle w:val="Heading2"/>
        <w:numPr>
          <w:ilvl w:val="0"/>
          <w:numId w:val="33"/>
        </w:numPr>
      </w:pPr>
      <w:r>
        <w:t>navrhuje, aby soukromé sanitární</w:t>
      </w:r>
      <w:r w:rsidR="001B28B8">
        <w:t xml:space="preserve"> a </w:t>
      </w:r>
      <w:r>
        <w:t>certifikační analýzy, jež jsou prováděny podniky, byly uznány jako oficiální</w:t>
      </w:r>
      <w:r w:rsidR="001B28B8">
        <w:t xml:space="preserve"> s </w:t>
      </w:r>
      <w:r>
        <w:t>cílem zjednodušit postupy, jimiž se řídí vývoz do zemí mimo EU. Aby bylo možné tyto analýzy měly by současně příslušné úřady zavést přísnější kontroly</w:t>
      </w:r>
      <w:r w:rsidR="001B28B8">
        <w:t xml:space="preserve"> a </w:t>
      </w:r>
      <w:r>
        <w:t>pokuty;</w:t>
      </w:r>
    </w:p>
    <w:p w14:paraId="7BE7E9FF" w14:textId="5D24F8D3" w:rsidR="00FA206D" w:rsidRDefault="00FA206D" w:rsidP="008D7B21">
      <w:pPr>
        <w:pStyle w:val="Heading2"/>
        <w:numPr>
          <w:ilvl w:val="0"/>
          <w:numId w:val="33"/>
        </w:numPr>
      </w:pPr>
      <w:r>
        <w:t>uznává sice, že je důležité zajistit rovnocennost norem, je však znepokojen zrušením přípustných odchylek pro dovoz některých látek, které</w:t>
      </w:r>
      <w:r w:rsidR="001B28B8">
        <w:t xml:space="preserve"> v </w:t>
      </w:r>
      <w:r>
        <w:t>EU nejsou povoleny,</w:t>
      </w:r>
      <w:r w:rsidR="001B28B8">
        <w:t xml:space="preserve"> a </w:t>
      </w:r>
      <w:r>
        <w:t>domnívá se, že</w:t>
      </w:r>
      <w:r w:rsidR="001B28B8">
        <w:t xml:space="preserve"> v </w:t>
      </w:r>
      <w:r>
        <w:t>případě takovýchto zásadních změn je –</w:t>
      </w:r>
      <w:r w:rsidR="001B28B8">
        <w:t xml:space="preserve"> v </w:t>
      </w:r>
      <w:r>
        <w:t>souladu se zásadou obezřetnosti</w:t>
      </w:r>
      <w:r w:rsidR="001B28B8">
        <w:t xml:space="preserve"> a s </w:t>
      </w:r>
      <w:r>
        <w:t>ohledem na možné důsledky pro všechny subjekty</w:t>
      </w:r>
      <w:r w:rsidR="001B28B8">
        <w:t xml:space="preserve"> v </w:t>
      </w:r>
      <w:r>
        <w:t>řetězci – nezbytné provést posouzení dopadů;</w:t>
      </w:r>
    </w:p>
    <w:p w14:paraId="0B08E1E9" w14:textId="369EF83D" w:rsidR="00FA206D" w:rsidRDefault="00FA206D" w:rsidP="008D7B21">
      <w:pPr>
        <w:pStyle w:val="Heading2"/>
        <w:numPr>
          <w:ilvl w:val="0"/>
          <w:numId w:val="33"/>
        </w:numPr>
      </w:pPr>
      <w:r>
        <w:t>se domnívá, že by mělo být povoleno, aby látky biologické ochrany využívaly těžké kovy, jako je měď, za předpokladu, že bude ochráněno zdraví lidí</w:t>
      </w:r>
      <w:r w:rsidR="001B28B8">
        <w:t xml:space="preserve"> a </w:t>
      </w:r>
      <w:r>
        <w:t>půd</w:t>
      </w:r>
      <w:r w:rsidR="001B28B8">
        <w:t xml:space="preserve"> a </w:t>
      </w:r>
      <w:r>
        <w:t>rovněž biologická rozmanitost;</w:t>
      </w:r>
    </w:p>
    <w:p w14:paraId="6ECF6E4D" w14:textId="499238F1" w:rsidR="00FA206D" w:rsidRDefault="00FA206D" w:rsidP="008D7B21">
      <w:pPr>
        <w:pStyle w:val="Heading2"/>
        <w:numPr>
          <w:ilvl w:val="0"/>
          <w:numId w:val="33"/>
        </w:numPr>
      </w:pPr>
      <w:r>
        <w:t>je toho názoru, že před odnětím povolení týkajícího se účinné látky, která má být nahrazena, musí být dostupná použitelná alternativa</w:t>
      </w:r>
      <w:r w:rsidR="001B28B8">
        <w:t xml:space="preserve"> s </w:t>
      </w:r>
      <w:r>
        <w:t>rovnocennou mírou účinnosti;</w:t>
      </w:r>
    </w:p>
    <w:p w14:paraId="26C764D4" w14:textId="0E5BCA3A" w:rsidR="00FA206D" w:rsidRDefault="00FA206D" w:rsidP="008D7B21">
      <w:pPr>
        <w:pStyle w:val="Heading2"/>
        <w:numPr>
          <w:ilvl w:val="0"/>
          <w:numId w:val="33"/>
        </w:numPr>
      </w:pPr>
      <w:r>
        <w:t>domnívá se, že pokud jde</w:t>
      </w:r>
      <w:r w:rsidR="001B28B8">
        <w:t xml:space="preserve"> o </w:t>
      </w:r>
      <w:r>
        <w:t>nové potraviny, musí EU dodržovat nejvyšší standardy transparentnosti</w:t>
      </w:r>
      <w:r w:rsidR="001B28B8">
        <w:t xml:space="preserve"> a </w:t>
      </w:r>
      <w:r>
        <w:t>bezpečnosti;</w:t>
      </w:r>
    </w:p>
    <w:p w14:paraId="47E9B68C" w14:textId="528E6BE6" w:rsidR="00403683" w:rsidRPr="00403683" w:rsidRDefault="00FA206D" w:rsidP="008D7B21">
      <w:pPr>
        <w:numPr>
          <w:ilvl w:val="1"/>
          <w:numId w:val="25"/>
        </w:numPr>
        <w:overflowPunct w:val="0"/>
        <w:autoSpaceDE w:val="0"/>
        <w:autoSpaceDN w:val="0"/>
        <w:adjustRightInd w:val="0"/>
        <w:ind w:left="567" w:hanging="567"/>
        <w:textAlignment w:val="baseline"/>
        <w:outlineLvl w:val="1"/>
        <w:rPr>
          <w:szCs w:val="20"/>
        </w:rPr>
      </w:pPr>
      <w:r>
        <w:t>vyzývá</w:t>
      </w:r>
      <w:r w:rsidR="001B28B8">
        <w:t xml:space="preserve"> k </w:t>
      </w:r>
      <w:r>
        <w:t>harmonizaci označování osiva, která by měla zahrnout příslušná preventivní opatření</w:t>
      </w:r>
      <w:r w:rsidR="001B28B8">
        <w:t xml:space="preserve"> a </w:t>
      </w:r>
      <w:r>
        <w:t>opatření</w:t>
      </w:r>
      <w:r w:rsidR="001B28B8">
        <w:t xml:space="preserve"> k </w:t>
      </w:r>
      <w:r>
        <w:t>řízení rizik.</w:t>
      </w:r>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764"/>
      </w:tblGrid>
      <w:tr w:rsidR="00403683" w:rsidRPr="00403683" w14:paraId="70675006" w14:textId="77777777" w:rsidTr="00FB4D8E">
        <w:tc>
          <w:tcPr>
            <w:tcW w:w="821" w:type="pct"/>
          </w:tcPr>
          <w:p w14:paraId="47BC0F37" w14:textId="77777777" w:rsidR="00403683" w:rsidRPr="00403683" w:rsidRDefault="00403683" w:rsidP="00403683">
            <w:pPr>
              <w:overflowPunct w:val="0"/>
              <w:autoSpaceDE w:val="0"/>
              <w:autoSpaceDN w:val="0"/>
              <w:adjustRightInd w:val="0"/>
              <w:textAlignment w:val="baseline"/>
              <w:rPr>
                <w:i/>
              </w:rPr>
            </w:pPr>
            <w:r>
              <w:rPr>
                <w:b/>
                <w:i/>
              </w:rPr>
              <w:t>Kontakt:</w:t>
            </w:r>
          </w:p>
        </w:tc>
        <w:tc>
          <w:tcPr>
            <w:tcW w:w="4179"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FB4D8E">
        <w:tc>
          <w:tcPr>
            <w:tcW w:w="821" w:type="pct"/>
          </w:tcPr>
          <w:p w14:paraId="4675EE24" w14:textId="77777777" w:rsidR="00403683" w:rsidRPr="00403683" w:rsidRDefault="00403683" w:rsidP="00403683">
            <w:pPr>
              <w:overflowPunct w:val="0"/>
              <w:autoSpaceDE w:val="0"/>
              <w:autoSpaceDN w:val="0"/>
              <w:adjustRightInd w:val="0"/>
              <w:textAlignment w:val="baseline"/>
              <w:rPr>
                <w:i/>
              </w:rPr>
            </w:pPr>
            <w:r>
              <w:rPr>
                <w:i/>
              </w:rPr>
              <w:t>Tel.</w:t>
            </w:r>
          </w:p>
        </w:tc>
        <w:tc>
          <w:tcPr>
            <w:tcW w:w="4179"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FB4D8E">
        <w:tc>
          <w:tcPr>
            <w:tcW w:w="821" w:type="pct"/>
          </w:tcPr>
          <w:p w14:paraId="0D398F1B" w14:textId="77777777" w:rsidR="00403683" w:rsidRPr="00403683" w:rsidRDefault="00403683" w:rsidP="00403683">
            <w:pPr>
              <w:overflowPunct w:val="0"/>
              <w:autoSpaceDE w:val="0"/>
              <w:autoSpaceDN w:val="0"/>
              <w:adjustRightInd w:val="0"/>
              <w:textAlignment w:val="baseline"/>
              <w:rPr>
                <w:i/>
              </w:rPr>
            </w:pPr>
            <w:r>
              <w:rPr>
                <w:i/>
              </w:rPr>
              <w:t>E-mail:</w:t>
            </w:r>
          </w:p>
        </w:tc>
        <w:tc>
          <w:tcPr>
            <w:tcW w:w="4179" w:type="pct"/>
          </w:tcPr>
          <w:p w14:paraId="7433A851" w14:textId="1B66BCC2" w:rsidR="00CA6EC9" w:rsidRPr="00403683" w:rsidRDefault="00123016" w:rsidP="00403683">
            <w:pPr>
              <w:overflowPunct w:val="0"/>
              <w:autoSpaceDE w:val="0"/>
              <w:autoSpaceDN w:val="0"/>
              <w:adjustRightInd w:val="0"/>
              <w:textAlignment w:val="baseline"/>
              <w:rPr>
                <w:i/>
              </w:rPr>
            </w:pPr>
            <w:hyperlink r:id="rId57" w:history="1">
              <w:r w:rsidR="00E60ACE">
                <w:rPr>
                  <w:i/>
                  <w:color w:val="0000FF"/>
                  <w:u w:val="single"/>
                </w:rPr>
                <w:t>Martine.Delanoy@eesc.europa.eu</w:t>
              </w:r>
            </w:hyperlink>
            <w:r w:rsidR="00E60ACE">
              <w:rPr>
                <w:i/>
              </w:rPr>
              <w:t xml:space="preserve"> </w:t>
            </w: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05FC0DC7" w:rsidR="00A230F1" w:rsidRPr="00793943" w:rsidRDefault="007B6F06" w:rsidP="00793943">
      <w:pPr>
        <w:pStyle w:val="ListParagraph"/>
        <w:numPr>
          <w:ilvl w:val="0"/>
          <w:numId w:val="8"/>
        </w:numPr>
        <w:ind w:left="567" w:hanging="567"/>
        <w:rPr>
          <w:b/>
          <w:bCs/>
          <w:i/>
          <w:iCs/>
          <w:sz w:val="28"/>
          <w:szCs w:val="28"/>
        </w:rPr>
      </w:pPr>
      <w:r>
        <w:br w:type="page"/>
      </w:r>
      <w:hyperlink r:id="rId58" w:history="1">
        <w:r w:rsidRPr="00793943">
          <w:rPr>
            <w:rStyle w:val="Hyperlink"/>
            <w:b/>
            <w:bCs/>
            <w:i/>
            <w:iCs/>
            <w:sz w:val="28"/>
            <w:szCs w:val="28"/>
          </w:rPr>
          <w:t>Rovnocennost inspekcí</w:t>
        </w:r>
        <w:r w:rsidR="001B28B8" w:rsidRPr="00793943">
          <w:rPr>
            <w:rStyle w:val="Hyperlink"/>
            <w:b/>
            <w:bCs/>
            <w:i/>
            <w:iCs/>
            <w:sz w:val="28"/>
            <w:szCs w:val="28"/>
          </w:rPr>
          <w:t xml:space="preserve"> v </w:t>
        </w:r>
        <w:r w:rsidRPr="00793943">
          <w:rPr>
            <w:rStyle w:val="Hyperlink"/>
            <w:b/>
            <w:bCs/>
            <w:i/>
            <w:iCs/>
            <w:sz w:val="28"/>
            <w:szCs w:val="28"/>
          </w:rPr>
          <w:t>terénu prováděných ve třetích zemích</w:t>
        </w:r>
        <w:r w:rsidR="001B28B8" w:rsidRPr="00793943">
          <w:rPr>
            <w:rStyle w:val="Hyperlink"/>
            <w:b/>
            <w:bCs/>
            <w:i/>
            <w:iCs/>
            <w:sz w:val="28"/>
            <w:szCs w:val="28"/>
          </w:rPr>
          <w:t xml:space="preserve"> u </w:t>
        </w:r>
        <w:r w:rsidRPr="00793943">
          <w:rPr>
            <w:rStyle w:val="Hyperlink"/>
            <w:b/>
            <w:bCs/>
            <w:i/>
            <w:iCs/>
            <w:sz w:val="28"/>
            <w:szCs w:val="28"/>
          </w:rPr>
          <w:t>množitelského porostu pro produkci osiva</w:t>
        </w:r>
        <w:r w:rsidR="001B28B8" w:rsidRPr="00793943">
          <w:rPr>
            <w:rStyle w:val="Hyperlink"/>
            <w:b/>
            <w:bCs/>
            <w:i/>
            <w:iCs/>
            <w:sz w:val="28"/>
            <w:szCs w:val="28"/>
          </w:rPr>
          <w:t xml:space="preserve"> a </w:t>
        </w:r>
        <w:r w:rsidRPr="00793943">
          <w:rPr>
            <w:rStyle w:val="Hyperlink"/>
            <w:b/>
            <w:bCs/>
            <w:i/>
            <w:iCs/>
            <w:sz w:val="28"/>
            <w:szCs w:val="28"/>
          </w:rPr>
          <w:t>rovnocennost osiva vyprodukovaného ve třetích zemích</w:t>
        </w:r>
      </w:hyperlink>
      <w:r w:rsidRPr="00793943">
        <w:rPr>
          <w:b/>
          <w:bCs/>
          <w:i/>
          <w:iCs/>
          <w:sz w:val="28"/>
          <w:szCs w:val="28"/>
        </w:rPr>
        <w:t xml:space="preserve"> </w:t>
      </w:r>
    </w:p>
    <w:p w14:paraId="32AB9036" w14:textId="77777777" w:rsidR="00A230F1" w:rsidRPr="00A96235" w:rsidRDefault="00A230F1" w:rsidP="00793943">
      <w:pPr>
        <w:widowControl w:val="0"/>
        <w:overflowPunct w:val="0"/>
        <w:autoSpaceDE w:val="0"/>
        <w:autoSpaceDN w:val="0"/>
        <w:adjustRightInd w:val="0"/>
        <w:ind w:left="266"/>
        <w:textAlignment w:val="baseline"/>
        <w:rPr>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A230F1" w14:paraId="427B5DF2" w14:textId="77777777" w:rsidTr="002E7EFB">
        <w:tc>
          <w:tcPr>
            <w:tcW w:w="1077" w:type="pct"/>
            <w:vMerge w:val="restart"/>
          </w:tcPr>
          <w:p w14:paraId="6D05D3E2" w14:textId="62EC54FF" w:rsidR="00A230F1" w:rsidRPr="00A230F1" w:rsidRDefault="00986FC0" w:rsidP="00793943">
            <w:pPr>
              <w:tabs>
                <w:tab w:val="center" w:pos="284"/>
              </w:tabs>
              <w:overflowPunct w:val="0"/>
              <w:autoSpaceDE w:val="0"/>
              <w:autoSpaceDN w:val="0"/>
              <w:adjustRightInd w:val="0"/>
              <w:ind w:left="266" w:hanging="266"/>
              <w:textAlignment w:val="baseline"/>
              <w:rPr>
                <w:b/>
              </w:rPr>
            </w:pPr>
            <w:r>
              <w:rPr>
                <w:b/>
              </w:rPr>
              <w:t>Odkazy</w:t>
            </w:r>
          </w:p>
        </w:tc>
        <w:tc>
          <w:tcPr>
            <w:tcW w:w="3923" w:type="pct"/>
          </w:tcPr>
          <w:p w14:paraId="54297B64" w14:textId="7C4F1EAB" w:rsidR="005D0FED" w:rsidRDefault="005D0FED" w:rsidP="00793943">
            <w:pPr>
              <w:tabs>
                <w:tab w:val="center" w:pos="284"/>
              </w:tabs>
              <w:overflowPunct w:val="0"/>
              <w:autoSpaceDE w:val="0"/>
              <w:autoSpaceDN w:val="0"/>
              <w:adjustRightInd w:val="0"/>
              <w:ind w:left="266" w:right="-3091" w:hanging="266"/>
              <w:textAlignment w:val="baseline"/>
            </w:pPr>
            <w:r>
              <w:t>stanovisko kategorie C</w:t>
            </w:r>
          </w:p>
          <w:p w14:paraId="139E7F03" w14:textId="312ADB3D" w:rsidR="00A230F1" w:rsidRPr="00A230F1" w:rsidRDefault="00A230F1" w:rsidP="00793943">
            <w:pPr>
              <w:tabs>
                <w:tab w:val="center" w:pos="284"/>
              </w:tabs>
              <w:overflowPunct w:val="0"/>
              <w:autoSpaceDE w:val="0"/>
              <w:autoSpaceDN w:val="0"/>
              <w:adjustRightInd w:val="0"/>
              <w:ind w:left="266" w:right="-3091" w:hanging="266"/>
              <w:textAlignment w:val="baseline"/>
            </w:pPr>
            <w:r>
              <w:t>COM(2026) 128 final</w:t>
            </w:r>
          </w:p>
        </w:tc>
      </w:tr>
      <w:tr w:rsidR="00A230F1" w:rsidRPr="00A230F1" w14:paraId="63A72A95" w14:textId="77777777" w:rsidTr="002E7EFB">
        <w:tc>
          <w:tcPr>
            <w:tcW w:w="1077" w:type="pct"/>
            <w:vMerge/>
          </w:tcPr>
          <w:p w14:paraId="11CFEE2D" w14:textId="77777777" w:rsidR="00A230F1" w:rsidRPr="00A230F1" w:rsidRDefault="00A230F1" w:rsidP="00793943">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793943">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A230F1" w:rsidRDefault="00A230F1" w:rsidP="00793943">
      <w:pPr>
        <w:tabs>
          <w:tab w:val="center" w:pos="284"/>
        </w:tabs>
        <w:overflowPunct w:val="0"/>
        <w:autoSpaceDE w:val="0"/>
        <w:autoSpaceDN w:val="0"/>
        <w:adjustRightInd w:val="0"/>
        <w:ind w:left="266" w:hanging="266"/>
        <w:textAlignment w:val="baseline"/>
        <w:rPr>
          <w:b/>
          <w:lang w:val="en-GB"/>
        </w:rPr>
      </w:pPr>
    </w:p>
    <w:p w14:paraId="64BE0F4D" w14:textId="2511C7F3" w:rsidR="002B30F4" w:rsidRPr="002B30F4" w:rsidRDefault="00A230F1" w:rsidP="00793943">
      <w:pPr>
        <w:pStyle w:val="Footer"/>
        <w:rPr>
          <w:bCs/>
          <w:iCs/>
        </w:rPr>
      </w:pPr>
      <w:r>
        <w:t>Vzhledem</w:t>
      </w:r>
      <w:r w:rsidR="001B28B8">
        <w:t xml:space="preserve"> k </w:t>
      </w:r>
      <w:r>
        <w:t>tomu, že se Výbor</w:t>
      </w:r>
      <w:r w:rsidR="001B28B8">
        <w:t xml:space="preserve"> k </w:t>
      </w:r>
      <w:r>
        <w:t>obsahu návrhu vyjádřil již ve svých stanoviscích EESC-2018-00043-00-00-AC-TRA ze dne 1</w:t>
      </w:r>
      <w:r w:rsidR="001B28B8">
        <w:t>4. </w:t>
      </w:r>
      <w:r>
        <w:t>února 2018</w:t>
      </w:r>
      <w:r w:rsidR="002B30F4" w:rsidRPr="002B30F4">
        <w:rPr>
          <w:sz w:val="24"/>
          <w:vertAlign w:val="superscript"/>
          <w:lang w:val="en-GB"/>
        </w:rPr>
        <w:footnoteReference w:id="2"/>
      </w:r>
      <w:r w:rsidR="001B28B8">
        <w:t xml:space="preserve"> a </w:t>
      </w:r>
      <w:r>
        <w:t>EESC-2020-02029-00-00-AC-TRA-EN ze dne 1</w:t>
      </w:r>
      <w:r w:rsidR="001B28B8">
        <w:t>8. </w:t>
      </w:r>
      <w:r>
        <w:t>září</w:t>
      </w:r>
      <w:r w:rsidR="006D7386">
        <w:t> </w:t>
      </w:r>
      <w:r>
        <w:t>2020</w:t>
      </w:r>
      <w:r w:rsidR="002B30F4" w:rsidRPr="002B30F4">
        <w:rPr>
          <w:sz w:val="24"/>
          <w:vertAlign w:val="superscript"/>
          <w:lang w:val="en-GB"/>
        </w:rPr>
        <w:footnoteReference w:id="3"/>
      </w:r>
      <w:r>
        <w:t>, rozhodl se nevypracovat</w:t>
      </w:r>
      <w:r w:rsidR="001B28B8">
        <w:t xml:space="preserve"> k </w:t>
      </w:r>
      <w:r>
        <w:t>tomuto tématu nové stanovisko, ale odkázat na svůj postoj, který vyjádřil ve výše uvedených dokumentech.</w:t>
      </w: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5"/>
      </w:tblGrid>
      <w:tr w:rsidR="00A230F1" w:rsidRPr="00A230F1" w14:paraId="16CCD5A5" w14:textId="77777777" w:rsidTr="00FB4D8E">
        <w:tc>
          <w:tcPr>
            <w:tcW w:w="821" w:type="pct"/>
          </w:tcPr>
          <w:p w14:paraId="441CA2A8" w14:textId="77777777" w:rsidR="00A230F1" w:rsidRPr="00A230F1" w:rsidRDefault="00A230F1" w:rsidP="00A230F1">
            <w:pPr>
              <w:overflowPunct w:val="0"/>
              <w:autoSpaceDE w:val="0"/>
              <w:autoSpaceDN w:val="0"/>
              <w:adjustRightInd w:val="0"/>
              <w:textAlignment w:val="baseline"/>
              <w:rPr>
                <w:i/>
              </w:rPr>
            </w:pPr>
            <w:r>
              <w:rPr>
                <w:b/>
                <w:i/>
              </w:rPr>
              <w:t>Kontakt:</w:t>
            </w:r>
          </w:p>
        </w:tc>
        <w:tc>
          <w:tcPr>
            <w:tcW w:w="4179"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Iniguez Yuste</w:t>
            </w:r>
          </w:p>
        </w:tc>
      </w:tr>
      <w:tr w:rsidR="00A230F1" w:rsidRPr="00A230F1" w14:paraId="7CBB3F89" w14:textId="77777777" w:rsidTr="00FB4D8E">
        <w:tc>
          <w:tcPr>
            <w:tcW w:w="821" w:type="pct"/>
          </w:tcPr>
          <w:p w14:paraId="4B2CEA11" w14:textId="77777777" w:rsidR="00A230F1" w:rsidRPr="00A230F1" w:rsidRDefault="00A230F1" w:rsidP="00A230F1">
            <w:pPr>
              <w:overflowPunct w:val="0"/>
              <w:autoSpaceDE w:val="0"/>
              <w:autoSpaceDN w:val="0"/>
              <w:adjustRightInd w:val="0"/>
              <w:textAlignment w:val="baseline"/>
              <w:rPr>
                <w:i/>
              </w:rPr>
            </w:pPr>
            <w:r>
              <w:rPr>
                <w:i/>
              </w:rPr>
              <w:t>Tel.</w:t>
            </w:r>
          </w:p>
        </w:tc>
        <w:tc>
          <w:tcPr>
            <w:tcW w:w="4179"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FB4D8E">
        <w:tc>
          <w:tcPr>
            <w:tcW w:w="821" w:type="pct"/>
          </w:tcPr>
          <w:p w14:paraId="36817683" w14:textId="77777777" w:rsidR="00A230F1" w:rsidRPr="00A230F1" w:rsidRDefault="00A230F1" w:rsidP="00A230F1">
            <w:pPr>
              <w:overflowPunct w:val="0"/>
              <w:autoSpaceDE w:val="0"/>
              <w:autoSpaceDN w:val="0"/>
              <w:adjustRightInd w:val="0"/>
              <w:textAlignment w:val="baseline"/>
              <w:rPr>
                <w:i/>
              </w:rPr>
            </w:pPr>
            <w:r>
              <w:rPr>
                <w:i/>
              </w:rPr>
              <w:t>E-mail:</w:t>
            </w:r>
          </w:p>
        </w:tc>
        <w:tc>
          <w:tcPr>
            <w:tcW w:w="4179" w:type="pct"/>
          </w:tcPr>
          <w:p w14:paraId="1FAC504A" w14:textId="77777777" w:rsidR="00A230F1" w:rsidRPr="00A230F1" w:rsidRDefault="00123016" w:rsidP="00A230F1">
            <w:pPr>
              <w:overflowPunct w:val="0"/>
              <w:autoSpaceDE w:val="0"/>
              <w:autoSpaceDN w:val="0"/>
              <w:adjustRightInd w:val="0"/>
              <w:textAlignment w:val="baseline"/>
              <w:rPr>
                <w:i/>
                <w:iCs/>
              </w:rPr>
            </w:pPr>
            <w:hyperlink r:id="rId59" w:history="1">
              <w:r w:rsidR="00E60ACE">
                <w:rPr>
                  <w:i/>
                  <w:color w:val="0000FF"/>
                  <w:u w:val="single"/>
                </w:rPr>
                <w:t>Arturo.Iniguez@eesc.europa.eu</w:t>
              </w:r>
            </w:hyperlink>
            <w:r w:rsidR="00E60ACE">
              <w:rPr>
                <w:i/>
              </w:rPr>
              <w:t xml:space="preserve"> </w:t>
            </w:r>
          </w:p>
        </w:tc>
      </w:tr>
    </w:tbl>
    <w:p w14:paraId="60213BA5" w14:textId="23657EAA" w:rsidR="00A230F1" w:rsidRDefault="00A230F1"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07DF46F2" w:rsidR="00EC4D43" w:rsidRPr="00793943"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60" w:history="1">
        <w:r w:rsidR="00A067F3" w:rsidRPr="00793943">
          <w:rPr>
            <w:rStyle w:val="Hyperlink"/>
            <w:b/>
            <w:bCs/>
            <w:i/>
            <w:iCs/>
            <w:sz w:val="28"/>
            <w:szCs w:val="28"/>
          </w:rPr>
          <w:t>Rušení platnosti povolenek</w:t>
        </w:r>
        <w:r w:rsidR="001B28B8" w:rsidRPr="00793943">
          <w:rPr>
            <w:rStyle w:val="Hyperlink"/>
            <w:b/>
            <w:bCs/>
            <w:i/>
            <w:iCs/>
            <w:sz w:val="28"/>
            <w:szCs w:val="28"/>
          </w:rPr>
          <w:t xml:space="preserve"> v </w:t>
        </w:r>
        <w:r w:rsidR="00A067F3" w:rsidRPr="00793943">
          <w:rPr>
            <w:rStyle w:val="Hyperlink"/>
            <w:b/>
            <w:bCs/>
            <w:i/>
            <w:iCs/>
            <w:sz w:val="28"/>
            <w:szCs w:val="28"/>
          </w:rPr>
          <w:t>rezervě tržní stability</w:t>
        </w:r>
      </w:hyperlink>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EC4D43" w14:paraId="22D897E0" w14:textId="77777777" w:rsidTr="002E7EFB">
        <w:tc>
          <w:tcPr>
            <w:tcW w:w="1077" w:type="pct"/>
            <w:vMerge w:val="restart"/>
          </w:tcPr>
          <w:p w14:paraId="6262FEF2" w14:textId="67EAA0F3" w:rsidR="00EC4D43" w:rsidRPr="00EC4D43" w:rsidRDefault="00986FC0" w:rsidP="00EC4D43">
            <w:pPr>
              <w:tabs>
                <w:tab w:val="center" w:pos="284"/>
              </w:tabs>
              <w:overflowPunct w:val="0"/>
              <w:autoSpaceDE w:val="0"/>
              <w:autoSpaceDN w:val="0"/>
              <w:adjustRightInd w:val="0"/>
              <w:ind w:left="266" w:hanging="266"/>
              <w:textAlignment w:val="baseline"/>
              <w:rPr>
                <w:b/>
              </w:rPr>
            </w:pPr>
            <w:r>
              <w:rPr>
                <w:b/>
              </w:rPr>
              <w:t>Odkazy</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stanovisko kategorie C</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COM(2026)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FC42288" w14:textId="77777777" w:rsidR="00517E07" w:rsidRPr="00EC4D43" w:rsidRDefault="00517E07" w:rsidP="00EC4D43">
      <w:pPr>
        <w:tabs>
          <w:tab w:val="center" w:pos="284"/>
        </w:tabs>
        <w:overflowPunct w:val="0"/>
        <w:autoSpaceDE w:val="0"/>
        <w:autoSpaceDN w:val="0"/>
        <w:adjustRightInd w:val="0"/>
        <w:ind w:left="266" w:hanging="266"/>
        <w:textAlignment w:val="baseline"/>
        <w:rPr>
          <w:b/>
          <w:lang w:val="en-GB"/>
        </w:rPr>
      </w:pPr>
    </w:p>
    <w:p w14:paraId="3ABFEF49" w14:textId="7C600C90" w:rsidR="008548EA" w:rsidRPr="008548EA" w:rsidRDefault="00EC4D43" w:rsidP="004C6742">
      <w:pPr>
        <w:widowControl w:val="0"/>
        <w:overflowPunct w:val="0"/>
        <w:autoSpaceDE w:val="0"/>
        <w:autoSpaceDN w:val="0"/>
        <w:adjustRightInd w:val="0"/>
        <w:textAlignment w:val="baseline"/>
        <w:rPr>
          <w:bCs/>
          <w:iCs/>
        </w:rPr>
      </w:pPr>
      <w:r>
        <w:t>Jelikož se Výbor domnívá, že obsah návrhu je uspokojivý,</w:t>
      </w:r>
      <w:r w:rsidR="001B28B8">
        <w:t xml:space="preserve"> a </w:t>
      </w:r>
      <w:r>
        <w:t>vzhledem</w:t>
      </w:r>
      <w:r w:rsidR="001B28B8">
        <w:t xml:space="preserve"> k </w:t>
      </w:r>
      <w:r>
        <w:t>tomu, že se</w:t>
      </w:r>
      <w:r w:rsidR="001B28B8">
        <w:t xml:space="preserve"> k </w:t>
      </w:r>
      <w:r>
        <w:t xml:space="preserve">obsahu návrhu již vyjádřil ve svém dřívějším stanovisku EESC-2021-03918-00-00-AC-TRA přijatém dne </w:t>
      </w:r>
      <w:r w:rsidR="001B28B8">
        <w:t>8. </w:t>
      </w:r>
      <w:r>
        <w:t>prosince</w:t>
      </w:r>
      <w:r w:rsidR="006D7386">
        <w:t> </w:t>
      </w:r>
      <w:r>
        <w:t>2021</w:t>
      </w:r>
      <w:r w:rsidR="008548EA" w:rsidRPr="008548EA">
        <w:rPr>
          <w:sz w:val="24"/>
          <w:szCs w:val="20"/>
          <w:vertAlign w:val="superscript"/>
          <w:lang w:val="en-GB"/>
        </w:rPr>
        <w:footnoteReference w:id="4"/>
      </w:r>
      <w:r>
        <w:t>, rozhodl se zaujmout</w:t>
      </w:r>
      <w:r w:rsidR="001B28B8">
        <w:t xml:space="preserve"> k </w:t>
      </w:r>
      <w:r>
        <w:t>navrhovanému znění příznivé stanovisko</w:t>
      </w:r>
      <w:r w:rsidR="001B28B8">
        <w:t xml:space="preserve"> a </w:t>
      </w:r>
      <w:r>
        <w:t>odkázat na svůj postoj vyjádřený ve výše uvedeném dokumentu.</w:t>
      </w:r>
    </w:p>
    <w:p w14:paraId="45EA53E5" w14:textId="1CCDA41D" w:rsidR="00FA206D" w:rsidRDefault="00FA206D" w:rsidP="00FA206D">
      <w:pPr>
        <w:widowControl w:val="0"/>
        <w:overflowPunct w:val="0"/>
        <w:autoSpaceDE w:val="0"/>
        <w:autoSpaceDN w:val="0"/>
        <w:adjustRightInd w:val="0"/>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5"/>
      </w:tblGrid>
      <w:tr w:rsidR="00EC4D43" w:rsidRPr="00EC4D43" w14:paraId="2D162523" w14:textId="77777777" w:rsidTr="00FB4D8E">
        <w:tc>
          <w:tcPr>
            <w:tcW w:w="821" w:type="pct"/>
          </w:tcPr>
          <w:p w14:paraId="1CAD14A2" w14:textId="77777777" w:rsidR="00EC4D43" w:rsidRPr="00EC4D43" w:rsidRDefault="00EC4D43" w:rsidP="00EC4D43">
            <w:pPr>
              <w:overflowPunct w:val="0"/>
              <w:autoSpaceDE w:val="0"/>
              <w:autoSpaceDN w:val="0"/>
              <w:adjustRightInd w:val="0"/>
              <w:textAlignment w:val="baseline"/>
              <w:rPr>
                <w:i/>
              </w:rPr>
            </w:pPr>
            <w:r>
              <w:rPr>
                <w:b/>
                <w:i/>
              </w:rPr>
              <w:t>Kontakt:</w:t>
            </w:r>
          </w:p>
        </w:tc>
        <w:tc>
          <w:tcPr>
            <w:tcW w:w="4179" w:type="pct"/>
          </w:tcPr>
          <w:p w14:paraId="36FD4393" w14:textId="46A780E6" w:rsidR="00EC4D43" w:rsidRPr="00EC4D43" w:rsidRDefault="00EC4D43" w:rsidP="00EC4D43">
            <w:pPr>
              <w:overflowPunct w:val="0"/>
              <w:autoSpaceDE w:val="0"/>
              <w:autoSpaceDN w:val="0"/>
              <w:adjustRightInd w:val="0"/>
              <w:textAlignment w:val="baseline"/>
              <w:rPr>
                <w:i/>
              </w:rPr>
            </w:pPr>
            <w:r>
              <w:rPr>
                <w:i/>
              </w:rPr>
              <w:t>Gaizka Malo Elcoro-Iribe</w:t>
            </w:r>
          </w:p>
        </w:tc>
      </w:tr>
      <w:tr w:rsidR="00EC4D43" w:rsidRPr="00EC4D43" w14:paraId="0DA2E11C" w14:textId="77777777" w:rsidTr="00FB4D8E">
        <w:tc>
          <w:tcPr>
            <w:tcW w:w="821" w:type="pct"/>
          </w:tcPr>
          <w:p w14:paraId="459B752C" w14:textId="77777777" w:rsidR="00EC4D43" w:rsidRPr="00EC4D43" w:rsidRDefault="00EC4D43" w:rsidP="00EC4D43">
            <w:pPr>
              <w:overflowPunct w:val="0"/>
              <w:autoSpaceDE w:val="0"/>
              <w:autoSpaceDN w:val="0"/>
              <w:adjustRightInd w:val="0"/>
              <w:textAlignment w:val="baseline"/>
              <w:rPr>
                <w:i/>
              </w:rPr>
            </w:pPr>
            <w:r>
              <w:rPr>
                <w:i/>
              </w:rPr>
              <w:t>Tel.</w:t>
            </w:r>
          </w:p>
        </w:tc>
        <w:tc>
          <w:tcPr>
            <w:tcW w:w="4179"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FB4D8E">
        <w:tc>
          <w:tcPr>
            <w:tcW w:w="821" w:type="pct"/>
          </w:tcPr>
          <w:p w14:paraId="3CA2A44C" w14:textId="77777777" w:rsidR="00EC4D43" w:rsidRPr="00EC4D43" w:rsidRDefault="00EC4D43" w:rsidP="00EC4D43">
            <w:pPr>
              <w:overflowPunct w:val="0"/>
              <w:autoSpaceDE w:val="0"/>
              <w:autoSpaceDN w:val="0"/>
              <w:adjustRightInd w:val="0"/>
              <w:textAlignment w:val="baseline"/>
              <w:rPr>
                <w:i/>
              </w:rPr>
            </w:pPr>
            <w:r>
              <w:rPr>
                <w:i/>
              </w:rPr>
              <w:t>E-mail:</w:t>
            </w:r>
          </w:p>
        </w:tc>
        <w:tc>
          <w:tcPr>
            <w:tcW w:w="4179" w:type="pct"/>
          </w:tcPr>
          <w:p w14:paraId="4685C922" w14:textId="77777777" w:rsidR="00EC4D43" w:rsidRPr="00EC4D43" w:rsidRDefault="00123016" w:rsidP="00EC4D43">
            <w:pPr>
              <w:overflowPunct w:val="0"/>
              <w:autoSpaceDE w:val="0"/>
              <w:autoSpaceDN w:val="0"/>
              <w:adjustRightInd w:val="0"/>
              <w:textAlignment w:val="baseline"/>
              <w:rPr>
                <w:i/>
                <w:iCs/>
              </w:rPr>
            </w:pPr>
            <w:hyperlink r:id="rId61" w:history="1">
              <w:r w:rsidR="00E60ACE">
                <w:rPr>
                  <w:i/>
                  <w:color w:val="0000FF"/>
                  <w:u w:val="single"/>
                </w:rPr>
                <w:t>Gaizka.Maloelcoro-iribe@eesc.europa.eu</w:t>
              </w:r>
            </w:hyperlink>
            <w:r w:rsidR="00E60ACE">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14026A78" w14:textId="56DA2393" w:rsidR="007F5784" w:rsidRDefault="007F5784" w:rsidP="00AA5081">
      <w:pPr>
        <w:pStyle w:val="Heading1"/>
      </w:pPr>
      <w:bookmarkStart w:id="12" w:name="_Toc229140657"/>
      <w:bookmarkStart w:id="13" w:name="_Toc229143565"/>
      <w:r>
        <w:lastRenderedPageBreak/>
        <w:t>VNĚJŠÍ VZTAHY</w:t>
      </w:r>
      <w:bookmarkEnd w:id="12"/>
      <w:bookmarkEnd w:id="13"/>
    </w:p>
    <w:p w14:paraId="3BBB3E68" w14:textId="77777777" w:rsidR="007F5784" w:rsidRDefault="007F5784" w:rsidP="001766B2"/>
    <w:p w14:paraId="1A338A4C" w14:textId="6CAEDAF1" w:rsidR="00D16830" w:rsidRPr="00793943" w:rsidRDefault="00123016" w:rsidP="008D7B21">
      <w:pPr>
        <w:widowControl w:val="0"/>
        <w:numPr>
          <w:ilvl w:val="0"/>
          <w:numId w:val="2"/>
        </w:numPr>
        <w:overflowPunct w:val="0"/>
        <w:autoSpaceDE w:val="0"/>
        <w:autoSpaceDN w:val="0"/>
        <w:adjustRightInd w:val="0"/>
        <w:ind w:hanging="567"/>
        <w:textAlignment w:val="baseline"/>
        <w:rPr>
          <w:b/>
          <w:bCs/>
          <w:i/>
          <w:iCs/>
          <w:sz w:val="28"/>
          <w:szCs w:val="28"/>
        </w:rPr>
      </w:pPr>
      <w:hyperlink r:id="rId62" w:history="1">
        <w:r w:rsidR="00D16830" w:rsidRPr="00793943">
          <w:rPr>
            <w:rStyle w:val="Hyperlink"/>
            <w:b/>
            <w:bCs/>
            <w:i/>
            <w:iCs/>
            <w:sz w:val="28"/>
            <w:szCs w:val="28"/>
          </w:rPr>
          <w:t>Úloha občanské společnosti při podpoře reforem prováděných</w:t>
        </w:r>
        <w:r w:rsidR="001B28B8" w:rsidRPr="00793943">
          <w:rPr>
            <w:rStyle w:val="Hyperlink"/>
            <w:b/>
            <w:bCs/>
            <w:i/>
            <w:iCs/>
            <w:sz w:val="28"/>
            <w:szCs w:val="28"/>
          </w:rPr>
          <w:t xml:space="preserve"> v </w:t>
        </w:r>
        <w:r w:rsidR="00D16830" w:rsidRPr="00793943">
          <w:rPr>
            <w:rStyle w:val="Hyperlink"/>
            <w:b/>
            <w:bCs/>
            <w:i/>
            <w:iCs/>
            <w:sz w:val="28"/>
            <w:szCs w:val="28"/>
          </w:rPr>
          <w:t>rámci plánů růstu pro západní Balkán</w:t>
        </w:r>
        <w:r w:rsidR="001B28B8" w:rsidRPr="00793943">
          <w:rPr>
            <w:rStyle w:val="Hyperlink"/>
            <w:b/>
            <w:bCs/>
            <w:i/>
            <w:iCs/>
            <w:sz w:val="28"/>
            <w:szCs w:val="28"/>
          </w:rPr>
          <w:t xml:space="preserve"> a </w:t>
        </w:r>
        <w:r w:rsidR="00D16830" w:rsidRPr="00793943">
          <w:rPr>
            <w:rStyle w:val="Hyperlink"/>
            <w:b/>
            <w:bCs/>
            <w:i/>
            <w:iCs/>
            <w:sz w:val="28"/>
            <w:szCs w:val="28"/>
          </w:rPr>
          <w:t>Moldavsko</w:t>
        </w:r>
        <w:r w:rsidR="001B28B8" w:rsidRPr="00793943">
          <w:rPr>
            <w:rStyle w:val="Hyperlink"/>
            <w:b/>
            <w:bCs/>
            <w:i/>
            <w:iCs/>
            <w:sz w:val="28"/>
            <w:szCs w:val="28"/>
          </w:rPr>
          <w:t xml:space="preserve"> a </w:t>
        </w:r>
        <w:r w:rsidR="00D16830" w:rsidRPr="00793943">
          <w:rPr>
            <w:rStyle w:val="Hyperlink"/>
            <w:b/>
            <w:bCs/>
            <w:i/>
            <w:iCs/>
            <w:sz w:val="28"/>
            <w:szCs w:val="28"/>
          </w:rPr>
          <w:t>také reformního procesu na Ukrajině</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16830" w:rsidRPr="00D16830" w14:paraId="10A26714" w14:textId="77777777" w:rsidTr="004C6742">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Zpravodaj</w:t>
            </w:r>
          </w:p>
        </w:tc>
        <w:tc>
          <w:tcPr>
            <w:tcW w:w="680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(Employers' Group - RO)</w:t>
            </w:r>
          </w:p>
        </w:tc>
      </w:tr>
      <w:tr w:rsidR="00D16830" w:rsidRPr="00D16830" w14:paraId="16FB2AA9" w14:textId="77777777" w:rsidTr="004C6742">
        <w:tc>
          <w:tcPr>
            <w:tcW w:w="1701" w:type="dxa"/>
          </w:tcPr>
          <w:p w14:paraId="41593292" w14:textId="34A94B9D"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Spoluzpravodaj</w:t>
            </w:r>
          </w:p>
        </w:tc>
        <w:tc>
          <w:tcPr>
            <w:tcW w:w="680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Andrej ZORKO (skupina Zaměstnanci – SI)</w:t>
            </w:r>
          </w:p>
        </w:tc>
      </w:tr>
      <w:tr w:rsidR="00D16830" w:rsidRPr="00D16830" w14:paraId="6E76E965" w14:textId="77777777" w:rsidTr="004C6742">
        <w:tc>
          <w:tcPr>
            <w:tcW w:w="8505"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4C6742">
        <w:tc>
          <w:tcPr>
            <w:tcW w:w="1701" w:type="dxa"/>
            <w:vMerge w:val="restart"/>
          </w:tcPr>
          <w:p w14:paraId="62E4ADE4" w14:textId="7D0A51AF" w:rsidR="00D16830" w:rsidRPr="00D16830" w:rsidRDefault="00986FC0" w:rsidP="00D16830">
            <w:pPr>
              <w:tabs>
                <w:tab w:val="center" w:pos="284"/>
              </w:tabs>
              <w:overflowPunct w:val="0"/>
              <w:autoSpaceDE w:val="0"/>
              <w:autoSpaceDN w:val="0"/>
              <w:adjustRightInd w:val="0"/>
              <w:ind w:left="266" w:hanging="266"/>
              <w:textAlignment w:val="baseline"/>
              <w:rPr>
                <w:b/>
              </w:rPr>
            </w:pPr>
            <w:r>
              <w:rPr>
                <w:b/>
              </w:rPr>
              <w:t>Odkazy</w:t>
            </w:r>
          </w:p>
        </w:tc>
        <w:tc>
          <w:tcPr>
            <w:tcW w:w="680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(průzkumné stanovisko na žádost kyperského předsednictví Rady EU)</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4C6742">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54AA765B" w14:textId="77777777" w:rsidR="007C36BF" w:rsidRPr="00793943" w:rsidRDefault="007C36BF" w:rsidP="00793943">
            <w:pPr>
              <w:tabs>
                <w:tab w:val="center" w:pos="284"/>
              </w:tabs>
              <w:overflowPunct w:val="0"/>
              <w:autoSpaceDE w:val="0"/>
              <w:autoSpaceDN w:val="0"/>
              <w:adjustRightInd w:val="0"/>
              <w:spacing w:line="240" w:lineRule="auto"/>
              <w:ind w:left="266" w:hanging="266"/>
              <w:textAlignment w:val="baseline"/>
              <w:rPr>
                <w:sz w:val="16"/>
                <w:szCs w:val="16"/>
              </w:rPr>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Hlavní body </w:t>
      </w:r>
    </w:p>
    <w:p w14:paraId="7EE6889C" w14:textId="77777777" w:rsidR="00D16830" w:rsidRPr="00793943" w:rsidRDefault="00D16830" w:rsidP="00793943">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14:paraId="6D13BD68" w14:textId="77777777" w:rsidR="00D16830" w:rsidRDefault="00D16830" w:rsidP="00D16830">
      <w:pPr>
        <w:overflowPunct w:val="0"/>
        <w:autoSpaceDE w:val="0"/>
        <w:autoSpaceDN w:val="0"/>
        <w:adjustRightInd w:val="0"/>
        <w:textAlignment w:val="baseline"/>
        <w:rPr>
          <w:bCs/>
          <w:iCs/>
        </w:rPr>
      </w:pPr>
      <w:r>
        <w:t>EHSV:</w:t>
      </w:r>
    </w:p>
    <w:p w14:paraId="34AABBC4" w14:textId="77777777" w:rsidR="00037101" w:rsidRPr="00793943" w:rsidRDefault="00037101" w:rsidP="00793943">
      <w:pPr>
        <w:overflowPunct w:val="0"/>
        <w:autoSpaceDE w:val="0"/>
        <w:autoSpaceDN w:val="0"/>
        <w:adjustRightInd w:val="0"/>
        <w:spacing w:line="240" w:lineRule="auto"/>
        <w:textAlignment w:val="baseline"/>
        <w:rPr>
          <w:bCs/>
          <w:iCs/>
          <w:sz w:val="16"/>
          <w:szCs w:val="16"/>
          <w:lang w:val="en-GB"/>
        </w:rPr>
      </w:pPr>
    </w:p>
    <w:p w14:paraId="4304D4DF" w14:textId="65A17AA5" w:rsidR="00481626" w:rsidRDefault="00481626" w:rsidP="008D7B21">
      <w:pPr>
        <w:widowControl w:val="0"/>
        <w:numPr>
          <w:ilvl w:val="0"/>
          <w:numId w:val="35"/>
        </w:numPr>
        <w:overflowPunct w:val="0"/>
        <w:autoSpaceDE w:val="0"/>
        <w:autoSpaceDN w:val="0"/>
        <w:adjustRightInd w:val="0"/>
        <w:ind w:left="567" w:hanging="567"/>
        <w:textAlignment w:val="baseline"/>
        <w:rPr>
          <w:bCs/>
          <w:iCs/>
        </w:rPr>
      </w:pPr>
      <w:r>
        <w:t>zdůrazňuje, že všechny tři nástroje – pro západní Balkán, Ukrajinu</w:t>
      </w:r>
      <w:r w:rsidR="001B28B8">
        <w:t xml:space="preserve"> a </w:t>
      </w:r>
      <w:r>
        <w:t xml:space="preserve">Moldavsko – </w:t>
      </w:r>
      <w:r>
        <w:rPr>
          <w:b/>
        </w:rPr>
        <w:t>musí aktivně uplatňovat zapojení občanské společnosti</w:t>
      </w:r>
      <w:r>
        <w:t xml:space="preserve"> jako strukturální podmínku, jež se týká správy</w:t>
      </w:r>
      <w:r w:rsidR="001B28B8">
        <w:t xml:space="preserve"> a </w:t>
      </w:r>
      <w:r>
        <w:t xml:space="preserve">která je základem </w:t>
      </w:r>
      <w:r>
        <w:rPr>
          <w:b/>
          <w:bCs/>
        </w:rPr>
        <w:t>udržitelnosti procesu rozšíření</w:t>
      </w:r>
      <w:r>
        <w:t>;</w:t>
      </w:r>
    </w:p>
    <w:p w14:paraId="2B67475B" w14:textId="5DF10951" w:rsidR="00481626" w:rsidRPr="00A6689B" w:rsidRDefault="00481626" w:rsidP="008D7B21">
      <w:pPr>
        <w:widowControl w:val="0"/>
        <w:numPr>
          <w:ilvl w:val="0"/>
          <w:numId w:val="35"/>
        </w:numPr>
        <w:overflowPunct w:val="0"/>
        <w:autoSpaceDE w:val="0"/>
        <w:autoSpaceDN w:val="0"/>
        <w:adjustRightInd w:val="0"/>
        <w:ind w:left="567" w:hanging="567"/>
        <w:textAlignment w:val="baseline"/>
        <w:rPr>
          <w:bCs/>
          <w:iCs/>
        </w:rPr>
      </w:pPr>
      <w:r>
        <w:t>podtrhuje, že spoluodpovědnost občanské společnosti za reformy, jež jsou podporované příslušnými třemi nástroji, by měla spočívat</w:t>
      </w:r>
      <w:r w:rsidR="001B28B8">
        <w:t xml:space="preserve"> v </w:t>
      </w:r>
      <w:r>
        <w:t xml:space="preserve">tom, že </w:t>
      </w:r>
      <w:r>
        <w:rPr>
          <w:b/>
          <w:bCs/>
        </w:rPr>
        <w:t>sociální partneři</w:t>
      </w:r>
      <w:r w:rsidR="001B28B8">
        <w:rPr>
          <w:b/>
          <w:bCs/>
        </w:rPr>
        <w:t xml:space="preserve"> a </w:t>
      </w:r>
      <w:r>
        <w:rPr>
          <w:b/>
          <w:bCs/>
        </w:rPr>
        <w:t>organizace občanské společnosti budou mít trvalou, aktivní, strukturovanou</w:t>
      </w:r>
      <w:r w:rsidR="001B28B8">
        <w:rPr>
          <w:b/>
          <w:bCs/>
        </w:rPr>
        <w:t xml:space="preserve"> a </w:t>
      </w:r>
      <w:r>
        <w:rPr>
          <w:b/>
          <w:bCs/>
        </w:rPr>
        <w:t>formálně institucionalizovanou úlohu</w:t>
      </w:r>
      <w:r>
        <w:t xml:space="preserve"> po boku orgánů členských států;</w:t>
      </w:r>
    </w:p>
    <w:p w14:paraId="34292774" w14:textId="365AB5EF" w:rsidR="00481626" w:rsidRPr="004A258E" w:rsidRDefault="00481626" w:rsidP="008D7B21">
      <w:pPr>
        <w:widowControl w:val="0"/>
        <w:numPr>
          <w:ilvl w:val="0"/>
          <w:numId w:val="35"/>
        </w:numPr>
        <w:overflowPunct w:val="0"/>
        <w:autoSpaceDE w:val="0"/>
        <w:autoSpaceDN w:val="0"/>
        <w:adjustRightInd w:val="0"/>
        <w:ind w:left="567" w:hanging="567"/>
        <w:textAlignment w:val="baseline"/>
        <w:rPr>
          <w:bCs/>
          <w:iCs/>
        </w:rPr>
      </w:pPr>
      <w:r>
        <w:t xml:space="preserve">klade důraz na skutečnost, že </w:t>
      </w:r>
      <w:r>
        <w:rPr>
          <w:b/>
          <w:bCs/>
        </w:rPr>
        <w:t>financování by mělo aktivně přispívat</w:t>
      </w:r>
      <w:r w:rsidR="001B28B8">
        <w:rPr>
          <w:b/>
          <w:bCs/>
        </w:rPr>
        <w:t xml:space="preserve"> k </w:t>
      </w:r>
      <w:r>
        <w:rPr>
          <w:b/>
          <w:bCs/>
        </w:rPr>
        <w:t>přípravě zemí na členství</w:t>
      </w:r>
      <w:r w:rsidR="001B28B8">
        <w:rPr>
          <w:b/>
          <w:bCs/>
        </w:rPr>
        <w:t xml:space="preserve"> v </w:t>
      </w:r>
      <w:r>
        <w:rPr>
          <w:b/>
          <w:bCs/>
        </w:rPr>
        <w:t>EU</w:t>
      </w:r>
      <w:r w:rsidR="001B28B8">
        <w:t xml:space="preserve"> v </w:t>
      </w:r>
      <w:r>
        <w:t>souladu</w:t>
      </w:r>
      <w:r w:rsidR="001B28B8">
        <w:t xml:space="preserve"> s </w:t>
      </w:r>
      <w:r>
        <w:t>evropským sociálním</w:t>
      </w:r>
      <w:r w:rsidR="001B28B8">
        <w:t xml:space="preserve"> a </w:t>
      </w:r>
      <w:r>
        <w:t>hospodářským modelem</w:t>
      </w:r>
      <w:r w:rsidR="001B28B8">
        <w:t xml:space="preserve"> a </w:t>
      </w:r>
      <w:r>
        <w:t>nemělo by se omezovat na podporu integrace do jednotného trhu;</w:t>
      </w:r>
    </w:p>
    <w:p w14:paraId="29DB6C3A" w14:textId="71B8BDCE" w:rsidR="00481626" w:rsidRPr="00191BFA" w:rsidRDefault="00481626" w:rsidP="008D7B21">
      <w:pPr>
        <w:widowControl w:val="0"/>
        <w:numPr>
          <w:ilvl w:val="0"/>
          <w:numId w:val="35"/>
        </w:numPr>
        <w:overflowPunct w:val="0"/>
        <w:autoSpaceDE w:val="0"/>
        <w:autoSpaceDN w:val="0"/>
        <w:adjustRightInd w:val="0"/>
        <w:ind w:left="567" w:hanging="567"/>
        <w:textAlignment w:val="baseline"/>
      </w:pPr>
      <w:r>
        <w:t xml:space="preserve">zdůrazňuje, že </w:t>
      </w:r>
      <w:r>
        <w:rPr>
          <w:b/>
        </w:rPr>
        <w:t>lhůty by neměly podkopávat demokratické postupy, veřejnou diskusi či povinné konzultace nebo dialog</w:t>
      </w:r>
      <w:r>
        <w:t xml:space="preserve"> se sociálními partnery</w:t>
      </w:r>
      <w:r w:rsidR="001B28B8">
        <w:t xml:space="preserve"> a </w:t>
      </w:r>
      <w:r>
        <w:t>organizacemi občanské společnosti ani by neměly být využívány jako odůvodnění pro mimořádné urychlené legislativní postupy, které sociální partnery</w:t>
      </w:r>
      <w:r w:rsidR="001B28B8">
        <w:t xml:space="preserve"> a </w:t>
      </w:r>
      <w:r>
        <w:t>organizace občanské společnosti vylučují;</w:t>
      </w:r>
    </w:p>
    <w:p w14:paraId="61D3B3CD" w14:textId="61737C0E" w:rsidR="00481626" w:rsidRPr="00963544" w:rsidRDefault="00481626" w:rsidP="008D7B21">
      <w:pPr>
        <w:widowControl w:val="0"/>
        <w:numPr>
          <w:ilvl w:val="0"/>
          <w:numId w:val="35"/>
        </w:numPr>
        <w:overflowPunct w:val="0"/>
        <w:autoSpaceDE w:val="0"/>
        <w:autoSpaceDN w:val="0"/>
        <w:adjustRightInd w:val="0"/>
        <w:ind w:left="567" w:hanging="567"/>
        <w:textAlignment w:val="baseline"/>
        <w:rPr>
          <w:bCs/>
          <w:iCs/>
        </w:rPr>
      </w:pPr>
      <w:r>
        <w:t xml:space="preserve">poukazuje na to, že vlády by měly vytvořit </w:t>
      </w:r>
      <w:r>
        <w:rPr>
          <w:b/>
        </w:rPr>
        <w:t>strukturovaný rámec pro sociální dialog</w:t>
      </w:r>
      <w:r>
        <w:t>, který zajistí zapojení zástupců na celostátní úrovni</w:t>
      </w:r>
      <w:r w:rsidR="001B28B8">
        <w:t xml:space="preserve"> s </w:t>
      </w:r>
      <w:r>
        <w:t>přiměřeným počtem členů, organizací zaměstnavatelů, pracovníků</w:t>
      </w:r>
      <w:r w:rsidR="001B28B8">
        <w:t xml:space="preserve"> a </w:t>
      </w:r>
      <w:r>
        <w:t xml:space="preserve">organizací občanské společnosti, přičemž </w:t>
      </w:r>
      <w:r>
        <w:rPr>
          <w:b/>
          <w:bCs/>
        </w:rPr>
        <w:t>je třeba respektovat specifickou úlohu</w:t>
      </w:r>
      <w:r w:rsidR="001B28B8">
        <w:rPr>
          <w:b/>
          <w:bCs/>
        </w:rPr>
        <w:t xml:space="preserve"> a </w:t>
      </w:r>
      <w:r>
        <w:rPr>
          <w:b/>
          <w:bCs/>
        </w:rPr>
        <w:t>autonomii sociálních partnerů</w:t>
      </w:r>
      <w:r>
        <w:t>;</w:t>
      </w:r>
    </w:p>
    <w:p w14:paraId="11A5AB4C" w14:textId="625CA7C9" w:rsidR="00481626" w:rsidRPr="00963544" w:rsidRDefault="00481626" w:rsidP="008D7B21">
      <w:pPr>
        <w:widowControl w:val="0"/>
        <w:numPr>
          <w:ilvl w:val="0"/>
          <w:numId w:val="35"/>
        </w:numPr>
        <w:overflowPunct w:val="0"/>
        <w:autoSpaceDE w:val="0"/>
        <w:autoSpaceDN w:val="0"/>
        <w:adjustRightInd w:val="0"/>
        <w:ind w:left="567" w:hanging="567"/>
        <w:textAlignment w:val="baseline"/>
        <w:rPr>
          <w:bCs/>
          <w:iCs/>
        </w:rPr>
      </w:pPr>
      <w:r>
        <w:t>doporučuje jasné</w:t>
      </w:r>
      <w:r w:rsidR="001B28B8">
        <w:t xml:space="preserve"> a </w:t>
      </w:r>
      <w:r>
        <w:t>veřejné pokyny Evropské komise,</w:t>
      </w:r>
      <w:r w:rsidR="001B28B8">
        <w:t xml:space="preserve"> s </w:t>
      </w:r>
      <w:r>
        <w:t>jejichž pomocí bude možné posoudit úplné</w:t>
      </w:r>
      <w:r w:rsidR="001B28B8">
        <w:t xml:space="preserve"> a </w:t>
      </w:r>
      <w:r>
        <w:t xml:space="preserve">částečné </w:t>
      </w:r>
      <w:r>
        <w:rPr>
          <w:b/>
          <w:bCs/>
        </w:rPr>
        <w:t>dosažení ukazatelů provádění programu reforem</w:t>
      </w:r>
      <w:r w:rsidR="001B28B8">
        <w:t xml:space="preserve"> a </w:t>
      </w:r>
      <w:r>
        <w:t>které budou zahrnovat normy pro ověřování</w:t>
      </w:r>
      <w:r w:rsidR="001B28B8">
        <w:t xml:space="preserve"> a </w:t>
      </w:r>
      <w:r>
        <w:t>postupy</w:t>
      </w:r>
      <w:r w:rsidR="001B28B8">
        <w:t xml:space="preserve"> v </w:t>
      </w:r>
      <w:r>
        <w:t>případě zvrácení dříve splněných podmínek;</w:t>
      </w:r>
    </w:p>
    <w:p w14:paraId="1BA944B3" w14:textId="52183C92" w:rsidR="00481626" w:rsidRPr="00115AD5" w:rsidRDefault="00481626" w:rsidP="008D7B21">
      <w:pPr>
        <w:widowControl w:val="0"/>
        <w:numPr>
          <w:ilvl w:val="0"/>
          <w:numId w:val="35"/>
        </w:numPr>
        <w:overflowPunct w:val="0"/>
        <w:autoSpaceDE w:val="0"/>
        <w:autoSpaceDN w:val="0"/>
        <w:adjustRightInd w:val="0"/>
        <w:ind w:left="567" w:hanging="567"/>
        <w:textAlignment w:val="baseline"/>
        <w:rPr>
          <w:bCs/>
          <w:iCs/>
        </w:rPr>
      </w:pPr>
      <w:r>
        <w:t>doporučuje zajistit individuálně uzpůsobenou, udržitelnou</w:t>
      </w:r>
      <w:r w:rsidR="001B28B8">
        <w:t xml:space="preserve"> a </w:t>
      </w:r>
      <w:r>
        <w:t xml:space="preserve">předvídatelnou </w:t>
      </w:r>
      <w:r>
        <w:rPr>
          <w:b/>
          <w:bCs/>
        </w:rPr>
        <w:t>finanční podporu pro organizace občanské společnosti</w:t>
      </w:r>
      <w:r w:rsidR="001B28B8">
        <w:rPr>
          <w:b/>
          <w:bCs/>
        </w:rPr>
        <w:t xml:space="preserve"> a </w:t>
      </w:r>
      <w:r>
        <w:rPr>
          <w:b/>
          <w:bCs/>
        </w:rPr>
        <w:t>sociální partnery</w:t>
      </w:r>
      <w:r>
        <w:t xml:space="preserve"> prostřednictvím</w:t>
      </w:r>
      <w:r>
        <w:rPr>
          <w:b/>
          <w:bCs/>
        </w:rPr>
        <w:t xml:space="preserve"> víceletých</w:t>
      </w:r>
      <w:r w:rsidR="001B28B8">
        <w:rPr>
          <w:b/>
          <w:bCs/>
        </w:rPr>
        <w:t xml:space="preserve"> a </w:t>
      </w:r>
      <w:r>
        <w:rPr>
          <w:b/>
          <w:bCs/>
        </w:rPr>
        <w:t>transparentních mechanismů financování</w:t>
      </w:r>
      <w:r>
        <w:t>;</w:t>
      </w:r>
    </w:p>
    <w:p w14:paraId="47BD4272" w14:textId="64CB89EF" w:rsidR="00481626" w:rsidRPr="00533DFE" w:rsidRDefault="00481626" w:rsidP="008D7B21">
      <w:pPr>
        <w:widowControl w:val="0"/>
        <w:numPr>
          <w:ilvl w:val="0"/>
          <w:numId w:val="35"/>
        </w:numPr>
        <w:overflowPunct w:val="0"/>
        <w:autoSpaceDE w:val="0"/>
        <w:autoSpaceDN w:val="0"/>
        <w:adjustRightInd w:val="0"/>
        <w:ind w:left="567" w:hanging="567"/>
        <w:textAlignment w:val="baseline"/>
        <w:rPr>
          <w:bCs/>
          <w:iCs/>
        </w:rPr>
      </w:pPr>
      <w:r>
        <w:t xml:space="preserve">vyzývá Komisi, aby </w:t>
      </w:r>
      <w:r>
        <w:rPr>
          <w:b/>
        </w:rPr>
        <w:t>vycházela</w:t>
      </w:r>
      <w:r w:rsidR="001B28B8">
        <w:rPr>
          <w:b/>
        </w:rPr>
        <w:t xml:space="preserve"> z </w:t>
      </w:r>
      <w:r>
        <w:rPr>
          <w:b/>
        </w:rPr>
        <w:t>posouzení</w:t>
      </w:r>
      <w:r>
        <w:t xml:space="preserve"> rámců správy</w:t>
      </w:r>
      <w:r w:rsidR="001B28B8">
        <w:t xml:space="preserve"> a </w:t>
      </w:r>
      <w:r>
        <w:t>provádění stávajících nástrojů</w:t>
      </w:r>
      <w:r w:rsidR="001B28B8">
        <w:t xml:space="preserve"> v </w:t>
      </w:r>
      <w:r>
        <w:rPr>
          <w:b/>
        </w:rPr>
        <w:t>polovině období</w:t>
      </w:r>
      <w:r w:rsidR="001B28B8">
        <w:t xml:space="preserve"> a </w:t>
      </w:r>
      <w:r>
        <w:rPr>
          <w:b/>
        </w:rPr>
        <w:t>dále zlepšovala provádění stávajících</w:t>
      </w:r>
      <w:r w:rsidR="001B28B8">
        <w:rPr>
          <w:b/>
        </w:rPr>
        <w:t xml:space="preserve"> i </w:t>
      </w:r>
      <w:r>
        <w:rPr>
          <w:b/>
        </w:rPr>
        <w:t>budoucích příslušných nástrojů rozšíření EU založených na výkonnosti</w:t>
      </w:r>
      <w:r>
        <w:t>.</w:t>
      </w:r>
    </w:p>
    <w:p w14:paraId="77E533A4" w14:textId="77777777" w:rsidR="00D16830" w:rsidRPr="00793943" w:rsidRDefault="00D16830" w:rsidP="00793943">
      <w:pPr>
        <w:widowControl w:val="0"/>
        <w:overflowPunct w:val="0"/>
        <w:autoSpaceDE w:val="0"/>
        <w:autoSpaceDN w:val="0"/>
        <w:adjustRightInd w:val="0"/>
        <w:spacing w:line="240" w:lineRule="auto"/>
        <w:ind w:left="284" w:hanging="284"/>
        <w:textAlignment w:val="baseline"/>
        <w:rPr>
          <w:sz w:val="14"/>
          <w:szCs w:val="14"/>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D16830" w14:paraId="06D6E640" w14:textId="77777777" w:rsidTr="002E7EFB">
        <w:tc>
          <w:tcPr>
            <w:tcW w:w="1418" w:type="dxa"/>
          </w:tcPr>
          <w:p w14:paraId="2EFB1BD5" w14:textId="77777777" w:rsidR="00D16830" w:rsidRPr="00D16830" w:rsidRDefault="00D16830" w:rsidP="00793943">
            <w:pPr>
              <w:overflowPunct w:val="0"/>
              <w:autoSpaceDE w:val="0"/>
              <w:autoSpaceDN w:val="0"/>
              <w:adjustRightInd w:val="0"/>
              <w:spacing w:line="240" w:lineRule="auto"/>
              <w:textAlignment w:val="baseline"/>
              <w:rPr>
                <w:i/>
              </w:rPr>
            </w:pPr>
            <w:r>
              <w:rPr>
                <w:b/>
                <w:i/>
              </w:rPr>
              <w:t>Kontakt:</w:t>
            </w:r>
          </w:p>
        </w:tc>
        <w:tc>
          <w:tcPr>
            <w:tcW w:w="5670" w:type="dxa"/>
          </w:tcPr>
          <w:p w14:paraId="72677A97" w14:textId="77777777" w:rsidR="00D16830" w:rsidRPr="00D16830" w:rsidRDefault="00D16830" w:rsidP="00793943">
            <w:pPr>
              <w:overflowPunct w:val="0"/>
              <w:autoSpaceDE w:val="0"/>
              <w:autoSpaceDN w:val="0"/>
              <w:adjustRightInd w:val="0"/>
              <w:spacing w:line="240" w:lineRule="auto"/>
              <w:textAlignment w:val="baseline"/>
              <w:rPr>
                <w:i/>
              </w:rPr>
            </w:pPr>
            <w:r>
              <w:rPr>
                <w:i/>
              </w:rPr>
              <w:t>David Hoić</w:t>
            </w:r>
          </w:p>
        </w:tc>
      </w:tr>
      <w:tr w:rsidR="00D16830" w:rsidRPr="00D16830" w14:paraId="3BA7205F" w14:textId="77777777" w:rsidTr="002E7EFB">
        <w:tc>
          <w:tcPr>
            <w:tcW w:w="1418" w:type="dxa"/>
          </w:tcPr>
          <w:p w14:paraId="7D4BCE3B" w14:textId="77777777" w:rsidR="00D16830" w:rsidRPr="00D16830" w:rsidRDefault="00D16830" w:rsidP="00793943">
            <w:pPr>
              <w:overflowPunct w:val="0"/>
              <w:autoSpaceDE w:val="0"/>
              <w:autoSpaceDN w:val="0"/>
              <w:adjustRightInd w:val="0"/>
              <w:spacing w:line="240" w:lineRule="auto"/>
              <w:textAlignment w:val="baseline"/>
              <w:rPr>
                <w:i/>
              </w:rPr>
            </w:pPr>
            <w:r>
              <w:rPr>
                <w:i/>
              </w:rPr>
              <w:t>Tel.</w:t>
            </w:r>
          </w:p>
        </w:tc>
        <w:tc>
          <w:tcPr>
            <w:tcW w:w="5670" w:type="dxa"/>
          </w:tcPr>
          <w:p w14:paraId="6033BB59" w14:textId="77777777" w:rsidR="00D16830" w:rsidRPr="00D16830" w:rsidRDefault="00D16830" w:rsidP="00793943">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2E7EFB">
        <w:tc>
          <w:tcPr>
            <w:tcW w:w="1418" w:type="dxa"/>
          </w:tcPr>
          <w:p w14:paraId="1591AA97" w14:textId="77777777" w:rsidR="00D16830" w:rsidRPr="00D16830" w:rsidRDefault="00D16830" w:rsidP="00793943">
            <w:pPr>
              <w:overflowPunct w:val="0"/>
              <w:autoSpaceDE w:val="0"/>
              <w:autoSpaceDN w:val="0"/>
              <w:adjustRightInd w:val="0"/>
              <w:spacing w:line="240" w:lineRule="auto"/>
              <w:textAlignment w:val="baseline"/>
              <w:rPr>
                <w:i/>
              </w:rPr>
            </w:pPr>
            <w:r>
              <w:rPr>
                <w:i/>
              </w:rPr>
              <w:t>E-mail:</w:t>
            </w:r>
          </w:p>
        </w:tc>
        <w:tc>
          <w:tcPr>
            <w:tcW w:w="5670" w:type="dxa"/>
          </w:tcPr>
          <w:p w14:paraId="104A20AD" w14:textId="77777777" w:rsidR="00D16830" w:rsidRPr="00D16830" w:rsidRDefault="00123016" w:rsidP="00793943">
            <w:pPr>
              <w:overflowPunct w:val="0"/>
              <w:autoSpaceDE w:val="0"/>
              <w:autoSpaceDN w:val="0"/>
              <w:adjustRightInd w:val="0"/>
              <w:spacing w:line="240" w:lineRule="auto"/>
              <w:textAlignment w:val="baseline"/>
              <w:rPr>
                <w:i/>
              </w:rPr>
            </w:pPr>
            <w:hyperlink r:id="rId63" w:history="1">
              <w:r w:rsidR="00E60ACE">
                <w:rPr>
                  <w:i/>
                  <w:color w:val="0000FF"/>
                  <w:u w:val="single"/>
                </w:rPr>
                <w:t>David.Hoic@eesc.europa.eu</w:t>
              </w:r>
            </w:hyperlink>
            <w:r w:rsidR="00E60ACE">
              <w:rPr>
                <w:i/>
              </w:rPr>
              <w:t xml:space="preserve"> </w:t>
            </w:r>
          </w:p>
        </w:tc>
      </w:tr>
    </w:tbl>
    <w:p w14:paraId="09BE7192" w14:textId="77777777" w:rsidR="00A067F3" w:rsidRDefault="00A067F3">
      <w:pPr>
        <w:spacing w:after="160" w:line="259" w:lineRule="auto"/>
        <w:jc w:val="left"/>
      </w:pPr>
      <w:r>
        <w:br w:type="page"/>
      </w:r>
    </w:p>
    <w:p w14:paraId="41D04A86" w14:textId="1692BF16" w:rsidR="00297F0C" w:rsidRPr="00793943" w:rsidRDefault="00123016" w:rsidP="00793943">
      <w:pPr>
        <w:widowControl w:val="0"/>
        <w:numPr>
          <w:ilvl w:val="0"/>
          <w:numId w:val="2"/>
        </w:numPr>
        <w:overflowPunct w:val="0"/>
        <w:autoSpaceDE w:val="0"/>
        <w:autoSpaceDN w:val="0"/>
        <w:adjustRightInd w:val="0"/>
        <w:ind w:hanging="567"/>
        <w:textAlignment w:val="baseline"/>
        <w:rPr>
          <w:b/>
          <w:bCs/>
          <w:i/>
          <w:iCs/>
          <w:sz w:val="28"/>
          <w:szCs w:val="28"/>
        </w:rPr>
      </w:pPr>
      <w:hyperlink r:id="rId64" w:history="1">
        <w:r w:rsidR="00297F0C" w:rsidRPr="00793943">
          <w:rPr>
            <w:rStyle w:val="Hyperlink"/>
            <w:b/>
            <w:bCs/>
            <w:i/>
            <w:iCs/>
            <w:sz w:val="28"/>
            <w:szCs w:val="28"/>
          </w:rPr>
          <w:t>Úloha soukromého sektoru</w:t>
        </w:r>
        <w:r w:rsidR="001B28B8" w:rsidRPr="00793943">
          <w:rPr>
            <w:rStyle w:val="Hyperlink"/>
            <w:b/>
            <w:bCs/>
            <w:i/>
            <w:iCs/>
            <w:sz w:val="28"/>
            <w:szCs w:val="28"/>
          </w:rPr>
          <w:t xml:space="preserve"> a </w:t>
        </w:r>
        <w:r w:rsidR="00297F0C" w:rsidRPr="00793943">
          <w:rPr>
            <w:rStyle w:val="Hyperlink"/>
            <w:b/>
            <w:bCs/>
            <w:i/>
            <w:iCs/>
            <w:sz w:val="28"/>
            <w:szCs w:val="28"/>
          </w:rPr>
          <w:t>občanské společnosti při posilování hospodářské spolupráce</w:t>
        </w:r>
        <w:r w:rsidR="001B28B8" w:rsidRPr="00793943">
          <w:rPr>
            <w:rStyle w:val="Hyperlink"/>
            <w:b/>
            <w:bCs/>
            <w:i/>
            <w:iCs/>
            <w:sz w:val="28"/>
            <w:szCs w:val="28"/>
          </w:rPr>
          <w:t xml:space="preserve"> v </w:t>
        </w:r>
        <w:r w:rsidR="00297F0C" w:rsidRPr="00793943">
          <w:rPr>
            <w:rStyle w:val="Hyperlink"/>
            <w:b/>
            <w:bCs/>
            <w:i/>
            <w:iCs/>
            <w:sz w:val="28"/>
            <w:szCs w:val="28"/>
          </w:rPr>
          <w:t>rámci Paktu pro Středomoří</w:t>
        </w:r>
      </w:hyperlink>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Zpravodaj</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(Zaměstnanci – AT)</w:t>
            </w:r>
          </w:p>
        </w:tc>
      </w:tr>
      <w:tr w:rsidR="00297F0C" w:rsidRPr="00297F0C" w14:paraId="3290F704" w14:textId="77777777" w:rsidTr="002E7EFB">
        <w:tc>
          <w:tcPr>
            <w:tcW w:w="1077" w:type="pct"/>
          </w:tcPr>
          <w:p w14:paraId="432C48BB" w14:textId="0F7F542B"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Spoluzpravodajka</w:t>
            </w:r>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Lidija PAVIĆ-ROGOŠIĆ (Organizace občanské společnosti – HR)</w:t>
            </w:r>
          </w:p>
          <w:p w14:paraId="14EF11F7" w14:textId="77777777" w:rsidR="00F76EE7" w:rsidRPr="00481626" w:rsidRDefault="00F76EE7" w:rsidP="00297F0C">
            <w:pPr>
              <w:tabs>
                <w:tab w:val="center" w:pos="284"/>
              </w:tabs>
              <w:overflowPunct w:val="0"/>
              <w:autoSpaceDE w:val="0"/>
              <w:autoSpaceDN w:val="0"/>
              <w:adjustRightInd w:val="0"/>
              <w:ind w:left="266" w:right="-3091" w:hanging="266"/>
              <w:textAlignment w:val="baseline"/>
              <w:rPr>
                <w:sz w:val="14"/>
                <w:szCs w:val="14"/>
              </w:rPr>
            </w:pPr>
          </w:p>
        </w:tc>
      </w:tr>
      <w:tr w:rsidR="00297F0C" w:rsidRPr="00297F0C" w14:paraId="54CCBB87" w14:textId="77777777" w:rsidTr="002E7EFB">
        <w:tc>
          <w:tcPr>
            <w:tcW w:w="1077" w:type="pct"/>
          </w:tcPr>
          <w:p w14:paraId="7E611676" w14:textId="06875DDE" w:rsidR="00297F0C" w:rsidRPr="00297F0C" w:rsidRDefault="00986FC0" w:rsidP="00297F0C">
            <w:pPr>
              <w:tabs>
                <w:tab w:val="center" w:pos="284"/>
              </w:tabs>
              <w:overflowPunct w:val="0"/>
              <w:autoSpaceDE w:val="0"/>
              <w:autoSpaceDN w:val="0"/>
              <w:adjustRightInd w:val="0"/>
              <w:ind w:left="266" w:hanging="266"/>
              <w:textAlignment w:val="baseline"/>
              <w:rPr>
                <w:b/>
              </w:rPr>
            </w:pPr>
            <w:r>
              <w:rPr>
                <w:b/>
              </w:rPr>
              <w:t>Odkazy</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(průzkumné stanovisko na žádost kyperského předsednictví Rady EU)</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Hlavní body</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0BCEF218" w:rsidR="00297F0C" w:rsidRDefault="00297F0C" w:rsidP="00481626">
      <w:pPr>
        <w:overflowPunct w:val="0"/>
        <w:autoSpaceDE w:val="0"/>
        <w:autoSpaceDN w:val="0"/>
        <w:adjustRightInd w:val="0"/>
        <w:textAlignment w:val="baseline"/>
      </w:pPr>
      <w:r w:rsidRPr="00481626">
        <w:t>EHSV:</w:t>
      </w:r>
    </w:p>
    <w:p w14:paraId="1D2A26E9" w14:textId="77777777" w:rsidR="006D7386" w:rsidRPr="00481626" w:rsidRDefault="006D7386" w:rsidP="00481626">
      <w:pPr>
        <w:overflowPunct w:val="0"/>
        <w:autoSpaceDE w:val="0"/>
        <w:autoSpaceDN w:val="0"/>
        <w:adjustRightInd w:val="0"/>
        <w:textAlignment w:val="baseline"/>
        <w:rPr>
          <w:iCs/>
        </w:rPr>
      </w:pPr>
    </w:p>
    <w:p w14:paraId="28C5FFB8" w14:textId="5587ACF8"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se domnívá, že Pakt pro Středomoří může být úspěšný pouze</w:t>
      </w:r>
      <w:r w:rsidR="001B28B8">
        <w:rPr>
          <w:rStyle w:val="Strong"/>
          <w:b w:val="0"/>
          <w:bCs w:val="0"/>
          <w:sz w:val="22"/>
        </w:rPr>
        <w:t xml:space="preserve"> v </w:t>
      </w:r>
      <w:r w:rsidRPr="00481626">
        <w:rPr>
          <w:rStyle w:val="Strong"/>
          <w:b w:val="0"/>
          <w:bCs w:val="0"/>
          <w:sz w:val="22"/>
        </w:rPr>
        <w:t>případě skutečného</w:t>
      </w:r>
      <w:r w:rsidR="001B28B8">
        <w:rPr>
          <w:rStyle w:val="Strong"/>
          <w:b w:val="0"/>
          <w:bCs w:val="0"/>
          <w:sz w:val="22"/>
        </w:rPr>
        <w:t xml:space="preserve"> a </w:t>
      </w:r>
      <w:r w:rsidRPr="00481626">
        <w:rPr>
          <w:rStyle w:val="Strong"/>
          <w:b w:val="0"/>
          <w:bCs w:val="0"/>
          <w:sz w:val="22"/>
        </w:rPr>
        <w:t>rovnocenného partnerství mezi EU, jejími členskými státy</w:t>
      </w:r>
      <w:r w:rsidR="001B28B8">
        <w:rPr>
          <w:rStyle w:val="Strong"/>
          <w:b w:val="0"/>
          <w:bCs w:val="0"/>
          <w:sz w:val="22"/>
        </w:rPr>
        <w:t xml:space="preserve"> a </w:t>
      </w:r>
      <w:r w:rsidRPr="00481626">
        <w:rPr>
          <w:rStyle w:val="Strong"/>
          <w:b w:val="0"/>
          <w:bCs w:val="0"/>
          <w:sz w:val="22"/>
        </w:rPr>
        <w:t>partnery</w:t>
      </w:r>
      <w:r w:rsidR="001B28B8">
        <w:rPr>
          <w:rStyle w:val="Strong"/>
          <w:b w:val="0"/>
          <w:bCs w:val="0"/>
          <w:sz w:val="22"/>
        </w:rPr>
        <w:t xml:space="preserve"> z </w:t>
      </w:r>
      <w:r w:rsidRPr="00481626">
        <w:rPr>
          <w:rStyle w:val="Strong"/>
          <w:b w:val="0"/>
          <w:bCs w:val="0"/>
          <w:sz w:val="22"/>
        </w:rPr>
        <w:t>jižního Středomoří, které přinese hmatatelné výhody řadovým občanům</w:t>
      </w:r>
      <w:r w:rsidR="001B28B8">
        <w:rPr>
          <w:rStyle w:val="Strong"/>
          <w:b w:val="0"/>
          <w:bCs w:val="0"/>
          <w:sz w:val="22"/>
        </w:rPr>
        <w:t xml:space="preserve"> i </w:t>
      </w:r>
      <w:r w:rsidRPr="00481626">
        <w:rPr>
          <w:rStyle w:val="Strong"/>
          <w:b w:val="0"/>
          <w:bCs w:val="0"/>
          <w:sz w:val="22"/>
        </w:rPr>
        <w:t>místním komunitám;</w:t>
      </w:r>
    </w:p>
    <w:p w14:paraId="4EF00471" w14:textId="61C8667E"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konstatuje, že organizovaná občanská společnost – včetně odborů, sdružení zaměstnavatelů</w:t>
      </w:r>
      <w:r w:rsidR="001B28B8">
        <w:rPr>
          <w:rStyle w:val="Strong"/>
          <w:b w:val="0"/>
          <w:bCs w:val="0"/>
          <w:sz w:val="22"/>
        </w:rPr>
        <w:t xml:space="preserve"> a </w:t>
      </w:r>
      <w:r w:rsidRPr="00481626">
        <w:rPr>
          <w:rStyle w:val="Strong"/>
          <w:b w:val="0"/>
          <w:bCs w:val="0"/>
          <w:sz w:val="22"/>
        </w:rPr>
        <w:t>organizací občanské společnosti – musí být zapojena trvale</w:t>
      </w:r>
      <w:r w:rsidR="001B28B8">
        <w:rPr>
          <w:rStyle w:val="Strong"/>
          <w:b w:val="0"/>
          <w:bCs w:val="0"/>
          <w:sz w:val="22"/>
        </w:rPr>
        <w:t xml:space="preserve"> a </w:t>
      </w:r>
      <w:r w:rsidRPr="00481626">
        <w:rPr>
          <w:rStyle w:val="Strong"/>
          <w:b w:val="0"/>
          <w:bCs w:val="0"/>
          <w:sz w:val="22"/>
        </w:rPr>
        <w:t>systematicky, nikoli pouze formou příležitostných konzultací;</w:t>
      </w:r>
    </w:p>
    <w:p w14:paraId="68E751A5" w14:textId="2EE84746"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je přesvědčen, že</w:t>
      </w:r>
      <w:r w:rsidR="001B28B8">
        <w:rPr>
          <w:rStyle w:val="Strong"/>
          <w:b w:val="0"/>
          <w:bCs w:val="0"/>
          <w:sz w:val="22"/>
        </w:rPr>
        <w:t xml:space="preserve"> k </w:t>
      </w:r>
      <w:r w:rsidRPr="00481626">
        <w:rPr>
          <w:rStyle w:val="Strong"/>
          <w:b w:val="0"/>
          <w:bCs w:val="0"/>
          <w:sz w:val="22"/>
        </w:rPr>
        <w:t>posílení soukromého sektoru, zejména mikropodniků</w:t>
      </w:r>
      <w:r w:rsidR="001B28B8">
        <w:rPr>
          <w:rStyle w:val="Strong"/>
          <w:b w:val="0"/>
          <w:bCs w:val="0"/>
          <w:sz w:val="22"/>
        </w:rPr>
        <w:t xml:space="preserve"> a </w:t>
      </w:r>
      <w:r w:rsidRPr="00481626">
        <w:rPr>
          <w:rStyle w:val="Strong"/>
          <w:b w:val="0"/>
          <w:bCs w:val="0"/>
          <w:sz w:val="22"/>
        </w:rPr>
        <w:t>malých</w:t>
      </w:r>
      <w:r w:rsidR="001B28B8">
        <w:rPr>
          <w:rStyle w:val="Strong"/>
          <w:b w:val="0"/>
          <w:bCs w:val="0"/>
          <w:sz w:val="22"/>
        </w:rPr>
        <w:t xml:space="preserve"> a </w:t>
      </w:r>
      <w:r w:rsidRPr="00481626">
        <w:rPr>
          <w:rStyle w:val="Strong"/>
          <w:b w:val="0"/>
          <w:bCs w:val="0"/>
          <w:sz w:val="22"/>
        </w:rPr>
        <w:t>středních podniků, potřebuje region reformy, které zlepší přístup</w:t>
      </w:r>
      <w:r w:rsidR="001B28B8">
        <w:rPr>
          <w:rStyle w:val="Strong"/>
          <w:b w:val="0"/>
          <w:bCs w:val="0"/>
          <w:sz w:val="22"/>
        </w:rPr>
        <w:t xml:space="preserve"> k </w:t>
      </w:r>
      <w:r w:rsidRPr="00481626">
        <w:rPr>
          <w:rStyle w:val="Strong"/>
          <w:b w:val="0"/>
          <w:bCs w:val="0"/>
          <w:sz w:val="22"/>
        </w:rPr>
        <w:t>financování, zjednoduší postupy</w:t>
      </w:r>
      <w:r w:rsidR="001B28B8">
        <w:rPr>
          <w:rStyle w:val="Strong"/>
          <w:b w:val="0"/>
          <w:bCs w:val="0"/>
          <w:sz w:val="22"/>
        </w:rPr>
        <w:t xml:space="preserve"> a </w:t>
      </w:r>
      <w:r w:rsidRPr="00481626">
        <w:rPr>
          <w:rStyle w:val="Strong"/>
          <w:b w:val="0"/>
          <w:bCs w:val="0"/>
          <w:sz w:val="22"/>
        </w:rPr>
        <w:t>podpoří digitalizaci</w:t>
      </w:r>
      <w:r w:rsidR="001B28B8">
        <w:rPr>
          <w:rStyle w:val="Strong"/>
          <w:b w:val="0"/>
          <w:bCs w:val="0"/>
          <w:sz w:val="22"/>
        </w:rPr>
        <w:t xml:space="preserve"> a </w:t>
      </w:r>
      <w:r w:rsidRPr="00481626">
        <w:rPr>
          <w:rStyle w:val="Strong"/>
          <w:b w:val="0"/>
          <w:bCs w:val="0"/>
          <w:sz w:val="22"/>
        </w:rPr>
        <w:t>konektivitu, aby se podniky mohly zapojit do regionálních hodnotových řetězců;</w:t>
      </w:r>
    </w:p>
    <w:p w14:paraId="0D3404AE" w14:textId="1A2186C5"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je toho názoru, že stávající obchodní dohody EU</w:t>
      </w:r>
      <w:r w:rsidR="001B28B8">
        <w:rPr>
          <w:rStyle w:val="Strong"/>
          <w:b w:val="0"/>
          <w:bCs w:val="0"/>
          <w:sz w:val="22"/>
        </w:rPr>
        <w:t xml:space="preserve"> s </w:t>
      </w:r>
      <w:r w:rsidRPr="00481626">
        <w:rPr>
          <w:rStyle w:val="Strong"/>
          <w:b w:val="0"/>
          <w:bCs w:val="0"/>
          <w:sz w:val="22"/>
        </w:rPr>
        <w:t>mnoha zeměmi jižního Středomoří jsou překonané</w:t>
      </w:r>
      <w:r w:rsidR="001B28B8">
        <w:rPr>
          <w:rStyle w:val="Strong"/>
          <w:b w:val="0"/>
          <w:bCs w:val="0"/>
          <w:sz w:val="22"/>
        </w:rPr>
        <w:t xml:space="preserve"> a </w:t>
      </w:r>
      <w:r w:rsidRPr="00481626">
        <w:rPr>
          <w:rStyle w:val="Strong"/>
          <w:b w:val="0"/>
          <w:bCs w:val="0"/>
          <w:sz w:val="22"/>
        </w:rPr>
        <w:t>měly by být modernizovány, přičemž občanská společnost by měla pomáhat monitorovat plnění závazků</w:t>
      </w:r>
      <w:r w:rsidR="001B28B8">
        <w:rPr>
          <w:rStyle w:val="Strong"/>
          <w:b w:val="0"/>
          <w:bCs w:val="0"/>
          <w:sz w:val="22"/>
        </w:rPr>
        <w:t xml:space="preserve"> v </w:t>
      </w:r>
      <w:r w:rsidRPr="00481626">
        <w:rPr>
          <w:rStyle w:val="Strong"/>
          <w:b w:val="0"/>
          <w:bCs w:val="0"/>
          <w:sz w:val="22"/>
        </w:rPr>
        <w:t>oblasti práce, životního prostředí</w:t>
      </w:r>
      <w:r w:rsidR="001B28B8">
        <w:rPr>
          <w:rStyle w:val="Strong"/>
          <w:b w:val="0"/>
          <w:bCs w:val="0"/>
          <w:sz w:val="22"/>
        </w:rPr>
        <w:t xml:space="preserve"> a </w:t>
      </w:r>
      <w:r w:rsidRPr="00481626">
        <w:rPr>
          <w:rStyle w:val="Strong"/>
          <w:b w:val="0"/>
          <w:bCs w:val="0"/>
          <w:sz w:val="22"/>
        </w:rPr>
        <w:t>lidských práv;</w:t>
      </w:r>
    </w:p>
    <w:p w14:paraId="1FA4439B" w14:textId="32B2C34D"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je přesvědčen, že obchod</w:t>
      </w:r>
      <w:r w:rsidR="001B28B8">
        <w:rPr>
          <w:rStyle w:val="Strong"/>
          <w:b w:val="0"/>
          <w:bCs w:val="0"/>
          <w:sz w:val="22"/>
        </w:rPr>
        <w:t xml:space="preserve"> a </w:t>
      </w:r>
      <w:r w:rsidRPr="00481626">
        <w:rPr>
          <w:rStyle w:val="Strong"/>
          <w:b w:val="0"/>
          <w:bCs w:val="0"/>
          <w:sz w:val="22"/>
        </w:rPr>
        <w:t>investice by měly být spojeny</w:t>
      </w:r>
      <w:r w:rsidR="001B28B8">
        <w:rPr>
          <w:rStyle w:val="Strong"/>
          <w:b w:val="0"/>
          <w:bCs w:val="0"/>
          <w:sz w:val="22"/>
        </w:rPr>
        <w:t xml:space="preserve"> s </w:t>
      </w:r>
      <w:r w:rsidRPr="00481626">
        <w:rPr>
          <w:rStyle w:val="Strong"/>
          <w:b w:val="0"/>
          <w:bCs w:val="0"/>
          <w:sz w:val="22"/>
        </w:rPr>
        <w:t>udržitelným rozvojem</w:t>
      </w:r>
      <w:r w:rsidR="001B28B8">
        <w:rPr>
          <w:rStyle w:val="Strong"/>
          <w:b w:val="0"/>
          <w:bCs w:val="0"/>
          <w:sz w:val="22"/>
        </w:rPr>
        <w:t xml:space="preserve"> a </w:t>
      </w:r>
      <w:r w:rsidRPr="00481626">
        <w:rPr>
          <w:rStyle w:val="Strong"/>
          <w:b w:val="0"/>
          <w:bCs w:val="0"/>
          <w:sz w:val="22"/>
        </w:rPr>
        <w:t>důstojnou prací, včetně spravedlivých mezd, bezpečných pracovních podmínek, vymahatelných norem</w:t>
      </w:r>
      <w:r w:rsidR="001B28B8">
        <w:rPr>
          <w:rStyle w:val="Strong"/>
          <w:b w:val="0"/>
          <w:bCs w:val="0"/>
          <w:sz w:val="22"/>
        </w:rPr>
        <w:t xml:space="preserve"> a </w:t>
      </w:r>
      <w:r w:rsidRPr="00481626">
        <w:rPr>
          <w:rStyle w:val="Strong"/>
          <w:b w:val="0"/>
          <w:bCs w:val="0"/>
          <w:sz w:val="22"/>
        </w:rPr>
        <w:t>investic do udržitelných regionálních projektů;</w:t>
      </w:r>
    </w:p>
    <w:p w14:paraId="7BC25437" w14:textId="111E652B"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zdůrazňuje, že přechod</w:t>
      </w:r>
      <w:r w:rsidR="001B28B8">
        <w:rPr>
          <w:rStyle w:val="Strong"/>
          <w:b w:val="0"/>
          <w:bCs w:val="0"/>
          <w:sz w:val="22"/>
        </w:rPr>
        <w:t xml:space="preserve"> z </w:t>
      </w:r>
      <w:r w:rsidRPr="00481626">
        <w:rPr>
          <w:rStyle w:val="Strong"/>
          <w:b w:val="0"/>
          <w:bCs w:val="0"/>
          <w:sz w:val="22"/>
        </w:rPr>
        <w:t>neformální do formální ekonomiky by se měl řídit doporučením MOP č. 204, což znamená, že by měl být postupný, inkluzivní</w:t>
      </w:r>
      <w:r w:rsidR="001B28B8">
        <w:rPr>
          <w:rStyle w:val="Strong"/>
          <w:b w:val="0"/>
          <w:bCs w:val="0"/>
          <w:sz w:val="22"/>
        </w:rPr>
        <w:t xml:space="preserve"> a </w:t>
      </w:r>
      <w:r w:rsidRPr="00481626">
        <w:rPr>
          <w:rStyle w:val="Strong"/>
          <w:b w:val="0"/>
          <w:bCs w:val="0"/>
          <w:sz w:val="22"/>
        </w:rPr>
        <w:t>ekonomicky realistický, nikoli represivní;</w:t>
      </w:r>
    </w:p>
    <w:p w14:paraId="6925CA0C" w14:textId="58FE0B82"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je přesvědčen, že akční plán tohoto paktu by měl zaručit sociální ochranu, pracovní práva</w:t>
      </w:r>
      <w:r w:rsidR="001B28B8">
        <w:rPr>
          <w:rStyle w:val="Strong"/>
          <w:b w:val="0"/>
          <w:bCs w:val="0"/>
          <w:sz w:val="22"/>
        </w:rPr>
        <w:t xml:space="preserve"> a </w:t>
      </w:r>
      <w:r w:rsidRPr="00481626">
        <w:rPr>
          <w:rStyle w:val="Strong"/>
          <w:b w:val="0"/>
          <w:bCs w:val="0"/>
          <w:sz w:val="22"/>
        </w:rPr>
        <w:t>dodržování základních úmluv MOP</w:t>
      </w:r>
      <w:r w:rsidR="001B28B8">
        <w:rPr>
          <w:rStyle w:val="Strong"/>
          <w:b w:val="0"/>
          <w:bCs w:val="0"/>
          <w:sz w:val="22"/>
        </w:rPr>
        <w:t xml:space="preserve"> a </w:t>
      </w:r>
      <w:r w:rsidRPr="00481626">
        <w:rPr>
          <w:rStyle w:val="Strong"/>
          <w:b w:val="0"/>
          <w:bCs w:val="0"/>
          <w:sz w:val="22"/>
        </w:rPr>
        <w:t>zároveň zajistit, že do projektů strategie Global Gateway</w:t>
      </w:r>
      <w:r w:rsidR="001B28B8">
        <w:rPr>
          <w:rStyle w:val="Strong"/>
          <w:b w:val="0"/>
          <w:bCs w:val="0"/>
          <w:sz w:val="22"/>
        </w:rPr>
        <w:t xml:space="preserve"> a </w:t>
      </w:r>
      <w:r w:rsidRPr="00481626">
        <w:rPr>
          <w:rStyle w:val="Strong"/>
          <w:b w:val="0"/>
          <w:bCs w:val="0"/>
          <w:sz w:val="22"/>
        </w:rPr>
        <w:t>dalších významných projektů budou od samého počátku zapojeni sociální partneři</w:t>
      </w:r>
      <w:r w:rsidR="001B28B8">
        <w:rPr>
          <w:rStyle w:val="Strong"/>
          <w:b w:val="0"/>
          <w:bCs w:val="0"/>
          <w:sz w:val="22"/>
        </w:rPr>
        <w:t xml:space="preserve"> a </w:t>
      </w:r>
      <w:r w:rsidRPr="00481626">
        <w:rPr>
          <w:rStyle w:val="Strong"/>
          <w:b w:val="0"/>
          <w:bCs w:val="0"/>
          <w:sz w:val="22"/>
        </w:rPr>
        <w:t>občanská společnost;</w:t>
      </w:r>
    </w:p>
    <w:p w14:paraId="69C5292A" w14:textId="7BD385E6" w:rsidR="00481626" w:rsidRPr="00481626" w:rsidRDefault="00481626" w:rsidP="008D7B21">
      <w:pPr>
        <w:pStyle w:val="NormalWeb"/>
        <w:numPr>
          <w:ilvl w:val="0"/>
          <w:numId w:val="11"/>
        </w:numPr>
        <w:spacing w:before="0" w:beforeAutospacing="0" w:after="0" w:afterAutospacing="0" w:line="288" w:lineRule="auto"/>
        <w:ind w:left="567" w:hanging="567"/>
        <w:jc w:val="both"/>
        <w:rPr>
          <w:rStyle w:val="Strong"/>
          <w:b w:val="0"/>
          <w:bCs w:val="0"/>
          <w:sz w:val="22"/>
          <w:szCs w:val="22"/>
        </w:rPr>
      </w:pPr>
      <w:r w:rsidRPr="00481626">
        <w:rPr>
          <w:rStyle w:val="Strong"/>
          <w:b w:val="0"/>
          <w:bCs w:val="0"/>
          <w:sz w:val="22"/>
        </w:rPr>
        <w:t>požaduje, aby byla věnována zvláštní pozornost subjektům sociální ekonomiky, ženám</w:t>
      </w:r>
      <w:r w:rsidR="001B28B8">
        <w:rPr>
          <w:rStyle w:val="Strong"/>
          <w:b w:val="0"/>
          <w:bCs w:val="0"/>
          <w:sz w:val="22"/>
        </w:rPr>
        <w:t xml:space="preserve"> a </w:t>
      </w:r>
      <w:r w:rsidRPr="00481626">
        <w:rPr>
          <w:rStyle w:val="Strong"/>
          <w:b w:val="0"/>
          <w:bCs w:val="0"/>
          <w:sz w:val="22"/>
        </w:rPr>
        <w:t>mladým lidem,</w:t>
      </w:r>
      <w:r w:rsidR="001B28B8">
        <w:rPr>
          <w:rStyle w:val="Strong"/>
          <w:b w:val="0"/>
          <w:bCs w:val="0"/>
          <w:sz w:val="22"/>
        </w:rPr>
        <w:t xml:space="preserve"> a </w:t>
      </w:r>
      <w:r w:rsidRPr="00481626">
        <w:rPr>
          <w:rStyle w:val="Strong"/>
          <w:b w:val="0"/>
          <w:bCs w:val="0"/>
          <w:sz w:val="22"/>
        </w:rPr>
        <w:t>to prostřednictvím financování, budování kapacit, právní podpory, programů na podporu podnikání</w:t>
      </w:r>
      <w:r w:rsidR="001B28B8">
        <w:rPr>
          <w:rStyle w:val="Strong"/>
          <w:b w:val="0"/>
          <w:bCs w:val="0"/>
          <w:sz w:val="22"/>
        </w:rPr>
        <w:t xml:space="preserve"> a </w:t>
      </w:r>
      <w:r w:rsidRPr="00481626">
        <w:rPr>
          <w:rStyle w:val="Strong"/>
          <w:b w:val="0"/>
          <w:bCs w:val="0"/>
          <w:sz w:val="22"/>
        </w:rPr>
        <w:t>zapojení do správy věcí veřejných, přičemž</w:t>
      </w:r>
      <w:r w:rsidR="001B28B8">
        <w:rPr>
          <w:rStyle w:val="Strong"/>
          <w:b w:val="0"/>
          <w:bCs w:val="0"/>
          <w:sz w:val="22"/>
        </w:rPr>
        <w:t xml:space="preserve"> v </w:t>
      </w:r>
      <w:r w:rsidRPr="00481626">
        <w:rPr>
          <w:rStyle w:val="Strong"/>
          <w:b w:val="0"/>
          <w:bCs w:val="0"/>
          <w:sz w:val="22"/>
        </w:rPr>
        <w:t>rámci mobility pracovní síly je třeba respektovat lidská práva</w:t>
      </w:r>
      <w:r w:rsidR="001B28B8">
        <w:rPr>
          <w:rStyle w:val="Strong"/>
          <w:b w:val="0"/>
          <w:bCs w:val="0"/>
          <w:sz w:val="22"/>
        </w:rPr>
        <w:t xml:space="preserve"> a </w:t>
      </w:r>
      <w:r w:rsidRPr="00481626">
        <w:rPr>
          <w:rStyle w:val="Strong"/>
          <w:b w:val="0"/>
          <w:bCs w:val="0"/>
          <w:sz w:val="22"/>
        </w:rPr>
        <w:t>zabránit odlivu mozků;</w:t>
      </w:r>
    </w:p>
    <w:p w14:paraId="4BC9254C" w14:textId="33D07C88" w:rsidR="00481626" w:rsidRPr="00481626" w:rsidRDefault="00481626" w:rsidP="008D7B21">
      <w:pPr>
        <w:pStyle w:val="NormalWeb"/>
        <w:numPr>
          <w:ilvl w:val="0"/>
          <w:numId w:val="11"/>
        </w:numPr>
        <w:spacing w:before="0" w:beforeAutospacing="0" w:after="0" w:afterAutospacing="0" w:line="288" w:lineRule="auto"/>
        <w:ind w:left="567" w:hanging="567"/>
        <w:jc w:val="both"/>
        <w:rPr>
          <w:sz w:val="22"/>
          <w:szCs w:val="22"/>
        </w:rPr>
      </w:pPr>
      <w:r w:rsidRPr="00481626">
        <w:rPr>
          <w:sz w:val="22"/>
        </w:rPr>
        <w:t>je přesvědčen, že by měla být posílena koordinace mezi finančními institucemi financovanými EU</w:t>
      </w:r>
      <w:r w:rsidR="001B28B8">
        <w:rPr>
          <w:sz w:val="22"/>
        </w:rPr>
        <w:t xml:space="preserve"> a </w:t>
      </w:r>
      <w:r w:rsidRPr="00481626">
        <w:rPr>
          <w:sz w:val="22"/>
        </w:rPr>
        <w:t>mezinárodními finančními institucemi, aby se zvýšila účinnost opatření,</w:t>
      </w:r>
      <w:r w:rsidR="001B28B8">
        <w:rPr>
          <w:sz w:val="22"/>
        </w:rPr>
        <w:t xml:space="preserve"> a </w:t>
      </w:r>
      <w:r w:rsidRPr="00481626">
        <w:rPr>
          <w:sz w:val="22"/>
        </w:rPr>
        <w:t>že zřízení regionální rozvojové banky nebo podobného finančního mechanismu by mohlo přispět</w:t>
      </w:r>
      <w:r w:rsidR="001B28B8">
        <w:rPr>
          <w:sz w:val="22"/>
        </w:rPr>
        <w:t xml:space="preserve"> k </w:t>
      </w:r>
      <w:r w:rsidRPr="00481626">
        <w:rPr>
          <w:sz w:val="22"/>
        </w:rPr>
        <w:t>financování infrastruktury, mikropodniků</w:t>
      </w:r>
      <w:r w:rsidR="001B28B8">
        <w:rPr>
          <w:sz w:val="22"/>
        </w:rPr>
        <w:t xml:space="preserve"> a </w:t>
      </w:r>
      <w:r w:rsidRPr="00481626">
        <w:rPr>
          <w:sz w:val="22"/>
        </w:rPr>
        <w:t>malých</w:t>
      </w:r>
      <w:r w:rsidR="001B28B8">
        <w:rPr>
          <w:sz w:val="22"/>
        </w:rPr>
        <w:t xml:space="preserve"> a </w:t>
      </w:r>
      <w:r w:rsidRPr="00481626">
        <w:rPr>
          <w:sz w:val="22"/>
        </w:rPr>
        <w:t>středních podniků, start-upů</w:t>
      </w:r>
      <w:r w:rsidR="001B28B8">
        <w:rPr>
          <w:sz w:val="22"/>
        </w:rPr>
        <w:t xml:space="preserve"> a </w:t>
      </w:r>
      <w:r w:rsidRPr="00481626">
        <w:rPr>
          <w:sz w:val="22"/>
        </w:rPr>
        <w:t>projektů sociální ekonomiky za transparentní účasti</w:t>
      </w:r>
      <w:r>
        <w:rPr>
          <w:sz w:val="22"/>
        </w:rPr>
        <w:t xml:space="preserve"> občanské společnosti.</w:t>
      </w:r>
    </w:p>
    <w:p w14:paraId="5FF80068" w14:textId="77777777" w:rsidR="00481626" w:rsidRPr="00635610" w:rsidRDefault="00481626" w:rsidP="00481626">
      <w:pPr>
        <w:pStyle w:val="NormalWeb"/>
        <w:spacing w:before="0" w:beforeAutospacing="0" w:after="0" w:afterAutospacing="0" w:line="288" w:lineRule="auto"/>
        <w:jc w:val="both"/>
        <w:rPr>
          <w:sz w:val="22"/>
          <w:szCs w:val="22"/>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764"/>
      </w:tblGrid>
      <w:tr w:rsidR="00297F0C" w:rsidRPr="00297F0C" w14:paraId="12ED4367" w14:textId="77777777" w:rsidTr="00FB4D8E">
        <w:tc>
          <w:tcPr>
            <w:tcW w:w="821" w:type="pct"/>
          </w:tcPr>
          <w:p w14:paraId="17C20851" w14:textId="4041C4F3" w:rsidR="00297F0C" w:rsidRPr="00297F0C" w:rsidRDefault="00297F0C">
            <w:pPr>
              <w:overflowPunct w:val="0"/>
              <w:autoSpaceDE w:val="0"/>
              <w:autoSpaceDN w:val="0"/>
              <w:adjustRightInd w:val="0"/>
              <w:textAlignment w:val="baseline"/>
              <w:rPr>
                <w:i/>
              </w:rPr>
            </w:pPr>
            <w:r>
              <w:lastRenderedPageBreak/>
              <w:br w:type="page"/>
            </w:r>
            <w:r>
              <w:rPr>
                <w:b/>
                <w:i/>
              </w:rPr>
              <w:t>Kontakt:</w:t>
            </w:r>
          </w:p>
        </w:tc>
        <w:tc>
          <w:tcPr>
            <w:tcW w:w="4179"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FB4D8E">
        <w:tc>
          <w:tcPr>
            <w:tcW w:w="821" w:type="pct"/>
          </w:tcPr>
          <w:p w14:paraId="333F8669" w14:textId="77777777" w:rsidR="00297F0C" w:rsidRPr="00297F0C" w:rsidRDefault="00297F0C" w:rsidP="00297F0C">
            <w:pPr>
              <w:overflowPunct w:val="0"/>
              <w:autoSpaceDE w:val="0"/>
              <w:autoSpaceDN w:val="0"/>
              <w:adjustRightInd w:val="0"/>
              <w:textAlignment w:val="baseline"/>
              <w:rPr>
                <w:i/>
              </w:rPr>
            </w:pPr>
            <w:r>
              <w:rPr>
                <w:i/>
              </w:rPr>
              <w:t>Tel.</w:t>
            </w:r>
          </w:p>
        </w:tc>
        <w:tc>
          <w:tcPr>
            <w:tcW w:w="4179"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FB4D8E">
        <w:tc>
          <w:tcPr>
            <w:tcW w:w="821" w:type="pct"/>
          </w:tcPr>
          <w:p w14:paraId="069DD35F" w14:textId="77777777" w:rsidR="00297F0C" w:rsidRPr="00297F0C" w:rsidRDefault="00297F0C" w:rsidP="00297F0C">
            <w:pPr>
              <w:overflowPunct w:val="0"/>
              <w:autoSpaceDE w:val="0"/>
              <w:autoSpaceDN w:val="0"/>
              <w:adjustRightInd w:val="0"/>
              <w:textAlignment w:val="baseline"/>
              <w:rPr>
                <w:i/>
              </w:rPr>
            </w:pPr>
            <w:r>
              <w:rPr>
                <w:i/>
              </w:rPr>
              <w:t>E-mail:</w:t>
            </w:r>
          </w:p>
        </w:tc>
        <w:tc>
          <w:tcPr>
            <w:tcW w:w="4179" w:type="pct"/>
          </w:tcPr>
          <w:p w14:paraId="6FC2A286" w14:textId="77777777" w:rsidR="00297F0C" w:rsidRPr="00297F0C" w:rsidRDefault="00123016" w:rsidP="00297F0C">
            <w:pPr>
              <w:overflowPunct w:val="0"/>
              <w:autoSpaceDE w:val="0"/>
              <w:autoSpaceDN w:val="0"/>
              <w:adjustRightInd w:val="0"/>
              <w:textAlignment w:val="baseline"/>
              <w:rPr>
                <w:i/>
              </w:rPr>
            </w:pPr>
            <w:hyperlink r:id="rId65" w:history="1">
              <w:r w:rsidR="00E60ACE">
                <w:rPr>
                  <w:i/>
                  <w:color w:val="0000FF"/>
                  <w:u w:val="single"/>
                </w:rPr>
                <w:t>Andreas.Berger@eesc.europa.eu</w:t>
              </w:r>
            </w:hyperlink>
            <w:r w:rsidR="00E60ACE">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528C73AA" w14:textId="46DE726B" w:rsidR="006D2C8A" w:rsidRPr="006D2C8A" w:rsidRDefault="006D2C8A" w:rsidP="00AA5081">
      <w:pPr>
        <w:pStyle w:val="Heading1"/>
      </w:pPr>
      <w:bookmarkStart w:id="14" w:name="_Toc229140651"/>
      <w:bookmarkStart w:id="15" w:name="_Toc229140658"/>
      <w:bookmarkStart w:id="16" w:name="_Toc229140659"/>
      <w:bookmarkStart w:id="17" w:name="_Toc229143566"/>
      <w:bookmarkEnd w:id="14"/>
      <w:bookmarkEnd w:id="15"/>
      <w:r>
        <w:lastRenderedPageBreak/>
        <w:t>PORADNÍ KOMISE PRO PRŮMYSLOVÉ ZMĚNY</w:t>
      </w:r>
      <w:bookmarkEnd w:id="16"/>
      <w:bookmarkEnd w:id="17"/>
    </w:p>
    <w:p w14:paraId="713E272F" w14:textId="77777777" w:rsidR="006D2C8A" w:rsidRDefault="006D2C8A" w:rsidP="001766B2"/>
    <w:p w14:paraId="1B9F790A" w14:textId="56A0911F" w:rsidR="00814A54" w:rsidRPr="00793943" w:rsidRDefault="00123016" w:rsidP="008D7B21">
      <w:pPr>
        <w:widowControl w:val="0"/>
        <w:numPr>
          <w:ilvl w:val="0"/>
          <w:numId w:val="12"/>
        </w:numPr>
        <w:spacing w:after="200" w:line="276" w:lineRule="auto"/>
        <w:ind w:left="567" w:hanging="567"/>
        <w:contextualSpacing/>
        <w:jc w:val="left"/>
        <w:rPr>
          <w:b/>
          <w:bCs/>
          <w:i/>
          <w:iCs/>
          <w:sz w:val="28"/>
          <w:szCs w:val="28"/>
        </w:rPr>
      </w:pPr>
      <w:hyperlink r:id="rId66" w:history="1">
        <w:r w:rsidR="00814A54" w:rsidRPr="00793943">
          <w:rPr>
            <w:rStyle w:val="Hyperlink"/>
            <w:b/>
            <w:bCs/>
            <w:i/>
            <w:iCs/>
            <w:sz w:val="28"/>
            <w:szCs w:val="28"/>
          </w:rPr>
          <w:t>Program pro pružné</w:t>
        </w:r>
        <w:r w:rsidR="001B28B8" w:rsidRPr="00793943">
          <w:rPr>
            <w:rStyle w:val="Hyperlink"/>
            <w:b/>
            <w:bCs/>
            <w:i/>
            <w:iCs/>
            <w:sz w:val="28"/>
            <w:szCs w:val="28"/>
          </w:rPr>
          <w:t xml:space="preserve"> a </w:t>
        </w:r>
        <w:r w:rsidR="00814A54" w:rsidRPr="00793943">
          <w:rPr>
            <w:rStyle w:val="Hyperlink"/>
            <w:b/>
            <w:bCs/>
            <w:i/>
            <w:iCs/>
            <w:sz w:val="28"/>
            <w:szCs w:val="28"/>
          </w:rPr>
          <w:t>rychlé inovace</w:t>
        </w:r>
        <w:r w:rsidR="001B28B8" w:rsidRPr="00793943">
          <w:rPr>
            <w:rStyle w:val="Hyperlink"/>
            <w:b/>
            <w:bCs/>
            <w:i/>
            <w:iCs/>
            <w:sz w:val="28"/>
            <w:szCs w:val="28"/>
          </w:rPr>
          <w:t xml:space="preserve"> v </w:t>
        </w:r>
        <w:r w:rsidR="00814A54" w:rsidRPr="00793943">
          <w:rPr>
            <w:rStyle w:val="Hyperlink"/>
            <w:b/>
            <w:bCs/>
            <w:i/>
            <w:iCs/>
            <w:sz w:val="28"/>
            <w:szCs w:val="28"/>
          </w:rPr>
          <w:t>oblasti obrany (AGILE)</w:t>
        </w:r>
      </w:hyperlink>
      <w:r w:rsidR="00814A54" w:rsidRPr="00793943">
        <w:rPr>
          <w:b/>
          <w:bCs/>
          <w:i/>
          <w:iCs/>
          <w:sz w:val="28"/>
          <w:szCs w:val="28"/>
        </w:rPr>
        <w:t xml:space="preserve"> </w:t>
      </w:r>
    </w:p>
    <w:p w14:paraId="6F2DA26F" w14:textId="77777777" w:rsidR="006D7386" w:rsidRPr="006D7386" w:rsidRDefault="006D7386" w:rsidP="006D7386">
      <w:pPr>
        <w:widowControl w:val="0"/>
        <w:spacing w:after="200" w:line="276" w:lineRule="auto"/>
        <w:ind w:left="567"/>
        <w:contextualSpacing/>
        <w:jc w:val="left"/>
      </w:pP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5670"/>
      </w:tblGrid>
      <w:tr w:rsidR="00814A54" w:rsidRPr="00814A54" w14:paraId="37988BA0" w14:textId="77777777" w:rsidTr="002E7EFB">
        <w:tc>
          <w:tcPr>
            <w:tcW w:w="1701" w:type="dxa"/>
          </w:tcPr>
          <w:p w14:paraId="41B7C4EB" w14:textId="77777777" w:rsidR="00814A54" w:rsidRPr="00814A54" w:rsidRDefault="00814A54" w:rsidP="00814A54">
            <w:pPr>
              <w:tabs>
                <w:tab w:val="center" w:pos="284"/>
              </w:tabs>
              <w:ind w:left="266" w:hanging="266"/>
              <w:rPr>
                <w:b/>
              </w:rPr>
            </w:pPr>
            <w:r>
              <w:rPr>
                <w:b/>
              </w:rPr>
              <w:t>Zpravodaj</w:t>
            </w:r>
          </w:p>
        </w:tc>
        <w:tc>
          <w:tcPr>
            <w:tcW w:w="5670" w:type="dxa"/>
          </w:tcPr>
          <w:p w14:paraId="1D11312F" w14:textId="073C09C2" w:rsidR="00814A54" w:rsidRPr="00814A54" w:rsidRDefault="00814A54" w:rsidP="00814A54">
            <w:pPr>
              <w:tabs>
                <w:tab w:val="center" w:pos="284"/>
              </w:tabs>
              <w:ind w:left="266" w:hanging="266"/>
            </w:pPr>
            <w:r>
              <w:t>Monika SITÁROVÁ (Workers' Group - SK)</w:t>
            </w:r>
          </w:p>
        </w:tc>
      </w:tr>
      <w:tr w:rsidR="00814A54" w:rsidRPr="00814A54" w14:paraId="3DB16DB5" w14:textId="77777777" w:rsidTr="002E7EFB">
        <w:tc>
          <w:tcPr>
            <w:tcW w:w="1701" w:type="dxa"/>
          </w:tcPr>
          <w:p w14:paraId="723151C3" w14:textId="4E8319A6" w:rsidR="00814A54" w:rsidRPr="00814A54" w:rsidRDefault="00814A54" w:rsidP="00814A54">
            <w:pPr>
              <w:tabs>
                <w:tab w:val="center" w:pos="284"/>
              </w:tabs>
              <w:ind w:left="266" w:hanging="266"/>
              <w:rPr>
                <w:b/>
              </w:rPr>
            </w:pPr>
            <w:r>
              <w:rPr>
                <w:b/>
              </w:rPr>
              <w:t>Spoluzpravodajka</w:t>
            </w:r>
          </w:p>
        </w:tc>
        <w:tc>
          <w:tcPr>
            <w:tcW w:w="5670" w:type="dxa"/>
          </w:tcPr>
          <w:p w14:paraId="691AA178" w14:textId="77BDBBFF" w:rsidR="00814A54" w:rsidRPr="00814A54" w:rsidRDefault="00814A54" w:rsidP="00814A54">
            <w:pPr>
              <w:tabs>
                <w:tab w:val="center" w:pos="284"/>
              </w:tabs>
              <w:ind w:left="266" w:hanging="266"/>
            </w:pPr>
            <w:r>
              <w:t>Srita HEIDE (Cat. 3 - 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42E43F02" w:rsidR="00814A54" w:rsidRPr="00814A54" w:rsidRDefault="00986FC0" w:rsidP="00814A54">
            <w:pPr>
              <w:tabs>
                <w:tab w:val="center" w:pos="284"/>
              </w:tabs>
              <w:ind w:left="266" w:hanging="266"/>
              <w:rPr>
                <w:b/>
              </w:rPr>
            </w:pPr>
            <w:r>
              <w:rPr>
                <w:b/>
              </w:rPr>
              <w:t>Odkazy</w:t>
            </w:r>
          </w:p>
        </w:tc>
        <w:tc>
          <w:tcPr>
            <w:tcW w:w="5670" w:type="dxa"/>
          </w:tcPr>
          <w:p w14:paraId="699F0B48" w14:textId="3F25C095" w:rsidR="00BA2BB0" w:rsidRDefault="00BA2BB0" w:rsidP="00814A54">
            <w:pPr>
              <w:tabs>
                <w:tab w:val="center" w:pos="284"/>
              </w:tabs>
              <w:ind w:left="266" w:hanging="266"/>
            </w:pPr>
            <w:r>
              <w:t>COM(2026) 135 final</w:t>
            </w:r>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Hlavní body</w:t>
      </w:r>
    </w:p>
    <w:p w14:paraId="0388059A" w14:textId="77777777" w:rsidR="00814A54" w:rsidRPr="00814A54" w:rsidRDefault="00814A54" w:rsidP="006D7386">
      <w:pPr>
        <w:tabs>
          <w:tab w:val="center" w:pos="284"/>
        </w:tabs>
        <w:spacing w:line="240" w:lineRule="auto"/>
        <w:rPr>
          <w:b/>
        </w:rPr>
      </w:pPr>
    </w:p>
    <w:p w14:paraId="144BA9E2" w14:textId="77777777" w:rsidR="00814A54" w:rsidRPr="00814A54" w:rsidRDefault="00814A54" w:rsidP="00814A54">
      <w:pPr>
        <w:keepNext/>
        <w:keepLines/>
        <w:tabs>
          <w:tab w:val="center" w:pos="284"/>
        </w:tabs>
        <w:ind w:left="266" w:hanging="266"/>
        <w:rPr>
          <w:bCs/>
        </w:rPr>
      </w:pPr>
      <w:r>
        <w:t>EHSV:</w:t>
      </w:r>
    </w:p>
    <w:p w14:paraId="35C0FAC6" w14:textId="77777777" w:rsidR="00814A54" w:rsidRPr="00814A54" w:rsidRDefault="00814A54" w:rsidP="006D7386">
      <w:pPr>
        <w:tabs>
          <w:tab w:val="center" w:pos="284"/>
        </w:tabs>
        <w:spacing w:line="240" w:lineRule="auto"/>
        <w:rPr>
          <w:bCs/>
        </w:rPr>
      </w:pPr>
    </w:p>
    <w:p w14:paraId="60E1B6BD" w14:textId="0230D8AF" w:rsidR="00481626" w:rsidRPr="00151381" w:rsidRDefault="00481626" w:rsidP="008D7B21">
      <w:pPr>
        <w:pStyle w:val="Heading2"/>
        <w:numPr>
          <w:ilvl w:val="0"/>
          <w:numId w:val="36"/>
        </w:numPr>
        <w:rPr>
          <w:b/>
          <w:bCs/>
          <w:color w:val="111111"/>
        </w:rPr>
      </w:pPr>
      <w:r>
        <w:t>podporuje úsilí zvýšit vzhledem</w:t>
      </w:r>
      <w:r w:rsidR="001B28B8">
        <w:t xml:space="preserve"> k </w:t>
      </w:r>
      <w:r>
        <w:t>vyvíjející se bezpečnostní situaci rychlost, schopnost reagovat</w:t>
      </w:r>
      <w:r w:rsidR="001B28B8">
        <w:t xml:space="preserve"> a </w:t>
      </w:r>
      <w:r>
        <w:t>inovační kapacitu evropské technologické</w:t>
      </w:r>
      <w:r w:rsidR="001B28B8">
        <w:t xml:space="preserve"> a </w:t>
      </w:r>
      <w:r>
        <w:t>průmyslové základny obrany (EDTIB),</w:t>
      </w:r>
      <w:r w:rsidR="001B28B8">
        <w:t xml:space="preserve"> a </w:t>
      </w:r>
      <w:r>
        <w:t>proto vítá Komisí navržený obranný rámec AGILE;</w:t>
      </w:r>
    </w:p>
    <w:p w14:paraId="4E2C5B35" w14:textId="616AF382" w:rsidR="00481626" w:rsidRPr="003F79C0" w:rsidRDefault="00481626" w:rsidP="008D7B21">
      <w:pPr>
        <w:pStyle w:val="Heading2"/>
        <w:numPr>
          <w:ilvl w:val="0"/>
          <w:numId w:val="36"/>
        </w:numPr>
      </w:pPr>
      <w:r>
        <w:t>vítá program AGILE jako platformu, díky níž budou moci malé</w:t>
      </w:r>
      <w:r w:rsidR="001B28B8">
        <w:t xml:space="preserve"> a </w:t>
      </w:r>
      <w:r>
        <w:t>střední podniky, začínající podniky</w:t>
      </w:r>
      <w:r w:rsidR="001B28B8">
        <w:t xml:space="preserve"> a </w:t>
      </w:r>
      <w:r>
        <w:t>firmy</w:t>
      </w:r>
      <w:r w:rsidR="001B28B8">
        <w:t xml:space="preserve"> a </w:t>
      </w:r>
      <w:r>
        <w:t>podnikatelé působící</w:t>
      </w:r>
      <w:r w:rsidR="001B28B8">
        <w:t xml:space="preserve"> v </w:t>
      </w:r>
      <w:r>
        <w:t>oblasti civilních technologií poskytovat vysoce kvalitní</w:t>
      </w:r>
      <w:r w:rsidR="001B28B8">
        <w:t xml:space="preserve"> a </w:t>
      </w:r>
      <w:r>
        <w:t>rychlá řešení obranné připravenosti EU. EHSV zdůrazňuje důležitou úlohu nových aktérů</w:t>
      </w:r>
      <w:r w:rsidR="001B28B8">
        <w:t xml:space="preserve"> v </w:t>
      </w:r>
      <w:r>
        <w:t xml:space="preserve">oblasti obrany při transformaci obranného průmyslu EU; </w:t>
      </w:r>
    </w:p>
    <w:p w14:paraId="16B3E556" w14:textId="7B249AAF" w:rsidR="00481626" w:rsidRPr="003F79C0" w:rsidRDefault="00481626" w:rsidP="008D7B21">
      <w:pPr>
        <w:pStyle w:val="Heading2"/>
        <w:numPr>
          <w:ilvl w:val="0"/>
          <w:numId w:val="36"/>
        </w:numPr>
      </w:pPr>
      <w:r>
        <w:t>zdůrazňuje, že urychlení nesmí být na úkor transparentnosti, odpovědnosti</w:t>
      </w:r>
      <w:r w:rsidR="001B28B8">
        <w:t xml:space="preserve"> a </w:t>
      </w:r>
      <w:r>
        <w:t>demokratické kontroly, které jsou pro legitimitu</w:t>
      </w:r>
      <w:r w:rsidR="001B28B8">
        <w:t xml:space="preserve"> a </w:t>
      </w:r>
      <w:r>
        <w:t>účinnost opatření EU stále nepostradatelné;</w:t>
      </w:r>
    </w:p>
    <w:p w14:paraId="0E71C8FF" w14:textId="027E41D5" w:rsidR="00481626" w:rsidRPr="003F79C0" w:rsidRDefault="00481626" w:rsidP="008D7B21">
      <w:pPr>
        <w:pStyle w:val="Heading2"/>
        <w:numPr>
          <w:ilvl w:val="0"/>
          <w:numId w:val="36"/>
        </w:numPr>
      </w:pPr>
      <w:r>
        <w:t>požaduje, aby finanční prostředky programu AGILE doplňovaly stávající obranné programy EU. EHSV doporučuje, aby byl rozpočet tohoto nástroje</w:t>
      </w:r>
      <w:r w:rsidR="001B28B8">
        <w:t xml:space="preserve"> v </w:t>
      </w:r>
      <w:r>
        <w:t xml:space="preserve">příštím období VFR podstatně navýšen na základě výsledku vyhodnocení pilotního programu; </w:t>
      </w:r>
    </w:p>
    <w:p w14:paraId="3E388D51" w14:textId="45D7FC82" w:rsidR="00481626" w:rsidRPr="003F79C0" w:rsidRDefault="00481626" w:rsidP="008D7B21">
      <w:pPr>
        <w:pStyle w:val="Heading2"/>
        <w:numPr>
          <w:ilvl w:val="0"/>
          <w:numId w:val="36"/>
        </w:numPr>
      </w:pPr>
      <w:r>
        <w:t>doporučuje vložit ustanovení, která zajistí, aby do informačních, výběrových</w:t>
      </w:r>
      <w:r w:rsidR="001B28B8">
        <w:t xml:space="preserve"> a </w:t>
      </w:r>
      <w:r>
        <w:t>hodnotících procesů programu AGILE byly aktivně zapojeny inovativní malé</w:t>
      </w:r>
      <w:r w:rsidR="001B28B8">
        <w:t xml:space="preserve"> a </w:t>
      </w:r>
      <w:r>
        <w:t>střední podniky, začínající podniky</w:t>
      </w:r>
      <w:r w:rsidR="001B28B8">
        <w:t xml:space="preserve"> a </w:t>
      </w:r>
      <w:r>
        <w:t>jednotlivé firmy ze všech členských států</w:t>
      </w:r>
      <w:r w:rsidR="001B28B8">
        <w:t xml:space="preserve"> a </w:t>
      </w:r>
      <w:r>
        <w:t>odvětví</w:t>
      </w:r>
      <w:r w:rsidR="001B28B8">
        <w:t xml:space="preserve"> s </w:t>
      </w:r>
      <w:r>
        <w:t>cílem posílit zeměpisnou vyváženost</w:t>
      </w:r>
      <w:r w:rsidR="001B28B8">
        <w:t xml:space="preserve"> a </w:t>
      </w:r>
      <w:r>
        <w:t>inkluzivnost</w:t>
      </w:r>
      <w:r w:rsidR="001B28B8">
        <w:t xml:space="preserve"> v </w:t>
      </w:r>
      <w:r>
        <w:t>celé Unii;</w:t>
      </w:r>
    </w:p>
    <w:p w14:paraId="1A923C7D" w14:textId="3906F24C" w:rsidR="00481626" w:rsidRPr="003F79C0" w:rsidRDefault="00481626" w:rsidP="008D7B21">
      <w:pPr>
        <w:pStyle w:val="Heading2"/>
        <w:numPr>
          <w:ilvl w:val="0"/>
          <w:numId w:val="36"/>
        </w:numPr>
      </w:pPr>
      <w:r>
        <w:t>doporučuje zavést důkladná</w:t>
      </w:r>
      <w:r w:rsidR="001B28B8">
        <w:t xml:space="preserve"> a </w:t>
      </w:r>
      <w:r>
        <w:t>vymahatelná opatření</w:t>
      </w:r>
      <w:r w:rsidR="001B28B8">
        <w:t xml:space="preserve"> k </w:t>
      </w:r>
      <w:r>
        <w:t xml:space="preserve">zajištění účinného dodržování </w:t>
      </w:r>
      <w:r w:rsidR="001B28B8">
        <w:t>čl. </w:t>
      </w:r>
      <w:r>
        <w:t xml:space="preserve">9 </w:t>
      </w:r>
      <w:r w:rsidR="001B28B8">
        <w:t>odst. </w:t>
      </w:r>
      <w:r>
        <w:t>5</w:t>
      </w:r>
      <w:r w:rsidR="001B28B8">
        <w:t xml:space="preserve"> o </w:t>
      </w:r>
      <w:r>
        <w:t>způsobilosti. Tento článek by měl</w:t>
      </w:r>
      <w:r w:rsidR="001B28B8">
        <w:t xml:space="preserve"> v </w:t>
      </w:r>
      <w:r>
        <w:t>zájmu ochrany strategické autonomie</w:t>
      </w:r>
      <w:r w:rsidR="001B28B8">
        <w:t xml:space="preserve"> a </w:t>
      </w:r>
      <w:r>
        <w:t>bezpečnostních zájmů Unie explicitně vyjasnit</w:t>
      </w:r>
      <w:r w:rsidR="001B28B8">
        <w:t xml:space="preserve"> a </w:t>
      </w:r>
      <w:r>
        <w:t>zpřísnit kritéria pro vyloučení;</w:t>
      </w:r>
    </w:p>
    <w:p w14:paraId="772735A3" w14:textId="204962BB" w:rsidR="00481626" w:rsidRPr="003F79C0" w:rsidRDefault="00481626" w:rsidP="008D7B21">
      <w:pPr>
        <w:pStyle w:val="Heading2"/>
        <w:numPr>
          <w:ilvl w:val="0"/>
          <w:numId w:val="36"/>
        </w:numPr>
      </w:pPr>
      <w:r>
        <w:t>doporučuje, aby se projekty programu AGILE důsledně řídily jasně stanovenými požadavky na obranné schopnosti</w:t>
      </w:r>
      <w:r w:rsidR="001B28B8">
        <w:t xml:space="preserve"> a </w:t>
      </w:r>
      <w:r>
        <w:t>aby byly úzce sladěny</w:t>
      </w:r>
      <w:r w:rsidR="001B28B8">
        <w:t xml:space="preserve"> s </w:t>
      </w:r>
      <w:r>
        <w:t>potřebami koncových uživatelů. Zdůrazňuje, že projekty programu AGILE by měly být testovány</w:t>
      </w:r>
      <w:r w:rsidR="001B28B8">
        <w:t xml:space="preserve"> v </w:t>
      </w:r>
      <w:r>
        <w:t>reálných situacích, včetně při vojenských cvičení</w:t>
      </w:r>
      <w:r w:rsidR="001B28B8">
        <w:t xml:space="preserve"> a </w:t>
      </w:r>
      <w:r>
        <w:t>na zkušebních polygonech, aby bylo možné prokázat smysluplnost řešení</w:t>
      </w:r>
      <w:r w:rsidR="001B28B8">
        <w:t xml:space="preserve"> v </w:t>
      </w:r>
      <w:r>
        <w:t>provozních podmínkách</w:t>
      </w:r>
      <w:r w:rsidR="001B28B8">
        <w:t xml:space="preserve"> a </w:t>
      </w:r>
      <w:r>
        <w:t>urychlit jejich zavádění;</w:t>
      </w:r>
    </w:p>
    <w:p w14:paraId="3641B131" w14:textId="65446E9B" w:rsidR="00481626" w:rsidRPr="007E1248" w:rsidRDefault="00481626" w:rsidP="008D7B21">
      <w:pPr>
        <w:pStyle w:val="Heading2"/>
        <w:keepNext/>
        <w:keepLines/>
        <w:numPr>
          <w:ilvl w:val="0"/>
          <w:numId w:val="36"/>
        </w:numPr>
      </w:pPr>
      <w:r>
        <w:t>doporučuje, aby se nedílnou součástí provádění programu AGILE explicitně stalo dodržování pracovněprávních, sociálních</w:t>
      </w:r>
      <w:r w:rsidR="001B28B8">
        <w:t xml:space="preserve"> a </w:t>
      </w:r>
      <w:r>
        <w:t>environmentálních právních předpisů EU. EHSV zdůrazňuje, že účast</w:t>
      </w:r>
      <w:r w:rsidR="001B28B8">
        <w:t xml:space="preserve"> v </w:t>
      </w:r>
      <w:r>
        <w:t>programu AGILE by měla být</w:t>
      </w:r>
      <w:r w:rsidR="001B28B8">
        <w:t xml:space="preserve"> v </w:t>
      </w:r>
      <w:r>
        <w:t>souladu</w:t>
      </w:r>
      <w:r w:rsidR="001B28B8">
        <w:t xml:space="preserve"> s </w:t>
      </w:r>
      <w:r>
        <w:t>evropským sociálním modelem podmíněna závazky</w:t>
      </w:r>
      <w:r w:rsidR="001B28B8">
        <w:t xml:space="preserve"> v </w:t>
      </w:r>
      <w:r>
        <w:t>oblasti rozvoje dovedností, kvalitních pracovních míst</w:t>
      </w:r>
      <w:r w:rsidR="001B28B8">
        <w:t xml:space="preserve"> a </w:t>
      </w:r>
      <w:r>
        <w:t xml:space="preserve">plného dodržování práv pracovníků. </w:t>
      </w:r>
    </w:p>
    <w:p w14:paraId="532F5590" w14:textId="77777777" w:rsidR="00814A54" w:rsidRPr="00814A54" w:rsidRDefault="00814A54" w:rsidP="006D7386">
      <w:pPr>
        <w:spacing w:line="240" w:lineRule="auto"/>
      </w:pP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t>Kontakt:</w:t>
            </w:r>
          </w:p>
        </w:tc>
        <w:tc>
          <w:tcPr>
            <w:tcW w:w="5670"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Tel.</w:t>
            </w:r>
          </w:p>
        </w:tc>
        <w:tc>
          <w:tcPr>
            <w:tcW w:w="5670"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E-mail:</w:t>
            </w:r>
          </w:p>
        </w:tc>
        <w:tc>
          <w:tcPr>
            <w:tcW w:w="5670" w:type="dxa"/>
          </w:tcPr>
          <w:p w14:paraId="210C9375" w14:textId="77777777" w:rsidR="00814A54" w:rsidRPr="00814A54" w:rsidRDefault="00123016" w:rsidP="00814A54">
            <w:pPr>
              <w:spacing w:line="240" w:lineRule="auto"/>
              <w:rPr>
                <w:i/>
              </w:rPr>
            </w:pPr>
            <w:hyperlink r:id="rId67" w:history="1">
              <w:r w:rsidR="00E60ACE">
                <w:rPr>
                  <w:i/>
                  <w:color w:val="0000FF"/>
                  <w:u w:val="single"/>
                </w:rPr>
                <w:t>Ioannis.Diamantopoulos@eesc.europa.eu</w:t>
              </w:r>
            </w:hyperlink>
          </w:p>
        </w:tc>
      </w:tr>
    </w:tbl>
    <w:p w14:paraId="61ED58CD" w14:textId="202FF4CC" w:rsidR="001B28B8" w:rsidRPr="001B28B8" w:rsidRDefault="001766B2" w:rsidP="001B28B8">
      <w:pPr>
        <w:overflowPunct w:val="0"/>
        <w:autoSpaceDE w:val="0"/>
        <w:autoSpaceDN w:val="0"/>
        <w:adjustRightInd w:val="0"/>
        <w:jc w:val="center"/>
        <w:textAlignment w:val="baseline"/>
      </w:pPr>
      <w:r>
        <w:t>_____________</w:t>
      </w:r>
    </w:p>
    <w:sectPr w:rsidR="001B28B8" w:rsidRPr="001B28B8" w:rsidSect="00D40A83">
      <w:footerReference w:type="even" r:id="rId68"/>
      <w:footerReference w:type="default" r:id="rId69"/>
      <w:footerReference w:type="first" r:id="rId7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123016">
      <w:fldChar w:fldCharType="begin"/>
    </w:r>
    <w:r w:rsidR="00123016">
      <w:instrText xml:space="preserve"> NUMPAGES </w:instrText>
    </w:r>
    <w:r w:rsidR="00123016">
      <w:fldChar w:fldCharType="separate"/>
    </w:r>
    <w:r w:rsidR="0004480F">
      <w:t>1</w:t>
    </w:r>
    <w:r w:rsidR="0012301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rsidR="00123016">
      <w:fldChar w:fldCharType="begin"/>
    </w:r>
    <w:r w:rsidR="00123016">
      <w:instrText xml:space="preserve"> NUMPAGES </w:instrText>
    </w:r>
    <w:r w:rsidR="00123016">
      <w:fldChar w:fldCharType="separate"/>
    </w:r>
    <w:r>
      <w:t>33</w:t>
    </w:r>
    <w:r w:rsidR="0012301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5BF0B929" w14:textId="77777777" w:rsidR="00FA206D" w:rsidRPr="00CA3744" w:rsidRDefault="00FA206D" w:rsidP="00FA206D">
      <w:pPr>
        <w:pStyle w:val="FootnoteText"/>
      </w:pPr>
      <w:r>
        <w:rPr>
          <w:rStyle w:val="FootnoteReference"/>
        </w:rPr>
        <w:footnoteRef/>
      </w:r>
      <w:r>
        <w:tab/>
        <w:t xml:space="preserve">Úř. věst. C, C/2024/6880, 28.11.2024, ELI: </w:t>
      </w:r>
      <w:hyperlink r:id="rId1" w:history="1">
        <w:r>
          <w:rPr>
            <w:rStyle w:val="Hyperlink"/>
          </w:rPr>
          <w:t>http://data.europa.eu/eli/C/2024/6880/oj</w:t>
        </w:r>
      </w:hyperlink>
      <w:r>
        <w:t>.</w:t>
      </w:r>
    </w:p>
  </w:footnote>
  <w:footnote w:id="2">
    <w:p w14:paraId="6A5DF5FB" w14:textId="3BC945F6" w:rsidR="002B30F4" w:rsidRDefault="002B30F4" w:rsidP="002B30F4">
      <w:pPr>
        <w:pStyle w:val="FootnoteText"/>
      </w:pPr>
      <w:r>
        <w:rPr>
          <w:rStyle w:val="FootnoteReference"/>
        </w:rPr>
        <w:footnoteRef/>
      </w:r>
      <w:r>
        <w:tab/>
        <w:t xml:space="preserve">Stanovisko EHSV </w:t>
      </w:r>
      <w:hyperlink r:id="rId2" w:history="1">
        <w:r>
          <w:rPr>
            <w:rStyle w:val="Hyperlink"/>
            <w:i/>
          </w:rPr>
          <w:t>Rovnocennost přehlídek porostu – osiva vyprodukovaná</w:t>
        </w:r>
        <w:r w:rsidR="001B28B8">
          <w:rPr>
            <w:rStyle w:val="Hyperlink"/>
            <w:i/>
          </w:rPr>
          <w:t xml:space="preserve"> v </w:t>
        </w:r>
        <w:r>
          <w:rPr>
            <w:rStyle w:val="Hyperlink"/>
            <w:i/>
          </w:rPr>
          <w:t>Brazílii</w:t>
        </w:r>
        <w:r w:rsidR="001B28B8">
          <w:rPr>
            <w:rStyle w:val="Hyperlink"/>
            <w:i/>
          </w:rPr>
          <w:t xml:space="preserve"> a v </w:t>
        </w:r>
        <w:r>
          <w:rPr>
            <w:rStyle w:val="Hyperlink"/>
            <w:i/>
          </w:rPr>
          <w:t>Moldavsku (změna)</w:t>
        </w:r>
      </w:hyperlink>
      <w:r>
        <w:t xml:space="preserve">, </w:t>
      </w:r>
      <w:hyperlink r:id="rId3" w:history="1">
        <w:r>
          <w:rPr>
            <w:rStyle w:val="Hyperlink"/>
          </w:rPr>
          <w:t>Úř. věst. C 227, 28.6.2018, s. 76–77</w:t>
        </w:r>
      </w:hyperlink>
      <w:r>
        <w:t>.</w:t>
      </w:r>
    </w:p>
  </w:footnote>
  <w:footnote w:id="3">
    <w:p w14:paraId="31B28570" w14:textId="0A8711BB" w:rsidR="002B30F4" w:rsidRDefault="002B30F4" w:rsidP="002B30F4">
      <w:pPr>
        <w:pStyle w:val="FootnoteText"/>
      </w:pPr>
      <w:r>
        <w:rPr>
          <w:rStyle w:val="FootnoteReference"/>
        </w:rPr>
        <w:footnoteRef/>
      </w:r>
      <w:r>
        <w:tab/>
        <w:t xml:space="preserve">Stanovisko EHSV </w:t>
      </w:r>
      <w:hyperlink r:id="rId4" w:history="1">
        <w:r>
          <w:rPr>
            <w:rStyle w:val="Hyperlink"/>
            <w:i/>
          </w:rPr>
          <w:t>Rovnocennost osiva – Ukrajina</w:t>
        </w:r>
      </w:hyperlink>
      <w:r>
        <w:t xml:space="preserve">, </w:t>
      </w:r>
      <w:hyperlink r:id="rId5" w:history="1">
        <w:r>
          <w:rPr>
            <w:rStyle w:val="Hyperlink"/>
          </w:rPr>
          <w:t>Úř. věst. C 429, 11.12.2020, s. 276</w:t>
        </w:r>
      </w:hyperlink>
      <w:r>
        <w:t>.</w:t>
      </w:r>
    </w:p>
  </w:footnote>
  <w:footnote w:id="4">
    <w:p w14:paraId="704BA872" w14:textId="359A95D1" w:rsidR="008548EA" w:rsidRDefault="008548EA" w:rsidP="008548EA">
      <w:pPr>
        <w:pStyle w:val="FootnoteText"/>
      </w:pPr>
      <w:r>
        <w:rPr>
          <w:rStyle w:val="FootnoteReference"/>
        </w:rPr>
        <w:footnoteRef/>
      </w:r>
      <w:r>
        <w:tab/>
        <w:t xml:space="preserve">Stanovisko EHSV </w:t>
      </w:r>
      <w:hyperlink r:id="rId6">
        <w:r>
          <w:rPr>
            <w:rStyle w:val="Hyperlink"/>
            <w:i/>
          </w:rPr>
          <w:t>Revize systému EU pro obchodování</w:t>
        </w:r>
        <w:r w:rsidR="001B28B8">
          <w:rPr>
            <w:rStyle w:val="Hyperlink"/>
            <w:i/>
          </w:rPr>
          <w:t xml:space="preserve"> s </w:t>
        </w:r>
        <w:r>
          <w:rPr>
            <w:rStyle w:val="Hyperlink"/>
            <w:i/>
          </w:rPr>
          <w:t>emisemi (ETS) včetně námořní dopravy</w:t>
        </w:r>
        <w:r w:rsidR="001B28B8">
          <w:rPr>
            <w:rStyle w:val="Hyperlink"/>
            <w:i/>
          </w:rPr>
          <w:t xml:space="preserve"> a </w:t>
        </w:r>
        <w:r>
          <w:rPr>
            <w:rStyle w:val="Hyperlink"/>
            <w:i/>
          </w:rPr>
          <w:t>rezervy tržní stability</w:t>
        </w:r>
      </w:hyperlink>
      <w:r>
        <w:t xml:space="preserve">, </w:t>
      </w:r>
      <w:hyperlink r:id="rId7">
        <w:r>
          <w:rPr>
            <w:rStyle w:val="Hyperlink"/>
          </w:rPr>
          <w:t>Úř. věst. C 152, 6.4.2022, s. 175</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8568DE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EA507DE"/>
    <w:multiLevelType w:val="hybridMultilevel"/>
    <w:tmpl w:val="DADEFDDC"/>
    <w:lvl w:ilvl="0" w:tplc="067885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0E314D"/>
    <w:multiLevelType w:val="multilevel"/>
    <w:tmpl w:val="46B029C2"/>
    <w:lvl w:ilvl="0">
      <w:start w:val="6"/>
      <w:numFmt w:val="bullet"/>
      <w:lvlText w:val="–"/>
      <w:lvlJc w:val="left"/>
      <w:rPr>
        <w:rFonts w:ascii="Times New Roman" w:eastAsia="Arial Unicode MS" w:hAnsi="Times New Roman" w:cs="Times New Roman" w:hint="default"/>
        <w:b w:val="0"/>
        <w:bCs/>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868AA"/>
    <w:multiLevelType w:val="hybridMultilevel"/>
    <w:tmpl w:val="1BBC68FE"/>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AC50B7C"/>
    <w:multiLevelType w:val="multilevel"/>
    <w:tmpl w:val="65828F3A"/>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2D7948A6"/>
    <w:multiLevelType w:val="hybridMultilevel"/>
    <w:tmpl w:val="BE1A6E2A"/>
    <w:lvl w:ilvl="0" w:tplc="0678857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95E4AD"/>
    <w:multiLevelType w:val="hybridMultilevel"/>
    <w:tmpl w:val="A106D99C"/>
    <w:lvl w:ilvl="0" w:tplc="F7F28F96">
      <w:start w:val="6"/>
      <w:numFmt w:val="bullet"/>
      <w:lvlText w:val="–"/>
      <w:lvlJc w:val="left"/>
      <w:pPr>
        <w:ind w:left="720" w:hanging="360"/>
      </w:pPr>
      <w:rPr>
        <w:rFonts w:ascii="Times New Roman" w:eastAsia="Arial Unicode MS" w:hAnsi="Times New Roman" w:cs="Times New Roman"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13"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011A7"/>
    <w:multiLevelType w:val="hybridMultilevel"/>
    <w:tmpl w:val="BACCD5A2"/>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 w15:restartNumberingAfterBreak="0">
    <w:nsid w:val="36EB11B7"/>
    <w:multiLevelType w:val="hybridMultilevel"/>
    <w:tmpl w:val="83B06EB0"/>
    <w:lvl w:ilvl="0" w:tplc="F7F28F96">
      <w:start w:val="6"/>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4AD50923"/>
    <w:multiLevelType w:val="multilevel"/>
    <w:tmpl w:val="549C5AD2"/>
    <w:lvl w:ilvl="0">
      <w:start w:val="6"/>
      <w:numFmt w:val="bullet"/>
      <w:lvlText w:val="–"/>
      <w:lvlJc w:val="left"/>
      <w:rPr>
        <w:rFonts w:ascii="Times New Roman" w:eastAsia="Arial Unicode MS" w:hAnsi="Times New Roman" w:cs="Times New Roman" w:hint="default"/>
        <w:b w:val="0"/>
        <w:bCs/>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3"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159B7"/>
    <w:multiLevelType w:val="multilevel"/>
    <w:tmpl w:val="8D0A5522"/>
    <w:lvl w:ilvl="0">
      <w:start w:val="6"/>
      <w:numFmt w:val="bullet"/>
      <w:lvlText w:val="–"/>
      <w:lvlJc w:val="left"/>
      <w:pPr>
        <w:tabs>
          <w:tab w:val="num" w:pos="720"/>
        </w:tabs>
        <w:ind w:left="720" w:hanging="360"/>
      </w:pPr>
      <w:rPr>
        <w:rFonts w:ascii="Times New Roman" w:eastAsia="Arial Unicode MS"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537323D"/>
    <w:multiLevelType w:val="hybridMultilevel"/>
    <w:tmpl w:val="C46E3A8A"/>
    <w:lvl w:ilvl="0" w:tplc="F7F28F96">
      <w:start w:val="6"/>
      <w:numFmt w:val="bullet"/>
      <w:lvlText w:val="–"/>
      <w:lvlJc w:val="left"/>
      <w:pPr>
        <w:ind w:left="360" w:hanging="360"/>
      </w:pPr>
      <w:rPr>
        <w:rFonts w:ascii="Times New Roman" w:eastAsia="Arial Unicode MS"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6B7F2FF6"/>
    <w:multiLevelType w:val="hybridMultilevel"/>
    <w:tmpl w:val="3E0A504E"/>
    <w:lvl w:ilvl="0" w:tplc="0678857A">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745B0D4A"/>
    <w:multiLevelType w:val="hybridMultilevel"/>
    <w:tmpl w:val="1C58AEE0"/>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3"/>
  </w:num>
  <w:num w:numId="4">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5">
    <w:abstractNumId w:val="25"/>
  </w:num>
  <w:num w:numId="6">
    <w:abstractNumId w:val="28"/>
  </w:num>
  <w:num w:numId="7">
    <w:abstractNumId w:val="26"/>
  </w:num>
  <w:num w:numId="8">
    <w:abstractNumId w:val="27"/>
  </w:num>
  <w:num w:numId="9">
    <w:abstractNumId w:val="5"/>
  </w:num>
  <w:num w:numId="10">
    <w:abstractNumId w:val="18"/>
  </w:num>
  <w:num w:numId="11">
    <w:abstractNumId w:val="12"/>
  </w:num>
  <w:num w:numId="12">
    <w:abstractNumId w:val="4"/>
  </w:num>
  <w:num w:numId="13">
    <w:abstractNumId w:val="33"/>
  </w:num>
  <w:num w:numId="14">
    <w:abstractNumId w:val="23"/>
  </w:num>
  <w:num w:numId="15">
    <w:abstractNumId w:val="21"/>
  </w:num>
  <w:num w:numId="16">
    <w:abstractNumId w:val="17"/>
  </w:num>
  <w:num w:numId="17">
    <w:abstractNumId w:val="24"/>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19"/>
  </w:num>
  <w:num w:numId="20">
    <w:abstractNumId w:val="20"/>
  </w:num>
  <w:num w:numId="21">
    <w:abstractNumId w:val="30"/>
  </w:num>
  <w:num w:numId="22">
    <w:abstractNumId w:val="2"/>
  </w:num>
  <w:num w:numId="23">
    <w:abstractNumId w:val="32"/>
  </w:num>
  <w:num w:numId="24">
    <w:abstractNumId w:val="7"/>
  </w:num>
  <w:num w:numId="25">
    <w:abstractNumId w:val="15"/>
  </w:num>
  <w:num w:numId="26">
    <w:abstractNumId w:val="8"/>
  </w:num>
  <w:num w:numId="27">
    <w:abstractNumId w:val="11"/>
  </w:num>
  <w:num w:numId="28">
    <w:abstractNumId w:val="29"/>
  </w:num>
  <w:num w:numId="29">
    <w:abstractNumId w:val="3"/>
  </w:num>
  <w:num w:numId="30">
    <w:abstractNumId w:val="9"/>
  </w:num>
  <w:num w:numId="31">
    <w:abstractNumId w:val="10"/>
  </w:num>
  <w:num w:numId="32">
    <w:abstractNumId w:val="16"/>
  </w:num>
  <w:num w:numId="33">
    <w:abstractNumId w:val="22"/>
  </w:num>
  <w:num w:numId="34">
    <w:abstractNumId w:val="31"/>
  </w:num>
  <w:num w:numId="35">
    <w:abstractNumId w:val="14"/>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94D"/>
    <w:rsid w:val="000F4673"/>
    <w:rsid w:val="001110F2"/>
    <w:rsid w:val="00121D18"/>
    <w:rsid w:val="00123016"/>
    <w:rsid w:val="00125D6F"/>
    <w:rsid w:val="00126E5E"/>
    <w:rsid w:val="001338E5"/>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28B8"/>
    <w:rsid w:val="001B4559"/>
    <w:rsid w:val="001B58AE"/>
    <w:rsid w:val="001B6079"/>
    <w:rsid w:val="001C343E"/>
    <w:rsid w:val="001C540B"/>
    <w:rsid w:val="001D28C3"/>
    <w:rsid w:val="001D292C"/>
    <w:rsid w:val="001E391D"/>
    <w:rsid w:val="001E4147"/>
    <w:rsid w:val="001F05C6"/>
    <w:rsid w:val="001F4150"/>
    <w:rsid w:val="0020397F"/>
    <w:rsid w:val="002079FC"/>
    <w:rsid w:val="00212AD9"/>
    <w:rsid w:val="00217581"/>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1626"/>
    <w:rsid w:val="004853F6"/>
    <w:rsid w:val="0048603B"/>
    <w:rsid w:val="004917CF"/>
    <w:rsid w:val="004979CB"/>
    <w:rsid w:val="004A35A1"/>
    <w:rsid w:val="004A48C9"/>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386"/>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90250"/>
    <w:rsid w:val="00793943"/>
    <w:rsid w:val="007A148E"/>
    <w:rsid w:val="007A3096"/>
    <w:rsid w:val="007A570F"/>
    <w:rsid w:val="007A78AB"/>
    <w:rsid w:val="007B6F06"/>
    <w:rsid w:val="007C36BF"/>
    <w:rsid w:val="007C5358"/>
    <w:rsid w:val="007C63A1"/>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14FF"/>
    <w:rsid w:val="00843847"/>
    <w:rsid w:val="00844645"/>
    <w:rsid w:val="00845F24"/>
    <w:rsid w:val="00850A0C"/>
    <w:rsid w:val="008548EA"/>
    <w:rsid w:val="0085744A"/>
    <w:rsid w:val="00860162"/>
    <w:rsid w:val="00862DC4"/>
    <w:rsid w:val="00867002"/>
    <w:rsid w:val="008676ED"/>
    <w:rsid w:val="0087045E"/>
    <w:rsid w:val="008713EF"/>
    <w:rsid w:val="00877A49"/>
    <w:rsid w:val="0088219D"/>
    <w:rsid w:val="00882D0D"/>
    <w:rsid w:val="008A47F4"/>
    <w:rsid w:val="008B155C"/>
    <w:rsid w:val="008B2CEB"/>
    <w:rsid w:val="008B4117"/>
    <w:rsid w:val="008C5433"/>
    <w:rsid w:val="008D2468"/>
    <w:rsid w:val="008D4F95"/>
    <w:rsid w:val="008D7B21"/>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86FC0"/>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96235"/>
    <w:rsid w:val="00AA5081"/>
    <w:rsid w:val="00AA7C16"/>
    <w:rsid w:val="00AA7DAC"/>
    <w:rsid w:val="00AB224C"/>
    <w:rsid w:val="00AB3379"/>
    <w:rsid w:val="00AB43C4"/>
    <w:rsid w:val="00AC16AD"/>
    <w:rsid w:val="00AC5EC3"/>
    <w:rsid w:val="00AC66E4"/>
    <w:rsid w:val="00AE547F"/>
    <w:rsid w:val="00AF5414"/>
    <w:rsid w:val="00AF547E"/>
    <w:rsid w:val="00AF6230"/>
    <w:rsid w:val="00B01229"/>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82D5A"/>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0ACE"/>
    <w:rsid w:val="00E629FA"/>
    <w:rsid w:val="00E77899"/>
    <w:rsid w:val="00E8783B"/>
    <w:rsid w:val="00E92C8E"/>
    <w:rsid w:val="00EB0AFC"/>
    <w:rsid w:val="00EB0DDD"/>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A206D"/>
    <w:rsid w:val="00FB1E95"/>
    <w:rsid w:val="00FB4D8E"/>
    <w:rsid w:val="00FC01B9"/>
    <w:rsid w:val="00FC1C8F"/>
    <w:rsid w:val="00FC456F"/>
    <w:rsid w:val="00FC7343"/>
    <w:rsid w:val="00FD5585"/>
    <w:rsid w:val="00FD6A81"/>
    <w:rsid w:val="00FF140F"/>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AA5081"/>
    <w:pPr>
      <w:numPr>
        <w:numId w:val="1"/>
      </w:numPr>
      <w:ind w:left="567" w:hanging="567"/>
      <w:outlineLvl w:val="0"/>
    </w:pPr>
    <w:rPr>
      <w:b/>
      <w:kern w:val="28"/>
    </w:rPr>
  </w:style>
  <w:style w:type="paragraph" w:styleId="Heading2">
    <w:name w:val="heading 2"/>
    <w:basedOn w:val="Heading1"/>
    <w:next w:val="Normal"/>
    <w:link w:val="Heading2Char"/>
    <w:qFormat/>
    <w:rsid w:val="00A067F3"/>
    <w:pPr>
      <w:outlineLvl w:val="1"/>
    </w:pPr>
    <w:rPr>
      <w:b w:val="0"/>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5081"/>
    <w:rPr>
      <w:rFonts w:ascii="Times New Roman" w:eastAsia="Times New Roman" w:hAnsi="Times New Roman" w:cs="Times New Roman"/>
      <w:b/>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 w:type="paragraph" w:styleId="NormalWeb">
    <w:name w:val="Normal (Web)"/>
    <w:basedOn w:val="Normal"/>
    <w:uiPriority w:val="99"/>
    <w:unhideWhenUsed/>
    <w:rsid w:val="00AF6230"/>
    <w:pPr>
      <w:spacing w:before="100" w:beforeAutospacing="1" w:after="100" w:afterAutospacing="1" w:line="240" w:lineRule="auto"/>
      <w:jc w:val="left"/>
    </w:pPr>
    <w:rPr>
      <w:sz w:val="24"/>
      <w:szCs w:val="24"/>
      <w:lang w:eastAsia="fr-B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AF6230"/>
    <w:rPr>
      <w:rFonts w:ascii="Times New Roman" w:eastAsia="Times New Roman" w:hAnsi="Times New Roman" w:cs="Times New Roman"/>
    </w:rPr>
  </w:style>
  <w:style w:type="character" w:styleId="Strong">
    <w:name w:val="Strong"/>
    <w:basedOn w:val="DefaultParagraphFont"/>
    <w:uiPriority w:val="22"/>
    <w:qFormat/>
    <w:rsid w:val="00481626"/>
    <w:rPr>
      <w:b/>
      <w:bCs/>
    </w:rPr>
  </w:style>
  <w:style w:type="character" w:styleId="UnresolvedMention">
    <w:name w:val="Unresolved Mention"/>
    <w:basedOn w:val="DefaultParagraphFont"/>
    <w:uiPriority w:val="99"/>
    <w:semiHidden/>
    <w:unhideWhenUsed/>
    <w:rsid w:val="0087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cs/our-work/opinions-information-reports/plenary-session-summaries" TargetMode="External"/><Relationship Id="rId18" Type="http://schemas.openxmlformats.org/officeDocument/2006/relationships/hyperlink" Target="https://www.eesc.europa.eu/cs/our-work/opinions-information-reports/opinions/supplementary-pensions-package-pepp-and-iorp" TargetMode="External"/><Relationship Id="rId26" Type="http://schemas.openxmlformats.org/officeDocument/2006/relationships/hyperlink" Target="https://www.eesc.europa.eu/cs/our-work/opinions-information-reports/opinions/eu-drugs-strategy" TargetMode="External"/><Relationship Id="rId39" Type="http://schemas.openxmlformats.org/officeDocument/2006/relationships/hyperlink" Target="mailto:Silvia.Staffa@eesc.europa.eu" TargetMode="External"/><Relationship Id="rId21" Type="http://schemas.openxmlformats.org/officeDocument/2006/relationships/hyperlink" Target="mailto:Bartek.Bednarowicz@eesc.europa.eu" TargetMode="External"/><Relationship Id="rId34" Type="http://schemas.openxmlformats.org/officeDocument/2006/relationships/hyperlink" Target="https://www.eesc.europa.eu/cs/our-work/opinions-information-reports/information-reports/evaluation-regulation-eu-20191020-market-surveillance-and-compliance-products" TargetMode="External"/><Relationship Id="rId42" Type="http://schemas.openxmlformats.org/officeDocument/2006/relationships/hyperlink" Target="https://www.eesc.europa.eu/cs/our-work/opinions-information-reports/opinions/new-rules-drug-precursors" TargetMode="External"/><Relationship Id="rId47" Type="http://schemas.openxmlformats.org/officeDocument/2006/relationships/hyperlink" Target="mailto:Silvia.Staffa@eesc.europa.eu" TargetMode="External"/><Relationship Id="rId50" Type="http://schemas.openxmlformats.org/officeDocument/2006/relationships/hyperlink" Target="https://www.eesc.europa.eu/cs/our-work/opinions-information-reports/opinions/eu-startups-and-scale-strategy-focus-european-innovation-act" TargetMode="External"/><Relationship Id="rId55" Type="http://schemas.openxmlformats.org/officeDocument/2006/relationships/hyperlink" Target="mailto:Anna.Cameron@eesc.europa.eu" TargetMode="External"/><Relationship Id="rId63" Type="http://schemas.openxmlformats.org/officeDocument/2006/relationships/hyperlink" Target="mailto:David.Hoic@eesc.europa.eu"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cs/our-work/opinions-information-reports/opinions/eu-policy-agenda-liveable-cities" TargetMode="External"/><Relationship Id="rId29" Type="http://schemas.openxmlformats.org/officeDocument/2006/relationships/hyperlink" Target="mailto:JeanMarie.Rogue@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cs/our-work/opinions-information-reports/opinions/eu-competitiveness-and-youth-entrepreneurship" TargetMode="External"/><Relationship Id="rId32" Type="http://schemas.openxmlformats.org/officeDocument/2006/relationships/hyperlink" Target="https://www.eesc.europa.eu/cs/our-work/opinions-information-reports/opinions/revision-co2-standards-cars-and-vans" TargetMode="External"/><Relationship Id="rId37" Type="http://schemas.openxmlformats.org/officeDocument/2006/relationships/hyperlink" Target="mailto:Radoslava.Stefankova@eesc.europa.eu" TargetMode="External"/><Relationship Id="rId40" Type="http://schemas.openxmlformats.org/officeDocument/2006/relationships/hyperlink" Target="https://www.eesc.europa.eu/cs/our-work/opinions-information-reports/opinions/developing-european-centre-clinical-excellence-pharmaceuticals" TargetMode="External"/><Relationship Id="rId45" Type="http://schemas.openxmlformats.org/officeDocument/2006/relationships/hyperlink" Target="mailto:Silvia.Staffa@eesc.europa.eu" TargetMode="External"/><Relationship Id="rId53" Type="http://schemas.openxmlformats.org/officeDocument/2006/relationships/hyperlink" Target="mailto:Caroline.Verhelst@eesc.europa.eu" TargetMode="External"/><Relationship Id="rId58" Type="http://schemas.openxmlformats.org/officeDocument/2006/relationships/hyperlink" Target="https://www.eesc.europa.eu/cs/our-work/opinions-information-reports/opinions/equivalence-field-inspections-carried-out-third-countries-seed-producing-crops-and-equivalence-seed-produced-third" TargetMode="External"/><Relationship Id="rId66" Type="http://schemas.openxmlformats.org/officeDocument/2006/relationships/hyperlink" Target="https://www.eesc.europa.eu/cs/our-work/opinions-information-reports/opinions/programme-agile-and-rapid-defence-innovation-agil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rewritten://8da35b6f-64c2-4d79-b754-e2ec3a611b38" TargetMode="External"/><Relationship Id="rId28" Type="http://schemas.openxmlformats.org/officeDocument/2006/relationships/hyperlink" Target="https://www.eesc.europa.eu/cs/our-work/opinions-information-reports/opinions/culture-compass-europe" TargetMode="External"/><Relationship Id="rId36" Type="http://schemas.openxmlformats.org/officeDocument/2006/relationships/hyperlink" Target="https://www.eesc.europa.eu/cs/our-work/opinions-information-reports/opinions/2030-consumer-agenda" TargetMode="External"/><Relationship Id="rId49" Type="http://schemas.openxmlformats.org/officeDocument/2006/relationships/hyperlink" Target="mailto:Annalisa.Tessarolo@eesc.europa.eu" TargetMode="External"/><Relationship Id="rId57" Type="http://schemas.openxmlformats.org/officeDocument/2006/relationships/hyperlink" Target="mailto:Martine.Delanoy@eesc.europa.eu" TargetMode="External"/><Relationship Id="rId61" Type="http://schemas.openxmlformats.org/officeDocument/2006/relationships/hyperlink" Target="mailto:Gaizka.Maloelcoro-iribe@eesc.europa.eu" TargetMode="External"/><Relationship Id="rId10" Type="http://schemas.openxmlformats.org/officeDocument/2006/relationships/footnotes" Target="footnotes.xml"/><Relationship Id="rId19" Type="http://schemas.openxmlformats.org/officeDocument/2006/relationships/hyperlink" Target="mailto:Sergio.LorencioMatallana@eesc.europa.eu" TargetMode="External"/><Relationship Id="rId31" Type="http://schemas.openxmlformats.org/officeDocument/2006/relationships/hyperlink" Target="mailto:Silvia.Staffa@eesc.europa.eu" TargetMode="External"/><Relationship Id="rId44" Type="http://schemas.openxmlformats.org/officeDocument/2006/relationships/hyperlink" Target="https://www.eesc.europa.eu/cs/our-work/opinions-information-reports/opinions/proposal-regulation-targeted-revision-eu-rules-medical-devices-and-vitro-diagnostics" TargetMode="External"/><Relationship Id="rId52" Type="http://schemas.openxmlformats.org/officeDocument/2006/relationships/hyperlink" Target="https://www.eesc.europa.eu/cs/our-work/opinions-information-reports/opinions/comprehensive-strategy-nature-based-biodegradable-materials-foster-circularity-and-resource-efficiency-strengthen-agri" TargetMode="External"/><Relationship Id="rId60" Type="http://schemas.openxmlformats.org/officeDocument/2006/relationships/hyperlink" Target="https://www.eesc.europa.eu/cs/our-work/opinions-information-reports/opinions/invalidation-allowances-market-stability-reserve" TargetMode="External"/><Relationship Id="rId65" Type="http://schemas.openxmlformats.org/officeDocument/2006/relationships/hyperlink" Target="mailto:Andreas.Berger@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cs/our-work/opinions-information-reports/opinions/union-equality-lgbtiq-equality-strategy-2026-2030" TargetMode="External"/><Relationship Id="rId27" Type="http://schemas.openxmlformats.org/officeDocument/2006/relationships/hyperlink" Target="mailto:Gemma.Amran@eesc.europa.eu" TargetMode="External"/><Relationship Id="rId30" Type="http://schemas.openxmlformats.org/officeDocument/2006/relationships/hyperlink" Target="https://www.eesc.europa.eu/cs/our-work/opinions-information-reports/opinions/over-tourism-short-term-rentals-and-crowding-out-local-populations-finding-right-balance" TargetMode="External"/><Relationship Id="rId35" Type="http://schemas.openxmlformats.org/officeDocument/2006/relationships/hyperlink" Target="mailto:Annalisa.Tessarolo@eesc.europa.eu" TargetMode="External"/><Relationship Id="rId43" Type="http://schemas.openxmlformats.org/officeDocument/2006/relationships/hyperlink" Target="mailto:Radoslava.Stefankova@eesc.europa.eu" TargetMode="External"/><Relationship Id="rId48" Type="http://schemas.openxmlformats.org/officeDocument/2006/relationships/hyperlink" Target="https://www.eesc.europa.eu/cs/our-work/opinions-information-reports/opinions/single-market-tackling-unjustified-territorial-supply-constraints" TargetMode="External"/><Relationship Id="rId56" Type="http://schemas.openxmlformats.org/officeDocument/2006/relationships/hyperlink" Target="https://www.eesc.europa.eu/cs/our-work/opinions-information-reports/opinions/food-and-feed-safety-simplification-omnibus" TargetMode="External"/><Relationship Id="rId64" Type="http://schemas.openxmlformats.org/officeDocument/2006/relationships/hyperlink" Target="https://www.eesc.europa.eu/cs/our-work/opinions-information-reports/opinions/role-private-sector-and-civil-society-strengthening-economic-cooperation-within-pact-mediterranean" TargetMode="Externa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mailto:Jana.Valant@eesc.europa.e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eorgios.Meleas@eesc.europa.eu" TargetMode="External"/><Relationship Id="rId25" Type="http://schemas.openxmlformats.org/officeDocument/2006/relationships/hyperlink" Target="mailto:Bartek.Bednarowicz@eesc.europa.eu"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cs/our-work/opinions-information-reports/opinions/cybersecurity-act-1" TargetMode="External"/><Relationship Id="rId46" Type="http://schemas.openxmlformats.org/officeDocument/2006/relationships/hyperlink" Target="https://www.eesc.europa.eu/cs/our-work/opinions-information-reports/opinions/strategic-standardisation-stronger-single-market" TargetMode="External"/><Relationship Id="rId59" Type="http://schemas.openxmlformats.org/officeDocument/2006/relationships/hyperlink" Target="mailto:Arturo.Iniguez@eesc.europa.eu" TargetMode="External"/><Relationship Id="rId67" Type="http://schemas.openxmlformats.org/officeDocument/2006/relationships/hyperlink" Target="mailto:Ioannis.Diamantopoulos@eesc.europa.eu" TargetMode="External"/><Relationship Id="rId20" Type="http://schemas.openxmlformats.org/officeDocument/2006/relationships/hyperlink" Target="https://www.eesc.europa.eu/cs/our-work/opinions-information-reports/opinions/ban-conversion-practices-european-union" TargetMode="External"/><Relationship Id="rId41" Type="http://schemas.openxmlformats.org/officeDocument/2006/relationships/hyperlink" Target="mailto:Radoslava.stefankova@eesc.europa.eu" TargetMode="External"/><Relationship Id="rId54" Type="http://schemas.openxmlformats.org/officeDocument/2006/relationships/hyperlink" Target="https://www.eesc.europa.eu/cs/our-work/opinions-information-reports/opinions/eu-bioeconomy-strategy-towards-circular-regenerative-and-competitive-bioeconomy" TargetMode="External"/><Relationship Id="rId62" Type="http://schemas.openxmlformats.org/officeDocument/2006/relationships/hyperlink" Target="https://www.eesc.europa.eu/cs/our-work/opinions-information-reports/opinions/civil-societys-role-supporting-reform-under-growth-plans-western-balkans-and-moldova-well-ukraines-reform-path" TargetMode="External"/><Relationship Id="rId7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CS/TXT/?uri=uriserv:OJ.C_.2018.227.01.0095.01.CES&amp;toc=OJ:C:2018:227:TOC" TargetMode="External"/><Relationship Id="rId7" Type="http://schemas.openxmlformats.org/officeDocument/2006/relationships/hyperlink" Target="https://eur-lex.europa.eu/legal-content/CS/TXT/?uri=uriserv%3AOJ.C_.2022.152.01.0175.01.CES&amp;toc=OJ%3AC%3A2022%3A152%3ATOC" TargetMode="External"/><Relationship Id="rId2" Type="http://schemas.openxmlformats.org/officeDocument/2006/relationships/hyperlink" Target="https://www.eesc.europa.eu/cs/our-work/opinions-information-reports/opinions/roadmap-towards-nature-credits"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cs/our-work/opinions-information-reports/opinions/revision-eu-emissions-trading-system-ets-including-maritime-transport-and-market-stability-reserve" TargetMode="External"/><Relationship Id="rId5" Type="http://schemas.openxmlformats.org/officeDocument/2006/relationships/hyperlink" Target="https://eur-lex.europa.eu/legal-content/CS/TXT/?uri=uriserv%3AOJ.C_.2020.429.01.0268.01.CES&amp;toc=OJ%3AC%3A2020%3A429%3ATOC" TargetMode="External"/><Relationship Id="rId4" Type="http://schemas.openxmlformats.org/officeDocument/2006/relationships/hyperlink" Target="https://www.eesc.europa.eu/cs/our-work/opinions-information-reports/opinions/roadmap-towards-nature-cr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VP3JK3XSEPRV-2087481956-9105</_dlc_DocId>
    <_dlc_DocIdUrl xmlns="7d640e6d-779c-472f-a269-6b546787f1c9">
      <Url>http://dm/eesc/2026/_layouts/15/DocIdRedir.aspx?ID=VP3JK3XSEPRV-2087481956-9105</Url>
      <Description>VP3JK3XSEPRV-2087481956-9105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Squerzi Daniela</DisplayName>
        <AccountId>1363</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5A4DF385-BF79-4719-8FE2-6E6AC137C18C}"/>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9654</Words>
  <Characters>55031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pA�ijatA1ch stanovisek - 605. plenA!rnA� zasedA!nA� - duben 2025</dc:title>
  <dc:subject>ADMIN</dc:subject>
  <dc:creator/>
  <cp:keywords>COR-EESC-2022-02583-00-00-ADMIN-TRA-EN</cp:keywords>
  <dc:description>Rapporteur:  - Original language: EN - Date of document: 20/05/2022 - Date of meeting:  - External documents:  - Administrator:  SUCIU Serban</dc:description>
  <cp:lastModifiedBy/>
  <cp:revision>21</cp:revision>
  <dcterms:created xsi:type="dcterms:W3CDTF">2026-05-08T11:50:00Z</dcterms:created>
  <dcterms:modified xsi:type="dcterms:W3CDTF">2026-05-22T07:34:00Z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6022b363-5296-41b2-bd66-9b68567504f0</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32;#PL|1e03da61-4678-4e07-b136-b5024ca9197b;#31;#SL|98a412ae-eb01-49e9-ae3d-585a81724cfc;#28;#PT|50ccc04a-eadd-42ae-a0cb-acaf45f812ba;#27;#ET|ff6c3f4c-b02c-4c3c-ab07-2c37995a7a0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29;#CS|72f9705b-0217-4fd3-bea2-cbc7ed80e26e</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PT|50ccc04a-eadd-42ae-a0cb-acaf45f812ba;ET|ff6c3f4c-b02c-4c3c-ab07-2c37995a7a0a;LT|a7ff5ce7-6123-4f68-865a-a57c31810414;DA|5d49c027-8956-412b-aa16-e85a0f96ad0e;DE|f6b31e5a-26fa-4935-b661-318e46daf27e;ES|e7a6b05b-ae16-40c8-add9-68b64b03aeba;PL|1e03da61-4678-4e07-b136-b5024ca9197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