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01CA72EC" w:rsidR="004D7AC0" w:rsidRDefault="00237E17" w:rsidP="001766B2">
      <w:pPr>
        <w:jc w:val="center"/>
      </w:pPr>
      <w:r>
        <w:rPr>
          <w:noProof/>
        </w:rPr>
        <w:drawing>
          <wp:inline distT="0" distB="0" distL="0" distR="0" wp14:anchorId="2E26D807" wp14:editId="0831CF30">
            <wp:extent cx="1792605" cy="1239520"/>
            <wp:effectExtent l="0" t="0" r="0" b="0"/>
            <wp:docPr id="697964054" name="Picture 2" title="EESCLogo_BG"/>
            <wp:cNvGraphicFramePr/>
            <a:graphic xmlns:a="http://schemas.openxmlformats.org/drawingml/2006/main">
              <a:graphicData uri="http://schemas.openxmlformats.org/drawingml/2006/picture">
                <pic:pic xmlns:pic="http://schemas.openxmlformats.org/drawingml/2006/picture">
                  <pic:nvPicPr>
                    <pic:cNvPr id="697964054" name="Picture 2" title="EESCLogo_B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4EA76DF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BG</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Брюксел, 22 май 2026 г.</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605-а ПЛЕНАРНА СЕСИЯ</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29—30 април 2026 г.</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31E1FAB9" w:rsidR="004D7AC0" w:rsidRPr="0081153B" w:rsidRDefault="004D7AC0" w:rsidP="001766B2">
            <w:pPr>
              <w:snapToGrid w:val="0"/>
              <w:jc w:val="center"/>
            </w:pPr>
            <w:r>
              <w:t>Настоящият документ е достъпен на всички официални езици на Европейския съюз на уебсайта на ЕИСК на следния адрес:</w:t>
            </w:r>
            <w:r>
              <w:br/>
            </w:r>
            <w:r>
              <w:br/>
            </w:r>
            <w:hyperlink r:id="rId13" w:history="1">
              <w:r>
                <w:rPr>
                  <w:rStyle w:val="Hyperlink"/>
                </w:rPr>
                <w:t>https://www.eesc.europa.eu/bg/our-work/opinions-information-reports/plenary-session-summaries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036F7C9D" w:rsidR="004D7AC0" w:rsidRPr="00044561" w:rsidRDefault="004D7AC0" w:rsidP="001766B2">
            <w:pPr>
              <w:snapToGrid w:val="0"/>
              <w:jc w:val="center"/>
            </w:pPr>
            <w:r>
              <w:t>Изброените становища могат да бъдат намерени онлайн чрез търсачката на ЕИСК:</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Съдържание:</w:t>
      </w:r>
    </w:p>
    <w:p w14:paraId="2174B63A" w14:textId="77777777" w:rsidR="00A067F3" w:rsidRPr="00A81AFE" w:rsidRDefault="00A067F3" w:rsidP="001766B2">
      <w:pPr>
        <w:rPr>
          <w:b/>
        </w:rPr>
      </w:pPr>
    </w:p>
    <w:p w14:paraId="3D6CB852" w14:textId="5DC9889D" w:rsidR="00A067F3" w:rsidRDefault="00A067F3" w:rsidP="007B24B7">
      <w:pPr>
        <w:pStyle w:val="TOC1"/>
        <w:tabs>
          <w:tab w:val="left" w:pos="440"/>
          <w:tab w:val="right" w:leader="dot" w:pos="9063"/>
        </w:tabs>
        <w:ind w:left="440" w:hanging="440"/>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noProof/>
          </w:rPr>
          <w:t>1.</w:t>
        </w:r>
        <w:r>
          <w:rPr>
            <w:rFonts w:asciiTheme="minorHAnsi" w:eastAsiaTheme="minorEastAsia" w:hAnsiTheme="minorHAnsi" w:cstheme="minorBidi"/>
            <w:noProof/>
          </w:rPr>
          <w:tab/>
        </w:r>
        <w:r w:rsidR="007B24B7" w:rsidRPr="007B24B7">
          <w:rPr>
            <w:rStyle w:val="Hyperlink"/>
            <w:noProof/>
          </w:rPr>
          <w:t>ИКОНОМИЧЕСКИ И ПАРИЧЕН СЪЮЗ, ИКОНОМИЧЕСКО И СОЦИАЛНО СБЛИЖАВАНЕ</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7B24B7">
          <w:rPr>
            <w:noProof/>
            <w:webHidden/>
          </w:rPr>
          <w:t>3</w:t>
        </w:r>
        <w:r>
          <w:rPr>
            <w:noProof/>
            <w:webHidden/>
          </w:rPr>
          <w:fldChar w:fldCharType="end"/>
        </w:r>
      </w:hyperlink>
    </w:p>
    <w:p w14:paraId="0EE7F81C" w14:textId="449090CB"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4" w:history="1">
        <w:r w:rsidRPr="007E618C">
          <w:rPr>
            <w:rStyle w:val="Hyperlink"/>
            <w:noProof/>
          </w:rPr>
          <w:t>2.</w:t>
        </w:r>
        <w:r>
          <w:rPr>
            <w:rFonts w:asciiTheme="minorHAnsi" w:eastAsiaTheme="minorEastAsia" w:hAnsiTheme="minorHAnsi" w:cstheme="minorBidi"/>
            <w:noProof/>
          </w:rPr>
          <w:tab/>
        </w:r>
        <w:r w:rsidR="007B24B7" w:rsidRPr="007B24B7">
          <w:rPr>
            <w:rStyle w:val="Hyperlink"/>
            <w:noProof/>
          </w:rPr>
          <w:t>ЗАЕТОСТ, СОЦИАЛНИ ВЪПРОСИ И ГРАЖДАНСТВО</w:t>
        </w:r>
        <w:r w:rsidR="007B24B7" w:rsidRPr="007B24B7">
          <w:rPr>
            <w:rStyle w:val="Hyperlink"/>
            <w:noProof/>
          </w:rPr>
          <w:t xml:space="preserve"> </w:t>
        </w:r>
        <w:r>
          <w:rPr>
            <w:noProof/>
            <w:webHidden/>
          </w:rPr>
          <w:tab/>
        </w:r>
        <w:r>
          <w:rPr>
            <w:noProof/>
            <w:webHidden/>
          </w:rPr>
          <w:fldChar w:fldCharType="begin"/>
        </w:r>
        <w:r>
          <w:rPr>
            <w:noProof/>
            <w:webHidden/>
          </w:rPr>
          <w:instrText xml:space="preserve"> PAGEREF _Toc229140654 \h </w:instrText>
        </w:r>
        <w:r>
          <w:rPr>
            <w:noProof/>
            <w:webHidden/>
          </w:rPr>
        </w:r>
        <w:r>
          <w:rPr>
            <w:noProof/>
            <w:webHidden/>
          </w:rPr>
          <w:fldChar w:fldCharType="separate"/>
        </w:r>
        <w:r w:rsidR="007B24B7">
          <w:rPr>
            <w:noProof/>
            <w:webHidden/>
          </w:rPr>
          <w:t>7</w:t>
        </w:r>
        <w:r>
          <w:rPr>
            <w:noProof/>
            <w:webHidden/>
          </w:rPr>
          <w:fldChar w:fldCharType="end"/>
        </w:r>
      </w:hyperlink>
    </w:p>
    <w:p w14:paraId="7426073C" w14:textId="66F5C122"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5" w:history="1">
        <w:r w:rsidRPr="007E618C">
          <w:rPr>
            <w:rStyle w:val="Hyperlink"/>
            <w:noProof/>
          </w:rPr>
          <w:t>3.</w:t>
        </w:r>
        <w:r>
          <w:rPr>
            <w:rFonts w:asciiTheme="minorHAnsi" w:eastAsiaTheme="minorEastAsia" w:hAnsiTheme="minorHAnsi" w:cstheme="minorBidi"/>
            <w:noProof/>
          </w:rPr>
          <w:tab/>
        </w:r>
        <w:r w:rsidR="007B24B7">
          <w:rPr>
            <w:noProof/>
          </w:rPr>
          <w:t>ЕДИНЕН ПАЗАР, ПРОИЗВОДСТВО И ПОТРЕБЛЕНИЕ</w:t>
        </w:r>
        <w:r w:rsidR="007B24B7" w:rsidRPr="007E618C">
          <w:rPr>
            <w:rStyle w:val="Hyperlink"/>
            <w:noProof/>
          </w:rPr>
          <w:t xml:space="preserve"> </w:t>
        </w:r>
        <w:r>
          <w:rPr>
            <w:noProof/>
            <w:webHidden/>
          </w:rPr>
          <w:tab/>
        </w:r>
        <w:r>
          <w:rPr>
            <w:noProof/>
            <w:webHidden/>
          </w:rPr>
          <w:fldChar w:fldCharType="begin"/>
        </w:r>
        <w:r>
          <w:rPr>
            <w:noProof/>
            <w:webHidden/>
          </w:rPr>
          <w:instrText xml:space="preserve"> PAGEREF _Toc229140655 \h </w:instrText>
        </w:r>
        <w:r>
          <w:rPr>
            <w:noProof/>
            <w:webHidden/>
          </w:rPr>
        </w:r>
        <w:r>
          <w:rPr>
            <w:noProof/>
            <w:webHidden/>
          </w:rPr>
          <w:fldChar w:fldCharType="separate"/>
        </w:r>
        <w:r w:rsidR="007B24B7">
          <w:rPr>
            <w:noProof/>
            <w:webHidden/>
          </w:rPr>
          <w:t>16</w:t>
        </w:r>
        <w:r>
          <w:rPr>
            <w:noProof/>
            <w:webHidden/>
          </w:rPr>
          <w:fldChar w:fldCharType="end"/>
        </w:r>
      </w:hyperlink>
    </w:p>
    <w:p w14:paraId="71F08A6C" w14:textId="65B65A41"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6" w:history="1">
        <w:r w:rsidRPr="007E618C">
          <w:rPr>
            <w:rStyle w:val="Hyperlink"/>
            <w:noProof/>
          </w:rPr>
          <w:t>4.</w:t>
        </w:r>
        <w:r>
          <w:rPr>
            <w:rFonts w:asciiTheme="minorHAnsi" w:eastAsiaTheme="minorEastAsia" w:hAnsiTheme="minorHAnsi" w:cstheme="minorBidi"/>
            <w:noProof/>
          </w:rPr>
          <w:tab/>
        </w:r>
        <w:r w:rsidR="007B24B7">
          <w:rPr>
            <w:noProof/>
          </w:rPr>
          <w:t>ЗЕМЕДЕЛИЕ, РАЗВИТИЕ НА СЕЛСКИТЕ РАЙОНИ, ОКОЛНА СРЕДА</w:t>
        </w:r>
        <w:r>
          <w:rPr>
            <w:noProof/>
            <w:webHidden/>
          </w:rPr>
          <w:tab/>
        </w:r>
        <w:r>
          <w:rPr>
            <w:noProof/>
            <w:webHidden/>
          </w:rPr>
          <w:fldChar w:fldCharType="begin"/>
        </w:r>
        <w:r>
          <w:rPr>
            <w:noProof/>
            <w:webHidden/>
          </w:rPr>
          <w:instrText xml:space="preserve"> PAGEREF _Toc229140656 \h </w:instrText>
        </w:r>
        <w:r>
          <w:rPr>
            <w:noProof/>
            <w:webHidden/>
          </w:rPr>
        </w:r>
        <w:r>
          <w:rPr>
            <w:noProof/>
            <w:webHidden/>
          </w:rPr>
          <w:fldChar w:fldCharType="separate"/>
        </w:r>
        <w:r w:rsidR="007B24B7">
          <w:rPr>
            <w:noProof/>
            <w:webHidden/>
          </w:rPr>
          <w:t>29</w:t>
        </w:r>
        <w:r>
          <w:rPr>
            <w:noProof/>
            <w:webHidden/>
          </w:rPr>
          <w:fldChar w:fldCharType="end"/>
        </w:r>
      </w:hyperlink>
    </w:p>
    <w:p w14:paraId="33FB345E" w14:textId="750FF71D"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7" w:history="1">
        <w:r w:rsidRPr="007E618C">
          <w:rPr>
            <w:rStyle w:val="Hyperlink"/>
            <w:noProof/>
          </w:rPr>
          <w:t>5.</w:t>
        </w:r>
        <w:r>
          <w:rPr>
            <w:rFonts w:asciiTheme="minorHAnsi" w:eastAsiaTheme="minorEastAsia" w:hAnsiTheme="minorHAnsi" w:cstheme="minorBidi"/>
            <w:noProof/>
          </w:rPr>
          <w:tab/>
        </w:r>
        <w:r w:rsidR="007B24B7">
          <w:rPr>
            <w:noProof/>
          </w:rPr>
          <w:t>ВЪН</w:t>
        </w:r>
        <w:r w:rsidR="007B24B7">
          <w:rPr>
            <w:noProof/>
          </w:rPr>
          <w:t>Ш</w:t>
        </w:r>
        <w:r w:rsidR="007B24B7">
          <w:rPr>
            <w:noProof/>
          </w:rPr>
          <w:t>НИ ОТНОШЕНИЯ</w:t>
        </w:r>
        <w:r w:rsidR="007B24B7" w:rsidRPr="007E618C">
          <w:rPr>
            <w:rStyle w:val="Hyperlink"/>
            <w:noProof/>
          </w:rPr>
          <w:t xml:space="preserve"> </w:t>
        </w:r>
        <w:r>
          <w:rPr>
            <w:noProof/>
            <w:webHidden/>
          </w:rPr>
          <w:tab/>
        </w:r>
        <w:r>
          <w:rPr>
            <w:noProof/>
            <w:webHidden/>
          </w:rPr>
          <w:fldChar w:fldCharType="begin"/>
        </w:r>
        <w:r>
          <w:rPr>
            <w:noProof/>
            <w:webHidden/>
          </w:rPr>
          <w:instrText xml:space="preserve"> PAGEREF _Toc229140657 \h </w:instrText>
        </w:r>
        <w:r>
          <w:rPr>
            <w:noProof/>
            <w:webHidden/>
          </w:rPr>
        </w:r>
        <w:r>
          <w:rPr>
            <w:noProof/>
            <w:webHidden/>
          </w:rPr>
          <w:fldChar w:fldCharType="separate"/>
        </w:r>
        <w:r w:rsidR="007B24B7">
          <w:rPr>
            <w:noProof/>
            <w:webHidden/>
          </w:rPr>
          <w:t>37</w:t>
        </w:r>
        <w:r>
          <w:rPr>
            <w:noProof/>
            <w:webHidden/>
          </w:rPr>
          <w:fldChar w:fldCharType="end"/>
        </w:r>
      </w:hyperlink>
    </w:p>
    <w:p w14:paraId="4714B99D" w14:textId="7C1171F1"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9" w:history="1">
        <w:r w:rsidRPr="007E618C">
          <w:rPr>
            <w:rStyle w:val="Hyperlink"/>
            <w:noProof/>
          </w:rPr>
          <w:t>6.</w:t>
        </w:r>
        <w:r>
          <w:rPr>
            <w:rFonts w:asciiTheme="minorHAnsi" w:eastAsiaTheme="minorEastAsia" w:hAnsiTheme="minorHAnsi" w:cstheme="minorBidi"/>
            <w:noProof/>
          </w:rPr>
          <w:tab/>
        </w:r>
        <w:r w:rsidR="007B24B7">
          <w:rPr>
            <w:noProof/>
          </w:rPr>
          <w:t>КОНСУЛТА</w:t>
        </w:r>
        <w:r w:rsidR="007B24B7">
          <w:rPr>
            <w:noProof/>
          </w:rPr>
          <w:t>Т</w:t>
        </w:r>
        <w:r w:rsidR="007B24B7">
          <w:rPr>
            <w:noProof/>
          </w:rPr>
          <w:t>ИВНА КОМИСИЯ ПО ИНДУСТРИАЛНИ ПРОМЕНИ</w:t>
        </w:r>
        <w:r w:rsidR="007B24B7" w:rsidRPr="007E618C">
          <w:rPr>
            <w:rStyle w:val="Hyperlink"/>
            <w:noProof/>
          </w:rPr>
          <w:t xml:space="preserve"> </w:t>
        </w:r>
        <w:r>
          <w:rPr>
            <w:noProof/>
            <w:webHidden/>
          </w:rPr>
          <w:tab/>
        </w:r>
        <w:r>
          <w:rPr>
            <w:noProof/>
            <w:webHidden/>
          </w:rPr>
          <w:fldChar w:fldCharType="begin"/>
        </w:r>
        <w:r>
          <w:rPr>
            <w:noProof/>
            <w:webHidden/>
          </w:rPr>
          <w:instrText xml:space="preserve"> PAGEREF _Toc229140659 \h </w:instrText>
        </w:r>
        <w:r>
          <w:rPr>
            <w:noProof/>
            <w:webHidden/>
          </w:rPr>
        </w:r>
        <w:r>
          <w:rPr>
            <w:noProof/>
            <w:webHidden/>
          </w:rPr>
          <w:fldChar w:fldCharType="separate"/>
        </w:r>
        <w:r w:rsidR="007B24B7">
          <w:rPr>
            <w:noProof/>
            <w:webHidden/>
          </w:rPr>
          <w:t>41</w:t>
        </w:r>
        <w:r>
          <w:rPr>
            <w:noProof/>
            <w:webHidden/>
          </w:rPr>
          <w:fldChar w:fldCharType="end"/>
        </w:r>
      </w:hyperlink>
    </w:p>
    <w:p w14:paraId="4982DD6B" w14:textId="0121901C"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29140653"/>
      <w:r>
        <w:lastRenderedPageBreak/>
        <w:t>ИКОНОМИЧЕСКИ И ПАРИЧЕН СЪЮЗ, ИКОНОМИЧЕСКО И СОЦИАЛНО СБЛИЖАВАНЕ</w:t>
      </w:r>
      <w:bookmarkEnd w:id="0"/>
    </w:p>
    <w:p w14:paraId="4982DD6E" w14:textId="77777777" w:rsidR="004D7AC0" w:rsidRDefault="004D7AC0" w:rsidP="001766B2"/>
    <w:p w14:paraId="258C871E" w14:textId="7FC30A0A" w:rsidR="00F37962" w:rsidRPr="004C6742" w:rsidRDefault="00C10CD5"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„Програма на политиката на ЕС за приятни за живеене градове“</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47784E" w14:paraId="60D343A5" w14:textId="77777777" w:rsidTr="002E7EFB">
        <w:tc>
          <w:tcPr>
            <w:tcW w:w="1701" w:type="dxa"/>
          </w:tcPr>
          <w:p w14:paraId="1B284A7D" w14:textId="77777777" w:rsidR="00F37962" w:rsidRPr="0047784E" w:rsidRDefault="00F37962" w:rsidP="002E7EFB">
            <w:pPr>
              <w:tabs>
                <w:tab w:val="center" w:pos="284"/>
              </w:tabs>
              <w:overflowPunct w:val="0"/>
              <w:autoSpaceDE w:val="0"/>
              <w:autoSpaceDN w:val="0"/>
              <w:adjustRightInd w:val="0"/>
              <w:ind w:left="266" w:hanging="266"/>
              <w:textAlignment w:val="baseline"/>
              <w:rPr>
                <w:b/>
                <w:sz w:val="22"/>
                <w:szCs w:val="22"/>
              </w:rPr>
            </w:pPr>
            <w:r w:rsidRPr="0047784E">
              <w:rPr>
                <w:b/>
                <w:sz w:val="22"/>
                <w:szCs w:val="22"/>
              </w:rPr>
              <w:t>Докладчик</w:t>
            </w:r>
          </w:p>
          <w:p w14:paraId="73BE66E9" w14:textId="77777777" w:rsidR="00F37962" w:rsidRPr="0047784E" w:rsidRDefault="00F37962" w:rsidP="002E7EFB">
            <w:pPr>
              <w:tabs>
                <w:tab w:val="center" w:pos="284"/>
              </w:tabs>
              <w:overflowPunct w:val="0"/>
              <w:autoSpaceDE w:val="0"/>
              <w:autoSpaceDN w:val="0"/>
              <w:adjustRightInd w:val="0"/>
              <w:ind w:left="266" w:hanging="266"/>
              <w:textAlignment w:val="baseline"/>
              <w:rPr>
                <w:b/>
                <w:bCs/>
                <w:sz w:val="22"/>
                <w:szCs w:val="22"/>
              </w:rPr>
            </w:pPr>
            <w:r w:rsidRPr="0047784E">
              <w:rPr>
                <w:b/>
                <w:sz w:val="22"/>
                <w:szCs w:val="22"/>
              </w:rPr>
              <w:t>Съдокладчик</w:t>
            </w:r>
          </w:p>
        </w:tc>
        <w:tc>
          <w:tcPr>
            <w:tcW w:w="7621" w:type="dxa"/>
          </w:tcPr>
          <w:p w14:paraId="6A7F001D" w14:textId="5F7AE198" w:rsidR="00F37962" w:rsidRPr="0047784E" w:rsidRDefault="00F37962" w:rsidP="002E7EFB">
            <w:pPr>
              <w:tabs>
                <w:tab w:val="center" w:pos="284"/>
              </w:tabs>
              <w:overflowPunct w:val="0"/>
              <w:autoSpaceDE w:val="0"/>
              <w:autoSpaceDN w:val="0"/>
              <w:adjustRightInd w:val="0"/>
              <w:ind w:left="266" w:hanging="266"/>
              <w:textAlignment w:val="baseline"/>
              <w:rPr>
                <w:sz w:val="22"/>
                <w:szCs w:val="22"/>
              </w:rPr>
            </w:pPr>
            <w:proofErr w:type="spellStart"/>
            <w:r w:rsidRPr="0047784E">
              <w:rPr>
                <w:sz w:val="22"/>
                <w:szCs w:val="22"/>
              </w:rPr>
              <w:t>Florian</w:t>
            </w:r>
            <w:proofErr w:type="spellEnd"/>
            <w:r w:rsidRPr="0047784E">
              <w:rPr>
                <w:sz w:val="22"/>
                <w:szCs w:val="22"/>
              </w:rPr>
              <w:t xml:space="preserve"> MARIN (група „Работници“ — RO)</w:t>
            </w:r>
          </w:p>
          <w:p w14:paraId="5228A3F8" w14:textId="082D71FE" w:rsidR="00F37962" w:rsidRPr="0047784E" w:rsidRDefault="00F37962" w:rsidP="002E7EFB">
            <w:pPr>
              <w:tabs>
                <w:tab w:val="center" w:pos="284"/>
              </w:tabs>
              <w:overflowPunct w:val="0"/>
              <w:autoSpaceDE w:val="0"/>
              <w:autoSpaceDN w:val="0"/>
              <w:adjustRightInd w:val="0"/>
              <w:ind w:left="266" w:hanging="266"/>
              <w:textAlignment w:val="baseline"/>
              <w:rPr>
                <w:sz w:val="22"/>
                <w:szCs w:val="22"/>
              </w:rPr>
            </w:pPr>
            <w:proofErr w:type="spellStart"/>
            <w:r w:rsidRPr="0047784E">
              <w:rPr>
                <w:sz w:val="22"/>
                <w:szCs w:val="22"/>
              </w:rPr>
              <w:t>Roman</w:t>
            </w:r>
            <w:proofErr w:type="spellEnd"/>
            <w:r w:rsidRPr="0047784E">
              <w:rPr>
                <w:sz w:val="22"/>
                <w:szCs w:val="22"/>
              </w:rPr>
              <w:t xml:space="preserve"> HAKEN (група „Организации на гражданското общество“ — CZ)</w:t>
            </w:r>
          </w:p>
          <w:p w14:paraId="253441F6" w14:textId="77777777" w:rsidR="00D923C9" w:rsidRPr="0047784E" w:rsidRDefault="00D923C9" w:rsidP="002E7EFB">
            <w:pPr>
              <w:tabs>
                <w:tab w:val="center" w:pos="284"/>
              </w:tabs>
              <w:overflowPunct w:val="0"/>
              <w:autoSpaceDE w:val="0"/>
              <w:autoSpaceDN w:val="0"/>
              <w:adjustRightInd w:val="0"/>
              <w:ind w:left="266" w:hanging="266"/>
              <w:textAlignment w:val="baseline"/>
              <w:rPr>
                <w:bCs/>
                <w:sz w:val="22"/>
                <w:szCs w:val="22"/>
              </w:rPr>
            </w:pPr>
          </w:p>
        </w:tc>
      </w:tr>
      <w:tr w:rsidR="00F37962" w:rsidRPr="0047784E" w14:paraId="5EE50BD3" w14:textId="77777777" w:rsidTr="002E7EFB">
        <w:tc>
          <w:tcPr>
            <w:tcW w:w="1701" w:type="dxa"/>
          </w:tcPr>
          <w:p w14:paraId="23D70382" w14:textId="77777777" w:rsidR="00F37962" w:rsidRPr="0047784E" w:rsidRDefault="00F37962" w:rsidP="002E7EFB">
            <w:pPr>
              <w:tabs>
                <w:tab w:val="center" w:pos="284"/>
              </w:tabs>
              <w:overflowPunct w:val="0"/>
              <w:autoSpaceDE w:val="0"/>
              <w:autoSpaceDN w:val="0"/>
              <w:adjustRightInd w:val="0"/>
              <w:ind w:left="266" w:hanging="266"/>
              <w:textAlignment w:val="baseline"/>
              <w:rPr>
                <w:b/>
                <w:sz w:val="22"/>
                <w:szCs w:val="22"/>
              </w:rPr>
            </w:pPr>
            <w:r w:rsidRPr="0047784E">
              <w:rPr>
                <w:b/>
                <w:sz w:val="22"/>
                <w:szCs w:val="22"/>
              </w:rPr>
              <w:t>Отправни документи</w:t>
            </w:r>
          </w:p>
        </w:tc>
        <w:tc>
          <w:tcPr>
            <w:tcW w:w="7621" w:type="dxa"/>
          </w:tcPr>
          <w:p w14:paraId="5B4DE008" w14:textId="77777777" w:rsidR="00D923C9" w:rsidRPr="0047784E" w:rsidRDefault="00F37962" w:rsidP="002E7EFB">
            <w:pPr>
              <w:tabs>
                <w:tab w:val="center" w:pos="284"/>
              </w:tabs>
              <w:overflowPunct w:val="0"/>
              <w:autoSpaceDE w:val="0"/>
              <w:autoSpaceDN w:val="0"/>
              <w:adjustRightInd w:val="0"/>
              <w:ind w:left="266" w:hanging="266"/>
              <w:textAlignment w:val="baseline"/>
              <w:rPr>
                <w:sz w:val="22"/>
                <w:szCs w:val="22"/>
              </w:rPr>
            </w:pPr>
            <w:r w:rsidRPr="0047784E">
              <w:rPr>
                <w:sz w:val="22"/>
                <w:szCs w:val="22"/>
              </w:rPr>
              <w:t xml:space="preserve">COM(2025) 552 </w:t>
            </w:r>
            <w:proofErr w:type="spellStart"/>
            <w:r w:rsidRPr="0047784E">
              <w:rPr>
                <w:sz w:val="22"/>
                <w:szCs w:val="22"/>
              </w:rPr>
              <w:t>final</w:t>
            </w:r>
            <w:proofErr w:type="spellEnd"/>
          </w:p>
          <w:p w14:paraId="0AAE61A7" w14:textId="18341FD5" w:rsidR="00F37962" w:rsidRPr="0047784E" w:rsidRDefault="00F37962" w:rsidP="002E7EFB">
            <w:pPr>
              <w:tabs>
                <w:tab w:val="center" w:pos="284"/>
              </w:tabs>
              <w:overflowPunct w:val="0"/>
              <w:autoSpaceDE w:val="0"/>
              <w:autoSpaceDN w:val="0"/>
              <w:adjustRightInd w:val="0"/>
              <w:ind w:left="266" w:hanging="266"/>
              <w:textAlignment w:val="baseline"/>
              <w:rPr>
                <w:sz w:val="22"/>
                <w:szCs w:val="22"/>
              </w:rPr>
            </w:pPr>
            <w:r w:rsidRPr="0047784E">
              <w:rPr>
                <w:sz w:val="22"/>
                <w:szCs w:val="22"/>
              </w:rP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ЕИСК:</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счита, че градовете са гръбнакът на икономическото, социалното и териториалното развитие на Европейския съюз. Те са ключови пространства за социална, екологична и икономическа трансформация, в които иновациите би трябвало да бъдат насочени към подобряване на качеството на живот;</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приветства във връзка с това комплексния подход на Комисията и намерението ѝ да укрепи Програмата на ЕС за градовете и нейната всеобхватна визия за благоденстващи, приятни за живеене и приобщаващи градове, но счита, че предложената програма все още не отговаря на заявените амбиции;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препоръчва да бъде официално включен в предложената Програма на ЕС за градовете, наред с Комитета на регионите, за да се отрази признатата официална роля на ЕИСК в Споразумението от Любляна и Пакта от Амстердам, както и неговото активно участие във всички области на Програмата за градовете;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предлага Програмата на ЕС за градовете да се основава изцяло на многостепенно управление, принципа на партньорство и ориентиран към местните условия подход. Той трябва да гарантира балансирано териториално развитие, да укрепва социалния и гражданския диалог;</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ето защо призовава Комисията:</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признае официално както ЕИСК, така и градовете като равноправни партньори в изготвянето на политиките на ЕС в областта на градското развитие, а не само като изпълнители, чрез установяване на постоянни и структурирани механизми за многостепенно управление;</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укрепва принципа на партньорство чрез гарантиране на систематичното и съдържателно участие на организираното гражданско общество през целия цикъл на политиката на Програмата на ЕС за градовете.</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осигури на Програмата на ЕС за градовете конкретна и оперативна рамка за действие, включително ясно определени отговорности, срокове и измерими показатели, и чрез въвеждане на систематични оценки на териториалното въздействие за оценка на ефектите от законодателството на ЕС върху градовете;</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да осигурява подходящо, предвидимо и достъпно финансиране за градско развитие, включително пряк достъп на градовете до финансиране от ЕС;</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насърчава интегриран, ориентиран към проекти и към местните условия подход към териториалното сближаване, като изрично се засилва взаимното допълване между градовете и селските райони;</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развива диалог за градовете на равнището на ЕС в рамките на Платформата на ЕС за градовете, чиято цел е да се подчертае значението на ролята на социалния и гражданския диалог за въпросите, свързани със заетостта;</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увеличи фонда за техническа помощ, предназначен за градовете, и да въведе специална европейска инициатива или фонд, насочен директно към градски проекти;</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да предложи ясни стандарти за консултации, за да се гарантира значимо, навременно и представително участие на социалните партньори и гражданското общество на всички равнища;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създаде единна рамка на равнището на ЕС за събиране и докладване на данни за градовете, за да се гарантира, че показателите са съпоставими и мониторингът е ефективен във всички държави членки;</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да признае жилищното настаняване за структурен социален и икономически проблем, а не за пазарен резултат, и призовава за рамка на ЕС, която да гарантира достъп до финансово достъпни жилища;</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смята, че основният механизъм, използван за прилагане на финансирането по линия на европейската политика на сближаване по интегриран и ориентиран към местните условия начин, е воденото от общностите местно развитие (ВОМР). В градовете/градските райони ВОМР-Г трябва да излезе извън настоящия си пилотен статут и да бъде признат като един от най-ефективните инструменти за активизиране на местните общности, създаване на работни места, укрепване на социалната икономика и ангажиране на заинтересовани страни;</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счита, че следва да се въведе специална мярка за консолидиране на ВОМР в градските райони (ВОМР-Г) в бъдеще, за да се гарантира официалното му включване в процесите на вземане на решения на равнището на ЕС и в целевите технически консултации с експерти.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47784E" w14:paraId="51E81DDF" w14:textId="77777777" w:rsidTr="002E7EFB">
        <w:tc>
          <w:tcPr>
            <w:tcW w:w="1418" w:type="dxa"/>
          </w:tcPr>
          <w:p w14:paraId="59A59456" w14:textId="77777777" w:rsidR="00F37962" w:rsidRPr="0047784E" w:rsidRDefault="00F37962" w:rsidP="002E7EFB">
            <w:pPr>
              <w:overflowPunct w:val="0"/>
              <w:autoSpaceDE w:val="0"/>
              <w:autoSpaceDN w:val="0"/>
              <w:adjustRightInd w:val="0"/>
              <w:textAlignment w:val="baseline"/>
              <w:rPr>
                <w:i/>
                <w:sz w:val="22"/>
                <w:szCs w:val="22"/>
              </w:rPr>
            </w:pPr>
            <w:r w:rsidRPr="0047784E">
              <w:rPr>
                <w:b/>
                <w:i/>
                <w:sz w:val="22"/>
                <w:szCs w:val="22"/>
              </w:rPr>
              <w:t>За контакти</w:t>
            </w:r>
          </w:p>
        </w:tc>
        <w:tc>
          <w:tcPr>
            <w:tcW w:w="7904" w:type="dxa"/>
          </w:tcPr>
          <w:p w14:paraId="40387B89" w14:textId="50D56D72" w:rsidR="00F37962" w:rsidRPr="0047784E" w:rsidRDefault="00F37962" w:rsidP="002E7EFB">
            <w:pPr>
              <w:overflowPunct w:val="0"/>
              <w:autoSpaceDE w:val="0"/>
              <w:autoSpaceDN w:val="0"/>
              <w:adjustRightInd w:val="0"/>
              <w:textAlignment w:val="baseline"/>
              <w:rPr>
                <w:i/>
                <w:sz w:val="22"/>
                <w:szCs w:val="22"/>
              </w:rPr>
            </w:pPr>
            <w:proofErr w:type="spellStart"/>
            <w:r w:rsidRPr="0047784E">
              <w:rPr>
                <w:i/>
                <w:sz w:val="22"/>
                <w:szCs w:val="22"/>
              </w:rPr>
              <w:t>Georgios</w:t>
            </w:r>
            <w:proofErr w:type="spellEnd"/>
            <w:r w:rsidRPr="0047784E">
              <w:rPr>
                <w:i/>
                <w:sz w:val="22"/>
                <w:szCs w:val="22"/>
              </w:rPr>
              <w:t xml:space="preserve"> </w:t>
            </w:r>
            <w:proofErr w:type="spellStart"/>
            <w:r w:rsidRPr="0047784E">
              <w:rPr>
                <w:i/>
                <w:sz w:val="22"/>
                <w:szCs w:val="22"/>
              </w:rPr>
              <w:t>Meleas</w:t>
            </w:r>
            <w:proofErr w:type="spellEnd"/>
          </w:p>
        </w:tc>
      </w:tr>
      <w:tr w:rsidR="00F37962" w:rsidRPr="0047784E" w14:paraId="0506E28A" w14:textId="77777777" w:rsidTr="002E7EFB">
        <w:tc>
          <w:tcPr>
            <w:tcW w:w="1418" w:type="dxa"/>
          </w:tcPr>
          <w:p w14:paraId="50CECB74" w14:textId="77777777" w:rsidR="00F37962" w:rsidRPr="0047784E" w:rsidRDefault="00F37962" w:rsidP="002E7EFB">
            <w:pPr>
              <w:overflowPunct w:val="0"/>
              <w:autoSpaceDE w:val="0"/>
              <w:autoSpaceDN w:val="0"/>
              <w:adjustRightInd w:val="0"/>
              <w:textAlignment w:val="baseline"/>
              <w:rPr>
                <w:i/>
                <w:sz w:val="22"/>
                <w:szCs w:val="22"/>
              </w:rPr>
            </w:pPr>
            <w:r w:rsidRPr="0047784E">
              <w:rPr>
                <w:i/>
                <w:sz w:val="22"/>
                <w:szCs w:val="22"/>
              </w:rPr>
              <w:t>Тел.</w:t>
            </w:r>
          </w:p>
        </w:tc>
        <w:tc>
          <w:tcPr>
            <w:tcW w:w="7904" w:type="dxa"/>
          </w:tcPr>
          <w:p w14:paraId="285FFA02" w14:textId="69C35846" w:rsidR="00F37962" w:rsidRPr="0047784E" w:rsidRDefault="00F37962" w:rsidP="002E7EFB">
            <w:pPr>
              <w:overflowPunct w:val="0"/>
              <w:autoSpaceDE w:val="0"/>
              <w:autoSpaceDN w:val="0"/>
              <w:adjustRightInd w:val="0"/>
              <w:textAlignment w:val="baseline"/>
              <w:rPr>
                <w:i/>
                <w:sz w:val="22"/>
                <w:szCs w:val="22"/>
              </w:rPr>
            </w:pPr>
            <w:r w:rsidRPr="0047784E">
              <w:rPr>
                <w:i/>
                <w:sz w:val="22"/>
                <w:szCs w:val="22"/>
              </w:rPr>
              <w:t>+32 25469795</w:t>
            </w:r>
          </w:p>
        </w:tc>
      </w:tr>
      <w:tr w:rsidR="00F37962" w:rsidRPr="0047784E" w14:paraId="436042E5" w14:textId="77777777" w:rsidTr="002E7EFB">
        <w:tc>
          <w:tcPr>
            <w:tcW w:w="1418" w:type="dxa"/>
          </w:tcPr>
          <w:p w14:paraId="742D8A5E" w14:textId="77777777" w:rsidR="00F37962" w:rsidRPr="0047784E" w:rsidRDefault="00F37962" w:rsidP="002E7EFB">
            <w:pPr>
              <w:overflowPunct w:val="0"/>
              <w:autoSpaceDE w:val="0"/>
              <w:autoSpaceDN w:val="0"/>
              <w:adjustRightInd w:val="0"/>
              <w:textAlignment w:val="baseline"/>
              <w:rPr>
                <w:i/>
                <w:sz w:val="22"/>
                <w:szCs w:val="22"/>
              </w:rPr>
            </w:pPr>
            <w:r w:rsidRPr="0047784E">
              <w:rPr>
                <w:i/>
                <w:sz w:val="22"/>
                <w:szCs w:val="22"/>
              </w:rPr>
              <w:t>Електронен адрес</w:t>
            </w:r>
          </w:p>
        </w:tc>
        <w:tc>
          <w:tcPr>
            <w:tcW w:w="7904" w:type="dxa"/>
          </w:tcPr>
          <w:p w14:paraId="122227DF" w14:textId="5929536C" w:rsidR="00F37962" w:rsidRPr="0047784E" w:rsidRDefault="00C10CD5" w:rsidP="002E7EFB">
            <w:pPr>
              <w:overflowPunct w:val="0"/>
              <w:autoSpaceDE w:val="0"/>
              <w:autoSpaceDN w:val="0"/>
              <w:adjustRightInd w:val="0"/>
              <w:textAlignment w:val="baseline"/>
              <w:rPr>
                <w:i/>
                <w:iCs/>
                <w:sz w:val="22"/>
                <w:szCs w:val="22"/>
              </w:rPr>
            </w:pPr>
            <w:hyperlink r:id="rId22" w:history="1">
              <w:r w:rsidRPr="0047784E">
                <w:rPr>
                  <w:i/>
                  <w:color w:val="0000FF"/>
                  <w:sz w:val="22"/>
                  <w:szCs w:val="22"/>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3928E6D8" w:rsidR="00F37962" w:rsidRDefault="00A067F3" w:rsidP="004C6742">
      <w:pPr>
        <w:pStyle w:val="ListParagraph"/>
        <w:numPr>
          <w:ilvl w:val="0"/>
          <w:numId w:val="76"/>
        </w:numPr>
      </w:pPr>
      <w:hyperlink r:id="rId23" w:history="1">
        <w:r>
          <w:rPr>
            <w:b/>
            <w:i/>
            <w:color w:val="0000FF"/>
            <w:sz w:val="28"/>
            <w:u w:val="single"/>
          </w:rPr>
          <w:t>„Пакет за допълнително пенсионно осигуряване: ПЕПП и ИППО“</w:t>
        </w:r>
      </w:hyperlink>
    </w:p>
    <w:p w14:paraId="2C43C133" w14:textId="59A61810" w:rsidR="00F37962" w:rsidRPr="009360D7" w:rsidRDefault="00F37962" w:rsidP="004C6742">
      <w:pPr>
        <w:pStyle w:val="ListParagraph"/>
        <w:rPr>
          <w:sz w:val="20"/>
          <w:szCs w:val="20"/>
          <w:lang w:val="en-GB"/>
        </w:rPr>
      </w:pPr>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47784E" w14:paraId="0DA0566E" w14:textId="77777777" w:rsidTr="002E7EFB">
        <w:tc>
          <w:tcPr>
            <w:tcW w:w="1077" w:type="pct"/>
          </w:tcPr>
          <w:p w14:paraId="4046C9F6" w14:textId="77777777" w:rsidR="00F37962" w:rsidRPr="0047784E" w:rsidRDefault="00F37962" w:rsidP="004C6742">
            <w:pPr>
              <w:tabs>
                <w:tab w:val="center" w:pos="284"/>
              </w:tabs>
              <w:overflowPunct w:val="0"/>
              <w:autoSpaceDE w:val="0"/>
              <w:autoSpaceDN w:val="0"/>
              <w:adjustRightInd w:val="0"/>
              <w:spacing w:line="240" w:lineRule="auto"/>
              <w:ind w:left="266" w:hanging="266"/>
              <w:textAlignment w:val="baseline"/>
              <w:rPr>
                <w:b/>
                <w:sz w:val="22"/>
                <w:szCs w:val="22"/>
              </w:rPr>
            </w:pPr>
            <w:r w:rsidRPr="0047784E">
              <w:rPr>
                <w:b/>
                <w:sz w:val="22"/>
                <w:szCs w:val="22"/>
              </w:rPr>
              <w:t>Докладчик</w:t>
            </w:r>
          </w:p>
        </w:tc>
        <w:tc>
          <w:tcPr>
            <w:tcW w:w="3923" w:type="pct"/>
          </w:tcPr>
          <w:p w14:paraId="76BEB7DB" w14:textId="53F5F0D5" w:rsidR="00F37962" w:rsidRPr="0047784E"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47784E">
              <w:rPr>
                <w:sz w:val="22"/>
                <w:szCs w:val="22"/>
              </w:rPr>
              <w:t xml:space="preserve">Maria </w:t>
            </w:r>
            <w:proofErr w:type="spellStart"/>
            <w:r w:rsidRPr="0047784E">
              <w:rPr>
                <w:sz w:val="22"/>
                <w:szCs w:val="22"/>
              </w:rPr>
              <w:t>del</w:t>
            </w:r>
            <w:proofErr w:type="spellEnd"/>
            <w:r w:rsidRPr="0047784E">
              <w:rPr>
                <w:sz w:val="22"/>
                <w:szCs w:val="22"/>
              </w:rPr>
              <w:t xml:space="preserve"> </w:t>
            </w:r>
            <w:proofErr w:type="spellStart"/>
            <w:r w:rsidRPr="0047784E">
              <w:rPr>
                <w:sz w:val="22"/>
                <w:szCs w:val="22"/>
              </w:rPr>
              <w:t>Carmen</w:t>
            </w:r>
            <w:proofErr w:type="spellEnd"/>
            <w:r w:rsidRPr="0047784E">
              <w:rPr>
                <w:sz w:val="22"/>
                <w:szCs w:val="22"/>
              </w:rPr>
              <w:t xml:space="preserve"> BARRERA CHAMORRO (група „Работници“ — ES)</w:t>
            </w:r>
          </w:p>
        </w:tc>
      </w:tr>
      <w:tr w:rsidR="00F37962" w:rsidRPr="0047784E" w14:paraId="68747D90" w14:textId="77777777" w:rsidTr="002E7EFB">
        <w:tc>
          <w:tcPr>
            <w:tcW w:w="1077" w:type="pct"/>
          </w:tcPr>
          <w:p w14:paraId="5B2075D4" w14:textId="77777777" w:rsidR="00F37962" w:rsidRPr="0047784E" w:rsidRDefault="00F37962" w:rsidP="004C6742">
            <w:pPr>
              <w:tabs>
                <w:tab w:val="center" w:pos="284"/>
              </w:tabs>
              <w:overflowPunct w:val="0"/>
              <w:autoSpaceDE w:val="0"/>
              <w:autoSpaceDN w:val="0"/>
              <w:adjustRightInd w:val="0"/>
              <w:spacing w:line="240" w:lineRule="auto"/>
              <w:ind w:left="266" w:hanging="266"/>
              <w:textAlignment w:val="baseline"/>
              <w:rPr>
                <w:b/>
                <w:sz w:val="22"/>
                <w:szCs w:val="22"/>
                <w:lang w:val="es-ES"/>
              </w:rPr>
            </w:pPr>
          </w:p>
        </w:tc>
        <w:tc>
          <w:tcPr>
            <w:tcW w:w="3923" w:type="pct"/>
          </w:tcPr>
          <w:p w14:paraId="075524E1" w14:textId="77777777" w:rsidR="00F37962" w:rsidRPr="0047784E" w:rsidRDefault="00F37962" w:rsidP="004C6742">
            <w:pPr>
              <w:tabs>
                <w:tab w:val="center" w:pos="284"/>
              </w:tabs>
              <w:overflowPunct w:val="0"/>
              <w:autoSpaceDE w:val="0"/>
              <w:autoSpaceDN w:val="0"/>
              <w:adjustRightInd w:val="0"/>
              <w:spacing w:line="240" w:lineRule="auto"/>
              <w:ind w:left="266" w:right="-3091" w:hanging="266"/>
              <w:textAlignment w:val="baseline"/>
              <w:rPr>
                <w:sz w:val="22"/>
                <w:szCs w:val="22"/>
                <w:lang w:val="es-ES"/>
              </w:rPr>
            </w:pPr>
          </w:p>
        </w:tc>
      </w:tr>
      <w:tr w:rsidR="00F37962" w:rsidRPr="0047784E" w14:paraId="5E5AA138" w14:textId="77777777" w:rsidTr="002E7EFB">
        <w:tc>
          <w:tcPr>
            <w:tcW w:w="1077" w:type="pct"/>
          </w:tcPr>
          <w:p w14:paraId="5801F57F" w14:textId="77777777" w:rsidR="00F37962" w:rsidRPr="0047784E" w:rsidRDefault="00F37962" w:rsidP="004C6742">
            <w:pPr>
              <w:tabs>
                <w:tab w:val="center" w:pos="284"/>
              </w:tabs>
              <w:overflowPunct w:val="0"/>
              <w:autoSpaceDE w:val="0"/>
              <w:autoSpaceDN w:val="0"/>
              <w:adjustRightInd w:val="0"/>
              <w:spacing w:line="240" w:lineRule="auto"/>
              <w:ind w:left="266" w:hanging="266"/>
              <w:textAlignment w:val="baseline"/>
              <w:rPr>
                <w:b/>
                <w:sz w:val="22"/>
                <w:szCs w:val="22"/>
              </w:rPr>
            </w:pPr>
            <w:r w:rsidRPr="0047784E">
              <w:rPr>
                <w:b/>
                <w:sz w:val="22"/>
                <w:szCs w:val="22"/>
              </w:rPr>
              <w:t>Отправни документи</w:t>
            </w:r>
          </w:p>
        </w:tc>
        <w:tc>
          <w:tcPr>
            <w:tcW w:w="3923" w:type="pct"/>
          </w:tcPr>
          <w:p w14:paraId="5E33F076" w14:textId="77777777" w:rsidR="00F37962" w:rsidRPr="0047784E"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47784E">
              <w:rPr>
                <w:sz w:val="22"/>
                <w:szCs w:val="22"/>
              </w:rPr>
              <w:t xml:space="preserve">COM(2025) 839 </w:t>
            </w:r>
            <w:proofErr w:type="spellStart"/>
            <w:r w:rsidRPr="0047784E">
              <w:rPr>
                <w:sz w:val="22"/>
                <w:szCs w:val="22"/>
              </w:rPr>
              <w:t>final</w:t>
            </w:r>
            <w:proofErr w:type="spellEnd"/>
            <w:r w:rsidRPr="0047784E">
              <w:rPr>
                <w:sz w:val="22"/>
                <w:szCs w:val="22"/>
              </w:rPr>
              <w:t xml:space="preserve"> </w:t>
            </w:r>
          </w:p>
          <w:p w14:paraId="099CCB38" w14:textId="1D24FF1C" w:rsidR="00F37962" w:rsidRPr="0047784E"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47784E">
              <w:rPr>
                <w:sz w:val="22"/>
                <w:szCs w:val="22"/>
              </w:rPr>
              <w:t xml:space="preserve">COM(2025) 840 </w:t>
            </w:r>
            <w:proofErr w:type="spellStart"/>
            <w:r w:rsidRPr="0047784E">
              <w:rPr>
                <w:sz w:val="22"/>
                <w:szCs w:val="22"/>
              </w:rPr>
              <w:t>final</w:t>
            </w:r>
            <w:proofErr w:type="spellEnd"/>
            <w:r w:rsidRPr="0047784E">
              <w:rPr>
                <w:sz w:val="22"/>
                <w:szCs w:val="22"/>
              </w:rPr>
              <w:t xml:space="preserve"> </w:t>
            </w:r>
          </w:p>
          <w:p w14:paraId="5F2CC97B" w14:textId="2F5BA5F2" w:rsidR="00F37962" w:rsidRPr="0047784E"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47784E">
              <w:rPr>
                <w:sz w:val="22"/>
                <w:szCs w:val="22"/>
              </w:rPr>
              <w:t xml:space="preserve">COM(2025) 842 </w:t>
            </w:r>
            <w:proofErr w:type="spellStart"/>
            <w:r w:rsidRPr="0047784E">
              <w:rPr>
                <w:sz w:val="22"/>
                <w:szCs w:val="22"/>
              </w:rPr>
              <w:t>final</w:t>
            </w:r>
            <w:proofErr w:type="spellEnd"/>
          </w:p>
          <w:p w14:paraId="543A5EFB" w14:textId="77777777" w:rsidR="00F37962" w:rsidRPr="0047784E" w:rsidRDefault="00F37962" w:rsidP="004C6742">
            <w:pPr>
              <w:tabs>
                <w:tab w:val="center" w:pos="284"/>
              </w:tabs>
              <w:overflowPunct w:val="0"/>
              <w:autoSpaceDE w:val="0"/>
              <w:autoSpaceDN w:val="0"/>
              <w:adjustRightInd w:val="0"/>
              <w:spacing w:line="240" w:lineRule="auto"/>
              <w:ind w:left="550" w:right="-3091" w:hanging="266"/>
              <w:textAlignment w:val="baseline"/>
              <w:rPr>
                <w:sz w:val="22"/>
                <w:szCs w:val="22"/>
              </w:rPr>
            </w:pPr>
            <w:r w:rsidRPr="0047784E">
              <w:rPr>
                <w:sz w:val="22"/>
                <w:szCs w:val="22"/>
              </w:rP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rPr>
          <w:bCs/>
          <w:iCs/>
        </w:rPr>
      </w:pPr>
      <w:r>
        <w:t>ЕИСК:</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отчита</w:t>
      </w:r>
      <w:r>
        <w:t xml:space="preserve"> ползите от </w:t>
      </w:r>
      <w:proofErr w:type="spellStart"/>
      <w:r>
        <w:rPr>
          <w:b/>
        </w:rPr>
        <w:t>многостълбовата</w:t>
      </w:r>
      <w:proofErr w:type="spellEnd"/>
      <w:r>
        <w:rPr>
          <w:b/>
        </w:rPr>
        <w:t xml:space="preserve"> пенсионна система</w:t>
      </w:r>
      <w:r>
        <w:t xml:space="preserve"> и счита, че допълнителните пенсии не следва да оправдават отслабването на държавните пенсии, като се гарантира, че всички граждани в ЕС могат да се пенсионират с достойнство, сигурност и адекватни доходи. </w:t>
      </w:r>
      <w:r>
        <w:rPr>
          <w:b/>
        </w:rPr>
        <w:t>Необходим е цялостен подход</w:t>
      </w:r>
      <w:r>
        <w:t xml:space="preserve"> на подходящото равнище — национално или европейско, който да включва подобряване както на пазара на труда, така и на системата за допълнително пенсионно осигуряване;</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w:t>
      </w:r>
      <w:r>
        <w:t xml:space="preserve"> подходящи мерки за </w:t>
      </w:r>
      <w:r>
        <w:rPr>
          <w:b/>
        </w:rPr>
        <w:t>укрепване на основаното на участието управление</w:t>
      </w:r>
      <w:r>
        <w:t xml:space="preserve"> и насърчаване на участието на социалните партньори, като се запази тяхната свобода на договаряне и при зачитане на многообразието на системите в рамките на ЕС;</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w:t>
      </w:r>
      <w:r>
        <w:t xml:space="preserve"> конкретни изменения на </w:t>
      </w:r>
      <w:r>
        <w:rPr>
          <w:b/>
        </w:rPr>
        <w:t>Директивата относно ИППО</w:t>
      </w:r>
      <w:r>
        <w:t xml:space="preserve"> с цел намаляване на разпокъсаността, повишаване на съвместимостта и прозрачността и гарантиране на доверието на членовете на схемите;</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w:t>
      </w:r>
      <w:r>
        <w:t xml:space="preserve"> конкретни изменения на </w:t>
      </w:r>
      <w:r>
        <w:rPr>
          <w:b/>
        </w:rPr>
        <w:t>Регламента за ПЕПП</w:t>
      </w:r>
      <w:r>
        <w:t>, включително относно информацията и консултациите, ролята на ЕОЗППО и относно трансграничните трансфери;</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w:t>
      </w:r>
      <w:r>
        <w:t xml:space="preserve"> мерки за по-добър </w:t>
      </w:r>
      <w:r>
        <w:rPr>
          <w:b/>
        </w:rPr>
        <w:t>баланс между половете</w:t>
      </w:r>
      <w:r>
        <w:t xml:space="preserve"> и за </w:t>
      </w:r>
      <w:r>
        <w:rPr>
          <w:b/>
        </w:rPr>
        <w:t>укрепване на общественото доверие</w:t>
      </w:r>
      <w:r>
        <w:t xml:space="preserve"> в пенсионните продукти; освен това препоръчва </w:t>
      </w:r>
      <w:r>
        <w:rPr>
          <w:b/>
        </w:rPr>
        <w:t>ПЕПП да останат индивидуални продукти</w:t>
      </w:r>
      <w:r>
        <w:t xml:space="preserve"> и да не се разрешава колективно закупуване;</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настоятелно призовава</w:t>
      </w:r>
      <w:r>
        <w:t xml:space="preserve"> </w:t>
      </w:r>
      <w:proofErr w:type="spellStart"/>
      <w:r>
        <w:t>съзаконодателите</w:t>
      </w:r>
      <w:proofErr w:type="spellEnd"/>
      <w:r>
        <w:t xml:space="preserve"> да обмислят </w:t>
      </w:r>
      <w:r>
        <w:rPr>
          <w:b/>
        </w:rPr>
        <w:t>преформулирането на принципа на консервативния инвеститор</w:t>
      </w:r>
      <w:r>
        <w:t xml:space="preserve">, посочен в Директивата относно ИППО, за да се </w:t>
      </w:r>
      <w:r>
        <w:rPr>
          <w:b/>
        </w:rPr>
        <w:t>постигне правилният баланс</w:t>
      </w:r>
      <w:r>
        <w:t xml:space="preserve"> между инвестиционния риск и гарантирането на вноските в схемите;</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 автоматичното включване</w:t>
      </w:r>
      <w:r>
        <w:t xml:space="preserve"> да бъде резултат от засилен </w:t>
      </w:r>
      <w:r>
        <w:rPr>
          <w:b/>
        </w:rPr>
        <w:t>социален диалог</w:t>
      </w:r>
      <w:r>
        <w:t xml:space="preserve"> и колективно договаряне по целесъобразност, като се запази свободата на социалните партньори да договарят, разработват и вземат решения относно автоматичното включване;</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w:t>
      </w:r>
      <w:r>
        <w:t xml:space="preserve"> Европейската комисия да създаде </w:t>
      </w:r>
      <w:r>
        <w:rPr>
          <w:b/>
        </w:rPr>
        <w:t>комитет за наблюдение</w:t>
      </w:r>
      <w:r>
        <w:t xml:space="preserve"> с цел ефективно </w:t>
      </w:r>
      <w:r>
        <w:rPr>
          <w:b/>
        </w:rPr>
        <w:t>наблюдение на напредъка на схемите за допълнително пенсионно осигуряване</w:t>
      </w:r>
      <w:r>
        <w:t xml:space="preserve">. Той следва да включва публичните органи, социалните партньори и организациите на гражданското общество. Неговата работа следва да </w:t>
      </w:r>
      <w:r>
        <w:rPr>
          <w:b/>
        </w:rPr>
        <w:t>послужи за основа</w:t>
      </w:r>
      <w:r>
        <w:t xml:space="preserve"> на бъдещите регулаторни промени и да допринесе за работата на европейския семестър и на Съвета;</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 мерки за смекчаване</w:t>
      </w:r>
      <w:r>
        <w:t xml:space="preserve"> на потенциалните последици за </w:t>
      </w:r>
      <w:r>
        <w:rPr>
          <w:b/>
        </w:rPr>
        <w:t>устойчивостта</w:t>
      </w:r>
      <w:r>
        <w:t xml:space="preserve"> на пенсиите и </w:t>
      </w:r>
      <w:r>
        <w:rPr>
          <w:b/>
        </w:rPr>
        <w:t>бедността</w:t>
      </w:r>
      <w:r>
        <w:t xml:space="preserve"> и </w:t>
      </w:r>
      <w:r>
        <w:rPr>
          <w:b/>
        </w:rPr>
        <w:t>неравенството</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препоръчва</w:t>
      </w:r>
      <w:r>
        <w:t xml:space="preserve"> завършването на работата по координирането на </w:t>
      </w:r>
      <w:r>
        <w:rPr>
          <w:b/>
        </w:rPr>
        <w:t>цифровизацията на европейските системи за социална сигурност</w:t>
      </w:r>
      <w:r>
        <w:t>;</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lastRenderedPageBreak/>
        <w:t>подчертава</w:t>
      </w:r>
      <w:r>
        <w:t xml:space="preserve"> необходимостта от </w:t>
      </w:r>
      <w:r>
        <w:rPr>
          <w:b/>
        </w:rPr>
        <w:t>финансово образование</w:t>
      </w:r>
      <w:r>
        <w:t xml:space="preserve">, подкрепено от лесни за ползване </w:t>
      </w:r>
      <w:r>
        <w:rPr>
          <w:b/>
        </w:rPr>
        <w:t>инструменти за проследяване</w:t>
      </w:r>
      <w:r>
        <w:t xml:space="preserve"> и достъп до </w:t>
      </w:r>
      <w:r>
        <w:rPr>
          <w:b/>
        </w:rPr>
        <w:t>насоки и консултации</w:t>
      </w:r>
      <w:r>
        <w:t xml:space="preserve"> за вземането на решения.</w:t>
      </w:r>
    </w:p>
    <w:p w14:paraId="029BFBEF"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47784E" w14:paraId="2F150675" w14:textId="77777777" w:rsidTr="002E7EFB">
        <w:tc>
          <w:tcPr>
            <w:tcW w:w="1077" w:type="pct"/>
          </w:tcPr>
          <w:p w14:paraId="0E22D454" w14:textId="77777777" w:rsidR="00F37962" w:rsidRPr="0047784E" w:rsidRDefault="00F37962" w:rsidP="002E7EFB">
            <w:pPr>
              <w:overflowPunct w:val="0"/>
              <w:autoSpaceDE w:val="0"/>
              <w:autoSpaceDN w:val="0"/>
              <w:adjustRightInd w:val="0"/>
              <w:textAlignment w:val="baseline"/>
              <w:rPr>
                <w:i/>
                <w:sz w:val="22"/>
                <w:szCs w:val="22"/>
              </w:rPr>
            </w:pPr>
            <w:r w:rsidRPr="0047784E">
              <w:rPr>
                <w:b/>
                <w:i/>
                <w:sz w:val="22"/>
                <w:szCs w:val="22"/>
              </w:rPr>
              <w:t>За контакти</w:t>
            </w:r>
          </w:p>
        </w:tc>
        <w:tc>
          <w:tcPr>
            <w:tcW w:w="3923" w:type="pct"/>
          </w:tcPr>
          <w:p w14:paraId="69384752" w14:textId="77777777" w:rsidR="00F37962" w:rsidRPr="0047784E" w:rsidRDefault="00F37962" w:rsidP="002E7EFB">
            <w:pPr>
              <w:overflowPunct w:val="0"/>
              <w:autoSpaceDE w:val="0"/>
              <w:autoSpaceDN w:val="0"/>
              <w:adjustRightInd w:val="0"/>
              <w:textAlignment w:val="baseline"/>
              <w:rPr>
                <w:i/>
                <w:sz w:val="22"/>
                <w:szCs w:val="22"/>
              </w:rPr>
            </w:pPr>
            <w:proofErr w:type="spellStart"/>
            <w:r w:rsidRPr="0047784E">
              <w:rPr>
                <w:i/>
                <w:sz w:val="22"/>
                <w:szCs w:val="22"/>
              </w:rPr>
              <w:t>Sergio</w:t>
            </w:r>
            <w:proofErr w:type="spellEnd"/>
            <w:r w:rsidRPr="0047784E">
              <w:rPr>
                <w:i/>
                <w:sz w:val="22"/>
                <w:szCs w:val="22"/>
              </w:rPr>
              <w:t xml:space="preserve"> </w:t>
            </w:r>
            <w:proofErr w:type="spellStart"/>
            <w:r w:rsidRPr="0047784E">
              <w:rPr>
                <w:i/>
                <w:sz w:val="22"/>
                <w:szCs w:val="22"/>
              </w:rPr>
              <w:t>Lorencio</w:t>
            </w:r>
            <w:proofErr w:type="spellEnd"/>
            <w:r w:rsidRPr="0047784E">
              <w:rPr>
                <w:i/>
                <w:sz w:val="22"/>
                <w:szCs w:val="22"/>
              </w:rPr>
              <w:t xml:space="preserve"> </w:t>
            </w:r>
            <w:proofErr w:type="spellStart"/>
            <w:r w:rsidRPr="0047784E">
              <w:rPr>
                <w:i/>
                <w:sz w:val="22"/>
                <w:szCs w:val="22"/>
              </w:rPr>
              <w:t>Matallana</w:t>
            </w:r>
            <w:proofErr w:type="spellEnd"/>
          </w:p>
        </w:tc>
      </w:tr>
      <w:tr w:rsidR="00F37962" w:rsidRPr="0047784E" w14:paraId="6F824D39" w14:textId="77777777" w:rsidTr="002E7EFB">
        <w:tc>
          <w:tcPr>
            <w:tcW w:w="1077" w:type="pct"/>
          </w:tcPr>
          <w:p w14:paraId="54A57F09" w14:textId="77777777" w:rsidR="00F37962" w:rsidRPr="0047784E" w:rsidRDefault="00F37962" w:rsidP="002E7EFB">
            <w:pPr>
              <w:overflowPunct w:val="0"/>
              <w:autoSpaceDE w:val="0"/>
              <w:autoSpaceDN w:val="0"/>
              <w:adjustRightInd w:val="0"/>
              <w:textAlignment w:val="baseline"/>
              <w:rPr>
                <w:i/>
                <w:sz w:val="22"/>
                <w:szCs w:val="22"/>
              </w:rPr>
            </w:pPr>
            <w:r w:rsidRPr="0047784E">
              <w:rPr>
                <w:i/>
                <w:sz w:val="22"/>
                <w:szCs w:val="22"/>
              </w:rPr>
              <w:t>Тел.</w:t>
            </w:r>
          </w:p>
        </w:tc>
        <w:tc>
          <w:tcPr>
            <w:tcW w:w="3923" w:type="pct"/>
          </w:tcPr>
          <w:p w14:paraId="6C074F83" w14:textId="77777777" w:rsidR="00F37962" w:rsidRPr="0047784E" w:rsidRDefault="00F37962" w:rsidP="002E7EFB">
            <w:pPr>
              <w:overflowPunct w:val="0"/>
              <w:autoSpaceDE w:val="0"/>
              <w:autoSpaceDN w:val="0"/>
              <w:adjustRightInd w:val="0"/>
              <w:textAlignment w:val="baseline"/>
              <w:rPr>
                <w:i/>
                <w:sz w:val="22"/>
                <w:szCs w:val="22"/>
              </w:rPr>
            </w:pPr>
            <w:r w:rsidRPr="0047784E">
              <w:rPr>
                <w:i/>
                <w:sz w:val="22"/>
                <w:szCs w:val="22"/>
              </w:rPr>
              <w:t>+32 25469240</w:t>
            </w:r>
          </w:p>
        </w:tc>
      </w:tr>
      <w:tr w:rsidR="00F37962" w:rsidRPr="0047784E" w14:paraId="4CBC8AD0" w14:textId="77777777" w:rsidTr="002E7EFB">
        <w:tc>
          <w:tcPr>
            <w:tcW w:w="1077" w:type="pct"/>
          </w:tcPr>
          <w:p w14:paraId="74D96EA0" w14:textId="77777777" w:rsidR="00F37962" w:rsidRPr="0047784E" w:rsidRDefault="00F37962" w:rsidP="002E7EFB">
            <w:pPr>
              <w:overflowPunct w:val="0"/>
              <w:autoSpaceDE w:val="0"/>
              <w:autoSpaceDN w:val="0"/>
              <w:adjustRightInd w:val="0"/>
              <w:textAlignment w:val="baseline"/>
              <w:rPr>
                <w:i/>
                <w:sz w:val="22"/>
                <w:szCs w:val="22"/>
              </w:rPr>
            </w:pPr>
            <w:r w:rsidRPr="0047784E">
              <w:rPr>
                <w:i/>
                <w:sz w:val="22"/>
                <w:szCs w:val="22"/>
              </w:rPr>
              <w:t>Електронен адрес</w:t>
            </w:r>
          </w:p>
        </w:tc>
        <w:tc>
          <w:tcPr>
            <w:tcW w:w="3923" w:type="pct"/>
          </w:tcPr>
          <w:p w14:paraId="5475F81E" w14:textId="5DDD5514" w:rsidR="00F37962" w:rsidRPr="0047784E" w:rsidRDefault="00C10CD5" w:rsidP="002E7EFB">
            <w:pPr>
              <w:overflowPunct w:val="0"/>
              <w:autoSpaceDE w:val="0"/>
              <w:autoSpaceDN w:val="0"/>
              <w:adjustRightInd w:val="0"/>
              <w:textAlignment w:val="baseline"/>
              <w:rPr>
                <w:i/>
                <w:sz w:val="22"/>
                <w:szCs w:val="22"/>
              </w:rPr>
            </w:pPr>
            <w:hyperlink r:id="rId24" w:history="1">
              <w:r w:rsidRPr="0047784E">
                <w:rPr>
                  <w:i/>
                  <w:color w:val="0000FF"/>
                  <w:sz w:val="22"/>
                  <w:szCs w:val="22"/>
                  <w:u w:val="single"/>
                </w:rPr>
                <w:t>Sergio.LorencioMatallana@eesc.europa.eu</w:t>
              </w:r>
            </w:hyperlink>
          </w:p>
        </w:tc>
      </w:tr>
      <w:tr w:rsidR="00BC1478" w:rsidRPr="0047784E" w14:paraId="0B098D50" w14:textId="77777777" w:rsidTr="002E7EFB">
        <w:tc>
          <w:tcPr>
            <w:tcW w:w="1077" w:type="pct"/>
          </w:tcPr>
          <w:p w14:paraId="16C6980E" w14:textId="77777777" w:rsidR="00BC1478" w:rsidRPr="0047784E" w:rsidRDefault="00BC1478" w:rsidP="002E7EFB">
            <w:pPr>
              <w:overflowPunct w:val="0"/>
              <w:autoSpaceDE w:val="0"/>
              <w:autoSpaceDN w:val="0"/>
              <w:adjustRightInd w:val="0"/>
              <w:textAlignment w:val="baseline"/>
              <w:rPr>
                <w:i/>
                <w:sz w:val="22"/>
                <w:szCs w:val="22"/>
              </w:rPr>
            </w:pPr>
          </w:p>
        </w:tc>
        <w:tc>
          <w:tcPr>
            <w:tcW w:w="3923" w:type="pct"/>
          </w:tcPr>
          <w:p w14:paraId="5BC40BE7" w14:textId="77777777" w:rsidR="00BC1478" w:rsidRPr="0047784E" w:rsidRDefault="00BC1478" w:rsidP="002E7EFB">
            <w:pPr>
              <w:overflowPunct w:val="0"/>
              <w:autoSpaceDE w:val="0"/>
              <w:autoSpaceDN w:val="0"/>
              <w:adjustRightInd w:val="0"/>
              <w:textAlignment w:val="baseline"/>
              <w:rPr>
                <w:sz w:val="22"/>
                <w:szCs w:val="22"/>
                <w:lang w:val="en-GB"/>
              </w:rPr>
            </w:pPr>
          </w:p>
        </w:tc>
      </w:tr>
      <w:tr w:rsidR="00BC1478" w:rsidRPr="0047784E" w14:paraId="50525A98" w14:textId="77777777" w:rsidTr="002E7EFB">
        <w:tc>
          <w:tcPr>
            <w:tcW w:w="1077" w:type="pct"/>
          </w:tcPr>
          <w:p w14:paraId="75CC5483" w14:textId="417D7763" w:rsidR="00BC1478" w:rsidRPr="0047784E" w:rsidRDefault="00BC1478" w:rsidP="002E7EFB">
            <w:pPr>
              <w:overflowPunct w:val="0"/>
              <w:autoSpaceDE w:val="0"/>
              <w:autoSpaceDN w:val="0"/>
              <w:adjustRightInd w:val="0"/>
              <w:textAlignment w:val="baseline"/>
              <w:rPr>
                <w:i/>
                <w:sz w:val="22"/>
                <w:szCs w:val="22"/>
              </w:rPr>
            </w:pPr>
          </w:p>
        </w:tc>
        <w:tc>
          <w:tcPr>
            <w:tcW w:w="3923" w:type="pct"/>
          </w:tcPr>
          <w:p w14:paraId="3AD31ED3" w14:textId="77777777" w:rsidR="00BC1478" w:rsidRPr="0047784E" w:rsidRDefault="00BC1478" w:rsidP="002E7EFB">
            <w:pPr>
              <w:overflowPunct w:val="0"/>
              <w:autoSpaceDE w:val="0"/>
              <w:autoSpaceDN w:val="0"/>
              <w:adjustRightInd w:val="0"/>
              <w:textAlignment w:val="baseline"/>
              <w:rPr>
                <w:sz w:val="22"/>
                <w:szCs w:val="22"/>
                <w:lang w:val="en-GB"/>
              </w:rPr>
            </w:pPr>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8" w14:textId="69FA0768" w:rsidR="004D7AC0" w:rsidRDefault="004D7AC0" w:rsidP="001766B2">
      <w:pPr>
        <w:jc w:val="left"/>
      </w:pPr>
    </w:p>
    <w:p w14:paraId="4982DD99" w14:textId="592F9C95" w:rsidR="004D7AC0" w:rsidRDefault="004D7AC0" w:rsidP="004C6742">
      <w:pPr>
        <w:pStyle w:val="Heading2"/>
      </w:pPr>
      <w:bookmarkStart w:id="1" w:name="_Toc75527081"/>
      <w:bookmarkStart w:id="2" w:name="_Toc229140654"/>
      <w:r>
        <w:t>ЗАЕТОСТ, СОЦИАЛНИ ВЪПРОСИ И ГРАЖДАНСТВО</w:t>
      </w:r>
      <w:bookmarkEnd w:id="1"/>
      <w:bookmarkEnd w:id="2"/>
    </w:p>
    <w:p w14:paraId="4982DD9A" w14:textId="77777777" w:rsidR="004D7AC0" w:rsidRDefault="004D7AC0" w:rsidP="001766B2"/>
    <w:p w14:paraId="0FBA9E33" w14:textId="4F12F52C"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„Забрана на конверсионните практики в Европейския съюз“</w:t>
        </w:r>
      </w:hyperlink>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6887"/>
      </w:tblGrid>
      <w:tr w:rsidR="00943240" w:rsidRPr="0047784E" w14:paraId="4E8345CE" w14:textId="77777777" w:rsidTr="0047784E">
        <w:tc>
          <w:tcPr>
            <w:tcW w:w="0" w:type="auto"/>
          </w:tcPr>
          <w:p w14:paraId="7A3C8C0E" w14:textId="77777777" w:rsidR="00943240" w:rsidRPr="0047784E" w:rsidRDefault="00943240" w:rsidP="00943240">
            <w:pPr>
              <w:tabs>
                <w:tab w:val="center" w:pos="284"/>
              </w:tabs>
              <w:overflowPunct w:val="0"/>
              <w:autoSpaceDE w:val="0"/>
              <w:autoSpaceDN w:val="0"/>
              <w:adjustRightInd w:val="0"/>
              <w:ind w:left="567" w:hanging="567"/>
              <w:textAlignment w:val="baseline"/>
              <w:rPr>
                <w:b/>
                <w:sz w:val="22"/>
                <w:szCs w:val="22"/>
              </w:rPr>
            </w:pPr>
            <w:r w:rsidRPr="0047784E">
              <w:rPr>
                <w:b/>
                <w:sz w:val="22"/>
                <w:szCs w:val="22"/>
              </w:rPr>
              <w:t>Докладчик</w:t>
            </w:r>
          </w:p>
        </w:tc>
        <w:tc>
          <w:tcPr>
            <w:tcW w:w="0" w:type="auto"/>
          </w:tcPr>
          <w:p w14:paraId="7FD5F775" w14:textId="77777777" w:rsidR="00943240" w:rsidRPr="0047784E" w:rsidRDefault="00943240" w:rsidP="00943240">
            <w:pPr>
              <w:overflowPunct w:val="0"/>
              <w:autoSpaceDE w:val="0"/>
              <w:autoSpaceDN w:val="0"/>
              <w:adjustRightInd w:val="0"/>
              <w:ind w:left="567" w:hanging="567"/>
              <w:textAlignment w:val="baseline"/>
              <w:rPr>
                <w:sz w:val="22"/>
                <w:szCs w:val="22"/>
              </w:rPr>
            </w:pPr>
            <w:proofErr w:type="spellStart"/>
            <w:r w:rsidRPr="0047784E">
              <w:rPr>
                <w:sz w:val="22"/>
                <w:szCs w:val="22"/>
              </w:rPr>
              <w:t>Pascal</w:t>
            </w:r>
            <w:proofErr w:type="spellEnd"/>
            <w:r w:rsidRPr="0047784E">
              <w:rPr>
                <w:sz w:val="22"/>
                <w:szCs w:val="22"/>
              </w:rPr>
              <w:t xml:space="preserve"> DEBAY (група „Работници“ — FR)</w:t>
            </w:r>
          </w:p>
        </w:tc>
      </w:tr>
      <w:tr w:rsidR="00943240" w:rsidRPr="0047784E" w14:paraId="007125B5" w14:textId="77777777" w:rsidTr="0047784E">
        <w:tc>
          <w:tcPr>
            <w:tcW w:w="0" w:type="auto"/>
          </w:tcPr>
          <w:p w14:paraId="1D19C4E2" w14:textId="77777777" w:rsidR="00943240" w:rsidRPr="0047784E" w:rsidRDefault="00943240" w:rsidP="00943240">
            <w:pPr>
              <w:tabs>
                <w:tab w:val="center" w:pos="284"/>
              </w:tabs>
              <w:overflowPunct w:val="0"/>
              <w:autoSpaceDE w:val="0"/>
              <w:autoSpaceDN w:val="0"/>
              <w:adjustRightInd w:val="0"/>
              <w:ind w:left="567" w:hanging="567"/>
              <w:textAlignment w:val="baseline"/>
              <w:rPr>
                <w:b/>
                <w:sz w:val="22"/>
                <w:szCs w:val="22"/>
              </w:rPr>
            </w:pPr>
            <w:r w:rsidRPr="0047784E">
              <w:rPr>
                <w:b/>
                <w:sz w:val="22"/>
                <w:szCs w:val="22"/>
              </w:rPr>
              <w:t>Съдокладчик</w:t>
            </w:r>
          </w:p>
        </w:tc>
        <w:tc>
          <w:tcPr>
            <w:tcW w:w="0" w:type="auto"/>
          </w:tcPr>
          <w:p w14:paraId="00A2CBCD" w14:textId="77777777" w:rsidR="00943240" w:rsidRPr="0047784E" w:rsidRDefault="00943240" w:rsidP="00943240">
            <w:pPr>
              <w:overflowPunct w:val="0"/>
              <w:autoSpaceDE w:val="0"/>
              <w:autoSpaceDN w:val="0"/>
              <w:adjustRightInd w:val="0"/>
              <w:ind w:left="567" w:hanging="567"/>
              <w:textAlignment w:val="baseline"/>
              <w:rPr>
                <w:sz w:val="22"/>
                <w:szCs w:val="22"/>
              </w:rPr>
            </w:pPr>
            <w:proofErr w:type="spellStart"/>
            <w:r w:rsidRPr="0047784E">
              <w:rPr>
                <w:sz w:val="22"/>
                <w:szCs w:val="22"/>
              </w:rPr>
              <w:t>Ionuţ</w:t>
            </w:r>
            <w:proofErr w:type="spellEnd"/>
            <w:r w:rsidRPr="0047784E">
              <w:rPr>
                <w:sz w:val="22"/>
                <w:szCs w:val="22"/>
              </w:rPr>
              <w:t xml:space="preserve"> SIBIAN (група „Организации на гражданското общество“ — RO)</w:t>
            </w:r>
          </w:p>
        </w:tc>
      </w:tr>
      <w:tr w:rsidR="00943240" w:rsidRPr="0047784E" w14:paraId="2715214D" w14:textId="77777777" w:rsidTr="0047784E">
        <w:tc>
          <w:tcPr>
            <w:tcW w:w="0" w:type="auto"/>
          </w:tcPr>
          <w:p w14:paraId="0FC04702" w14:textId="77777777" w:rsidR="00943240" w:rsidRPr="0047784E" w:rsidRDefault="00943240" w:rsidP="00943240">
            <w:pPr>
              <w:tabs>
                <w:tab w:val="center" w:pos="284"/>
              </w:tabs>
              <w:overflowPunct w:val="0"/>
              <w:autoSpaceDE w:val="0"/>
              <w:autoSpaceDN w:val="0"/>
              <w:adjustRightInd w:val="0"/>
              <w:ind w:left="567" w:hanging="567"/>
              <w:textAlignment w:val="baseline"/>
              <w:rPr>
                <w:b/>
                <w:sz w:val="22"/>
                <w:szCs w:val="22"/>
                <w:lang w:val="en-IE"/>
              </w:rPr>
            </w:pPr>
          </w:p>
        </w:tc>
        <w:tc>
          <w:tcPr>
            <w:tcW w:w="0" w:type="auto"/>
          </w:tcPr>
          <w:p w14:paraId="5E70C3D1" w14:textId="77777777" w:rsidR="00943240" w:rsidRPr="0047784E" w:rsidRDefault="00943240" w:rsidP="00943240">
            <w:pPr>
              <w:overflowPunct w:val="0"/>
              <w:autoSpaceDE w:val="0"/>
              <w:autoSpaceDN w:val="0"/>
              <w:adjustRightInd w:val="0"/>
              <w:ind w:left="567" w:hanging="567"/>
              <w:textAlignment w:val="baseline"/>
              <w:rPr>
                <w:sz w:val="22"/>
                <w:szCs w:val="22"/>
                <w:lang w:val="en-IE"/>
              </w:rPr>
            </w:pPr>
          </w:p>
        </w:tc>
      </w:tr>
      <w:tr w:rsidR="00943240" w:rsidRPr="0047784E" w14:paraId="65C847A0" w14:textId="77777777" w:rsidTr="0047784E">
        <w:tc>
          <w:tcPr>
            <w:tcW w:w="0" w:type="auto"/>
            <w:vMerge w:val="restart"/>
          </w:tcPr>
          <w:p w14:paraId="70AB4636" w14:textId="77777777" w:rsidR="00943240" w:rsidRPr="0047784E" w:rsidRDefault="00943240" w:rsidP="00943240">
            <w:pPr>
              <w:tabs>
                <w:tab w:val="center" w:pos="284"/>
              </w:tabs>
              <w:overflowPunct w:val="0"/>
              <w:autoSpaceDE w:val="0"/>
              <w:autoSpaceDN w:val="0"/>
              <w:adjustRightInd w:val="0"/>
              <w:ind w:left="567" w:hanging="567"/>
              <w:textAlignment w:val="baseline"/>
              <w:rPr>
                <w:b/>
                <w:sz w:val="22"/>
                <w:szCs w:val="22"/>
              </w:rPr>
            </w:pPr>
            <w:r w:rsidRPr="0047784E">
              <w:rPr>
                <w:b/>
                <w:sz w:val="22"/>
                <w:szCs w:val="22"/>
              </w:rPr>
              <w:t>Отправни документи</w:t>
            </w:r>
          </w:p>
        </w:tc>
        <w:tc>
          <w:tcPr>
            <w:tcW w:w="0" w:type="auto"/>
          </w:tcPr>
          <w:p w14:paraId="75B16B24" w14:textId="77777777" w:rsidR="00943240" w:rsidRPr="0047784E" w:rsidRDefault="00943240" w:rsidP="00943240">
            <w:pPr>
              <w:tabs>
                <w:tab w:val="center" w:pos="284"/>
              </w:tabs>
              <w:overflowPunct w:val="0"/>
              <w:autoSpaceDE w:val="0"/>
              <w:autoSpaceDN w:val="0"/>
              <w:adjustRightInd w:val="0"/>
              <w:ind w:left="567" w:hanging="567"/>
              <w:textAlignment w:val="baseline"/>
              <w:rPr>
                <w:sz w:val="22"/>
                <w:szCs w:val="22"/>
              </w:rPr>
            </w:pPr>
            <w:r w:rsidRPr="0047784E">
              <w:rPr>
                <w:sz w:val="22"/>
                <w:szCs w:val="22"/>
              </w:rPr>
              <w:t>становище по собствена инициатива</w:t>
            </w:r>
          </w:p>
          <w:p w14:paraId="32684914" w14:textId="77777777" w:rsidR="00943240" w:rsidRPr="0047784E" w:rsidRDefault="00943240" w:rsidP="00943240">
            <w:pPr>
              <w:tabs>
                <w:tab w:val="center" w:pos="284"/>
              </w:tabs>
              <w:overflowPunct w:val="0"/>
              <w:autoSpaceDE w:val="0"/>
              <w:autoSpaceDN w:val="0"/>
              <w:adjustRightInd w:val="0"/>
              <w:ind w:left="567" w:hanging="567"/>
              <w:textAlignment w:val="baseline"/>
              <w:rPr>
                <w:sz w:val="22"/>
                <w:szCs w:val="22"/>
              </w:rPr>
            </w:pPr>
            <w:r w:rsidRPr="0047784E">
              <w:rPr>
                <w:sz w:val="22"/>
                <w:szCs w:val="22"/>
              </w:rPr>
              <w:t>EESC-2025-04295-00-00-AC</w:t>
            </w:r>
          </w:p>
        </w:tc>
      </w:tr>
      <w:tr w:rsidR="00943240" w:rsidRPr="0047784E" w14:paraId="536F2D4C" w14:textId="77777777" w:rsidTr="0047784E">
        <w:tc>
          <w:tcPr>
            <w:tcW w:w="0" w:type="auto"/>
            <w:vMerge/>
          </w:tcPr>
          <w:p w14:paraId="4F70AA47" w14:textId="77777777" w:rsidR="00943240" w:rsidRPr="0047784E" w:rsidRDefault="00943240" w:rsidP="00943240">
            <w:pPr>
              <w:tabs>
                <w:tab w:val="center" w:pos="284"/>
              </w:tabs>
              <w:overflowPunct w:val="0"/>
              <w:autoSpaceDE w:val="0"/>
              <w:autoSpaceDN w:val="0"/>
              <w:adjustRightInd w:val="0"/>
              <w:ind w:left="266" w:hanging="266"/>
              <w:textAlignment w:val="baseline"/>
              <w:rPr>
                <w:b/>
                <w:sz w:val="22"/>
                <w:szCs w:val="22"/>
                <w:lang w:val="en-IE"/>
              </w:rPr>
            </w:pPr>
          </w:p>
        </w:tc>
        <w:tc>
          <w:tcPr>
            <w:tcW w:w="0" w:type="auto"/>
          </w:tcPr>
          <w:p w14:paraId="304147E0" w14:textId="77777777" w:rsidR="00943240" w:rsidRPr="0047784E" w:rsidRDefault="00943240" w:rsidP="00943240">
            <w:pPr>
              <w:tabs>
                <w:tab w:val="center" w:pos="284"/>
              </w:tabs>
              <w:overflowPunct w:val="0"/>
              <w:autoSpaceDE w:val="0"/>
              <w:autoSpaceDN w:val="0"/>
              <w:adjustRightInd w:val="0"/>
              <w:ind w:left="266" w:hanging="266"/>
              <w:textAlignment w:val="baseline"/>
              <w:rPr>
                <w:sz w:val="22"/>
                <w:szCs w:val="22"/>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367A8012" w14:textId="77777777" w:rsidR="00943240" w:rsidRPr="00943240" w:rsidRDefault="00943240" w:rsidP="00943240">
      <w:pPr>
        <w:spacing w:before="100" w:beforeAutospacing="1" w:after="100" w:afterAutospacing="1" w:line="240" w:lineRule="auto"/>
        <w:jc w:val="left"/>
        <w:rPr>
          <w:b/>
          <w:bCs/>
        </w:rPr>
      </w:pPr>
      <w:r>
        <w:t>ЕИСК:</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решително осъжда всички форми на конверсионни практики, насочени към промяна, потискане или заличаване на сексуалната ориентация, половата идентичност или изразяването на половата принадлежност на дадено лице, и ги счита за нарушение на абсолютната забрана на изтезанията и на нечовешкото или унизителното отношение или наказание;</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припомня, че дискриминацията, насилието и изтезанията, насочени срещу ЛГБТИК+ лица в рамките на ЕС, са несъвместими с основните права и ценности на ЕС;</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призовава Европейската комисия да предложи правно обвързваща забрана на конверсионните практики в целия ЕС, която да обхваща както провеждането, така и рекламирането на такива дейности, като включи конверсионните практики в списъка на „престъпленията, установени на равнището на ЕС“ и ги признае за престъпления от омраза, за да гарантира еднакво равнище на защита в целия ЕС;</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настоятелно призовава забраната да бъде всеобхватна и точно определена, да се прилага както за деца, така и за възрастни, да обхваща всички публични и частни участници (професионални и непрофесионални) и да гарантира, че лицата, преживели такива практики, никога не подлежат на наказателна или гражданска отговорност;</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настоява забраната да включва ефективни, пропорционални и възпиращи санкции, която да съответства на тежките телесни повреди, причинени от конверсионните практики;</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призовава за изричното включване на половите характеристики в обхвата на забраната, за да се защитят интерсексуалните лица от нетерапевтични интервенции и интервенции, извършвани без тяхното съгласие, с които се налага насилствено привеждане в съответствие с двуполовия модел;</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препоръчва строги мерки за изпълнение като част от Стратегията за равнопоставеност на ЛГБТИК+ за 2026—2030 г. Те следва да включват годишен мониторинг, който да се извършва след консултации с организираното гражданско общество, специално финансиране за организации за професионално обучение и равенство, както и подкрепяни от ЕС образователни инициативи и инициативи за повишаване на обществената осведоменост, които са от основно значение за идентифицирането и премахването на такива практики.</w:t>
      </w:r>
      <w:bookmarkEnd w:id="9"/>
    </w:p>
    <w:p w14:paraId="0B408DE2" w14:textId="77777777" w:rsidR="00943240" w:rsidRPr="00943240" w:rsidRDefault="00943240" w:rsidP="00222866">
      <w:pPr>
        <w:pageBreakBefore/>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529"/>
      </w:tblGrid>
      <w:tr w:rsidR="00943240" w:rsidRPr="00222866" w14:paraId="4E107AFC" w14:textId="77777777" w:rsidTr="00222866">
        <w:tc>
          <w:tcPr>
            <w:tcW w:w="0" w:type="auto"/>
          </w:tcPr>
          <w:p w14:paraId="468FD01F" w14:textId="77777777" w:rsidR="00943240" w:rsidRPr="00222866" w:rsidRDefault="00943240" w:rsidP="00943240">
            <w:pPr>
              <w:overflowPunct w:val="0"/>
              <w:autoSpaceDE w:val="0"/>
              <w:autoSpaceDN w:val="0"/>
              <w:adjustRightInd w:val="0"/>
              <w:spacing w:line="240" w:lineRule="auto"/>
              <w:textAlignment w:val="baseline"/>
              <w:rPr>
                <w:i/>
                <w:sz w:val="22"/>
                <w:szCs w:val="22"/>
              </w:rPr>
            </w:pPr>
            <w:r w:rsidRPr="00222866">
              <w:rPr>
                <w:b/>
                <w:i/>
                <w:sz w:val="22"/>
                <w:szCs w:val="22"/>
              </w:rPr>
              <w:t>За контакти</w:t>
            </w:r>
          </w:p>
        </w:tc>
        <w:tc>
          <w:tcPr>
            <w:tcW w:w="0" w:type="auto"/>
          </w:tcPr>
          <w:p w14:paraId="163017DF" w14:textId="63CCAD3A" w:rsidR="00943240" w:rsidRPr="00222866" w:rsidRDefault="00943240" w:rsidP="00943240">
            <w:pPr>
              <w:overflowPunct w:val="0"/>
              <w:autoSpaceDE w:val="0"/>
              <w:autoSpaceDN w:val="0"/>
              <w:adjustRightInd w:val="0"/>
              <w:spacing w:line="240" w:lineRule="auto"/>
              <w:ind w:hanging="12"/>
              <w:textAlignment w:val="baseline"/>
              <w:rPr>
                <w:i/>
                <w:sz w:val="22"/>
                <w:szCs w:val="22"/>
              </w:rPr>
            </w:pPr>
            <w:proofErr w:type="spellStart"/>
            <w:r w:rsidRPr="00222866">
              <w:rPr>
                <w:i/>
                <w:sz w:val="22"/>
                <w:szCs w:val="22"/>
              </w:rPr>
              <w:t>Bartek</w:t>
            </w:r>
            <w:proofErr w:type="spellEnd"/>
            <w:r w:rsidRPr="00222866">
              <w:rPr>
                <w:i/>
                <w:sz w:val="22"/>
                <w:szCs w:val="22"/>
              </w:rPr>
              <w:t xml:space="preserve"> </w:t>
            </w:r>
            <w:proofErr w:type="spellStart"/>
            <w:r w:rsidRPr="00222866">
              <w:rPr>
                <w:i/>
                <w:sz w:val="22"/>
                <w:szCs w:val="22"/>
              </w:rPr>
              <w:t>Bednarowicz</w:t>
            </w:r>
            <w:proofErr w:type="spellEnd"/>
          </w:p>
        </w:tc>
      </w:tr>
      <w:tr w:rsidR="00943240" w:rsidRPr="00222866" w14:paraId="7B668718" w14:textId="77777777" w:rsidTr="00222866">
        <w:tc>
          <w:tcPr>
            <w:tcW w:w="0" w:type="auto"/>
          </w:tcPr>
          <w:p w14:paraId="694AFF7E" w14:textId="77777777" w:rsidR="00943240" w:rsidRPr="00222866" w:rsidRDefault="00943240" w:rsidP="00943240">
            <w:pPr>
              <w:overflowPunct w:val="0"/>
              <w:autoSpaceDE w:val="0"/>
              <w:autoSpaceDN w:val="0"/>
              <w:adjustRightInd w:val="0"/>
              <w:spacing w:line="240" w:lineRule="auto"/>
              <w:textAlignment w:val="baseline"/>
              <w:rPr>
                <w:i/>
                <w:sz w:val="22"/>
                <w:szCs w:val="22"/>
              </w:rPr>
            </w:pPr>
            <w:r w:rsidRPr="00222866">
              <w:rPr>
                <w:i/>
                <w:sz w:val="22"/>
                <w:szCs w:val="22"/>
              </w:rPr>
              <w:t>Тел.</w:t>
            </w:r>
          </w:p>
        </w:tc>
        <w:tc>
          <w:tcPr>
            <w:tcW w:w="0" w:type="auto"/>
          </w:tcPr>
          <w:p w14:paraId="7D387ED4" w14:textId="77777777" w:rsidR="00943240" w:rsidRPr="00222866" w:rsidRDefault="00943240" w:rsidP="00943240">
            <w:pPr>
              <w:overflowPunct w:val="0"/>
              <w:autoSpaceDE w:val="0"/>
              <w:autoSpaceDN w:val="0"/>
              <w:adjustRightInd w:val="0"/>
              <w:spacing w:line="240" w:lineRule="auto"/>
              <w:textAlignment w:val="baseline"/>
              <w:rPr>
                <w:i/>
                <w:sz w:val="22"/>
                <w:szCs w:val="22"/>
              </w:rPr>
            </w:pPr>
            <w:r w:rsidRPr="00222866">
              <w:rPr>
                <w:i/>
                <w:sz w:val="22"/>
                <w:szCs w:val="22"/>
              </w:rPr>
              <w:t>+32 25469229</w:t>
            </w:r>
          </w:p>
        </w:tc>
      </w:tr>
      <w:tr w:rsidR="00943240" w:rsidRPr="00222866" w14:paraId="65C7A403" w14:textId="77777777" w:rsidTr="00222866">
        <w:tc>
          <w:tcPr>
            <w:tcW w:w="0" w:type="auto"/>
          </w:tcPr>
          <w:p w14:paraId="27599C21" w14:textId="77777777" w:rsidR="00943240" w:rsidRPr="00222866" w:rsidRDefault="00943240" w:rsidP="00943240">
            <w:pPr>
              <w:overflowPunct w:val="0"/>
              <w:autoSpaceDE w:val="0"/>
              <w:autoSpaceDN w:val="0"/>
              <w:adjustRightInd w:val="0"/>
              <w:spacing w:line="240" w:lineRule="auto"/>
              <w:textAlignment w:val="baseline"/>
              <w:rPr>
                <w:i/>
                <w:sz w:val="22"/>
                <w:szCs w:val="22"/>
              </w:rPr>
            </w:pPr>
            <w:r w:rsidRPr="00222866">
              <w:rPr>
                <w:i/>
                <w:sz w:val="22"/>
                <w:szCs w:val="22"/>
              </w:rPr>
              <w:t>Електронен адрес</w:t>
            </w:r>
          </w:p>
        </w:tc>
        <w:tc>
          <w:tcPr>
            <w:tcW w:w="0" w:type="auto"/>
          </w:tcPr>
          <w:p w14:paraId="33C773EF" w14:textId="32222D35" w:rsidR="00943240" w:rsidRPr="00222866" w:rsidRDefault="00C10CD5" w:rsidP="00943240">
            <w:pPr>
              <w:overflowPunct w:val="0"/>
              <w:autoSpaceDE w:val="0"/>
              <w:autoSpaceDN w:val="0"/>
              <w:adjustRightInd w:val="0"/>
              <w:spacing w:line="240" w:lineRule="auto"/>
              <w:textAlignment w:val="baseline"/>
              <w:rPr>
                <w:i/>
                <w:iCs/>
                <w:sz w:val="22"/>
                <w:szCs w:val="22"/>
              </w:rPr>
            </w:pPr>
            <w:hyperlink r:id="rId26" w:history="1">
              <w:r w:rsidRPr="00222866">
                <w:rPr>
                  <w:i/>
                  <w:color w:val="0000FF"/>
                  <w:sz w:val="22"/>
                  <w:szCs w:val="22"/>
                  <w:u w:val="single"/>
                </w:rPr>
                <w:t>Bartek.Bednarowicz@eesc.europa.eu</w:t>
              </w:r>
            </w:hyperlink>
          </w:p>
          <w:p w14:paraId="05B7586B" w14:textId="77777777" w:rsidR="00943240" w:rsidRPr="00222866" w:rsidRDefault="00943240" w:rsidP="00943240">
            <w:pPr>
              <w:overflowPunct w:val="0"/>
              <w:autoSpaceDE w:val="0"/>
              <w:autoSpaceDN w:val="0"/>
              <w:adjustRightInd w:val="0"/>
              <w:spacing w:line="240" w:lineRule="auto"/>
              <w:textAlignment w:val="baseline"/>
              <w:rPr>
                <w:i/>
                <w:sz w:val="22"/>
                <w:szCs w:val="22"/>
                <w:lang w:val="en-IE"/>
              </w:rPr>
            </w:pPr>
          </w:p>
        </w:tc>
      </w:tr>
    </w:tbl>
    <w:p w14:paraId="78E447C3" w14:textId="176CF351" w:rsidR="004F74E4" w:rsidRDefault="004F74E4" w:rsidP="001766B2"/>
    <w:p w14:paraId="37568C0D" w14:textId="30EB941E" w:rsidR="00354B98" w:rsidRPr="00354B98" w:rsidRDefault="00C10CD5"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Pr>
            <w:b/>
            <w:i/>
            <w:color w:val="0000FF"/>
            <w:sz w:val="28"/>
            <w:u w:val="single"/>
          </w:rPr>
          <w:t>„Съюз на равенство: Стратегия за равнопоставеност на ЛГБТИК+ за 2026—2030 г.“</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222866" w14:paraId="5A523F39" w14:textId="77777777" w:rsidTr="002E7EFB">
        <w:tc>
          <w:tcPr>
            <w:tcW w:w="1701" w:type="dxa"/>
          </w:tcPr>
          <w:p w14:paraId="6F791E34" w14:textId="77777777" w:rsidR="00354B98" w:rsidRPr="00222866" w:rsidRDefault="00354B98" w:rsidP="00354B98">
            <w:pPr>
              <w:tabs>
                <w:tab w:val="center" w:pos="284"/>
              </w:tabs>
              <w:overflowPunct w:val="0"/>
              <w:autoSpaceDE w:val="0"/>
              <w:autoSpaceDN w:val="0"/>
              <w:adjustRightInd w:val="0"/>
              <w:ind w:left="266" w:hanging="266"/>
              <w:textAlignment w:val="baseline"/>
              <w:rPr>
                <w:b/>
                <w:sz w:val="22"/>
                <w:szCs w:val="22"/>
              </w:rPr>
            </w:pPr>
            <w:r w:rsidRPr="00222866">
              <w:rPr>
                <w:b/>
                <w:sz w:val="22"/>
                <w:szCs w:val="22"/>
              </w:rPr>
              <w:t>Докладчик:</w:t>
            </w:r>
          </w:p>
        </w:tc>
        <w:tc>
          <w:tcPr>
            <w:tcW w:w="6804" w:type="dxa"/>
          </w:tcPr>
          <w:p w14:paraId="1488AC9A" w14:textId="16EE367D" w:rsidR="00354B98" w:rsidRPr="00222866" w:rsidRDefault="00354B98" w:rsidP="00354B98">
            <w:pPr>
              <w:tabs>
                <w:tab w:val="center" w:pos="284"/>
              </w:tabs>
              <w:overflowPunct w:val="0"/>
              <w:autoSpaceDE w:val="0"/>
              <w:autoSpaceDN w:val="0"/>
              <w:adjustRightInd w:val="0"/>
              <w:ind w:left="266" w:hanging="266"/>
              <w:textAlignment w:val="baseline"/>
              <w:rPr>
                <w:sz w:val="22"/>
                <w:szCs w:val="22"/>
              </w:rPr>
            </w:pPr>
            <w:proofErr w:type="spellStart"/>
            <w:r w:rsidRPr="00222866">
              <w:rPr>
                <w:sz w:val="22"/>
                <w:szCs w:val="22"/>
              </w:rPr>
              <w:t>Juliane</w:t>
            </w:r>
            <w:proofErr w:type="spellEnd"/>
            <w:r w:rsidRPr="00222866">
              <w:rPr>
                <w:sz w:val="22"/>
                <w:szCs w:val="22"/>
              </w:rPr>
              <w:t xml:space="preserve"> Marie NEIIENDAM (група „Организации на гражданското общество“ — DK)</w:t>
            </w:r>
          </w:p>
        </w:tc>
      </w:tr>
      <w:tr w:rsidR="00354B98" w:rsidRPr="00222866" w14:paraId="47C7615B" w14:textId="77777777" w:rsidTr="002E7EFB">
        <w:tc>
          <w:tcPr>
            <w:tcW w:w="1701" w:type="dxa"/>
          </w:tcPr>
          <w:p w14:paraId="20505F27" w14:textId="77777777" w:rsidR="00354B98" w:rsidRPr="00222866" w:rsidRDefault="00354B98" w:rsidP="00354B98">
            <w:pPr>
              <w:tabs>
                <w:tab w:val="center" w:pos="284"/>
              </w:tabs>
              <w:overflowPunct w:val="0"/>
              <w:autoSpaceDE w:val="0"/>
              <w:autoSpaceDN w:val="0"/>
              <w:adjustRightInd w:val="0"/>
              <w:ind w:left="266" w:hanging="266"/>
              <w:textAlignment w:val="baseline"/>
              <w:rPr>
                <w:b/>
                <w:sz w:val="22"/>
                <w:szCs w:val="22"/>
              </w:rPr>
            </w:pPr>
          </w:p>
        </w:tc>
        <w:tc>
          <w:tcPr>
            <w:tcW w:w="6804" w:type="dxa"/>
          </w:tcPr>
          <w:p w14:paraId="465F0ECB" w14:textId="77777777" w:rsidR="00354B98" w:rsidRPr="00222866" w:rsidRDefault="00354B98" w:rsidP="00354B98">
            <w:pPr>
              <w:tabs>
                <w:tab w:val="center" w:pos="284"/>
              </w:tabs>
              <w:overflowPunct w:val="0"/>
              <w:autoSpaceDE w:val="0"/>
              <w:autoSpaceDN w:val="0"/>
              <w:adjustRightInd w:val="0"/>
              <w:textAlignment w:val="baseline"/>
              <w:rPr>
                <w:sz w:val="22"/>
                <w:szCs w:val="22"/>
              </w:rPr>
            </w:pPr>
          </w:p>
        </w:tc>
      </w:tr>
      <w:tr w:rsidR="00354B98" w:rsidRPr="00222866" w14:paraId="4E110D3A" w14:textId="77777777" w:rsidTr="002E7EFB">
        <w:tc>
          <w:tcPr>
            <w:tcW w:w="8505" w:type="dxa"/>
            <w:gridSpan w:val="2"/>
          </w:tcPr>
          <w:p w14:paraId="46EEB135" w14:textId="77777777" w:rsidR="00354B98" w:rsidRPr="00222866" w:rsidRDefault="00354B98" w:rsidP="00354B98">
            <w:pPr>
              <w:tabs>
                <w:tab w:val="center" w:pos="284"/>
              </w:tabs>
              <w:overflowPunct w:val="0"/>
              <w:autoSpaceDE w:val="0"/>
              <w:autoSpaceDN w:val="0"/>
              <w:adjustRightInd w:val="0"/>
              <w:spacing w:line="160" w:lineRule="exact"/>
              <w:ind w:left="266" w:hanging="266"/>
              <w:textAlignment w:val="baseline"/>
              <w:rPr>
                <w:sz w:val="22"/>
                <w:szCs w:val="22"/>
              </w:rPr>
            </w:pPr>
          </w:p>
        </w:tc>
      </w:tr>
      <w:tr w:rsidR="00354B98" w:rsidRPr="00222866" w14:paraId="54E406AB" w14:textId="77777777" w:rsidTr="002E7EFB">
        <w:tc>
          <w:tcPr>
            <w:tcW w:w="1701" w:type="dxa"/>
            <w:vMerge w:val="restart"/>
          </w:tcPr>
          <w:p w14:paraId="7F355524" w14:textId="77777777" w:rsidR="00354B98" w:rsidRPr="00222866" w:rsidRDefault="00354B98" w:rsidP="00354B98">
            <w:pPr>
              <w:tabs>
                <w:tab w:val="center" w:pos="284"/>
              </w:tabs>
              <w:overflowPunct w:val="0"/>
              <w:autoSpaceDE w:val="0"/>
              <w:autoSpaceDN w:val="0"/>
              <w:adjustRightInd w:val="0"/>
              <w:ind w:left="266" w:hanging="266"/>
              <w:textAlignment w:val="baseline"/>
              <w:rPr>
                <w:b/>
                <w:sz w:val="22"/>
                <w:szCs w:val="22"/>
              </w:rPr>
            </w:pPr>
            <w:r w:rsidRPr="00222866">
              <w:rPr>
                <w:b/>
                <w:sz w:val="22"/>
                <w:szCs w:val="22"/>
              </w:rPr>
              <w:t xml:space="preserve">Отправeн документ: </w:t>
            </w:r>
          </w:p>
        </w:tc>
        <w:tc>
          <w:tcPr>
            <w:tcW w:w="6804" w:type="dxa"/>
          </w:tcPr>
          <w:p w14:paraId="3C103592" w14:textId="4ABCDC27" w:rsidR="00354B98" w:rsidRPr="00222866" w:rsidRDefault="00354B98" w:rsidP="00354B98">
            <w:pPr>
              <w:tabs>
                <w:tab w:val="center" w:pos="284"/>
              </w:tabs>
              <w:overflowPunct w:val="0"/>
              <w:autoSpaceDE w:val="0"/>
              <w:autoSpaceDN w:val="0"/>
              <w:adjustRightInd w:val="0"/>
              <w:ind w:left="266" w:hanging="266"/>
              <w:textAlignment w:val="baseline"/>
              <w:rPr>
                <w:sz w:val="22"/>
                <w:szCs w:val="22"/>
              </w:rPr>
            </w:pPr>
            <w:r w:rsidRPr="00222866">
              <w:rPr>
                <w:sz w:val="22"/>
                <w:szCs w:val="22"/>
              </w:rPr>
              <w:t xml:space="preserve">COM(2025) 725 </w:t>
            </w:r>
            <w:proofErr w:type="spellStart"/>
            <w:r w:rsidRPr="00222866">
              <w:rPr>
                <w:sz w:val="22"/>
                <w:szCs w:val="22"/>
              </w:rPr>
              <w:t>final</w:t>
            </w:r>
            <w:proofErr w:type="spellEnd"/>
          </w:p>
        </w:tc>
      </w:tr>
      <w:tr w:rsidR="00354B98" w:rsidRPr="00222866" w14:paraId="1CC90C32" w14:textId="77777777" w:rsidTr="002E7EFB">
        <w:tc>
          <w:tcPr>
            <w:tcW w:w="1701" w:type="dxa"/>
            <w:vMerge/>
          </w:tcPr>
          <w:p w14:paraId="4AE0A5C9" w14:textId="77777777" w:rsidR="00354B98" w:rsidRPr="00222866" w:rsidRDefault="00354B98" w:rsidP="00354B98">
            <w:pPr>
              <w:tabs>
                <w:tab w:val="center" w:pos="284"/>
              </w:tabs>
              <w:overflowPunct w:val="0"/>
              <w:autoSpaceDE w:val="0"/>
              <w:autoSpaceDN w:val="0"/>
              <w:adjustRightInd w:val="0"/>
              <w:ind w:left="266" w:hanging="266"/>
              <w:textAlignment w:val="baseline"/>
              <w:rPr>
                <w:b/>
                <w:sz w:val="22"/>
                <w:szCs w:val="22"/>
                <w:lang w:val="en-GB"/>
              </w:rPr>
            </w:pPr>
          </w:p>
        </w:tc>
        <w:tc>
          <w:tcPr>
            <w:tcW w:w="6804" w:type="dxa"/>
          </w:tcPr>
          <w:p w14:paraId="2744FDCB" w14:textId="4A569384" w:rsidR="00354B98" w:rsidRPr="00222866" w:rsidRDefault="00354B98" w:rsidP="00354B98">
            <w:pPr>
              <w:tabs>
                <w:tab w:val="center" w:pos="284"/>
              </w:tabs>
              <w:overflowPunct w:val="0"/>
              <w:autoSpaceDE w:val="0"/>
              <w:autoSpaceDN w:val="0"/>
              <w:adjustRightInd w:val="0"/>
              <w:ind w:left="266" w:hanging="266"/>
              <w:textAlignment w:val="baseline"/>
              <w:rPr>
                <w:sz w:val="22"/>
                <w:szCs w:val="22"/>
              </w:rPr>
            </w:pPr>
            <w:r w:rsidRPr="00222866">
              <w:rPr>
                <w:sz w:val="22"/>
                <w:szCs w:val="22"/>
              </w:rP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ЕИСК:</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приветства новата стратегия за равнопоставеност на ЛГБТИК+ за периода 2026—2030 г., като същевременно призовава за по-решителни действия, тъй като трайната дискриминация, насилие, тормоз и изключване, особено засягащи транссексуалните, небинарните и интерсексуалните лица, изискват по-решителни политически действия;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отправя искане за по-строго правоприлагане и отчетност чрез обвързващи референтни показатели, системни производства за установяване на нарушения, обвързаност с условия за спазване на принципите на правовата държава и прилагане на националните стратегии за ЛГБТИК+ лицата;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призовава за решителни действия за защита на основните права и гражданското пространство чрез противодействие на враждебните реакции, дезинформацията и речта на омразата и гарантиране на постоянна подкрепа за гражданското общество;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настоятелно призовава за пълна равнопоставеност в ежедневието, като се гарантира приобщаващ достъп до здравеопазване, образование и заетост чрез укрепване на приобщаването на работното място;</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призовава Европейската комисия да предложи правно обвързваща забрана на конверсионните практики в целия ЕС, която да обхваща както провеждането, така и рекламирането на такива дейности, като включи конверсионните практики в списъка на „престъпленията, установени на равнището на ЕС“ и ги признае за престъпления от омраза, за да гарантира еднакво равнище на защита в целия ЕС;</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призовава за справяне със структурните неравенства чрез включване на равенството на ЛГБТИК+ в политиките за социално приобщаване, жилищно настаняване и борба с бедността, с целенасочена подкрепа за лицата, сблъскващи се с </w:t>
      </w:r>
      <w:proofErr w:type="spellStart"/>
      <w:r>
        <w:t>интерсекционална</w:t>
      </w:r>
      <w:proofErr w:type="spellEnd"/>
      <w:r>
        <w:t xml:space="preserve"> дискриминация;</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 xml:space="preserve">отправя искане за ориентирани към бъдещето и основани на правата рамки чрез преодоляване на правните пропуски, гарантиране на основано на самоопределение признаване на пола, укрепване на достъпа до правосъдие, осигуряване на подходящо </w:t>
      </w:r>
      <w:r>
        <w:lastRenderedPageBreak/>
        <w:t xml:space="preserve">финансиране за организациите на гражданското общество, подобряване на </w:t>
      </w:r>
      <w:proofErr w:type="spellStart"/>
      <w:r>
        <w:t>интерсекционалните</w:t>
      </w:r>
      <w:proofErr w:type="spellEnd"/>
      <w:r>
        <w:t xml:space="preserve"> данни и гарантиране на равенството в цифровите технологии и ИИ.</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222866" w14:paraId="3184797F" w14:textId="77777777" w:rsidTr="002E7EFB">
        <w:tc>
          <w:tcPr>
            <w:tcW w:w="1418" w:type="dxa"/>
          </w:tcPr>
          <w:p w14:paraId="2A28D240" w14:textId="77777777" w:rsidR="00354B98" w:rsidRPr="00222866" w:rsidRDefault="00354B98" w:rsidP="00354B98">
            <w:pPr>
              <w:overflowPunct w:val="0"/>
              <w:autoSpaceDE w:val="0"/>
              <w:autoSpaceDN w:val="0"/>
              <w:adjustRightInd w:val="0"/>
              <w:spacing w:line="240" w:lineRule="auto"/>
              <w:textAlignment w:val="baseline"/>
              <w:rPr>
                <w:i/>
                <w:sz w:val="22"/>
                <w:szCs w:val="22"/>
              </w:rPr>
            </w:pPr>
            <w:r w:rsidRPr="00222866">
              <w:rPr>
                <w:b/>
                <w:i/>
                <w:sz w:val="22"/>
                <w:szCs w:val="22"/>
              </w:rPr>
              <w:t>За контакт:</w:t>
            </w:r>
          </w:p>
        </w:tc>
        <w:tc>
          <w:tcPr>
            <w:tcW w:w="5670" w:type="dxa"/>
          </w:tcPr>
          <w:p w14:paraId="7B16B757" w14:textId="08FB7356" w:rsidR="00354B98" w:rsidRPr="00222866" w:rsidRDefault="00354B98" w:rsidP="00354B98">
            <w:pPr>
              <w:overflowPunct w:val="0"/>
              <w:autoSpaceDE w:val="0"/>
              <w:autoSpaceDN w:val="0"/>
              <w:adjustRightInd w:val="0"/>
              <w:spacing w:line="240" w:lineRule="auto"/>
              <w:textAlignment w:val="baseline"/>
              <w:rPr>
                <w:i/>
                <w:sz w:val="22"/>
                <w:szCs w:val="22"/>
              </w:rPr>
            </w:pPr>
            <w:proofErr w:type="spellStart"/>
            <w:r w:rsidRPr="00222866">
              <w:rPr>
                <w:i/>
                <w:sz w:val="22"/>
                <w:szCs w:val="22"/>
              </w:rPr>
              <w:t>Bartek</w:t>
            </w:r>
            <w:proofErr w:type="spellEnd"/>
            <w:r w:rsidRPr="00222866">
              <w:rPr>
                <w:i/>
                <w:sz w:val="22"/>
                <w:szCs w:val="22"/>
              </w:rPr>
              <w:t xml:space="preserve"> </w:t>
            </w:r>
            <w:proofErr w:type="spellStart"/>
            <w:r w:rsidRPr="00222866">
              <w:rPr>
                <w:i/>
                <w:sz w:val="22"/>
                <w:szCs w:val="22"/>
              </w:rPr>
              <w:t>Bednarowicz</w:t>
            </w:r>
            <w:proofErr w:type="spellEnd"/>
          </w:p>
        </w:tc>
      </w:tr>
      <w:tr w:rsidR="00354B98" w:rsidRPr="00222866" w14:paraId="0E1F3D07" w14:textId="77777777" w:rsidTr="002E7EFB">
        <w:tc>
          <w:tcPr>
            <w:tcW w:w="1418" w:type="dxa"/>
          </w:tcPr>
          <w:p w14:paraId="4235BE66" w14:textId="77777777" w:rsidR="00354B98" w:rsidRPr="00222866" w:rsidRDefault="00354B98" w:rsidP="00354B98">
            <w:pPr>
              <w:overflowPunct w:val="0"/>
              <w:autoSpaceDE w:val="0"/>
              <w:autoSpaceDN w:val="0"/>
              <w:adjustRightInd w:val="0"/>
              <w:spacing w:line="240" w:lineRule="auto"/>
              <w:textAlignment w:val="baseline"/>
              <w:rPr>
                <w:i/>
                <w:sz w:val="22"/>
                <w:szCs w:val="22"/>
              </w:rPr>
            </w:pPr>
            <w:r w:rsidRPr="00222866">
              <w:rPr>
                <w:i/>
                <w:sz w:val="22"/>
                <w:szCs w:val="22"/>
              </w:rPr>
              <w:t>Тел.:</w:t>
            </w:r>
          </w:p>
        </w:tc>
        <w:tc>
          <w:tcPr>
            <w:tcW w:w="5670" w:type="dxa"/>
          </w:tcPr>
          <w:p w14:paraId="22D630EA" w14:textId="77777777" w:rsidR="00354B98" w:rsidRPr="00222866" w:rsidRDefault="00354B98" w:rsidP="00354B98">
            <w:pPr>
              <w:overflowPunct w:val="0"/>
              <w:autoSpaceDE w:val="0"/>
              <w:autoSpaceDN w:val="0"/>
              <w:adjustRightInd w:val="0"/>
              <w:spacing w:line="240" w:lineRule="auto"/>
              <w:textAlignment w:val="baseline"/>
              <w:rPr>
                <w:i/>
                <w:sz w:val="22"/>
                <w:szCs w:val="22"/>
              </w:rPr>
            </w:pPr>
            <w:r w:rsidRPr="00222866">
              <w:rPr>
                <w:i/>
                <w:sz w:val="22"/>
                <w:szCs w:val="22"/>
              </w:rPr>
              <w:t>+32 25469229</w:t>
            </w:r>
          </w:p>
        </w:tc>
      </w:tr>
      <w:tr w:rsidR="00354B98" w:rsidRPr="00222866" w14:paraId="07F9D924" w14:textId="77777777" w:rsidTr="002E7EFB">
        <w:tc>
          <w:tcPr>
            <w:tcW w:w="1418" w:type="dxa"/>
          </w:tcPr>
          <w:p w14:paraId="5F74FBF9" w14:textId="76661680" w:rsidR="00354B98" w:rsidRPr="00222866" w:rsidRDefault="00755E1E" w:rsidP="00354B98">
            <w:pPr>
              <w:overflowPunct w:val="0"/>
              <w:autoSpaceDE w:val="0"/>
              <w:autoSpaceDN w:val="0"/>
              <w:adjustRightInd w:val="0"/>
              <w:spacing w:line="240" w:lineRule="auto"/>
              <w:textAlignment w:val="baseline"/>
              <w:rPr>
                <w:i/>
                <w:sz w:val="22"/>
                <w:szCs w:val="22"/>
              </w:rPr>
            </w:pPr>
            <w:r w:rsidRPr="00222866">
              <w:rPr>
                <w:i/>
                <w:sz w:val="22"/>
                <w:szCs w:val="22"/>
              </w:rPr>
              <w:t>Електронен адрес</w:t>
            </w:r>
          </w:p>
        </w:tc>
        <w:tc>
          <w:tcPr>
            <w:tcW w:w="5670" w:type="dxa"/>
          </w:tcPr>
          <w:p w14:paraId="25F375C5" w14:textId="44F50E01" w:rsidR="00354B98" w:rsidRPr="00222866" w:rsidRDefault="00C10CD5" w:rsidP="00354B98">
            <w:pPr>
              <w:overflowPunct w:val="0"/>
              <w:autoSpaceDE w:val="0"/>
              <w:autoSpaceDN w:val="0"/>
              <w:adjustRightInd w:val="0"/>
              <w:spacing w:line="240" w:lineRule="auto"/>
              <w:textAlignment w:val="baseline"/>
              <w:rPr>
                <w:i/>
                <w:iCs/>
                <w:sz w:val="22"/>
                <w:szCs w:val="22"/>
              </w:rPr>
            </w:pPr>
            <w:hyperlink r:id="rId28" w:history="1">
              <w:r w:rsidRPr="00222866">
                <w:rPr>
                  <w:i/>
                  <w:color w:val="0000FF"/>
                  <w:sz w:val="22"/>
                  <w:szCs w:val="22"/>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1AE552DD" w:rsidR="00C82A9F" w:rsidRDefault="00C82A9F">
      <w:pPr>
        <w:spacing w:after="160" w:line="259" w:lineRule="auto"/>
        <w:jc w:val="left"/>
      </w:pPr>
    </w:p>
    <w:p w14:paraId="7477FCDA" w14:textId="5EDC16F1" w:rsidR="005D43B9" w:rsidRPr="005D43B9" w:rsidRDefault="00C10CD5"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„Конкурентоспособност на ЕС и младежко предприемачество“</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222866" w14:paraId="2FF33FAA" w14:textId="77777777" w:rsidTr="004C6742">
        <w:tc>
          <w:tcPr>
            <w:tcW w:w="1701" w:type="dxa"/>
          </w:tcPr>
          <w:p w14:paraId="4A8D35E0" w14:textId="77777777" w:rsidR="005D43B9" w:rsidRPr="00222866"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r w:rsidRPr="00222866">
              <w:rPr>
                <w:b/>
                <w:sz w:val="22"/>
                <w:szCs w:val="22"/>
              </w:rPr>
              <w:t>Докладчик</w:t>
            </w:r>
          </w:p>
          <w:p w14:paraId="2658A4F3" w14:textId="77777777" w:rsidR="005D43B9" w:rsidRPr="00222866"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p>
        </w:tc>
        <w:tc>
          <w:tcPr>
            <w:tcW w:w="6663" w:type="dxa"/>
          </w:tcPr>
          <w:p w14:paraId="31BCB833" w14:textId="7B3A0553" w:rsidR="005D43B9" w:rsidRPr="00222866" w:rsidRDefault="005D43B9" w:rsidP="005D43B9">
            <w:pPr>
              <w:overflowPunct w:val="0"/>
              <w:autoSpaceDE w:val="0"/>
              <w:autoSpaceDN w:val="0"/>
              <w:adjustRightInd w:val="0"/>
              <w:spacing w:line="240" w:lineRule="auto"/>
              <w:ind w:left="567" w:hanging="567"/>
              <w:textAlignment w:val="baseline"/>
              <w:rPr>
                <w:sz w:val="22"/>
                <w:szCs w:val="22"/>
              </w:rPr>
            </w:pPr>
            <w:proofErr w:type="spellStart"/>
            <w:r w:rsidRPr="00222866">
              <w:rPr>
                <w:sz w:val="22"/>
                <w:szCs w:val="22"/>
              </w:rPr>
              <w:t>Giuseppe</w:t>
            </w:r>
            <w:proofErr w:type="spellEnd"/>
            <w:r w:rsidRPr="00222866">
              <w:rPr>
                <w:sz w:val="22"/>
                <w:szCs w:val="22"/>
              </w:rPr>
              <w:t xml:space="preserve"> GUERINI (група „Организации на гражданското общество“ — IT)</w:t>
            </w:r>
          </w:p>
        </w:tc>
      </w:tr>
      <w:tr w:rsidR="005D43B9" w:rsidRPr="00222866" w14:paraId="118E6E00" w14:textId="77777777" w:rsidTr="004C6742">
        <w:tc>
          <w:tcPr>
            <w:tcW w:w="1701" w:type="dxa"/>
            <w:vMerge w:val="restart"/>
          </w:tcPr>
          <w:p w14:paraId="21DE2D02" w14:textId="77777777" w:rsidR="005D43B9" w:rsidRPr="00222866" w:rsidRDefault="005D43B9" w:rsidP="005D43B9">
            <w:pPr>
              <w:tabs>
                <w:tab w:val="center" w:pos="284"/>
              </w:tabs>
              <w:overflowPunct w:val="0"/>
              <w:autoSpaceDE w:val="0"/>
              <w:autoSpaceDN w:val="0"/>
              <w:adjustRightInd w:val="0"/>
              <w:spacing w:line="240" w:lineRule="auto"/>
              <w:ind w:left="567" w:hanging="567"/>
              <w:textAlignment w:val="baseline"/>
              <w:rPr>
                <w:b/>
                <w:sz w:val="22"/>
                <w:szCs w:val="22"/>
              </w:rPr>
            </w:pPr>
            <w:r w:rsidRPr="00222866">
              <w:rPr>
                <w:b/>
                <w:sz w:val="22"/>
                <w:szCs w:val="22"/>
              </w:rPr>
              <w:t>Отправни документи</w:t>
            </w:r>
          </w:p>
        </w:tc>
        <w:tc>
          <w:tcPr>
            <w:tcW w:w="6663" w:type="dxa"/>
          </w:tcPr>
          <w:p w14:paraId="2EF0047D" w14:textId="66FB81B3" w:rsidR="004A4B18" w:rsidRPr="00222866" w:rsidRDefault="005E01B5" w:rsidP="005D43B9">
            <w:pPr>
              <w:tabs>
                <w:tab w:val="center" w:pos="284"/>
              </w:tabs>
              <w:overflowPunct w:val="0"/>
              <w:autoSpaceDE w:val="0"/>
              <w:autoSpaceDN w:val="0"/>
              <w:adjustRightInd w:val="0"/>
              <w:spacing w:line="240" w:lineRule="auto"/>
              <w:ind w:left="567" w:hanging="567"/>
              <w:textAlignment w:val="baseline"/>
              <w:rPr>
                <w:sz w:val="22"/>
                <w:szCs w:val="22"/>
              </w:rPr>
            </w:pPr>
            <w:r w:rsidRPr="00222866">
              <w:rPr>
                <w:sz w:val="22"/>
                <w:szCs w:val="22"/>
              </w:rPr>
              <w:t>проучвателно становище по искане на кипърското председателство на Съвета на ЕС</w:t>
            </w:r>
          </w:p>
          <w:p w14:paraId="63716DCE" w14:textId="39FCB672" w:rsidR="005D43B9" w:rsidRPr="00222866" w:rsidRDefault="005D43B9" w:rsidP="005D43B9">
            <w:pPr>
              <w:tabs>
                <w:tab w:val="center" w:pos="284"/>
              </w:tabs>
              <w:overflowPunct w:val="0"/>
              <w:autoSpaceDE w:val="0"/>
              <w:autoSpaceDN w:val="0"/>
              <w:adjustRightInd w:val="0"/>
              <w:spacing w:line="240" w:lineRule="auto"/>
              <w:ind w:left="567" w:hanging="567"/>
              <w:textAlignment w:val="baseline"/>
              <w:rPr>
                <w:sz w:val="22"/>
                <w:szCs w:val="22"/>
              </w:rPr>
            </w:pPr>
            <w:r w:rsidRPr="00222866">
              <w:rPr>
                <w:sz w:val="22"/>
                <w:szCs w:val="22"/>
              </w:rPr>
              <w:t>EESC-2025-04305-00-00-AC</w:t>
            </w:r>
          </w:p>
        </w:tc>
      </w:tr>
      <w:tr w:rsidR="005D43B9" w:rsidRPr="00222866" w14:paraId="2A0968A0" w14:textId="77777777" w:rsidTr="004C6742">
        <w:tc>
          <w:tcPr>
            <w:tcW w:w="1701" w:type="dxa"/>
            <w:vMerge/>
          </w:tcPr>
          <w:p w14:paraId="201EBAA3" w14:textId="77777777" w:rsidR="005D43B9" w:rsidRPr="00222866" w:rsidRDefault="005D43B9" w:rsidP="005D43B9">
            <w:pPr>
              <w:tabs>
                <w:tab w:val="center" w:pos="284"/>
              </w:tabs>
              <w:overflowPunct w:val="0"/>
              <w:autoSpaceDE w:val="0"/>
              <w:autoSpaceDN w:val="0"/>
              <w:adjustRightInd w:val="0"/>
              <w:spacing w:line="240" w:lineRule="auto"/>
              <w:ind w:left="266" w:hanging="266"/>
              <w:textAlignment w:val="baseline"/>
              <w:rPr>
                <w:b/>
                <w:sz w:val="22"/>
                <w:szCs w:val="22"/>
                <w:lang w:val="pt-PT"/>
              </w:rPr>
            </w:pPr>
          </w:p>
        </w:tc>
        <w:tc>
          <w:tcPr>
            <w:tcW w:w="6663" w:type="dxa"/>
          </w:tcPr>
          <w:p w14:paraId="55EAC160" w14:textId="77777777" w:rsidR="005D43B9" w:rsidRPr="00222866" w:rsidRDefault="005D43B9" w:rsidP="005D43B9">
            <w:pPr>
              <w:tabs>
                <w:tab w:val="center" w:pos="284"/>
              </w:tabs>
              <w:overflowPunct w:val="0"/>
              <w:autoSpaceDE w:val="0"/>
              <w:autoSpaceDN w:val="0"/>
              <w:adjustRightInd w:val="0"/>
              <w:spacing w:line="240" w:lineRule="auto"/>
              <w:ind w:left="266" w:hanging="266"/>
              <w:textAlignment w:val="baseline"/>
              <w:rPr>
                <w:sz w:val="22"/>
                <w:szCs w:val="22"/>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Основни аспекти</w:t>
      </w:r>
    </w:p>
    <w:p w14:paraId="79AD68CC" w14:textId="77777777" w:rsidR="005D43B9" w:rsidRPr="005D43B9" w:rsidRDefault="005D43B9" w:rsidP="005D43B9">
      <w:pPr>
        <w:spacing w:before="100" w:beforeAutospacing="1" w:after="100" w:afterAutospacing="1" w:line="240" w:lineRule="auto"/>
        <w:rPr>
          <w:sz w:val="24"/>
          <w:szCs w:val="24"/>
        </w:rPr>
      </w:pPr>
      <w:r>
        <w:rPr>
          <w:sz w:val="24"/>
        </w:rPr>
        <w:t>ЕИСК:</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отправя искане за всеобхватна и координирана стратегия на ЕС и държавите членки, която да предоставя интегриран пакет за подкрепа на младите предприемачи, съчетаващ достъпно финансиране, адаптирано обучение, наставничество, напътствия, инкубация и силни местни екосистеми, за да се увеличат максимално създаването на предприятия и устойчивостта;</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призовава за радикална промяна в достъпа до финансиране чрез разширяване на инструментите за финансиране, съобразени с младите хора, отвъд традиционното банково кредитиране, включително микрофинансиране, алтернативен капитал и целенасочена подкрепа за предприятията от социалната икономика и други модели, ориентирани към въздействието;</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настоятелно призовава за решително опростяване на административните и регулаторните рамки на равнището на ЕС, на национално и местно равнище, за да се намали бюрокрацията, да се намалят разходите за привеждане в съответствие и да се създаде стабилна, благоприятна за бизнеса среда за младите предприемачи;</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 xml:space="preserve">препоръчва включването на образованието по предприемачество, финансовата грамотност и предприемаческото мислене във всички системи за образование и обучение, особено в пътищата за професионално и </w:t>
      </w:r>
      <w:proofErr w:type="spellStart"/>
      <w:r>
        <w:t>дуално</w:t>
      </w:r>
      <w:proofErr w:type="spellEnd"/>
      <w:r>
        <w:t xml:space="preserve"> обучение, като същевременно се укрепват цифровите и задълбочените умения, включително ИИ, за да се подготвят младите хора за бъдещите пазари;</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призовава за по-силни екосистеми за подкрепа чрез наставничество, спонсорство, възможности за изграждане на мрежи и интернационализация, включително схеми за мобилност и достъп до трансгранични пазари, за да се засилят иновациите, възможностите за разрастване и конкурентоспособността;</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 xml:space="preserve">настоятелно призовава за създаването на приобщаващи и устойчиви политики за предприемачество, които да запълват пропуските по отношение на по-слабо представените групи, насърчават култура на „втори шанс“, гарантират адекватна социална закрила и </w:t>
      </w:r>
      <w:r>
        <w:lastRenderedPageBreak/>
        <w:t>позиционират младежкото предприемачество като доброволен, но стратегически път за устойчиви пазари на труда и дългосрочна конкурентоспособност на ЕС.</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529"/>
      </w:tblGrid>
      <w:tr w:rsidR="005D43B9" w:rsidRPr="00222866" w14:paraId="3AEDDC10" w14:textId="77777777" w:rsidTr="00222866">
        <w:tc>
          <w:tcPr>
            <w:tcW w:w="0" w:type="auto"/>
          </w:tcPr>
          <w:p w14:paraId="0448BC47" w14:textId="77777777" w:rsidR="005D43B9" w:rsidRPr="00222866" w:rsidRDefault="005D43B9" w:rsidP="005D43B9">
            <w:pPr>
              <w:overflowPunct w:val="0"/>
              <w:autoSpaceDE w:val="0"/>
              <w:autoSpaceDN w:val="0"/>
              <w:adjustRightInd w:val="0"/>
              <w:textAlignment w:val="baseline"/>
              <w:rPr>
                <w:i/>
                <w:iCs/>
                <w:sz w:val="22"/>
                <w:szCs w:val="22"/>
              </w:rPr>
            </w:pPr>
            <w:r w:rsidRPr="00222866">
              <w:rPr>
                <w:i/>
                <w:sz w:val="22"/>
                <w:szCs w:val="22"/>
              </w:rPr>
              <w:t>За контакт</w:t>
            </w:r>
          </w:p>
        </w:tc>
        <w:tc>
          <w:tcPr>
            <w:tcW w:w="0" w:type="auto"/>
          </w:tcPr>
          <w:p w14:paraId="756B92DB" w14:textId="77777777" w:rsidR="005D43B9" w:rsidRPr="00222866" w:rsidRDefault="005D43B9" w:rsidP="005D43B9">
            <w:pPr>
              <w:overflowPunct w:val="0"/>
              <w:autoSpaceDE w:val="0"/>
              <w:autoSpaceDN w:val="0"/>
              <w:adjustRightInd w:val="0"/>
              <w:textAlignment w:val="baseline"/>
              <w:rPr>
                <w:i/>
                <w:iCs/>
                <w:sz w:val="22"/>
                <w:szCs w:val="22"/>
              </w:rPr>
            </w:pPr>
            <w:proofErr w:type="spellStart"/>
            <w:r w:rsidRPr="00222866">
              <w:rPr>
                <w:i/>
                <w:sz w:val="22"/>
                <w:szCs w:val="22"/>
              </w:rPr>
              <w:t>Bartek</w:t>
            </w:r>
            <w:proofErr w:type="spellEnd"/>
            <w:r w:rsidRPr="00222866">
              <w:rPr>
                <w:i/>
                <w:sz w:val="22"/>
                <w:szCs w:val="22"/>
              </w:rPr>
              <w:t xml:space="preserve"> </w:t>
            </w:r>
            <w:proofErr w:type="spellStart"/>
            <w:r w:rsidRPr="00222866">
              <w:rPr>
                <w:i/>
                <w:sz w:val="22"/>
                <w:szCs w:val="22"/>
              </w:rPr>
              <w:t>Bednarowicz</w:t>
            </w:r>
            <w:proofErr w:type="spellEnd"/>
          </w:p>
        </w:tc>
      </w:tr>
      <w:tr w:rsidR="005D43B9" w:rsidRPr="00222866" w14:paraId="11B3891D" w14:textId="77777777" w:rsidTr="00222866">
        <w:tc>
          <w:tcPr>
            <w:tcW w:w="0" w:type="auto"/>
          </w:tcPr>
          <w:p w14:paraId="52201912" w14:textId="77777777" w:rsidR="005D43B9" w:rsidRPr="00222866" w:rsidRDefault="005D43B9" w:rsidP="005D43B9">
            <w:pPr>
              <w:overflowPunct w:val="0"/>
              <w:autoSpaceDE w:val="0"/>
              <w:autoSpaceDN w:val="0"/>
              <w:adjustRightInd w:val="0"/>
              <w:textAlignment w:val="baseline"/>
              <w:rPr>
                <w:i/>
                <w:iCs/>
                <w:sz w:val="22"/>
                <w:szCs w:val="22"/>
              </w:rPr>
            </w:pPr>
            <w:r w:rsidRPr="00222866">
              <w:rPr>
                <w:i/>
                <w:sz w:val="22"/>
                <w:szCs w:val="22"/>
              </w:rPr>
              <w:t>Тел.</w:t>
            </w:r>
          </w:p>
        </w:tc>
        <w:tc>
          <w:tcPr>
            <w:tcW w:w="0" w:type="auto"/>
          </w:tcPr>
          <w:p w14:paraId="346E976A" w14:textId="77777777" w:rsidR="005D43B9" w:rsidRPr="00222866" w:rsidRDefault="005D43B9" w:rsidP="005D43B9">
            <w:pPr>
              <w:overflowPunct w:val="0"/>
              <w:autoSpaceDE w:val="0"/>
              <w:autoSpaceDN w:val="0"/>
              <w:adjustRightInd w:val="0"/>
              <w:textAlignment w:val="baseline"/>
              <w:rPr>
                <w:i/>
                <w:iCs/>
                <w:sz w:val="22"/>
                <w:szCs w:val="22"/>
              </w:rPr>
            </w:pPr>
            <w:r w:rsidRPr="00222866">
              <w:rPr>
                <w:i/>
                <w:sz w:val="22"/>
                <w:szCs w:val="22"/>
              </w:rPr>
              <w:t>+32 25469229</w:t>
            </w:r>
          </w:p>
        </w:tc>
      </w:tr>
      <w:tr w:rsidR="005D43B9" w:rsidRPr="00222866" w14:paraId="74A431CF" w14:textId="77777777" w:rsidTr="00222866">
        <w:tc>
          <w:tcPr>
            <w:tcW w:w="0" w:type="auto"/>
          </w:tcPr>
          <w:p w14:paraId="2F9FDB94" w14:textId="77777777" w:rsidR="005D43B9" w:rsidRPr="00222866" w:rsidRDefault="005D43B9" w:rsidP="005D43B9">
            <w:pPr>
              <w:overflowPunct w:val="0"/>
              <w:autoSpaceDE w:val="0"/>
              <w:autoSpaceDN w:val="0"/>
              <w:adjustRightInd w:val="0"/>
              <w:textAlignment w:val="baseline"/>
              <w:rPr>
                <w:i/>
                <w:iCs/>
                <w:sz w:val="22"/>
                <w:szCs w:val="22"/>
              </w:rPr>
            </w:pPr>
            <w:r w:rsidRPr="00222866">
              <w:rPr>
                <w:i/>
                <w:sz w:val="22"/>
                <w:szCs w:val="22"/>
              </w:rPr>
              <w:t>Електронен адрес</w:t>
            </w:r>
          </w:p>
        </w:tc>
        <w:tc>
          <w:tcPr>
            <w:tcW w:w="0" w:type="auto"/>
          </w:tcPr>
          <w:p w14:paraId="22B77F87" w14:textId="217E104C" w:rsidR="005D43B9" w:rsidRPr="00222866" w:rsidRDefault="00C10CD5" w:rsidP="005D43B9">
            <w:pPr>
              <w:overflowPunct w:val="0"/>
              <w:autoSpaceDE w:val="0"/>
              <w:autoSpaceDN w:val="0"/>
              <w:adjustRightInd w:val="0"/>
              <w:textAlignment w:val="baseline"/>
              <w:rPr>
                <w:i/>
                <w:iCs/>
                <w:sz w:val="22"/>
                <w:szCs w:val="22"/>
              </w:rPr>
            </w:pPr>
            <w:hyperlink r:id="rId30" w:history="1">
              <w:r w:rsidRPr="00222866">
                <w:rPr>
                  <w:i/>
                  <w:color w:val="0000FF"/>
                  <w:sz w:val="22"/>
                  <w:szCs w:val="22"/>
                  <w:u w:val="single"/>
                </w:rPr>
                <w:t>Bartek.Bednarowicz@eesc.europa.eu</w:t>
              </w:r>
            </w:hyperlink>
          </w:p>
        </w:tc>
      </w:tr>
    </w:tbl>
    <w:p w14:paraId="2180EF54" w14:textId="6B9FAAB4" w:rsidR="005D43B9" w:rsidRDefault="005D43B9" w:rsidP="001766B2"/>
    <w:p w14:paraId="05853DC0" w14:textId="54610486" w:rsidR="001A42F8" w:rsidRPr="001A42F8" w:rsidRDefault="00C10CD5"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„Стратегия на ЕС за борба с наркотиците“</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6875"/>
      </w:tblGrid>
      <w:tr w:rsidR="001A42F8" w:rsidRPr="00222866" w14:paraId="662136A7" w14:textId="77777777" w:rsidTr="00222866">
        <w:tc>
          <w:tcPr>
            <w:tcW w:w="0" w:type="auto"/>
          </w:tcPr>
          <w:p w14:paraId="639EA8AB" w14:textId="77777777" w:rsidR="001A42F8" w:rsidRPr="00222866" w:rsidRDefault="001A42F8" w:rsidP="001A42F8">
            <w:pPr>
              <w:tabs>
                <w:tab w:val="center" w:pos="284"/>
              </w:tabs>
              <w:overflowPunct w:val="0"/>
              <w:autoSpaceDE w:val="0"/>
              <w:autoSpaceDN w:val="0"/>
              <w:adjustRightInd w:val="0"/>
              <w:ind w:left="567" w:hanging="567"/>
              <w:textAlignment w:val="baseline"/>
              <w:rPr>
                <w:b/>
                <w:sz w:val="22"/>
                <w:szCs w:val="22"/>
              </w:rPr>
            </w:pPr>
          </w:p>
          <w:p w14:paraId="58B9919E" w14:textId="77777777" w:rsidR="001A42F8" w:rsidRPr="00222866" w:rsidRDefault="001A42F8" w:rsidP="001A42F8">
            <w:pPr>
              <w:tabs>
                <w:tab w:val="center" w:pos="284"/>
              </w:tabs>
              <w:overflowPunct w:val="0"/>
              <w:autoSpaceDE w:val="0"/>
              <w:autoSpaceDN w:val="0"/>
              <w:adjustRightInd w:val="0"/>
              <w:ind w:left="567" w:hanging="567"/>
              <w:textAlignment w:val="baseline"/>
              <w:rPr>
                <w:b/>
                <w:sz w:val="22"/>
                <w:szCs w:val="22"/>
              </w:rPr>
            </w:pPr>
            <w:r w:rsidRPr="00222866">
              <w:rPr>
                <w:b/>
                <w:sz w:val="22"/>
                <w:szCs w:val="22"/>
              </w:rPr>
              <w:t>Докладчик</w:t>
            </w:r>
          </w:p>
          <w:p w14:paraId="62145102" w14:textId="77777777" w:rsidR="001A42F8" w:rsidRPr="00222866" w:rsidRDefault="001A42F8" w:rsidP="001A42F8">
            <w:pPr>
              <w:tabs>
                <w:tab w:val="center" w:pos="284"/>
              </w:tabs>
              <w:overflowPunct w:val="0"/>
              <w:autoSpaceDE w:val="0"/>
              <w:autoSpaceDN w:val="0"/>
              <w:adjustRightInd w:val="0"/>
              <w:ind w:left="567" w:hanging="567"/>
              <w:textAlignment w:val="baseline"/>
              <w:rPr>
                <w:b/>
                <w:sz w:val="22"/>
                <w:szCs w:val="22"/>
              </w:rPr>
            </w:pPr>
          </w:p>
        </w:tc>
        <w:tc>
          <w:tcPr>
            <w:tcW w:w="0" w:type="auto"/>
          </w:tcPr>
          <w:p w14:paraId="4074A82C" w14:textId="77777777" w:rsidR="001A42F8" w:rsidRPr="00222866" w:rsidRDefault="001A42F8" w:rsidP="004C6742">
            <w:pPr>
              <w:overflowPunct w:val="0"/>
              <w:autoSpaceDE w:val="0"/>
              <w:autoSpaceDN w:val="0"/>
              <w:adjustRightInd w:val="0"/>
              <w:ind w:left="567" w:hanging="567"/>
              <w:jc w:val="left"/>
              <w:textAlignment w:val="baseline"/>
              <w:rPr>
                <w:sz w:val="22"/>
                <w:szCs w:val="22"/>
              </w:rPr>
            </w:pPr>
          </w:p>
          <w:p w14:paraId="56646FC8" w14:textId="63FDEAFD" w:rsidR="001A42F8" w:rsidRPr="00222866" w:rsidRDefault="001A42F8" w:rsidP="001A42F8">
            <w:pPr>
              <w:overflowPunct w:val="0"/>
              <w:autoSpaceDE w:val="0"/>
              <w:autoSpaceDN w:val="0"/>
              <w:adjustRightInd w:val="0"/>
              <w:ind w:left="567" w:hanging="567"/>
              <w:textAlignment w:val="baseline"/>
              <w:rPr>
                <w:sz w:val="22"/>
                <w:szCs w:val="22"/>
              </w:rPr>
            </w:pPr>
            <w:proofErr w:type="spellStart"/>
            <w:r w:rsidRPr="00222866">
              <w:rPr>
                <w:sz w:val="22"/>
                <w:szCs w:val="22"/>
              </w:rPr>
              <w:t>Diego</w:t>
            </w:r>
            <w:proofErr w:type="spellEnd"/>
            <w:r w:rsidRPr="00222866">
              <w:rPr>
                <w:sz w:val="22"/>
                <w:szCs w:val="22"/>
              </w:rPr>
              <w:t xml:space="preserve"> DUTTO (група „Организации на гражданското общество“ — IT)</w:t>
            </w:r>
          </w:p>
        </w:tc>
      </w:tr>
      <w:tr w:rsidR="001A42F8" w:rsidRPr="00222866" w14:paraId="090EED85" w14:textId="77777777" w:rsidTr="00222866">
        <w:tc>
          <w:tcPr>
            <w:tcW w:w="0" w:type="auto"/>
            <w:vMerge w:val="restart"/>
          </w:tcPr>
          <w:p w14:paraId="233A8D32" w14:textId="77777777" w:rsidR="001A42F8" w:rsidRPr="00222866" w:rsidRDefault="001A42F8" w:rsidP="001A42F8">
            <w:pPr>
              <w:tabs>
                <w:tab w:val="center" w:pos="284"/>
              </w:tabs>
              <w:overflowPunct w:val="0"/>
              <w:autoSpaceDE w:val="0"/>
              <w:autoSpaceDN w:val="0"/>
              <w:adjustRightInd w:val="0"/>
              <w:ind w:left="567" w:hanging="567"/>
              <w:textAlignment w:val="baseline"/>
              <w:rPr>
                <w:b/>
                <w:sz w:val="22"/>
                <w:szCs w:val="22"/>
              </w:rPr>
            </w:pPr>
            <w:r w:rsidRPr="00222866">
              <w:rPr>
                <w:b/>
                <w:sz w:val="22"/>
                <w:szCs w:val="22"/>
              </w:rPr>
              <w:t>Отправни документи</w:t>
            </w:r>
          </w:p>
        </w:tc>
        <w:tc>
          <w:tcPr>
            <w:tcW w:w="0" w:type="auto"/>
          </w:tcPr>
          <w:p w14:paraId="5D489118" w14:textId="0B2B133B" w:rsidR="00E8783B" w:rsidRPr="00222866" w:rsidRDefault="002C3C5F" w:rsidP="001A42F8">
            <w:pPr>
              <w:tabs>
                <w:tab w:val="center" w:pos="284"/>
              </w:tabs>
              <w:overflowPunct w:val="0"/>
              <w:autoSpaceDE w:val="0"/>
              <w:autoSpaceDN w:val="0"/>
              <w:adjustRightInd w:val="0"/>
              <w:ind w:left="567" w:hanging="567"/>
              <w:textAlignment w:val="baseline"/>
              <w:rPr>
                <w:sz w:val="22"/>
                <w:szCs w:val="22"/>
              </w:rPr>
            </w:pPr>
            <w:r w:rsidRPr="00222866">
              <w:rPr>
                <w:sz w:val="22"/>
                <w:szCs w:val="22"/>
              </w:rPr>
              <w:t xml:space="preserve">COM(2025) 743 </w:t>
            </w:r>
            <w:proofErr w:type="spellStart"/>
            <w:r w:rsidRPr="00222866">
              <w:rPr>
                <w:sz w:val="22"/>
                <w:szCs w:val="22"/>
              </w:rPr>
              <w:t>final</w:t>
            </w:r>
            <w:proofErr w:type="spellEnd"/>
          </w:p>
          <w:p w14:paraId="04484E34" w14:textId="756ABE61" w:rsidR="002C3C5F" w:rsidRPr="00222866" w:rsidRDefault="002C3C5F" w:rsidP="001A42F8">
            <w:pPr>
              <w:tabs>
                <w:tab w:val="center" w:pos="284"/>
              </w:tabs>
              <w:overflowPunct w:val="0"/>
              <w:autoSpaceDE w:val="0"/>
              <w:autoSpaceDN w:val="0"/>
              <w:adjustRightInd w:val="0"/>
              <w:ind w:left="567" w:hanging="567"/>
              <w:textAlignment w:val="baseline"/>
              <w:rPr>
                <w:sz w:val="22"/>
                <w:szCs w:val="22"/>
              </w:rPr>
            </w:pPr>
            <w:r w:rsidRPr="00222866">
              <w:rPr>
                <w:sz w:val="22"/>
                <w:szCs w:val="22"/>
              </w:rPr>
              <w:t xml:space="preserve">COM(2025 744 </w:t>
            </w:r>
            <w:proofErr w:type="spellStart"/>
            <w:r w:rsidRPr="00222866">
              <w:rPr>
                <w:sz w:val="22"/>
                <w:szCs w:val="22"/>
              </w:rPr>
              <w:t>final</w:t>
            </w:r>
            <w:proofErr w:type="spellEnd"/>
          </w:p>
          <w:p w14:paraId="1847798E" w14:textId="37891D3B" w:rsidR="001A42F8" w:rsidRPr="00222866" w:rsidRDefault="001A42F8" w:rsidP="001A42F8">
            <w:pPr>
              <w:tabs>
                <w:tab w:val="center" w:pos="284"/>
              </w:tabs>
              <w:overflowPunct w:val="0"/>
              <w:autoSpaceDE w:val="0"/>
              <w:autoSpaceDN w:val="0"/>
              <w:adjustRightInd w:val="0"/>
              <w:ind w:left="567" w:hanging="567"/>
              <w:textAlignment w:val="baseline"/>
              <w:rPr>
                <w:sz w:val="22"/>
                <w:szCs w:val="22"/>
              </w:rPr>
            </w:pPr>
            <w:r w:rsidRPr="00222866">
              <w:rPr>
                <w:sz w:val="22"/>
                <w:szCs w:val="22"/>
              </w:rPr>
              <w:t>EESC-2026-00238-00-00-AC</w:t>
            </w:r>
          </w:p>
        </w:tc>
      </w:tr>
      <w:tr w:rsidR="001A42F8" w:rsidRPr="00222866" w14:paraId="5C11C504" w14:textId="77777777" w:rsidTr="00222866">
        <w:tc>
          <w:tcPr>
            <w:tcW w:w="0" w:type="auto"/>
            <w:vMerge/>
          </w:tcPr>
          <w:p w14:paraId="1CBAABE2" w14:textId="77777777" w:rsidR="001A42F8" w:rsidRPr="00222866" w:rsidRDefault="001A42F8" w:rsidP="001A42F8">
            <w:pPr>
              <w:tabs>
                <w:tab w:val="center" w:pos="284"/>
              </w:tabs>
              <w:overflowPunct w:val="0"/>
              <w:autoSpaceDE w:val="0"/>
              <w:autoSpaceDN w:val="0"/>
              <w:adjustRightInd w:val="0"/>
              <w:ind w:left="266" w:hanging="266"/>
              <w:textAlignment w:val="baseline"/>
              <w:rPr>
                <w:b/>
                <w:sz w:val="22"/>
                <w:szCs w:val="22"/>
                <w:lang w:val="pt-PT"/>
              </w:rPr>
            </w:pPr>
          </w:p>
        </w:tc>
        <w:tc>
          <w:tcPr>
            <w:tcW w:w="0" w:type="auto"/>
          </w:tcPr>
          <w:p w14:paraId="4060C927" w14:textId="77777777" w:rsidR="001A42F8" w:rsidRPr="00222866" w:rsidRDefault="001A42F8" w:rsidP="001A42F8">
            <w:pPr>
              <w:tabs>
                <w:tab w:val="center" w:pos="284"/>
              </w:tabs>
              <w:overflowPunct w:val="0"/>
              <w:autoSpaceDE w:val="0"/>
              <w:autoSpaceDN w:val="0"/>
              <w:adjustRightInd w:val="0"/>
              <w:ind w:left="266" w:hanging="266"/>
              <w:textAlignment w:val="baseline"/>
              <w:rPr>
                <w:sz w:val="22"/>
                <w:szCs w:val="22"/>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ЕИСК:</w:t>
      </w:r>
    </w:p>
    <w:p w14:paraId="5429D755" w14:textId="77777777" w:rsidR="001A42F8" w:rsidRPr="001A42F8" w:rsidRDefault="001A42F8" w:rsidP="002C3C5F">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подчертава, че ефективността на стратегията на ЕС ще зависи от способността ѝ да предвижда тенденциите. Препоръчва Комисията да не се ограничава до показатели за реакция (изземвания на наркотици и смъртни случаи), а да осигури структурна, задължителна подкрепа за стандартизирани системи за мониторинг;</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отбелязва със загриженост, че стратегията е ориентирана до известна степен към поставяне на акцент върху традиционните незаконни вещества. Младите хора все по-често прибягват до употребата на законни лекарства за цели, различни от предвидените в указанията. ЕИСК препоръчва въвеждане на насоки на ЕС за наблюдение на предписването на лекарства, както и стартиране на специална осведомителна кампания във връзка с риска от пристрастяване към законни психоактивни вещества;</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препоръчва строг мониторинг на разпространението на </w:t>
      </w:r>
      <w:proofErr w:type="spellStart"/>
      <w:r>
        <w:t>опиоидни</w:t>
      </w:r>
      <w:proofErr w:type="spellEnd"/>
      <w:r>
        <w:t xml:space="preserve"> болкоуспокояващи. Необходимо е да се положат усилия, за да не се позволи част от обществото — която не изглежда изложена на риск — да се пристрасти към тези вещества, получавани през законни канали;</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отбелязва, че следва да бъдат разработени протоколи на ЕС за ранна интервенция, за да се подпомогнат социалните и здравните служби при откриването на нови потребители на ранен етап от употребата на наркотици;</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препоръчва определянето на специфични ключови показатели за ефективност (КПЕ), с които да се оценява ефективността на политиките за превенция, като успехът се измерва не само по отношение на иззетите наркотици, но и във връзка с намаляването на новите случаи на пристрастяване и ефективността на пътищата за реинтеграция;</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отново заявява, че борбата с трафика на наркотици не може да бъде отделена от стабилна политика в областта на общественото здраве;</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lastRenderedPageBreak/>
        <w:t>отбелязва, че планът за действие е съсредоточен почти изцяло върху осигуряването на физическата (пристанища, логистични центрове) и цифровата инфраструктура, като се пренебрегва общностното измерение;</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отбелязва, че в плана за действие не се предоставят достатъчно насоки за държавите членки относно публичните политики, необходими за намаляване на разпространението на употребата на наркотици.</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4493"/>
      </w:tblGrid>
      <w:tr w:rsidR="001A42F8" w:rsidRPr="00222866" w14:paraId="6F6F0875" w14:textId="77777777" w:rsidTr="002E7EFB">
        <w:tc>
          <w:tcPr>
            <w:tcW w:w="1210" w:type="dxa"/>
          </w:tcPr>
          <w:p w14:paraId="1275EF0A" w14:textId="77777777" w:rsidR="001A42F8" w:rsidRPr="00222866" w:rsidRDefault="001A42F8" w:rsidP="001A42F8">
            <w:pPr>
              <w:overflowPunct w:val="0"/>
              <w:autoSpaceDE w:val="0"/>
              <w:autoSpaceDN w:val="0"/>
              <w:adjustRightInd w:val="0"/>
              <w:spacing w:line="240" w:lineRule="auto"/>
              <w:textAlignment w:val="baseline"/>
              <w:rPr>
                <w:i/>
                <w:sz w:val="22"/>
                <w:szCs w:val="22"/>
              </w:rPr>
            </w:pPr>
            <w:r w:rsidRPr="00222866">
              <w:rPr>
                <w:b/>
                <w:i/>
                <w:sz w:val="22"/>
                <w:szCs w:val="22"/>
              </w:rPr>
              <w:t>За контакти</w:t>
            </w:r>
          </w:p>
        </w:tc>
        <w:tc>
          <w:tcPr>
            <w:tcW w:w="4493" w:type="dxa"/>
          </w:tcPr>
          <w:p w14:paraId="51601E16" w14:textId="77777777" w:rsidR="001A42F8" w:rsidRPr="00222866" w:rsidRDefault="001A42F8" w:rsidP="001A42F8">
            <w:pPr>
              <w:overflowPunct w:val="0"/>
              <w:autoSpaceDE w:val="0"/>
              <w:autoSpaceDN w:val="0"/>
              <w:adjustRightInd w:val="0"/>
              <w:spacing w:line="240" w:lineRule="auto"/>
              <w:ind w:hanging="12"/>
              <w:textAlignment w:val="baseline"/>
              <w:rPr>
                <w:i/>
                <w:sz w:val="22"/>
                <w:szCs w:val="22"/>
              </w:rPr>
            </w:pPr>
            <w:proofErr w:type="spellStart"/>
            <w:r w:rsidRPr="00222866">
              <w:rPr>
                <w:i/>
                <w:sz w:val="22"/>
                <w:szCs w:val="22"/>
              </w:rPr>
              <w:t>Gemma</w:t>
            </w:r>
            <w:proofErr w:type="spellEnd"/>
            <w:r w:rsidRPr="00222866">
              <w:rPr>
                <w:i/>
                <w:sz w:val="22"/>
                <w:szCs w:val="22"/>
              </w:rPr>
              <w:t xml:space="preserve"> </w:t>
            </w:r>
            <w:proofErr w:type="spellStart"/>
            <w:r w:rsidRPr="00222866">
              <w:rPr>
                <w:i/>
                <w:sz w:val="22"/>
                <w:szCs w:val="22"/>
              </w:rPr>
              <w:t>Amran</w:t>
            </w:r>
            <w:proofErr w:type="spellEnd"/>
          </w:p>
        </w:tc>
      </w:tr>
      <w:tr w:rsidR="001A42F8" w:rsidRPr="00222866" w14:paraId="6CBEA581" w14:textId="77777777" w:rsidTr="002E7EFB">
        <w:tc>
          <w:tcPr>
            <w:tcW w:w="1210" w:type="dxa"/>
          </w:tcPr>
          <w:p w14:paraId="11A461E0" w14:textId="77777777" w:rsidR="001A42F8" w:rsidRPr="00222866" w:rsidRDefault="001A42F8" w:rsidP="001A42F8">
            <w:pPr>
              <w:overflowPunct w:val="0"/>
              <w:autoSpaceDE w:val="0"/>
              <w:autoSpaceDN w:val="0"/>
              <w:adjustRightInd w:val="0"/>
              <w:spacing w:line="240" w:lineRule="auto"/>
              <w:textAlignment w:val="baseline"/>
              <w:rPr>
                <w:i/>
                <w:sz w:val="22"/>
                <w:szCs w:val="22"/>
              </w:rPr>
            </w:pPr>
            <w:r w:rsidRPr="00222866">
              <w:rPr>
                <w:i/>
                <w:sz w:val="22"/>
                <w:szCs w:val="22"/>
              </w:rPr>
              <w:t>Тел.</w:t>
            </w:r>
          </w:p>
        </w:tc>
        <w:tc>
          <w:tcPr>
            <w:tcW w:w="4493" w:type="dxa"/>
          </w:tcPr>
          <w:p w14:paraId="6A4B7B1B" w14:textId="77777777" w:rsidR="001A42F8" w:rsidRPr="00222866" w:rsidRDefault="001A42F8" w:rsidP="001A42F8">
            <w:pPr>
              <w:overflowPunct w:val="0"/>
              <w:autoSpaceDE w:val="0"/>
              <w:autoSpaceDN w:val="0"/>
              <w:adjustRightInd w:val="0"/>
              <w:spacing w:line="240" w:lineRule="auto"/>
              <w:textAlignment w:val="baseline"/>
              <w:rPr>
                <w:i/>
                <w:sz w:val="22"/>
                <w:szCs w:val="22"/>
              </w:rPr>
            </w:pPr>
            <w:r w:rsidRPr="00222866">
              <w:rPr>
                <w:i/>
                <w:sz w:val="22"/>
                <w:szCs w:val="22"/>
              </w:rPr>
              <w:t>+32 25469</w:t>
            </w:r>
            <w:r w:rsidRPr="00222866">
              <w:rPr>
                <w:sz w:val="22"/>
                <w:szCs w:val="22"/>
              </w:rPr>
              <w:t>415</w:t>
            </w:r>
          </w:p>
        </w:tc>
      </w:tr>
      <w:tr w:rsidR="001A42F8" w:rsidRPr="00222866" w14:paraId="0CEF3057" w14:textId="77777777" w:rsidTr="002E7EFB">
        <w:tc>
          <w:tcPr>
            <w:tcW w:w="1210" w:type="dxa"/>
          </w:tcPr>
          <w:p w14:paraId="68E038E0" w14:textId="77777777" w:rsidR="001A42F8" w:rsidRPr="00222866" w:rsidRDefault="001A42F8" w:rsidP="001A42F8">
            <w:pPr>
              <w:overflowPunct w:val="0"/>
              <w:autoSpaceDE w:val="0"/>
              <w:autoSpaceDN w:val="0"/>
              <w:adjustRightInd w:val="0"/>
              <w:spacing w:line="240" w:lineRule="auto"/>
              <w:textAlignment w:val="baseline"/>
              <w:rPr>
                <w:i/>
                <w:sz w:val="22"/>
                <w:szCs w:val="22"/>
              </w:rPr>
            </w:pPr>
            <w:r w:rsidRPr="00222866">
              <w:rPr>
                <w:i/>
                <w:sz w:val="22"/>
                <w:szCs w:val="22"/>
              </w:rPr>
              <w:t>Електронен адрес</w:t>
            </w:r>
          </w:p>
        </w:tc>
        <w:tc>
          <w:tcPr>
            <w:tcW w:w="4493" w:type="dxa"/>
          </w:tcPr>
          <w:p w14:paraId="7CF2E2AE" w14:textId="38BBB543" w:rsidR="001A42F8" w:rsidRPr="00222866" w:rsidRDefault="00C10CD5" w:rsidP="001A42F8">
            <w:pPr>
              <w:overflowPunct w:val="0"/>
              <w:autoSpaceDE w:val="0"/>
              <w:autoSpaceDN w:val="0"/>
              <w:adjustRightInd w:val="0"/>
              <w:spacing w:line="240" w:lineRule="auto"/>
              <w:textAlignment w:val="baseline"/>
              <w:rPr>
                <w:i/>
                <w:iCs/>
                <w:sz w:val="22"/>
                <w:szCs w:val="22"/>
              </w:rPr>
            </w:pPr>
            <w:hyperlink r:id="rId32" w:history="1">
              <w:r w:rsidRPr="00222866">
                <w:rPr>
                  <w:i/>
                  <w:color w:val="0000FF"/>
                  <w:sz w:val="22"/>
                  <w:szCs w:val="22"/>
                  <w:u w:val="single"/>
                </w:rPr>
                <w:t>Gemma.Amran@eesc.europa.eu</w:t>
              </w:r>
            </w:hyperlink>
          </w:p>
        </w:tc>
      </w:tr>
    </w:tbl>
    <w:p w14:paraId="6961E51E" w14:textId="5180950B" w:rsidR="001A42F8" w:rsidRDefault="001A42F8" w:rsidP="001766B2"/>
    <w:p w14:paraId="6E89C215" w14:textId="004209CA" w:rsidR="00C53E67" w:rsidRPr="00C53E67" w:rsidRDefault="00A067F3" w:rsidP="004C6742">
      <w:pPr>
        <w:widowControl w:val="0"/>
        <w:numPr>
          <w:ilvl w:val="0"/>
          <w:numId w:val="4"/>
        </w:numPr>
        <w:overflowPunct w:val="0"/>
        <w:autoSpaceDE w:val="0"/>
        <w:autoSpaceDN w:val="0"/>
        <w:adjustRightInd w:val="0"/>
        <w:ind w:hanging="567"/>
        <w:textAlignment w:val="baseline"/>
        <w:rPr>
          <w:b/>
        </w:rPr>
      </w:pPr>
      <w:hyperlink r:id="rId33" w:history="1">
        <w:r>
          <w:rPr>
            <w:b/>
            <w:i/>
            <w:color w:val="0000FF"/>
            <w:sz w:val="28"/>
            <w:u w:val="single"/>
          </w:rPr>
          <w:t>„Културен компас за Европа“</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222866" w14:paraId="2091F211" w14:textId="77777777" w:rsidTr="002E7EFB">
        <w:tc>
          <w:tcPr>
            <w:tcW w:w="1321" w:type="pct"/>
          </w:tcPr>
          <w:p w14:paraId="10C92D44" w14:textId="77777777" w:rsidR="00C53E67" w:rsidRPr="00222866" w:rsidRDefault="00C53E67" w:rsidP="00C53E67">
            <w:pPr>
              <w:overflowPunct w:val="0"/>
              <w:autoSpaceDE w:val="0"/>
              <w:autoSpaceDN w:val="0"/>
              <w:adjustRightInd w:val="0"/>
              <w:ind w:left="-113"/>
              <w:textAlignment w:val="baseline"/>
              <w:rPr>
                <w:b/>
                <w:sz w:val="22"/>
                <w:szCs w:val="22"/>
              </w:rPr>
            </w:pPr>
            <w:r w:rsidRPr="00222866">
              <w:rPr>
                <w:b/>
                <w:sz w:val="22"/>
                <w:szCs w:val="22"/>
              </w:rPr>
              <w:t xml:space="preserve">Докладчик </w:t>
            </w:r>
          </w:p>
        </w:tc>
        <w:tc>
          <w:tcPr>
            <w:tcW w:w="3679" w:type="pct"/>
          </w:tcPr>
          <w:p w14:paraId="10DA44E6" w14:textId="77777777" w:rsidR="00C53E67" w:rsidRPr="00222866" w:rsidRDefault="00C53E67" w:rsidP="00C53E67">
            <w:pPr>
              <w:overflowPunct w:val="0"/>
              <w:autoSpaceDE w:val="0"/>
              <w:autoSpaceDN w:val="0"/>
              <w:adjustRightInd w:val="0"/>
              <w:ind w:left="-113"/>
              <w:textAlignment w:val="baseline"/>
              <w:rPr>
                <w:sz w:val="22"/>
                <w:szCs w:val="22"/>
              </w:rPr>
            </w:pPr>
            <w:proofErr w:type="spellStart"/>
            <w:r w:rsidRPr="00222866">
              <w:rPr>
                <w:sz w:val="22"/>
                <w:szCs w:val="22"/>
              </w:rPr>
              <w:t>Luca</w:t>
            </w:r>
            <w:proofErr w:type="spellEnd"/>
            <w:r w:rsidRPr="00222866">
              <w:rPr>
                <w:sz w:val="22"/>
                <w:szCs w:val="22"/>
              </w:rPr>
              <w:t xml:space="preserve"> JAHIER (група „Организации на гражданското общество“ — IT)</w:t>
            </w:r>
          </w:p>
        </w:tc>
      </w:tr>
      <w:tr w:rsidR="00C53E67" w:rsidRPr="00222866" w14:paraId="12DAA263" w14:textId="77777777" w:rsidTr="002E7EFB">
        <w:tc>
          <w:tcPr>
            <w:tcW w:w="5000" w:type="pct"/>
            <w:gridSpan w:val="2"/>
          </w:tcPr>
          <w:p w14:paraId="1A0026BB" w14:textId="77777777" w:rsidR="00C53E67" w:rsidRPr="00222866" w:rsidRDefault="00C53E67" w:rsidP="00C53E67">
            <w:pPr>
              <w:overflowPunct w:val="0"/>
              <w:autoSpaceDE w:val="0"/>
              <w:autoSpaceDN w:val="0"/>
              <w:adjustRightInd w:val="0"/>
              <w:spacing w:line="160" w:lineRule="exact"/>
              <w:ind w:left="-113"/>
              <w:textAlignment w:val="baseline"/>
              <w:rPr>
                <w:sz w:val="22"/>
                <w:szCs w:val="22"/>
              </w:rPr>
            </w:pPr>
          </w:p>
        </w:tc>
      </w:tr>
      <w:tr w:rsidR="00C53E67" w:rsidRPr="00222866" w14:paraId="1917B1A6" w14:textId="77777777" w:rsidTr="002E7EFB">
        <w:tc>
          <w:tcPr>
            <w:tcW w:w="1321" w:type="pct"/>
          </w:tcPr>
          <w:p w14:paraId="68946A42" w14:textId="77777777" w:rsidR="00C53E67" w:rsidRPr="00222866" w:rsidRDefault="00C53E67" w:rsidP="00C53E67">
            <w:pPr>
              <w:overflowPunct w:val="0"/>
              <w:autoSpaceDE w:val="0"/>
              <w:autoSpaceDN w:val="0"/>
              <w:adjustRightInd w:val="0"/>
              <w:ind w:left="-113"/>
              <w:textAlignment w:val="baseline"/>
              <w:rPr>
                <w:b/>
                <w:sz w:val="22"/>
                <w:szCs w:val="22"/>
              </w:rPr>
            </w:pPr>
            <w:r w:rsidRPr="00222866">
              <w:rPr>
                <w:b/>
                <w:sz w:val="22"/>
                <w:szCs w:val="22"/>
              </w:rPr>
              <w:t>Отправни документи</w:t>
            </w:r>
          </w:p>
        </w:tc>
        <w:tc>
          <w:tcPr>
            <w:tcW w:w="3679" w:type="pct"/>
          </w:tcPr>
          <w:p w14:paraId="3649F935" w14:textId="5EC0AA86" w:rsidR="00DE1BF7" w:rsidRPr="00222866" w:rsidRDefault="00DE1BF7" w:rsidP="00C53E67">
            <w:pPr>
              <w:overflowPunct w:val="0"/>
              <w:autoSpaceDE w:val="0"/>
              <w:autoSpaceDN w:val="0"/>
              <w:adjustRightInd w:val="0"/>
              <w:ind w:left="-113"/>
              <w:textAlignment w:val="baseline"/>
              <w:rPr>
                <w:sz w:val="22"/>
                <w:szCs w:val="22"/>
              </w:rPr>
            </w:pPr>
            <w:r w:rsidRPr="00222866">
              <w:rPr>
                <w:sz w:val="22"/>
                <w:szCs w:val="22"/>
              </w:rPr>
              <w:t xml:space="preserve">COM(2025) 785 </w:t>
            </w:r>
            <w:proofErr w:type="spellStart"/>
            <w:r w:rsidRPr="00222866">
              <w:rPr>
                <w:sz w:val="22"/>
                <w:szCs w:val="22"/>
              </w:rPr>
              <w:t>final</w:t>
            </w:r>
            <w:proofErr w:type="spellEnd"/>
          </w:p>
          <w:p w14:paraId="72ADC23E" w14:textId="431F11BB" w:rsidR="00DE1BF7" w:rsidRPr="00222866" w:rsidRDefault="00DE1BF7" w:rsidP="00C53E67">
            <w:pPr>
              <w:overflowPunct w:val="0"/>
              <w:autoSpaceDE w:val="0"/>
              <w:autoSpaceDN w:val="0"/>
              <w:adjustRightInd w:val="0"/>
              <w:ind w:left="-113"/>
              <w:textAlignment w:val="baseline"/>
              <w:rPr>
                <w:sz w:val="22"/>
                <w:szCs w:val="22"/>
              </w:rPr>
            </w:pPr>
            <w:r w:rsidRPr="00222866">
              <w:rPr>
                <w:sz w:val="22"/>
                <w:szCs w:val="22"/>
              </w:rPr>
              <w:t xml:space="preserve">COM(2025) 786 </w:t>
            </w:r>
            <w:proofErr w:type="spellStart"/>
            <w:r w:rsidRPr="00222866">
              <w:rPr>
                <w:sz w:val="22"/>
                <w:szCs w:val="22"/>
              </w:rPr>
              <w:t>final</w:t>
            </w:r>
            <w:proofErr w:type="spellEnd"/>
          </w:p>
          <w:p w14:paraId="20BD4BF5" w14:textId="0E4CE06A" w:rsidR="00C53E67" w:rsidRPr="00222866" w:rsidRDefault="00C53E67" w:rsidP="00C53E67">
            <w:pPr>
              <w:overflowPunct w:val="0"/>
              <w:autoSpaceDE w:val="0"/>
              <w:autoSpaceDN w:val="0"/>
              <w:adjustRightInd w:val="0"/>
              <w:ind w:left="-113"/>
              <w:textAlignment w:val="baseline"/>
              <w:rPr>
                <w:sz w:val="22"/>
                <w:szCs w:val="22"/>
              </w:rPr>
            </w:pPr>
            <w:r w:rsidRPr="00222866">
              <w:rPr>
                <w:sz w:val="22"/>
                <w:szCs w:val="22"/>
              </w:rP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rPr>
          <w:bCs/>
          <w:iCs/>
        </w:rPr>
      </w:pPr>
      <w:r>
        <w:t>ЕИСК:</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напълно подкрепя Културния компас за Европа</w:t>
      </w:r>
      <w:r>
        <w:t xml:space="preserve"> като навременна междусекторна стратегия за насърчаване на културата и европейските ценности и гарантиране на процъфтяващ културен сектор;</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подчертава </w:t>
      </w:r>
      <w:r>
        <w:rPr>
          <w:b/>
        </w:rPr>
        <w:t>ролята на културата за укрепване на демокрацията</w:t>
      </w:r>
      <w:r>
        <w:t>, за противодействие на популистките и авторитарните пропагандни тези и за насърчаване на социалното сближаване, подготвеността и устойчивото развитие;</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препоръчва </w:t>
      </w:r>
      <w:r>
        <w:rPr>
          <w:b/>
        </w:rPr>
        <w:t>да се развият полезни взаимодействия</w:t>
      </w:r>
      <w:r>
        <w:t xml:space="preserve"> между Културния компас и инициативи като европейския щит за демокрацията, особено в цифровата сфера;</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подчертава необходимостта от </w:t>
      </w:r>
      <w:r>
        <w:rPr>
          <w:b/>
        </w:rPr>
        <w:t>специална стратегия за ИИ за културните и творческите сектори</w:t>
      </w:r>
      <w:r>
        <w:t>, включително защита на собствеността върху творчеството, развитие на лицензионните пазари и насоки в рамките на Акта за изкуствения интелект;</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призовава за </w:t>
      </w:r>
      <w:r>
        <w:rPr>
          <w:b/>
        </w:rPr>
        <w:t>силна и хоризонтална финансова подкрепа в следващата МФР (2028—2034 г.)</w:t>
      </w:r>
      <w:r>
        <w:t>, включително разпределяне на 2 % от бюджета на ЕС за култура и гарантиране на нейното интегриране в основните програми на ЕС;</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призовава за стабилно, </w:t>
      </w:r>
      <w:r>
        <w:rPr>
          <w:b/>
        </w:rPr>
        <w:t>основано на цели изпълнение на Културния компас чрез ясен план за действие</w:t>
      </w:r>
      <w:r>
        <w:t>, подходящ административен капацитет и дългосрочна приемственост на политиката;</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препоръчва </w:t>
      </w:r>
      <w:r>
        <w:rPr>
          <w:b/>
        </w:rPr>
        <w:t>системното участие на ранен етап на заинтересованите страни в областта на културата и извън нея</w:t>
      </w:r>
      <w:r>
        <w:t>, включително местните власти, МСП и културните и творческите сектори, за да се засилят ангажираността и въздействието;</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lastRenderedPageBreak/>
        <w:t xml:space="preserve">призовава за </w:t>
      </w:r>
      <w:r>
        <w:rPr>
          <w:b/>
        </w:rPr>
        <w:t>по-силна интеграция на участниците в социалната икономика</w:t>
      </w:r>
      <w:r>
        <w:t xml:space="preserve"> и основаните на общността културни инициативи в публичните политики, включително адаптирани фискални и финансови инструменти;</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приветства предложения структуриран диалог на ЕС със заинтересованите страни</w:t>
      </w:r>
      <w:r>
        <w:t xml:space="preserve"> и предлага да действа като ключов партньор за улесняване на обмена с институционалните и секторните участници;</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подчертава, че културните и творческите сектори са </w:t>
      </w:r>
      <w:r>
        <w:rPr>
          <w:b/>
        </w:rPr>
        <w:t>стратегическа икономическа екосистема</w:t>
      </w:r>
      <w:r>
        <w:t>, и призовава за по-добра интеграция на ключови отрасли като игри, филми, музика и мода в Компаса;</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подкрепя </w:t>
      </w:r>
      <w:r>
        <w:rPr>
          <w:b/>
        </w:rPr>
        <w:t>образованието и развитието на умения в областта на културата</w:t>
      </w:r>
      <w:r>
        <w:t>, като призовава за приобщаващ достъп, специално финансиране и по-силни връзки с програми на ЕС като „Еразъм+“ и политиката на сближаване;</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подкрепя разработването на Харта на творците в ЕС</w:t>
      </w:r>
      <w:r>
        <w:t>, за да се гарантират справедливи условия на труд, по-силна социална закрила и привеждане на финансирането от ЕС в съответствие със стандартите за качествена заетост;</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подчертава </w:t>
      </w:r>
      <w:r>
        <w:rPr>
          <w:b/>
        </w:rPr>
        <w:t>значението на устойчивите публични инвестиции</w:t>
      </w:r>
      <w:r>
        <w:t xml:space="preserve"> в културните и творческите сектори, като същевременно подкрепя подобряването на достъпа до финансиране за МСП чрез засилено мобилизиране на инструментите на ЕИБ и ЕИФ, наред с разработването на допълнителни рамки за частна подкрепа;</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подкрепя </w:t>
      </w:r>
      <w:r>
        <w:rPr>
          <w:b/>
        </w:rPr>
        <w:t>институционалното одобрение на съвместната декларация</w:t>
      </w:r>
      <w:r>
        <w:t xml:space="preserve"> от страна на институциите на ЕС (включително ЕИСК и Комитета на регионите) и заинтересованите страни, за да се гарантират широка ангажираност и легитимност;</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подчертава </w:t>
      </w:r>
      <w:r>
        <w:rPr>
          <w:b/>
        </w:rPr>
        <w:t>значението на международното измерение на културата</w:t>
      </w:r>
      <w:r>
        <w:t>, призовава за пълното му възстановяване в съвместната декларация и за всеобхватен план за действие въз основа на стратегията на ЕС за международните културни отношения.</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222866" w14:paraId="272A79A3" w14:textId="77777777" w:rsidTr="002E7EFB">
        <w:tc>
          <w:tcPr>
            <w:tcW w:w="1556" w:type="pct"/>
          </w:tcPr>
          <w:p w14:paraId="2B671CE9" w14:textId="77777777" w:rsidR="00C53E67" w:rsidRPr="00222866" w:rsidRDefault="00C53E67" w:rsidP="00C53E67">
            <w:pPr>
              <w:overflowPunct w:val="0"/>
              <w:autoSpaceDE w:val="0"/>
              <w:autoSpaceDN w:val="0"/>
              <w:adjustRightInd w:val="0"/>
              <w:spacing w:line="240" w:lineRule="auto"/>
              <w:textAlignment w:val="baseline"/>
              <w:rPr>
                <w:i/>
                <w:sz w:val="22"/>
                <w:szCs w:val="22"/>
              </w:rPr>
            </w:pPr>
            <w:r w:rsidRPr="00222866">
              <w:rPr>
                <w:b/>
                <w:i/>
                <w:sz w:val="22"/>
                <w:szCs w:val="22"/>
              </w:rPr>
              <w:t>За контакти</w:t>
            </w:r>
          </w:p>
        </w:tc>
        <w:tc>
          <w:tcPr>
            <w:tcW w:w="3444" w:type="pct"/>
          </w:tcPr>
          <w:p w14:paraId="2DCCDC41" w14:textId="3A36641B" w:rsidR="00C53E67" w:rsidRPr="00222866" w:rsidRDefault="00C53E67" w:rsidP="00C53E67">
            <w:pPr>
              <w:overflowPunct w:val="0"/>
              <w:autoSpaceDE w:val="0"/>
              <w:autoSpaceDN w:val="0"/>
              <w:adjustRightInd w:val="0"/>
              <w:spacing w:line="240" w:lineRule="auto"/>
              <w:textAlignment w:val="baseline"/>
              <w:rPr>
                <w:i/>
                <w:sz w:val="22"/>
                <w:szCs w:val="22"/>
              </w:rPr>
            </w:pPr>
            <w:proofErr w:type="spellStart"/>
            <w:r w:rsidRPr="00222866">
              <w:rPr>
                <w:i/>
                <w:sz w:val="22"/>
                <w:szCs w:val="22"/>
              </w:rPr>
              <w:t>Jean</w:t>
            </w:r>
            <w:proofErr w:type="spellEnd"/>
            <w:r w:rsidRPr="00222866">
              <w:rPr>
                <w:i/>
                <w:sz w:val="22"/>
                <w:szCs w:val="22"/>
              </w:rPr>
              <w:t xml:space="preserve"> Marie </w:t>
            </w:r>
            <w:proofErr w:type="spellStart"/>
            <w:r w:rsidRPr="00222866">
              <w:rPr>
                <w:i/>
                <w:sz w:val="22"/>
                <w:szCs w:val="22"/>
              </w:rPr>
              <w:t>Rogue</w:t>
            </w:r>
            <w:proofErr w:type="spellEnd"/>
          </w:p>
        </w:tc>
      </w:tr>
      <w:tr w:rsidR="00C53E67" w:rsidRPr="00222866" w14:paraId="6943624D" w14:textId="77777777" w:rsidTr="002E7EFB">
        <w:tc>
          <w:tcPr>
            <w:tcW w:w="1556" w:type="pct"/>
          </w:tcPr>
          <w:p w14:paraId="23893BC2" w14:textId="77777777" w:rsidR="00C53E67" w:rsidRPr="00222866" w:rsidRDefault="00C53E67" w:rsidP="00C53E67">
            <w:pPr>
              <w:overflowPunct w:val="0"/>
              <w:autoSpaceDE w:val="0"/>
              <w:autoSpaceDN w:val="0"/>
              <w:adjustRightInd w:val="0"/>
              <w:spacing w:line="240" w:lineRule="auto"/>
              <w:textAlignment w:val="baseline"/>
              <w:rPr>
                <w:i/>
                <w:sz w:val="22"/>
                <w:szCs w:val="22"/>
              </w:rPr>
            </w:pPr>
            <w:r w:rsidRPr="00222866">
              <w:rPr>
                <w:i/>
                <w:sz w:val="22"/>
                <w:szCs w:val="22"/>
              </w:rPr>
              <w:t>Тел.</w:t>
            </w:r>
          </w:p>
        </w:tc>
        <w:tc>
          <w:tcPr>
            <w:tcW w:w="3444" w:type="pct"/>
          </w:tcPr>
          <w:p w14:paraId="62C63746" w14:textId="77777777" w:rsidR="00C53E67" w:rsidRPr="00222866" w:rsidRDefault="00C53E67" w:rsidP="00C53E67">
            <w:pPr>
              <w:overflowPunct w:val="0"/>
              <w:autoSpaceDE w:val="0"/>
              <w:autoSpaceDN w:val="0"/>
              <w:adjustRightInd w:val="0"/>
              <w:spacing w:line="240" w:lineRule="auto"/>
              <w:textAlignment w:val="baseline"/>
              <w:rPr>
                <w:i/>
                <w:sz w:val="22"/>
                <w:szCs w:val="22"/>
              </w:rPr>
            </w:pPr>
            <w:r w:rsidRPr="00222866">
              <w:rPr>
                <w:i/>
                <w:sz w:val="22"/>
                <w:szCs w:val="22"/>
              </w:rPr>
              <w:t>+32 25468909</w:t>
            </w:r>
          </w:p>
        </w:tc>
      </w:tr>
      <w:tr w:rsidR="00C53E67" w:rsidRPr="00222866" w14:paraId="496DCA57" w14:textId="77777777" w:rsidTr="002E7EFB">
        <w:tc>
          <w:tcPr>
            <w:tcW w:w="1556" w:type="pct"/>
          </w:tcPr>
          <w:p w14:paraId="591F1710" w14:textId="77777777" w:rsidR="00C53E67" w:rsidRPr="00222866" w:rsidRDefault="00C53E67" w:rsidP="00C53E67">
            <w:pPr>
              <w:overflowPunct w:val="0"/>
              <w:autoSpaceDE w:val="0"/>
              <w:autoSpaceDN w:val="0"/>
              <w:adjustRightInd w:val="0"/>
              <w:spacing w:line="240" w:lineRule="auto"/>
              <w:textAlignment w:val="baseline"/>
              <w:rPr>
                <w:i/>
                <w:sz w:val="22"/>
                <w:szCs w:val="22"/>
              </w:rPr>
            </w:pPr>
            <w:r w:rsidRPr="00222866">
              <w:rPr>
                <w:i/>
                <w:sz w:val="22"/>
                <w:szCs w:val="22"/>
              </w:rPr>
              <w:t>Електронен адрес</w:t>
            </w:r>
          </w:p>
        </w:tc>
        <w:tc>
          <w:tcPr>
            <w:tcW w:w="3444" w:type="pct"/>
          </w:tcPr>
          <w:p w14:paraId="18C49AA7" w14:textId="03940F91" w:rsidR="00C53E67" w:rsidRPr="00222866" w:rsidRDefault="00C10CD5" w:rsidP="00C53E67">
            <w:pPr>
              <w:overflowPunct w:val="0"/>
              <w:autoSpaceDE w:val="0"/>
              <w:autoSpaceDN w:val="0"/>
              <w:adjustRightInd w:val="0"/>
              <w:spacing w:line="240" w:lineRule="auto"/>
              <w:textAlignment w:val="baseline"/>
              <w:rPr>
                <w:i/>
                <w:sz w:val="22"/>
                <w:szCs w:val="22"/>
              </w:rPr>
            </w:pPr>
            <w:hyperlink r:id="rId34" w:history="1">
              <w:r w:rsidRPr="00222866">
                <w:rPr>
                  <w:i/>
                  <w:color w:val="0000FF"/>
                  <w:sz w:val="22"/>
                  <w:szCs w:val="22"/>
                  <w:u w:val="single"/>
                </w:rPr>
                <w:t>JeanMarie.Rogue@eesc.europa.eu</w:t>
              </w:r>
            </w:hyperlink>
          </w:p>
        </w:tc>
      </w:tr>
    </w:tbl>
    <w:p w14:paraId="3887EC4A" w14:textId="660A26B1" w:rsidR="00A067F3" w:rsidRDefault="00A067F3" w:rsidP="001766B2">
      <w:pPr>
        <w:jc w:val="left"/>
      </w:pPr>
    </w:p>
    <w:p w14:paraId="4982DDF3" w14:textId="77616464" w:rsidR="004D7AC0" w:rsidRDefault="004D7AC0" w:rsidP="004C6742">
      <w:pPr>
        <w:pStyle w:val="Heading2"/>
      </w:pPr>
      <w:bookmarkStart w:id="16" w:name="_Toc75527083"/>
      <w:bookmarkStart w:id="17" w:name="_Toc229140655"/>
      <w:r>
        <w:t>ЕДИНЕН ПАЗАР, ПРОИЗВОДСТВО И ПОТРЕБЛЕНИЕ</w:t>
      </w:r>
      <w:bookmarkEnd w:id="16"/>
      <w:bookmarkEnd w:id="17"/>
    </w:p>
    <w:p w14:paraId="4982DDF4" w14:textId="77777777" w:rsidR="004D7AC0" w:rsidRDefault="004D7AC0" w:rsidP="001766B2"/>
    <w:p w14:paraId="566598A4" w14:textId="64AD8C2A" w:rsidR="00392AE5" w:rsidRPr="00392AE5" w:rsidRDefault="00392AE5"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Pr>
            <w:color w:val="0000FF"/>
            <w:u w:val="single"/>
          </w:rPr>
          <w:t>„Свръхтуризъм, краткосрочно отдаване под наем и изтласкване на местното население — намиране на правилния баланс“</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5061"/>
      </w:tblGrid>
      <w:tr w:rsidR="00392AE5" w:rsidRPr="00222866" w14:paraId="6A67318C" w14:textId="77777777" w:rsidTr="00222866">
        <w:tc>
          <w:tcPr>
            <w:tcW w:w="0" w:type="auto"/>
          </w:tcPr>
          <w:p w14:paraId="45EB1F84" w14:textId="77777777" w:rsidR="00392AE5" w:rsidRPr="00222866" w:rsidRDefault="00392AE5" w:rsidP="00392AE5">
            <w:pPr>
              <w:tabs>
                <w:tab w:val="center" w:pos="284"/>
              </w:tabs>
              <w:overflowPunct w:val="0"/>
              <w:autoSpaceDE w:val="0"/>
              <w:autoSpaceDN w:val="0"/>
              <w:adjustRightInd w:val="0"/>
              <w:ind w:left="266" w:hanging="266"/>
              <w:textAlignment w:val="baseline"/>
              <w:rPr>
                <w:b/>
                <w:sz w:val="22"/>
                <w:szCs w:val="22"/>
              </w:rPr>
            </w:pPr>
            <w:r w:rsidRPr="00222866">
              <w:rPr>
                <w:b/>
                <w:sz w:val="22"/>
                <w:szCs w:val="22"/>
              </w:rPr>
              <w:t>Докладчик</w:t>
            </w:r>
          </w:p>
        </w:tc>
        <w:tc>
          <w:tcPr>
            <w:tcW w:w="0" w:type="auto"/>
          </w:tcPr>
          <w:p w14:paraId="4123F63B" w14:textId="58C6E72D" w:rsidR="00392AE5" w:rsidRPr="00222866" w:rsidRDefault="00392AE5" w:rsidP="00392AE5">
            <w:pPr>
              <w:tabs>
                <w:tab w:val="center" w:pos="284"/>
              </w:tabs>
              <w:overflowPunct w:val="0"/>
              <w:autoSpaceDE w:val="0"/>
              <w:autoSpaceDN w:val="0"/>
              <w:adjustRightInd w:val="0"/>
              <w:ind w:left="266" w:right="-3091" w:hanging="266"/>
              <w:textAlignment w:val="baseline"/>
              <w:rPr>
                <w:sz w:val="22"/>
                <w:szCs w:val="22"/>
              </w:rPr>
            </w:pPr>
            <w:proofErr w:type="spellStart"/>
            <w:r w:rsidRPr="00222866">
              <w:rPr>
                <w:sz w:val="22"/>
                <w:szCs w:val="22"/>
              </w:rPr>
              <w:t>Marinel</w:t>
            </w:r>
            <w:proofErr w:type="spellEnd"/>
            <w:r w:rsidRPr="00222866">
              <w:rPr>
                <w:sz w:val="22"/>
                <w:szCs w:val="22"/>
              </w:rPr>
              <w:t xml:space="preserve"> </w:t>
            </w:r>
            <w:proofErr w:type="spellStart"/>
            <w:r w:rsidRPr="00222866">
              <w:rPr>
                <w:sz w:val="22"/>
                <w:szCs w:val="22"/>
              </w:rPr>
              <w:t>Dănuț</w:t>
            </w:r>
            <w:proofErr w:type="spellEnd"/>
            <w:r w:rsidRPr="00222866">
              <w:rPr>
                <w:sz w:val="22"/>
                <w:szCs w:val="22"/>
              </w:rPr>
              <w:t xml:space="preserve"> MUREŞAN (група „Работодатели“ — RO)</w:t>
            </w:r>
          </w:p>
          <w:p w14:paraId="6824E4B7" w14:textId="3A5073A7" w:rsidR="003F20DF" w:rsidRPr="00222866" w:rsidRDefault="003F20DF" w:rsidP="00392AE5">
            <w:pPr>
              <w:tabs>
                <w:tab w:val="center" w:pos="284"/>
              </w:tabs>
              <w:overflowPunct w:val="0"/>
              <w:autoSpaceDE w:val="0"/>
              <w:autoSpaceDN w:val="0"/>
              <w:adjustRightInd w:val="0"/>
              <w:ind w:left="266" w:right="-3091" w:hanging="266"/>
              <w:textAlignment w:val="baseline"/>
              <w:rPr>
                <w:bCs/>
                <w:sz w:val="22"/>
                <w:szCs w:val="22"/>
              </w:rPr>
            </w:pPr>
          </w:p>
        </w:tc>
      </w:tr>
      <w:tr w:rsidR="00392AE5" w:rsidRPr="00222866" w14:paraId="241C9609" w14:textId="77777777" w:rsidTr="00222866">
        <w:tc>
          <w:tcPr>
            <w:tcW w:w="0" w:type="auto"/>
          </w:tcPr>
          <w:p w14:paraId="13E4A55F" w14:textId="77777777" w:rsidR="00392AE5" w:rsidRPr="00222866" w:rsidRDefault="00392AE5" w:rsidP="00392AE5">
            <w:pPr>
              <w:tabs>
                <w:tab w:val="center" w:pos="284"/>
              </w:tabs>
              <w:overflowPunct w:val="0"/>
              <w:autoSpaceDE w:val="0"/>
              <w:autoSpaceDN w:val="0"/>
              <w:adjustRightInd w:val="0"/>
              <w:ind w:left="266" w:hanging="266"/>
              <w:textAlignment w:val="baseline"/>
              <w:rPr>
                <w:b/>
                <w:sz w:val="22"/>
                <w:szCs w:val="22"/>
              </w:rPr>
            </w:pPr>
            <w:r w:rsidRPr="00222866">
              <w:rPr>
                <w:b/>
                <w:sz w:val="22"/>
                <w:szCs w:val="22"/>
              </w:rPr>
              <w:t>Отправни документи</w:t>
            </w:r>
          </w:p>
        </w:tc>
        <w:tc>
          <w:tcPr>
            <w:tcW w:w="0" w:type="auto"/>
          </w:tcPr>
          <w:p w14:paraId="45A8FB5D" w14:textId="281DE309" w:rsidR="00392AE5" w:rsidRPr="00222866" w:rsidRDefault="00392AE5" w:rsidP="00392AE5">
            <w:pPr>
              <w:tabs>
                <w:tab w:val="center" w:pos="284"/>
              </w:tabs>
              <w:overflowPunct w:val="0"/>
              <w:autoSpaceDE w:val="0"/>
              <w:autoSpaceDN w:val="0"/>
              <w:adjustRightInd w:val="0"/>
              <w:ind w:left="266" w:right="-3091" w:hanging="266"/>
              <w:textAlignment w:val="baseline"/>
              <w:rPr>
                <w:sz w:val="22"/>
                <w:szCs w:val="22"/>
              </w:rPr>
            </w:pPr>
            <w:r w:rsidRPr="00222866">
              <w:rPr>
                <w:sz w:val="22"/>
                <w:szCs w:val="22"/>
              </w:rPr>
              <w:t>проучвателно становище по искане на кипърското председателство на Съвета на ЕС</w:t>
            </w:r>
          </w:p>
          <w:p w14:paraId="7EBFEE0E" w14:textId="619F9385" w:rsidR="00392AE5" w:rsidRPr="00222866" w:rsidRDefault="00392AE5" w:rsidP="00392AE5">
            <w:pPr>
              <w:tabs>
                <w:tab w:val="center" w:pos="284"/>
              </w:tabs>
              <w:overflowPunct w:val="0"/>
              <w:autoSpaceDE w:val="0"/>
              <w:autoSpaceDN w:val="0"/>
              <w:adjustRightInd w:val="0"/>
              <w:ind w:left="266" w:right="-3091" w:hanging="266"/>
              <w:textAlignment w:val="baseline"/>
              <w:rPr>
                <w:sz w:val="22"/>
                <w:szCs w:val="22"/>
              </w:rPr>
            </w:pPr>
            <w:r w:rsidRPr="00222866">
              <w:rPr>
                <w:sz w:val="22"/>
                <w:szCs w:val="22"/>
              </w:rP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ЕИСК:</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подчертава, че туризмът е стратегическа екосистема, която стимулира растежа, заетостта и социалното развитие в ЕС, и призовава за преминаване към по-устойчив, балансиран и конкурентен модел, чрез който да се запази качеството на живот на местните общности;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lastRenderedPageBreak/>
        <w:t xml:space="preserve">предупреждава за нарастващия натиск от свръхтуризма и краткосрочното отдаване под наем в някои дестинации и </w:t>
      </w:r>
      <w:r>
        <w:rPr>
          <w:b/>
        </w:rPr>
        <w:t>призовава за координирани действия на ЕС</w:t>
      </w:r>
      <w:r>
        <w:t xml:space="preserve"> в подкрепа на държавите членки при разработването на решения, които да са основани на доказателства, пропорционални и ориентирани към местните условия;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предлага подкрепяни от ЕС инструменти и стратегии за по-добро управление на туристическите потоци, включително цифрови системи за мониторинг, диверсификация на дестинациите и сезоните и по-силни връзки между туризма и местните икономики, култура и традиционни занаяти;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застъпва се за иновативни модели на управление и финансиране, съчетаващи публични и частни инвестиции в подкрепа на устойчивия туризъм, жилищата на достъпни цени и местните бизнес екосистеми, със силна роля за МСП и местните общности;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препоръчва укрепване на уменията, обучението и участието на младите хора и призовава за създаването на </w:t>
      </w:r>
      <w:r>
        <w:rPr>
          <w:b/>
        </w:rPr>
        <w:t>Европейски център за традиционни занаяти и професии в областта на културното наследство</w:t>
      </w:r>
      <w:r>
        <w:t xml:space="preserve"> в подкрепа на местните икономики и културната устойчивост в целия ЕС.</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2808"/>
      </w:tblGrid>
      <w:tr w:rsidR="00392AE5" w:rsidRPr="00222866" w14:paraId="519A6FBB" w14:textId="77777777" w:rsidTr="00222866">
        <w:tc>
          <w:tcPr>
            <w:tcW w:w="0" w:type="auto"/>
          </w:tcPr>
          <w:p w14:paraId="2511DD3A" w14:textId="77777777" w:rsidR="00392AE5" w:rsidRPr="00222866" w:rsidRDefault="00392AE5" w:rsidP="00392AE5">
            <w:pPr>
              <w:overflowPunct w:val="0"/>
              <w:autoSpaceDE w:val="0"/>
              <w:autoSpaceDN w:val="0"/>
              <w:adjustRightInd w:val="0"/>
              <w:textAlignment w:val="baseline"/>
              <w:rPr>
                <w:i/>
                <w:sz w:val="22"/>
                <w:szCs w:val="22"/>
              </w:rPr>
            </w:pPr>
            <w:r w:rsidRPr="00222866">
              <w:rPr>
                <w:b/>
                <w:i/>
                <w:sz w:val="22"/>
                <w:szCs w:val="22"/>
              </w:rPr>
              <w:t>За контакт</w:t>
            </w:r>
          </w:p>
        </w:tc>
        <w:tc>
          <w:tcPr>
            <w:tcW w:w="0" w:type="auto"/>
          </w:tcPr>
          <w:p w14:paraId="3960CCB8" w14:textId="77777777" w:rsidR="00392AE5" w:rsidRPr="00222866" w:rsidRDefault="00392AE5" w:rsidP="00392AE5">
            <w:pPr>
              <w:overflowPunct w:val="0"/>
              <w:autoSpaceDE w:val="0"/>
              <w:autoSpaceDN w:val="0"/>
              <w:adjustRightInd w:val="0"/>
              <w:textAlignment w:val="baseline"/>
              <w:rPr>
                <w:i/>
                <w:sz w:val="22"/>
                <w:szCs w:val="22"/>
              </w:rPr>
            </w:pPr>
            <w:proofErr w:type="spellStart"/>
            <w:r w:rsidRPr="00222866">
              <w:rPr>
                <w:i/>
                <w:sz w:val="22"/>
                <w:szCs w:val="22"/>
              </w:rPr>
              <w:t>Silvia</w:t>
            </w:r>
            <w:proofErr w:type="spellEnd"/>
            <w:r w:rsidRPr="00222866">
              <w:rPr>
                <w:i/>
                <w:sz w:val="22"/>
                <w:szCs w:val="22"/>
              </w:rPr>
              <w:t xml:space="preserve"> </w:t>
            </w:r>
            <w:proofErr w:type="spellStart"/>
            <w:r w:rsidRPr="00222866">
              <w:rPr>
                <w:i/>
                <w:sz w:val="22"/>
                <w:szCs w:val="22"/>
              </w:rPr>
              <w:t>Staffa</w:t>
            </w:r>
            <w:proofErr w:type="spellEnd"/>
          </w:p>
        </w:tc>
      </w:tr>
      <w:tr w:rsidR="00392AE5" w:rsidRPr="00222866" w14:paraId="3AF34B7F" w14:textId="77777777" w:rsidTr="00222866">
        <w:tc>
          <w:tcPr>
            <w:tcW w:w="0" w:type="auto"/>
          </w:tcPr>
          <w:p w14:paraId="2CBD3E50" w14:textId="77777777" w:rsidR="00392AE5" w:rsidRPr="00222866" w:rsidRDefault="00392AE5" w:rsidP="00392AE5">
            <w:pPr>
              <w:overflowPunct w:val="0"/>
              <w:autoSpaceDE w:val="0"/>
              <w:autoSpaceDN w:val="0"/>
              <w:adjustRightInd w:val="0"/>
              <w:textAlignment w:val="baseline"/>
              <w:rPr>
                <w:i/>
                <w:sz w:val="22"/>
                <w:szCs w:val="22"/>
              </w:rPr>
            </w:pPr>
            <w:r w:rsidRPr="00222866">
              <w:rPr>
                <w:i/>
                <w:sz w:val="22"/>
                <w:szCs w:val="22"/>
              </w:rPr>
              <w:t>Тел.:</w:t>
            </w:r>
          </w:p>
        </w:tc>
        <w:tc>
          <w:tcPr>
            <w:tcW w:w="0" w:type="auto"/>
          </w:tcPr>
          <w:p w14:paraId="730C53AF" w14:textId="77777777" w:rsidR="00392AE5" w:rsidRPr="00222866" w:rsidRDefault="00392AE5" w:rsidP="00392AE5">
            <w:pPr>
              <w:overflowPunct w:val="0"/>
              <w:autoSpaceDE w:val="0"/>
              <w:autoSpaceDN w:val="0"/>
              <w:adjustRightInd w:val="0"/>
              <w:textAlignment w:val="baseline"/>
              <w:rPr>
                <w:i/>
                <w:sz w:val="22"/>
                <w:szCs w:val="22"/>
              </w:rPr>
            </w:pPr>
            <w:r w:rsidRPr="00222866">
              <w:rPr>
                <w:i/>
                <w:sz w:val="22"/>
                <w:szCs w:val="22"/>
              </w:rPr>
              <w:t>+32 25468378</w:t>
            </w:r>
          </w:p>
        </w:tc>
      </w:tr>
      <w:tr w:rsidR="00392AE5" w:rsidRPr="00222866" w14:paraId="7E2C07CA" w14:textId="77777777" w:rsidTr="00222866">
        <w:tc>
          <w:tcPr>
            <w:tcW w:w="0" w:type="auto"/>
          </w:tcPr>
          <w:p w14:paraId="22A428C5" w14:textId="77777777" w:rsidR="00392AE5" w:rsidRPr="00222866" w:rsidRDefault="00392AE5" w:rsidP="00392AE5">
            <w:pPr>
              <w:overflowPunct w:val="0"/>
              <w:autoSpaceDE w:val="0"/>
              <w:autoSpaceDN w:val="0"/>
              <w:adjustRightInd w:val="0"/>
              <w:textAlignment w:val="baseline"/>
              <w:rPr>
                <w:i/>
                <w:sz w:val="22"/>
                <w:szCs w:val="22"/>
              </w:rPr>
            </w:pPr>
            <w:r w:rsidRPr="00222866">
              <w:rPr>
                <w:i/>
                <w:sz w:val="22"/>
                <w:szCs w:val="22"/>
              </w:rPr>
              <w:t>Електронен адрес</w:t>
            </w:r>
          </w:p>
        </w:tc>
        <w:tc>
          <w:tcPr>
            <w:tcW w:w="0" w:type="auto"/>
          </w:tcPr>
          <w:p w14:paraId="0EBCDB0C" w14:textId="6EA82E1F" w:rsidR="00392AE5" w:rsidRPr="00222866" w:rsidRDefault="00C10CD5" w:rsidP="00392AE5">
            <w:pPr>
              <w:overflowPunct w:val="0"/>
              <w:autoSpaceDE w:val="0"/>
              <w:autoSpaceDN w:val="0"/>
              <w:adjustRightInd w:val="0"/>
              <w:spacing w:line="240" w:lineRule="auto"/>
              <w:textAlignment w:val="baseline"/>
              <w:rPr>
                <w:i/>
                <w:sz w:val="22"/>
                <w:szCs w:val="22"/>
              </w:rPr>
            </w:pPr>
            <w:hyperlink r:id="rId36" w:history="1">
              <w:r w:rsidRPr="00222866">
                <w:rPr>
                  <w:i/>
                  <w:color w:val="0000FF"/>
                  <w:sz w:val="22"/>
                  <w:szCs w:val="22"/>
                  <w:u w:val="single"/>
                </w:rPr>
                <w:t>Silvia.Staffa@eesc.europa.eu</w:t>
              </w:r>
            </w:hyperlink>
          </w:p>
        </w:tc>
      </w:tr>
    </w:tbl>
    <w:p w14:paraId="4982DE1D" w14:textId="4077BBDD" w:rsidR="00A456BF" w:rsidRDefault="00A456BF" w:rsidP="001766B2">
      <w:pPr>
        <w:pStyle w:val="ListParagraph"/>
        <w:ind w:left="0"/>
      </w:pPr>
    </w:p>
    <w:p w14:paraId="6B9F0C27" w14:textId="6DD6ACAA" w:rsidR="008E331E" w:rsidRPr="008E331E" w:rsidRDefault="00C10CD5"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„Преразглеждане на стандартите за емисиите на CO</w:t>
        </w:r>
        <w:r>
          <w:rPr>
            <w:b/>
            <w:i/>
            <w:color w:val="0000FF"/>
            <w:sz w:val="28"/>
            <w:u w:val="single"/>
            <w:vertAlign w:val="subscript"/>
          </w:rPr>
          <w:t>2</w:t>
        </w:r>
        <w:r>
          <w:rPr>
            <w:b/>
            <w:i/>
            <w:color w:val="0000FF"/>
            <w:sz w:val="28"/>
            <w:u w:val="single"/>
          </w:rPr>
          <w:t xml:space="preserve"> от леки и лекотоварни автомобили“</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222866" w14:paraId="3544A5AD" w14:textId="77777777" w:rsidTr="002E7EFB">
        <w:tc>
          <w:tcPr>
            <w:tcW w:w="1701" w:type="dxa"/>
          </w:tcPr>
          <w:p w14:paraId="1CD1317C" w14:textId="77777777" w:rsidR="008E331E" w:rsidRPr="00222866" w:rsidRDefault="008E331E" w:rsidP="008E331E">
            <w:pPr>
              <w:tabs>
                <w:tab w:val="center" w:pos="284"/>
              </w:tabs>
              <w:overflowPunct w:val="0"/>
              <w:autoSpaceDE w:val="0"/>
              <w:autoSpaceDN w:val="0"/>
              <w:adjustRightInd w:val="0"/>
              <w:ind w:left="266" w:hanging="266"/>
              <w:textAlignment w:val="baseline"/>
              <w:rPr>
                <w:b/>
                <w:sz w:val="22"/>
                <w:szCs w:val="22"/>
              </w:rPr>
            </w:pPr>
            <w:r w:rsidRPr="00222866">
              <w:rPr>
                <w:b/>
                <w:sz w:val="22"/>
                <w:szCs w:val="22"/>
              </w:rPr>
              <w:t>Докладчик</w:t>
            </w:r>
          </w:p>
        </w:tc>
        <w:tc>
          <w:tcPr>
            <w:tcW w:w="5387" w:type="dxa"/>
          </w:tcPr>
          <w:p w14:paraId="206429AE" w14:textId="78B329B9" w:rsidR="008E331E" w:rsidRPr="00222866" w:rsidRDefault="008E331E" w:rsidP="008E331E">
            <w:pPr>
              <w:tabs>
                <w:tab w:val="center" w:pos="284"/>
              </w:tabs>
              <w:overflowPunct w:val="0"/>
              <w:autoSpaceDE w:val="0"/>
              <w:autoSpaceDN w:val="0"/>
              <w:adjustRightInd w:val="0"/>
              <w:ind w:left="266" w:hanging="266"/>
              <w:textAlignment w:val="baseline"/>
              <w:rPr>
                <w:sz w:val="22"/>
                <w:szCs w:val="22"/>
              </w:rPr>
            </w:pPr>
            <w:r w:rsidRPr="00222866">
              <w:rPr>
                <w:sz w:val="22"/>
                <w:szCs w:val="22"/>
              </w:rPr>
              <w:t>Matteo BORSANI (група „Работодатели“ — IT)</w:t>
            </w:r>
          </w:p>
          <w:p w14:paraId="3D9FC490" w14:textId="77777777" w:rsidR="008E331E" w:rsidRPr="00222866" w:rsidRDefault="008E331E" w:rsidP="008E331E">
            <w:pPr>
              <w:tabs>
                <w:tab w:val="center" w:pos="284"/>
              </w:tabs>
              <w:overflowPunct w:val="0"/>
              <w:autoSpaceDE w:val="0"/>
              <w:autoSpaceDN w:val="0"/>
              <w:adjustRightInd w:val="0"/>
              <w:ind w:left="266" w:hanging="266"/>
              <w:textAlignment w:val="baseline"/>
              <w:rPr>
                <w:sz w:val="22"/>
                <w:szCs w:val="22"/>
              </w:rPr>
            </w:pPr>
          </w:p>
        </w:tc>
      </w:tr>
      <w:tr w:rsidR="008E331E" w:rsidRPr="00222866" w14:paraId="5175195B" w14:textId="77777777" w:rsidTr="002E7EFB">
        <w:tc>
          <w:tcPr>
            <w:tcW w:w="7088" w:type="dxa"/>
            <w:gridSpan w:val="2"/>
          </w:tcPr>
          <w:p w14:paraId="25949DC3" w14:textId="77777777" w:rsidR="008E331E" w:rsidRPr="00222866" w:rsidRDefault="008E331E" w:rsidP="008E331E">
            <w:pPr>
              <w:tabs>
                <w:tab w:val="center" w:pos="284"/>
              </w:tabs>
              <w:overflowPunct w:val="0"/>
              <w:autoSpaceDE w:val="0"/>
              <w:autoSpaceDN w:val="0"/>
              <w:adjustRightInd w:val="0"/>
              <w:spacing w:line="160" w:lineRule="exact"/>
              <w:ind w:left="266" w:hanging="266"/>
              <w:textAlignment w:val="baseline"/>
              <w:rPr>
                <w:sz w:val="22"/>
                <w:szCs w:val="22"/>
              </w:rPr>
            </w:pPr>
          </w:p>
        </w:tc>
      </w:tr>
      <w:tr w:rsidR="008E331E" w:rsidRPr="00222866" w14:paraId="0E58D564" w14:textId="77777777" w:rsidTr="002E7EFB">
        <w:tc>
          <w:tcPr>
            <w:tcW w:w="1701" w:type="dxa"/>
            <w:vMerge w:val="restart"/>
          </w:tcPr>
          <w:p w14:paraId="145A97E5" w14:textId="77777777" w:rsidR="008E331E" w:rsidRPr="00222866" w:rsidRDefault="008E331E" w:rsidP="008E331E">
            <w:pPr>
              <w:tabs>
                <w:tab w:val="center" w:pos="284"/>
              </w:tabs>
              <w:overflowPunct w:val="0"/>
              <w:autoSpaceDE w:val="0"/>
              <w:autoSpaceDN w:val="0"/>
              <w:adjustRightInd w:val="0"/>
              <w:ind w:left="266" w:hanging="266"/>
              <w:textAlignment w:val="baseline"/>
              <w:rPr>
                <w:b/>
                <w:sz w:val="22"/>
                <w:szCs w:val="22"/>
              </w:rPr>
            </w:pPr>
            <w:r w:rsidRPr="00222866">
              <w:rPr>
                <w:b/>
                <w:sz w:val="22"/>
                <w:szCs w:val="22"/>
              </w:rPr>
              <w:t>Отправни документи</w:t>
            </w:r>
          </w:p>
        </w:tc>
        <w:tc>
          <w:tcPr>
            <w:tcW w:w="5387" w:type="dxa"/>
          </w:tcPr>
          <w:p w14:paraId="7281EBE1" w14:textId="0C5497BF" w:rsidR="008E331E" w:rsidRPr="00222866" w:rsidRDefault="008E331E" w:rsidP="008E331E">
            <w:pPr>
              <w:tabs>
                <w:tab w:val="center" w:pos="284"/>
              </w:tabs>
              <w:overflowPunct w:val="0"/>
              <w:autoSpaceDE w:val="0"/>
              <w:autoSpaceDN w:val="0"/>
              <w:adjustRightInd w:val="0"/>
              <w:ind w:left="266" w:hanging="266"/>
              <w:textAlignment w:val="baseline"/>
              <w:rPr>
                <w:sz w:val="22"/>
                <w:szCs w:val="22"/>
              </w:rPr>
            </w:pPr>
            <w:r w:rsidRPr="00222866">
              <w:rPr>
                <w:sz w:val="22"/>
                <w:szCs w:val="22"/>
              </w:rPr>
              <w:t xml:space="preserve">COM(2025) 995 </w:t>
            </w:r>
            <w:proofErr w:type="spellStart"/>
            <w:r w:rsidRPr="00222866">
              <w:rPr>
                <w:sz w:val="22"/>
                <w:szCs w:val="22"/>
              </w:rPr>
              <w:t>final</w:t>
            </w:r>
            <w:proofErr w:type="spellEnd"/>
            <w:r w:rsidRPr="00222866">
              <w:rPr>
                <w:sz w:val="22"/>
                <w:szCs w:val="22"/>
              </w:rPr>
              <w:t xml:space="preserve"> </w:t>
            </w:r>
          </w:p>
          <w:p w14:paraId="7D42FFB6" w14:textId="77777777" w:rsidR="008E331E" w:rsidRPr="00222866" w:rsidRDefault="008E331E" w:rsidP="008E331E">
            <w:pPr>
              <w:tabs>
                <w:tab w:val="center" w:pos="284"/>
              </w:tabs>
              <w:overflowPunct w:val="0"/>
              <w:autoSpaceDE w:val="0"/>
              <w:autoSpaceDN w:val="0"/>
              <w:adjustRightInd w:val="0"/>
              <w:ind w:left="266" w:hanging="266"/>
              <w:textAlignment w:val="baseline"/>
              <w:rPr>
                <w:sz w:val="22"/>
                <w:szCs w:val="22"/>
              </w:rPr>
            </w:pPr>
            <w:r w:rsidRPr="00222866">
              <w:rPr>
                <w:sz w:val="22"/>
                <w:szCs w:val="22"/>
              </w:rPr>
              <w:t>EESC-2025-04308-00-00-AC</w:t>
            </w:r>
          </w:p>
        </w:tc>
      </w:tr>
      <w:tr w:rsidR="008E331E" w:rsidRPr="00222866" w14:paraId="3BC2EE29" w14:textId="77777777" w:rsidTr="002E7EFB">
        <w:tc>
          <w:tcPr>
            <w:tcW w:w="1701" w:type="dxa"/>
            <w:vMerge/>
          </w:tcPr>
          <w:p w14:paraId="00FF22F1" w14:textId="77777777" w:rsidR="008E331E" w:rsidRPr="00222866" w:rsidRDefault="008E331E" w:rsidP="008E331E">
            <w:pPr>
              <w:tabs>
                <w:tab w:val="center" w:pos="284"/>
              </w:tabs>
              <w:overflowPunct w:val="0"/>
              <w:autoSpaceDE w:val="0"/>
              <w:autoSpaceDN w:val="0"/>
              <w:adjustRightInd w:val="0"/>
              <w:ind w:left="266" w:hanging="266"/>
              <w:textAlignment w:val="baseline"/>
              <w:rPr>
                <w:b/>
                <w:sz w:val="22"/>
                <w:szCs w:val="22"/>
                <w:lang w:val="pt-PT"/>
              </w:rPr>
            </w:pPr>
          </w:p>
        </w:tc>
        <w:tc>
          <w:tcPr>
            <w:tcW w:w="5387" w:type="dxa"/>
          </w:tcPr>
          <w:p w14:paraId="56EC2136" w14:textId="77777777" w:rsidR="008E331E" w:rsidRPr="00222866" w:rsidRDefault="008E331E" w:rsidP="008E331E">
            <w:pPr>
              <w:tabs>
                <w:tab w:val="center" w:pos="284"/>
              </w:tabs>
              <w:overflowPunct w:val="0"/>
              <w:autoSpaceDE w:val="0"/>
              <w:autoSpaceDN w:val="0"/>
              <w:adjustRightInd w:val="0"/>
              <w:ind w:left="266" w:hanging="266"/>
              <w:textAlignment w:val="baseline"/>
              <w:rPr>
                <w:sz w:val="22"/>
                <w:szCs w:val="22"/>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ЕИСК:</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призовава за балансирана и съгласувана рамка на ЕС</w:t>
      </w:r>
      <w:r>
        <w:t xml:space="preserve"> за прехода в автомобилната промишленост, съчетаваща силен тласък за мобилност с нулеви и ниски емисии с технологична неутралност, укрепена верига за създаване на стойност „Произведено в ЕС“ и защита на качествените работни места, промишления капацитет и иновациите;</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настоятелно призовава за прагматично преразглеждане на стандартите за CO</w:t>
      </w:r>
      <w:r>
        <w:rPr>
          <w:b/>
          <w:vertAlign w:val="subscript"/>
        </w:rPr>
        <w:t>2</w:t>
      </w:r>
      <w:r>
        <w:t xml:space="preserve"> за леките и лекотоварните автомобили в съответствие с пазарните реалности и целите в областта на климата, за да се възстанови конкурентоспособността, като същевременно се запази дългосрочният курс на </w:t>
      </w:r>
      <w:proofErr w:type="spellStart"/>
      <w:r>
        <w:t>декарбонизация</w:t>
      </w:r>
      <w:proofErr w:type="spellEnd"/>
      <w:r>
        <w:t>;</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застъпва се за по-силна роля на преходните технологии</w:t>
      </w:r>
      <w:r>
        <w:t>, включително хибридните превозни средства, устойчивите възобновяеми горива и материалите с ниски емисии, и призовава за намаляване на изключителната зависимост от емисиите на отработили газове, за да се даде възможност за по-реалистичен и социално балансиран преход;</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lastRenderedPageBreak/>
        <w:t>приветства по-голямата гъвкавост по отношение на целите за 2030 г.</w:t>
      </w:r>
      <w:r>
        <w:t>, включително многогодишното съответствие, и призовава за целенасочена подкрепа за инфраструктурата за зареждане, електрификацията на корпоративните автомобилни паркове и леките търговски превозни средства, при които навлизането на пазара остава ограничено;</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препоръчва укрепване на водещите позиции на ЕС в промишлеността</w:t>
      </w:r>
      <w:r>
        <w:t xml:space="preserve"> чрез стимули като дела на компонентите, „произведени в ЕС“, подкрепа за нискоемисионна стомана и разширени облекчения за електрически превозни средства, наред с по-всеобхватна методология за емисиите и преход, който остава финансово достъпен, приобщаващ и богат на работни места.</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222866" w14:paraId="1B085562" w14:textId="77777777" w:rsidTr="002E7EFB">
        <w:tc>
          <w:tcPr>
            <w:tcW w:w="1418" w:type="dxa"/>
          </w:tcPr>
          <w:p w14:paraId="68F7AC07" w14:textId="77777777" w:rsidR="008E331E" w:rsidRPr="00222866" w:rsidRDefault="008E331E" w:rsidP="008E331E">
            <w:pPr>
              <w:overflowPunct w:val="0"/>
              <w:autoSpaceDE w:val="0"/>
              <w:autoSpaceDN w:val="0"/>
              <w:adjustRightInd w:val="0"/>
              <w:spacing w:line="240" w:lineRule="auto"/>
              <w:textAlignment w:val="baseline"/>
              <w:rPr>
                <w:i/>
                <w:sz w:val="22"/>
                <w:szCs w:val="22"/>
              </w:rPr>
            </w:pPr>
            <w:r w:rsidRPr="00222866">
              <w:rPr>
                <w:b/>
                <w:i/>
                <w:sz w:val="22"/>
                <w:szCs w:val="22"/>
              </w:rPr>
              <w:t>За контакт</w:t>
            </w:r>
          </w:p>
        </w:tc>
        <w:tc>
          <w:tcPr>
            <w:tcW w:w="5670" w:type="dxa"/>
          </w:tcPr>
          <w:p w14:paraId="008F7857" w14:textId="5A00880C" w:rsidR="008E331E" w:rsidRPr="00222866" w:rsidRDefault="008E331E" w:rsidP="008E331E">
            <w:pPr>
              <w:overflowPunct w:val="0"/>
              <w:autoSpaceDE w:val="0"/>
              <w:autoSpaceDN w:val="0"/>
              <w:adjustRightInd w:val="0"/>
              <w:spacing w:line="240" w:lineRule="auto"/>
              <w:textAlignment w:val="baseline"/>
              <w:rPr>
                <w:i/>
                <w:sz w:val="22"/>
                <w:szCs w:val="22"/>
              </w:rPr>
            </w:pPr>
            <w:proofErr w:type="spellStart"/>
            <w:r w:rsidRPr="00222866">
              <w:rPr>
                <w:i/>
                <w:sz w:val="22"/>
                <w:szCs w:val="22"/>
              </w:rPr>
              <w:t>Silvia</w:t>
            </w:r>
            <w:proofErr w:type="spellEnd"/>
            <w:r w:rsidRPr="00222866">
              <w:rPr>
                <w:i/>
                <w:sz w:val="22"/>
                <w:szCs w:val="22"/>
              </w:rPr>
              <w:t xml:space="preserve"> </w:t>
            </w:r>
            <w:proofErr w:type="spellStart"/>
            <w:r w:rsidRPr="00222866">
              <w:rPr>
                <w:i/>
                <w:sz w:val="22"/>
                <w:szCs w:val="22"/>
              </w:rPr>
              <w:t>Staffa</w:t>
            </w:r>
            <w:proofErr w:type="spellEnd"/>
          </w:p>
        </w:tc>
      </w:tr>
      <w:tr w:rsidR="008E331E" w:rsidRPr="00222866" w14:paraId="0B08C9F9" w14:textId="77777777" w:rsidTr="002E7EFB">
        <w:tc>
          <w:tcPr>
            <w:tcW w:w="1418" w:type="dxa"/>
          </w:tcPr>
          <w:p w14:paraId="29C057C9" w14:textId="77777777" w:rsidR="008E331E" w:rsidRPr="00222866" w:rsidRDefault="008E331E" w:rsidP="008E331E">
            <w:pPr>
              <w:overflowPunct w:val="0"/>
              <w:autoSpaceDE w:val="0"/>
              <w:autoSpaceDN w:val="0"/>
              <w:adjustRightInd w:val="0"/>
              <w:spacing w:line="240" w:lineRule="auto"/>
              <w:textAlignment w:val="baseline"/>
              <w:rPr>
                <w:i/>
                <w:sz w:val="22"/>
                <w:szCs w:val="22"/>
              </w:rPr>
            </w:pPr>
            <w:r w:rsidRPr="00222866">
              <w:rPr>
                <w:i/>
                <w:sz w:val="22"/>
                <w:szCs w:val="22"/>
              </w:rPr>
              <w:t>Тел.</w:t>
            </w:r>
          </w:p>
        </w:tc>
        <w:tc>
          <w:tcPr>
            <w:tcW w:w="5670" w:type="dxa"/>
          </w:tcPr>
          <w:p w14:paraId="52F48E6D" w14:textId="77777777" w:rsidR="008E331E" w:rsidRPr="00222866" w:rsidRDefault="008E331E" w:rsidP="008E331E">
            <w:pPr>
              <w:overflowPunct w:val="0"/>
              <w:autoSpaceDE w:val="0"/>
              <w:autoSpaceDN w:val="0"/>
              <w:adjustRightInd w:val="0"/>
              <w:spacing w:line="240" w:lineRule="auto"/>
              <w:textAlignment w:val="baseline"/>
              <w:rPr>
                <w:i/>
                <w:sz w:val="22"/>
                <w:szCs w:val="22"/>
              </w:rPr>
            </w:pPr>
            <w:r w:rsidRPr="00222866">
              <w:rPr>
                <w:i/>
                <w:sz w:val="22"/>
                <w:szCs w:val="22"/>
              </w:rPr>
              <w:t>+ 32 25468378</w:t>
            </w:r>
          </w:p>
        </w:tc>
      </w:tr>
      <w:tr w:rsidR="008E331E" w:rsidRPr="00222866" w14:paraId="5F4D2CBA" w14:textId="77777777" w:rsidTr="002E7EFB">
        <w:tc>
          <w:tcPr>
            <w:tcW w:w="1418" w:type="dxa"/>
          </w:tcPr>
          <w:p w14:paraId="6B39137F" w14:textId="244E1F7A" w:rsidR="008E331E" w:rsidRPr="00222866" w:rsidRDefault="00C32E41" w:rsidP="008E331E">
            <w:pPr>
              <w:overflowPunct w:val="0"/>
              <w:autoSpaceDE w:val="0"/>
              <w:autoSpaceDN w:val="0"/>
              <w:adjustRightInd w:val="0"/>
              <w:spacing w:line="240" w:lineRule="auto"/>
              <w:textAlignment w:val="baseline"/>
              <w:rPr>
                <w:i/>
                <w:sz w:val="22"/>
                <w:szCs w:val="22"/>
              </w:rPr>
            </w:pPr>
            <w:r w:rsidRPr="00222866">
              <w:rPr>
                <w:i/>
                <w:sz w:val="22"/>
                <w:szCs w:val="22"/>
              </w:rPr>
              <w:t>Електронен адрес</w:t>
            </w:r>
          </w:p>
        </w:tc>
        <w:tc>
          <w:tcPr>
            <w:tcW w:w="5670" w:type="dxa"/>
          </w:tcPr>
          <w:p w14:paraId="07ADD844" w14:textId="396BF591" w:rsidR="008E331E" w:rsidRPr="00222866" w:rsidRDefault="00C10CD5" w:rsidP="008E331E">
            <w:pPr>
              <w:overflowPunct w:val="0"/>
              <w:autoSpaceDE w:val="0"/>
              <w:autoSpaceDN w:val="0"/>
              <w:adjustRightInd w:val="0"/>
              <w:spacing w:line="240" w:lineRule="auto"/>
              <w:textAlignment w:val="baseline"/>
              <w:rPr>
                <w:i/>
                <w:sz w:val="22"/>
                <w:szCs w:val="22"/>
              </w:rPr>
            </w:pPr>
            <w:hyperlink r:id="rId38" w:history="1">
              <w:r w:rsidRPr="00222866">
                <w:rPr>
                  <w:i/>
                  <w:color w:val="0000FF"/>
                  <w:sz w:val="22"/>
                  <w:szCs w:val="22"/>
                  <w:u w:val="single"/>
                </w:rPr>
                <w:t>Silvia.Staffa@eesc.europa.eu</w:t>
              </w:r>
            </w:hyperlink>
          </w:p>
          <w:p w14:paraId="334E5630" w14:textId="77777777" w:rsidR="008E331E" w:rsidRPr="00222866" w:rsidRDefault="008E331E" w:rsidP="008E331E">
            <w:pPr>
              <w:overflowPunct w:val="0"/>
              <w:autoSpaceDE w:val="0"/>
              <w:autoSpaceDN w:val="0"/>
              <w:adjustRightInd w:val="0"/>
              <w:spacing w:line="240" w:lineRule="auto"/>
              <w:textAlignment w:val="baseline"/>
              <w:rPr>
                <w:i/>
                <w:sz w:val="22"/>
                <w:szCs w:val="22"/>
              </w:rPr>
            </w:pPr>
          </w:p>
        </w:tc>
      </w:tr>
    </w:tbl>
    <w:p w14:paraId="05023353" w14:textId="7CA572C4" w:rsidR="008E331E" w:rsidRDefault="008E331E" w:rsidP="001766B2">
      <w:pPr>
        <w:pStyle w:val="ListParagraph"/>
        <w:ind w:left="0"/>
      </w:pPr>
    </w:p>
    <w:p w14:paraId="70CF40EF" w14:textId="29D48297" w:rsidR="00882D0D" w:rsidRPr="004C6742" w:rsidRDefault="00882D0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Pr>
            <w:b/>
            <w:i/>
            <w:color w:val="0000FF"/>
            <w:sz w:val="32"/>
            <w:u w:val="single"/>
          </w:rPr>
          <w:t>„Оценка на Регламент (ЕС) 2019/1020 относно надзора на пазара и съответствието на продуктите“</w:t>
        </w:r>
      </w:hyperlink>
    </w:p>
    <w:p w14:paraId="3DC7A7FA" w14:textId="77777777" w:rsidR="002A0F5D" w:rsidRPr="00882D0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222866" w14:paraId="5D4233BC" w14:textId="77777777" w:rsidTr="002E7EFB">
        <w:tc>
          <w:tcPr>
            <w:tcW w:w="1148" w:type="pct"/>
          </w:tcPr>
          <w:p w14:paraId="59FB1452" w14:textId="77777777" w:rsidR="00882D0D" w:rsidRPr="00222866" w:rsidRDefault="00882D0D" w:rsidP="00882D0D">
            <w:pPr>
              <w:tabs>
                <w:tab w:val="center" w:pos="284"/>
              </w:tabs>
              <w:overflowPunct w:val="0"/>
              <w:autoSpaceDE w:val="0"/>
              <w:autoSpaceDN w:val="0"/>
              <w:adjustRightInd w:val="0"/>
              <w:ind w:left="266" w:hanging="376"/>
              <w:textAlignment w:val="baseline"/>
              <w:rPr>
                <w:b/>
                <w:sz w:val="22"/>
                <w:szCs w:val="22"/>
              </w:rPr>
            </w:pPr>
            <w:r w:rsidRPr="00222866">
              <w:rPr>
                <w:b/>
                <w:sz w:val="22"/>
                <w:szCs w:val="22"/>
              </w:rPr>
              <w:t>Докладчик</w:t>
            </w:r>
          </w:p>
          <w:p w14:paraId="1047859A" w14:textId="77777777" w:rsidR="00882D0D" w:rsidRPr="00222866" w:rsidRDefault="00882D0D" w:rsidP="00882D0D">
            <w:pPr>
              <w:tabs>
                <w:tab w:val="center" w:pos="284"/>
              </w:tabs>
              <w:overflowPunct w:val="0"/>
              <w:autoSpaceDE w:val="0"/>
              <w:autoSpaceDN w:val="0"/>
              <w:adjustRightInd w:val="0"/>
              <w:ind w:left="266" w:hanging="376"/>
              <w:textAlignment w:val="baseline"/>
              <w:rPr>
                <w:b/>
                <w:sz w:val="22"/>
                <w:szCs w:val="22"/>
              </w:rPr>
            </w:pPr>
            <w:r w:rsidRPr="00222866">
              <w:rPr>
                <w:b/>
                <w:sz w:val="22"/>
                <w:szCs w:val="22"/>
              </w:rPr>
              <w:t>Съдокладчик</w:t>
            </w:r>
          </w:p>
        </w:tc>
        <w:tc>
          <w:tcPr>
            <w:tcW w:w="3852" w:type="pct"/>
          </w:tcPr>
          <w:p w14:paraId="22DD296F" w14:textId="5FEE8890" w:rsidR="00882D0D" w:rsidRPr="00222866" w:rsidRDefault="00882D0D" w:rsidP="00882D0D">
            <w:pPr>
              <w:tabs>
                <w:tab w:val="center" w:pos="284"/>
              </w:tabs>
              <w:overflowPunct w:val="0"/>
              <w:autoSpaceDE w:val="0"/>
              <w:autoSpaceDN w:val="0"/>
              <w:adjustRightInd w:val="0"/>
              <w:ind w:left="266" w:hanging="266"/>
              <w:textAlignment w:val="baseline"/>
              <w:rPr>
                <w:sz w:val="22"/>
                <w:szCs w:val="22"/>
              </w:rPr>
            </w:pPr>
            <w:proofErr w:type="spellStart"/>
            <w:r w:rsidRPr="00222866">
              <w:rPr>
                <w:sz w:val="22"/>
                <w:szCs w:val="22"/>
              </w:rPr>
              <w:t>Antje</w:t>
            </w:r>
            <w:proofErr w:type="spellEnd"/>
            <w:r w:rsidRPr="00222866">
              <w:rPr>
                <w:sz w:val="22"/>
                <w:szCs w:val="22"/>
              </w:rPr>
              <w:t xml:space="preserve"> GERSTEIN (група „Работодатели“ — DE)</w:t>
            </w:r>
          </w:p>
          <w:p w14:paraId="198B3B8D" w14:textId="1C9D367D" w:rsidR="00882D0D" w:rsidRPr="00222866" w:rsidRDefault="00882D0D" w:rsidP="00882D0D">
            <w:pPr>
              <w:tabs>
                <w:tab w:val="center" w:pos="284"/>
              </w:tabs>
              <w:overflowPunct w:val="0"/>
              <w:autoSpaceDE w:val="0"/>
              <w:autoSpaceDN w:val="0"/>
              <w:adjustRightInd w:val="0"/>
              <w:ind w:left="266" w:hanging="266"/>
              <w:textAlignment w:val="baseline"/>
              <w:rPr>
                <w:sz w:val="22"/>
                <w:szCs w:val="22"/>
              </w:rPr>
            </w:pPr>
            <w:proofErr w:type="spellStart"/>
            <w:r w:rsidRPr="00222866">
              <w:rPr>
                <w:sz w:val="22"/>
                <w:szCs w:val="22"/>
              </w:rPr>
              <w:t>Anastasis</w:t>
            </w:r>
            <w:proofErr w:type="spellEnd"/>
            <w:r w:rsidRPr="00222866">
              <w:rPr>
                <w:sz w:val="22"/>
                <w:szCs w:val="22"/>
              </w:rPr>
              <w:t xml:space="preserve"> YIAPANIS (група „Организации на гражданското общество“ — CY)</w:t>
            </w:r>
          </w:p>
          <w:p w14:paraId="0D785ADB" w14:textId="77777777" w:rsidR="00882D0D" w:rsidRPr="00222866" w:rsidRDefault="00882D0D" w:rsidP="00882D0D">
            <w:pPr>
              <w:tabs>
                <w:tab w:val="center" w:pos="284"/>
              </w:tabs>
              <w:overflowPunct w:val="0"/>
              <w:autoSpaceDE w:val="0"/>
              <w:autoSpaceDN w:val="0"/>
              <w:adjustRightInd w:val="0"/>
              <w:ind w:left="266" w:hanging="266"/>
              <w:textAlignment w:val="baseline"/>
              <w:rPr>
                <w:sz w:val="22"/>
                <w:szCs w:val="22"/>
                <w:lang w:val="fr-BE"/>
              </w:rPr>
            </w:pPr>
          </w:p>
        </w:tc>
      </w:tr>
      <w:tr w:rsidR="00882D0D" w:rsidRPr="00222866" w14:paraId="1AC48DDB" w14:textId="77777777" w:rsidTr="002E7EFB">
        <w:tc>
          <w:tcPr>
            <w:tcW w:w="1148" w:type="pct"/>
            <w:vMerge w:val="restart"/>
          </w:tcPr>
          <w:p w14:paraId="4FC7ABA2" w14:textId="77777777" w:rsidR="00882D0D" w:rsidRPr="00222866" w:rsidRDefault="00882D0D" w:rsidP="00882D0D">
            <w:pPr>
              <w:tabs>
                <w:tab w:val="center" w:pos="284"/>
              </w:tabs>
              <w:overflowPunct w:val="0"/>
              <w:autoSpaceDE w:val="0"/>
              <w:autoSpaceDN w:val="0"/>
              <w:adjustRightInd w:val="0"/>
              <w:ind w:left="266" w:hanging="376"/>
              <w:textAlignment w:val="baseline"/>
              <w:rPr>
                <w:b/>
                <w:sz w:val="22"/>
                <w:szCs w:val="22"/>
              </w:rPr>
            </w:pPr>
            <w:r w:rsidRPr="00222866">
              <w:rPr>
                <w:b/>
                <w:sz w:val="22"/>
                <w:szCs w:val="22"/>
              </w:rPr>
              <w:t>Отправни документи</w:t>
            </w:r>
          </w:p>
        </w:tc>
        <w:tc>
          <w:tcPr>
            <w:tcW w:w="3852" w:type="pct"/>
          </w:tcPr>
          <w:p w14:paraId="15CC71FE" w14:textId="0F11AA03" w:rsidR="00E43713" w:rsidRPr="00222866" w:rsidRDefault="00E43713" w:rsidP="00882D0D">
            <w:pPr>
              <w:tabs>
                <w:tab w:val="center" w:pos="284"/>
              </w:tabs>
              <w:overflowPunct w:val="0"/>
              <w:autoSpaceDE w:val="0"/>
              <w:autoSpaceDN w:val="0"/>
              <w:adjustRightInd w:val="0"/>
              <w:ind w:left="266" w:hanging="266"/>
              <w:textAlignment w:val="baseline"/>
              <w:rPr>
                <w:sz w:val="22"/>
                <w:szCs w:val="22"/>
              </w:rPr>
            </w:pPr>
            <w:r w:rsidRPr="00222866">
              <w:rPr>
                <w:sz w:val="22"/>
                <w:szCs w:val="22"/>
              </w:rPr>
              <w:t>доклад за оценка</w:t>
            </w:r>
          </w:p>
          <w:p w14:paraId="3A1034C0" w14:textId="47DA1E62" w:rsidR="00882D0D" w:rsidRPr="00222866" w:rsidRDefault="00882D0D" w:rsidP="00882D0D">
            <w:pPr>
              <w:tabs>
                <w:tab w:val="center" w:pos="284"/>
              </w:tabs>
              <w:overflowPunct w:val="0"/>
              <w:autoSpaceDE w:val="0"/>
              <w:autoSpaceDN w:val="0"/>
              <w:adjustRightInd w:val="0"/>
              <w:ind w:left="266" w:hanging="266"/>
              <w:textAlignment w:val="baseline"/>
              <w:rPr>
                <w:sz w:val="22"/>
                <w:szCs w:val="22"/>
              </w:rPr>
            </w:pPr>
            <w:r w:rsidRPr="00222866">
              <w:rPr>
                <w:sz w:val="22"/>
                <w:szCs w:val="22"/>
              </w:rPr>
              <w:t xml:space="preserve">COM(2025) 63 </w:t>
            </w:r>
            <w:proofErr w:type="spellStart"/>
            <w:r w:rsidRPr="00222866">
              <w:rPr>
                <w:sz w:val="22"/>
                <w:szCs w:val="22"/>
              </w:rPr>
              <w:t>final</w:t>
            </w:r>
            <w:proofErr w:type="spellEnd"/>
          </w:p>
        </w:tc>
      </w:tr>
      <w:tr w:rsidR="00882D0D" w:rsidRPr="00222866" w14:paraId="301DB155" w14:textId="77777777" w:rsidTr="002E7EFB">
        <w:tc>
          <w:tcPr>
            <w:tcW w:w="1148" w:type="pct"/>
            <w:vMerge/>
          </w:tcPr>
          <w:p w14:paraId="0182D7D0" w14:textId="77777777" w:rsidR="00882D0D" w:rsidRPr="00222866" w:rsidRDefault="00882D0D" w:rsidP="00882D0D">
            <w:pPr>
              <w:tabs>
                <w:tab w:val="center" w:pos="284"/>
              </w:tabs>
              <w:overflowPunct w:val="0"/>
              <w:autoSpaceDE w:val="0"/>
              <w:autoSpaceDN w:val="0"/>
              <w:adjustRightInd w:val="0"/>
              <w:ind w:left="266" w:hanging="266"/>
              <w:textAlignment w:val="baseline"/>
              <w:rPr>
                <w:b/>
                <w:sz w:val="22"/>
                <w:szCs w:val="22"/>
              </w:rPr>
            </w:pPr>
          </w:p>
        </w:tc>
        <w:tc>
          <w:tcPr>
            <w:tcW w:w="3852" w:type="pct"/>
          </w:tcPr>
          <w:p w14:paraId="139E0475" w14:textId="23675999" w:rsidR="00882D0D" w:rsidRPr="00222866" w:rsidRDefault="00882D0D" w:rsidP="00882D0D">
            <w:pPr>
              <w:tabs>
                <w:tab w:val="center" w:pos="284"/>
              </w:tabs>
              <w:overflowPunct w:val="0"/>
              <w:autoSpaceDE w:val="0"/>
              <w:autoSpaceDN w:val="0"/>
              <w:adjustRightInd w:val="0"/>
              <w:ind w:left="266" w:hanging="266"/>
              <w:textAlignment w:val="baseline"/>
              <w:rPr>
                <w:sz w:val="22"/>
                <w:szCs w:val="22"/>
              </w:rPr>
            </w:pPr>
            <w:r w:rsidRPr="00222866">
              <w:rPr>
                <w:sz w:val="22"/>
                <w:szCs w:val="22"/>
              </w:rP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ЕИСК препоръчва:</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насърчи приемането на консолидиран европейски акт за продуктите;</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гарантира съгласуваност между Регламента относно надзора на пазара, Регламента относно общата безопасност на продуктите, специфичното секторно законодателство и митническия кодекс на Съюза;</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засили структурираното сътрудничество между митническите органи и органите за надзор на пазара;</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при по-нататъшно преразглеждане на Регламента относно надзора на пазара да се разгледат специфичните характеристики на изкуствения интелект и други цифрови технологии;</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гарантират адекватни, предвидими и основани на резултатите човешки и финансови ресурси за органите за надзор на пазара и митническите органи заедно с измерими показатели за изпълнението;</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на националните органи да бъдат предоставени ефективни, пропорционални и възпиращи инструменти за правоприлагане;</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да се създаде укрепен европейски капацитет за правоприлагане, способен да обхване системните трансгранични рискове и мащабните потоци от цифровата търговия;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lastRenderedPageBreak/>
        <w:t>да се приеме ясна и основана на риска рамка за правоприлагане;</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приведе в съответствие рамката за правоприлагане на Регламента относно надзора на пазара с логиката на Акта за цифровите услуги чрез въвеждане на пропорционални допълнителни отговорности за участниците, чийто мащаб поражда системни рискове за съответствието;</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разработи рамка за структурирано партньорство в областта на съответствието, която да дава възможност на органите да работят активно с икономическите участници;</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подобрят пропорционалността и достъпността на Регламента относно надзора на пазара за МСП и микропредприятията;</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създаде европейска обсерватория за несъответстващи на изискванията продукти;</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поясни веригата на отговорност и тя да бъде приведена в състояние, пригодно за функциониране, като се въведат минимални критерии за качество за упълномощените представители;</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да се подобри оперативната съвместимост между Информационната и комуникационна система за надзор на пазара (ICSMS), Safety </w:t>
      </w:r>
      <w:proofErr w:type="spellStart"/>
      <w:r>
        <w:t>Gate</w:t>
      </w:r>
      <w:proofErr w:type="spellEnd"/>
      <w:r>
        <w:t>, митническите бази данни и други относими системи;</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осигури редовно и достъпно публикуване и разпространение на резултатите от правоприлагането;</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укрепи структурираното участие на гражданското общество и социалните партньори (официални механизми за консултиране, постоянни платформи за диалог, ангажиране на ранен етап в законодателните промени и подобрен достъп до информация и цифрови интерфейси за взаимодействие с органите);</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предостави подпомагане за изграждане на капацитет и целево обучение както за органите, така и за участниците от гражданското общество;</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да се въведат опростени и ефективни инструменти за сигнализиране за измамни реклами.</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222866" w14:paraId="027E516E" w14:textId="77777777" w:rsidTr="002E7EFB">
        <w:tc>
          <w:tcPr>
            <w:tcW w:w="1556" w:type="pct"/>
          </w:tcPr>
          <w:p w14:paraId="05333F4F" w14:textId="77777777" w:rsidR="00882D0D" w:rsidRPr="00222866" w:rsidRDefault="00882D0D" w:rsidP="00882D0D">
            <w:pPr>
              <w:overflowPunct w:val="0"/>
              <w:autoSpaceDE w:val="0"/>
              <w:autoSpaceDN w:val="0"/>
              <w:adjustRightInd w:val="0"/>
              <w:spacing w:line="240" w:lineRule="auto"/>
              <w:textAlignment w:val="baseline"/>
              <w:rPr>
                <w:i/>
                <w:sz w:val="22"/>
                <w:szCs w:val="22"/>
              </w:rPr>
            </w:pPr>
            <w:r w:rsidRPr="00222866">
              <w:rPr>
                <w:b/>
                <w:i/>
                <w:sz w:val="22"/>
                <w:szCs w:val="22"/>
              </w:rPr>
              <w:t>За контакти</w:t>
            </w:r>
          </w:p>
        </w:tc>
        <w:tc>
          <w:tcPr>
            <w:tcW w:w="3444" w:type="pct"/>
          </w:tcPr>
          <w:p w14:paraId="1A10684F" w14:textId="77777777" w:rsidR="00882D0D" w:rsidRPr="00222866" w:rsidRDefault="00882D0D" w:rsidP="00882D0D">
            <w:pPr>
              <w:overflowPunct w:val="0"/>
              <w:autoSpaceDE w:val="0"/>
              <w:autoSpaceDN w:val="0"/>
              <w:adjustRightInd w:val="0"/>
              <w:spacing w:line="240" w:lineRule="auto"/>
              <w:textAlignment w:val="baseline"/>
              <w:rPr>
                <w:i/>
                <w:sz w:val="22"/>
                <w:szCs w:val="22"/>
              </w:rPr>
            </w:pPr>
            <w:proofErr w:type="spellStart"/>
            <w:r w:rsidRPr="00222866">
              <w:rPr>
                <w:i/>
                <w:sz w:val="22"/>
                <w:szCs w:val="22"/>
              </w:rPr>
              <w:t>Annalisa</w:t>
            </w:r>
            <w:proofErr w:type="spellEnd"/>
            <w:r w:rsidRPr="00222866">
              <w:rPr>
                <w:i/>
                <w:sz w:val="22"/>
                <w:szCs w:val="22"/>
              </w:rPr>
              <w:t xml:space="preserve"> </w:t>
            </w:r>
            <w:proofErr w:type="spellStart"/>
            <w:r w:rsidRPr="00222866">
              <w:rPr>
                <w:i/>
                <w:sz w:val="22"/>
                <w:szCs w:val="22"/>
              </w:rPr>
              <w:t>Tessarolo</w:t>
            </w:r>
            <w:proofErr w:type="spellEnd"/>
          </w:p>
        </w:tc>
      </w:tr>
      <w:tr w:rsidR="00882D0D" w:rsidRPr="00222866" w14:paraId="48F3F374" w14:textId="77777777" w:rsidTr="002E7EFB">
        <w:tc>
          <w:tcPr>
            <w:tcW w:w="1556" w:type="pct"/>
          </w:tcPr>
          <w:p w14:paraId="43069B50" w14:textId="77777777" w:rsidR="00882D0D" w:rsidRPr="00222866" w:rsidRDefault="00882D0D" w:rsidP="00882D0D">
            <w:pPr>
              <w:overflowPunct w:val="0"/>
              <w:autoSpaceDE w:val="0"/>
              <w:autoSpaceDN w:val="0"/>
              <w:adjustRightInd w:val="0"/>
              <w:spacing w:line="240" w:lineRule="auto"/>
              <w:textAlignment w:val="baseline"/>
              <w:rPr>
                <w:i/>
                <w:sz w:val="22"/>
                <w:szCs w:val="22"/>
              </w:rPr>
            </w:pPr>
            <w:r w:rsidRPr="00222866">
              <w:rPr>
                <w:i/>
                <w:sz w:val="22"/>
                <w:szCs w:val="22"/>
              </w:rPr>
              <w:t>Тел.</w:t>
            </w:r>
          </w:p>
        </w:tc>
        <w:tc>
          <w:tcPr>
            <w:tcW w:w="3444" w:type="pct"/>
          </w:tcPr>
          <w:p w14:paraId="6F81284D" w14:textId="77777777" w:rsidR="00882D0D" w:rsidRPr="00222866" w:rsidRDefault="00882D0D" w:rsidP="00882D0D">
            <w:pPr>
              <w:overflowPunct w:val="0"/>
              <w:autoSpaceDE w:val="0"/>
              <w:autoSpaceDN w:val="0"/>
              <w:adjustRightInd w:val="0"/>
              <w:spacing w:line="240" w:lineRule="auto"/>
              <w:textAlignment w:val="baseline"/>
              <w:rPr>
                <w:i/>
                <w:sz w:val="22"/>
                <w:szCs w:val="22"/>
              </w:rPr>
            </w:pPr>
            <w:r w:rsidRPr="00222866">
              <w:rPr>
                <w:i/>
                <w:sz w:val="22"/>
                <w:szCs w:val="22"/>
              </w:rPr>
              <w:t>+32 25469732</w:t>
            </w:r>
          </w:p>
        </w:tc>
      </w:tr>
      <w:tr w:rsidR="00882D0D" w:rsidRPr="00222866" w14:paraId="2E49B53D" w14:textId="77777777" w:rsidTr="002E7EFB">
        <w:tc>
          <w:tcPr>
            <w:tcW w:w="1556" w:type="pct"/>
          </w:tcPr>
          <w:p w14:paraId="51CF8F1E" w14:textId="7C3F724C" w:rsidR="00882D0D" w:rsidRPr="00222866" w:rsidRDefault="00B37567" w:rsidP="00882D0D">
            <w:pPr>
              <w:overflowPunct w:val="0"/>
              <w:autoSpaceDE w:val="0"/>
              <w:autoSpaceDN w:val="0"/>
              <w:adjustRightInd w:val="0"/>
              <w:spacing w:line="240" w:lineRule="auto"/>
              <w:textAlignment w:val="baseline"/>
              <w:rPr>
                <w:i/>
                <w:sz w:val="22"/>
                <w:szCs w:val="22"/>
              </w:rPr>
            </w:pPr>
            <w:r w:rsidRPr="00222866">
              <w:rPr>
                <w:i/>
                <w:sz w:val="22"/>
                <w:szCs w:val="22"/>
              </w:rPr>
              <w:t>Електронен адрес</w:t>
            </w:r>
          </w:p>
        </w:tc>
        <w:tc>
          <w:tcPr>
            <w:tcW w:w="3444" w:type="pct"/>
          </w:tcPr>
          <w:p w14:paraId="22B253E8" w14:textId="70495864" w:rsidR="00882D0D" w:rsidRPr="00222866" w:rsidRDefault="00C10CD5" w:rsidP="00882D0D">
            <w:pPr>
              <w:overflowPunct w:val="0"/>
              <w:autoSpaceDE w:val="0"/>
              <w:autoSpaceDN w:val="0"/>
              <w:adjustRightInd w:val="0"/>
              <w:spacing w:line="240" w:lineRule="auto"/>
              <w:textAlignment w:val="baseline"/>
              <w:rPr>
                <w:i/>
                <w:iCs/>
                <w:sz w:val="22"/>
                <w:szCs w:val="22"/>
              </w:rPr>
            </w:pPr>
            <w:hyperlink r:id="rId40" w:history="1">
              <w:r w:rsidRPr="00222866">
                <w:rPr>
                  <w:i/>
                  <w:color w:val="0000FF"/>
                  <w:sz w:val="22"/>
                  <w:szCs w:val="22"/>
                  <w:u w:val="single"/>
                </w:rPr>
                <w:t>Annalisa.Tessarolo@eesc.europa.eu</w:t>
              </w:r>
            </w:hyperlink>
          </w:p>
        </w:tc>
      </w:tr>
    </w:tbl>
    <w:p w14:paraId="5CBAA359" w14:textId="1C551085" w:rsidR="00A067F3" w:rsidRDefault="00A067F3">
      <w:pPr>
        <w:spacing w:after="160" w:line="259" w:lineRule="auto"/>
        <w:jc w:val="left"/>
        <w:rPr>
          <w:szCs w:val="20"/>
          <w:lang w:val="nl-BE"/>
        </w:rPr>
      </w:pPr>
    </w:p>
    <w:p w14:paraId="58C55E8F" w14:textId="12A0DE66" w:rsidR="00426604" w:rsidRPr="00426604" w:rsidRDefault="00C10CD5"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„Програма за потребителите до 2030 г.“</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222866" w14:paraId="7FCA49AB" w14:textId="77777777" w:rsidTr="002E7EFB">
        <w:tc>
          <w:tcPr>
            <w:tcW w:w="1701" w:type="dxa"/>
          </w:tcPr>
          <w:p w14:paraId="19070A3D" w14:textId="77777777" w:rsidR="00426604" w:rsidRPr="00222866" w:rsidRDefault="00426604" w:rsidP="00426604">
            <w:pPr>
              <w:tabs>
                <w:tab w:val="center" w:pos="284"/>
              </w:tabs>
              <w:overflowPunct w:val="0"/>
              <w:autoSpaceDE w:val="0"/>
              <w:autoSpaceDN w:val="0"/>
              <w:adjustRightInd w:val="0"/>
              <w:ind w:left="266" w:hanging="266"/>
              <w:textAlignment w:val="baseline"/>
              <w:rPr>
                <w:b/>
                <w:sz w:val="22"/>
                <w:szCs w:val="22"/>
              </w:rPr>
            </w:pPr>
            <w:r w:rsidRPr="00222866">
              <w:rPr>
                <w:b/>
                <w:sz w:val="22"/>
                <w:szCs w:val="22"/>
              </w:rPr>
              <w:t>Докладчик</w:t>
            </w:r>
          </w:p>
        </w:tc>
        <w:tc>
          <w:tcPr>
            <w:tcW w:w="5812" w:type="dxa"/>
          </w:tcPr>
          <w:p w14:paraId="3E207F8E" w14:textId="63147845" w:rsidR="00426604" w:rsidRPr="00222866" w:rsidRDefault="00426604" w:rsidP="00426604">
            <w:pPr>
              <w:tabs>
                <w:tab w:val="center" w:pos="284"/>
              </w:tabs>
              <w:overflowPunct w:val="0"/>
              <w:autoSpaceDE w:val="0"/>
              <w:autoSpaceDN w:val="0"/>
              <w:adjustRightInd w:val="0"/>
              <w:ind w:left="266" w:hanging="266"/>
              <w:textAlignment w:val="baseline"/>
              <w:rPr>
                <w:sz w:val="22"/>
                <w:szCs w:val="22"/>
              </w:rPr>
            </w:pPr>
            <w:proofErr w:type="spellStart"/>
            <w:r w:rsidRPr="00222866">
              <w:rPr>
                <w:sz w:val="22"/>
                <w:szCs w:val="22"/>
              </w:rPr>
              <w:t>Thierry</w:t>
            </w:r>
            <w:proofErr w:type="spellEnd"/>
            <w:r w:rsidRPr="00222866">
              <w:rPr>
                <w:sz w:val="22"/>
                <w:szCs w:val="22"/>
              </w:rPr>
              <w:t xml:space="preserve"> LIBAERT (група „Организации на гражданското общество“ — FR)</w:t>
            </w:r>
          </w:p>
        </w:tc>
      </w:tr>
      <w:tr w:rsidR="00426604" w:rsidRPr="00222866" w14:paraId="55BCB3CD" w14:textId="77777777" w:rsidTr="002E7EFB">
        <w:tc>
          <w:tcPr>
            <w:tcW w:w="7513" w:type="dxa"/>
            <w:gridSpan w:val="2"/>
          </w:tcPr>
          <w:p w14:paraId="0E791238" w14:textId="77777777" w:rsidR="00426604" w:rsidRPr="00222866" w:rsidRDefault="00426604" w:rsidP="00426604">
            <w:pPr>
              <w:tabs>
                <w:tab w:val="center" w:pos="284"/>
              </w:tabs>
              <w:overflowPunct w:val="0"/>
              <w:autoSpaceDE w:val="0"/>
              <w:autoSpaceDN w:val="0"/>
              <w:adjustRightInd w:val="0"/>
              <w:spacing w:line="160" w:lineRule="exact"/>
              <w:ind w:left="266" w:hanging="266"/>
              <w:textAlignment w:val="baseline"/>
              <w:rPr>
                <w:sz w:val="22"/>
                <w:szCs w:val="22"/>
              </w:rPr>
            </w:pPr>
          </w:p>
        </w:tc>
      </w:tr>
      <w:tr w:rsidR="00426604" w:rsidRPr="00222866" w14:paraId="0E79D1B5" w14:textId="77777777" w:rsidTr="002E7EFB">
        <w:tc>
          <w:tcPr>
            <w:tcW w:w="1701" w:type="dxa"/>
            <w:vMerge w:val="restart"/>
          </w:tcPr>
          <w:p w14:paraId="434AA7EC" w14:textId="77777777" w:rsidR="00426604" w:rsidRPr="00222866" w:rsidRDefault="00426604" w:rsidP="00426604">
            <w:pPr>
              <w:tabs>
                <w:tab w:val="center" w:pos="284"/>
              </w:tabs>
              <w:overflowPunct w:val="0"/>
              <w:autoSpaceDE w:val="0"/>
              <w:autoSpaceDN w:val="0"/>
              <w:adjustRightInd w:val="0"/>
              <w:ind w:left="266" w:hanging="266"/>
              <w:textAlignment w:val="baseline"/>
              <w:rPr>
                <w:b/>
                <w:sz w:val="22"/>
                <w:szCs w:val="22"/>
              </w:rPr>
            </w:pPr>
            <w:r w:rsidRPr="00222866">
              <w:rPr>
                <w:b/>
                <w:sz w:val="22"/>
                <w:szCs w:val="22"/>
              </w:rPr>
              <w:t>Отправни документи</w:t>
            </w:r>
          </w:p>
        </w:tc>
        <w:tc>
          <w:tcPr>
            <w:tcW w:w="5812" w:type="dxa"/>
          </w:tcPr>
          <w:p w14:paraId="2218EA85" w14:textId="77777777" w:rsidR="00426604" w:rsidRPr="00222866" w:rsidRDefault="00426604" w:rsidP="00426604">
            <w:pPr>
              <w:tabs>
                <w:tab w:val="center" w:pos="284"/>
              </w:tabs>
              <w:overflowPunct w:val="0"/>
              <w:autoSpaceDE w:val="0"/>
              <w:autoSpaceDN w:val="0"/>
              <w:adjustRightInd w:val="0"/>
              <w:ind w:left="266" w:hanging="266"/>
              <w:textAlignment w:val="baseline"/>
              <w:rPr>
                <w:sz w:val="22"/>
                <w:szCs w:val="22"/>
              </w:rPr>
            </w:pPr>
            <w:r w:rsidRPr="00222866">
              <w:rPr>
                <w:sz w:val="22"/>
                <w:szCs w:val="22"/>
              </w:rPr>
              <w:t xml:space="preserve">COM(2025) 848 </w:t>
            </w:r>
            <w:proofErr w:type="spellStart"/>
            <w:r w:rsidRPr="00222866">
              <w:rPr>
                <w:sz w:val="22"/>
                <w:szCs w:val="22"/>
              </w:rPr>
              <w:t>final</w:t>
            </w:r>
            <w:proofErr w:type="spellEnd"/>
          </w:p>
          <w:p w14:paraId="30E9A55E" w14:textId="77777777" w:rsidR="00426604" w:rsidRPr="00222866" w:rsidRDefault="00426604" w:rsidP="00426604">
            <w:pPr>
              <w:tabs>
                <w:tab w:val="center" w:pos="284"/>
              </w:tabs>
              <w:overflowPunct w:val="0"/>
              <w:autoSpaceDE w:val="0"/>
              <w:autoSpaceDN w:val="0"/>
              <w:adjustRightInd w:val="0"/>
              <w:ind w:left="266" w:hanging="266"/>
              <w:textAlignment w:val="baseline"/>
              <w:rPr>
                <w:sz w:val="22"/>
                <w:szCs w:val="22"/>
              </w:rPr>
            </w:pPr>
            <w:r w:rsidRPr="00222866">
              <w:rPr>
                <w:sz w:val="22"/>
                <w:szCs w:val="22"/>
              </w:rPr>
              <w:t>EESC-2025-03969-00-00-AC</w:t>
            </w:r>
          </w:p>
        </w:tc>
      </w:tr>
      <w:tr w:rsidR="00426604" w:rsidRPr="00222866" w14:paraId="020B5F42" w14:textId="77777777" w:rsidTr="002E7EFB">
        <w:tc>
          <w:tcPr>
            <w:tcW w:w="1701" w:type="dxa"/>
            <w:vMerge/>
          </w:tcPr>
          <w:p w14:paraId="726EB5F6" w14:textId="77777777" w:rsidR="00426604" w:rsidRPr="00222866" w:rsidRDefault="00426604" w:rsidP="00426604">
            <w:pPr>
              <w:tabs>
                <w:tab w:val="center" w:pos="284"/>
              </w:tabs>
              <w:overflowPunct w:val="0"/>
              <w:autoSpaceDE w:val="0"/>
              <w:autoSpaceDN w:val="0"/>
              <w:adjustRightInd w:val="0"/>
              <w:ind w:left="266" w:hanging="266"/>
              <w:textAlignment w:val="baseline"/>
              <w:rPr>
                <w:b/>
                <w:sz w:val="22"/>
                <w:szCs w:val="22"/>
                <w:lang w:val="pt-PT"/>
              </w:rPr>
            </w:pPr>
          </w:p>
        </w:tc>
        <w:tc>
          <w:tcPr>
            <w:tcW w:w="5812" w:type="dxa"/>
          </w:tcPr>
          <w:p w14:paraId="1C479AD3" w14:textId="77777777" w:rsidR="00426604" w:rsidRPr="00222866" w:rsidRDefault="00426604" w:rsidP="00426604">
            <w:pPr>
              <w:tabs>
                <w:tab w:val="center" w:pos="284"/>
              </w:tabs>
              <w:overflowPunct w:val="0"/>
              <w:autoSpaceDE w:val="0"/>
              <w:autoSpaceDN w:val="0"/>
              <w:adjustRightInd w:val="0"/>
              <w:ind w:left="266" w:hanging="266"/>
              <w:textAlignment w:val="baseline"/>
              <w:rPr>
                <w:sz w:val="22"/>
                <w:szCs w:val="22"/>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ЕИСК:</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приветства Програмата за потребителите за периода 2025—2030 г. като отлична рамка за защита на потребителите през следващите години както по форма, така и по съдържание;</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lastRenderedPageBreak/>
        <w:t>би желал Комисията да може да предложи по-всеобхватна визия, що се отнася до потребителите, която да не се ограничава до въпроса за правата;</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би приветствал структурирана, подробна и основана на данни оценка на предишната програма, за да се даде възможност за по-всеобхватна оценка;</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подкрепя мерките за опростяване, но подчертава, че нито една от тях не бива да води до намаляване на защитата на потребителите;</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счита, че защитата на потребителите трябва да отчита разнообразието от ситуации, особено по отношение на „търговските пустини“ и уязвимостта на някои видове потребители;</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би желал по-бързи и по-задълбочени проверки на безопасността на внасяните продукти, по-специално чрез платформите за електронна търговия, установени извън Европейския съюз;</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препоръчва да се обърне по-голямо внимание на практиките в областта на микроправосъдието с цел уреждане на споровете, свързани с малки суми;</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подкрепя мерките за цифровизация, но отправя искане за всяка жалба потребителят винаги да има като последен вариант възможността да се свърже с човек, който да отговори на неговите въпроси;</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 xml:space="preserve">призовава Комисията да обърне по-голямо внимание на </w:t>
      </w:r>
      <w:proofErr w:type="spellStart"/>
      <w:r>
        <w:t>кръговостта</w:t>
      </w:r>
      <w:proofErr w:type="spellEnd"/>
      <w:r>
        <w:t xml:space="preserve"> и устойчивостта на продуктите;</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препоръчва да се установи силна политика за защита на потребителите срещу търговските послания от инфлуенсъри, по-специално, когато са адресирани до деца;</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насърчава държавите членки да подкрепят сдруженията на потребителите.</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DB76E4" w14:paraId="1EC4B28B" w14:textId="77777777" w:rsidTr="002E7EFB">
        <w:tc>
          <w:tcPr>
            <w:tcW w:w="1418" w:type="dxa"/>
          </w:tcPr>
          <w:p w14:paraId="65444A1C" w14:textId="77777777" w:rsidR="00426604" w:rsidRPr="00DB76E4" w:rsidRDefault="00426604" w:rsidP="00426604">
            <w:pPr>
              <w:overflowPunct w:val="0"/>
              <w:autoSpaceDE w:val="0"/>
              <w:autoSpaceDN w:val="0"/>
              <w:adjustRightInd w:val="0"/>
              <w:spacing w:line="240" w:lineRule="auto"/>
              <w:textAlignment w:val="baseline"/>
              <w:rPr>
                <w:i/>
                <w:sz w:val="22"/>
                <w:szCs w:val="22"/>
              </w:rPr>
            </w:pPr>
            <w:r w:rsidRPr="00DB76E4">
              <w:rPr>
                <w:b/>
                <w:i/>
                <w:sz w:val="22"/>
                <w:szCs w:val="22"/>
              </w:rPr>
              <w:t>За контакти</w:t>
            </w:r>
          </w:p>
        </w:tc>
        <w:tc>
          <w:tcPr>
            <w:tcW w:w="5670" w:type="dxa"/>
          </w:tcPr>
          <w:p w14:paraId="07DC0551" w14:textId="77777777" w:rsidR="00426604" w:rsidRPr="00DB76E4" w:rsidRDefault="00426604" w:rsidP="00426604">
            <w:pPr>
              <w:overflowPunct w:val="0"/>
              <w:autoSpaceDE w:val="0"/>
              <w:autoSpaceDN w:val="0"/>
              <w:adjustRightInd w:val="0"/>
              <w:spacing w:line="240" w:lineRule="auto"/>
              <w:textAlignment w:val="baseline"/>
              <w:rPr>
                <w:i/>
                <w:sz w:val="22"/>
                <w:szCs w:val="22"/>
              </w:rPr>
            </w:pPr>
            <w:proofErr w:type="spellStart"/>
            <w:r w:rsidRPr="00DB76E4">
              <w:rPr>
                <w:i/>
                <w:sz w:val="22"/>
                <w:szCs w:val="22"/>
              </w:rPr>
              <w:t>Radoslava</w:t>
            </w:r>
            <w:proofErr w:type="spellEnd"/>
            <w:r w:rsidRPr="00DB76E4">
              <w:rPr>
                <w:i/>
                <w:sz w:val="22"/>
                <w:szCs w:val="22"/>
              </w:rPr>
              <w:t xml:space="preserve"> </w:t>
            </w:r>
            <w:proofErr w:type="spellStart"/>
            <w:r w:rsidRPr="00DB76E4">
              <w:rPr>
                <w:i/>
                <w:sz w:val="22"/>
                <w:szCs w:val="22"/>
              </w:rPr>
              <w:t>Stefankova</w:t>
            </w:r>
            <w:proofErr w:type="spellEnd"/>
          </w:p>
        </w:tc>
      </w:tr>
      <w:tr w:rsidR="00426604" w:rsidRPr="00DB76E4" w14:paraId="1EEA77FB" w14:textId="77777777" w:rsidTr="002E7EFB">
        <w:tc>
          <w:tcPr>
            <w:tcW w:w="1418" w:type="dxa"/>
          </w:tcPr>
          <w:p w14:paraId="7B024839" w14:textId="77777777" w:rsidR="00426604" w:rsidRPr="00DB76E4" w:rsidRDefault="00426604" w:rsidP="00426604">
            <w:pPr>
              <w:overflowPunct w:val="0"/>
              <w:autoSpaceDE w:val="0"/>
              <w:autoSpaceDN w:val="0"/>
              <w:adjustRightInd w:val="0"/>
              <w:spacing w:line="240" w:lineRule="auto"/>
              <w:textAlignment w:val="baseline"/>
              <w:rPr>
                <w:i/>
                <w:sz w:val="22"/>
                <w:szCs w:val="22"/>
              </w:rPr>
            </w:pPr>
            <w:r w:rsidRPr="00DB76E4">
              <w:rPr>
                <w:i/>
                <w:sz w:val="22"/>
                <w:szCs w:val="22"/>
              </w:rPr>
              <w:t>Тел.</w:t>
            </w:r>
          </w:p>
        </w:tc>
        <w:tc>
          <w:tcPr>
            <w:tcW w:w="5670" w:type="dxa"/>
          </w:tcPr>
          <w:p w14:paraId="2199A8B9" w14:textId="77777777" w:rsidR="00426604" w:rsidRPr="00DB76E4" w:rsidRDefault="00426604" w:rsidP="00426604">
            <w:pPr>
              <w:overflowPunct w:val="0"/>
              <w:autoSpaceDE w:val="0"/>
              <w:autoSpaceDN w:val="0"/>
              <w:adjustRightInd w:val="0"/>
              <w:spacing w:line="240" w:lineRule="auto"/>
              <w:textAlignment w:val="baseline"/>
              <w:rPr>
                <w:i/>
                <w:sz w:val="22"/>
                <w:szCs w:val="22"/>
              </w:rPr>
            </w:pPr>
            <w:r w:rsidRPr="00DB76E4">
              <w:rPr>
                <w:i/>
                <w:sz w:val="22"/>
                <w:szCs w:val="22"/>
              </w:rPr>
              <w:t>+32 25468188</w:t>
            </w:r>
          </w:p>
        </w:tc>
      </w:tr>
      <w:tr w:rsidR="00426604" w:rsidRPr="00DB76E4" w14:paraId="2BB4FECE" w14:textId="77777777" w:rsidTr="002E7EFB">
        <w:tc>
          <w:tcPr>
            <w:tcW w:w="1418" w:type="dxa"/>
          </w:tcPr>
          <w:p w14:paraId="2409A98F" w14:textId="77777777" w:rsidR="00426604" w:rsidRPr="00DB76E4" w:rsidRDefault="00426604" w:rsidP="00426604">
            <w:pPr>
              <w:overflowPunct w:val="0"/>
              <w:autoSpaceDE w:val="0"/>
              <w:autoSpaceDN w:val="0"/>
              <w:adjustRightInd w:val="0"/>
              <w:spacing w:line="240" w:lineRule="auto"/>
              <w:textAlignment w:val="baseline"/>
              <w:rPr>
                <w:i/>
                <w:sz w:val="22"/>
                <w:szCs w:val="22"/>
              </w:rPr>
            </w:pPr>
            <w:r w:rsidRPr="00DB76E4">
              <w:rPr>
                <w:i/>
                <w:sz w:val="22"/>
                <w:szCs w:val="22"/>
              </w:rPr>
              <w:t>Електронен адрес</w:t>
            </w:r>
          </w:p>
        </w:tc>
        <w:tc>
          <w:tcPr>
            <w:tcW w:w="5670" w:type="dxa"/>
          </w:tcPr>
          <w:p w14:paraId="21BA9078" w14:textId="22F920CB" w:rsidR="00426604" w:rsidRPr="00DB76E4" w:rsidRDefault="00C10CD5" w:rsidP="00426604">
            <w:pPr>
              <w:overflowPunct w:val="0"/>
              <w:autoSpaceDE w:val="0"/>
              <w:autoSpaceDN w:val="0"/>
              <w:adjustRightInd w:val="0"/>
              <w:spacing w:line="240" w:lineRule="auto"/>
              <w:textAlignment w:val="baseline"/>
              <w:rPr>
                <w:i/>
                <w:sz w:val="22"/>
                <w:szCs w:val="22"/>
              </w:rPr>
            </w:pPr>
            <w:hyperlink r:id="rId42" w:history="1">
              <w:r w:rsidRPr="00DB76E4">
                <w:rPr>
                  <w:i/>
                  <w:color w:val="0000FF"/>
                  <w:sz w:val="22"/>
                  <w:szCs w:val="22"/>
                  <w:u w:val="single"/>
                </w:rPr>
                <w:t>Radoslava.Stefankova@eesc.europa.eu</w:t>
              </w:r>
            </w:hyperlink>
          </w:p>
          <w:p w14:paraId="0D4503F1" w14:textId="77777777" w:rsidR="00426604" w:rsidRPr="00DB76E4" w:rsidRDefault="00426604" w:rsidP="00426604">
            <w:pPr>
              <w:overflowPunct w:val="0"/>
              <w:autoSpaceDE w:val="0"/>
              <w:autoSpaceDN w:val="0"/>
              <w:adjustRightInd w:val="0"/>
              <w:spacing w:line="240" w:lineRule="auto"/>
              <w:textAlignment w:val="baseline"/>
              <w:rPr>
                <w:i/>
                <w:sz w:val="22"/>
                <w:szCs w:val="22"/>
              </w:rPr>
            </w:pPr>
          </w:p>
        </w:tc>
      </w:tr>
    </w:tbl>
    <w:p w14:paraId="45F867FE" w14:textId="6F56A0E6" w:rsidR="00426604" w:rsidRDefault="00426604" w:rsidP="001766B2">
      <w:pPr>
        <w:pStyle w:val="ListParagraph"/>
        <w:ind w:left="0"/>
      </w:pPr>
    </w:p>
    <w:p w14:paraId="1F8A3A37" w14:textId="27146B85" w:rsidR="00A83352" w:rsidRPr="00A83352" w:rsidRDefault="00C10CD5"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„Акт за киберсигурността“</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DB76E4" w14:paraId="73A340D2" w14:textId="77777777" w:rsidTr="00B56575">
        <w:tc>
          <w:tcPr>
            <w:tcW w:w="1701" w:type="dxa"/>
          </w:tcPr>
          <w:p w14:paraId="189AB4BF" w14:textId="77777777" w:rsidR="007A3096" w:rsidRPr="00DB76E4" w:rsidRDefault="007A3096" w:rsidP="00B56575">
            <w:pPr>
              <w:tabs>
                <w:tab w:val="center" w:pos="284"/>
              </w:tabs>
              <w:overflowPunct w:val="0"/>
              <w:autoSpaceDE w:val="0"/>
              <w:autoSpaceDN w:val="0"/>
              <w:adjustRightInd w:val="0"/>
              <w:ind w:left="266" w:hanging="266"/>
              <w:textAlignment w:val="baseline"/>
              <w:rPr>
                <w:b/>
                <w:sz w:val="22"/>
                <w:szCs w:val="22"/>
              </w:rPr>
            </w:pPr>
            <w:r w:rsidRPr="00DB76E4">
              <w:rPr>
                <w:b/>
                <w:sz w:val="22"/>
                <w:szCs w:val="22"/>
              </w:rPr>
              <w:t>Докладчик</w:t>
            </w:r>
          </w:p>
        </w:tc>
        <w:tc>
          <w:tcPr>
            <w:tcW w:w="6946" w:type="dxa"/>
          </w:tcPr>
          <w:p w14:paraId="0214D104" w14:textId="5371BD6F" w:rsidR="007A3096" w:rsidRPr="00DB76E4" w:rsidRDefault="007A3096" w:rsidP="00B56575">
            <w:pPr>
              <w:tabs>
                <w:tab w:val="center" w:pos="284"/>
              </w:tabs>
              <w:overflowPunct w:val="0"/>
              <w:autoSpaceDE w:val="0"/>
              <w:autoSpaceDN w:val="0"/>
              <w:adjustRightInd w:val="0"/>
              <w:ind w:left="266" w:hanging="266"/>
              <w:textAlignment w:val="baseline"/>
              <w:rPr>
                <w:sz w:val="22"/>
                <w:szCs w:val="22"/>
              </w:rPr>
            </w:pPr>
            <w:proofErr w:type="spellStart"/>
            <w:r w:rsidRPr="00DB76E4">
              <w:rPr>
                <w:sz w:val="22"/>
                <w:szCs w:val="22"/>
              </w:rPr>
              <w:t>Miroslav</w:t>
            </w:r>
            <w:proofErr w:type="spellEnd"/>
            <w:r w:rsidRPr="00DB76E4">
              <w:rPr>
                <w:sz w:val="22"/>
                <w:szCs w:val="22"/>
              </w:rPr>
              <w:t xml:space="preserve"> HAJNOŠ (група „Работници“ — SK)</w:t>
            </w:r>
          </w:p>
        </w:tc>
      </w:tr>
      <w:tr w:rsidR="007A3096" w:rsidRPr="00DB76E4" w14:paraId="22A1E3C3" w14:textId="77777777" w:rsidTr="00B56575">
        <w:tc>
          <w:tcPr>
            <w:tcW w:w="8645" w:type="dxa"/>
            <w:gridSpan w:val="2"/>
          </w:tcPr>
          <w:p w14:paraId="58FAA53C" w14:textId="77777777" w:rsidR="007A3096" w:rsidRPr="00DB76E4" w:rsidRDefault="007A3096" w:rsidP="00B56575">
            <w:pPr>
              <w:tabs>
                <w:tab w:val="center" w:pos="284"/>
              </w:tabs>
              <w:overflowPunct w:val="0"/>
              <w:autoSpaceDE w:val="0"/>
              <w:autoSpaceDN w:val="0"/>
              <w:adjustRightInd w:val="0"/>
              <w:spacing w:line="160" w:lineRule="exact"/>
              <w:ind w:left="266" w:hanging="266"/>
              <w:textAlignment w:val="baseline"/>
              <w:rPr>
                <w:sz w:val="22"/>
                <w:szCs w:val="22"/>
              </w:rPr>
            </w:pPr>
          </w:p>
        </w:tc>
      </w:tr>
      <w:tr w:rsidR="007A3096" w:rsidRPr="00DB76E4" w14:paraId="5EDF0409" w14:textId="77777777" w:rsidTr="00B56575">
        <w:tc>
          <w:tcPr>
            <w:tcW w:w="1701" w:type="dxa"/>
            <w:vMerge w:val="restart"/>
          </w:tcPr>
          <w:p w14:paraId="37AB7812" w14:textId="77777777" w:rsidR="007A3096" w:rsidRPr="00DB76E4" w:rsidRDefault="007A3096" w:rsidP="00B56575">
            <w:pPr>
              <w:tabs>
                <w:tab w:val="center" w:pos="284"/>
              </w:tabs>
              <w:overflowPunct w:val="0"/>
              <w:autoSpaceDE w:val="0"/>
              <w:autoSpaceDN w:val="0"/>
              <w:adjustRightInd w:val="0"/>
              <w:ind w:left="266" w:hanging="266"/>
              <w:textAlignment w:val="baseline"/>
              <w:rPr>
                <w:b/>
                <w:sz w:val="22"/>
                <w:szCs w:val="22"/>
              </w:rPr>
            </w:pPr>
            <w:r w:rsidRPr="00DB76E4">
              <w:rPr>
                <w:b/>
                <w:sz w:val="22"/>
                <w:szCs w:val="22"/>
              </w:rPr>
              <w:t>Отправни документи</w:t>
            </w:r>
          </w:p>
        </w:tc>
        <w:tc>
          <w:tcPr>
            <w:tcW w:w="6946" w:type="dxa"/>
          </w:tcPr>
          <w:p w14:paraId="482A2846" w14:textId="4D7D3A98" w:rsidR="007A3096" w:rsidRPr="00DB76E4" w:rsidRDefault="007A3096" w:rsidP="00B56575">
            <w:pPr>
              <w:tabs>
                <w:tab w:val="center" w:pos="284"/>
              </w:tabs>
              <w:overflowPunct w:val="0"/>
              <w:autoSpaceDE w:val="0"/>
              <w:autoSpaceDN w:val="0"/>
              <w:adjustRightInd w:val="0"/>
              <w:ind w:left="266" w:hanging="266"/>
              <w:textAlignment w:val="baseline"/>
              <w:rPr>
                <w:sz w:val="22"/>
                <w:szCs w:val="22"/>
              </w:rPr>
            </w:pPr>
            <w:r w:rsidRPr="00DB76E4">
              <w:rPr>
                <w:sz w:val="22"/>
                <w:szCs w:val="22"/>
              </w:rPr>
              <w:t xml:space="preserve">COM(2026) 11 </w:t>
            </w:r>
            <w:proofErr w:type="spellStart"/>
            <w:r w:rsidRPr="00DB76E4">
              <w:rPr>
                <w:sz w:val="22"/>
                <w:szCs w:val="22"/>
              </w:rPr>
              <w:t>final</w:t>
            </w:r>
            <w:proofErr w:type="spellEnd"/>
            <w:r w:rsidRPr="00DB76E4">
              <w:rPr>
                <w:sz w:val="22"/>
                <w:szCs w:val="22"/>
              </w:rPr>
              <w:t xml:space="preserve"> </w:t>
            </w:r>
          </w:p>
          <w:p w14:paraId="1457E830" w14:textId="583DA8F1" w:rsidR="007A3096" w:rsidRPr="00DB76E4" w:rsidRDefault="007A3096" w:rsidP="00B56575">
            <w:pPr>
              <w:tabs>
                <w:tab w:val="center" w:pos="284"/>
              </w:tabs>
              <w:overflowPunct w:val="0"/>
              <w:autoSpaceDE w:val="0"/>
              <w:autoSpaceDN w:val="0"/>
              <w:adjustRightInd w:val="0"/>
              <w:ind w:left="266" w:right="1458" w:hanging="266"/>
              <w:textAlignment w:val="baseline"/>
              <w:rPr>
                <w:sz w:val="22"/>
                <w:szCs w:val="22"/>
              </w:rPr>
            </w:pPr>
            <w:r w:rsidRPr="00DB76E4">
              <w:rPr>
                <w:sz w:val="22"/>
                <w:szCs w:val="22"/>
              </w:rPr>
              <w:t xml:space="preserve">COM(2026) 13 </w:t>
            </w:r>
            <w:proofErr w:type="spellStart"/>
            <w:r w:rsidRPr="00DB76E4">
              <w:rPr>
                <w:sz w:val="22"/>
                <w:szCs w:val="22"/>
              </w:rPr>
              <w:t>final</w:t>
            </w:r>
            <w:proofErr w:type="spellEnd"/>
            <w:r w:rsidRPr="00DB76E4">
              <w:rPr>
                <w:sz w:val="22"/>
                <w:szCs w:val="22"/>
              </w:rPr>
              <w:t xml:space="preserve"> </w:t>
            </w:r>
          </w:p>
          <w:p w14:paraId="426BA912" w14:textId="77777777" w:rsidR="007A3096" w:rsidRPr="00DB76E4" w:rsidRDefault="007A3096" w:rsidP="00B56575">
            <w:pPr>
              <w:tabs>
                <w:tab w:val="center" w:pos="284"/>
              </w:tabs>
              <w:overflowPunct w:val="0"/>
              <w:autoSpaceDE w:val="0"/>
              <w:autoSpaceDN w:val="0"/>
              <w:adjustRightInd w:val="0"/>
              <w:ind w:left="266" w:hanging="266"/>
              <w:textAlignment w:val="baseline"/>
              <w:rPr>
                <w:sz w:val="22"/>
                <w:szCs w:val="22"/>
              </w:rPr>
            </w:pPr>
            <w:r w:rsidRPr="00DB76E4">
              <w:rPr>
                <w:sz w:val="22"/>
                <w:szCs w:val="22"/>
              </w:rPr>
              <w:t>EESC-2026-00075-00-00-AC</w:t>
            </w:r>
          </w:p>
          <w:p w14:paraId="387C4E93" w14:textId="77777777" w:rsidR="004D2D6F" w:rsidRPr="00DB76E4" w:rsidRDefault="004D2D6F" w:rsidP="00843847">
            <w:pPr>
              <w:tabs>
                <w:tab w:val="center" w:pos="-1198"/>
              </w:tabs>
              <w:overflowPunct w:val="0"/>
              <w:autoSpaceDE w:val="0"/>
              <w:autoSpaceDN w:val="0"/>
              <w:adjustRightInd w:val="0"/>
              <w:ind w:left="-1668" w:hanging="1464"/>
              <w:jc w:val="left"/>
              <w:textAlignment w:val="baseline"/>
              <w:rPr>
                <w:sz w:val="22"/>
                <w:szCs w:val="22"/>
              </w:rPr>
            </w:pPr>
            <w:r w:rsidRPr="00DB76E4">
              <w:rPr>
                <w:sz w:val="22"/>
                <w:szCs w:val="22"/>
              </w:rPr>
              <w:t>ЕИСК:</w:t>
            </w:r>
          </w:p>
          <w:p w14:paraId="0B733C5A" w14:textId="48DD0FA0" w:rsidR="004D2D6F" w:rsidRPr="00DB76E4" w:rsidRDefault="004D2D6F" w:rsidP="00B56575">
            <w:pPr>
              <w:tabs>
                <w:tab w:val="center" w:pos="284"/>
              </w:tabs>
              <w:overflowPunct w:val="0"/>
              <w:autoSpaceDE w:val="0"/>
              <w:autoSpaceDN w:val="0"/>
              <w:adjustRightInd w:val="0"/>
              <w:ind w:left="266" w:hanging="266"/>
              <w:textAlignment w:val="baseline"/>
              <w:rPr>
                <w:sz w:val="22"/>
                <w:szCs w:val="22"/>
                <w:lang w:val="pt-PT"/>
              </w:rPr>
            </w:pPr>
          </w:p>
        </w:tc>
      </w:tr>
      <w:tr w:rsidR="007A3096" w:rsidRPr="00DB76E4" w14:paraId="281B6DC0" w14:textId="77777777" w:rsidTr="00B56575">
        <w:tc>
          <w:tcPr>
            <w:tcW w:w="1701" w:type="dxa"/>
            <w:vMerge/>
          </w:tcPr>
          <w:p w14:paraId="2CAAC814" w14:textId="77777777" w:rsidR="007A3096" w:rsidRPr="00DB76E4" w:rsidRDefault="007A3096" w:rsidP="00B56575">
            <w:pPr>
              <w:tabs>
                <w:tab w:val="center" w:pos="284"/>
              </w:tabs>
              <w:overflowPunct w:val="0"/>
              <w:autoSpaceDE w:val="0"/>
              <w:autoSpaceDN w:val="0"/>
              <w:adjustRightInd w:val="0"/>
              <w:ind w:left="266" w:hanging="266"/>
              <w:textAlignment w:val="baseline"/>
              <w:rPr>
                <w:b/>
                <w:sz w:val="22"/>
                <w:szCs w:val="22"/>
                <w:lang w:val="pt-PT"/>
              </w:rPr>
            </w:pPr>
          </w:p>
        </w:tc>
        <w:tc>
          <w:tcPr>
            <w:tcW w:w="6946" w:type="dxa"/>
          </w:tcPr>
          <w:p w14:paraId="2ECA75F1" w14:textId="77777777" w:rsidR="00B56575" w:rsidRPr="00DB76E4" w:rsidRDefault="00B56575" w:rsidP="00B56575">
            <w:pPr>
              <w:tabs>
                <w:tab w:val="center" w:pos="284"/>
              </w:tabs>
              <w:overflowPunct w:val="0"/>
              <w:autoSpaceDE w:val="0"/>
              <w:autoSpaceDN w:val="0"/>
              <w:adjustRightInd w:val="0"/>
              <w:ind w:left="266" w:hanging="2218"/>
              <w:textAlignment w:val="baseline"/>
              <w:rPr>
                <w:sz w:val="22"/>
                <w:szCs w:val="22"/>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Основни аспекти</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ЕИСК: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приветства преразглеждането на Акта за киберсигурността и актуализациите на Директивата МИС 2, като подчертава, че киберсигурността трябва да се разглежда като </w:t>
      </w:r>
      <w:r>
        <w:rPr>
          <w:b/>
        </w:rPr>
        <w:t>основен въпрос на икономическата сигурност и геополитическата устойчивост</w:t>
      </w:r>
      <w:r>
        <w:t>, като същевременно се опростяват правилата и се намалява административната тежест за предприятията;</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призовава за </w:t>
      </w:r>
      <w:r>
        <w:rPr>
          <w:b/>
        </w:rPr>
        <w:t>по-силна и по-добре обезпечена с ресурси ENISA</w:t>
      </w:r>
      <w:r>
        <w:t xml:space="preserve"> с ясен, консолидиран </w:t>
      </w:r>
      <w:r>
        <w:lastRenderedPageBreak/>
        <w:t>мандат и достатъчно финансиране и персонал, за да изпълнява ефективно разширените си отговорности, включително в областта на развитието на умения и сертифицирането;</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подчертава решаващата роля на</w:t>
      </w:r>
      <w:r>
        <w:rPr>
          <w:b/>
        </w:rPr>
        <w:t xml:space="preserve"> уменията и обучението на работната сила</w:t>
      </w:r>
      <w:r>
        <w:t xml:space="preserve"> за устойчивостта на киберсигурността, като се подкрепят рамките за умения и схемите за сертифициране в целия ЕС и същевременно се гарантира, че те остават практически, координирани и достъпни във всички държави членки;</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подчертава нарастващото значение на киберсигурността за </w:t>
      </w:r>
      <w:r>
        <w:rPr>
          <w:b/>
        </w:rPr>
        <w:t>демократичната устойчивост</w:t>
      </w:r>
      <w:r>
        <w:t xml:space="preserve">, като настоятелно призовава за </w:t>
      </w:r>
      <w:r>
        <w:rPr>
          <w:b/>
        </w:rPr>
        <w:t>засилена координация на ЕС</w:t>
      </w:r>
      <w:r>
        <w:t xml:space="preserve"> за защита на изборите и критичната инфраструктура от кибератаки, дезинформация и външна намеса;</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подкрепя </w:t>
      </w:r>
      <w:r>
        <w:rPr>
          <w:b/>
        </w:rPr>
        <w:t>рационализирана и ефективна рамка за сертифициране</w:t>
      </w:r>
      <w:r>
        <w:t>, основана на подхода „еднократно сертифициране, валидно навсякъде“, гарантираща правна яснота, прозрачност и пропорционалност, особено за МСП и трансграничните оператори;</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настоятелно призовава за </w:t>
      </w:r>
      <w:r>
        <w:rPr>
          <w:b/>
        </w:rPr>
        <w:t>балансиран подход към сигурността на веригата за доставки на ИКТ</w:t>
      </w:r>
      <w:r>
        <w:t xml:space="preserve"> с прозрачни, основани на риска мерки и пълна оценка на икономическото, оперативното и социалното въздействие, като същевременно се избягва прекомерната тежест, свързана със спазването на изискванията, и се гарантира силно участие на социалните партньори и заинтересованите страни.</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0B1585" w14:paraId="6378B503" w14:textId="77777777" w:rsidTr="002E7EFB">
        <w:tc>
          <w:tcPr>
            <w:tcW w:w="1418" w:type="dxa"/>
          </w:tcPr>
          <w:p w14:paraId="76B1935C" w14:textId="77777777" w:rsidR="00A83352" w:rsidRPr="000B1585" w:rsidRDefault="00A83352" w:rsidP="00A83352">
            <w:pPr>
              <w:overflowPunct w:val="0"/>
              <w:autoSpaceDE w:val="0"/>
              <w:autoSpaceDN w:val="0"/>
              <w:adjustRightInd w:val="0"/>
              <w:spacing w:line="240" w:lineRule="auto"/>
              <w:textAlignment w:val="baseline"/>
              <w:rPr>
                <w:i/>
                <w:sz w:val="22"/>
                <w:szCs w:val="22"/>
              </w:rPr>
            </w:pPr>
            <w:r w:rsidRPr="000B1585">
              <w:rPr>
                <w:b/>
                <w:i/>
                <w:sz w:val="22"/>
                <w:szCs w:val="22"/>
              </w:rPr>
              <w:t>За контакти</w:t>
            </w:r>
          </w:p>
        </w:tc>
        <w:tc>
          <w:tcPr>
            <w:tcW w:w="5670" w:type="dxa"/>
          </w:tcPr>
          <w:p w14:paraId="156F2204" w14:textId="77777777" w:rsidR="00A83352" w:rsidRPr="000B1585" w:rsidRDefault="00A83352" w:rsidP="00A83352">
            <w:pPr>
              <w:overflowPunct w:val="0"/>
              <w:autoSpaceDE w:val="0"/>
              <w:autoSpaceDN w:val="0"/>
              <w:adjustRightInd w:val="0"/>
              <w:spacing w:line="240" w:lineRule="auto"/>
              <w:textAlignment w:val="baseline"/>
              <w:rPr>
                <w:i/>
                <w:sz w:val="22"/>
                <w:szCs w:val="22"/>
              </w:rPr>
            </w:pPr>
          </w:p>
        </w:tc>
      </w:tr>
      <w:tr w:rsidR="00A83352" w:rsidRPr="000B1585" w14:paraId="3427545F" w14:textId="77777777" w:rsidTr="002E7EFB">
        <w:tc>
          <w:tcPr>
            <w:tcW w:w="1418" w:type="dxa"/>
          </w:tcPr>
          <w:p w14:paraId="28C531D2" w14:textId="77777777" w:rsidR="00A83352" w:rsidRPr="000B1585" w:rsidRDefault="00A83352" w:rsidP="00A83352">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5670" w:type="dxa"/>
          </w:tcPr>
          <w:p w14:paraId="30151730" w14:textId="77777777" w:rsidR="00A83352" w:rsidRPr="000B1585" w:rsidRDefault="00A83352" w:rsidP="00A83352">
            <w:pPr>
              <w:overflowPunct w:val="0"/>
              <w:autoSpaceDE w:val="0"/>
              <w:autoSpaceDN w:val="0"/>
              <w:adjustRightInd w:val="0"/>
              <w:spacing w:line="240" w:lineRule="auto"/>
              <w:textAlignment w:val="baseline"/>
              <w:rPr>
                <w:i/>
                <w:sz w:val="22"/>
                <w:szCs w:val="22"/>
              </w:rPr>
            </w:pPr>
            <w:r w:rsidRPr="000B1585">
              <w:rPr>
                <w:i/>
                <w:sz w:val="22"/>
                <w:szCs w:val="22"/>
              </w:rPr>
              <w:t>+32 25468378</w:t>
            </w:r>
          </w:p>
        </w:tc>
      </w:tr>
      <w:tr w:rsidR="00A83352" w:rsidRPr="000B1585" w14:paraId="72DC4E78" w14:textId="77777777" w:rsidTr="002E7EFB">
        <w:tc>
          <w:tcPr>
            <w:tcW w:w="1418" w:type="dxa"/>
          </w:tcPr>
          <w:p w14:paraId="63DC825F" w14:textId="77777777" w:rsidR="00A83352" w:rsidRPr="000B1585" w:rsidRDefault="00A83352" w:rsidP="00A83352">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5670" w:type="dxa"/>
          </w:tcPr>
          <w:p w14:paraId="1D8269C1" w14:textId="6A312105" w:rsidR="00A83352" w:rsidRPr="000B1585" w:rsidRDefault="00C10CD5" w:rsidP="00A83352">
            <w:pPr>
              <w:overflowPunct w:val="0"/>
              <w:autoSpaceDE w:val="0"/>
              <w:autoSpaceDN w:val="0"/>
              <w:adjustRightInd w:val="0"/>
              <w:spacing w:line="240" w:lineRule="auto"/>
              <w:textAlignment w:val="baseline"/>
              <w:rPr>
                <w:i/>
                <w:sz w:val="22"/>
                <w:szCs w:val="22"/>
              </w:rPr>
            </w:pPr>
            <w:hyperlink r:id="rId44" w:history="1">
              <w:r w:rsidRPr="000B1585">
                <w:rPr>
                  <w:i/>
                  <w:color w:val="0000FF"/>
                  <w:sz w:val="22"/>
                  <w:szCs w:val="22"/>
                  <w:u w:val="single"/>
                </w:rPr>
                <w:t>Silvia.Staffa@eesc.europa.eu</w:t>
              </w:r>
            </w:hyperlink>
          </w:p>
          <w:p w14:paraId="2F1FD287" w14:textId="77777777" w:rsidR="00A83352" w:rsidRPr="000B1585" w:rsidRDefault="00A83352" w:rsidP="00A83352">
            <w:pPr>
              <w:overflowPunct w:val="0"/>
              <w:autoSpaceDE w:val="0"/>
              <w:autoSpaceDN w:val="0"/>
              <w:adjustRightInd w:val="0"/>
              <w:spacing w:line="240" w:lineRule="auto"/>
              <w:textAlignment w:val="baseline"/>
              <w:rPr>
                <w:i/>
                <w:sz w:val="22"/>
                <w:szCs w:val="22"/>
              </w:rPr>
            </w:pPr>
          </w:p>
        </w:tc>
      </w:tr>
    </w:tbl>
    <w:p w14:paraId="1735359E" w14:textId="7BC358BF" w:rsidR="00A83352" w:rsidRDefault="00A83352" w:rsidP="001766B2">
      <w:pPr>
        <w:pStyle w:val="ListParagraph"/>
        <w:ind w:left="0"/>
      </w:pPr>
    </w:p>
    <w:p w14:paraId="67EB829A" w14:textId="3D76A642" w:rsidR="00665940" w:rsidRPr="00665940" w:rsidRDefault="00C10CD5"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„Разработване на Европейски център за високи клинични постижения за фармацевтични продукти“</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0B1585" w14:paraId="42EBD1F0" w14:textId="77777777" w:rsidTr="004C6742">
        <w:tc>
          <w:tcPr>
            <w:tcW w:w="1701" w:type="dxa"/>
          </w:tcPr>
          <w:p w14:paraId="470319BC" w14:textId="77777777" w:rsidR="00665940" w:rsidRPr="000B1585" w:rsidRDefault="00665940" w:rsidP="00665940">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tc>
        <w:tc>
          <w:tcPr>
            <w:tcW w:w="6663" w:type="dxa"/>
          </w:tcPr>
          <w:p w14:paraId="5CFF22ED" w14:textId="4F642785" w:rsidR="00665940" w:rsidRPr="000B1585" w:rsidRDefault="00665940" w:rsidP="00665940">
            <w:pPr>
              <w:tabs>
                <w:tab w:val="center" w:pos="284"/>
              </w:tabs>
              <w:overflowPunct w:val="0"/>
              <w:autoSpaceDE w:val="0"/>
              <w:autoSpaceDN w:val="0"/>
              <w:adjustRightInd w:val="0"/>
              <w:ind w:left="266" w:hanging="266"/>
              <w:textAlignment w:val="baseline"/>
              <w:rPr>
                <w:sz w:val="22"/>
                <w:szCs w:val="22"/>
              </w:rPr>
            </w:pPr>
            <w:r w:rsidRPr="000B1585">
              <w:rPr>
                <w:sz w:val="22"/>
                <w:szCs w:val="22"/>
              </w:rPr>
              <w:t>Веселин МИТОВ (група „Работници“ — BG)</w:t>
            </w:r>
          </w:p>
        </w:tc>
      </w:tr>
      <w:tr w:rsidR="00665940" w:rsidRPr="000B1585" w14:paraId="4D35B05F" w14:textId="77777777" w:rsidTr="004C6742">
        <w:tc>
          <w:tcPr>
            <w:tcW w:w="8364" w:type="dxa"/>
            <w:gridSpan w:val="2"/>
          </w:tcPr>
          <w:p w14:paraId="6BE1B6FB" w14:textId="77777777" w:rsidR="00665940" w:rsidRPr="000B1585" w:rsidRDefault="00665940" w:rsidP="00665940">
            <w:pPr>
              <w:tabs>
                <w:tab w:val="center" w:pos="284"/>
              </w:tabs>
              <w:overflowPunct w:val="0"/>
              <w:autoSpaceDE w:val="0"/>
              <w:autoSpaceDN w:val="0"/>
              <w:adjustRightInd w:val="0"/>
              <w:spacing w:line="160" w:lineRule="exact"/>
              <w:ind w:left="266" w:hanging="266"/>
              <w:textAlignment w:val="baseline"/>
              <w:rPr>
                <w:sz w:val="22"/>
                <w:szCs w:val="22"/>
              </w:rPr>
            </w:pPr>
          </w:p>
        </w:tc>
      </w:tr>
      <w:tr w:rsidR="00665940" w:rsidRPr="000B1585" w14:paraId="5F1B7447" w14:textId="77777777" w:rsidTr="004C6742">
        <w:trPr>
          <w:trHeight w:val="404"/>
        </w:trPr>
        <w:tc>
          <w:tcPr>
            <w:tcW w:w="1701" w:type="dxa"/>
          </w:tcPr>
          <w:p w14:paraId="1FBC09A6" w14:textId="77777777" w:rsidR="00665940" w:rsidRPr="000B1585" w:rsidRDefault="00665940" w:rsidP="00665940">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6663" w:type="dxa"/>
          </w:tcPr>
          <w:p w14:paraId="0BCAF6AE" w14:textId="03E7889E" w:rsidR="00665940" w:rsidRPr="000B1585" w:rsidRDefault="00665940" w:rsidP="00F170AA">
            <w:pPr>
              <w:tabs>
                <w:tab w:val="center" w:pos="284"/>
              </w:tabs>
              <w:overflowPunct w:val="0"/>
              <w:autoSpaceDE w:val="0"/>
              <w:autoSpaceDN w:val="0"/>
              <w:adjustRightInd w:val="0"/>
              <w:ind w:left="266" w:right="-254" w:hanging="266"/>
              <w:textAlignment w:val="baseline"/>
              <w:rPr>
                <w:sz w:val="22"/>
                <w:szCs w:val="22"/>
              </w:rPr>
            </w:pPr>
            <w:r w:rsidRPr="000B1585">
              <w:rPr>
                <w:sz w:val="22"/>
                <w:szCs w:val="22"/>
              </w:rPr>
              <w:t>проучвателно становище по искане на кипърското председателство на Съвета на ЕС</w:t>
            </w:r>
          </w:p>
          <w:p w14:paraId="04662EBB" w14:textId="504CF421" w:rsidR="00665940" w:rsidRPr="000B1585" w:rsidRDefault="00665940" w:rsidP="00665940">
            <w:pPr>
              <w:tabs>
                <w:tab w:val="center" w:pos="284"/>
              </w:tabs>
              <w:overflowPunct w:val="0"/>
              <w:autoSpaceDE w:val="0"/>
              <w:autoSpaceDN w:val="0"/>
              <w:adjustRightInd w:val="0"/>
              <w:ind w:left="266" w:hanging="266"/>
              <w:textAlignment w:val="baseline"/>
              <w:rPr>
                <w:sz w:val="22"/>
                <w:szCs w:val="22"/>
              </w:rPr>
            </w:pPr>
            <w:r w:rsidRPr="000B1585">
              <w:rPr>
                <w:sz w:val="22"/>
                <w:szCs w:val="22"/>
              </w:rP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ЕИСК:</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препоръчва създаването на Европейски център за високи клинични постижения (ECCE) като незадължителен референтен орган на ЕС, който да превръща научните доказателства във висококачествени клинични насоки, при пълно зачитане на субсидиарността и пропорционалността и насърчаване на справедлив достъп до висококачествени грижи в целия ЕС;</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смята, че този център би трябвало да бъде включен в по-широкообхватна стратегия на ЕС за устойчивост на здравеопазването, за да се стимулират научното сътрудничество, внедряването на иновации и стратегическата автономност на ЕС;</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е на мнение, че ECCE би трябвало да допълва, а не да замества съществуващите структури </w:t>
      </w:r>
      <w:r>
        <w:lastRenderedPageBreak/>
        <w:t>на ЕС и национални структури, да служи като обща научна отправна точка и да разполага със силна рамка за управление;</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застъпва становището, че мандатът на ECCE би трябвало да бъде ясен и съсредоточен върху високите научни постижения, прозрачността и практическото значение, като се съсредоточава върху систематичния анализ и синтез на клинични данни, включително съвместни клинични оценки и доказателства от практиката. Центърът би трябвало да разработи </w:t>
      </w:r>
      <w:proofErr w:type="spellStart"/>
      <w:r>
        <w:t>необвързващи</w:t>
      </w:r>
      <w:proofErr w:type="spellEnd"/>
      <w:r>
        <w:t>, основани на доказателства препоръки за фармакотерапия и клинични протоколи в подкрепа на вземането на решения на национално равнище;</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препоръчва създаването на ECCE като нов децентрализиран орган на ЕС, за да се гарантира научна съгласуваност, институционална приемственост и независимост, като бъде управляван чрез балансиран многопластов модел, обединяващ държавите членки, Европейската комисия и организираното гражданско общество;</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смята, че стабилното, адекватно и предвидимо финансиране от бюджета на ЕС е предпоставка за надеждността, независимостта и дългосрочната ефективност на ECCE. Всяко допълнително финансиране трябва да бъде строго регулирано и напълно прозрачно, за да се предотврати неправомерно влияние върху научните резултати.</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0B1585" w14:paraId="62BF535A" w14:textId="77777777" w:rsidTr="002E7EFB">
        <w:tc>
          <w:tcPr>
            <w:tcW w:w="1418" w:type="dxa"/>
          </w:tcPr>
          <w:p w14:paraId="5C60B303" w14:textId="77777777" w:rsidR="00665940" w:rsidRPr="000B1585" w:rsidRDefault="00665940" w:rsidP="00665940">
            <w:pPr>
              <w:overflowPunct w:val="0"/>
              <w:autoSpaceDE w:val="0"/>
              <w:autoSpaceDN w:val="0"/>
              <w:adjustRightInd w:val="0"/>
              <w:spacing w:line="240" w:lineRule="auto"/>
              <w:textAlignment w:val="baseline"/>
              <w:rPr>
                <w:i/>
                <w:sz w:val="22"/>
                <w:szCs w:val="22"/>
              </w:rPr>
            </w:pPr>
            <w:r w:rsidRPr="000B1585">
              <w:rPr>
                <w:b/>
                <w:i/>
                <w:sz w:val="22"/>
                <w:szCs w:val="22"/>
              </w:rPr>
              <w:t>За контакти</w:t>
            </w:r>
          </w:p>
        </w:tc>
        <w:tc>
          <w:tcPr>
            <w:tcW w:w="5670" w:type="dxa"/>
          </w:tcPr>
          <w:p w14:paraId="04C05D13" w14:textId="77777777" w:rsidR="00665940" w:rsidRPr="000B1585" w:rsidRDefault="00665940" w:rsidP="00665940">
            <w:pPr>
              <w:overflowPunct w:val="0"/>
              <w:autoSpaceDE w:val="0"/>
              <w:autoSpaceDN w:val="0"/>
              <w:adjustRightInd w:val="0"/>
              <w:spacing w:line="240" w:lineRule="auto"/>
              <w:textAlignment w:val="baseline"/>
              <w:rPr>
                <w:i/>
                <w:sz w:val="22"/>
                <w:szCs w:val="22"/>
              </w:rPr>
            </w:pPr>
            <w:proofErr w:type="spellStart"/>
            <w:r w:rsidRPr="000B1585">
              <w:rPr>
                <w:i/>
                <w:sz w:val="22"/>
                <w:szCs w:val="22"/>
              </w:rPr>
              <w:t>Radoslava</w:t>
            </w:r>
            <w:proofErr w:type="spellEnd"/>
            <w:r w:rsidRPr="000B1585">
              <w:rPr>
                <w:i/>
                <w:sz w:val="22"/>
                <w:szCs w:val="22"/>
              </w:rPr>
              <w:t xml:space="preserve"> </w:t>
            </w:r>
            <w:proofErr w:type="spellStart"/>
            <w:r w:rsidRPr="000B1585">
              <w:rPr>
                <w:i/>
                <w:sz w:val="22"/>
                <w:szCs w:val="22"/>
              </w:rPr>
              <w:t>Stefankova</w:t>
            </w:r>
            <w:proofErr w:type="spellEnd"/>
          </w:p>
        </w:tc>
      </w:tr>
      <w:tr w:rsidR="00665940" w:rsidRPr="000B1585" w14:paraId="50843905" w14:textId="77777777" w:rsidTr="002E7EFB">
        <w:tc>
          <w:tcPr>
            <w:tcW w:w="1418" w:type="dxa"/>
          </w:tcPr>
          <w:p w14:paraId="60ED9F66" w14:textId="77777777" w:rsidR="00665940" w:rsidRPr="000B1585" w:rsidRDefault="00665940" w:rsidP="00665940">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5670" w:type="dxa"/>
          </w:tcPr>
          <w:p w14:paraId="170907FD" w14:textId="77777777" w:rsidR="00665940" w:rsidRPr="000B1585" w:rsidRDefault="00665940" w:rsidP="00665940">
            <w:pPr>
              <w:overflowPunct w:val="0"/>
              <w:autoSpaceDE w:val="0"/>
              <w:autoSpaceDN w:val="0"/>
              <w:adjustRightInd w:val="0"/>
              <w:spacing w:line="240" w:lineRule="auto"/>
              <w:textAlignment w:val="baseline"/>
              <w:rPr>
                <w:i/>
                <w:sz w:val="22"/>
                <w:szCs w:val="22"/>
              </w:rPr>
            </w:pPr>
            <w:r w:rsidRPr="000B1585">
              <w:rPr>
                <w:i/>
                <w:sz w:val="22"/>
                <w:szCs w:val="22"/>
              </w:rPr>
              <w:t>+32 25468188</w:t>
            </w:r>
          </w:p>
        </w:tc>
      </w:tr>
      <w:tr w:rsidR="00665940" w:rsidRPr="000B1585" w14:paraId="7215EA9F" w14:textId="77777777" w:rsidTr="002E7EFB">
        <w:tc>
          <w:tcPr>
            <w:tcW w:w="1418" w:type="dxa"/>
          </w:tcPr>
          <w:p w14:paraId="7B8C52EC" w14:textId="333E7586" w:rsidR="00665940" w:rsidRPr="000B1585" w:rsidRDefault="0019037A" w:rsidP="00665940">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5670" w:type="dxa"/>
          </w:tcPr>
          <w:p w14:paraId="51562D55" w14:textId="05DA321F" w:rsidR="00665940" w:rsidRPr="000B1585" w:rsidRDefault="00C10CD5" w:rsidP="00665940">
            <w:pPr>
              <w:overflowPunct w:val="0"/>
              <w:autoSpaceDE w:val="0"/>
              <w:autoSpaceDN w:val="0"/>
              <w:adjustRightInd w:val="0"/>
              <w:spacing w:line="240" w:lineRule="auto"/>
              <w:textAlignment w:val="baseline"/>
              <w:rPr>
                <w:i/>
                <w:sz w:val="22"/>
                <w:szCs w:val="22"/>
              </w:rPr>
            </w:pPr>
            <w:hyperlink r:id="rId46" w:history="1">
              <w:r w:rsidRPr="000B1585">
                <w:rPr>
                  <w:i/>
                  <w:color w:val="0000FF"/>
                  <w:sz w:val="22"/>
                  <w:szCs w:val="22"/>
                  <w:u w:val="single"/>
                </w:rPr>
                <w:t>Radoslava.Stefankova@eesc.europa.eu</w:t>
              </w:r>
            </w:hyperlink>
          </w:p>
        </w:tc>
      </w:tr>
    </w:tbl>
    <w:p w14:paraId="57693FD9" w14:textId="6D060F2B" w:rsidR="00665940" w:rsidRDefault="00665940" w:rsidP="001766B2">
      <w:pPr>
        <w:pStyle w:val="ListParagraph"/>
        <w:ind w:left="0"/>
      </w:pPr>
    </w:p>
    <w:p w14:paraId="38DDDDCE" w14:textId="000F265B" w:rsidR="00445258" w:rsidRPr="0044525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„Прекурсори на наркотични вещества“</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0B1585" w14:paraId="7E507868" w14:textId="77777777" w:rsidTr="002E7EFB">
        <w:tc>
          <w:tcPr>
            <w:tcW w:w="1148" w:type="pct"/>
          </w:tcPr>
          <w:p w14:paraId="3292FCF5" w14:textId="77777777" w:rsidR="00445258" w:rsidRPr="000B1585" w:rsidRDefault="00445258" w:rsidP="00445258">
            <w:pPr>
              <w:tabs>
                <w:tab w:val="center" w:pos="284"/>
              </w:tabs>
              <w:overflowPunct w:val="0"/>
              <w:autoSpaceDE w:val="0"/>
              <w:autoSpaceDN w:val="0"/>
              <w:adjustRightInd w:val="0"/>
              <w:ind w:left="266" w:hanging="266"/>
              <w:textAlignment w:val="baseline"/>
              <w:rPr>
                <w:b/>
                <w:sz w:val="22"/>
                <w:szCs w:val="22"/>
              </w:rPr>
            </w:pPr>
          </w:p>
          <w:p w14:paraId="4BFF03AB" w14:textId="77777777" w:rsidR="00445258" w:rsidRPr="000B1585" w:rsidRDefault="00445258" w:rsidP="00445258">
            <w:pPr>
              <w:tabs>
                <w:tab w:val="center" w:pos="284"/>
              </w:tabs>
              <w:overflowPunct w:val="0"/>
              <w:autoSpaceDE w:val="0"/>
              <w:autoSpaceDN w:val="0"/>
              <w:adjustRightInd w:val="0"/>
              <w:ind w:left="266" w:hanging="376"/>
              <w:textAlignment w:val="baseline"/>
              <w:rPr>
                <w:b/>
                <w:sz w:val="22"/>
                <w:szCs w:val="22"/>
              </w:rPr>
            </w:pPr>
            <w:r w:rsidRPr="000B1585">
              <w:rPr>
                <w:b/>
                <w:sz w:val="22"/>
                <w:szCs w:val="22"/>
              </w:rPr>
              <w:t>Докладчик</w:t>
            </w:r>
          </w:p>
          <w:p w14:paraId="113C8799" w14:textId="77777777" w:rsidR="00445258" w:rsidRPr="000B1585" w:rsidRDefault="00445258" w:rsidP="00445258">
            <w:pPr>
              <w:tabs>
                <w:tab w:val="center" w:pos="284"/>
              </w:tabs>
              <w:overflowPunct w:val="0"/>
              <w:autoSpaceDE w:val="0"/>
              <w:autoSpaceDN w:val="0"/>
              <w:adjustRightInd w:val="0"/>
              <w:ind w:left="266" w:hanging="376"/>
              <w:textAlignment w:val="baseline"/>
              <w:rPr>
                <w:b/>
                <w:sz w:val="22"/>
                <w:szCs w:val="22"/>
              </w:rPr>
            </w:pPr>
          </w:p>
        </w:tc>
        <w:tc>
          <w:tcPr>
            <w:tcW w:w="3852" w:type="pct"/>
          </w:tcPr>
          <w:p w14:paraId="5A2AAF34" w14:textId="77777777" w:rsidR="00445258" w:rsidRPr="000B1585" w:rsidRDefault="00445258" w:rsidP="00445258">
            <w:pPr>
              <w:tabs>
                <w:tab w:val="center" w:pos="284"/>
              </w:tabs>
              <w:overflowPunct w:val="0"/>
              <w:autoSpaceDE w:val="0"/>
              <w:autoSpaceDN w:val="0"/>
              <w:adjustRightInd w:val="0"/>
              <w:ind w:left="266" w:hanging="266"/>
              <w:textAlignment w:val="baseline"/>
              <w:rPr>
                <w:sz w:val="22"/>
                <w:szCs w:val="22"/>
              </w:rPr>
            </w:pPr>
          </w:p>
          <w:p w14:paraId="329047B1" w14:textId="723B0F81" w:rsidR="00445258" w:rsidRPr="000B1585" w:rsidRDefault="00445258" w:rsidP="00445258">
            <w:pPr>
              <w:tabs>
                <w:tab w:val="center" w:pos="284"/>
              </w:tabs>
              <w:overflowPunct w:val="0"/>
              <w:autoSpaceDE w:val="0"/>
              <w:autoSpaceDN w:val="0"/>
              <w:adjustRightInd w:val="0"/>
              <w:ind w:left="266" w:hanging="266"/>
              <w:textAlignment w:val="baseline"/>
              <w:rPr>
                <w:sz w:val="22"/>
                <w:szCs w:val="22"/>
              </w:rPr>
            </w:pPr>
            <w:proofErr w:type="spellStart"/>
            <w:r w:rsidRPr="000B1585">
              <w:rPr>
                <w:sz w:val="22"/>
                <w:szCs w:val="22"/>
              </w:rPr>
              <w:t>Diego</w:t>
            </w:r>
            <w:proofErr w:type="spellEnd"/>
            <w:r w:rsidRPr="000B1585">
              <w:rPr>
                <w:sz w:val="22"/>
                <w:szCs w:val="22"/>
              </w:rPr>
              <w:t xml:space="preserve"> DUTTO (група „Организации на гражданското общество“ — IT)</w:t>
            </w:r>
          </w:p>
          <w:p w14:paraId="641B170F" w14:textId="77777777" w:rsidR="00445258" w:rsidRPr="000B1585" w:rsidRDefault="00445258" w:rsidP="00445258">
            <w:pPr>
              <w:tabs>
                <w:tab w:val="center" w:pos="284"/>
              </w:tabs>
              <w:overflowPunct w:val="0"/>
              <w:autoSpaceDE w:val="0"/>
              <w:autoSpaceDN w:val="0"/>
              <w:adjustRightInd w:val="0"/>
              <w:ind w:left="266" w:hanging="266"/>
              <w:textAlignment w:val="baseline"/>
              <w:rPr>
                <w:sz w:val="22"/>
                <w:szCs w:val="22"/>
                <w:lang w:val="en-GB"/>
              </w:rPr>
            </w:pPr>
          </w:p>
        </w:tc>
      </w:tr>
      <w:tr w:rsidR="00445258" w:rsidRPr="000B1585" w14:paraId="2EFF6C25" w14:textId="77777777" w:rsidTr="002E7EFB">
        <w:tc>
          <w:tcPr>
            <w:tcW w:w="1148" w:type="pct"/>
            <w:vMerge w:val="restart"/>
          </w:tcPr>
          <w:p w14:paraId="70282570" w14:textId="77777777" w:rsidR="00445258" w:rsidRPr="000B1585" w:rsidRDefault="00445258" w:rsidP="00445258">
            <w:pPr>
              <w:tabs>
                <w:tab w:val="center" w:pos="284"/>
              </w:tabs>
              <w:overflowPunct w:val="0"/>
              <w:autoSpaceDE w:val="0"/>
              <w:autoSpaceDN w:val="0"/>
              <w:adjustRightInd w:val="0"/>
              <w:ind w:left="266" w:hanging="376"/>
              <w:textAlignment w:val="baseline"/>
              <w:rPr>
                <w:b/>
                <w:sz w:val="22"/>
                <w:szCs w:val="22"/>
              </w:rPr>
            </w:pPr>
            <w:r w:rsidRPr="000B1585">
              <w:rPr>
                <w:b/>
                <w:sz w:val="22"/>
                <w:szCs w:val="22"/>
              </w:rPr>
              <w:t>Отправни документи</w:t>
            </w:r>
          </w:p>
        </w:tc>
        <w:tc>
          <w:tcPr>
            <w:tcW w:w="3852" w:type="pct"/>
          </w:tcPr>
          <w:p w14:paraId="4F313D09" w14:textId="3A34F015" w:rsidR="00445258" w:rsidRPr="000B1585" w:rsidRDefault="00445258" w:rsidP="00445258">
            <w:pPr>
              <w:tabs>
                <w:tab w:val="center" w:pos="284"/>
              </w:tabs>
              <w:overflowPunct w:val="0"/>
              <w:autoSpaceDE w:val="0"/>
              <w:autoSpaceDN w:val="0"/>
              <w:adjustRightInd w:val="0"/>
              <w:ind w:left="266" w:hanging="266"/>
              <w:textAlignment w:val="baseline"/>
              <w:rPr>
                <w:sz w:val="22"/>
                <w:szCs w:val="22"/>
              </w:rPr>
            </w:pPr>
            <w:r w:rsidRPr="000B1585">
              <w:rPr>
                <w:sz w:val="22"/>
                <w:szCs w:val="22"/>
              </w:rPr>
              <w:t xml:space="preserve">COM(2025) 747 </w:t>
            </w:r>
            <w:proofErr w:type="spellStart"/>
            <w:r w:rsidRPr="000B1585">
              <w:rPr>
                <w:sz w:val="22"/>
                <w:szCs w:val="22"/>
              </w:rPr>
              <w:t>final</w:t>
            </w:r>
            <w:proofErr w:type="spellEnd"/>
            <w:r w:rsidRPr="000B1585">
              <w:rPr>
                <w:sz w:val="22"/>
                <w:szCs w:val="22"/>
              </w:rPr>
              <w:t xml:space="preserve"> </w:t>
            </w:r>
          </w:p>
        </w:tc>
      </w:tr>
      <w:tr w:rsidR="00445258" w:rsidRPr="000B1585" w14:paraId="3DFEF38A" w14:textId="77777777" w:rsidTr="002E7EFB">
        <w:tc>
          <w:tcPr>
            <w:tcW w:w="1148" w:type="pct"/>
            <w:vMerge/>
          </w:tcPr>
          <w:p w14:paraId="17E4942C" w14:textId="77777777" w:rsidR="00445258" w:rsidRPr="000B1585" w:rsidRDefault="00445258" w:rsidP="00445258">
            <w:pPr>
              <w:tabs>
                <w:tab w:val="center" w:pos="284"/>
              </w:tabs>
              <w:overflowPunct w:val="0"/>
              <w:autoSpaceDE w:val="0"/>
              <w:autoSpaceDN w:val="0"/>
              <w:adjustRightInd w:val="0"/>
              <w:ind w:left="266" w:hanging="266"/>
              <w:textAlignment w:val="baseline"/>
              <w:rPr>
                <w:b/>
                <w:sz w:val="22"/>
                <w:szCs w:val="22"/>
              </w:rPr>
            </w:pPr>
          </w:p>
        </w:tc>
        <w:tc>
          <w:tcPr>
            <w:tcW w:w="3852" w:type="pct"/>
          </w:tcPr>
          <w:p w14:paraId="37150F76" w14:textId="77777777" w:rsidR="00445258" w:rsidRPr="000B1585" w:rsidRDefault="00445258" w:rsidP="00445258">
            <w:pPr>
              <w:tabs>
                <w:tab w:val="center" w:pos="284"/>
              </w:tabs>
              <w:overflowPunct w:val="0"/>
              <w:autoSpaceDE w:val="0"/>
              <w:autoSpaceDN w:val="0"/>
              <w:adjustRightInd w:val="0"/>
              <w:ind w:left="266" w:hanging="266"/>
              <w:textAlignment w:val="baseline"/>
              <w:rPr>
                <w:sz w:val="22"/>
                <w:szCs w:val="22"/>
              </w:rPr>
            </w:pPr>
            <w:r w:rsidRPr="000B1585">
              <w:rPr>
                <w:sz w:val="22"/>
                <w:szCs w:val="22"/>
              </w:rP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ЕИСК отправя следните препоръки:</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да се гарантира напълно безплатен достъп до „Информационното хранилище за прекурсори на наркотични вещества“;</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да се предвиди пълно освобождаване или значително намаляване на таксите за издаване на лицензии за университети, научноизследователски институти и филантропски организации;</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да се рационализират процедурите за предварително уведомяване за използването на малки количества „дизайнерски“ прекурсори;</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да се създаде специален канал за технически насоки за всички заинтересовани страни, включително организации от третия сектор, с бързо изясняване на класификацията на вариантите на веществата;</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да се избегне правната несигурност за научноизследователските лаборатории, причинена от </w:t>
      </w:r>
      <w:proofErr w:type="spellStart"/>
      <w:r>
        <w:t>бланкетното</w:t>
      </w:r>
      <w:proofErr w:type="spellEnd"/>
      <w:r>
        <w:t xml:space="preserve"> включване на групи вещества в категория 3, чрез публикуване на ясни, </w:t>
      </w:r>
      <w:r>
        <w:lastRenderedPageBreak/>
        <w:t>навременни и изчерпателни списъци;</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да се включат организации на гражданското общество, специализирани в предотвратяването на пристрастяването и намаляването на вредите, в дейности за повишаване на осведомеността и обучение;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да се прилага задължението за назначаване на „отговорен служител“ с гъвкавост за малките граждански организации, като се даде възможност за определяне измежду съществуващия вътрешен персонал;</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да се постигне хомогенно регулиране в ЕС. Това ще подпомогне органите при проследяването на търговията с вещества и употребата на вещества в научните изследвания в цяла Европа.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да се защити автономността на изследователите, използващи прекурсори от категория 3, като се гарантира, че контролът от страна на компетентния орган (член 28) се основава на риска и не засяга поверителността или целостта на протоколите от научните изследвания.</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0B1585" w14:paraId="34E47DF7" w14:textId="77777777" w:rsidTr="002E7EFB">
        <w:tc>
          <w:tcPr>
            <w:tcW w:w="1556" w:type="pct"/>
          </w:tcPr>
          <w:p w14:paraId="722F8981" w14:textId="77777777" w:rsidR="00445258" w:rsidRPr="000B1585" w:rsidRDefault="00445258" w:rsidP="00445258">
            <w:pPr>
              <w:overflowPunct w:val="0"/>
              <w:autoSpaceDE w:val="0"/>
              <w:autoSpaceDN w:val="0"/>
              <w:adjustRightInd w:val="0"/>
              <w:spacing w:line="240" w:lineRule="auto"/>
              <w:textAlignment w:val="baseline"/>
              <w:rPr>
                <w:i/>
                <w:sz w:val="22"/>
                <w:szCs w:val="22"/>
              </w:rPr>
            </w:pPr>
            <w:r w:rsidRPr="000B1585">
              <w:rPr>
                <w:b/>
                <w:i/>
                <w:sz w:val="22"/>
                <w:szCs w:val="22"/>
              </w:rPr>
              <w:t>За контакти</w:t>
            </w:r>
          </w:p>
        </w:tc>
        <w:tc>
          <w:tcPr>
            <w:tcW w:w="3444" w:type="pct"/>
          </w:tcPr>
          <w:p w14:paraId="24BAFF65" w14:textId="77777777" w:rsidR="00445258" w:rsidRPr="000B1585" w:rsidRDefault="00445258" w:rsidP="00445258">
            <w:pPr>
              <w:overflowPunct w:val="0"/>
              <w:autoSpaceDE w:val="0"/>
              <w:autoSpaceDN w:val="0"/>
              <w:adjustRightInd w:val="0"/>
              <w:spacing w:line="240" w:lineRule="auto"/>
              <w:textAlignment w:val="baseline"/>
              <w:rPr>
                <w:i/>
                <w:sz w:val="22"/>
                <w:szCs w:val="22"/>
              </w:rPr>
            </w:pPr>
            <w:proofErr w:type="spellStart"/>
            <w:r w:rsidRPr="000B1585">
              <w:rPr>
                <w:i/>
                <w:sz w:val="22"/>
                <w:szCs w:val="22"/>
              </w:rPr>
              <w:t>Radoslava</w:t>
            </w:r>
            <w:proofErr w:type="spellEnd"/>
            <w:r w:rsidRPr="000B1585">
              <w:rPr>
                <w:i/>
                <w:sz w:val="22"/>
                <w:szCs w:val="22"/>
              </w:rPr>
              <w:t xml:space="preserve"> </w:t>
            </w:r>
            <w:proofErr w:type="spellStart"/>
            <w:r w:rsidRPr="000B1585">
              <w:rPr>
                <w:i/>
                <w:sz w:val="22"/>
                <w:szCs w:val="22"/>
              </w:rPr>
              <w:t>Stefankova</w:t>
            </w:r>
            <w:proofErr w:type="spellEnd"/>
          </w:p>
        </w:tc>
      </w:tr>
      <w:tr w:rsidR="00445258" w:rsidRPr="000B1585" w14:paraId="12D23E6C" w14:textId="77777777" w:rsidTr="002E7EFB">
        <w:tc>
          <w:tcPr>
            <w:tcW w:w="1556" w:type="pct"/>
          </w:tcPr>
          <w:p w14:paraId="3CC13004" w14:textId="77777777" w:rsidR="00445258" w:rsidRPr="000B1585" w:rsidRDefault="00445258" w:rsidP="00445258">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3444" w:type="pct"/>
          </w:tcPr>
          <w:p w14:paraId="5A5BE7A3" w14:textId="77777777" w:rsidR="00445258" w:rsidRPr="000B1585" w:rsidRDefault="00445258" w:rsidP="00445258">
            <w:pPr>
              <w:overflowPunct w:val="0"/>
              <w:autoSpaceDE w:val="0"/>
              <w:autoSpaceDN w:val="0"/>
              <w:adjustRightInd w:val="0"/>
              <w:spacing w:line="240" w:lineRule="auto"/>
              <w:textAlignment w:val="baseline"/>
              <w:rPr>
                <w:i/>
                <w:sz w:val="22"/>
                <w:szCs w:val="22"/>
              </w:rPr>
            </w:pPr>
            <w:r w:rsidRPr="000B1585">
              <w:rPr>
                <w:i/>
                <w:sz w:val="22"/>
                <w:szCs w:val="22"/>
              </w:rPr>
              <w:t>+32 25468188</w:t>
            </w:r>
          </w:p>
        </w:tc>
      </w:tr>
      <w:tr w:rsidR="00445258" w:rsidRPr="000B1585" w14:paraId="751CD754" w14:textId="77777777" w:rsidTr="002E7EFB">
        <w:tc>
          <w:tcPr>
            <w:tcW w:w="1556" w:type="pct"/>
          </w:tcPr>
          <w:p w14:paraId="26B15F6C" w14:textId="299FB3B9" w:rsidR="00445258" w:rsidRPr="000B1585" w:rsidRDefault="00070ED2" w:rsidP="00445258">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3444" w:type="pct"/>
          </w:tcPr>
          <w:p w14:paraId="7DA66FD2" w14:textId="6F6404B8" w:rsidR="00445258" w:rsidRPr="000B1585" w:rsidRDefault="00C10CD5" w:rsidP="00445258">
            <w:pPr>
              <w:overflowPunct w:val="0"/>
              <w:autoSpaceDE w:val="0"/>
              <w:autoSpaceDN w:val="0"/>
              <w:adjustRightInd w:val="0"/>
              <w:spacing w:line="240" w:lineRule="auto"/>
              <w:textAlignment w:val="baseline"/>
              <w:rPr>
                <w:i/>
                <w:iCs/>
                <w:sz w:val="22"/>
                <w:szCs w:val="22"/>
              </w:rPr>
            </w:pPr>
            <w:hyperlink r:id="rId48" w:history="1">
              <w:r w:rsidRPr="000B1585">
                <w:rPr>
                  <w:i/>
                  <w:color w:val="0000FF"/>
                  <w:sz w:val="22"/>
                  <w:szCs w:val="22"/>
                  <w:u w:val="single"/>
                </w:rPr>
                <w:t>Radoslava.Stefankova@eesc.europa.eu</w:t>
              </w:r>
            </w:hyperlink>
          </w:p>
        </w:tc>
      </w:tr>
    </w:tbl>
    <w:p w14:paraId="2314B8E6" w14:textId="45059B39" w:rsidR="00445258" w:rsidRDefault="00445258" w:rsidP="001766B2">
      <w:pPr>
        <w:pStyle w:val="ListParagraph"/>
        <w:ind w:left="0"/>
      </w:pPr>
    </w:p>
    <w:p w14:paraId="6BC63409" w14:textId="4541BE51"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„Медицински изделия и инвитро диагностика/опростяване“</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0B1585" w14:paraId="6B8DC8E9" w14:textId="77777777" w:rsidTr="002E7EFB">
        <w:trPr>
          <w:trHeight w:val="406"/>
        </w:trPr>
        <w:tc>
          <w:tcPr>
            <w:tcW w:w="1229" w:type="pct"/>
          </w:tcPr>
          <w:p w14:paraId="4CF05AE9" w14:textId="77777777" w:rsidR="00DE758A" w:rsidRPr="000B1585" w:rsidRDefault="00DE758A" w:rsidP="00DE758A">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p w14:paraId="3BDC8518" w14:textId="77777777" w:rsidR="00DE758A" w:rsidRPr="000B1585" w:rsidRDefault="00DE758A" w:rsidP="00DE758A">
            <w:pPr>
              <w:tabs>
                <w:tab w:val="center" w:pos="284"/>
              </w:tabs>
              <w:overflowPunct w:val="0"/>
              <w:autoSpaceDE w:val="0"/>
              <w:autoSpaceDN w:val="0"/>
              <w:adjustRightInd w:val="0"/>
              <w:ind w:left="266" w:hanging="266"/>
              <w:textAlignment w:val="baseline"/>
              <w:rPr>
                <w:b/>
                <w:sz w:val="22"/>
                <w:szCs w:val="22"/>
              </w:rPr>
            </w:pPr>
          </w:p>
        </w:tc>
        <w:tc>
          <w:tcPr>
            <w:tcW w:w="3771" w:type="pct"/>
          </w:tcPr>
          <w:p w14:paraId="15EACB81" w14:textId="174540E6" w:rsidR="00DE758A" w:rsidRPr="000B1585" w:rsidRDefault="00DE758A" w:rsidP="00DE758A">
            <w:pPr>
              <w:tabs>
                <w:tab w:val="center" w:pos="0"/>
              </w:tabs>
              <w:overflowPunct w:val="0"/>
              <w:autoSpaceDE w:val="0"/>
              <w:autoSpaceDN w:val="0"/>
              <w:adjustRightInd w:val="0"/>
              <w:ind w:left="266" w:hanging="266"/>
              <w:textAlignment w:val="baseline"/>
              <w:rPr>
                <w:sz w:val="22"/>
                <w:szCs w:val="22"/>
              </w:rPr>
            </w:pPr>
            <w:proofErr w:type="spellStart"/>
            <w:r w:rsidRPr="000B1585">
              <w:rPr>
                <w:sz w:val="22"/>
                <w:szCs w:val="22"/>
              </w:rPr>
              <w:t>Danko</w:t>
            </w:r>
            <w:proofErr w:type="spellEnd"/>
            <w:r w:rsidRPr="000B1585">
              <w:rPr>
                <w:sz w:val="22"/>
                <w:szCs w:val="22"/>
              </w:rPr>
              <w:t xml:space="preserve"> RELIĆ (група „Организации на гражданското общество“ — HR)</w:t>
            </w:r>
          </w:p>
        </w:tc>
      </w:tr>
      <w:tr w:rsidR="00DE758A" w:rsidRPr="000B1585" w14:paraId="32202284" w14:textId="77777777" w:rsidTr="002E7EFB">
        <w:tc>
          <w:tcPr>
            <w:tcW w:w="1229" w:type="pct"/>
          </w:tcPr>
          <w:p w14:paraId="39618390" w14:textId="77777777" w:rsidR="00DE758A" w:rsidRPr="000B1585" w:rsidRDefault="00DE758A" w:rsidP="00DE758A">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3771" w:type="pct"/>
          </w:tcPr>
          <w:p w14:paraId="6D00FAF5" w14:textId="56D763D6" w:rsidR="00DE758A" w:rsidRPr="000B1585" w:rsidRDefault="00DE758A" w:rsidP="00DE758A">
            <w:pPr>
              <w:tabs>
                <w:tab w:val="center" w:pos="284"/>
              </w:tabs>
              <w:overflowPunct w:val="0"/>
              <w:autoSpaceDE w:val="0"/>
              <w:autoSpaceDN w:val="0"/>
              <w:adjustRightInd w:val="0"/>
              <w:ind w:left="266" w:hanging="266"/>
              <w:textAlignment w:val="baseline"/>
              <w:rPr>
                <w:sz w:val="22"/>
                <w:szCs w:val="22"/>
              </w:rPr>
            </w:pPr>
            <w:r w:rsidRPr="000B1585">
              <w:rPr>
                <w:sz w:val="22"/>
                <w:szCs w:val="22"/>
              </w:rPr>
              <w:t xml:space="preserve">COM(2025) 1023 </w:t>
            </w:r>
            <w:proofErr w:type="spellStart"/>
            <w:r w:rsidRPr="000B1585">
              <w:rPr>
                <w:sz w:val="22"/>
                <w:szCs w:val="22"/>
              </w:rPr>
              <w:t>final</w:t>
            </w:r>
            <w:proofErr w:type="spellEnd"/>
            <w:r w:rsidRPr="000B1585">
              <w:rPr>
                <w:sz w:val="22"/>
                <w:szCs w:val="22"/>
              </w:rPr>
              <w:t xml:space="preserve"> </w:t>
            </w:r>
          </w:p>
          <w:p w14:paraId="59A88C6D" w14:textId="77777777" w:rsidR="00DE758A" w:rsidRPr="000B1585" w:rsidRDefault="00DE758A" w:rsidP="00DE758A">
            <w:pPr>
              <w:tabs>
                <w:tab w:val="center" w:pos="284"/>
              </w:tabs>
              <w:overflowPunct w:val="0"/>
              <w:autoSpaceDE w:val="0"/>
              <w:autoSpaceDN w:val="0"/>
              <w:adjustRightInd w:val="0"/>
              <w:ind w:left="266" w:hanging="266"/>
              <w:textAlignment w:val="baseline"/>
              <w:rPr>
                <w:sz w:val="22"/>
                <w:szCs w:val="22"/>
              </w:rPr>
            </w:pPr>
            <w:r w:rsidRPr="000B1585">
              <w:rPr>
                <w:sz w:val="22"/>
                <w:szCs w:val="22"/>
              </w:rP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ЕИСК:</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приветства предложението на Комисията за опростяване и рационализиране на Регламента за медицинските изделия (РМИ) и Регламента за медицинските изделия за инвитро диагностика (РМИИД), като същевременно се гарантират безопасността на пациентите, защитата на общественото здраве и доверието в регулаторната система;</w:t>
      </w:r>
    </w:p>
    <w:p w14:paraId="3F3B23CD" w14:textId="77777777" w:rsidR="00DE758A" w:rsidRPr="004C6742" w:rsidRDefault="00DE758A" w:rsidP="004C6742">
      <w:pPr>
        <w:pStyle w:val="ListParagraph"/>
        <w:numPr>
          <w:ilvl w:val="0"/>
          <w:numId w:val="77"/>
        </w:numPr>
        <w:ind w:left="567" w:hanging="567"/>
      </w:pPr>
      <w:r>
        <w:t xml:space="preserve">изтъква, че </w:t>
      </w:r>
      <w:r>
        <w:rPr>
          <w:b/>
        </w:rPr>
        <w:t>опростяването трябва да гарантира правна сигурност, предвидими резултати от сертифицирането и хармонизирани практики в държавите членки</w:t>
      </w:r>
      <w:r>
        <w:t xml:space="preserve">, като се избягват различията между </w:t>
      </w:r>
      <w:proofErr w:type="spellStart"/>
      <w:r>
        <w:t>нотифицираните</w:t>
      </w:r>
      <w:proofErr w:type="spellEnd"/>
      <w:r>
        <w:t xml:space="preserve"> органи и се защитават МСП и микропредприятията от несигурност;</w:t>
      </w:r>
    </w:p>
    <w:p w14:paraId="5AD93FCB" w14:textId="77777777" w:rsidR="00DE758A" w:rsidRPr="004C6742" w:rsidRDefault="00DE758A" w:rsidP="004C6742">
      <w:pPr>
        <w:pStyle w:val="ListParagraph"/>
        <w:numPr>
          <w:ilvl w:val="0"/>
          <w:numId w:val="77"/>
        </w:numPr>
        <w:ind w:left="567" w:hanging="567"/>
      </w:pPr>
      <w:r>
        <w:t xml:space="preserve">подчертава, че </w:t>
      </w:r>
      <w:r>
        <w:rPr>
          <w:b/>
        </w:rPr>
        <w:t>цифровизацията на оценката на съответствието и одитите трябва да избягва дублирането на изисквания и допълнителните разходи</w:t>
      </w:r>
      <w:r>
        <w:t>, особено за МСП, работниците и здравния персонал, и трябва да бъде подкрепена от ясни насоки, обучение и техническа помощ;</w:t>
      </w:r>
    </w:p>
    <w:p w14:paraId="5B714428" w14:textId="77777777" w:rsidR="00DE758A" w:rsidRPr="004C6742" w:rsidRDefault="00DE758A" w:rsidP="004C6742">
      <w:pPr>
        <w:pStyle w:val="ListParagraph"/>
        <w:numPr>
          <w:ilvl w:val="0"/>
          <w:numId w:val="77"/>
        </w:numPr>
        <w:ind w:left="567" w:hanging="567"/>
      </w:pPr>
      <w:r>
        <w:t>настоява, че</w:t>
      </w:r>
      <w:r>
        <w:rPr>
          <w:b/>
        </w:rPr>
        <w:t xml:space="preserve"> опростяването не трябва да бъде подкопавано от увеличените такси, начислявани от </w:t>
      </w:r>
      <w:proofErr w:type="spellStart"/>
      <w:r>
        <w:rPr>
          <w:b/>
        </w:rPr>
        <w:t>нотифицираните</w:t>
      </w:r>
      <w:proofErr w:type="spellEnd"/>
      <w:r>
        <w:rPr>
          <w:b/>
        </w:rPr>
        <w:t xml:space="preserve"> органи, и че системите за проследяване и надзор след пускането на пазара трябва да бъдат укрепени</w:t>
      </w:r>
      <w:r>
        <w:t xml:space="preserve"> като ключов компенсаторен механизъм спрямо по-голяма гъвкавост на изискванията преди пускането на пазара;</w:t>
      </w:r>
    </w:p>
    <w:p w14:paraId="2350A493" w14:textId="77777777" w:rsidR="00DE758A" w:rsidRPr="004C6742" w:rsidRDefault="00DE758A" w:rsidP="004C6742">
      <w:pPr>
        <w:pStyle w:val="ListParagraph"/>
        <w:numPr>
          <w:ilvl w:val="0"/>
          <w:numId w:val="77"/>
        </w:numPr>
        <w:ind w:left="567" w:hanging="567"/>
      </w:pPr>
      <w:r>
        <w:lastRenderedPageBreak/>
        <w:t xml:space="preserve">подкрепя </w:t>
      </w:r>
      <w:r>
        <w:rPr>
          <w:b/>
        </w:rPr>
        <w:t>благоприятните регулаторни пътеки за водещи до пробив иновации и медицински изделия сираци, като същевременно се гарантира прозрачност</w:t>
      </w:r>
      <w:r>
        <w:t xml:space="preserve"> (включително чрез EUDAMED), и призовава за систематично </w:t>
      </w:r>
      <w:r>
        <w:rPr>
          <w:b/>
        </w:rPr>
        <w:t>участие на социалните партньори, здравните специалисти и гражданското общество</w:t>
      </w:r>
      <w:r>
        <w:t xml:space="preserve"> в мониторинга на изпълнението и въздействието.</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DE758A" w:rsidRPr="000B1585" w14:paraId="5DE0DD71" w14:textId="77777777" w:rsidTr="002E7EFB">
        <w:tc>
          <w:tcPr>
            <w:tcW w:w="1059" w:type="pct"/>
          </w:tcPr>
          <w:p w14:paraId="406D8126" w14:textId="77777777" w:rsidR="00DE758A" w:rsidRPr="000B1585" w:rsidRDefault="00DE758A" w:rsidP="00DE758A">
            <w:pPr>
              <w:overflowPunct w:val="0"/>
              <w:autoSpaceDE w:val="0"/>
              <w:autoSpaceDN w:val="0"/>
              <w:adjustRightInd w:val="0"/>
              <w:spacing w:line="240" w:lineRule="auto"/>
              <w:textAlignment w:val="baseline"/>
              <w:rPr>
                <w:i/>
                <w:sz w:val="22"/>
                <w:szCs w:val="22"/>
              </w:rPr>
            </w:pPr>
            <w:r w:rsidRPr="000B1585">
              <w:rPr>
                <w:b/>
                <w:i/>
                <w:sz w:val="22"/>
                <w:szCs w:val="22"/>
              </w:rPr>
              <w:t>За контакти</w:t>
            </w:r>
          </w:p>
        </w:tc>
        <w:tc>
          <w:tcPr>
            <w:tcW w:w="3941" w:type="pct"/>
          </w:tcPr>
          <w:p w14:paraId="440062F3" w14:textId="44031FFA" w:rsidR="00DE758A" w:rsidRPr="000B1585" w:rsidRDefault="00DE758A" w:rsidP="00DE758A">
            <w:pPr>
              <w:overflowPunct w:val="0"/>
              <w:autoSpaceDE w:val="0"/>
              <w:autoSpaceDN w:val="0"/>
              <w:adjustRightInd w:val="0"/>
              <w:spacing w:line="240" w:lineRule="auto"/>
              <w:textAlignment w:val="baseline"/>
              <w:rPr>
                <w:i/>
                <w:sz w:val="22"/>
                <w:szCs w:val="22"/>
              </w:rPr>
            </w:pPr>
            <w:proofErr w:type="spellStart"/>
            <w:r w:rsidRPr="000B1585">
              <w:rPr>
                <w:i/>
                <w:sz w:val="22"/>
                <w:szCs w:val="22"/>
              </w:rPr>
              <w:t>Silvia</w:t>
            </w:r>
            <w:proofErr w:type="spellEnd"/>
            <w:r w:rsidRPr="000B1585">
              <w:rPr>
                <w:i/>
                <w:sz w:val="22"/>
                <w:szCs w:val="22"/>
              </w:rPr>
              <w:t xml:space="preserve"> </w:t>
            </w:r>
            <w:proofErr w:type="spellStart"/>
            <w:r w:rsidRPr="000B1585">
              <w:rPr>
                <w:i/>
                <w:sz w:val="22"/>
                <w:szCs w:val="22"/>
              </w:rPr>
              <w:t>Staffa</w:t>
            </w:r>
            <w:proofErr w:type="spellEnd"/>
          </w:p>
        </w:tc>
      </w:tr>
      <w:tr w:rsidR="00DE758A" w:rsidRPr="000B1585" w14:paraId="3624305D" w14:textId="77777777" w:rsidTr="002E7EFB">
        <w:tc>
          <w:tcPr>
            <w:tcW w:w="1059" w:type="pct"/>
          </w:tcPr>
          <w:p w14:paraId="169C17BD" w14:textId="77777777" w:rsidR="00DE758A" w:rsidRPr="000B1585" w:rsidRDefault="00DE758A" w:rsidP="00DE758A">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3941" w:type="pct"/>
          </w:tcPr>
          <w:p w14:paraId="7D475F69" w14:textId="77777777" w:rsidR="00DE758A" w:rsidRPr="000B1585" w:rsidRDefault="00DE758A" w:rsidP="00DE758A">
            <w:pPr>
              <w:overflowPunct w:val="0"/>
              <w:autoSpaceDE w:val="0"/>
              <w:autoSpaceDN w:val="0"/>
              <w:adjustRightInd w:val="0"/>
              <w:spacing w:line="240" w:lineRule="auto"/>
              <w:textAlignment w:val="baseline"/>
              <w:rPr>
                <w:i/>
                <w:sz w:val="22"/>
                <w:szCs w:val="22"/>
              </w:rPr>
            </w:pPr>
            <w:r w:rsidRPr="000B1585">
              <w:rPr>
                <w:i/>
                <w:sz w:val="22"/>
                <w:szCs w:val="22"/>
              </w:rPr>
              <w:t>+ 32 25468378</w:t>
            </w:r>
          </w:p>
        </w:tc>
      </w:tr>
      <w:tr w:rsidR="00DE758A" w:rsidRPr="000B1585" w14:paraId="7362C1AC" w14:textId="77777777" w:rsidTr="002E7EFB">
        <w:tc>
          <w:tcPr>
            <w:tcW w:w="1059" w:type="pct"/>
          </w:tcPr>
          <w:p w14:paraId="256024F2" w14:textId="77777777" w:rsidR="00DE758A" w:rsidRPr="000B1585" w:rsidRDefault="00DE758A" w:rsidP="00DE758A">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3941" w:type="pct"/>
          </w:tcPr>
          <w:p w14:paraId="7476247D" w14:textId="5366A757" w:rsidR="00DE758A" w:rsidRPr="000B1585" w:rsidRDefault="00C10CD5" w:rsidP="00DE758A">
            <w:pPr>
              <w:overflowPunct w:val="0"/>
              <w:autoSpaceDE w:val="0"/>
              <w:autoSpaceDN w:val="0"/>
              <w:adjustRightInd w:val="0"/>
              <w:spacing w:line="240" w:lineRule="auto"/>
              <w:textAlignment w:val="baseline"/>
              <w:rPr>
                <w:i/>
                <w:iCs/>
                <w:sz w:val="22"/>
                <w:szCs w:val="22"/>
              </w:rPr>
            </w:pPr>
            <w:hyperlink r:id="rId50" w:history="1">
              <w:r w:rsidRPr="000B1585">
                <w:rPr>
                  <w:i/>
                  <w:color w:val="0000FF"/>
                  <w:sz w:val="22"/>
                  <w:szCs w:val="22"/>
                  <w:u w:val="single"/>
                </w:rPr>
                <w:t>Silvia.Staffa@eesc.europa.eu</w:t>
              </w:r>
            </w:hyperlink>
          </w:p>
        </w:tc>
      </w:tr>
    </w:tbl>
    <w:p w14:paraId="22CD9CD0" w14:textId="459E6F1C" w:rsidR="00DE758A" w:rsidRDefault="00DE758A" w:rsidP="001766B2">
      <w:pPr>
        <w:pStyle w:val="ListParagraph"/>
        <w:ind w:left="0"/>
      </w:pPr>
    </w:p>
    <w:p w14:paraId="05089E5F" w14:textId="2C7F9608"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„Стратегическа стандартизация за по-силен единен пазар“</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0B1585" w14:paraId="45F8A76C" w14:textId="77777777" w:rsidTr="004B48B1">
        <w:tc>
          <w:tcPr>
            <w:tcW w:w="1701" w:type="dxa"/>
          </w:tcPr>
          <w:p w14:paraId="2632F8D5" w14:textId="77777777" w:rsidR="00CB6F1C" w:rsidRPr="000B1585" w:rsidRDefault="00CB6F1C" w:rsidP="00CB6F1C">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tc>
        <w:tc>
          <w:tcPr>
            <w:tcW w:w="7371" w:type="dxa"/>
          </w:tcPr>
          <w:p w14:paraId="0C80D85A" w14:textId="5AF224CE" w:rsidR="00CB6F1C" w:rsidRPr="000B1585" w:rsidRDefault="00CB6F1C" w:rsidP="00CB6F1C">
            <w:pPr>
              <w:tabs>
                <w:tab w:val="center" w:pos="284"/>
              </w:tabs>
              <w:overflowPunct w:val="0"/>
              <w:autoSpaceDE w:val="0"/>
              <w:autoSpaceDN w:val="0"/>
              <w:adjustRightInd w:val="0"/>
              <w:ind w:left="266" w:hanging="266"/>
              <w:textAlignment w:val="baseline"/>
              <w:rPr>
                <w:sz w:val="22"/>
                <w:szCs w:val="22"/>
              </w:rPr>
            </w:pPr>
            <w:proofErr w:type="spellStart"/>
            <w:r w:rsidRPr="000B1585">
              <w:rPr>
                <w:sz w:val="22"/>
                <w:szCs w:val="22"/>
              </w:rPr>
              <w:t>Angelo</w:t>
            </w:r>
            <w:proofErr w:type="spellEnd"/>
            <w:r w:rsidRPr="000B1585">
              <w:rPr>
                <w:sz w:val="22"/>
                <w:szCs w:val="22"/>
              </w:rPr>
              <w:t xml:space="preserve"> PAGLIARA (група „Работници“ — IT)</w:t>
            </w:r>
          </w:p>
        </w:tc>
      </w:tr>
      <w:tr w:rsidR="00CB6F1C" w:rsidRPr="000B1585" w14:paraId="604CF083" w14:textId="77777777" w:rsidTr="004B48B1">
        <w:tc>
          <w:tcPr>
            <w:tcW w:w="9072" w:type="dxa"/>
            <w:gridSpan w:val="2"/>
          </w:tcPr>
          <w:p w14:paraId="6F3BB2F2" w14:textId="77777777" w:rsidR="00CB6F1C" w:rsidRPr="000B1585" w:rsidRDefault="00CB6F1C" w:rsidP="00CB6F1C">
            <w:pPr>
              <w:tabs>
                <w:tab w:val="center" w:pos="284"/>
              </w:tabs>
              <w:overflowPunct w:val="0"/>
              <w:autoSpaceDE w:val="0"/>
              <w:autoSpaceDN w:val="0"/>
              <w:adjustRightInd w:val="0"/>
              <w:spacing w:line="160" w:lineRule="exact"/>
              <w:ind w:left="266" w:hanging="266"/>
              <w:textAlignment w:val="baseline"/>
              <w:rPr>
                <w:sz w:val="22"/>
                <w:szCs w:val="22"/>
              </w:rPr>
            </w:pPr>
          </w:p>
        </w:tc>
      </w:tr>
      <w:tr w:rsidR="00CB6F1C" w:rsidRPr="000B1585" w14:paraId="2D181A35" w14:textId="77777777" w:rsidTr="004B48B1">
        <w:tc>
          <w:tcPr>
            <w:tcW w:w="1701" w:type="dxa"/>
            <w:vMerge w:val="restart"/>
          </w:tcPr>
          <w:p w14:paraId="02B3C283" w14:textId="77777777" w:rsidR="00CB6F1C" w:rsidRPr="000B1585" w:rsidRDefault="00CB6F1C" w:rsidP="00CB6F1C">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7371" w:type="dxa"/>
          </w:tcPr>
          <w:p w14:paraId="4539C4CD" w14:textId="77777777" w:rsidR="00CB6F1C" w:rsidRPr="000B1585" w:rsidRDefault="00CB6F1C" w:rsidP="00CB6F1C">
            <w:pPr>
              <w:tabs>
                <w:tab w:val="center" w:pos="284"/>
              </w:tabs>
              <w:overflowPunct w:val="0"/>
              <w:autoSpaceDE w:val="0"/>
              <w:autoSpaceDN w:val="0"/>
              <w:adjustRightInd w:val="0"/>
              <w:ind w:left="266" w:hanging="266"/>
              <w:textAlignment w:val="baseline"/>
              <w:rPr>
                <w:sz w:val="22"/>
                <w:szCs w:val="22"/>
              </w:rPr>
            </w:pPr>
            <w:r w:rsidRPr="000B1585">
              <w:rPr>
                <w:sz w:val="22"/>
                <w:szCs w:val="22"/>
              </w:rPr>
              <w:t>становище по собствена инициатива</w:t>
            </w:r>
          </w:p>
          <w:p w14:paraId="543FC291" w14:textId="77777777" w:rsidR="00CB6F1C" w:rsidRPr="000B1585" w:rsidRDefault="00CB6F1C" w:rsidP="00CB6F1C">
            <w:pPr>
              <w:tabs>
                <w:tab w:val="center" w:pos="284"/>
              </w:tabs>
              <w:overflowPunct w:val="0"/>
              <w:autoSpaceDE w:val="0"/>
              <w:autoSpaceDN w:val="0"/>
              <w:adjustRightInd w:val="0"/>
              <w:ind w:left="266" w:hanging="266"/>
              <w:textAlignment w:val="baseline"/>
              <w:rPr>
                <w:sz w:val="22"/>
                <w:szCs w:val="22"/>
              </w:rPr>
            </w:pPr>
            <w:r w:rsidRPr="000B1585">
              <w:rPr>
                <w:sz w:val="22"/>
                <w:szCs w:val="22"/>
              </w:rPr>
              <w:t>EESC-2026-00549-00-00-AC</w:t>
            </w:r>
          </w:p>
        </w:tc>
      </w:tr>
      <w:tr w:rsidR="00CB6F1C" w:rsidRPr="000B1585" w14:paraId="2C4983D0" w14:textId="77777777" w:rsidTr="004B48B1">
        <w:tc>
          <w:tcPr>
            <w:tcW w:w="1701" w:type="dxa"/>
            <w:vMerge/>
          </w:tcPr>
          <w:p w14:paraId="10B21B74" w14:textId="77777777" w:rsidR="00CB6F1C" w:rsidRPr="000B1585" w:rsidRDefault="00CB6F1C" w:rsidP="00CB6F1C">
            <w:pPr>
              <w:tabs>
                <w:tab w:val="center" w:pos="284"/>
              </w:tabs>
              <w:overflowPunct w:val="0"/>
              <w:autoSpaceDE w:val="0"/>
              <w:autoSpaceDN w:val="0"/>
              <w:adjustRightInd w:val="0"/>
              <w:ind w:left="266" w:hanging="266"/>
              <w:textAlignment w:val="baseline"/>
              <w:rPr>
                <w:b/>
                <w:sz w:val="22"/>
                <w:szCs w:val="22"/>
              </w:rPr>
            </w:pPr>
          </w:p>
        </w:tc>
        <w:tc>
          <w:tcPr>
            <w:tcW w:w="7371" w:type="dxa"/>
          </w:tcPr>
          <w:p w14:paraId="1BD3ED76" w14:textId="77777777" w:rsidR="00CB6F1C" w:rsidRPr="000B1585" w:rsidRDefault="00CB6F1C" w:rsidP="00CB6F1C">
            <w:pPr>
              <w:tabs>
                <w:tab w:val="center" w:pos="284"/>
              </w:tabs>
              <w:overflowPunct w:val="0"/>
              <w:autoSpaceDE w:val="0"/>
              <w:autoSpaceDN w:val="0"/>
              <w:adjustRightInd w:val="0"/>
              <w:ind w:left="266" w:hanging="266"/>
              <w:textAlignment w:val="baseline"/>
              <w:rPr>
                <w:sz w:val="22"/>
                <w:szCs w:val="22"/>
              </w:rPr>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ЕИСК:</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подчертава, че </w:t>
      </w:r>
      <w:r>
        <w:rPr>
          <w:b/>
        </w:rPr>
        <w:t>приобщаващият характер</w:t>
      </w:r>
      <w:r>
        <w:t xml:space="preserve"> е от първостепенно значение за една легитимна и ефективна система за стандартизация, като призовава за </w:t>
      </w:r>
      <w:r>
        <w:rPr>
          <w:b/>
        </w:rPr>
        <w:t>по-голямо участие на МСП, профсъюзите и гражданското общество</w:t>
      </w:r>
      <w:r>
        <w:t>, подкрепено от подходящо финансиране, изграждане на капацитет и опростен достъп;</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призовава за ясни гаранции за защита на социалния диалог, като настоява, че </w:t>
      </w:r>
      <w:r>
        <w:rPr>
          <w:b/>
        </w:rPr>
        <w:t>европейските стандарти трябва да останат технически инструменти в подкрепа на законодателството</w:t>
      </w:r>
      <w:r>
        <w:t xml:space="preserve"> и не трябва да регулират или да се намесват в правата на работниците, условията на труд или колективното договаряне;</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препоръчва </w:t>
      </w:r>
      <w:r>
        <w:rPr>
          <w:b/>
        </w:rPr>
        <w:t>по-голяма прозрачнос</w:t>
      </w:r>
      <w:r>
        <w:t xml:space="preserve">т и достъпност, включително </w:t>
      </w:r>
      <w:r>
        <w:rPr>
          <w:b/>
        </w:rPr>
        <w:t>по-лесен публичен достъп до стандартите, по-ясно управление на техническите комитети</w:t>
      </w:r>
      <w:r>
        <w:t xml:space="preserve"> и </w:t>
      </w:r>
      <w:r>
        <w:rPr>
          <w:b/>
        </w:rPr>
        <w:t>предварителна оценка на исканията за стандартизация</w:t>
      </w:r>
      <w:r>
        <w:t>, за да се гарантира спазването на основните права и законодателството на ЕС;</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подчертава стратегическата роля на стандартизацията за стимулиране на единния пазар, конкурентоспособността и отворената стратегическа автономност, като същевременно настоятелно призовава за по-силна </w:t>
      </w:r>
      <w:r>
        <w:rPr>
          <w:b/>
        </w:rPr>
        <w:t>координация на ЕС при определянето на международни стандарти</w:t>
      </w:r>
      <w:r>
        <w:t xml:space="preserve"> с цел защита на европейските интереси и високи стандарти;</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застъпва се за по-ефективна и </w:t>
      </w:r>
      <w:r>
        <w:rPr>
          <w:b/>
        </w:rPr>
        <w:t>ориентирана към бъдещето</w:t>
      </w:r>
      <w:r>
        <w:t xml:space="preserve"> система, с която да се подобрят </w:t>
      </w:r>
      <w:r>
        <w:rPr>
          <w:b/>
        </w:rPr>
        <w:t>навременността</w:t>
      </w:r>
      <w:r>
        <w:t xml:space="preserve"> и качеството, като същевременно се обърне внимание на </w:t>
      </w:r>
      <w:r>
        <w:rPr>
          <w:b/>
        </w:rPr>
        <w:t>нововъзникващите технологии</w:t>
      </w:r>
      <w:r>
        <w:t xml:space="preserve"> и се гарантира, че стандартите подкрепят иновациите, устойчивостта и </w:t>
      </w:r>
      <w:r>
        <w:rPr>
          <w:b/>
        </w:rPr>
        <w:t>високите равнища на защита на работниците, потребителите и околната среда</w:t>
      </w:r>
      <w:r>
        <w:t>.</w:t>
      </w:r>
    </w:p>
    <w:p w14:paraId="20CA82A9" w14:textId="77777777" w:rsidR="00CB6F1C" w:rsidRPr="00CB6F1C" w:rsidRDefault="00CB6F1C" w:rsidP="000B1585">
      <w:pPr>
        <w:pageBreakBefore/>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0B1585" w14:paraId="10996137" w14:textId="77777777" w:rsidTr="002E7EFB">
        <w:tc>
          <w:tcPr>
            <w:tcW w:w="1418" w:type="dxa"/>
          </w:tcPr>
          <w:p w14:paraId="14035960" w14:textId="77777777" w:rsidR="00CB6F1C" w:rsidRPr="000B1585" w:rsidRDefault="00CB6F1C" w:rsidP="00CB6F1C">
            <w:pPr>
              <w:overflowPunct w:val="0"/>
              <w:autoSpaceDE w:val="0"/>
              <w:autoSpaceDN w:val="0"/>
              <w:adjustRightInd w:val="0"/>
              <w:spacing w:line="240" w:lineRule="auto"/>
              <w:textAlignment w:val="baseline"/>
              <w:rPr>
                <w:i/>
                <w:sz w:val="22"/>
                <w:szCs w:val="22"/>
              </w:rPr>
            </w:pPr>
            <w:r w:rsidRPr="000B1585">
              <w:rPr>
                <w:b/>
                <w:i/>
                <w:sz w:val="22"/>
                <w:szCs w:val="22"/>
              </w:rPr>
              <w:t>За контакти</w:t>
            </w:r>
          </w:p>
        </w:tc>
        <w:tc>
          <w:tcPr>
            <w:tcW w:w="5670" w:type="dxa"/>
          </w:tcPr>
          <w:p w14:paraId="5F887264" w14:textId="77777777" w:rsidR="00CB6F1C" w:rsidRPr="000B1585" w:rsidRDefault="00CB6F1C" w:rsidP="00CB6F1C">
            <w:pPr>
              <w:overflowPunct w:val="0"/>
              <w:autoSpaceDE w:val="0"/>
              <w:autoSpaceDN w:val="0"/>
              <w:adjustRightInd w:val="0"/>
              <w:spacing w:line="240" w:lineRule="auto"/>
              <w:textAlignment w:val="baseline"/>
              <w:rPr>
                <w:i/>
                <w:sz w:val="22"/>
                <w:szCs w:val="22"/>
              </w:rPr>
            </w:pPr>
            <w:proofErr w:type="spellStart"/>
            <w:r w:rsidRPr="000B1585">
              <w:rPr>
                <w:i/>
                <w:sz w:val="22"/>
                <w:szCs w:val="22"/>
              </w:rPr>
              <w:t>Silvia</w:t>
            </w:r>
            <w:proofErr w:type="spellEnd"/>
            <w:r w:rsidRPr="000B1585">
              <w:rPr>
                <w:i/>
                <w:sz w:val="22"/>
                <w:szCs w:val="22"/>
              </w:rPr>
              <w:t xml:space="preserve"> </w:t>
            </w:r>
            <w:proofErr w:type="spellStart"/>
            <w:r w:rsidRPr="000B1585">
              <w:rPr>
                <w:i/>
                <w:sz w:val="22"/>
                <w:szCs w:val="22"/>
              </w:rPr>
              <w:t>Staffa</w:t>
            </w:r>
            <w:proofErr w:type="spellEnd"/>
          </w:p>
        </w:tc>
      </w:tr>
      <w:tr w:rsidR="00CB6F1C" w:rsidRPr="000B1585" w14:paraId="79343DDB" w14:textId="77777777" w:rsidTr="002E7EFB">
        <w:tc>
          <w:tcPr>
            <w:tcW w:w="1418" w:type="dxa"/>
          </w:tcPr>
          <w:p w14:paraId="67332A42" w14:textId="77777777" w:rsidR="00CB6F1C" w:rsidRPr="000B1585" w:rsidRDefault="00CB6F1C" w:rsidP="00CB6F1C">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5670" w:type="dxa"/>
          </w:tcPr>
          <w:p w14:paraId="30E9176B" w14:textId="77777777" w:rsidR="00CB6F1C" w:rsidRPr="000B1585" w:rsidRDefault="00CB6F1C" w:rsidP="00CB6F1C">
            <w:pPr>
              <w:overflowPunct w:val="0"/>
              <w:autoSpaceDE w:val="0"/>
              <w:autoSpaceDN w:val="0"/>
              <w:adjustRightInd w:val="0"/>
              <w:spacing w:line="240" w:lineRule="auto"/>
              <w:textAlignment w:val="baseline"/>
              <w:rPr>
                <w:i/>
                <w:sz w:val="22"/>
                <w:szCs w:val="22"/>
              </w:rPr>
            </w:pPr>
            <w:r w:rsidRPr="000B1585">
              <w:rPr>
                <w:i/>
                <w:sz w:val="22"/>
                <w:szCs w:val="22"/>
              </w:rPr>
              <w:t>+32 25468378</w:t>
            </w:r>
          </w:p>
        </w:tc>
      </w:tr>
      <w:tr w:rsidR="00CB6F1C" w:rsidRPr="000B1585" w14:paraId="47D09906" w14:textId="77777777" w:rsidTr="002E7EFB">
        <w:tc>
          <w:tcPr>
            <w:tcW w:w="1418" w:type="dxa"/>
          </w:tcPr>
          <w:p w14:paraId="64360087" w14:textId="77777777" w:rsidR="00CB6F1C" w:rsidRPr="000B1585" w:rsidRDefault="00CB6F1C" w:rsidP="00CB6F1C">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5670" w:type="dxa"/>
          </w:tcPr>
          <w:p w14:paraId="06BF328F" w14:textId="0E5BB111" w:rsidR="00CB6F1C" w:rsidRPr="000B1585" w:rsidRDefault="00C10CD5" w:rsidP="00CB6F1C">
            <w:pPr>
              <w:overflowPunct w:val="0"/>
              <w:autoSpaceDE w:val="0"/>
              <w:autoSpaceDN w:val="0"/>
              <w:adjustRightInd w:val="0"/>
              <w:spacing w:line="240" w:lineRule="auto"/>
              <w:textAlignment w:val="baseline"/>
              <w:rPr>
                <w:i/>
                <w:sz w:val="22"/>
                <w:szCs w:val="22"/>
              </w:rPr>
            </w:pPr>
            <w:hyperlink r:id="rId52" w:history="1">
              <w:r w:rsidRPr="000B1585">
                <w:rPr>
                  <w:i/>
                  <w:color w:val="0000FF"/>
                  <w:sz w:val="22"/>
                  <w:szCs w:val="22"/>
                  <w:u w:val="single"/>
                </w:rPr>
                <w:t>Silvia.Staffa@eesc.europa.eu</w:t>
              </w:r>
            </w:hyperlink>
          </w:p>
          <w:p w14:paraId="7003408F" w14:textId="77777777" w:rsidR="00CB6F1C" w:rsidRPr="000B1585" w:rsidRDefault="00CB6F1C" w:rsidP="00CB6F1C">
            <w:pPr>
              <w:overflowPunct w:val="0"/>
              <w:autoSpaceDE w:val="0"/>
              <w:autoSpaceDN w:val="0"/>
              <w:adjustRightInd w:val="0"/>
              <w:spacing w:line="240" w:lineRule="auto"/>
              <w:textAlignment w:val="baseline"/>
              <w:rPr>
                <w:i/>
                <w:sz w:val="22"/>
                <w:szCs w:val="22"/>
              </w:rPr>
            </w:pPr>
          </w:p>
        </w:tc>
      </w:tr>
    </w:tbl>
    <w:p w14:paraId="3187E665" w14:textId="3690C612" w:rsidR="00CB6F1C" w:rsidRDefault="00CB6F1C" w:rsidP="001766B2">
      <w:pPr>
        <w:pStyle w:val="ListParagraph"/>
        <w:ind w:left="0"/>
      </w:pPr>
    </w:p>
    <w:p w14:paraId="2AE1B217" w14:textId="39307A4A" w:rsidR="001F4150" w:rsidRPr="001F4150" w:rsidRDefault="00A067F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„Единен пазар — мерки във връзка с необоснованите териториални ограничения на доставките“</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0B1585" w14:paraId="27380A90" w14:textId="77777777" w:rsidTr="002E7EFB">
        <w:tc>
          <w:tcPr>
            <w:tcW w:w="1148" w:type="pct"/>
          </w:tcPr>
          <w:p w14:paraId="2F79F3A7" w14:textId="77777777" w:rsidR="001F4150" w:rsidRPr="000B1585" w:rsidRDefault="001F4150" w:rsidP="001F4150">
            <w:pPr>
              <w:tabs>
                <w:tab w:val="center" w:pos="284"/>
              </w:tabs>
              <w:overflowPunct w:val="0"/>
              <w:autoSpaceDE w:val="0"/>
              <w:autoSpaceDN w:val="0"/>
              <w:adjustRightInd w:val="0"/>
              <w:ind w:left="266" w:hanging="266"/>
              <w:textAlignment w:val="baseline"/>
              <w:rPr>
                <w:b/>
                <w:sz w:val="22"/>
                <w:szCs w:val="22"/>
              </w:rPr>
            </w:pPr>
          </w:p>
          <w:p w14:paraId="7485093C" w14:textId="77777777" w:rsidR="001F4150" w:rsidRPr="000B1585" w:rsidRDefault="001F4150" w:rsidP="001F4150">
            <w:pPr>
              <w:tabs>
                <w:tab w:val="center" w:pos="284"/>
              </w:tabs>
              <w:overflowPunct w:val="0"/>
              <w:autoSpaceDE w:val="0"/>
              <w:autoSpaceDN w:val="0"/>
              <w:adjustRightInd w:val="0"/>
              <w:ind w:left="266" w:hanging="376"/>
              <w:textAlignment w:val="baseline"/>
              <w:rPr>
                <w:b/>
                <w:sz w:val="22"/>
                <w:szCs w:val="22"/>
              </w:rPr>
            </w:pPr>
            <w:r w:rsidRPr="000B1585">
              <w:rPr>
                <w:b/>
                <w:sz w:val="22"/>
                <w:szCs w:val="22"/>
              </w:rPr>
              <w:t>Докладчик</w:t>
            </w:r>
          </w:p>
          <w:p w14:paraId="2EC02C26" w14:textId="77777777" w:rsidR="001F4150" w:rsidRPr="000B1585" w:rsidRDefault="001F4150" w:rsidP="001F4150">
            <w:pPr>
              <w:tabs>
                <w:tab w:val="center" w:pos="284"/>
              </w:tabs>
              <w:overflowPunct w:val="0"/>
              <w:autoSpaceDE w:val="0"/>
              <w:autoSpaceDN w:val="0"/>
              <w:adjustRightInd w:val="0"/>
              <w:ind w:left="266" w:hanging="376"/>
              <w:textAlignment w:val="baseline"/>
              <w:rPr>
                <w:b/>
                <w:sz w:val="22"/>
                <w:szCs w:val="22"/>
              </w:rPr>
            </w:pPr>
          </w:p>
        </w:tc>
        <w:tc>
          <w:tcPr>
            <w:tcW w:w="3852" w:type="pct"/>
          </w:tcPr>
          <w:p w14:paraId="1D6A7045" w14:textId="77777777" w:rsidR="001F4150" w:rsidRPr="000B1585" w:rsidRDefault="001F4150" w:rsidP="001F4150">
            <w:pPr>
              <w:tabs>
                <w:tab w:val="center" w:pos="284"/>
              </w:tabs>
              <w:overflowPunct w:val="0"/>
              <w:autoSpaceDE w:val="0"/>
              <w:autoSpaceDN w:val="0"/>
              <w:adjustRightInd w:val="0"/>
              <w:ind w:left="266" w:hanging="266"/>
              <w:textAlignment w:val="baseline"/>
              <w:rPr>
                <w:sz w:val="22"/>
                <w:szCs w:val="22"/>
              </w:rPr>
            </w:pPr>
          </w:p>
          <w:p w14:paraId="1761BEF7" w14:textId="4E47E597" w:rsidR="001F4150" w:rsidRPr="000B1585" w:rsidRDefault="001F4150" w:rsidP="001F4150">
            <w:pPr>
              <w:tabs>
                <w:tab w:val="center" w:pos="284"/>
              </w:tabs>
              <w:overflowPunct w:val="0"/>
              <w:autoSpaceDE w:val="0"/>
              <w:autoSpaceDN w:val="0"/>
              <w:adjustRightInd w:val="0"/>
              <w:ind w:left="266" w:hanging="266"/>
              <w:textAlignment w:val="baseline"/>
              <w:rPr>
                <w:sz w:val="22"/>
                <w:szCs w:val="22"/>
              </w:rPr>
            </w:pPr>
            <w:proofErr w:type="spellStart"/>
            <w:r w:rsidRPr="000B1585">
              <w:rPr>
                <w:sz w:val="22"/>
                <w:szCs w:val="22"/>
              </w:rPr>
              <w:t>Antje</w:t>
            </w:r>
            <w:proofErr w:type="spellEnd"/>
            <w:r w:rsidRPr="000B1585">
              <w:rPr>
                <w:sz w:val="22"/>
                <w:szCs w:val="22"/>
              </w:rPr>
              <w:t xml:space="preserve"> GERSTEIN (група „Работодатели“ — DE)</w:t>
            </w:r>
          </w:p>
          <w:p w14:paraId="1BE7D08A" w14:textId="77777777" w:rsidR="001F4150" w:rsidRPr="000B1585" w:rsidRDefault="001F4150" w:rsidP="001F4150">
            <w:pPr>
              <w:tabs>
                <w:tab w:val="center" w:pos="284"/>
              </w:tabs>
              <w:overflowPunct w:val="0"/>
              <w:autoSpaceDE w:val="0"/>
              <w:autoSpaceDN w:val="0"/>
              <w:adjustRightInd w:val="0"/>
              <w:ind w:left="266" w:hanging="266"/>
              <w:textAlignment w:val="baseline"/>
              <w:rPr>
                <w:sz w:val="22"/>
                <w:szCs w:val="22"/>
                <w:lang w:val="fr-BE"/>
              </w:rPr>
            </w:pPr>
          </w:p>
        </w:tc>
      </w:tr>
      <w:tr w:rsidR="001F4150" w:rsidRPr="000B1585" w14:paraId="0CDF272C" w14:textId="77777777" w:rsidTr="002E7EFB">
        <w:tc>
          <w:tcPr>
            <w:tcW w:w="1148" w:type="pct"/>
            <w:vMerge w:val="restart"/>
          </w:tcPr>
          <w:p w14:paraId="2BF9F448" w14:textId="77777777" w:rsidR="001F4150" w:rsidRPr="000B1585" w:rsidRDefault="001F4150" w:rsidP="001F4150">
            <w:pPr>
              <w:tabs>
                <w:tab w:val="center" w:pos="284"/>
              </w:tabs>
              <w:overflowPunct w:val="0"/>
              <w:autoSpaceDE w:val="0"/>
              <w:autoSpaceDN w:val="0"/>
              <w:adjustRightInd w:val="0"/>
              <w:ind w:left="266" w:hanging="376"/>
              <w:textAlignment w:val="baseline"/>
              <w:rPr>
                <w:b/>
                <w:sz w:val="22"/>
                <w:szCs w:val="22"/>
              </w:rPr>
            </w:pPr>
            <w:r w:rsidRPr="000B1585">
              <w:rPr>
                <w:b/>
                <w:sz w:val="22"/>
                <w:szCs w:val="22"/>
              </w:rPr>
              <w:t>Отправни документи</w:t>
            </w:r>
          </w:p>
        </w:tc>
        <w:tc>
          <w:tcPr>
            <w:tcW w:w="3852" w:type="pct"/>
          </w:tcPr>
          <w:p w14:paraId="2F1D29F3" w14:textId="714FA805" w:rsidR="001F4150" w:rsidRPr="000B1585" w:rsidRDefault="001F4150" w:rsidP="001F4150">
            <w:pPr>
              <w:tabs>
                <w:tab w:val="center" w:pos="284"/>
              </w:tabs>
              <w:overflowPunct w:val="0"/>
              <w:autoSpaceDE w:val="0"/>
              <w:autoSpaceDN w:val="0"/>
              <w:adjustRightInd w:val="0"/>
              <w:ind w:left="266" w:hanging="266"/>
              <w:textAlignment w:val="baseline"/>
              <w:rPr>
                <w:sz w:val="22"/>
                <w:szCs w:val="22"/>
              </w:rPr>
            </w:pPr>
            <w:r w:rsidRPr="000B1585">
              <w:rPr>
                <w:sz w:val="22"/>
                <w:szCs w:val="22"/>
              </w:rPr>
              <w:t>проучвателно становище по искане на Европейската комисия</w:t>
            </w:r>
          </w:p>
        </w:tc>
      </w:tr>
      <w:tr w:rsidR="001F4150" w:rsidRPr="000B1585" w14:paraId="64A253EA" w14:textId="77777777" w:rsidTr="002E7EFB">
        <w:tc>
          <w:tcPr>
            <w:tcW w:w="1148" w:type="pct"/>
            <w:vMerge/>
          </w:tcPr>
          <w:p w14:paraId="67EE78EE" w14:textId="77777777" w:rsidR="001F4150" w:rsidRPr="000B1585" w:rsidRDefault="001F4150" w:rsidP="001F4150">
            <w:pPr>
              <w:tabs>
                <w:tab w:val="center" w:pos="284"/>
              </w:tabs>
              <w:overflowPunct w:val="0"/>
              <w:autoSpaceDE w:val="0"/>
              <w:autoSpaceDN w:val="0"/>
              <w:adjustRightInd w:val="0"/>
              <w:ind w:left="266" w:hanging="266"/>
              <w:textAlignment w:val="baseline"/>
              <w:rPr>
                <w:b/>
                <w:sz w:val="22"/>
                <w:szCs w:val="22"/>
              </w:rPr>
            </w:pPr>
          </w:p>
        </w:tc>
        <w:tc>
          <w:tcPr>
            <w:tcW w:w="3852" w:type="pct"/>
          </w:tcPr>
          <w:p w14:paraId="42A23A45" w14:textId="373FB450" w:rsidR="001F4150" w:rsidRPr="000B1585" w:rsidRDefault="001F4150" w:rsidP="001F4150">
            <w:pPr>
              <w:tabs>
                <w:tab w:val="center" w:pos="284"/>
              </w:tabs>
              <w:overflowPunct w:val="0"/>
              <w:autoSpaceDE w:val="0"/>
              <w:autoSpaceDN w:val="0"/>
              <w:adjustRightInd w:val="0"/>
              <w:ind w:left="266" w:hanging="266"/>
              <w:textAlignment w:val="baseline"/>
              <w:rPr>
                <w:sz w:val="22"/>
                <w:szCs w:val="22"/>
              </w:rPr>
            </w:pPr>
            <w:r w:rsidRPr="000B1585">
              <w:rPr>
                <w:sz w:val="22"/>
                <w:szCs w:val="22"/>
              </w:rP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ЕИСК:</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смята, че териториалните ограничения на доставките вредят на трансграничната стопанска дейност и нарушават обещанието на единния пазар за предоставяне на избор и ценова конкуренция на потребителите;</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смята, че е особено важно потребителите и работниците да използват всички потенциални ползи от добре функциониращия единен пазар по отношение на цените и избора на продукти;</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 xml:space="preserve">настоятелно призовава държавите членки да не приемат национално законодателство, което допълнително би </w:t>
      </w:r>
      <w:proofErr w:type="spellStart"/>
      <w:r>
        <w:t>ренационализирало</w:t>
      </w:r>
      <w:proofErr w:type="spellEnd"/>
      <w:r>
        <w:t xml:space="preserve"> пазара за снабдяване, а вместо това да премахнат необоснованите пречки пред свободното движение на стоки, без да се подкопават законните изисквания за защита на потребителите;</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вижда добавена стойност в проучването на възможността за създаване на насоки за националните органи за защита на конкуренцията и съответните заинтересовани страни;</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призовава Европейската комисия да обмисли предлагането на законодателство въз основа на принципите на Акта за цифровите пазари или Директивата относно нелоялните търговски практики (НТП) във веригата за доставки на селскостопански хранителни продукти, за да се преодолеят ефективно териториалните ограничения на доставките и да се гарантират по-справедливи търговски практики във веригата за доставки.</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0B1585" w14:paraId="040FF66B" w14:textId="77777777" w:rsidTr="002E7EFB">
        <w:tc>
          <w:tcPr>
            <w:tcW w:w="1556" w:type="pct"/>
          </w:tcPr>
          <w:p w14:paraId="5FAB806C" w14:textId="77777777" w:rsidR="001F4150" w:rsidRPr="000B1585" w:rsidRDefault="001F4150" w:rsidP="001F4150">
            <w:pPr>
              <w:overflowPunct w:val="0"/>
              <w:autoSpaceDE w:val="0"/>
              <w:autoSpaceDN w:val="0"/>
              <w:adjustRightInd w:val="0"/>
              <w:spacing w:line="240" w:lineRule="auto"/>
              <w:textAlignment w:val="baseline"/>
              <w:rPr>
                <w:i/>
                <w:sz w:val="22"/>
                <w:szCs w:val="22"/>
              </w:rPr>
            </w:pPr>
            <w:r w:rsidRPr="000B1585">
              <w:rPr>
                <w:b/>
                <w:i/>
                <w:sz w:val="22"/>
                <w:szCs w:val="22"/>
              </w:rPr>
              <w:t>За контакти</w:t>
            </w:r>
          </w:p>
        </w:tc>
        <w:tc>
          <w:tcPr>
            <w:tcW w:w="3444" w:type="pct"/>
          </w:tcPr>
          <w:p w14:paraId="516AAA31" w14:textId="77777777" w:rsidR="001F4150" w:rsidRPr="000B1585" w:rsidRDefault="001F4150" w:rsidP="001F4150">
            <w:pPr>
              <w:overflowPunct w:val="0"/>
              <w:autoSpaceDE w:val="0"/>
              <w:autoSpaceDN w:val="0"/>
              <w:adjustRightInd w:val="0"/>
              <w:spacing w:line="240" w:lineRule="auto"/>
              <w:textAlignment w:val="baseline"/>
              <w:rPr>
                <w:i/>
                <w:sz w:val="22"/>
                <w:szCs w:val="22"/>
              </w:rPr>
            </w:pPr>
            <w:proofErr w:type="spellStart"/>
            <w:r w:rsidRPr="000B1585">
              <w:rPr>
                <w:i/>
                <w:sz w:val="22"/>
                <w:szCs w:val="22"/>
              </w:rPr>
              <w:t>Annalisa</w:t>
            </w:r>
            <w:proofErr w:type="spellEnd"/>
            <w:r w:rsidRPr="000B1585">
              <w:rPr>
                <w:i/>
                <w:sz w:val="22"/>
                <w:szCs w:val="22"/>
              </w:rPr>
              <w:t xml:space="preserve"> </w:t>
            </w:r>
            <w:proofErr w:type="spellStart"/>
            <w:r w:rsidRPr="000B1585">
              <w:rPr>
                <w:i/>
                <w:sz w:val="22"/>
                <w:szCs w:val="22"/>
              </w:rPr>
              <w:t>Tessarolo</w:t>
            </w:r>
            <w:proofErr w:type="spellEnd"/>
          </w:p>
        </w:tc>
      </w:tr>
      <w:tr w:rsidR="001F4150" w:rsidRPr="000B1585" w14:paraId="5B08B574" w14:textId="77777777" w:rsidTr="002E7EFB">
        <w:tc>
          <w:tcPr>
            <w:tcW w:w="1556" w:type="pct"/>
          </w:tcPr>
          <w:p w14:paraId="736D0776" w14:textId="77777777" w:rsidR="001F4150" w:rsidRPr="000B1585" w:rsidRDefault="001F4150" w:rsidP="001F4150">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3444" w:type="pct"/>
          </w:tcPr>
          <w:p w14:paraId="38C43A98" w14:textId="77777777" w:rsidR="001F4150" w:rsidRPr="000B1585" w:rsidRDefault="001F4150" w:rsidP="001F4150">
            <w:pPr>
              <w:overflowPunct w:val="0"/>
              <w:autoSpaceDE w:val="0"/>
              <w:autoSpaceDN w:val="0"/>
              <w:adjustRightInd w:val="0"/>
              <w:spacing w:line="240" w:lineRule="auto"/>
              <w:textAlignment w:val="baseline"/>
              <w:rPr>
                <w:i/>
                <w:sz w:val="22"/>
                <w:szCs w:val="22"/>
              </w:rPr>
            </w:pPr>
            <w:r w:rsidRPr="000B1585">
              <w:rPr>
                <w:i/>
                <w:sz w:val="22"/>
                <w:szCs w:val="22"/>
              </w:rPr>
              <w:t>+32 25469732</w:t>
            </w:r>
          </w:p>
        </w:tc>
      </w:tr>
      <w:tr w:rsidR="001F4150" w:rsidRPr="000B1585" w14:paraId="1C237976" w14:textId="77777777" w:rsidTr="002E7EFB">
        <w:tc>
          <w:tcPr>
            <w:tcW w:w="1556" w:type="pct"/>
          </w:tcPr>
          <w:p w14:paraId="782613FB" w14:textId="21F52E77" w:rsidR="001F4150" w:rsidRPr="000B1585" w:rsidRDefault="00785300" w:rsidP="001F4150">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3444" w:type="pct"/>
          </w:tcPr>
          <w:p w14:paraId="67D97326" w14:textId="37350989" w:rsidR="001F4150" w:rsidRPr="000B1585" w:rsidRDefault="00C10CD5" w:rsidP="001F4150">
            <w:pPr>
              <w:overflowPunct w:val="0"/>
              <w:autoSpaceDE w:val="0"/>
              <w:autoSpaceDN w:val="0"/>
              <w:adjustRightInd w:val="0"/>
              <w:spacing w:line="240" w:lineRule="auto"/>
              <w:textAlignment w:val="baseline"/>
              <w:rPr>
                <w:i/>
                <w:iCs/>
                <w:sz w:val="22"/>
                <w:szCs w:val="22"/>
              </w:rPr>
            </w:pPr>
            <w:hyperlink r:id="rId54" w:history="1">
              <w:r w:rsidRPr="000B1585">
                <w:rPr>
                  <w:i/>
                  <w:color w:val="0000FF"/>
                  <w:sz w:val="22"/>
                  <w:szCs w:val="22"/>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211EC9EB" w:rsidR="00227AA1" w:rsidRPr="00227AA1" w:rsidRDefault="00C10CD5"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„Стратегия на ЕС за стартиращите и разрастващите се предприятия — с акцент върху Европейския акт за иновациите“</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0B1585" w14:paraId="6C2F2EA8" w14:textId="77777777" w:rsidTr="004C6742">
        <w:tc>
          <w:tcPr>
            <w:tcW w:w="1701" w:type="dxa"/>
          </w:tcPr>
          <w:p w14:paraId="441F9F44" w14:textId="77777777" w:rsidR="00227AA1" w:rsidRPr="000B1585" w:rsidRDefault="00227AA1" w:rsidP="00227AA1">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tc>
        <w:tc>
          <w:tcPr>
            <w:tcW w:w="6663" w:type="dxa"/>
          </w:tcPr>
          <w:p w14:paraId="0C2DB9EA" w14:textId="7F8CAD64" w:rsidR="00227AA1" w:rsidRPr="000B1585" w:rsidRDefault="00227AA1" w:rsidP="00227AA1">
            <w:pPr>
              <w:tabs>
                <w:tab w:val="center" w:pos="284"/>
              </w:tabs>
              <w:overflowPunct w:val="0"/>
              <w:autoSpaceDE w:val="0"/>
              <w:autoSpaceDN w:val="0"/>
              <w:adjustRightInd w:val="0"/>
              <w:ind w:left="266" w:hanging="266"/>
              <w:textAlignment w:val="baseline"/>
              <w:rPr>
                <w:sz w:val="22"/>
                <w:szCs w:val="22"/>
              </w:rPr>
            </w:pPr>
            <w:proofErr w:type="spellStart"/>
            <w:r w:rsidRPr="000B1585">
              <w:rPr>
                <w:sz w:val="22"/>
                <w:szCs w:val="22"/>
              </w:rPr>
              <w:t>Paul</w:t>
            </w:r>
            <w:proofErr w:type="spellEnd"/>
            <w:r w:rsidRPr="000B1585">
              <w:rPr>
                <w:sz w:val="22"/>
                <w:szCs w:val="22"/>
              </w:rPr>
              <w:t xml:space="preserve"> RÜBIG (група „Работодатели“ — AT)</w:t>
            </w:r>
          </w:p>
          <w:p w14:paraId="5142010D" w14:textId="77777777" w:rsidR="00227AA1" w:rsidRPr="000B1585" w:rsidRDefault="00227AA1" w:rsidP="00227AA1">
            <w:pPr>
              <w:tabs>
                <w:tab w:val="center" w:pos="284"/>
              </w:tabs>
              <w:overflowPunct w:val="0"/>
              <w:autoSpaceDE w:val="0"/>
              <w:autoSpaceDN w:val="0"/>
              <w:adjustRightInd w:val="0"/>
              <w:ind w:left="266" w:hanging="266"/>
              <w:textAlignment w:val="baseline"/>
              <w:rPr>
                <w:sz w:val="22"/>
                <w:szCs w:val="22"/>
              </w:rPr>
            </w:pPr>
          </w:p>
        </w:tc>
      </w:tr>
      <w:tr w:rsidR="00227AA1" w:rsidRPr="000B1585" w14:paraId="35AF9FA7" w14:textId="77777777" w:rsidTr="004C6742">
        <w:tc>
          <w:tcPr>
            <w:tcW w:w="8364" w:type="dxa"/>
            <w:gridSpan w:val="2"/>
          </w:tcPr>
          <w:p w14:paraId="691DC230" w14:textId="77777777" w:rsidR="00227AA1" w:rsidRPr="000B1585" w:rsidRDefault="00227AA1" w:rsidP="00227AA1">
            <w:pPr>
              <w:tabs>
                <w:tab w:val="center" w:pos="284"/>
              </w:tabs>
              <w:overflowPunct w:val="0"/>
              <w:autoSpaceDE w:val="0"/>
              <w:autoSpaceDN w:val="0"/>
              <w:adjustRightInd w:val="0"/>
              <w:spacing w:line="160" w:lineRule="exact"/>
              <w:ind w:left="266" w:hanging="266"/>
              <w:textAlignment w:val="baseline"/>
              <w:rPr>
                <w:sz w:val="22"/>
                <w:szCs w:val="22"/>
              </w:rPr>
            </w:pPr>
          </w:p>
        </w:tc>
      </w:tr>
      <w:tr w:rsidR="00227AA1" w:rsidRPr="000B1585" w14:paraId="24C7D08D" w14:textId="77777777" w:rsidTr="004C6742">
        <w:tc>
          <w:tcPr>
            <w:tcW w:w="1701" w:type="dxa"/>
            <w:vMerge w:val="restart"/>
          </w:tcPr>
          <w:p w14:paraId="2D8C98F2" w14:textId="77777777" w:rsidR="00227AA1" w:rsidRPr="000B1585" w:rsidRDefault="00227AA1" w:rsidP="00227AA1">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6663" w:type="dxa"/>
          </w:tcPr>
          <w:p w14:paraId="05D43623" w14:textId="3773BAC0" w:rsidR="00227AA1" w:rsidRPr="000B1585" w:rsidRDefault="00227AA1" w:rsidP="00227AA1">
            <w:pPr>
              <w:tabs>
                <w:tab w:val="center" w:pos="284"/>
              </w:tabs>
              <w:overflowPunct w:val="0"/>
              <w:autoSpaceDE w:val="0"/>
              <w:autoSpaceDN w:val="0"/>
              <w:adjustRightInd w:val="0"/>
              <w:ind w:left="266" w:hanging="266"/>
              <w:textAlignment w:val="baseline"/>
              <w:rPr>
                <w:sz w:val="22"/>
                <w:szCs w:val="22"/>
              </w:rPr>
            </w:pPr>
            <w:r w:rsidRPr="000B1585">
              <w:rPr>
                <w:sz w:val="22"/>
                <w:szCs w:val="22"/>
              </w:rPr>
              <w:t>проучвателно становище по искане на кипърското председателство на Съвета на ЕС</w:t>
            </w:r>
          </w:p>
          <w:p w14:paraId="392D955D" w14:textId="77777777" w:rsidR="00227AA1" w:rsidRPr="000B1585" w:rsidRDefault="00227AA1" w:rsidP="00227AA1">
            <w:pPr>
              <w:tabs>
                <w:tab w:val="center" w:pos="284"/>
              </w:tabs>
              <w:overflowPunct w:val="0"/>
              <w:autoSpaceDE w:val="0"/>
              <w:autoSpaceDN w:val="0"/>
              <w:adjustRightInd w:val="0"/>
              <w:ind w:left="266" w:hanging="266"/>
              <w:textAlignment w:val="baseline"/>
              <w:rPr>
                <w:sz w:val="22"/>
                <w:szCs w:val="22"/>
              </w:rPr>
            </w:pPr>
            <w:r w:rsidRPr="000B1585">
              <w:rPr>
                <w:sz w:val="22"/>
                <w:szCs w:val="22"/>
              </w:rPr>
              <w:t>EESC-2025-04126-00-00-AC</w:t>
            </w:r>
          </w:p>
        </w:tc>
      </w:tr>
      <w:tr w:rsidR="00227AA1" w:rsidRPr="000B1585" w14:paraId="2384CA2A" w14:textId="77777777" w:rsidTr="004C6742">
        <w:tc>
          <w:tcPr>
            <w:tcW w:w="1701" w:type="dxa"/>
            <w:vMerge/>
          </w:tcPr>
          <w:p w14:paraId="20987ACE" w14:textId="77777777" w:rsidR="00227AA1" w:rsidRPr="000B1585" w:rsidRDefault="00227AA1" w:rsidP="00227AA1">
            <w:pPr>
              <w:tabs>
                <w:tab w:val="center" w:pos="284"/>
              </w:tabs>
              <w:overflowPunct w:val="0"/>
              <w:autoSpaceDE w:val="0"/>
              <w:autoSpaceDN w:val="0"/>
              <w:adjustRightInd w:val="0"/>
              <w:ind w:left="266" w:hanging="266"/>
              <w:textAlignment w:val="baseline"/>
              <w:rPr>
                <w:b/>
                <w:sz w:val="22"/>
                <w:szCs w:val="22"/>
              </w:rPr>
            </w:pPr>
          </w:p>
        </w:tc>
        <w:tc>
          <w:tcPr>
            <w:tcW w:w="6663" w:type="dxa"/>
          </w:tcPr>
          <w:p w14:paraId="14ABF28D" w14:textId="77777777" w:rsidR="00227AA1" w:rsidRPr="000B1585" w:rsidRDefault="00227AA1" w:rsidP="00227AA1">
            <w:pPr>
              <w:tabs>
                <w:tab w:val="center" w:pos="284"/>
              </w:tabs>
              <w:overflowPunct w:val="0"/>
              <w:autoSpaceDE w:val="0"/>
              <w:autoSpaceDN w:val="0"/>
              <w:adjustRightInd w:val="0"/>
              <w:ind w:left="266" w:hanging="266"/>
              <w:textAlignment w:val="baseline"/>
              <w:rPr>
                <w:sz w:val="22"/>
                <w:szCs w:val="22"/>
              </w:rPr>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ЕИСК счита че:</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Европа трябва да окаже силна подкрепа за иновациите и изследванията, за да навакса голямото изоставане по отношение на пазарната реализация на продукта от тези иновации и изследвания чрез спин-</w:t>
      </w:r>
      <w:proofErr w:type="spellStart"/>
      <w:r>
        <w:t>оф</w:t>
      </w:r>
      <w:proofErr w:type="spellEnd"/>
      <w:r>
        <w:t>, стартиращи и разрастващи се предприятия.</w:t>
      </w:r>
      <w:r>
        <w:rPr>
          <w:rFonts w:ascii="Calibri" w:hAnsi="Calibri"/>
        </w:rPr>
        <w:t xml:space="preserve"> </w:t>
      </w:r>
      <w:r>
        <w:t>В стратегически важните отрасли нараства загрижеността, че средата в Европа е станала твърде фрагментирана, твърде уплътнена и твърде бавна, за да е в крак с бързото технологично развитие в световен мащаб;</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основните причини за това са по-слабото разбиране на процесите на пазарната икономика и все по-фрагментираните разпоредби и прилагането им в рамките на единния пазар, които възпрепятстват трансграничното развитие на пазара и трансфера на технологии от научните изследвания към промишлеността;</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бавните административни процеси, ограничената цифровизация и непоследователното прилагане на регламентите на ЕС на национално и регионално равнище представляват допълнителни пречки за предприятията;</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Европейският акт в областта на иновациите (EIA) може да предложи облекчение за трансграничните стартиращи и разрастващи се предприятия, ако опрости междусекторните регламентации за стартиращите предприятия и може да бъде прилаган като задължителен във всички държави членки, като се вземат предвид и правата на работниците и участието на служителите. Комитетът подчертава, че Европейският акт в областта на иновациите следва да бъде съгласуван с принципите на справедлив преход, като се гарантира, че иновациите допринасят за икономическия растеж, конкурентоспособността и създаването на работни места, като същевременно се отчита необходимостта от подпомагане на работниците и регионите, засегнати от технологичната и промишлената трансформация;</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 xml:space="preserve">каталог с критерии за оценка на иновационното съдържание и перспективите за растеж би бил по-ефективен и точен от обвързващото определение за стартиращи и разрастващи се предприятия. На EIA би могла да помогне и класация на университетите, благоприятстващи основателите. Освен това EIA следва да засили ролята на организациите за научни изследвания и технологии и на Европейския институт за иновации и технологии (EIT), особено в секторите на </w:t>
      </w:r>
      <w:proofErr w:type="spellStart"/>
      <w:r>
        <w:t>наукоемките</w:t>
      </w:r>
      <w:proofErr w:type="spellEnd"/>
      <w:r>
        <w:t xml:space="preserve"> технологии и </w:t>
      </w:r>
      <w:proofErr w:type="spellStart"/>
      <w:r>
        <w:t>капиталоемките</w:t>
      </w:r>
      <w:proofErr w:type="spellEnd"/>
      <w:r>
        <w:t xml:space="preserve"> сектори;</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данъчните стимули в цяла Европа за притежаването на акции от служителите биха насърчили иновациите и растежа. На учредителите следва също така да се предложи и защита от риск, наред с осигуряването на подходящи гаранции за служителите и кредиторите в съответствие със съществуващите уредби в областта на несъстоятелността.</w:t>
      </w:r>
    </w:p>
    <w:p w14:paraId="5C529301" w14:textId="77777777" w:rsidR="00336295" w:rsidRPr="00227AA1" w:rsidRDefault="00336295" w:rsidP="000B1585">
      <w:pPr>
        <w:overflowPunct w:val="0"/>
        <w:autoSpaceDE w:val="0"/>
        <w:autoSpaceDN w:val="0"/>
        <w:adjustRightInd w:val="0"/>
        <w:spacing w:after="200" w:line="276" w:lineRule="auto"/>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0B1585" w14:paraId="5F5314FB" w14:textId="77777777" w:rsidTr="002E7EFB">
        <w:tc>
          <w:tcPr>
            <w:tcW w:w="1418" w:type="dxa"/>
          </w:tcPr>
          <w:p w14:paraId="632E98AB" w14:textId="77777777" w:rsidR="00227AA1" w:rsidRPr="000B1585" w:rsidRDefault="00227AA1" w:rsidP="00227AA1">
            <w:pPr>
              <w:overflowPunct w:val="0"/>
              <w:autoSpaceDE w:val="0"/>
              <w:autoSpaceDN w:val="0"/>
              <w:adjustRightInd w:val="0"/>
              <w:spacing w:line="240" w:lineRule="auto"/>
              <w:textAlignment w:val="baseline"/>
              <w:rPr>
                <w:i/>
                <w:sz w:val="22"/>
                <w:szCs w:val="22"/>
              </w:rPr>
            </w:pPr>
            <w:r w:rsidRPr="000B1585">
              <w:rPr>
                <w:b/>
                <w:i/>
                <w:sz w:val="22"/>
                <w:szCs w:val="22"/>
              </w:rPr>
              <w:lastRenderedPageBreak/>
              <w:t>За контакти</w:t>
            </w:r>
          </w:p>
        </w:tc>
        <w:tc>
          <w:tcPr>
            <w:tcW w:w="5670" w:type="dxa"/>
          </w:tcPr>
          <w:p w14:paraId="0DA3C898" w14:textId="77777777" w:rsidR="00227AA1" w:rsidRPr="000B1585" w:rsidRDefault="00227AA1" w:rsidP="00227AA1">
            <w:pPr>
              <w:overflowPunct w:val="0"/>
              <w:autoSpaceDE w:val="0"/>
              <w:autoSpaceDN w:val="0"/>
              <w:adjustRightInd w:val="0"/>
              <w:spacing w:line="240" w:lineRule="auto"/>
              <w:textAlignment w:val="baseline"/>
              <w:rPr>
                <w:i/>
                <w:sz w:val="22"/>
                <w:szCs w:val="22"/>
              </w:rPr>
            </w:pPr>
            <w:proofErr w:type="spellStart"/>
            <w:r w:rsidRPr="000B1585">
              <w:rPr>
                <w:i/>
                <w:sz w:val="22"/>
                <w:szCs w:val="22"/>
              </w:rPr>
              <w:t>Jana</w:t>
            </w:r>
            <w:proofErr w:type="spellEnd"/>
            <w:r w:rsidRPr="000B1585">
              <w:rPr>
                <w:i/>
                <w:sz w:val="22"/>
                <w:szCs w:val="22"/>
              </w:rPr>
              <w:t xml:space="preserve"> </w:t>
            </w:r>
            <w:proofErr w:type="spellStart"/>
            <w:r w:rsidRPr="000B1585">
              <w:rPr>
                <w:i/>
                <w:sz w:val="22"/>
                <w:szCs w:val="22"/>
              </w:rPr>
              <w:t>Valant</w:t>
            </w:r>
            <w:proofErr w:type="spellEnd"/>
          </w:p>
        </w:tc>
      </w:tr>
      <w:tr w:rsidR="00227AA1" w:rsidRPr="000B1585" w14:paraId="3B10A3F9" w14:textId="77777777" w:rsidTr="002E7EFB">
        <w:tc>
          <w:tcPr>
            <w:tcW w:w="1418" w:type="dxa"/>
          </w:tcPr>
          <w:p w14:paraId="1158D001" w14:textId="77777777" w:rsidR="00227AA1" w:rsidRPr="000B1585" w:rsidRDefault="00227AA1" w:rsidP="00227AA1">
            <w:pPr>
              <w:overflowPunct w:val="0"/>
              <w:autoSpaceDE w:val="0"/>
              <w:autoSpaceDN w:val="0"/>
              <w:adjustRightInd w:val="0"/>
              <w:spacing w:line="240" w:lineRule="auto"/>
              <w:textAlignment w:val="baseline"/>
              <w:rPr>
                <w:i/>
                <w:sz w:val="22"/>
                <w:szCs w:val="22"/>
              </w:rPr>
            </w:pPr>
            <w:r w:rsidRPr="000B1585">
              <w:rPr>
                <w:i/>
                <w:sz w:val="22"/>
                <w:szCs w:val="22"/>
              </w:rPr>
              <w:t>Тел.</w:t>
            </w:r>
          </w:p>
        </w:tc>
        <w:tc>
          <w:tcPr>
            <w:tcW w:w="5670" w:type="dxa"/>
          </w:tcPr>
          <w:p w14:paraId="173082A5" w14:textId="52E4D874" w:rsidR="00227AA1" w:rsidRPr="000B1585" w:rsidRDefault="00227AA1" w:rsidP="00227AA1">
            <w:pPr>
              <w:overflowPunct w:val="0"/>
              <w:autoSpaceDE w:val="0"/>
              <w:autoSpaceDN w:val="0"/>
              <w:adjustRightInd w:val="0"/>
              <w:spacing w:line="240" w:lineRule="auto"/>
              <w:textAlignment w:val="baseline"/>
              <w:rPr>
                <w:i/>
                <w:sz w:val="22"/>
                <w:szCs w:val="22"/>
              </w:rPr>
            </w:pPr>
            <w:r w:rsidRPr="000B1585">
              <w:rPr>
                <w:i/>
                <w:sz w:val="22"/>
                <w:szCs w:val="22"/>
              </w:rPr>
              <w:t>+32 25468924</w:t>
            </w:r>
          </w:p>
        </w:tc>
      </w:tr>
      <w:tr w:rsidR="00227AA1" w:rsidRPr="000B1585" w14:paraId="06425715" w14:textId="77777777" w:rsidTr="002E7EFB">
        <w:tc>
          <w:tcPr>
            <w:tcW w:w="1418" w:type="dxa"/>
          </w:tcPr>
          <w:p w14:paraId="086F4B7F" w14:textId="3050AF2F" w:rsidR="00227AA1" w:rsidRPr="000B1585" w:rsidRDefault="00336295" w:rsidP="00227AA1">
            <w:pPr>
              <w:overflowPunct w:val="0"/>
              <w:autoSpaceDE w:val="0"/>
              <w:autoSpaceDN w:val="0"/>
              <w:adjustRightInd w:val="0"/>
              <w:spacing w:line="240" w:lineRule="auto"/>
              <w:textAlignment w:val="baseline"/>
              <w:rPr>
                <w:i/>
                <w:sz w:val="22"/>
                <w:szCs w:val="22"/>
              </w:rPr>
            </w:pPr>
            <w:r w:rsidRPr="000B1585">
              <w:rPr>
                <w:i/>
                <w:sz w:val="22"/>
                <w:szCs w:val="22"/>
              </w:rPr>
              <w:t>Електронен адрес</w:t>
            </w:r>
          </w:p>
        </w:tc>
        <w:tc>
          <w:tcPr>
            <w:tcW w:w="5670" w:type="dxa"/>
          </w:tcPr>
          <w:p w14:paraId="30AFF7EB" w14:textId="4A862DA4" w:rsidR="00227AA1" w:rsidRPr="000B1585" w:rsidRDefault="00C10CD5" w:rsidP="00227AA1">
            <w:pPr>
              <w:overflowPunct w:val="0"/>
              <w:autoSpaceDE w:val="0"/>
              <w:autoSpaceDN w:val="0"/>
              <w:adjustRightInd w:val="0"/>
              <w:spacing w:line="240" w:lineRule="auto"/>
              <w:textAlignment w:val="baseline"/>
              <w:rPr>
                <w:i/>
                <w:sz w:val="22"/>
                <w:szCs w:val="22"/>
              </w:rPr>
            </w:pPr>
            <w:hyperlink r:id="rId56" w:history="1">
              <w:r w:rsidRPr="000B1585">
                <w:rPr>
                  <w:i/>
                  <w:color w:val="0000FF"/>
                  <w:sz w:val="22"/>
                  <w:szCs w:val="22"/>
                  <w:u w:val="single"/>
                </w:rPr>
                <w:t>Jana.Valant@eesc.europa.eu</w:t>
              </w:r>
            </w:hyperlink>
          </w:p>
          <w:p w14:paraId="69C6AF5C" w14:textId="77777777" w:rsidR="00227AA1" w:rsidRPr="000B1585" w:rsidRDefault="00227AA1" w:rsidP="00227AA1">
            <w:pPr>
              <w:overflowPunct w:val="0"/>
              <w:autoSpaceDE w:val="0"/>
              <w:autoSpaceDN w:val="0"/>
              <w:adjustRightInd w:val="0"/>
              <w:spacing w:line="240" w:lineRule="auto"/>
              <w:textAlignment w:val="baseline"/>
              <w:rPr>
                <w:i/>
                <w:sz w:val="22"/>
                <w:szCs w:val="22"/>
              </w:rPr>
            </w:pPr>
          </w:p>
        </w:tc>
      </w:tr>
    </w:tbl>
    <w:p w14:paraId="4982DE1E" w14:textId="10679AA2" w:rsidR="004D7AC0" w:rsidRDefault="004D7AC0" w:rsidP="001766B2">
      <w:pPr>
        <w:jc w:val="left"/>
      </w:pPr>
    </w:p>
    <w:p w14:paraId="4982DE1F" w14:textId="1B0F62B5" w:rsidR="004D7AC0" w:rsidRDefault="004D7AC0" w:rsidP="004C6742">
      <w:pPr>
        <w:pStyle w:val="Heading2"/>
      </w:pPr>
      <w:bookmarkStart w:id="18" w:name="_Toc70322234"/>
      <w:bookmarkStart w:id="19" w:name="_Toc75527084"/>
      <w:bookmarkStart w:id="20" w:name="_Toc229140656"/>
      <w:r>
        <w:t>ЗЕМЕДЕЛИЕ, РАЗВИТИЕ НА СЕЛСКИТЕ РАЙОНИ, ОКОЛНА СРЕДА</w:t>
      </w:r>
      <w:bookmarkEnd w:id="18"/>
      <w:bookmarkEnd w:id="19"/>
      <w:bookmarkEnd w:id="20"/>
    </w:p>
    <w:p w14:paraId="4982DE20" w14:textId="77777777" w:rsidR="004D7AC0" w:rsidRDefault="004D7AC0" w:rsidP="001766B2"/>
    <w:p w14:paraId="38C8A97D" w14:textId="2DE86C5A" w:rsidR="00341FC2" w:rsidRPr="004C6742" w:rsidRDefault="00341FC2" w:rsidP="004C6742">
      <w:pPr>
        <w:widowControl w:val="0"/>
        <w:numPr>
          <w:ilvl w:val="0"/>
          <w:numId w:val="4"/>
        </w:numPr>
        <w:overflowPunct w:val="0"/>
        <w:autoSpaceDE w:val="0"/>
        <w:autoSpaceDN w:val="0"/>
        <w:adjustRightInd w:val="0"/>
        <w:ind w:hanging="567"/>
        <w:textAlignment w:val="baseline"/>
        <w:rPr>
          <w:b/>
        </w:rPr>
      </w:pPr>
      <w:hyperlink r:id="rId57" w:history="1">
        <w:r>
          <w:t xml:space="preserve">„Природосъобразни биоразградими материали с цел насърчаване на </w:t>
        </w:r>
        <w:proofErr w:type="spellStart"/>
        <w:r>
          <w:t>кръговостта</w:t>
        </w:r>
        <w:proofErr w:type="spellEnd"/>
        <w:r>
          <w:t xml:space="preserve"> и ресурсната ефективност, укрепване на хранително-вкусовия сектор и разрастване на биоикономиката на ЕС“</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0B1585" w14:paraId="11BFC935" w14:textId="77777777" w:rsidTr="002E7EFB">
        <w:tc>
          <w:tcPr>
            <w:tcW w:w="1077" w:type="pct"/>
          </w:tcPr>
          <w:p w14:paraId="051AE187" w14:textId="77777777" w:rsidR="00341FC2" w:rsidRPr="000B1585" w:rsidRDefault="00341FC2" w:rsidP="00341FC2">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tc>
        <w:tc>
          <w:tcPr>
            <w:tcW w:w="3923" w:type="pct"/>
          </w:tcPr>
          <w:p w14:paraId="6A31ADA0" w14:textId="6038B615" w:rsidR="00341FC2" w:rsidRPr="000B1585" w:rsidRDefault="00341FC2" w:rsidP="00341FC2">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 xml:space="preserve">Стоян ЧУКАНОВ (група „Организации на гражданското общество“ — BG) </w:t>
            </w:r>
          </w:p>
          <w:p w14:paraId="734AA599" w14:textId="77777777" w:rsidR="00840C59" w:rsidRPr="000B1585" w:rsidRDefault="00840C59" w:rsidP="00341FC2">
            <w:pPr>
              <w:tabs>
                <w:tab w:val="center" w:pos="284"/>
              </w:tabs>
              <w:overflowPunct w:val="0"/>
              <w:autoSpaceDE w:val="0"/>
              <w:autoSpaceDN w:val="0"/>
              <w:adjustRightInd w:val="0"/>
              <w:ind w:left="266" w:right="-3091" w:hanging="266"/>
              <w:textAlignment w:val="baseline"/>
              <w:rPr>
                <w:sz w:val="22"/>
                <w:szCs w:val="22"/>
              </w:rPr>
            </w:pPr>
          </w:p>
        </w:tc>
      </w:tr>
      <w:tr w:rsidR="00341FC2" w:rsidRPr="000B1585" w14:paraId="5910CD05" w14:textId="77777777" w:rsidTr="002E7EFB">
        <w:tc>
          <w:tcPr>
            <w:tcW w:w="1077" w:type="pct"/>
          </w:tcPr>
          <w:p w14:paraId="0596BC04" w14:textId="77777777" w:rsidR="00341FC2" w:rsidRPr="000B1585" w:rsidRDefault="00341FC2" w:rsidP="00341FC2">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3923" w:type="pct"/>
          </w:tcPr>
          <w:p w14:paraId="54454E7C" w14:textId="3611E015" w:rsidR="00516EEE" w:rsidRPr="000B1585" w:rsidRDefault="00516EEE" w:rsidP="00341FC2">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становище по собствена инициатива</w:t>
            </w:r>
          </w:p>
          <w:p w14:paraId="02B79D0E" w14:textId="0206A71A" w:rsidR="00341FC2" w:rsidRPr="000B1585" w:rsidRDefault="00341FC2" w:rsidP="00341FC2">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ЕИСК:</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 xml:space="preserve">счита, че ЕС има благоприятна възможност да укрепи прехода си към кръгова биоикономика, която съчетава </w:t>
      </w:r>
      <w:proofErr w:type="spellStart"/>
      <w:r>
        <w:t>кръговост</w:t>
      </w:r>
      <w:proofErr w:type="spellEnd"/>
      <w:r>
        <w:t>, намаляване на материалите и зачитане на пределните възможности на планетата, устойчиво използване на биомасата и промишлена конкурентоспособност. Като се основава на предстоящия Акт за кръговата икономика и актуализираната стратегия на ЕС за биоикономиката, Комитетът призовава за последователно и амбициозно изпълнение, което превръща политическия импулс в конкретни резултати в областта на промишленото и регионалното развитие;</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подчертава, че ефективното използване на ресурсите на околната среда изисква прилагане на йерархията на отпадъците в съответствие с Рамковата директива за отпадъците въз основа на съображения, свързани с жизнения цикъл, и най-благоприятните за околната среда резултати като цяло. Поради това подкрепя ориентиран към резултатите, технологично неутрален подход, при който се дава приоритет на предотвратяването на отпадъците, повторната употреба и ефективността на материалите, като се отчитат както техническите, така и биологичните цикли чрез диференцирани кръгови модели;</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 xml:space="preserve">подчертава, че материалите, извлечени от химически немодифицирани естествени полимери, правно признати като непластмасови съгласно Директивата относно пластмасите за еднократна употреба и приведени в съответствие с Регламента REACH, могат да спомогнат за предотвратяване на замърсяването, включително за намаляване на изтичането на пластмасови микрочастици. Тяхната роля следва да бъде оценена в съответствие с подхода „Едно здраве“, като се вземат предвид взаимовръзките между </w:t>
      </w:r>
      <w:proofErr w:type="spellStart"/>
      <w:r>
        <w:t>екологосъобразността</w:t>
      </w:r>
      <w:proofErr w:type="spellEnd"/>
      <w:r>
        <w:t>, устойчивостта на екосистемите и здравето на хората и животните;</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 xml:space="preserve">подчертава потенциала на тези материали за укрепване на икономиките на селските и крайбрежните райони чрез оползотворяване на вторичната биомаса от селското стопанство и морската биомаса, укрепване на местните и регионалните вериги за създаване на стойност, подкрепа на обновяването на поколенията в селското стопанство и рибарството и създаване </w:t>
      </w:r>
      <w:r>
        <w:lastRenderedPageBreak/>
        <w:t>на висококачествени работни места, като по този начин се допринася за социалното сближаване. Комитетът подчертава, че употребата им за храни, фуражи, както и опазване на почвата трябва да останат приоритет в този ред;</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призовава за по-добра регулаторна съгласуваност в рамките на законодателството на ЕС в областта на продуктите, отпадъците и промишлеността, за да се гарантира последователно привеждане в действие на правно установеното разграничение между пластмасите и немодифицираните естествени полимери. Законодателството в областта на опаковките следва да избягва създаването на нежелани пречки или фактическо изключване от пазара и да отразява както техническата, така и биологичната </w:t>
      </w:r>
      <w:proofErr w:type="spellStart"/>
      <w:r>
        <w:t>кръговост</w:t>
      </w:r>
      <w:proofErr w:type="spellEnd"/>
      <w:r>
        <w:t>, като гарантира ясна и хармонизирана информация за потребителите и предвидимост за операторите и малките предприятия;</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 xml:space="preserve">подчертава приоритетното прилагане на Регламента относно опаковките и отпадъците от опаковки и предупреждава, че опаковките, изработени от химически немодифицирани естествени полимери, биха могли да бъдат изключени, ако правилата за </w:t>
      </w:r>
      <w:proofErr w:type="spellStart"/>
      <w:r>
        <w:t>рециклируемост</w:t>
      </w:r>
      <w:proofErr w:type="spellEnd"/>
      <w:r>
        <w:t xml:space="preserve"> допускат само техническо рециклиране. Поради това призовава Комисията да гарантира, че при прилагането на Регламента относно опаковките и отпадъците от опаковки се признава статутът им на непластмасови материали и се позволяват биологични решения за края на жизнения им цикъл, когато това осигурява най-добър цялостен резултат за околната среда;</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призовава Комисията да гарантира координирани действия в рамките на политиките в областта на околната среда, промишлеността и селското стопанство за увеличаване на устойчивите материали, улесняване на промишленото внедряване, укрепване на регионалните вериги за създаване на стойност и гарантиране на конкурентоспособността на Европа по отношение на иновациите в областта на устойчивите материали в световен мащаб, като същевременно се подкрепят частните инвестиции и разрастването на иновативните решения.</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0B1585" w14:paraId="7F4411DB" w14:textId="77777777" w:rsidTr="002E7EFB">
        <w:tc>
          <w:tcPr>
            <w:tcW w:w="1077" w:type="pct"/>
          </w:tcPr>
          <w:p w14:paraId="151013E3" w14:textId="77777777" w:rsidR="00341FC2" w:rsidRPr="000B1585" w:rsidRDefault="00341FC2" w:rsidP="00341FC2">
            <w:pPr>
              <w:overflowPunct w:val="0"/>
              <w:autoSpaceDE w:val="0"/>
              <w:autoSpaceDN w:val="0"/>
              <w:adjustRightInd w:val="0"/>
              <w:textAlignment w:val="baseline"/>
              <w:rPr>
                <w:i/>
                <w:sz w:val="22"/>
                <w:szCs w:val="22"/>
              </w:rPr>
            </w:pPr>
            <w:r w:rsidRPr="000B1585">
              <w:rPr>
                <w:b/>
                <w:i/>
                <w:sz w:val="22"/>
                <w:szCs w:val="22"/>
              </w:rPr>
              <w:t>За контакти</w:t>
            </w:r>
          </w:p>
        </w:tc>
        <w:tc>
          <w:tcPr>
            <w:tcW w:w="3923" w:type="pct"/>
          </w:tcPr>
          <w:p w14:paraId="24D7A0E4" w14:textId="1AB2E33E" w:rsidR="00341FC2" w:rsidRPr="000B1585" w:rsidRDefault="00341FC2" w:rsidP="00341FC2">
            <w:pPr>
              <w:overflowPunct w:val="0"/>
              <w:autoSpaceDE w:val="0"/>
              <w:autoSpaceDN w:val="0"/>
              <w:adjustRightInd w:val="0"/>
              <w:textAlignment w:val="baseline"/>
              <w:rPr>
                <w:i/>
                <w:sz w:val="22"/>
                <w:szCs w:val="22"/>
              </w:rPr>
            </w:pPr>
            <w:proofErr w:type="spellStart"/>
            <w:r w:rsidRPr="000B1585">
              <w:rPr>
                <w:i/>
                <w:sz w:val="22"/>
                <w:szCs w:val="22"/>
              </w:rPr>
              <w:t>Caroline</w:t>
            </w:r>
            <w:proofErr w:type="spellEnd"/>
            <w:r w:rsidRPr="000B1585">
              <w:rPr>
                <w:i/>
                <w:sz w:val="22"/>
                <w:szCs w:val="22"/>
              </w:rPr>
              <w:t xml:space="preserve"> </w:t>
            </w:r>
            <w:proofErr w:type="spellStart"/>
            <w:r w:rsidRPr="000B1585">
              <w:rPr>
                <w:i/>
                <w:sz w:val="22"/>
                <w:szCs w:val="22"/>
              </w:rPr>
              <w:t>Verhelst</w:t>
            </w:r>
            <w:proofErr w:type="spellEnd"/>
          </w:p>
        </w:tc>
      </w:tr>
      <w:tr w:rsidR="00341FC2" w:rsidRPr="000B1585" w14:paraId="1048C7FF" w14:textId="77777777" w:rsidTr="002E7EFB">
        <w:tc>
          <w:tcPr>
            <w:tcW w:w="1077" w:type="pct"/>
          </w:tcPr>
          <w:p w14:paraId="716E0640" w14:textId="77777777" w:rsidR="00341FC2" w:rsidRPr="000B1585" w:rsidRDefault="00341FC2" w:rsidP="00341FC2">
            <w:pPr>
              <w:overflowPunct w:val="0"/>
              <w:autoSpaceDE w:val="0"/>
              <w:autoSpaceDN w:val="0"/>
              <w:adjustRightInd w:val="0"/>
              <w:textAlignment w:val="baseline"/>
              <w:rPr>
                <w:i/>
                <w:sz w:val="22"/>
                <w:szCs w:val="22"/>
              </w:rPr>
            </w:pPr>
            <w:r w:rsidRPr="000B1585">
              <w:rPr>
                <w:i/>
                <w:sz w:val="22"/>
                <w:szCs w:val="22"/>
              </w:rPr>
              <w:t>Тел.</w:t>
            </w:r>
          </w:p>
        </w:tc>
        <w:tc>
          <w:tcPr>
            <w:tcW w:w="3923" w:type="pct"/>
          </w:tcPr>
          <w:p w14:paraId="24F2C3A8" w14:textId="77777777" w:rsidR="00341FC2" w:rsidRPr="000B1585" w:rsidRDefault="00341FC2" w:rsidP="00341FC2">
            <w:pPr>
              <w:overflowPunct w:val="0"/>
              <w:autoSpaceDE w:val="0"/>
              <w:autoSpaceDN w:val="0"/>
              <w:adjustRightInd w:val="0"/>
              <w:textAlignment w:val="baseline"/>
              <w:rPr>
                <w:i/>
                <w:sz w:val="22"/>
                <w:szCs w:val="22"/>
              </w:rPr>
            </w:pPr>
            <w:r w:rsidRPr="000B1585">
              <w:rPr>
                <w:i/>
                <w:sz w:val="22"/>
                <w:szCs w:val="22"/>
              </w:rPr>
              <w:t>+32 25469497</w:t>
            </w:r>
          </w:p>
        </w:tc>
      </w:tr>
      <w:tr w:rsidR="00341FC2" w:rsidRPr="000B1585" w14:paraId="24B14DC0" w14:textId="77777777" w:rsidTr="002E7EFB">
        <w:tc>
          <w:tcPr>
            <w:tcW w:w="1077" w:type="pct"/>
          </w:tcPr>
          <w:p w14:paraId="532D2B72" w14:textId="77777777" w:rsidR="00341FC2" w:rsidRPr="000B1585" w:rsidRDefault="00341FC2" w:rsidP="00341FC2">
            <w:pPr>
              <w:overflowPunct w:val="0"/>
              <w:autoSpaceDE w:val="0"/>
              <w:autoSpaceDN w:val="0"/>
              <w:adjustRightInd w:val="0"/>
              <w:textAlignment w:val="baseline"/>
              <w:rPr>
                <w:i/>
                <w:sz w:val="22"/>
                <w:szCs w:val="22"/>
              </w:rPr>
            </w:pPr>
            <w:r w:rsidRPr="000B1585">
              <w:rPr>
                <w:i/>
                <w:sz w:val="22"/>
                <w:szCs w:val="22"/>
              </w:rPr>
              <w:t>Електронен адрес</w:t>
            </w:r>
          </w:p>
        </w:tc>
        <w:tc>
          <w:tcPr>
            <w:tcW w:w="3923" w:type="pct"/>
          </w:tcPr>
          <w:p w14:paraId="06E89BE5" w14:textId="1136FFE5" w:rsidR="00341FC2" w:rsidRPr="000B1585" w:rsidRDefault="00C10CD5" w:rsidP="00341FC2">
            <w:pPr>
              <w:overflowPunct w:val="0"/>
              <w:autoSpaceDE w:val="0"/>
              <w:autoSpaceDN w:val="0"/>
              <w:adjustRightInd w:val="0"/>
              <w:textAlignment w:val="baseline"/>
              <w:rPr>
                <w:i/>
                <w:sz w:val="22"/>
                <w:szCs w:val="22"/>
              </w:rPr>
            </w:pPr>
            <w:hyperlink r:id="rId58" w:history="1">
              <w:r w:rsidRPr="000B1585">
                <w:rPr>
                  <w:i/>
                  <w:color w:val="0000FF"/>
                  <w:sz w:val="22"/>
                  <w:szCs w:val="22"/>
                  <w:u w:val="single"/>
                </w:rPr>
                <w:t>Caroline.Verhelst@eesc.europa.eu</w:t>
              </w:r>
            </w:hyperlink>
            <w:r w:rsidRPr="000B1585">
              <w:rPr>
                <w:i/>
                <w:sz w:val="22"/>
                <w:szCs w:val="22"/>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58D633AB"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„Стратегия на ЕС за биоикономиката — Към кръгова, регенеративна и конкурентоспособна биоикономика“</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B1585" w14:paraId="11DB0199" w14:textId="77777777" w:rsidTr="002E7EFB">
        <w:tc>
          <w:tcPr>
            <w:tcW w:w="1701" w:type="dxa"/>
          </w:tcPr>
          <w:p w14:paraId="702BE3AD" w14:textId="77777777" w:rsidR="000C5A16" w:rsidRPr="000B1585" w:rsidRDefault="000C5A16" w:rsidP="000C5A16">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tc>
        <w:tc>
          <w:tcPr>
            <w:tcW w:w="7621" w:type="dxa"/>
          </w:tcPr>
          <w:p w14:paraId="5ECA4C39" w14:textId="528DF1F9" w:rsidR="000C5A16" w:rsidRPr="000B1585" w:rsidRDefault="000C5A16" w:rsidP="000C5A16">
            <w:pPr>
              <w:tabs>
                <w:tab w:val="center" w:pos="284"/>
              </w:tabs>
              <w:overflowPunct w:val="0"/>
              <w:autoSpaceDE w:val="0"/>
              <w:autoSpaceDN w:val="0"/>
              <w:adjustRightInd w:val="0"/>
              <w:ind w:left="266" w:hanging="266"/>
              <w:textAlignment w:val="baseline"/>
              <w:rPr>
                <w:b/>
                <w:bCs/>
                <w:spacing w:val="-4"/>
                <w:sz w:val="22"/>
                <w:szCs w:val="22"/>
              </w:rPr>
            </w:pPr>
            <w:proofErr w:type="spellStart"/>
            <w:r w:rsidRPr="000B1585">
              <w:rPr>
                <w:sz w:val="22"/>
                <w:szCs w:val="22"/>
              </w:rPr>
              <w:t>Arnaud</w:t>
            </w:r>
            <w:proofErr w:type="spellEnd"/>
            <w:r w:rsidRPr="000B1585">
              <w:rPr>
                <w:sz w:val="22"/>
                <w:szCs w:val="22"/>
              </w:rPr>
              <w:t xml:space="preserve"> SCHWARTZ (група „Организации на гражданското общество“ — FR)</w:t>
            </w:r>
          </w:p>
        </w:tc>
      </w:tr>
      <w:tr w:rsidR="000C5A16" w:rsidRPr="000B1585" w14:paraId="7972012C" w14:textId="77777777" w:rsidTr="002E7EFB">
        <w:tc>
          <w:tcPr>
            <w:tcW w:w="1701" w:type="dxa"/>
          </w:tcPr>
          <w:p w14:paraId="19D90AB9" w14:textId="77777777" w:rsidR="000C5A16" w:rsidRPr="000B1585" w:rsidRDefault="000C5A16" w:rsidP="000C5A16">
            <w:pPr>
              <w:tabs>
                <w:tab w:val="center" w:pos="284"/>
              </w:tabs>
              <w:overflowPunct w:val="0"/>
              <w:autoSpaceDE w:val="0"/>
              <w:autoSpaceDN w:val="0"/>
              <w:adjustRightInd w:val="0"/>
              <w:ind w:left="266" w:hanging="266"/>
              <w:textAlignment w:val="baseline"/>
              <w:rPr>
                <w:b/>
                <w:sz w:val="22"/>
                <w:szCs w:val="22"/>
              </w:rPr>
            </w:pPr>
          </w:p>
        </w:tc>
        <w:tc>
          <w:tcPr>
            <w:tcW w:w="7621" w:type="dxa"/>
          </w:tcPr>
          <w:p w14:paraId="367D2144" w14:textId="77777777" w:rsidR="000C5A16" w:rsidRPr="000B1585" w:rsidRDefault="000C5A16" w:rsidP="000C5A16">
            <w:pPr>
              <w:tabs>
                <w:tab w:val="center" w:pos="284"/>
              </w:tabs>
              <w:overflowPunct w:val="0"/>
              <w:autoSpaceDE w:val="0"/>
              <w:autoSpaceDN w:val="0"/>
              <w:adjustRightInd w:val="0"/>
              <w:ind w:left="266" w:hanging="266"/>
              <w:textAlignment w:val="baseline"/>
              <w:rPr>
                <w:b/>
                <w:bCs/>
                <w:sz w:val="22"/>
                <w:szCs w:val="22"/>
                <w:lang w:val="en-GB"/>
              </w:rPr>
            </w:pPr>
          </w:p>
        </w:tc>
      </w:tr>
      <w:tr w:rsidR="000C5A16" w:rsidRPr="000B1585" w14:paraId="21344BB5" w14:textId="77777777" w:rsidTr="002E7EFB">
        <w:tc>
          <w:tcPr>
            <w:tcW w:w="1701" w:type="dxa"/>
          </w:tcPr>
          <w:p w14:paraId="25A3DC2A" w14:textId="77777777" w:rsidR="000C5A16" w:rsidRPr="000B1585" w:rsidRDefault="000C5A16" w:rsidP="000C5A16">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7621" w:type="dxa"/>
          </w:tcPr>
          <w:p w14:paraId="1A41EF62" w14:textId="77777777" w:rsidR="000C5A16" w:rsidRPr="000B1585" w:rsidRDefault="000C5A16" w:rsidP="000C5A16">
            <w:pPr>
              <w:tabs>
                <w:tab w:val="center" w:pos="284"/>
              </w:tabs>
              <w:overflowPunct w:val="0"/>
              <w:autoSpaceDE w:val="0"/>
              <w:autoSpaceDN w:val="0"/>
              <w:adjustRightInd w:val="0"/>
              <w:ind w:left="266" w:hanging="266"/>
              <w:textAlignment w:val="baseline"/>
              <w:rPr>
                <w:sz w:val="22"/>
                <w:szCs w:val="22"/>
              </w:rPr>
            </w:pPr>
            <w:r w:rsidRPr="000B1585">
              <w:rPr>
                <w:sz w:val="22"/>
                <w:szCs w:val="22"/>
              </w:rPr>
              <w:t xml:space="preserve">COM(2025) 960 </w:t>
            </w:r>
            <w:proofErr w:type="spellStart"/>
            <w:r w:rsidRPr="000B1585">
              <w:rPr>
                <w:sz w:val="22"/>
                <w:szCs w:val="22"/>
              </w:rPr>
              <w:t>final</w:t>
            </w:r>
            <w:proofErr w:type="spellEnd"/>
          </w:p>
          <w:p w14:paraId="6E8937F3" w14:textId="72C7BF98" w:rsidR="000C5A16" w:rsidRPr="000B1585" w:rsidRDefault="000C5A16" w:rsidP="000C5A16">
            <w:pPr>
              <w:tabs>
                <w:tab w:val="center" w:pos="284"/>
              </w:tabs>
              <w:overflowPunct w:val="0"/>
              <w:autoSpaceDE w:val="0"/>
              <w:autoSpaceDN w:val="0"/>
              <w:adjustRightInd w:val="0"/>
              <w:ind w:left="266" w:hanging="266"/>
              <w:textAlignment w:val="baseline"/>
              <w:rPr>
                <w:sz w:val="22"/>
                <w:szCs w:val="22"/>
              </w:rPr>
            </w:pPr>
            <w:r w:rsidRPr="000B1585">
              <w:rPr>
                <w:sz w:val="22"/>
                <w:szCs w:val="22"/>
              </w:rPr>
              <w:t>EESC-2025-03968-00-00-AC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Основни аспекти</w:t>
      </w:r>
    </w:p>
    <w:p w14:paraId="3956F520" w14:textId="77777777" w:rsidR="0039093C" w:rsidRPr="000B1585" w:rsidRDefault="0039093C" w:rsidP="0039093C">
      <w:pPr>
        <w:overflowPunct w:val="0"/>
        <w:autoSpaceDE w:val="0"/>
        <w:autoSpaceDN w:val="0"/>
        <w:adjustRightInd w:val="0"/>
        <w:spacing w:line="276" w:lineRule="auto"/>
        <w:textAlignment w:val="baseline"/>
        <w:outlineLvl w:val="1"/>
        <w:rPr>
          <w:bCs/>
          <w:sz w:val="10"/>
          <w:szCs w:val="1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ЕИСК:</w:t>
      </w:r>
    </w:p>
    <w:p w14:paraId="555AEE0E" w14:textId="77777777" w:rsidR="00FD6A81" w:rsidRPr="000B1585" w:rsidRDefault="00FD6A81" w:rsidP="0039093C">
      <w:pPr>
        <w:overflowPunct w:val="0"/>
        <w:autoSpaceDE w:val="0"/>
        <w:autoSpaceDN w:val="0"/>
        <w:adjustRightInd w:val="0"/>
        <w:spacing w:line="276" w:lineRule="auto"/>
        <w:textAlignment w:val="baseline"/>
        <w:outlineLvl w:val="1"/>
        <w:rPr>
          <w:bCs/>
          <w:iCs/>
          <w:sz w:val="10"/>
          <w:szCs w:val="1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изтъква, че Европа е континент с ограничени ресурси и силно зависи от вноса, наред с другото, на изкопаеми горива и суровини в една все по-напрегната геополитическа ситуация. Същевременно прекомерната експлоатация на природните ресурси е една от основните причини за продължаващата загуба на биологично разнообразие</w:t>
      </w:r>
      <w:r w:rsidRPr="00944198">
        <w:rPr>
          <w:sz w:val="24"/>
          <w:szCs w:val="20"/>
          <w:vertAlign w:val="superscript"/>
          <w:lang w:val="en-GB"/>
        </w:rPr>
        <w:footnoteReference w:id="1"/>
      </w:r>
      <w:r>
        <w:t>. В съответствие с целите за устойчиво развитие трябва да се гарантира съгласуваност между целите на ЕС в областта на климата и биологичното разнообразие от една страна и кръговата икономика от друга страна. Здравата и добре дефинирана</w:t>
      </w:r>
      <w:r>
        <w:rPr>
          <w:b/>
        </w:rPr>
        <w:t xml:space="preserve"> стратегия за биоикономиката</w:t>
      </w:r>
      <w:r>
        <w:t xml:space="preserve"> </w:t>
      </w:r>
      <w:r>
        <w:rPr>
          <w:b/>
        </w:rPr>
        <w:t>може да допълни</w:t>
      </w:r>
      <w:r>
        <w:t xml:space="preserve"> напредъка, постигнат в областта на </w:t>
      </w:r>
      <w:r>
        <w:rPr>
          <w:b/>
        </w:rPr>
        <w:t xml:space="preserve">кръговата икономика, и да даде възможност за </w:t>
      </w:r>
      <w:proofErr w:type="spellStart"/>
      <w:r>
        <w:rPr>
          <w:b/>
        </w:rPr>
        <w:t>декарбонизация</w:t>
      </w:r>
      <w:proofErr w:type="spellEnd"/>
      <w:r>
        <w:rPr>
          <w:b/>
        </w:rPr>
        <w:t>, постигане на благосъстояние и дългосрочна конкурентоспособност в рамките на възможностите на планетата</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припомня, че ЕС може да бъде световен лидер само ако неговите институции </w:t>
      </w:r>
      <w:r>
        <w:rPr>
          <w:b/>
        </w:rPr>
        <w:t>установят строги принципи и предпазни мерки</w:t>
      </w:r>
      <w:r>
        <w:t xml:space="preserve"> относно това, което може да се използва като суровина за биоикономиката, било то например първична или вторична биомаса от селското стопанство, аквакултурите, горите, природата или общинските/промишлените отпадъци. Стратегията на ЕС за биоикономиката трябва да бъде насочена към екологичната трансформация на икономиката, като се вземат предвид екологичните и социалните аспекти. Устойчивата и кръгова биоикономика ще укрепи икономиката и конкурентоспособността на ЕС, ще намали зависимостта от изкопаеми ресурси, ще допринесе за постигането на целите в областта на климата и за създаването на нови работни места, както и на екологични и социални ползи. Това лидерство следва </w:t>
      </w:r>
      <w:r>
        <w:rPr>
          <w:b/>
        </w:rPr>
        <w:t>да даде приоритет на качествените работни места, особено в селските и отдалечените райони</w:t>
      </w:r>
      <w:r>
        <w:t xml:space="preserve">. Тези принципи следва да бъдат количествено измерими и приложими, да се наблюдават по цялата верига на доставки и да се прилагат еднакво за европейските и вносните суровини. В световен контекст е важно </w:t>
      </w:r>
      <w:r>
        <w:rPr>
          <w:b/>
        </w:rPr>
        <w:t>да се води борба с нелоялната конкуренция от страна на</w:t>
      </w:r>
      <w:r>
        <w:t xml:space="preserve"> (често субсидирани) </w:t>
      </w:r>
      <w:r>
        <w:rPr>
          <w:b/>
        </w:rPr>
        <w:t>изкопаеми суровини със занижени цени</w:t>
      </w:r>
      <w:r>
        <w:t>, в които не се отчитат външните ефекти от добива, използването и изчерпването им.</w:t>
      </w:r>
    </w:p>
    <w:p w14:paraId="2628EFBA" w14:textId="77777777" w:rsidR="0039093C" w:rsidRPr="000B1585" w:rsidRDefault="0039093C" w:rsidP="00A162C2">
      <w:pPr>
        <w:overflowPunct w:val="0"/>
        <w:autoSpaceDE w:val="0"/>
        <w:autoSpaceDN w:val="0"/>
        <w:adjustRightInd w:val="0"/>
        <w:spacing w:line="276" w:lineRule="auto"/>
        <w:ind w:left="284" w:hanging="284"/>
        <w:textAlignment w:val="baseline"/>
        <w:outlineLvl w:val="1"/>
        <w:rPr>
          <w:sz w:val="10"/>
          <w:szCs w:val="1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0B1585" w14:paraId="15A4E0A1" w14:textId="77777777" w:rsidTr="00854068">
        <w:trPr>
          <w:trHeight w:val="300"/>
        </w:trPr>
        <w:tc>
          <w:tcPr>
            <w:tcW w:w="1755" w:type="dxa"/>
          </w:tcPr>
          <w:p w14:paraId="0B8186B8" w14:textId="77777777" w:rsidR="0039093C" w:rsidRPr="000B1585" w:rsidRDefault="0039093C" w:rsidP="004853F6">
            <w:pPr>
              <w:overflowPunct w:val="0"/>
              <w:autoSpaceDE w:val="0"/>
              <w:autoSpaceDN w:val="0"/>
              <w:adjustRightInd w:val="0"/>
              <w:spacing w:line="276" w:lineRule="auto"/>
              <w:textAlignment w:val="baseline"/>
              <w:outlineLvl w:val="1"/>
              <w:rPr>
                <w:i/>
                <w:iCs/>
              </w:rPr>
            </w:pPr>
            <w:r w:rsidRPr="000B1585">
              <w:rPr>
                <w:b/>
                <w:i/>
              </w:rPr>
              <w:t>За контакти</w:t>
            </w:r>
          </w:p>
        </w:tc>
        <w:tc>
          <w:tcPr>
            <w:tcW w:w="7567" w:type="dxa"/>
          </w:tcPr>
          <w:p w14:paraId="0319F3A6" w14:textId="11113606" w:rsidR="0039093C" w:rsidRPr="000B1585" w:rsidRDefault="0039093C" w:rsidP="004853F6">
            <w:pPr>
              <w:overflowPunct w:val="0"/>
              <w:autoSpaceDE w:val="0"/>
              <w:autoSpaceDN w:val="0"/>
              <w:adjustRightInd w:val="0"/>
              <w:spacing w:line="276" w:lineRule="auto"/>
              <w:textAlignment w:val="baseline"/>
              <w:outlineLvl w:val="1"/>
              <w:rPr>
                <w:i/>
              </w:rPr>
            </w:pPr>
            <w:r w:rsidRPr="000B1585">
              <w:t xml:space="preserve">Anna </w:t>
            </w:r>
            <w:proofErr w:type="spellStart"/>
            <w:r w:rsidRPr="000B1585">
              <w:t>Cameron</w:t>
            </w:r>
            <w:proofErr w:type="spellEnd"/>
          </w:p>
        </w:tc>
      </w:tr>
      <w:tr w:rsidR="0039093C" w:rsidRPr="000B1585" w14:paraId="44DCA9C5" w14:textId="77777777" w:rsidTr="00854068">
        <w:trPr>
          <w:trHeight w:val="300"/>
        </w:trPr>
        <w:tc>
          <w:tcPr>
            <w:tcW w:w="1755" w:type="dxa"/>
          </w:tcPr>
          <w:p w14:paraId="714A323E" w14:textId="77777777" w:rsidR="0039093C" w:rsidRPr="000B1585" w:rsidRDefault="0039093C" w:rsidP="004853F6">
            <w:pPr>
              <w:overflowPunct w:val="0"/>
              <w:autoSpaceDE w:val="0"/>
              <w:autoSpaceDN w:val="0"/>
              <w:adjustRightInd w:val="0"/>
              <w:spacing w:line="276" w:lineRule="auto"/>
              <w:textAlignment w:val="baseline"/>
              <w:outlineLvl w:val="1"/>
              <w:rPr>
                <w:i/>
              </w:rPr>
            </w:pPr>
            <w:r w:rsidRPr="000B1585">
              <w:rPr>
                <w:i/>
              </w:rPr>
              <w:t>Тел.</w:t>
            </w:r>
          </w:p>
        </w:tc>
        <w:tc>
          <w:tcPr>
            <w:tcW w:w="7567" w:type="dxa"/>
          </w:tcPr>
          <w:p w14:paraId="46765661" w14:textId="77777777" w:rsidR="0039093C" w:rsidRPr="000B1585" w:rsidRDefault="0039093C" w:rsidP="004853F6">
            <w:pPr>
              <w:overflowPunct w:val="0"/>
              <w:autoSpaceDE w:val="0"/>
              <w:autoSpaceDN w:val="0"/>
              <w:adjustRightInd w:val="0"/>
              <w:spacing w:line="276" w:lineRule="auto"/>
              <w:textAlignment w:val="baseline"/>
              <w:outlineLvl w:val="1"/>
              <w:rPr>
                <w:i/>
                <w:iCs/>
              </w:rPr>
            </w:pPr>
            <w:r w:rsidRPr="000B1585">
              <w:rPr>
                <w:i/>
              </w:rPr>
              <w:t>+32 25468228</w:t>
            </w:r>
          </w:p>
        </w:tc>
      </w:tr>
      <w:tr w:rsidR="0039093C" w:rsidRPr="000B1585" w14:paraId="3E645883" w14:textId="77777777" w:rsidTr="00854068">
        <w:trPr>
          <w:trHeight w:val="300"/>
        </w:trPr>
        <w:tc>
          <w:tcPr>
            <w:tcW w:w="1755" w:type="dxa"/>
          </w:tcPr>
          <w:p w14:paraId="6069BEEF" w14:textId="77777777" w:rsidR="0039093C" w:rsidRPr="000B1585" w:rsidRDefault="0039093C" w:rsidP="004853F6">
            <w:pPr>
              <w:overflowPunct w:val="0"/>
              <w:autoSpaceDE w:val="0"/>
              <w:autoSpaceDN w:val="0"/>
              <w:adjustRightInd w:val="0"/>
              <w:spacing w:line="276" w:lineRule="auto"/>
              <w:textAlignment w:val="baseline"/>
              <w:outlineLvl w:val="1"/>
              <w:rPr>
                <w:i/>
              </w:rPr>
            </w:pPr>
            <w:r w:rsidRPr="000B1585">
              <w:rPr>
                <w:i/>
              </w:rPr>
              <w:t>Електронен адрес</w:t>
            </w:r>
          </w:p>
        </w:tc>
        <w:tc>
          <w:tcPr>
            <w:tcW w:w="7567" w:type="dxa"/>
          </w:tcPr>
          <w:p w14:paraId="53CEC4E5" w14:textId="1DF9BA6C" w:rsidR="0039093C" w:rsidRPr="000B1585" w:rsidRDefault="0039093C" w:rsidP="004853F6">
            <w:pPr>
              <w:overflowPunct w:val="0"/>
              <w:autoSpaceDE w:val="0"/>
              <w:autoSpaceDN w:val="0"/>
              <w:adjustRightInd w:val="0"/>
              <w:spacing w:line="276" w:lineRule="auto"/>
              <w:textAlignment w:val="baseline"/>
              <w:outlineLvl w:val="1"/>
              <w:rPr>
                <w:i/>
                <w:iCs/>
                <w:u w:val="single"/>
              </w:rPr>
            </w:pPr>
            <w:hyperlink r:id="rId60" w:history="1">
              <w:r w:rsidRPr="000B1585">
                <w:rPr>
                  <w:rStyle w:val="Hyperlink"/>
                  <w:i/>
                </w:rPr>
                <w:t>Anna.Cameron@eesc.europa.eu</w:t>
              </w:r>
            </w:hyperlink>
          </w:p>
        </w:tc>
      </w:tr>
    </w:tbl>
    <w:p w14:paraId="19C31E20" w14:textId="45F2D7D1" w:rsidR="007D7A17" w:rsidRPr="000B1585" w:rsidRDefault="007D7A17" w:rsidP="00360C1A">
      <w:pPr>
        <w:overflowPunct w:val="0"/>
        <w:autoSpaceDE w:val="0"/>
        <w:autoSpaceDN w:val="0"/>
        <w:adjustRightInd w:val="0"/>
        <w:spacing w:line="276" w:lineRule="auto"/>
        <w:textAlignment w:val="baseline"/>
        <w:outlineLvl w:val="1"/>
        <w:rPr>
          <w:sz w:val="10"/>
          <w:szCs w:val="10"/>
          <w:lang w:val="en-GB"/>
        </w:rPr>
      </w:pPr>
    </w:p>
    <w:p w14:paraId="104E4E43" w14:textId="77777777" w:rsidR="007D7A17" w:rsidRDefault="007D7A17">
      <w:pPr>
        <w:spacing w:after="160" w:line="259" w:lineRule="auto"/>
        <w:jc w:val="left"/>
        <w:rPr>
          <w:szCs w:val="20"/>
        </w:rPr>
      </w:pPr>
      <w:r>
        <w:br w:type="page"/>
      </w:r>
    </w:p>
    <w:p w14:paraId="028EF279" w14:textId="77777777" w:rsidR="00360C1A" w:rsidRDefault="00360C1A" w:rsidP="00360C1A">
      <w:pPr>
        <w:overflowPunct w:val="0"/>
        <w:autoSpaceDE w:val="0"/>
        <w:autoSpaceDN w:val="0"/>
        <w:adjustRightInd w:val="0"/>
        <w:spacing w:line="276" w:lineRule="auto"/>
        <w:textAlignment w:val="baseline"/>
        <w:outlineLvl w:val="1"/>
        <w:rPr>
          <w:szCs w:val="20"/>
          <w:lang w:val="en-GB"/>
        </w:rPr>
      </w:pPr>
    </w:p>
    <w:p w14:paraId="48D068B9" w14:textId="6E20DE8F"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„Сборен пакет от мерки за опростяване в областта на храните и фуражите“</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0B1585" w14:paraId="7E2BB842" w14:textId="77777777" w:rsidTr="002E7EFB">
        <w:tc>
          <w:tcPr>
            <w:tcW w:w="1077" w:type="pct"/>
          </w:tcPr>
          <w:p w14:paraId="7E4E51AD" w14:textId="77777777" w:rsidR="00403683" w:rsidRPr="000B1585" w:rsidRDefault="00403683" w:rsidP="00403683">
            <w:pPr>
              <w:tabs>
                <w:tab w:val="center" w:pos="284"/>
              </w:tabs>
              <w:overflowPunct w:val="0"/>
              <w:autoSpaceDE w:val="0"/>
              <w:autoSpaceDN w:val="0"/>
              <w:adjustRightInd w:val="0"/>
              <w:ind w:left="266" w:hanging="266"/>
              <w:textAlignment w:val="baseline"/>
              <w:rPr>
                <w:b/>
                <w:sz w:val="22"/>
                <w:szCs w:val="22"/>
              </w:rPr>
            </w:pPr>
            <w:r w:rsidRPr="000B1585">
              <w:rPr>
                <w:b/>
                <w:sz w:val="22"/>
                <w:szCs w:val="22"/>
              </w:rPr>
              <w:t>Докладчик</w:t>
            </w:r>
          </w:p>
          <w:p w14:paraId="1DA05D33" w14:textId="77777777" w:rsidR="00403683" w:rsidRPr="000B1585" w:rsidRDefault="00403683" w:rsidP="00403683">
            <w:pPr>
              <w:tabs>
                <w:tab w:val="center" w:pos="284"/>
              </w:tabs>
              <w:overflowPunct w:val="0"/>
              <w:autoSpaceDE w:val="0"/>
              <w:autoSpaceDN w:val="0"/>
              <w:adjustRightInd w:val="0"/>
              <w:ind w:left="266" w:hanging="266"/>
              <w:textAlignment w:val="baseline"/>
              <w:rPr>
                <w:b/>
                <w:sz w:val="22"/>
                <w:szCs w:val="22"/>
              </w:rPr>
            </w:pPr>
            <w:r w:rsidRPr="000B1585">
              <w:rPr>
                <w:b/>
                <w:sz w:val="22"/>
                <w:szCs w:val="22"/>
              </w:rPr>
              <w:t>Съдокладчик</w:t>
            </w:r>
          </w:p>
        </w:tc>
        <w:tc>
          <w:tcPr>
            <w:tcW w:w="3923" w:type="pct"/>
          </w:tcPr>
          <w:p w14:paraId="2C24310A" w14:textId="58067842" w:rsidR="00403683" w:rsidRPr="000B1585" w:rsidRDefault="00403683" w:rsidP="00403683">
            <w:pPr>
              <w:tabs>
                <w:tab w:val="center" w:pos="284"/>
              </w:tabs>
              <w:overflowPunct w:val="0"/>
              <w:autoSpaceDE w:val="0"/>
              <w:autoSpaceDN w:val="0"/>
              <w:adjustRightInd w:val="0"/>
              <w:ind w:left="266" w:right="-3091" w:hanging="266"/>
              <w:textAlignment w:val="baseline"/>
              <w:rPr>
                <w:sz w:val="22"/>
                <w:szCs w:val="22"/>
              </w:rPr>
            </w:pPr>
            <w:proofErr w:type="spellStart"/>
            <w:r w:rsidRPr="000B1585">
              <w:rPr>
                <w:sz w:val="22"/>
                <w:szCs w:val="22"/>
              </w:rPr>
              <w:t>Felipe</w:t>
            </w:r>
            <w:proofErr w:type="spellEnd"/>
            <w:r w:rsidRPr="000B1585">
              <w:rPr>
                <w:sz w:val="22"/>
                <w:szCs w:val="22"/>
              </w:rPr>
              <w:t xml:space="preserve"> MEDINA (група „Работодатели“ — ES)</w:t>
            </w:r>
          </w:p>
          <w:p w14:paraId="3D560AB1" w14:textId="7A3E50CA" w:rsidR="00403683" w:rsidRPr="000B1585" w:rsidRDefault="00403683" w:rsidP="00403683">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John COMER (група „Организации на гражданското общество“ — IE)</w:t>
            </w:r>
          </w:p>
          <w:p w14:paraId="5CFB0DE6" w14:textId="77777777" w:rsidR="00F10208" w:rsidRPr="000B1585" w:rsidRDefault="00F10208" w:rsidP="00403683">
            <w:pPr>
              <w:tabs>
                <w:tab w:val="center" w:pos="284"/>
              </w:tabs>
              <w:overflowPunct w:val="0"/>
              <w:autoSpaceDE w:val="0"/>
              <w:autoSpaceDN w:val="0"/>
              <w:adjustRightInd w:val="0"/>
              <w:ind w:left="266" w:right="-3091" w:hanging="266"/>
              <w:textAlignment w:val="baseline"/>
              <w:rPr>
                <w:sz w:val="22"/>
                <w:szCs w:val="22"/>
              </w:rPr>
            </w:pPr>
          </w:p>
          <w:p w14:paraId="037A195D" w14:textId="77777777" w:rsidR="00F10208" w:rsidRPr="000B1585" w:rsidRDefault="00F10208" w:rsidP="00403683">
            <w:pPr>
              <w:tabs>
                <w:tab w:val="center" w:pos="284"/>
              </w:tabs>
              <w:overflowPunct w:val="0"/>
              <w:autoSpaceDE w:val="0"/>
              <w:autoSpaceDN w:val="0"/>
              <w:adjustRightInd w:val="0"/>
              <w:ind w:left="266" w:right="-3091" w:hanging="266"/>
              <w:textAlignment w:val="baseline"/>
              <w:rPr>
                <w:sz w:val="22"/>
                <w:szCs w:val="22"/>
              </w:rPr>
            </w:pPr>
          </w:p>
        </w:tc>
      </w:tr>
      <w:tr w:rsidR="00403683" w:rsidRPr="000B1585" w14:paraId="783AECB9" w14:textId="77777777" w:rsidTr="002E7EFB">
        <w:tc>
          <w:tcPr>
            <w:tcW w:w="1077" w:type="pct"/>
          </w:tcPr>
          <w:p w14:paraId="6E48B402" w14:textId="77777777" w:rsidR="00403683" w:rsidRPr="000B1585" w:rsidRDefault="00403683" w:rsidP="00403683">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3923" w:type="pct"/>
          </w:tcPr>
          <w:p w14:paraId="3053CB7C" w14:textId="4CC39F23" w:rsidR="00F10208" w:rsidRPr="000B1585" w:rsidRDefault="007C5358" w:rsidP="00403683">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 xml:space="preserve">COM(2025) 1030 </w:t>
            </w:r>
            <w:proofErr w:type="spellStart"/>
            <w:r w:rsidRPr="000B1585">
              <w:rPr>
                <w:sz w:val="22"/>
                <w:szCs w:val="22"/>
              </w:rPr>
              <w:t>final</w:t>
            </w:r>
            <w:proofErr w:type="spellEnd"/>
          </w:p>
          <w:p w14:paraId="762EB0A0" w14:textId="5D841CDA" w:rsidR="00403683" w:rsidRPr="000B1585" w:rsidRDefault="00403683" w:rsidP="00403683">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ЕИСК:</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приветства цялостната насоченост на пакета за опростяване в областта на храните и фуражите, който следва да намали ненужната административна тежест и разходи, но подчертава, че опростяването не трябва да излага на риск високите стандарти на ЕС за безопасност на храните и фуражите, опазване на околната среда и обществено здраве, и че едно по-нататъшно опростяване би било от полза;</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подчертава значението на качеството на нормативната уредба и необходимостта от консолидиране на ролята на гражданското общество в мониторинга и прилагането на законодателството;</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приветства предложението за улесняване на по-широкото използване на дронове за пръскане с пестициди, като същевременно подчертава необходимостта от подходяща защита и гаранции за здравето и околната среда на жителите на селските райони, които не са земеделски стопани, и на всички работници;</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счита, че Европейският орган за безопасност на храните (ЕОБХ) следва да има правото да сигнализира за необходимостта от целеви повторни оценки на активните вещества с неограничено одобрение и че следва да се иска становището му относно целесъобразността на всеки конкретен гратисен период;</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оценява положително ускоряването и опростяването на процедурите за издаване на разрешения за продукти за биологичен контрол;</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призовава за хармонизиране на гратисните периоди на най-високото равнище на защита в целия ЕС и за улесняване на взаимното признаване;</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подкрепя разрешаването на продукти за растителна защита (ПРЗ), съдържащи одобрени от ЕС активни вещества, за третиране на семена, предназначени за износ, при условие че тази употреба отговаря на регулаторните изисквания на държавата на местоназначение;</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предлага частните санитарни и сертификационни анализи, извършвани от дружества, да бъдат признати за официални, за да се опрости процедурата за износ на ПРЗ за държави извън ЕС, наред с по-строг контрол и глоби от страна на органите, за да се даде възможност за такова признаване;</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 xml:space="preserve">въпреки че признава значението на еквивалентността на стандартите, изразява загриженост във връзка с премахването на допустимите за целите на вноса стойности за някои вещества, които не са разрешени в ЕС, и счита, че оценката на въздействието е от първостепенно </w:t>
      </w:r>
      <w:r>
        <w:lastRenderedPageBreak/>
        <w:t>значение за такива значителни промени, в съответствие с принципа на предпазните мерки и потенциалните последици за всички участници във веригата, които разчитат в голяма степен на вноса;</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счита, че при веществата за биологичен контрол следва да могат да се използват тежки метали като мед, при условие че са гарантирани здравето на хората, животните и почвите и биологичното разнообразие;</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счита, че следва да има икономически жизнеспособна алтернатива с равностойно ниво на ефективност, преди да се изтегли активно вещество, което е кандидат за замяна;</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счита, че ЕС трябва да поддържа най-високите стандарти за прозрачност и безопасност на новите храни и генетично модифицираните храни;</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призовава хармонизирането на етикетирането на семената да включва подходящи предпазни мерки и мерки за управление на риска.</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0B1585" w14:paraId="70675006" w14:textId="77777777" w:rsidTr="002E7EFB">
        <w:tc>
          <w:tcPr>
            <w:tcW w:w="1077" w:type="pct"/>
          </w:tcPr>
          <w:p w14:paraId="47BC0F37" w14:textId="77777777" w:rsidR="00403683" w:rsidRPr="000B1585" w:rsidRDefault="00403683" w:rsidP="00403683">
            <w:pPr>
              <w:overflowPunct w:val="0"/>
              <w:autoSpaceDE w:val="0"/>
              <w:autoSpaceDN w:val="0"/>
              <w:adjustRightInd w:val="0"/>
              <w:textAlignment w:val="baseline"/>
              <w:rPr>
                <w:i/>
                <w:sz w:val="22"/>
                <w:szCs w:val="22"/>
              </w:rPr>
            </w:pPr>
            <w:r w:rsidRPr="000B1585">
              <w:rPr>
                <w:b/>
                <w:i/>
                <w:sz w:val="22"/>
                <w:szCs w:val="22"/>
              </w:rPr>
              <w:t>За контакти</w:t>
            </w:r>
          </w:p>
        </w:tc>
        <w:tc>
          <w:tcPr>
            <w:tcW w:w="3923" w:type="pct"/>
          </w:tcPr>
          <w:p w14:paraId="14A09B02" w14:textId="54C774A1" w:rsidR="00403683" w:rsidRPr="000B1585" w:rsidRDefault="00403683" w:rsidP="00403683">
            <w:pPr>
              <w:overflowPunct w:val="0"/>
              <w:autoSpaceDE w:val="0"/>
              <w:autoSpaceDN w:val="0"/>
              <w:adjustRightInd w:val="0"/>
              <w:textAlignment w:val="baseline"/>
              <w:rPr>
                <w:i/>
                <w:sz w:val="22"/>
                <w:szCs w:val="22"/>
              </w:rPr>
            </w:pPr>
            <w:proofErr w:type="spellStart"/>
            <w:r w:rsidRPr="000B1585">
              <w:rPr>
                <w:i/>
                <w:sz w:val="22"/>
                <w:szCs w:val="22"/>
              </w:rPr>
              <w:t>Martine</w:t>
            </w:r>
            <w:proofErr w:type="spellEnd"/>
            <w:r w:rsidRPr="000B1585">
              <w:rPr>
                <w:i/>
                <w:sz w:val="22"/>
                <w:szCs w:val="22"/>
              </w:rPr>
              <w:t xml:space="preserve"> </w:t>
            </w:r>
            <w:proofErr w:type="spellStart"/>
            <w:r w:rsidRPr="000B1585">
              <w:rPr>
                <w:i/>
                <w:sz w:val="22"/>
                <w:szCs w:val="22"/>
              </w:rPr>
              <w:t>Delanoy</w:t>
            </w:r>
            <w:proofErr w:type="spellEnd"/>
          </w:p>
        </w:tc>
      </w:tr>
      <w:tr w:rsidR="00403683" w:rsidRPr="000B1585" w14:paraId="1A38B9B8" w14:textId="77777777" w:rsidTr="002E7EFB">
        <w:tc>
          <w:tcPr>
            <w:tcW w:w="1077" w:type="pct"/>
          </w:tcPr>
          <w:p w14:paraId="4675EE24" w14:textId="77777777" w:rsidR="00403683" w:rsidRPr="000B1585" w:rsidRDefault="00403683" w:rsidP="00403683">
            <w:pPr>
              <w:overflowPunct w:val="0"/>
              <w:autoSpaceDE w:val="0"/>
              <w:autoSpaceDN w:val="0"/>
              <w:adjustRightInd w:val="0"/>
              <w:textAlignment w:val="baseline"/>
              <w:rPr>
                <w:i/>
                <w:sz w:val="22"/>
                <w:szCs w:val="22"/>
              </w:rPr>
            </w:pPr>
            <w:r w:rsidRPr="000B1585">
              <w:rPr>
                <w:i/>
                <w:sz w:val="22"/>
                <w:szCs w:val="22"/>
              </w:rPr>
              <w:t>Тел.</w:t>
            </w:r>
          </w:p>
        </w:tc>
        <w:tc>
          <w:tcPr>
            <w:tcW w:w="3923" w:type="pct"/>
          </w:tcPr>
          <w:p w14:paraId="353DAD93" w14:textId="77777777" w:rsidR="00403683" w:rsidRPr="000B1585" w:rsidRDefault="00403683" w:rsidP="00403683">
            <w:pPr>
              <w:overflowPunct w:val="0"/>
              <w:autoSpaceDE w:val="0"/>
              <w:autoSpaceDN w:val="0"/>
              <w:adjustRightInd w:val="0"/>
              <w:textAlignment w:val="baseline"/>
              <w:rPr>
                <w:i/>
                <w:sz w:val="22"/>
                <w:szCs w:val="22"/>
              </w:rPr>
            </w:pPr>
            <w:r w:rsidRPr="000B1585">
              <w:rPr>
                <w:i/>
                <w:sz w:val="22"/>
                <w:szCs w:val="22"/>
              </w:rPr>
              <w:t>+32 25469802</w:t>
            </w:r>
          </w:p>
        </w:tc>
      </w:tr>
      <w:tr w:rsidR="00403683" w:rsidRPr="000B1585" w14:paraId="7CCD1D63" w14:textId="77777777" w:rsidTr="002E7EFB">
        <w:tc>
          <w:tcPr>
            <w:tcW w:w="1077" w:type="pct"/>
          </w:tcPr>
          <w:p w14:paraId="0D398F1B" w14:textId="77777777" w:rsidR="00403683" w:rsidRPr="000B1585" w:rsidRDefault="00403683" w:rsidP="00403683">
            <w:pPr>
              <w:overflowPunct w:val="0"/>
              <w:autoSpaceDE w:val="0"/>
              <w:autoSpaceDN w:val="0"/>
              <w:adjustRightInd w:val="0"/>
              <w:textAlignment w:val="baseline"/>
              <w:rPr>
                <w:i/>
                <w:sz w:val="22"/>
                <w:szCs w:val="22"/>
              </w:rPr>
            </w:pPr>
            <w:r w:rsidRPr="000B1585">
              <w:rPr>
                <w:i/>
                <w:sz w:val="22"/>
                <w:szCs w:val="22"/>
              </w:rPr>
              <w:t>Електронен адрес</w:t>
            </w:r>
          </w:p>
        </w:tc>
        <w:tc>
          <w:tcPr>
            <w:tcW w:w="3923" w:type="pct"/>
          </w:tcPr>
          <w:p w14:paraId="40D17F4B" w14:textId="6EF3810D" w:rsidR="00403683" w:rsidRPr="000B1585" w:rsidRDefault="00C10CD5" w:rsidP="00403683">
            <w:pPr>
              <w:overflowPunct w:val="0"/>
              <w:autoSpaceDE w:val="0"/>
              <w:autoSpaceDN w:val="0"/>
              <w:adjustRightInd w:val="0"/>
              <w:textAlignment w:val="baseline"/>
              <w:rPr>
                <w:i/>
                <w:sz w:val="22"/>
                <w:szCs w:val="22"/>
              </w:rPr>
            </w:pPr>
            <w:hyperlink r:id="rId62" w:history="1">
              <w:r w:rsidRPr="000B1585">
                <w:rPr>
                  <w:i/>
                  <w:color w:val="0000FF"/>
                  <w:sz w:val="22"/>
                  <w:szCs w:val="22"/>
                  <w:u w:val="single"/>
                </w:rPr>
                <w:t>Martine.Delanoy@eesc.europa.eu</w:t>
              </w:r>
            </w:hyperlink>
            <w:r w:rsidRPr="000B1585">
              <w:rPr>
                <w:i/>
                <w:sz w:val="22"/>
                <w:szCs w:val="22"/>
              </w:rPr>
              <w:t xml:space="preserve"> </w:t>
            </w:r>
          </w:p>
          <w:p w14:paraId="01C39410" w14:textId="77777777" w:rsidR="00CA6EC9" w:rsidRPr="000B1585" w:rsidRDefault="00CA6EC9" w:rsidP="00403683">
            <w:pPr>
              <w:overflowPunct w:val="0"/>
              <w:autoSpaceDE w:val="0"/>
              <w:autoSpaceDN w:val="0"/>
              <w:adjustRightInd w:val="0"/>
              <w:textAlignment w:val="baseline"/>
              <w:rPr>
                <w:i/>
                <w:sz w:val="22"/>
                <w:szCs w:val="22"/>
              </w:rPr>
            </w:pPr>
          </w:p>
          <w:p w14:paraId="7433A851" w14:textId="77777777" w:rsidR="00CA6EC9" w:rsidRPr="000B1585" w:rsidRDefault="00CA6EC9" w:rsidP="00403683">
            <w:pPr>
              <w:overflowPunct w:val="0"/>
              <w:autoSpaceDE w:val="0"/>
              <w:autoSpaceDN w:val="0"/>
              <w:adjustRightInd w:val="0"/>
              <w:textAlignment w:val="baseline"/>
              <w:rPr>
                <w:i/>
                <w:sz w:val="22"/>
                <w:szCs w:val="22"/>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559135B4" w:rsidR="00A230F1" w:rsidRPr="007B6F06" w:rsidRDefault="007B6F06" w:rsidP="000B1585">
      <w:pPr>
        <w:pStyle w:val="ListParagraph"/>
        <w:numPr>
          <w:ilvl w:val="0"/>
          <w:numId w:val="14"/>
        </w:numPr>
        <w:spacing w:after="160" w:line="259" w:lineRule="auto"/>
        <w:ind w:left="567" w:hanging="567"/>
        <w:rPr>
          <w:b/>
          <w:bCs/>
          <w:szCs w:val="20"/>
        </w:rPr>
      </w:pPr>
      <w:hyperlink r:id="rId63" w:history="1">
        <w:r>
          <w:rPr>
            <w:b/>
            <w:i/>
            <w:color w:val="0000FF"/>
            <w:sz w:val="28"/>
            <w:u w:val="single"/>
          </w:rPr>
          <w:t>„Еквивалентност на полските инспекции на посеви за производство на семена, извършвани в трети страни, и еквивалентност на семената, произведени в трети страни“</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0B1585" w14:paraId="427B5DF2" w14:textId="77777777" w:rsidTr="002E7EFB">
        <w:tc>
          <w:tcPr>
            <w:tcW w:w="1077" w:type="pct"/>
            <w:vMerge w:val="restart"/>
          </w:tcPr>
          <w:p w14:paraId="6D05D3E2" w14:textId="77777777" w:rsidR="00A230F1" w:rsidRPr="000B1585" w:rsidRDefault="00A230F1" w:rsidP="00A230F1">
            <w:pPr>
              <w:tabs>
                <w:tab w:val="center" w:pos="284"/>
              </w:tabs>
              <w:overflowPunct w:val="0"/>
              <w:autoSpaceDE w:val="0"/>
              <w:autoSpaceDN w:val="0"/>
              <w:adjustRightInd w:val="0"/>
              <w:ind w:left="266" w:hanging="266"/>
              <w:textAlignment w:val="baseline"/>
              <w:rPr>
                <w:b/>
                <w:sz w:val="22"/>
                <w:szCs w:val="22"/>
              </w:rPr>
            </w:pPr>
            <w:r w:rsidRPr="000B1585">
              <w:rPr>
                <w:b/>
                <w:sz w:val="22"/>
                <w:szCs w:val="22"/>
              </w:rPr>
              <w:t>Отправни документи</w:t>
            </w:r>
          </w:p>
        </w:tc>
        <w:tc>
          <w:tcPr>
            <w:tcW w:w="3923" w:type="pct"/>
          </w:tcPr>
          <w:p w14:paraId="54297B64" w14:textId="7C4F1EAB" w:rsidR="005D0FED" w:rsidRPr="000B1585" w:rsidRDefault="005D0FED" w:rsidP="00A230F1">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становище от категория В</w:t>
            </w:r>
          </w:p>
          <w:p w14:paraId="139E7F03" w14:textId="312ADB3D" w:rsidR="00A230F1" w:rsidRPr="000B1585" w:rsidRDefault="00A230F1" w:rsidP="00A230F1">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 xml:space="preserve">COM(2026) 128 </w:t>
            </w:r>
            <w:proofErr w:type="spellStart"/>
            <w:r w:rsidRPr="000B1585">
              <w:rPr>
                <w:sz w:val="22"/>
                <w:szCs w:val="22"/>
              </w:rPr>
              <w:t>final</w:t>
            </w:r>
            <w:proofErr w:type="spellEnd"/>
          </w:p>
        </w:tc>
      </w:tr>
      <w:tr w:rsidR="00A230F1" w:rsidRPr="000B1585" w14:paraId="63A72A95" w14:textId="77777777" w:rsidTr="002E7EFB">
        <w:tc>
          <w:tcPr>
            <w:tcW w:w="1077" w:type="pct"/>
            <w:vMerge/>
          </w:tcPr>
          <w:p w14:paraId="11CFEE2D" w14:textId="77777777" w:rsidR="00A230F1" w:rsidRPr="000B1585" w:rsidRDefault="00A230F1" w:rsidP="00A230F1">
            <w:pPr>
              <w:tabs>
                <w:tab w:val="center" w:pos="284"/>
              </w:tabs>
              <w:overflowPunct w:val="0"/>
              <w:autoSpaceDE w:val="0"/>
              <w:autoSpaceDN w:val="0"/>
              <w:adjustRightInd w:val="0"/>
              <w:ind w:left="266" w:hanging="266"/>
              <w:textAlignment w:val="baseline"/>
              <w:rPr>
                <w:b/>
                <w:sz w:val="22"/>
                <w:szCs w:val="22"/>
              </w:rPr>
            </w:pPr>
          </w:p>
        </w:tc>
        <w:tc>
          <w:tcPr>
            <w:tcW w:w="3923" w:type="pct"/>
          </w:tcPr>
          <w:p w14:paraId="70F0DEFB" w14:textId="77777777" w:rsidR="00A230F1" w:rsidRPr="000B1585" w:rsidRDefault="00A230F1" w:rsidP="00A230F1">
            <w:pPr>
              <w:tabs>
                <w:tab w:val="center" w:pos="284"/>
              </w:tabs>
              <w:overflowPunct w:val="0"/>
              <w:autoSpaceDE w:val="0"/>
              <w:autoSpaceDN w:val="0"/>
              <w:adjustRightInd w:val="0"/>
              <w:ind w:left="266" w:right="-3091" w:hanging="266"/>
              <w:textAlignment w:val="baseline"/>
              <w:rPr>
                <w:sz w:val="22"/>
                <w:szCs w:val="22"/>
              </w:rPr>
            </w:pPr>
            <w:r w:rsidRPr="000B1585">
              <w:rPr>
                <w:sz w:val="22"/>
                <w:szCs w:val="22"/>
              </w:rP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C5D3568" w:rsidR="002B30F4" w:rsidRPr="002B30F4" w:rsidRDefault="00A230F1" w:rsidP="004C6742">
      <w:pPr>
        <w:pStyle w:val="Footer"/>
        <w:rPr>
          <w:bCs/>
          <w:iCs/>
        </w:rPr>
      </w:pPr>
      <w:r>
        <w:t>Тъй като Комитетът вече изрази своята гледна точка по съдържанието на въпросното предложение в своите становища EESC-2018-00043-00-00-AC-TRA, прието на 14.2.2018 г.</w:t>
      </w:r>
      <w:r w:rsidR="002B30F4" w:rsidRPr="002B30F4">
        <w:rPr>
          <w:sz w:val="24"/>
          <w:vertAlign w:val="superscript"/>
          <w:lang w:val="en-GB"/>
        </w:rPr>
        <w:footnoteReference w:id="2"/>
      </w:r>
      <w:r>
        <w:t>, и EESC-2020-02029-00-00-AC-TRA-EN, прието на 18.9.2020 г.</w:t>
      </w:r>
      <w:r w:rsidR="002B30F4" w:rsidRPr="002B30F4">
        <w:rPr>
          <w:sz w:val="24"/>
          <w:vertAlign w:val="superscript"/>
          <w:lang w:val="en-GB"/>
        </w:rPr>
        <w:footnoteReference w:id="3"/>
      </w:r>
      <w:r>
        <w:t>, той взе решение да не изготвя ново становище по въпроса, а да се позове на изложената в горепосочените документи позиция.</w:t>
      </w:r>
    </w:p>
    <w:p w14:paraId="23AFABFB" w14:textId="193EFDF4" w:rsidR="00A230F1" w:rsidRDefault="00A230F1" w:rsidP="00A230F1">
      <w:pPr>
        <w:overflowPunct w:val="0"/>
        <w:autoSpaceDE w:val="0"/>
        <w:autoSpaceDN w:val="0"/>
        <w:adjustRightInd w:val="0"/>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012F8" w14:paraId="16CCD5A5" w14:textId="77777777" w:rsidTr="002E7EFB">
        <w:tc>
          <w:tcPr>
            <w:tcW w:w="1078" w:type="pct"/>
          </w:tcPr>
          <w:p w14:paraId="441CA2A8" w14:textId="77777777" w:rsidR="00A230F1" w:rsidRPr="00A012F8" w:rsidRDefault="00A230F1" w:rsidP="00A230F1">
            <w:pPr>
              <w:overflowPunct w:val="0"/>
              <w:autoSpaceDE w:val="0"/>
              <w:autoSpaceDN w:val="0"/>
              <w:adjustRightInd w:val="0"/>
              <w:textAlignment w:val="baseline"/>
              <w:rPr>
                <w:i/>
                <w:sz w:val="22"/>
                <w:szCs w:val="22"/>
              </w:rPr>
            </w:pPr>
            <w:r w:rsidRPr="00A012F8">
              <w:rPr>
                <w:b/>
                <w:i/>
                <w:sz w:val="22"/>
                <w:szCs w:val="22"/>
              </w:rPr>
              <w:t>За контакти</w:t>
            </w:r>
          </w:p>
        </w:tc>
        <w:tc>
          <w:tcPr>
            <w:tcW w:w="3922" w:type="pct"/>
          </w:tcPr>
          <w:p w14:paraId="1998D269" w14:textId="77777777" w:rsidR="00A230F1" w:rsidRPr="00A012F8" w:rsidRDefault="00A230F1" w:rsidP="00A230F1">
            <w:pPr>
              <w:overflowPunct w:val="0"/>
              <w:autoSpaceDE w:val="0"/>
              <w:autoSpaceDN w:val="0"/>
              <w:adjustRightInd w:val="0"/>
              <w:textAlignment w:val="baseline"/>
              <w:rPr>
                <w:i/>
                <w:sz w:val="22"/>
                <w:szCs w:val="22"/>
              </w:rPr>
            </w:pPr>
            <w:proofErr w:type="spellStart"/>
            <w:r w:rsidRPr="00A012F8">
              <w:rPr>
                <w:i/>
                <w:sz w:val="22"/>
                <w:szCs w:val="22"/>
              </w:rPr>
              <w:t>Arturo</w:t>
            </w:r>
            <w:proofErr w:type="spellEnd"/>
            <w:r w:rsidRPr="00A012F8">
              <w:rPr>
                <w:i/>
                <w:sz w:val="22"/>
                <w:szCs w:val="22"/>
              </w:rPr>
              <w:t xml:space="preserve"> </w:t>
            </w:r>
            <w:proofErr w:type="spellStart"/>
            <w:r w:rsidRPr="00A012F8">
              <w:rPr>
                <w:i/>
                <w:sz w:val="22"/>
                <w:szCs w:val="22"/>
              </w:rPr>
              <w:t>Iniguez</w:t>
            </w:r>
            <w:proofErr w:type="spellEnd"/>
            <w:r w:rsidRPr="00A012F8">
              <w:rPr>
                <w:i/>
                <w:sz w:val="22"/>
                <w:szCs w:val="22"/>
              </w:rPr>
              <w:t xml:space="preserve"> </w:t>
            </w:r>
            <w:proofErr w:type="spellStart"/>
            <w:r w:rsidRPr="00A012F8">
              <w:rPr>
                <w:i/>
                <w:sz w:val="22"/>
                <w:szCs w:val="22"/>
              </w:rPr>
              <w:t>Yuste</w:t>
            </w:r>
            <w:proofErr w:type="spellEnd"/>
          </w:p>
        </w:tc>
      </w:tr>
      <w:tr w:rsidR="00A230F1" w:rsidRPr="00A012F8" w14:paraId="7CBB3F89" w14:textId="77777777" w:rsidTr="002E7EFB">
        <w:tc>
          <w:tcPr>
            <w:tcW w:w="1078" w:type="pct"/>
          </w:tcPr>
          <w:p w14:paraId="4B2CEA11" w14:textId="77777777" w:rsidR="00A230F1" w:rsidRPr="00A012F8" w:rsidRDefault="00A230F1" w:rsidP="00A230F1">
            <w:pPr>
              <w:overflowPunct w:val="0"/>
              <w:autoSpaceDE w:val="0"/>
              <w:autoSpaceDN w:val="0"/>
              <w:adjustRightInd w:val="0"/>
              <w:textAlignment w:val="baseline"/>
              <w:rPr>
                <w:i/>
                <w:sz w:val="22"/>
                <w:szCs w:val="22"/>
              </w:rPr>
            </w:pPr>
            <w:r w:rsidRPr="00A012F8">
              <w:rPr>
                <w:i/>
                <w:sz w:val="22"/>
                <w:szCs w:val="22"/>
              </w:rPr>
              <w:t>Тел.</w:t>
            </w:r>
          </w:p>
        </w:tc>
        <w:tc>
          <w:tcPr>
            <w:tcW w:w="3922" w:type="pct"/>
          </w:tcPr>
          <w:p w14:paraId="151C60D3" w14:textId="77777777" w:rsidR="00A230F1" w:rsidRPr="00A012F8" w:rsidRDefault="00A230F1" w:rsidP="00A230F1">
            <w:pPr>
              <w:overflowPunct w:val="0"/>
              <w:autoSpaceDE w:val="0"/>
              <w:autoSpaceDN w:val="0"/>
              <w:adjustRightInd w:val="0"/>
              <w:textAlignment w:val="baseline"/>
              <w:rPr>
                <w:i/>
                <w:sz w:val="22"/>
                <w:szCs w:val="22"/>
              </w:rPr>
            </w:pPr>
            <w:r w:rsidRPr="00A012F8">
              <w:rPr>
                <w:i/>
                <w:sz w:val="22"/>
                <w:szCs w:val="22"/>
              </w:rPr>
              <w:t>+32 25468768</w:t>
            </w:r>
          </w:p>
        </w:tc>
      </w:tr>
      <w:tr w:rsidR="00A230F1" w:rsidRPr="00A012F8" w14:paraId="3090F269" w14:textId="77777777" w:rsidTr="002E7EFB">
        <w:tc>
          <w:tcPr>
            <w:tcW w:w="1078" w:type="pct"/>
          </w:tcPr>
          <w:p w14:paraId="36817683" w14:textId="77777777" w:rsidR="00A230F1" w:rsidRPr="00A012F8" w:rsidRDefault="00A230F1" w:rsidP="00A230F1">
            <w:pPr>
              <w:overflowPunct w:val="0"/>
              <w:autoSpaceDE w:val="0"/>
              <w:autoSpaceDN w:val="0"/>
              <w:adjustRightInd w:val="0"/>
              <w:textAlignment w:val="baseline"/>
              <w:rPr>
                <w:i/>
                <w:sz w:val="22"/>
                <w:szCs w:val="22"/>
              </w:rPr>
            </w:pPr>
            <w:r w:rsidRPr="00A012F8">
              <w:rPr>
                <w:i/>
                <w:sz w:val="22"/>
                <w:szCs w:val="22"/>
              </w:rPr>
              <w:t>Електронен адрес</w:t>
            </w:r>
          </w:p>
        </w:tc>
        <w:tc>
          <w:tcPr>
            <w:tcW w:w="3922" w:type="pct"/>
          </w:tcPr>
          <w:p w14:paraId="1FAC504A" w14:textId="734D246B" w:rsidR="00A230F1" w:rsidRPr="00A012F8" w:rsidRDefault="00C10CD5" w:rsidP="00A230F1">
            <w:pPr>
              <w:overflowPunct w:val="0"/>
              <w:autoSpaceDE w:val="0"/>
              <w:autoSpaceDN w:val="0"/>
              <w:adjustRightInd w:val="0"/>
              <w:textAlignment w:val="baseline"/>
              <w:rPr>
                <w:i/>
                <w:iCs/>
                <w:sz w:val="22"/>
                <w:szCs w:val="22"/>
              </w:rPr>
            </w:pPr>
            <w:hyperlink r:id="rId64" w:history="1">
              <w:r w:rsidRPr="00A012F8">
                <w:rPr>
                  <w:i/>
                  <w:color w:val="0000FF"/>
                  <w:sz w:val="22"/>
                  <w:szCs w:val="22"/>
                  <w:u w:val="single"/>
                </w:rPr>
                <w:t>Arturo.Iniguez@eesc.europa.eu</w:t>
              </w:r>
            </w:hyperlink>
            <w:r w:rsidRPr="00A012F8">
              <w:rPr>
                <w:i/>
                <w:sz w:val="22"/>
                <w:szCs w:val="22"/>
              </w:rPr>
              <w:t xml:space="preserve"> </w:t>
            </w:r>
          </w:p>
        </w:tc>
      </w:tr>
    </w:tbl>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1748BF6B"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„Обезсилване на квоти в резерва за стабилност на пазара“</w:t>
        </w:r>
      </w:hyperlink>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A012F8" w14:paraId="22D897E0" w14:textId="77777777" w:rsidTr="002E7EFB">
        <w:tc>
          <w:tcPr>
            <w:tcW w:w="1077" w:type="pct"/>
            <w:vMerge w:val="restart"/>
          </w:tcPr>
          <w:p w14:paraId="6262FEF2" w14:textId="77777777" w:rsidR="00EC4D43" w:rsidRPr="00A012F8" w:rsidRDefault="00EC4D43" w:rsidP="00EC4D43">
            <w:pPr>
              <w:tabs>
                <w:tab w:val="center" w:pos="284"/>
              </w:tabs>
              <w:overflowPunct w:val="0"/>
              <w:autoSpaceDE w:val="0"/>
              <w:autoSpaceDN w:val="0"/>
              <w:adjustRightInd w:val="0"/>
              <w:ind w:left="266" w:hanging="266"/>
              <w:textAlignment w:val="baseline"/>
              <w:rPr>
                <w:b/>
                <w:sz w:val="22"/>
                <w:szCs w:val="22"/>
              </w:rPr>
            </w:pPr>
            <w:r w:rsidRPr="00A012F8">
              <w:rPr>
                <w:b/>
                <w:sz w:val="22"/>
                <w:szCs w:val="22"/>
              </w:rPr>
              <w:t>Отправни документи</w:t>
            </w:r>
          </w:p>
        </w:tc>
        <w:tc>
          <w:tcPr>
            <w:tcW w:w="3923" w:type="pct"/>
          </w:tcPr>
          <w:p w14:paraId="60CAA90A" w14:textId="2B344929" w:rsidR="00447A14" w:rsidRPr="00A012F8" w:rsidRDefault="00F1581A" w:rsidP="00EC4D43">
            <w:pPr>
              <w:tabs>
                <w:tab w:val="center" w:pos="284"/>
              </w:tabs>
              <w:overflowPunct w:val="0"/>
              <w:autoSpaceDE w:val="0"/>
              <w:autoSpaceDN w:val="0"/>
              <w:adjustRightInd w:val="0"/>
              <w:ind w:left="266" w:right="-3091" w:hanging="266"/>
              <w:textAlignment w:val="baseline"/>
              <w:rPr>
                <w:sz w:val="22"/>
                <w:szCs w:val="22"/>
              </w:rPr>
            </w:pPr>
            <w:r w:rsidRPr="00A012F8">
              <w:rPr>
                <w:sz w:val="22"/>
                <w:szCs w:val="22"/>
              </w:rPr>
              <w:t>становище от категория В</w:t>
            </w:r>
          </w:p>
          <w:p w14:paraId="0ADB870C" w14:textId="3DA0E6FF" w:rsidR="00EC4D43" w:rsidRPr="00A012F8" w:rsidRDefault="00EC4D43" w:rsidP="00EC4D43">
            <w:pPr>
              <w:tabs>
                <w:tab w:val="center" w:pos="284"/>
              </w:tabs>
              <w:overflowPunct w:val="0"/>
              <w:autoSpaceDE w:val="0"/>
              <w:autoSpaceDN w:val="0"/>
              <w:adjustRightInd w:val="0"/>
              <w:ind w:left="266" w:right="-3091" w:hanging="266"/>
              <w:textAlignment w:val="baseline"/>
              <w:rPr>
                <w:sz w:val="22"/>
                <w:szCs w:val="22"/>
              </w:rPr>
            </w:pPr>
            <w:r w:rsidRPr="00A012F8">
              <w:rPr>
                <w:sz w:val="22"/>
                <w:szCs w:val="22"/>
              </w:rPr>
              <w:t xml:space="preserve">COM(2026) 153 </w:t>
            </w:r>
            <w:proofErr w:type="spellStart"/>
            <w:r w:rsidRPr="00A012F8">
              <w:rPr>
                <w:sz w:val="22"/>
                <w:szCs w:val="22"/>
              </w:rPr>
              <w:t>final</w:t>
            </w:r>
            <w:proofErr w:type="spellEnd"/>
          </w:p>
        </w:tc>
      </w:tr>
      <w:tr w:rsidR="00EC4D43" w:rsidRPr="00A012F8" w14:paraId="651FA50F" w14:textId="77777777" w:rsidTr="002E7EFB">
        <w:tc>
          <w:tcPr>
            <w:tcW w:w="1077" w:type="pct"/>
            <w:vMerge/>
          </w:tcPr>
          <w:p w14:paraId="6A472EE9" w14:textId="77777777" w:rsidR="00EC4D43" w:rsidRPr="00A012F8" w:rsidRDefault="00EC4D43" w:rsidP="00EC4D43">
            <w:pPr>
              <w:tabs>
                <w:tab w:val="center" w:pos="284"/>
              </w:tabs>
              <w:overflowPunct w:val="0"/>
              <w:autoSpaceDE w:val="0"/>
              <w:autoSpaceDN w:val="0"/>
              <w:adjustRightInd w:val="0"/>
              <w:ind w:left="266" w:hanging="266"/>
              <w:textAlignment w:val="baseline"/>
              <w:rPr>
                <w:b/>
                <w:sz w:val="22"/>
                <w:szCs w:val="22"/>
              </w:rPr>
            </w:pPr>
          </w:p>
        </w:tc>
        <w:tc>
          <w:tcPr>
            <w:tcW w:w="3923" w:type="pct"/>
          </w:tcPr>
          <w:p w14:paraId="47DF85DF" w14:textId="77777777" w:rsidR="00EC4D43" w:rsidRPr="00A012F8" w:rsidRDefault="00EC4D43" w:rsidP="00EC4D43">
            <w:pPr>
              <w:tabs>
                <w:tab w:val="center" w:pos="284"/>
              </w:tabs>
              <w:overflowPunct w:val="0"/>
              <w:autoSpaceDE w:val="0"/>
              <w:autoSpaceDN w:val="0"/>
              <w:adjustRightInd w:val="0"/>
              <w:ind w:left="266" w:right="-3091" w:hanging="266"/>
              <w:textAlignment w:val="baseline"/>
              <w:rPr>
                <w:sz w:val="22"/>
                <w:szCs w:val="22"/>
              </w:rPr>
            </w:pPr>
            <w:r w:rsidRPr="00A012F8">
              <w:rPr>
                <w:sz w:val="22"/>
                <w:szCs w:val="22"/>
              </w:rPr>
              <w:t>EESC-2026-01164-00-00-AC</w:t>
            </w:r>
          </w:p>
        </w:tc>
      </w:tr>
    </w:tbl>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r>
        <w:t>Тъй като прецени, че съдържанието на предложението е напълно задоволително, и предвид факта, че темата вече е била предмет на предходно становище EESC-2021-03918-00-00-AC-TRA, прието на 8.12.2021 г.</w:t>
      </w:r>
      <w:r w:rsidR="008548EA" w:rsidRPr="008548EA">
        <w:rPr>
          <w:sz w:val="24"/>
          <w:szCs w:val="20"/>
          <w:vertAlign w:val="superscript"/>
          <w:lang w:val="en-GB"/>
        </w:rPr>
        <w:footnoteReference w:id="4"/>
      </w:r>
      <w:r>
        <w:t>, ЕИСК реши да приеме положително становище по предложения текст и да се позове на позицията, изразена в горепосочения документ.</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A012F8" w14:paraId="2D162523" w14:textId="77777777" w:rsidTr="002E7EFB">
        <w:tc>
          <w:tcPr>
            <w:tcW w:w="1078" w:type="pct"/>
          </w:tcPr>
          <w:p w14:paraId="1CAD14A2" w14:textId="77777777" w:rsidR="00EC4D43" w:rsidRPr="00A012F8" w:rsidRDefault="00EC4D43" w:rsidP="00EC4D43">
            <w:pPr>
              <w:overflowPunct w:val="0"/>
              <w:autoSpaceDE w:val="0"/>
              <w:autoSpaceDN w:val="0"/>
              <w:adjustRightInd w:val="0"/>
              <w:textAlignment w:val="baseline"/>
              <w:rPr>
                <w:i/>
                <w:sz w:val="22"/>
                <w:szCs w:val="22"/>
              </w:rPr>
            </w:pPr>
            <w:r w:rsidRPr="00A012F8">
              <w:rPr>
                <w:b/>
                <w:i/>
                <w:sz w:val="22"/>
                <w:szCs w:val="22"/>
              </w:rPr>
              <w:t>За контакти</w:t>
            </w:r>
          </w:p>
        </w:tc>
        <w:tc>
          <w:tcPr>
            <w:tcW w:w="3922" w:type="pct"/>
          </w:tcPr>
          <w:p w14:paraId="36FD4393" w14:textId="46A780E6" w:rsidR="00EC4D43" w:rsidRPr="00A012F8" w:rsidRDefault="00EC4D43" w:rsidP="00EC4D43">
            <w:pPr>
              <w:overflowPunct w:val="0"/>
              <w:autoSpaceDE w:val="0"/>
              <w:autoSpaceDN w:val="0"/>
              <w:adjustRightInd w:val="0"/>
              <w:textAlignment w:val="baseline"/>
              <w:rPr>
                <w:i/>
                <w:sz w:val="22"/>
                <w:szCs w:val="22"/>
              </w:rPr>
            </w:pPr>
            <w:proofErr w:type="spellStart"/>
            <w:r w:rsidRPr="00A012F8">
              <w:rPr>
                <w:i/>
                <w:sz w:val="22"/>
                <w:szCs w:val="22"/>
              </w:rPr>
              <w:t>Gaizka</w:t>
            </w:r>
            <w:proofErr w:type="spellEnd"/>
            <w:r w:rsidRPr="00A012F8">
              <w:rPr>
                <w:i/>
                <w:sz w:val="22"/>
                <w:szCs w:val="22"/>
              </w:rPr>
              <w:t xml:space="preserve"> </w:t>
            </w:r>
            <w:proofErr w:type="spellStart"/>
            <w:r w:rsidRPr="00A012F8">
              <w:rPr>
                <w:i/>
                <w:sz w:val="22"/>
                <w:szCs w:val="22"/>
              </w:rPr>
              <w:t>Malo</w:t>
            </w:r>
            <w:proofErr w:type="spellEnd"/>
            <w:r w:rsidRPr="00A012F8">
              <w:rPr>
                <w:i/>
                <w:sz w:val="22"/>
                <w:szCs w:val="22"/>
              </w:rPr>
              <w:t xml:space="preserve"> </w:t>
            </w:r>
            <w:proofErr w:type="spellStart"/>
            <w:r w:rsidRPr="00A012F8">
              <w:rPr>
                <w:i/>
                <w:sz w:val="22"/>
                <w:szCs w:val="22"/>
              </w:rPr>
              <w:t>Elcoro-Iribe</w:t>
            </w:r>
            <w:proofErr w:type="spellEnd"/>
          </w:p>
        </w:tc>
      </w:tr>
      <w:tr w:rsidR="00EC4D43" w:rsidRPr="00A012F8" w14:paraId="0DA2E11C" w14:textId="77777777" w:rsidTr="002E7EFB">
        <w:tc>
          <w:tcPr>
            <w:tcW w:w="1078" w:type="pct"/>
          </w:tcPr>
          <w:p w14:paraId="459B752C" w14:textId="77777777" w:rsidR="00EC4D43" w:rsidRPr="00A012F8" w:rsidRDefault="00EC4D43" w:rsidP="00EC4D43">
            <w:pPr>
              <w:overflowPunct w:val="0"/>
              <w:autoSpaceDE w:val="0"/>
              <w:autoSpaceDN w:val="0"/>
              <w:adjustRightInd w:val="0"/>
              <w:textAlignment w:val="baseline"/>
              <w:rPr>
                <w:i/>
                <w:sz w:val="22"/>
                <w:szCs w:val="22"/>
              </w:rPr>
            </w:pPr>
            <w:r w:rsidRPr="00A012F8">
              <w:rPr>
                <w:i/>
                <w:sz w:val="22"/>
                <w:szCs w:val="22"/>
              </w:rPr>
              <w:t>Тел.</w:t>
            </w:r>
          </w:p>
        </w:tc>
        <w:tc>
          <w:tcPr>
            <w:tcW w:w="3922" w:type="pct"/>
          </w:tcPr>
          <w:p w14:paraId="77EB016E" w14:textId="77777777" w:rsidR="00EC4D43" w:rsidRPr="00A012F8" w:rsidRDefault="00EC4D43" w:rsidP="00EC4D43">
            <w:pPr>
              <w:overflowPunct w:val="0"/>
              <w:autoSpaceDE w:val="0"/>
              <w:autoSpaceDN w:val="0"/>
              <w:adjustRightInd w:val="0"/>
              <w:textAlignment w:val="baseline"/>
              <w:rPr>
                <w:i/>
                <w:sz w:val="22"/>
                <w:szCs w:val="22"/>
              </w:rPr>
            </w:pPr>
            <w:r w:rsidRPr="00A012F8">
              <w:rPr>
                <w:i/>
                <w:sz w:val="22"/>
                <w:szCs w:val="22"/>
              </w:rPr>
              <w:t>+32 25468526</w:t>
            </w:r>
          </w:p>
        </w:tc>
      </w:tr>
      <w:tr w:rsidR="00EC4D43" w:rsidRPr="00A012F8" w14:paraId="1581E8CF" w14:textId="77777777" w:rsidTr="002E7EFB">
        <w:tc>
          <w:tcPr>
            <w:tcW w:w="1078" w:type="pct"/>
          </w:tcPr>
          <w:p w14:paraId="3CA2A44C" w14:textId="77777777" w:rsidR="00EC4D43" w:rsidRPr="00A012F8" w:rsidRDefault="00EC4D43" w:rsidP="00EC4D43">
            <w:pPr>
              <w:overflowPunct w:val="0"/>
              <w:autoSpaceDE w:val="0"/>
              <w:autoSpaceDN w:val="0"/>
              <w:adjustRightInd w:val="0"/>
              <w:textAlignment w:val="baseline"/>
              <w:rPr>
                <w:i/>
                <w:sz w:val="22"/>
                <w:szCs w:val="22"/>
              </w:rPr>
            </w:pPr>
            <w:r w:rsidRPr="00A012F8">
              <w:rPr>
                <w:i/>
                <w:sz w:val="22"/>
                <w:szCs w:val="22"/>
              </w:rPr>
              <w:t>Електронен адрес</w:t>
            </w:r>
          </w:p>
        </w:tc>
        <w:tc>
          <w:tcPr>
            <w:tcW w:w="3922" w:type="pct"/>
          </w:tcPr>
          <w:p w14:paraId="4685C922" w14:textId="38E9501B" w:rsidR="00EC4D43" w:rsidRPr="00A012F8" w:rsidRDefault="00C10CD5" w:rsidP="00EC4D43">
            <w:pPr>
              <w:overflowPunct w:val="0"/>
              <w:autoSpaceDE w:val="0"/>
              <w:autoSpaceDN w:val="0"/>
              <w:adjustRightInd w:val="0"/>
              <w:textAlignment w:val="baseline"/>
              <w:rPr>
                <w:i/>
                <w:iCs/>
                <w:sz w:val="22"/>
                <w:szCs w:val="22"/>
              </w:rPr>
            </w:pPr>
            <w:hyperlink r:id="rId66" w:history="1">
              <w:r w:rsidRPr="00A012F8">
                <w:rPr>
                  <w:i/>
                  <w:color w:val="0000FF"/>
                  <w:sz w:val="22"/>
                  <w:szCs w:val="22"/>
                  <w:u w:val="single"/>
                </w:rPr>
                <w:t>Gaizka.Maloelcoro-iribe@eesc.europa.eu</w:t>
              </w:r>
            </w:hyperlink>
            <w:r w:rsidRPr="00A012F8">
              <w:rPr>
                <w:i/>
                <w:sz w:val="22"/>
                <w:szCs w:val="22"/>
              </w:rPr>
              <w:t xml:space="preserve"> </w:t>
            </w:r>
          </w:p>
        </w:tc>
      </w:tr>
    </w:tbl>
    <w:p w14:paraId="06526E7E" w14:textId="3807A81A" w:rsidR="00EC4D43" w:rsidRDefault="00EC4D43" w:rsidP="001766B2">
      <w:pPr>
        <w:jc w:val="left"/>
      </w:pPr>
    </w:p>
    <w:p w14:paraId="14026A78" w14:textId="34519E14" w:rsidR="007F5784" w:rsidRDefault="007F5784" w:rsidP="004C6742">
      <w:pPr>
        <w:pStyle w:val="Heading2"/>
      </w:pPr>
      <w:bookmarkStart w:id="41" w:name="_Toc229140657"/>
      <w:r>
        <w:t>ВЪНШНИ ОТНОШЕНИЯ</w:t>
      </w:r>
      <w:bookmarkEnd w:id="41"/>
    </w:p>
    <w:p w14:paraId="3BBB3E68" w14:textId="77777777" w:rsidR="007F5784" w:rsidRDefault="007F5784" w:rsidP="001766B2"/>
    <w:p w14:paraId="1A338A4C" w14:textId="0F7B8A84" w:rsidR="00D16830" w:rsidRPr="00D16830" w:rsidRDefault="00D16830" w:rsidP="00D16830">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Pr>
            <w:b/>
            <w:i/>
            <w:color w:val="0000FF"/>
            <w:sz w:val="24"/>
            <w:u w:val="single"/>
          </w:rPr>
          <w:t>„Ролята на гражданското общество по отношение на подкрепата за реформите в рамките на плановете за растеж за Западните Балкани и Молдова, както и по отношение на пътя на Украйна към реформи“</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A012F8" w14:paraId="10A26714" w14:textId="77777777" w:rsidTr="004C6742">
        <w:tc>
          <w:tcPr>
            <w:tcW w:w="1701" w:type="dxa"/>
          </w:tcPr>
          <w:p w14:paraId="1F036B18" w14:textId="77777777" w:rsidR="00D16830" w:rsidRPr="00A012F8" w:rsidRDefault="00D16830" w:rsidP="00D16830">
            <w:pPr>
              <w:tabs>
                <w:tab w:val="center" w:pos="284"/>
              </w:tabs>
              <w:overflowPunct w:val="0"/>
              <w:autoSpaceDE w:val="0"/>
              <w:autoSpaceDN w:val="0"/>
              <w:adjustRightInd w:val="0"/>
              <w:ind w:left="266" w:hanging="266"/>
              <w:textAlignment w:val="baseline"/>
              <w:rPr>
                <w:b/>
                <w:sz w:val="22"/>
                <w:szCs w:val="22"/>
              </w:rPr>
            </w:pPr>
            <w:r w:rsidRPr="00A012F8">
              <w:rPr>
                <w:b/>
                <w:sz w:val="22"/>
                <w:szCs w:val="22"/>
              </w:rPr>
              <w:t>Докладчик</w:t>
            </w:r>
          </w:p>
        </w:tc>
        <w:tc>
          <w:tcPr>
            <w:tcW w:w="6804" w:type="dxa"/>
          </w:tcPr>
          <w:p w14:paraId="61302FB0" w14:textId="2C902EF4" w:rsidR="00D16830" w:rsidRPr="00A012F8" w:rsidRDefault="00D16830" w:rsidP="00D16830">
            <w:pPr>
              <w:tabs>
                <w:tab w:val="center" w:pos="284"/>
              </w:tabs>
              <w:overflowPunct w:val="0"/>
              <w:autoSpaceDE w:val="0"/>
              <w:autoSpaceDN w:val="0"/>
              <w:adjustRightInd w:val="0"/>
              <w:ind w:left="266" w:hanging="266"/>
              <w:textAlignment w:val="baseline"/>
              <w:rPr>
                <w:sz w:val="22"/>
                <w:szCs w:val="22"/>
              </w:rPr>
            </w:pPr>
            <w:proofErr w:type="spellStart"/>
            <w:r w:rsidRPr="00A012F8">
              <w:rPr>
                <w:sz w:val="22"/>
                <w:szCs w:val="22"/>
              </w:rPr>
              <w:t>Oleg</w:t>
            </w:r>
            <w:proofErr w:type="spellEnd"/>
            <w:r w:rsidRPr="00A012F8">
              <w:rPr>
                <w:sz w:val="22"/>
                <w:szCs w:val="22"/>
              </w:rPr>
              <w:t xml:space="preserve"> ROIBU (група „Работодатели“ — RO)</w:t>
            </w:r>
          </w:p>
        </w:tc>
      </w:tr>
      <w:tr w:rsidR="00D16830" w:rsidRPr="00A012F8" w14:paraId="16FB2AA9" w14:textId="77777777" w:rsidTr="004C6742">
        <w:tc>
          <w:tcPr>
            <w:tcW w:w="1701" w:type="dxa"/>
          </w:tcPr>
          <w:p w14:paraId="41593292" w14:textId="77777777" w:rsidR="00D16830" w:rsidRPr="00A012F8" w:rsidRDefault="00D16830" w:rsidP="00D16830">
            <w:pPr>
              <w:tabs>
                <w:tab w:val="center" w:pos="284"/>
              </w:tabs>
              <w:overflowPunct w:val="0"/>
              <w:autoSpaceDE w:val="0"/>
              <w:autoSpaceDN w:val="0"/>
              <w:adjustRightInd w:val="0"/>
              <w:ind w:left="266" w:hanging="266"/>
              <w:textAlignment w:val="baseline"/>
              <w:rPr>
                <w:b/>
                <w:sz w:val="22"/>
                <w:szCs w:val="22"/>
              </w:rPr>
            </w:pPr>
            <w:r w:rsidRPr="00A012F8">
              <w:rPr>
                <w:b/>
                <w:sz w:val="22"/>
                <w:szCs w:val="22"/>
              </w:rPr>
              <w:t>Съдокладчик</w:t>
            </w:r>
          </w:p>
        </w:tc>
        <w:tc>
          <w:tcPr>
            <w:tcW w:w="6804" w:type="dxa"/>
          </w:tcPr>
          <w:p w14:paraId="15F5EFBF" w14:textId="32660462" w:rsidR="00D16830" w:rsidRPr="00A012F8" w:rsidRDefault="00D16830" w:rsidP="00D16830">
            <w:pPr>
              <w:tabs>
                <w:tab w:val="center" w:pos="284"/>
              </w:tabs>
              <w:overflowPunct w:val="0"/>
              <w:autoSpaceDE w:val="0"/>
              <w:autoSpaceDN w:val="0"/>
              <w:adjustRightInd w:val="0"/>
              <w:ind w:left="266" w:hanging="266"/>
              <w:textAlignment w:val="baseline"/>
              <w:rPr>
                <w:sz w:val="22"/>
                <w:szCs w:val="22"/>
              </w:rPr>
            </w:pPr>
            <w:proofErr w:type="spellStart"/>
            <w:r w:rsidRPr="00A012F8">
              <w:rPr>
                <w:sz w:val="22"/>
                <w:szCs w:val="22"/>
              </w:rPr>
              <w:t>Andrej</w:t>
            </w:r>
            <w:proofErr w:type="spellEnd"/>
            <w:r w:rsidRPr="00A012F8">
              <w:rPr>
                <w:sz w:val="22"/>
                <w:szCs w:val="22"/>
              </w:rPr>
              <w:t xml:space="preserve"> ZORKO (група „Работници“ — SI)</w:t>
            </w:r>
          </w:p>
        </w:tc>
      </w:tr>
      <w:tr w:rsidR="00D16830" w:rsidRPr="00A012F8" w14:paraId="6E76E965" w14:textId="77777777" w:rsidTr="004C6742">
        <w:tc>
          <w:tcPr>
            <w:tcW w:w="8505" w:type="dxa"/>
            <w:gridSpan w:val="2"/>
          </w:tcPr>
          <w:p w14:paraId="3CA058AE" w14:textId="77777777" w:rsidR="00D16830" w:rsidRPr="00A012F8" w:rsidRDefault="00D16830" w:rsidP="00D16830">
            <w:pPr>
              <w:tabs>
                <w:tab w:val="center" w:pos="284"/>
              </w:tabs>
              <w:overflowPunct w:val="0"/>
              <w:autoSpaceDE w:val="0"/>
              <w:autoSpaceDN w:val="0"/>
              <w:adjustRightInd w:val="0"/>
              <w:spacing w:line="160" w:lineRule="exact"/>
              <w:ind w:left="266" w:hanging="266"/>
              <w:textAlignment w:val="baseline"/>
              <w:rPr>
                <w:sz w:val="22"/>
                <w:szCs w:val="22"/>
              </w:rPr>
            </w:pPr>
          </w:p>
        </w:tc>
      </w:tr>
      <w:tr w:rsidR="00D16830" w:rsidRPr="00A012F8" w14:paraId="0673089E" w14:textId="77777777" w:rsidTr="004C6742">
        <w:tc>
          <w:tcPr>
            <w:tcW w:w="1701" w:type="dxa"/>
            <w:vMerge w:val="restart"/>
          </w:tcPr>
          <w:p w14:paraId="62E4ADE4" w14:textId="77777777" w:rsidR="00D16830" w:rsidRPr="00A012F8" w:rsidRDefault="00D16830" w:rsidP="00D16830">
            <w:pPr>
              <w:tabs>
                <w:tab w:val="center" w:pos="284"/>
              </w:tabs>
              <w:overflowPunct w:val="0"/>
              <w:autoSpaceDE w:val="0"/>
              <w:autoSpaceDN w:val="0"/>
              <w:adjustRightInd w:val="0"/>
              <w:ind w:left="266" w:hanging="266"/>
              <w:textAlignment w:val="baseline"/>
              <w:rPr>
                <w:b/>
                <w:sz w:val="22"/>
                <w:szCs w:val="22"/>
              </w:rPr>
            </w:pPr>
            <w:r w:rsidRPr="00A012F8">
              <w:rPr>
                <w:b/>
                <w:sz w:val="22"/>
                <w:szCs w:val="22"/>
              </w:rPr>
              <w:t>Отправни документи</w:t>
            </w:r>
          </w:p>
        </w:tc>
        <w:tc>
          <w:tcPr>
            <w:tcW w:w="6804" w:type="dxa"/>
          </w:tcPr>
          <w:p w14:paraId="7F3E1AFA" w14:textId="712E7546" w:rsidR="006717BA" w:rsidRPr="00A012F8" w:rsidRDefault="006717BA" w:rsidP="00D16830">
            <w:pPr>
              <w:tabs>
                <w:tab w:val="center" w:pos="284"/>
              </w:tabs>
              <w:overflowPunct w:val="0"/>
              <w:autoSpaceDE w:val="0"/>
              <w:autoSpaceDN w:val="0"/>
              <w:adjustRightInd w:val="0"/>
              <w:ind w:left="266" w:hanging="266"/>
              <w:textAlignment w:val="baseline"/>
              <w:rPr>
                <w:sz w:val="22"/>
                <w:szCs w:val="22"/>
              </w:rPr>
            </w:pPr>
            <w:r w:rsidRPr="00A012F8">
              <w:rPr>
                <w:sz w:val="22"/>
                <w:szCs w:val="22"/>
              </w:rPr>
              <w:t>проучвателно становище по искане на кипърското председателство на Съвета на ЕС</w:t>
            </w:r>
          </w:p>
          <w:p w14:paraId="79EFFABC" w14:textId="224D0178" w:rsidR="00D16830" w:rsidRPr="00A012F8" w:rsidRDefault="00D16830" w:rsidP="00D16830">
            <w:pPr>
              <w:tabs>
                <w:tab w:val="center" w:pos="284"/>
              </w:tabs>
              <w:overflowPunct w:val="0"/>
              <w:autoSpaceDE w:val="0"/>
              <w:autoSpaceDN w:val="0"/>
              <w:adjustRightInd w:val="0"/>
              <w:ind w:left="266" w:hanging="266"/>
              <w:textAlignment w:val="baseline"/>
              <w:rPr>
                <w:sz w:val="22"/>
                <w:szCs w:val="22"/>
              </w:rPr>
            </w:pPr>
            <w:r w:rsidRPr="00A012F8">
              <w:rPr>
                <w:sz w:val="22"/>
                <w:szCs w:val="22"/>
              </w:rPr>
              <w:t>EESC-2026-00143-00-00-AC</w:t>
            </w:r>
          </w:p>
        </w:tc>
      </w:tr>
      <w:tr w:rsidR="00D16830" w:rsidRPr="00A012F8" w14:paraId="2A8B5342" w14:textId="77777777" w:rsidTr="004C6742">
        <w:tc>
          <w:tcPr>
            <w:tcW w:w="1701" w:type="dxa"/>
            <w:vMerge/>
          </w:tcPr>
          <w:p w14:paraId="061E54DE" w14:textId="77777777" w:rsidR="00D16830" w:rsidRPr="00A012F8" w:rsidRDefault="00D16830" w:rsidP="00D16830">
            <w:pPr>
              <w:tabs>
                <w:tab w:val="center" w:pos="284"/>
              </w:tabs>
              <w:overflowPunct w:val="0"/>
              <w:autoSpaceDE w:val="0"/>
              <w:autoSpaceDN w:val="0"/>
              <w:adjustRightInd w:val="0"/>
              <w:ind w:left="266" w:hanging="266"/>
              <w:textAlignment w:val="baseline"/>
              <w:rPr>
                <w:b/>
                <w:sz w:val="22"/>
                <w:szCs w:val="22"/>
              </w:rPr>
            </w:pPr>
          </w:p>
        </w:tc>
        <w:tc>
          <w:tcPr>
            <w:tcW w:w="6804" w:type="dxa"/>
          </w:tcPr>
          <w:p w14:paraId="329BF5D6" w14:textId="77777777" w:rsidR="00D16830" w:rsidRPr="00A012F8" w:rsidRDefault="00D16830" w:rsidP="00D16830">
            <w:pPr>
              <w:tabs>
                <w:tab w:val="center" w:pos="284"/>
              </w:tabs>
              <w:overflowPunct w:val="0"/>
              <w:autoSpaceDE w:val="0"/>
              <w:autoSpaceDN w:val="0"/>
              <w:adjustRightInd w:val="0"/>
              <w:ind w:left="266" w:hanging="266"/>
              <w:textAlignment w:val="baseline"/>
              <w:rPr>
                <w:sz w:val="22"/>
                <w:szCs w:val="22"/>
              </w:rPr>
            </w:pPr>
          </w:p>
          <w:p w14:paraId="54AA765B" w14:textId="77777777" w:rsidR="007C36BF" w:rsidRPr="00A012F8" w:rsidRDefault="007C36BF" w:rsidP="00D16830">
            <w:pPr>
              <w:tabs>
                <w:tab w:val="center" w:pos="284"/>
              </w:tabs>
              <w:overflowPunct w:val="0"/>
              <w:autoSpaceDE w:val="0"/>
              <w:autoSpaceDN w:val="0"/>
              <w:adjustRightInd w:val="0"/>
              <w:ind w:left="266" w:hanging="266"/>
              <w:textAlignment w:val="baseline"/>
              <w:rPr>
                <w:sz w:val="22"/>
                <w:szCs w:val="22"/>
              </w:rPr>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Основни аспекти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ЕИСК:</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подчертава, че и трите инструмента за Западните Балкани, Украйна и Молдова </w:t>
      </w:r>
      <w:r>
        <w:rPr>
          <w:b/>
        </w:rPr>
        <w:t>трябва активно да включват ангажираността на гражданското общество</w:t>
      </w:r>
      <w:r>
        <w:t xml:space="preserve"> като структурно условие, което е в основата на </w:t>
      </w:r>
      <w:r>
        <w:rPr>
          <w:b/>
        </w:rPr>
        <w:t>устойчивостта на процеса на разширяване</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подчертава, че отговорността на гражданското общество за реформите, подпомагани от трите инструмента, следва да се състои в </w:t>
      </w:r>
      <w:r>
        <w:rPr>
          <w:b/>
        </w:rPr>
        <w:t>постоянна, активна, структурирана и официално институционализирана роля на социалните партньори и организациите на гражданското общество</w:t>
      </w:r>
      <w:r>
        <w:t>, редом с националните органи.</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изтъква, че</w:t>
      </w:r>
      <w:r>
        <w:rPr>
          <w:b/>
        </w:rPr>
        <w:t xml:space="preserve"> финансирането следва да допринася активно за подготовката на държавите за членство в ЕС</w:t>
      </w:r>
      <w:r>
        <w:t xml:space="preserve"> в съответствие с европейския социален и икономически модел, а не да се ограничава до подкрепа на интеграцията в единния пазар;</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lastRenderedPageBreak/>
        <w:t xml:space="preserve">подчертава, че </w:t>
      </w:r>
      <w:r>
        <w:rPr>
          <w:b/>
        </w:rPr>
        <w:t>сроковете не следва да подкопават демократичните процедури, обществения дебат, задължителните консултации или диалога</w:t>
      </w:r>
      <w:r>
        <w:t xml:space="preserve"> със социалните партньори и организациите на гражданското общество, нито да се използват като обосновка за извънредни законодателни съкращения, които изключват социалните партньори и организациите на гражданското общество;</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отбелязва, че правителствата следва да създадат </w:t>
      </w:r>
      <w:r>
        <w:rPr>
          <w:b/>
        </w:rPr>
        <w:t>структурирана рамка за социален диалог,</w:t>
      </w:r>
      <w:r>
        <w:t xml:space="preserve"> която да гарантира участието на представителни на национално равнище организации на работодателите, работниците и организациите на гражданското общество, с подходящ брой членове, като същевременно се </w:t>
      </w:r>
      <w:r>
        <w:rPr>
          <w:b/>
        </w:rPr>
        <w:t>зачитат специфичната роля и автономността на социалните партньори</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препоръчва ясни, публични насоки на Европейската комисия за оценка на пълното и частичното </w:t>
      </w:r>
      <w:r>
        <w:rPr>
          <w:b/>
        </w:rPr>
        <w:t>изпълнение на показателите от програмите за реформи</w:t>
      </w:r>
      <w:r>
        <w:t>, включително стандарти за проверка, и отмяна на вече изпълнените условия;</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препоръчва да се гарантира съобразена с конкретните нужди устойчива и предвидима </w:t>
      </w:r>
      <w:r>
        <w:rPr>
          <w:b/>
        </w:rPr>
        <w:t>финансова подкрепа за организациите на гражданското общество и социалните партньори</w:t>
      </w:r>
      <w:r>
        <w:t xml:space="preserve"> чрез </w:t>
      </w:r>
      <w:r>
        <w:rPr>
          <w:b/>
        </w:rPr>
        <w:t>многогодишни и прозрачни механизми за финансиране</w:t>
      </w:r>
      <w:r>
        <w:t>;</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приканва Комисията да </w:t>
      </w:r>
      <w:r>
        <w:rPr>
          <w:b/>
        </w:rPr>
        <w:t>използва средносрочните оценки</w:t>
      </w:r>
      <w:r>
        <w:t xml:space="preserve"> на рамките за управление и прилагане на настоящите инструменти и да </w:t>
      </w:r>
      <w:r>
        <w:rPr>
          <w:b/>
        </w:rPr>
        <w:t>продължи да подобрява прилагането на настоящите и бъдещите съответни инструменти на ЕС за разширяване, основани на резултатите</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2D408A" w14:paraId="06D6E640" w14:textId="77777777" w:rsidTr="002E7EFB">
        <w:tc>
          <w:tcPr>
            <w:tcW w:w="1418" w:type="dxa"/>
          </w:tcPr>
          <w:p w14:paraId="2EFB1BD5" w14:textId="77777777" w:rsidR="00D16830" w:rsidRPr="002D408A" w:rsidRDefault="00D16830" w:rsidP="00D16830">
            <w:pPr>
              <w:overflowPunct w:val="0"/>
              <w:autoSpaceDE w:val="0"/>
              <w:autoSpaceDN w:val="0"/>
              <w:adjustRightInd w:val="0"/>
              <w:spacing w:line="240" w:lineRule="auto"/>
              <w:textAlignment w:val="baseline"/>
              <w:rPr>
                <w:i/>
                <w:sz w:val="22"/>
                <w:szCs w:val="22"/>
              </w:rPr>
            </w:pPr>
            <w:r w:rsidRPr="002D408A">
              <w:rPr>
                <w:b/>
                <w:i/>
                <w:sz w:val="22"/>
                <w:szCs w:val="22"/>
              </w:rPr>
              <w:t>За контакти</w:t>
            </w:r>
          </w:p>
        </w:tc>
        <w:tc>
          <w:tcPr>
            <w:tcW w:w="5670" w:type="dxa"/>
          </w:tcPr>
          <w:p w14:paraId="72677A97" w14:textId="77777777" w:rsidR="00D16830" w:rsidRPr="002D408A" w:rsidRDefault="00D16830" w:rsidP="00D16830">
            <w:pPr>
              <w:overflowPunct w:val="0"/>
              <w:autoSpaceDE w:val="0"/>
              <w:autoSpaceDN w:val="0"/>
              <w:adjustRightInd w:val="0"/>
              <w:spacing w:line="240" w:lineRule="auto"/>
              <w:textAlignment w:val="baseline"/>
              <w:rPr>
                <w:i/>
                <w:sz w:val="22"/>
                <w:szCs w:val="22"/>
              </w:rPr>
            </w:pPr>
            <w:proofErr w:type="spellStart"/>
            <w:r w:rsidRPr="002D408A">
              <w:rPr>
                <w:i/>
                <w:sz w:val="22"/>
                <w:szCs w:val="22"/>
              </w:rPr>
              <w:t>David</w:t>
            </w:r>
            <w:proofErr w:type="spellEnd"/>
            <w:r w:rsidRPr="002D408A">
              <w:rPr>
                <w:i/>
                <w:sz w:val="22"/>
                <w:szCs w:val="22"/>
              </w:rPr>
              <w:t xml:space="preserve"> </w:t>
            </w:r>
            <w:proofErr w:type="spellStart"/>
            <w:r w:rsidRPr="002D408A">
              <w:rPr>
                <w:i/>
                <w:sz w:val="22"/>
                <w:szCs w:val="22"/>
              </w:rPr>
              <w:t>Hoić</w:t>
            </w:r>
            <w:proofErr w:type="spellEnd"/>
          </w:p>
        </w:tc>
      </w:tr>
      <w:tr w:rsidR="00D16830" w:rsidRPr="002D408A" w14:paraId="3BA7205F" w14:textId="77777777" w:rsidTr="002E7EFB">
        <w:tc>
          <w:tcPr>
            <w:tcW w:w="1418" w:type="dxa"/>
          </w:tcPr>
          <w:p w14:paraId="7D4BCE3B" w14:textId="77777777" w:rsidR="00D16830" w:rsidRPr="002D408A" w:rsidRDefault="00D16830" w:rsidP="00D16830">
            <w:pPr>
              <w:overflowPunct w:val="0"/>
              <w:autoSpaceDE w:val="0"/>
              <w:autoSpaceDN w:val="0"/>
              <w:adjustRightInd w:val="0"/>
              <w:spacing w:line="240" w:lineRule="auto"/>
              <w:textAlignment w:val="baseline"/>
              <w:rPr>
                <w:i/>
                <w:sz w:val="22"/>
                <w:szCs w:val="22"/>
              </w:rPr>
            </w:pPr>
            <w:r w:rsidRPr="002D408A">
              <w:rPr>
                <w:i/>
                <w:sz w:val="22"/>
                <w:szCs w:val="22"/>
              </w:rPr>
              <w:t>Тел.</w:t>
            </w:r>
          </w:p>
        </w:tc>
        <w:tc>
          <w:tcPr>
            <w:tcW w:w="5670" w:type="dxa"/>
          </w:tcPr>
          <w:p w14:paraId="6033BB59" w14:textId="77777777" w:rsidR="00D16830" w:rsidRPr="002D408A" w:rsidRDefault="00D16830" w:rsidP="00D16830">
            <w:pPr>
              <w:overflowPunct w:val="0"/>
              <w:autoSpaceDE w:val="0"/>
              <w:autoSpaceDN w:val="0"/>
              <w:adjustRightInd w:val="0"/>
              <w:spacing w:line="240" w:lineRule="auto"/>
              <w:textAlignment w:val="baseline"/>
              <w:rPr>
                <w:i/>
                <w:sz w:val="22"/>
                <w:szCs w:val="22"/>
              </w:rPr>
            </w:pPr>
            <w:r w:rsidRPr="002D408A">
              <w:rPr>
                <w:i/>
                <w:sz w:val="22"/>
                <w:szCs w:val="22"/>
              </w:rPr>
              <w:t>+32 25469069</w:t>
            </w:r>
          </w:p>
        </w:tc>
      </w:tr>
      <w:tr w:rsidR="00D16830" w:rsidRPr="002D408A" w14:paraId="06D43AB5" w14:textId="77777777" w:rsidTr="002E7EFB">
        <w:tc>
          <w:tcPr>
            <w:tcW w:w="1418" w:type="dxa"/>
          </w:tcPr>
          <w:p w14:paraId="1591AA97" w14:textId="77777777" w:rsidR="00D16830" w:rsidRPr="002D408A" w:rsidRDefault="00D16830" w:rsidP="00D16830">
            <w:pPr>
              <w:overflowPunct w:val="0"/>
              <w:autoSpaceDE w:val="0"/>
              <w:autoSpaceDN w:val="0"/>
              <w:adjustRightInd w:val="0"/>
              <w:spacing w:line="240" w:lineRule="auto"/>
              <w:textAlignment w:val="baseline"/>
              <w:rPr>
                <w:i/>
                <w:sz w:val="22"/>
                <w:szCs w:val="22"/>
              </w:rPr>
            </w:pPr>
            <w:r w:rsidRPr="002D408A">
              <w:rPr>
                <w:i/>
                <w:sz w:val="22"/>
                <w:szCs w:val="22"/>
              </w:rPr>
              <w:t>Електронен адрес</w:t>
            </w:r>
          </w:p>
        </w:tc>
        <w:tc>
          <w:tcPr>
            <w:tcW w:w="5670" w:type="dxa"/>
          </w:tcPr>
          <w:p w14:paraId="104A20AD" w14:textId="1E26B2F1" w:rsidR="00D16830" w:rsidRPr="002D408A" w:rsidRDefault="00C10CD5" w:rsidP="00D16830">
            <w:pPr>
              <w:overflowPunct w:val="0"/>
              <w:autoSpaceDE w:val="0"/>
              <w:autoSpaceDN w:val="0"/>
              <w:adjustRightInd w:val="0"/>
              <w:spacing w:line="240" w:lineRule="auto"/>
              <w:textAlignment w:val="baseline"/>
              <w:rPr>
                <w:i/>
                <w:sz w:val="22"/>
                <w:szCs w:val="22"/>
              </w:rPr>
            </w:pPr>
            <w:hyperlink r:id="rId68" w:history="1">
              <w:r w:rsidRPr="002D408A">
                <w:rPr>
                  <w:i/>
                  <w:color w:val="0000FF"/>
                  <w:sz w:val="22"/>
                  <w:szCs w:val="22"/>
                  <w:u w:val="single"/>
                </w:rPr>
                <w:t>David.Hoic@eesc.europa.eu</w:t>
              </w:r>
            </w:hyperlink>
            <w:r w:rsidRPr="002D408A">
              <w:rPr>
                <w:i/>
                <w:sz w:val="22"/>
                <w:szCs w:val="22"/>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00FAE656" w14:textId="0EC2F0DB" w:rsidR="00A3691D" w:rsidRDefault="00A3691D">
      <w:pPr>
        <w:spacing w:after="160" w:line="259" w:lineRule="auto"/>
        <w:jc w:val="left"/>
      </w:pPr>
    </w:p>
    <w:p w14:paraId="41D04A86" w14:textId="488FB6B6" w:rsidR="00297F0C" w:rsidRPr="00297F0C" w:rsidRDefault="00297F0C"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Pr>
            <w:b/>
            <w:i/>
            <w:color w:val="0000FF"/>
            <w:sz w:val="28"/>
            <w:u w:val="single"/>
          </w:rPr>
          <w:t>„Ролята на частния сектор и гражданското общество за укрепване на икономическото сътрудничество в рамките на пакта за Средиземноморието“</w:t>
        </w:r>
      </w:hyperlink>
    </w:p>
    <w:p w14:paraId="6EC7DE74" w14:textId="77777777" w:rsidR="00297F0C" w:rsidRPr="00297F0C" w:rsidRDefault="00297F0C" w:rsidP="00297F0C">
      <w:pPr>
        <w:widowControl w:val="0"/>
        <w:overflowPunct w:val="0"/>
        <w:autoSpaceDE w:val="0"/>
        <w:autoSpaceDN w:val="0"/>
        <w:adjustRightInd w:val="0"/>
        <w:ind w:left="567"/>
        <w:jc w:val="left"/>
        <w:textAlignment w:val="baseline"/>
        <w:rPr>
          <w:sz w:val="20"/>
          <w:szCs w:val="20"/>
          <w:lang w:val="en-GB"/>
        </w:rPr>
      </w:pPr>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D408A" w14:paraId="125788EB" w14:textId="77777777" w:rsidTr="002E7EFB">
        <w:trPr>
          <w:trHeight w:val="70"/>
        </w:trPr>
        <w:tc>
          <w:tcPr>
            <w:tcW w:w="1077" w:type="pct"/>
          </w:tcPr>
          <w:p w14:paraId="210D65F7" w14:textId="77777777" w:rsidR="00297F0C" w:rsidRPr="002D408A" w:rsidRDefault="00297F0C" w:rsidP="00297F0C">
            <w:pPr>
              <w:tabs>
                <w:tab w:val="center" w:pos="284"/>
              </w:tabs>
              <w:overflowPunct w:val="0"/>
              <w:autoSpaceDE w:val="0"/>
              <w:autoSpaceDN w:val="0"/>
              <w:adjustRightInd w:val="0"/>
              <w:ind w:left="266" w:hanging="266"/>
              <w:textAlignment w:val="baseline"/>
              <w:rPr>
                <w:b/>
                <w:sz w:val="22"/>
                <w:szCs w:val="22"/>
              </w:rPr>
            </w:pPr>
            <w:r w:rsidRPr="002D408A">
              <w:rPr>
                <w:b/>
                <w:sz w:val="22"/>
                <w:szCs w:val="22"/>
              </w:rPr>
              <w:t>Докладчик</w:t>
            </w:r>
          </w:p>
        </w:tc>
        <w:tc>
          <w:tcPr>
            <w:tcW w:w="3923" w:type="pct"/>
          </w:tcPr>
          <w:p w14:paraId="1A0D7BEA" w14:textId="77777777" w:rsidR="00297F0C" w:rsidRPr="002D408A" w:rsidRDefault="00297F0C" w:rsidP="00297F0C">
            <w:pPr>
              <w:tabs>
                <w:tab w:val="center" w:pos="284"/>
              </w:tabs>
              <w:overflowPunct w:val="0"/>
              <w:autoSpaceDE w:val="0"/>
              <w:autoSpaceDN w:val="0"/>
              <w:adjustRightInd w:val="0"/>
              <w:ind w:left="266" w:right="-3091" w:hanging="266"/>
              <w:textAlignment w:val="baseline"/>
              <w:rPr>
                <w:sz w:val="22"/>
                <w:szCs w:val="22"/>
              </w:rPr>
            </w:pPr>
            <w:proofErr w:type="spellStart"/>
            <w:r w:rsidRPr="002D408A">
              <w:rPr>
                <w:sz w:val="22"/>
                <w:szCs w:val="22"/>
              </w:rPr>
              <w:t>Thomas</w:t>
            </w:r>
            <w:proofErr w:type="spellEnd"/>
            <w:r w:rsidRPr="002D408A">
              <w:rPr>
                <w:sz w:val="22"/>
                <w:szCs w:val="22"/>
              </w:rPr>
              <w:t xml:space="preserve"> WAGNSONNER (група „Работници“ — AT)</w:t>
            </w:r>
          </w:p>
        </w:tc>
      </w:tr>
      <w:tr w:rsidR="00297F0C" w:rsidRPr="002D408A" w14:paraId="3290F704" w14:textId="77777777" w:rsidTr="002E7EFB">
        <w:tc>
          <w:tcPr>
            <w:tcW w:w="1077" w:type="pct"/>
          </w:tcPr>
          <w:p w14:paraId="432C48BB" w14:textId="77777777" w:rsidR="00297F0C" w:rsidRPr="002D408A" w:rsidRDefault="00297F0C" w:rsidP="00297F0C">
            <w:pPr>
              <w:tabs>
                <w:tab w:val="center" w:pos="284"/>
              </w:tabs>
              <w:overflowPunct w:val="0"/>
              <w:autoSpaceDE w:val="0"/>
              <w:autoSpaceDN w:val="0"/>
              <w:adjustRightInd w:val="0"/>
              <w:ind w:left="266" w:hanging="266"/>
              <w:textAlignment w:val="baseline"/>
              <w:rPr>
                <w:b/>
                <w:sz w:val="22"/>
                <w:szCs w:val="22"/>
              </w:rPr>
            </w:pPr>
            <w:r w:rsidRPr="002D408A">
              <w:rPr>
                <w:b/>
                <w:sz w:val="22"/>
                <w:szCs w:val="22"/>
              </w:rPr>
              <w:t>Съдокладчик</w:t>
            </w:r>
          </w:p>
        </w:tc>
        <w:tc>
          <w:tcPr>
            <w:tcW w:w="3923" w:type="pct"/>
          </w:tcPr>
          <w:p w14:paraId="78BBD0C8" w14:textId="77777777" w:rsidR="00297F0C" w:rsidRPr="002D408A" w:rsidRDefault="00297F0C" w:rsidP="00297F0C">
            <w:pPr>
              <w:tabs>
                <w:tab w:val="center" w:pos="284"/>
              </w:tabs>
              <w:overflowPunct w:val="0"/>
              <w:autoSpaceDE w:val="0"/>
              <w:autoSpaceDN w:val="0"/>
              <w:adjustRightInd w:val="0"/>
              <w:ind w:left="266" w:right="-3091" w:hanging="266"/>
              <w:textAlignment w:val="baseline"/>
              <w:rPr>
                <w:sz w:val="22"/>
                <w:szCs w:val="22"/>
              </w:rPr>
            </w:pPr>
            <w:proofErr w:type="spellStart"/>
            <w:r w:rsidRPr="002D408A">
              <w:rPr>
                <w:sz w:val="22"/>
                <w:szCs w:val="22"/>
              </w:rPr>
              <w:t>Lidija</w:t>
            </w:r>
            <w:proofErr w:type="spellEnd"/>
            <w:r w:rsidRPr="002D408A">
              <w:rPr>
                <w:sz w:val="22"/>
                <w:szCs w:val="22"/>
              </w:rPr>
              <w:t xml:space="preserve"> PAVIĆ-ROGOŠIĆ (група „Организации на гражданското общество“ — HR)</w:t>
            </w:r>
          </w:p>
          <w:p w14:paraId="112D4104" w14:textId="77777777" w:rsidR="00F76EE7" w:rsidRPr="002D408A" w:rsidRDefault="00F76EE7" w:rsidP="00297F0C">
            <w:pPr>
              <w:tabs>
                <w:tab w:val="center" w:pos="284"/>
              </w:tabs>
              <w:overflowPunct w:val="0"/>
              <w:autoSpaceDE w:val="0"/>
              <w:autoSpaceDN w:val="0"/>
              <w:adjustRightInd w:val="0"/>
              <w:ind w:left="266" w:right="-3091" w:hanging="266"/>
              <w:textAlignment w:val="baseline"/>
              <w:rPr>
                <w:sz w:val="22"/>
                <w:szCs w:val="22"/>
              </w:rPr>
            </w:pPr>
          </w:p>
          <w:p w14:paraId="14EF11F7" w14:textId="77777777" w:rsidR="00F76EE7" w:rsidRPr="002D408A" w:rsidRDefault="00F76EE7" w:rsidP="00297F0C">
            <w:pPr>
              <w:tabs>
                <w:tab w:val="center" w:pos="284"/>
              </w:tabs>
              <w:overflowPunct w:val="0"/>
              <w:autoSpaceDE w:val="0"/>
              <w:autoSpaceDN w:val="0"/>
              <w:adjustRightInd w:val="0"/>
              <w:ind w:left="266" w:right="-3091" w:hanging="266"/>
              <w:textAlignment w:val="baseline"/>
              <w:rPr>
                <w:sz w:val="22"/>
                <w:szCs w:val="22"/>
              </w:rPr>
            </w:pPr>
          </w:p>
        </w:tc>
      </w:tr>
      <w:tr w:rsidR="00297F0C" w:rsidRPr="002D408A" w14:paraId="54CCBB87" w14:textId="77777777" w:rsidTr="002E7EFB">
        <w:tc>
          <w:tcPr>
            <w:tcW w:w="1077" w:type="pct"/>
          </w:tcPr>
          <w:p w14:paraId="7E611676" w14:textId="77777777" w:rsidR="00297F0C" w:rsidRPr="002D408A" w:rsidRDefault="00297F0C" w:rsidP="00297F0C">
            <w:pPr>
              <w:tabs>
                <w:tab w:val="center" w:pos="284"/>
              </w:tabs>
              <w:overflowPunct w:val="0"/>
              <w:autoSpaceDE w:val="0"/>
              <w:autoSpaceDN w:val="0"/>
              <w:adjustRightInd w:val="0"/>
              <w:ind w:left="266" w:hanging="266"/>
              <w:textAlignment w:val="baseline"/>
              <w:rPr>
                <w:b/>
                <w:sz w:val="22"/>
                <w:szCs w:val="22"/>
              </w:rPr>
            </w:pPr>
            <w:r w:rsidRPr="002D408A">
              <w:rPr>
                <w:b/>
                <w:sz w:val="22"/>
                <w:szCs w:val="22"/>
              </w:rPr>
              <w:t>Отправни документи</w:t>
            </w:r>
          </w:p>
        </w:tc>
        <w:tc>
          <w:tcPr>
            <w:tcW w:w="3923" w:type="pct"/>
          </w:tcPr>
          <w:p w14:paraId="4F6E33CF" w14:textId="1323A011" w:rsidR="005D6457" w:rsidRPr="002D408A" w:rsidRDefault="005D6457" w:rsidP="00297F0C">
            <w:pPr>
              <w:tabs>
                <w:tab w:val="center" w:pos="284"/>
              </w:tabs>
              <w:overflowPunct w:val="0"/>
              <w:autoSpaceDE w:val="0"/>
              <w:autoSpaceDN w:val="0"/>
              <w:adjustRightInd w:val="0"/>
              <w:ind w:left="266" w:right="-3091" w:hanging="266"/>
              <w:textAlignment w:val="baseline"/>
              <w:rPr>
                <w:sz w:val="22"/>
                <w:szCs w:val="22"/>
              </w:rPr>
            </w:pPr>
            <w:r w:rsidRPr="002D408A">
              <w:rPr>
                <w:sz w:val="22"/>
                <w:szCs w:val="22"/>
              </w:rPr>
              <w:t>проучвателно становище по искане на кипърското председателство на Съвета на ЕС</w:t>
            </w:r>
          </w:p>
          <w:p w14:paraId="6DA7AE0B" w14:textId="1B6A132C" w:rsidR="00297F0C" w:rsidRPr="002D408A" w:rsidRDefault="00297F0C" w:rsidP="00297F0C">
            <w:pPr>
              <w:tabs>
                <w:tab w:val="center" w:pos="284"/>
              </w:tabs>
              <w:overflowPunct w:val="0"/>
              <w:autoSpaceDE w:val="0"/>
              <w:autoSpaceDN w:val="0"/>
              <w:adjustRightInd w:val="0"/>
              <w:ind w:left="266" w:right="-3091" w:hanging="266"/>
              <w:textAlignment w:val="baseline"/>
              <w:rPr>
                <w:sz w:val="22"/>
                <w:szCs w:val="22"/>
              </w:rPr>
            </w:pPr>
            <w:r w:rsidRPr="002D408A">
              <w:rPr>
                <w:sz w:val="22"/>
                <w:szCs w:val="22"/>
              </w:rP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Основни аспекти</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ЕИСК:</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счита, че Пактът за Средиземноморието може да бъде успешен само чрез истинско и равноправно партньорство между ЕС, неговите държави членки и партньорите от Южното Средиземноморие, с видими ползи за обикновените хора и общности;</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заявява, че организираното гражданско общество трябва да участва по постоянен и структуриран начин, а не само чрез спорадични консултации, включително синдикални организации, групи на работодателите и организации на гражданското общество;</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счита, че за да се укрепи частният сектор, особено ММСП, регионът се нуждае от реформи, които подобряват достъпа до финансиране, опростяват процедурите и подкрепят цифровизацията и свързаността, така че предприятията да могат да се включат в регионалните вериги за създаване на стойност;</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смята, че съществуващите търговски споразумения на ЕС с много държави от Южното Средиземноморие са остарели и следва да бъдат модернизирани, като гражданското общество спомага за наблюдението на ангажиментите в областта на труда, околната среда и правата на човека;</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счита, че търговията и инвестициите следва да бъдат обвързани с устойчивото развитие и достойния труд, включително справедливо заплащане, безопасни условия на труд, приложими стандарти и инвестиции в устойчиви регионални проекти;</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подчертава, че преходът от неформалната към формалната икономика следва да бъде в съответствие с Препоръка № 204 на МОТ, което означава, че той следва да се осъществи постепенно по приобщаващ и икономически реалистичен начин, а не посредством наказателен подход;</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 xml:space="preserve">счита, че планът за действие във връзка с пакта следва да гарантира социална закрила, трудови права и спазване на основните конвенции на МОТ, като същевременно гарантира, че социалните партньори и гражданското общество са включени в </w:t>
      </w:r>
      <w:proofErr w:type="spellStart"/>
      <w:r>
        <w:t>Global</w:t>
      </w:r>
      <w:proofErr w:type="spellEnd"/>
      <w:r>
        <w:t xml:space="preserve"> </w:t>
      </w:r>
      <w:proofErr w:type="spellStart"/>
      <w:r>
        <w:t>Gateway</w:t>
      </w:r>
      <w:proofErr w:type="spellEnd"/>
      <w:r>
        <w:t xml:space="preserve"> и други големи проекти от самото начало;</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призовава да се обърне специално внимание на участниците в социалната икономика, жените и младите хора чрез финансиране, изграждане на капацитет, правна подкрепа, програми за предприемачество и участие в управлението, като същевременно трудовата мобилност трябва да зачита правата на човека и да избягва изтичането на мозъци;</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lastRenderedPageBreak/>
        <w:t>счита, че следва да се укрепи координацията между финансираните от ЕС и международните финансови институции, за да се подобри въздействието, а създаването на банка за регионално развитие или подобен финансов механизъм би могло да спомогне за финансирането на проекти в областта на инфраструктурата, ММСП, стартиращите предприятия и социалната икономика с прозрачно участие на гражданското общество.</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138"/>
      </w:tblGrid>
      <w:tr w:rsidR="00297F0C" w:rsidRPr="00F72468" w14:paraId="12ED4367" w14:textId="77777777" w:rsidTr="00F72468">
        <w:tc>
          <w:tcPr>
            <w:tcW w:w="0" w:type="auto"/>
          </w:tcPr>
          <w:p w14:paraId="17C20851" w14:textId="4041C4F3" w:rsidR="00297F0C" w:rsidRPr="00F72468" w:rsidRDefault="00297F0C">
            <w:pPr>
              <w:overflowPunct w:val="0"/>
              <w:autoSpaceDE w:val="0"/>
              <w:autoSpaceDN w:val="0"/>
              <w:adjustRightInd w:val="0"/>
              <w:textAlignment w:val="baseline"/>
              <w:rPr>
                <w:i/>
                <w:sz w:val="22"/>
                <w:szCs w:val="22"/>
              </w:rPr>
            </w:pPr>
            <w:r w:rsidRPr="00F72468">
              <w:rPr>
                <w:sz w:val="22"/>
                <w:szCs w:val="22"/>
              </w:rPr>
              <w:br w:type="page"/>
            </w:r>
            <w:r w:rsidRPr="00F72468">
              <w:rPr>
                <w:b/>
                <w:i/>
                <w:sz w:val="22"/>
                <w:szCs w:val="22"/>
              </w:rPr>
              <w:t>За контакти</w:t>
            </w:r>
          </w:p>
        </w:tc>
        <w:tc>
          <w:tcPr>
            <w:tcW w:w="0" w:type="auto"/>
          </w:tcPr>
          <w:p w14:paraId="01CC3A82" w14:textId="77777777" w:rsidR="00297F0C" w:rsidRPr="00F72468" w:rsidRDefault="00297F0C" w:rsidP="00297F0C">
            <w:pPr>
              <w:overflowPunct w:val="0"/>
              <w:autoSpaceDE w:val="0"/>
              <w:autoSpaceDN w:val="0"/>
              <w:adjustRightInd w:val="0"/>
              <w:textAlignment w:val="baseline"/>
              <w:rPr>
                <w:i/>
                <w:sz w:val="22"/>
                <w:szCs w:val="22"/>
              </w:rPr>
            </w:pPr>
            <w:proofErr w:type="spellStart"/>
            <w:r w:rsidRPr="00F72468">
              <w:rPr>
                <w:i/>
                <w:sz w:val="22"/>
                <w:szCs w:val="22"/>
              </w:rPr>
              <w:t>Andreas</w:t>
            </w:r>
            <w:proofErr w:type="spellEnd"/>
            <w:r w:rsidRPr="00F72468">
              <w:rPr>
                <w:i/>
                <w:sz w:val="22"/>
                <w:szCs w:val="22"/>
              </w:rPr>
              <w:t xml:space="preserve"> </w:t>
            </w:r>
            <w:proofErr w:type="spellStart"/>
            <w:r w:rsidRPr="00F72468">
              <w:rPr>
                <w:i/>
                <w:sz w:val="22"/>
                <w:szCs w:val="22"/>
              </w:rPr>
              <w:t>Berger</w:t>
            </w:r>
            <w:proofErr w:type="spellEnd"/>
          </w:p>
        </w:tc>
      </w:tr>
      <w:tr w:rsidR="00297F0C" w:rsidRPr="00F72468" w14:paraId="4DE5DEB6" w14:textId="77777777" w:rsidTr="00F72468">
        <w:tc>
          <w:tcPr>
            <w:tcW w:w="0" w:type="auto"/>
          </w:tcPr>
          <w:p w14:paraId="333F8669" w14:textId="77777777" w:rsidR="00297F0C" w:rsidRPr="00F72468" w:rsidRDefault="00297F0C" w:rsidP="00297F0C">
            <w:pPr>
              <w:overflowPunct w:val="0"/>
              <w:autoSpaceDE w:val="0"/>
              <w:autoSpaceDN w:val="0"/>
              <w:adjustRightInd w:val="0"/>
              <w:textAlignment w:val="baseline"/>
              <w:rPr>
                <w:i/>
                <w:sz w:val="22"/>
                <w:szCs w:val="22"/>
              </w:rPr>
            </w:pPr>
            <w:r w:rsidRPr="00F72468">
              <w:rPr>
                <w:i/>
                <w:sz w:val="22"/>
                <w:szCs w:val="22"/>
              </w:rPr>
              <w:t>Тел.</w:t>
            </w:r>
          </w:p>
        </w:tc>
        <w:tc>
          <w:tcPr>
            <w:tcW w:w="0" w:type="auto"/>
          </w:tcPr>
          <w:p w14:paraId="27143945" w14:textId="77777777" w:rsidR="00297F0C" w:rsidRPr="00F72468" w:rsidRDefault="00297F0C" w:rsidP="00297F0C">
            <w:pPr>
              <w:overflowPunct w:val="0"/>
              <w:autoSpaceDE w:val="0"/>
              <w:autoSpaceDN w:val="0"/>
              <w:adjustRightInd w:val="0"/>
              <w:textAlignment w:val="baseline"/>
              <w:rPr>
                <w:i/>
                <w:sz w:val="22"/>
                <w:szCs w:val="22"/>
              </w:rPr>
            </w:pPr>
            <w:r w:rsidRPr="00F72468">
              <w:rPr>
                <w:i/>
                <w:sz w:val="22"/>
                <w:szCs w:val="22"/>
              </w:rPr>
              <w:t>+32 5469062</w:t>
            </w:r>
          </w:p>
        </w:tc>
      </w:tr>
      <w:tr w:rsidR="00297F0C" w:rsidRPr="00F72468" w14:paraId="18E1E5AB" w14:textId="77777777" w:rsidTr="00F72468">
        <w:tc>
          <w:tcPr>
            <w:tcW w:w="0" w:type="auto"/>
          </w:tcPr>
          <w:p w14:paraId="069DD35F" w14:textId="77777777" w:rsidR="00297F0C" w:rsidRPr="00F72468" w:rsidRDefault="00297F0C" w:rsidP="00297F0C">
            <w:pPr>
              <w:overflowPunct w:val="0"/>
              <w:autoSpaceDE w:val="0"/>
              <w:autoSpaceDN w:val="0"/>
              <w:adjustRightInd w:val="0"/>
              <w:textAlignment w:val="baseline"/>
              <w:rPr>
                <w:i/>
                <w:sz w:val="22"/>
                <w:szCs w:val="22"/>
              </w:rPr>
            </w:pPr>
            <w:r w:rsidRPr="00F72468">
              <w:rPr>
                <w:i/>
                <w:sz w:val="22"/>
                <w:szCs w:val="22"/>
              </w:rPr>
              <w:t>Електронен адрес</w:t>
            </w:r>
          </w:p>
        </w:tc>
        <w:tc>
          <w:tcPr>
            <w:tcW w:w="0" w:type="auto"/>
          </w:tcPr>
          <w:p w14:paraId="6FC2A286" w14:textId="4B479E05" w:rsidR="00297F0C" w:rsidRPr="00F72468" w:rsidRDefault="00C10CD5" w:rsidP="00297F0C">
            <w:pPr>
              <w:overflowPunct w:val="0"/>
              <w:autoSpaceDE w:val="0"/>
              <w:autoSpaceDN w:val="0"/>
              <w:adjustRightInd w:val="0"/>
              <w:textAlignment w:val="baseline"/>
              <w:rPr>
                <w:i/>
                <w:sz w:val="22"/>
                <w:szCs w:val="22"/>
              </w:rPr>
            </w:pPr>
            <w:hyperlink r:id="rId70" w:history="1">
              <w:r w:rsidRPr="00F72468">
                <w:rPr>
                  <w:i/>
                  <w:color w:val="0000FF"/>
                  <w:sz w:val="22"/>
                  <w:szCs w:val="22"/>
                  <w:u w:val="single"/>
                </w:rPr>
                <w:t>Andreas.Berger@eesc.europa.eu</w:t>
              </w:r>
            </w:hyperlink>
            <w:r w:rsidRPr="00F72468">
              <w:rPr>
                <w:i/>
                <w:sz w:val="22"/>
                <w:szCs w:val="22"/>
              </w:rPr>
              <w:t xml:space="preserve"> </w:t>
            </w:r>
          </w:p>
        </w:tc>
      </w:tr>
    </w:tbl>
    <w:p w14:paraId="12CF0795" w14:textId="1C00578F" w:rsidR="00A067F3" w:rsidRDefault="00A067F3" w:rsidP="0066696D">
      <w:pPr>
        <w:pStyle w:val="ListParagraph"/>
        <w:ind w:left="567" w:hanging="567"/>
        <w:jc w:val="left"/>
      </w:pPr>
    </w:p>
    <w:p w14:paraId="528C73AA" w14:textId="46DE726B" w:rsidR="006D2C8A" w:rsidRPr="006D2C8A" w:rsidRDefault="006D2C8A" w:rsidP="004C6742">
      <w:pPr>
        <w:pStyle w:val="Heading2"/>
      </w:pPr>
      <w:bookmarkStart w:id="42" w:name="_Toc229140651"/>
      <w:bookmarkStart w:id="43" w:name="_Toc229140658"/>
      <w:bookmarkStart w:id="44" w:name="_Toc229140659"/>
      <w:bookmarkEnd w:id="42"/>
      <w:bookmarkEnd w:id="43"/>
      <w:r>
        <w:t>КОНСУЛТАТИВНА КОМИСИЯ ПО ИНДУСТРИАЛНИ ПРОМЕНИ</w:t>
      </w:r>
      <w:bookmarkEnd w:id="44"/>
    </w:p>
    <w:p w14:paraId="713E272F" w14:textId="77777777" w:rsidR="006D2C8A" w:rsidRDefault="006D2C8A" w:rsidP="001766B2"/>
    <w:p w14:paraId="1B9F790A" w14:textId="4EB97835" w:rsidR="00814A54" w:rsidRPr="00814A54" w:rsidRDefault="00814A54" w:rsidP="00814A54">
      <w:pPr>
        <w:widowControl w:val="0"/>
        <w:numPr>
          <w:ilvl w:val="0"/>
          <w:numId w:val="19"/>
        </w:numPr>
        <w:spacing w:after="200" w:line="276" w:lineRule="auto"/>
        <w:ind w:left="567" w:hanging="567"/>
        <w:contextualSpacing/>
        <w:jc w:val="left"/>
        <w:rPr>
          <w:sz w:val="28"/>
          <w:szCs w:val="28"/>
        </w:rPr>
      </w:pPr>
      <w:hyperlink r:id="rId71" w:history="1">
        <w:r>
          <w:rPr>
            <w:b/>
            <w:i/>
            <w:color w:val="0000FF"/>
            <w:sz w:val="28"/>
            <w:u w:val="single"/>
          </w:rPr>
          <w:t>Програма за гъвкави и бързи иновации в областта на отбраната — AGILE</w:t>
        </w:r>
      </w:hyperlink>
      <w:r>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526B52" w14:paraId="37988BA0" w14:textId="77777777" w:rsidTr="002E7EFB">
        <w:tc>
          <w:tcPr>
            <w:tcW w:w="1701" w:type="dxa"/>
          </w:tcPr>
          <w:p w14:paraId="41B7C4EB" w14:textId="77777777" w:rsidR="00814A54" w:rsidRPr="00526B52" w:rsidRDefault="00814A54" w:rsidP="00814A54">
            <w:pPr>
              <w:tabs>
                <w:tab w:val="center" w:pos="284"/>
              </w:tabs>
              <w:ind w:left="266" w:hanging="266"/>
              <w:rPr>
                <w:b/>
                <w:sz w:val="22"/>
                <w:szCs w:val="22"/>
              </w:rPr>
            </w:pPr>
            <w:r w:rsidRPr="00526B52">
              <w:rPr>
                <w:b/>
                <w:sz w:val="22"/>
                <w:szCs w:val="22"/>
              </w:rPr>
              <w:t>Докладчик</w:t>
            </w:r>
          </w:p>
        </w:tc>
        <w:tc>
          <w:tcPr>
            <w:tcW w:w="5670" w:type="dxa"/>
          </w:tcPr>
          <w:p w14:paraId="1D11312F" w14:textId="073C09C2" w:rsidR="00814A54" w:rsidRPr="00526B52" w:rsidRDefault="00814A54" w:rsidP="00814A54">
            <w:pPr>
              <w:tabs>
                <w:tab w:val="center" w:pos="284"/>
              </w:tabs>
              <w:ind w:left="266" w:hanging="266"/>
              <w:rPr>
                <w:sz w:val="22"/>
                <w:szCs w:val="22"/>
              </w:rPr>
            </w:pPr>
            <w:proofErr w:type="spellStart"/>
            <w:r w:rsidRPr="00526B52">
              <w:rPr>
                <w:sz w:val="22"/>
                <w:szCs w:val="22"/>
              </w:rPr>
              <w:t>Monika</w:t>
            </w:r>
            <w:proofErr w:type="spellEnd"/>
            <w:r w:rsidRPr="00526B52">
              <w:rPr>
                <w:sz w:val="22"/>
                <w:szCs w:val="22"/>
              </w:rPr>
              <w:t xml:space="preserve"> SITÁROVÁ (група „Работници“ — SK)</w:t>
            </w:r>
          </w:p>
        </w:tc>
      </w:tr>
      <w:tr w:rsidR="00814A54" w:rsidRPr="00526B52" w14:paraId="3DB16DB5" w14:textId="77777777" w:rsidTr="002E7EFB">
        <w:tc>
          <w:tcPr>
            <w:tcW w:w="1701" w:type="dxa"/>
          </w:tcPr>
          <w:p w14:paraId="723151C3" w14:textId="77777777" w:rsidR="00814A54" w:rsidRPr="00526B52" w:rsidRDefault="00814A54" w:rsidP="00814A54">
            <w:pPr>
              <w:tabs>
                <w:tab w:val="center" w:pos="284"/>
              </w:tabs>
              <w:ind w:left="266" w:hanging="266"/>
              <w:rPr>
                <w:b/>
                <w:sz w:val="22"/>
                <w:szCs w:val="22"/>
              </w:rPr>
            </w:pPr>
            <w:r w:rsidRPr="00526B52">
              <w:rPr>
                <w:b/>
                <w:sz w:val="22"/>
                <w:szCs w:val="22"/>
              </w:rPr>
              <w:t>Съдокладчик</w:t>
            </w:r>
          </w:p>
        </w:tc>
        <w:tc>
          <w:tcPr>
            <w:tcW w:w="5670" w:type="dxa"/>
          </w:tcPr>
          <w:p w14:paraId="691AA178" w14:textId="77BDBBFF" w:rsidR="00814A54" w:rsidRPr="00526B52" w:rsidRDefault="00814A54" w:rsidP="00814A54">
            <w:pPr>
              <w:tabs>
                <w:tab w:val="center" w:pos="284"/>
              </w:tabs>
              <w:ind w:left="266" w:hanging="266"/>
              <w:rPr>
                <w:sz w:val="22"/>
                <w:szCs w:val="22"/>
              </w:rPr>
            </w:pPr>
            <w:proofErr w:type="spellStart"/>
            <w:r w:rsidRPr="00526B52">
              <w:rPr>
                <w:sz w:val="22"/>
                <w:szCs w:val="22"/>
              </w:rPr>
              <w:t>Dirk</w:t>
            </w:r>
            <w:proofErr w:type="spellEnd"/>
            <w:r w:rsidRPr="00526B52">
              <w:rPr>
                <w:sz w:val="22"/>
                <w:szCs w:val="22"/>
              </w:rPr>
              <w:t xml:space="preserve"> </w:t>
            </w:r>
            <w:proofErr w:type="spellStart"/>
            <w:r w:rsidRPr="00526B52">
              <w:rPr>
                <w:sz w:val="22"/>
                <w:szCs w:val="22"/>
              </w:rPr>
              <w:t>Jarré</w:t>
            </w:r>
            <w:proofErr w:type="spellEnd"/>
            <w:r w:rsidRPr="00526B52">
              <w:rPr>
                <w:sz w:val="22"/>
                <w:szCs w:val="22"/>
              </w:rPr>
              <w:t xml:space="preserve"> (Кат. 3 — DE)</w:t>
            </w:r>
          </w:p>
        </w:tc>
      </w:tr>
      <w:tr w:rsidR="00814A54" w:rsidRPr="00526B52" w14:paraId="27D9C93B" w14:textId="77777777" w:rsidTr="002E7EFB">
        <w:tc>
          <w:tcPr>
            <w:tcW w:w="7371" w:type="dxa"/>
            <w:gridSpan w:val="2"/>
          </w:tcPr>
          <w:p w14:paraId="5ACA8EEC" w14:textId="77777777" w:rsidR="00814A54" w:rsidRPr="00526B52" w:rsidRDefault="00814A54" w:rsidP="00814A54">
            <w:pPr>
              <w:tabs>
                <w:tab w:val="center" w:pos="284"/>
              </w:tabs>
              <w:spacing w:line="160" w:lineRule="exact"/>
              <w:ind w:left="266" w:hanging="266"/>
              <w:rPr>
                <w:sz w:val="22"/>
                <w:szCs w:val="22"/>
              </w:rPr>
            </w:pPr>
          </w:p>
        </w:tc>
      </w:tr>
      <w:tr w:rsidR="00814A54" w:rsidRPr="00526B52" w14:paraId="5AE7EBB6" w14:textId="77777777" w:rsidTr="002E7EFB">
        <w:tc>
          <w:tcPr>
            <w:tcW w:w="1701" w:type="dxa"/>
            <w:vMerge w:val="restart"/>
          </w:tcPr>
          <w:p w14:paraId="69099993" w14:textId="77777777" w:rsidR="00814A54" w:rsidRPr="00526B52" w:rsidRDefault="00814A54" w:rsidP="00814A54">
            <w:pPr>
              <w:tabs>
                <w:tab w:val="center" w:pos="284"/>
              </w:tabs>
              <w:ind w:left="266" w:hanging="266"/>
              <w:rPr>
                <w:b/>
                <w:sz w:val="22"/>
                <w:szCs w:val="22"/>
              </w:rPr>
            </w:pPr>
            <w:r w:rsidRPr="00526B52">
              <w:rPr>
                <w:b/>
                <w:sz w:val="22"/>
                <w:szCs w:val="22"/>
              </w:rPr>
              <w:t>Отправни документи</w:t>
            </w:r>
          </w:p>
        </w:tc>
        <w:tc>
          <w:tcPr>
            <w:tcW w:w="5670" w:type="dxa"/>
          </w:tcPr>
          <w:p w14:paraId="699F0B48" w14:textId="3F25C095" w:rsidR="00BA2BB0" w:rsidRPr="00526B52" w:rsidRDefault="00BA2BB0" w:rsidP="00814A54">
            <w:pPr>
              <w:tabs>
                <w:tab w:val="center" w:pos="284"/>
              </w:tabs>
              <w:ind w:left="266" w:hanging="266"/>
              <w:rPr>
                <w:sz w:val="22"/>
                <w:szCs w:val="22"/>
              </w:rPr>
            </w:pPr>
            <w:r w:rsidRPr="00526B52">
              <w:rPr>
                <w:sz w:val="22"/>
                <w:szCs w:val="22"/>
              </w:rPr>
              <w:t xml:space="preserve">COM(2026) 135 </w:t>
            </w:r>
            <w:proofErr w:type="spellStart"/>
            <w:r w:rsidRPr="00526B52">
              <w:rPr>
                <w:sz w:val="22"/>
                <w:szCs w:val="22"/>
              </w:rPr>
              <w:t>final</w:t>
            </w:r>
            <w:proofErr w:type="spellEnd"/>
          </w:p>
          <w:p w14:paraId="30557EA2" w14:textId="294C27C9" w:rsidR="00814A54" w:rsidRPr="00526B52" w:rsidRDefault="00814A54" w:rsidP="00814A54">
            <w:pPr>
              <w:tabs>
                <w:tab w:val="center" w:pos="284"/>
              </w:tabs>
              <w:ind w:left="266" w:hanging="266"/>
              <w:rPr>
                <w:sz w:val="22"/>
                <w:szCs w:val="22"/>
              </w:rPr>
            </w:pPr>
            <w:r w:rsidRPr="00526B52">
              <w:rPr>
                <w:sz w:val="22"/>
                <w:szCs w:val="22"/>
              </w:rPr>
              <w:t>EESC-2026-01126-00-00-AC</w:t>
            </w:r>
          </w:p>
        </w:tc>
      </w:tr>
      <w:tr w:rsidR="00814A54" w:rsidRPr="00526B52" w14:paraId="15CB02A5" w14:textId="77777777" w:rsidTr="002E7EFB">
        <w:tc>
          <w:tcPr>
            <w:tcW w:w="1701" w:type="dxa"/>
            <w:vMerge/>
          </w:tcPr>
          <w:p w14:paraId="0E4A7D50" w14:textId="77777777" w:rsidR="00814A54" w:rsidRPr="00526B52" w:rsidRDefault="00814A54" w:rsidP="00814A54">
            <w:pPr>
              <w:tabs>
                <w:tab w:val="center" w:pos="284"/>
              </w:tabs>
              <w:ind w:left="266" w:hanging="266"/>
              <w:rPr>
                <w:b/>
                <w:sz w:val="22"/>
                <w:szCs w:val="22"/>
              </w:rPr>
            </w:pPr>
          </w:p>
        </w:tc>
        <w:tc>
          <w:tcPr>
            <w:tcW w:w="5670" w:type="dxa"/>
          </w:tcPr>
          <w:p w14:paraId="5AB61185" w14:textId="77777777" w:rsidR="00814A54" w:rsidRPr="00526B52" w:rsidRDefault="00814A54" w:rsidP="00814A54">
            <w:pPr>
              <w:tabs>
                <w:tab w:val="center" w:pos="284"/>
              </w:tabs>
              <w:ind w:left="266" w:hanging="266"/>
              <w:rPr>
                <w:sz w:val="22"/>
                <w:szCs w:val="22"/>
              </w:rPr>
            </w:pPr>
          </w:p>
        </w:tc>
      </w:tr>
    </w:tbl>
    <w:p w14:paraId="283139ED" w14:textId="77777777" w:rsidR="00814A54" w:rsidRPr="00814A54" w:rsidRDefault="00814A54" w:rsidP="00814A54">
      <w:pPr>
        <w:keepNext/>
        <w:keepLines/>
        <w:tabs>
          <w:tab w:val="center" w:pos="284"/>
        </w:tabs>
        <w:ind w:left="266" w:hanging="266"/>
        <w:rPr>
          <w:b/>
        </w:rPr>
      </w:pPr>
      <w:r>
        <w:rPr>
          <w:b/>
        </w:rPr>
        <w:t>Основни аспекти</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ЕИСК:</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подкрепя усилията за подобряване на бързината, способността за реагиране и капацитета за иновации на европейската отбранителна технологична и индустриална база (ЕОТИБ) с оглед на променящата се обстановка в областта на сигурността и поради това приветства предложената от Комисията рамка за отбрана AGILE;</w:t>
      </w:r>
      <w:bookmarkEnd w:id="45"/>
    </w:p>
    <w:p w14:paraId="7C3494F3" w14:textId="77777777" w:rsidR="00814A54" w:rsidRPr="00814A54" w:rsidRDefault="00814A54" w:rsidP="004C6742">
      <w:pPr>
        <w:numPr>
          <w:ilvl w:val="1"/>
          <w:numId w:val="65"/>
        </w:numPr>
        <w:outlineLvl w:val="1"/>
      </w:pPr>
      <w:bookmarkStart w:id="46" w:name="_Toc228805458"/>
      <w:r>
        <w:t>приветства AGILE като платформа, чрез която МСП, стартиращи предприятия, дружества и предприемачи в областта на гражданските технологии да предоставят висококачествени и бързи решения за отбранителната готовност на ЕС. ЕИСК подчертава важната роля на новите участници в областта на отбраната за трансформацията на отбранителната промишленост на ЕС;</w:t>
      </w:r>
      <w:bookmarkEnd w:id="46"/>
      <w:r>
        <w:t xml:space="preserve"> </w:t>
      </w:r>
    </w:p>
    <w:p w14:paraId="084337D9" w14:textId="77777777" w:rsidR="00814A54" w:rsidRPr="00814A54" w:rsidRDefault="00814A54" w:rsidP="004C6742">
      <w:pPr>
        <w:numPr>
          <w:ilvl w:val="1"/>
          <w:numId w:val="65"/>
        </w:numPr>
        <w:outlineLvl w:val="1"/>
      </w:pPr>
      <w:bookmarkStart w:id="47" w:name="_Toc228805459"/>
      <w:r>
        <w:t>подчертава, че ускоряването не трябва да бъде за сметка на прозрачността, отчетността и демократичния контрол, които продължават да бъдат от съществено значение за легитимността и ефективността на действията на ЕС;</w:t>
      </w:r>
      <w:bookmarkEnd w:id="47"/>
    </w:p>
    <w:p w14:paraId="15C24631" w14:textId="77777777" w:rsidR="00814A54" w:rsidRPr="00814A54" w:rsidRDefault="00814A54" w:rsidP="004C6742">
      <w:pPr>
        <w:numPr>
          <w:ilvl w:val="1"/>
          <w:numId w:val="65"/>
        </w:numPr>
        <w:outlineLvl w:val="1"/>
      </w:pPr>
      <w:bookmarkStart w:id="48" w:name="_Toc228805460"/>
      <w:r>
        <w:t>призовава средствата по AGILE да бъдат в допълнение към съществуващите програми на ЕС в областта на отбраната. ЕИСК препоръчва през следващия период на МФР бюджетът за този инструмент да бъде значително увеличен въз основа на резултатите от оценката на пилотната програма;</w:t>
      </w:r>
      <w:bookmarkEnd w:id="48"/>
      <w:r>
        <w:t xml:space="preserve"> </w:t>
      </w:r>
    </w:p>
    <w:p w14:paraId="590B8EC8" w14:textId="77777777" w:rsidR="00814A54" w:rsidRPr="00814A54" w:rsidRDefault="00814A54" w:rsidP="004C6742">
      <w:pPr>
        <w:numPr>
          <w:ilvl w:val="1"/>
          <w:numId w:val="65"/>
        </w:numPr>
        <w:outlineLvl w:val="1"/>
      </w:pPr>
      <w:bookmarkStart w:id="49" w:name="_Toc228805461"/>
      <w:r>
        <w:t>препоръчва да се въведат разпоредби, чрез които да се гарантира, че в процесите на популяризиране, подбор и оценка на AGILE проактивно са включени иновативни МСП, стартиращи предприятия и единични дружества от всички държави членки и сектори с оглед на укрепването на географския баланс и приобщаването в целия Съюз;</w:t>
      </w:r>
      <w:bookmarkEnd w:id="49"/>
    </w:p>
    <w:p w14:paraId="2B71655A" w14:textId="77777777" w:rsidR="00814A54" w:rsidRPr="00814A54" w:rsidRDefault="00814A54" w:rsidP="004C6742">
      <w:pPr>
        <w:numPr>
          <w:ilvl w:val="1"/>
          <w:numId w:val="65"/>
        </w:numPr>
        <w:outlineLvl w:val="1"/>
      </w:pPr>
      <w:bookmarkStart w:id="50" w:name="_Toc228805462"/>
      <w:r>
        <w:lastRenderedPageBreak/>
        <w:t>препоръчва въвеждането на строги и приложими мерки, за да се гарантира ефективното спазване на член 9, параграф 5 относно допустимостта. За да се защитят стратегическата автономност и интересите на Съюза в областта на сигурността, в този член следва изрично да се формулират ясни и строги критерии за изключване;</w:t>
      </w:r>
      <w:bookmarkEnd w:id="50"/>
    </w:p>
    <w:p w14:paraId="3849E73E" w14:textId="77777777" w:rsidR="00814A54" w:rsidRPr="00814A54" w:rsidRDefault="00814A54" w:rsidP="004C6742">
      <w:pPr>
        <w:numPr>
          <w:ilvl w:val="1"/>
          <w:numId w:val="65"/>
        </w:numPr>
        <w:outlineLvl w:val="1"/>
      </w:pPr>
      <w:bookmarkStart w:id="51" w:name="_Toc228805463"/>
      <w:r>
        <w:t>препоръчва проектите по AGILE да се ръководят твърдо от ясно определени изисквания за отбранителни способности и да бъдат тясно съгласувани с нуждите на крайните потребители; подчертава, че за проектите по AGILE следва да има достъп до реална среда за изпитване, включително военни учения и изпитателни площадки, за да се валидират решенията при оперативни условия и да се ускори тяхното внедряване;</w:t>
      </w:r>
      <w:bookmarkEnd w:id="51"/>
    </w:p>
    <w:p w14:paraId="0638FC2F" w14:textId="77777777" w:rsidR="00814A54" w:rsidRPr="00814A54" w:rsidRDefault="00814A54" w:rsidP="004C6742">
      <w:pPr>
        <w:numPr>
          <w:ilvl w:val="1"/>
          <w:numId w:val="65"/>
        </w:numPr>
        <w:outlineLvl w:val="1"/>
      </w:pPr>
      <w:bookmarkStart w:id="52" w:name="_Toc228805464"/>
      <w:r>
        <w:t>препоръчва в прилагането на AGILE изрично да бъде включено зачитането на трудовото, социалното и екологичното законодателство на ЕС. ЕИСК подчертава, че участието в програмата AGILE следва да бъде обвързано с ангажименти за развитие на умения, качествена заетост и пълно зачитане на правата на работниците в съответствие с европейския социален модел.</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0B5DA6" w14:paraId="5B60E629" w14:textId="77777777" w:rsidTr="002E7EFB">
        <w:tc>
          <w:tcPr>
            <w:tcW w:w="1418" w:type="dxa"/>
          </w:tcPr>
          <w:p w14:paraId="59F261E2" w14:textId="77777777" w:rsidR="00814A54" w:rsidRPr="000B5DA6" w:rsidRDefault="00814A54" w:rsidP="00814A54">
            <w:pPr>
              <w:spacing w:line="240" w:lineRule="auto"/>
              <w:rPr>
                <w:i/>
                <w:sz w:val="22"/>
                <w:szCs w:val="22"/>
              </w:rPr>
            </w:pPr>
            <w:r w:rsidRPr="000B5DA6">
              <w:rPr>
                <w:b/>
                <w:i/>
                <w:sz w:val="22"/>
                <w:szCs w:val="22"/>
              </w:rPr>
              <w:t>За контакти</w:t>
            </w:r>
          </w:p>
        </w:tc>
        <w:tc>
          <w:tcPr>
            <w:tcW w:w="5670" w:type="dxa"/>
          </w:tcPr>
          <w:p w14:paraId="42A1FC82" w14:textId="7A465A63" w:rsidR="00814A54" w:rsidRPr="000B5DA6" w:rsidRDefault="00814A54" w:rsidP="00814A54">
            <w:pPr>
              <w:spacing w:line="240" w:lineRule="auto"/>
              <w:rPr>
                <w:bCs/>
                <w:i/>
                <w:sz w:val="22"/>
                <w:szCs w:val="22"/>
              </w:rPr>
            </w:pPr>
            <w:r w:rsidRPr="000B5DA6">
              <w:rPr>
                <w:i/>
                <w:sz w:val="22"/>
                <w:szCs w:val="22"/>
              </w:rPr>
              <w:t xml:space="preserve">Ioannis </w:t>
            </w:r>
            <w:proofErr w:type="spellStart"/>
            <w:r w:rsidRPr="000B5DA6">
              <w:rPr>
                <w:i/>
                <w:sz w:val="22"/>
                <w:szCs w:val="22"/>
              </w:rPr>
              <w:t>Diamantopoulos</w:t>
            </w:r>
            <w:proofErr w:type="spellEnd"/>
          </w:p>
        </w:tc>
      </w:tr>
      <w:tr w:rsidR="00814A54" w:rsidRPr="000B5DA6" w14:paraId="7C2F36B8" w14:textId="77777777" w:rsidTr="002E7EFB">
        <w:tc>
          <w:tcPr>
            <w:tcW w:w="1418" w:type="dxa"/>
          </w:tcPr>
          <w:p w14:paraId="2F6A920E" w14:textId="77777777" w:rsidR="00814A54" w:rsidRPr="000B5DA6" w:rsidRDefault="00814A54" w:rsidP="00814A54">
            <w:pPr>
              <w:spacing w:line="240" w:lineRule="auto"/>
              <w:rPr>
                <w:i/>
                <w:sz w:val="22"/>
                <w:szCs w:val="22"/>
              </w:rPr>
            </w:pPr>
            <w:r w:rsidRPr="000B5DA6">
              <w:rPr>
                <w:i/>
                <w:sz w:val="22"/>
                <w:szCs w:val="22"/>
              </w:rPr>
              <w:t>Тел.</w:t>
            </w:r>
          </w:p>
        </w:tc>
        <w:tc>
          <w:tcPr>
            <w:tcW w:w="5670" w:type="dxa"/>
          </w:tcPr>
          <w:p w14:paraId="2671F0CA" w14:textId="77777777" w:rsidR="00814A54" w:rsidRPr="000B5DA6" w:rsidRDefault="00814A54" w:rsidP="00814A54">
            <w:pPr>
              <w:spacing w:line="240" w:lineRule="auto"/>
              <w:rPr>
                <w:i/>
                <w:sz w:val="22"/>
                <w:szCs w:val="22"/>
              </w:rPr>
            </w:pPr>
            <w:r w:rsidRPr="000B5DA6">
              <w:rPr>
                <w:i/>
                <w:sz w:val="22"/>
                <w:szCs w:val="22"/>
              </w:rPr>
              <w:t>+32 25469170</w:t>
            </w:r>
          </w:p>
        </w:tc>
      </w:tr>
      <w:tr w:rsidR="00814A54" w:rsidRPr="000B5DA6" w14:paraId="7A81BD47" w14:textId="77777777" w:rsidTr="002E7EFB">
        <w:trPr>
          <w:trHeight w:val="244"/>
        </w:trPr>
        <w:tc>
          <w:tcPr>
            <w:tcW w:w="1418" w:type="dxa"/>
          </w:tcPr>
          <w:p w14:paraId="3A5319AB" w14:textId="77777777" w:rsidR="00814A54" w:rsidRPr="000B5DA6" w:rsidRDefault="00814A54" w:rsidP="00814A54">
            <w:pPr>
              <w:spacing w:line="240" w:lineRule="auto"/>
              <w:rPr>
                <w:i/>
                <w:sz w:val="22"/>
                <w:szCs w:val="22"/>
              </w:rPr>
            </w:pPr>
            <w:r w:rsidRPr="000B5DA6">
              <w:rPr>
                <w:i/>
                <w:sz w:val="22"/>
                <w:szCs w:val="22"/>
              </w:rPr>
              <w:t>Електронен адрес</w:t>
            </w:r>
          </w:p>
        </w:tc>
        <w:tc>
          <w:tcPr>
            <w:tcW w:w="5670" w:type="dxa"/>
          </w:tcPr>
          <w:p w14:paraId="210C9375" w14:textId="4B1FF69A" w:rsidR="00814A54" w:rsidRPr="000B5DA6" w:rsidRDefault="00C10CD5" w:rsidP="00814A54">
            <w:pPr>
              <w:spacing w:line="240" w:lineRule="auto"/>
              <w:rPr>
                <w:i/>
                <w:sz w:val="22"/>
                <w:szCs w:val="22"/>
              </w:rPr>
            </w:pPr>
            <w:hyperlink r:id="rId72" w:history="1">
              <w:r w:rsidRPr="000B5DA6">
                <w:rPr>
                  <w:i/>
                  <w:color w:val="0000FF"/>
                  <w:sz w:val="22"/>
                  <w:szCs w:val="22"/>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86C7" w14:textId="77777777" w:rsidR="00F55ACC" w:rsidRDefault="00F55ACC" w:rsidP="00B518C9">
      <w:pPr>
        <w:spacing w:line="240" w:lineRule="auto"/>
      </w:pPr>
      <w:r>
        <w:separator/>
      </w:r>
    </w:p>
  </w:endnote>
  <w:endnote w:type="continuationSeparator" w:id="0">
    <w:p w14:paraId="3EDE6C60" w14:textId="77777777" w:rsidR="00F55ACC" w:rsidRDefault="00F55ACC"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297B" w14:textId="77777777" w:rsidR="00F55ACC" w:rsidRDefault="00F55ACC" w:rsidP="00B518C9">
      <w:pPr>
        <w:spacing w:line="240" w:lineRule="auto"/>
      </w:pPr>
      <w:r>
        <w:separator/>
      </w:r>
    </w:p>
  </w:footnote>
  <w:footnote w:type="continuationSeparator" w:id="0">
    <w:p w14:paraId="5C3595A8" w14:textId="77777777" w:rsidR="00F55ACC" w:rsidRDefault="00F55ACC" w:rsidP="00B518C9">
      <w:pPr>
        <w:spacing w:line="240" w:lineRule="auto"/>
      </w:pPr>
      <w:r>
        <w:continuationSeparator/>
      </w:r>
    </w:p>
  </w:footnote>
  <w:footnote w:id="1">
    <w:p w14:paraId="7B651DAB" w14:textId="68D789D0" w:rsidR="00944198" w:rsidRPr="00BD72B3" w:rsidRDefault="00944198" w:rsidP="00944198">
      <w:pPr>
        <w:pStyle w:val="FootnoteText"/>
      </w:pPr>
      <w:r>
        <w:rPr>
          <w:rStyle w:val="FootnoteReference"/>
        </w:rPr>
        <w:footnoteRef/>
      </w:r>
      <w:r>
        <w:tab/>
        <w:t xml:space="preserve">ОВ C, C/2024/6880, 28.11.2024 г., ELI: </w:t>
      </w:r>
      <w:hyperlink r:id="rId1" w:history="1">
        <w:r>
          <w:rPr>
            <w:rStyle w:val="Hyperlink"/>
          </w:rPr>
          <w:t>http://data.europa.eu/eli/C/2024/6880/oj</w:t>
        </w:r>
      </w:hyperlink>
      <w:r>
        <w:t>.</w:t>
      </w:r>
    </w:p>
  </w:footnote>
  <w:footnote w:id="2">
    <w:p w14:paraId="6A5DF5FB" w14:textId="032AEEFD" w:rsidR="002B30F4" w:rsidRDefault="002B30F4" w:rsidP="002B30F4">
      <w:pPr>
        <w:pStyle w:val="FootnoteText"/>
      </w:pPr>
      <w:r>
        <w:rPr>
          <w:rStyle w:val="FootnoteReference"/>
        </w:rPr>
        <w:footnoteRef/>
      </w:r>
      <w:r>
        <w:tab/>
      </w:r>
      <w:r>
        <w:t>Становище на ЕИСК относно „</w:t>
      </w:r>
      <w:hyperlink r:id="rId2" w:history="1">
        <w:r>
          <w:rPr>
            <w:rStyle w:val="Hyperlink"/>
            <w:i/>
          </w:rPr>
          <w:t>Еквивалентност на инспекциите — семена, произведени в Бразилия и Молдова (изменение)</w:t>
        </w:r>
      </w:hyperlink>
      <w:r>
        <w:t xml:space="preserve">“, </w:t>
      </w:r>
      <w:hyperlink r:id="rId3" w:history="1">
        <w:r>
          <w:rPr>
            <w:rStyle w:val="Hyperlink"/>
          </w:rPr>
          <w:t>ОВ C 227, 28.6.2018 г., стр. 76—77</w:t>
        </w:r>
      </w:hyperlink>
      <w:r>
        <w:t>.</w:t>
      </w:r>
    </w:p>
  </w:footnote>
  <w:footnote w:id="3">
    <w:p w14:paraId="31B28570" w14:textId="01DCCE17" w:rsidR="002B30F4" w:rsidRDefault="002B30F4" w:rsidP="002B30F4">
      <w:pPr>
        <w:pStyle w:val="FootnoteText"/>
      </w:pPr>
      <w:r>
        <w:rPr>
          <w:rStyle w:val="FootnoteReference"/>
        </w:rPr>
        <w:footnoteRef/>
      </w:r>
      <w:r>
        <w:tab/>
      </w:r>
      <w:r>
        <w:t>Становище на ЕИСК относно „</w:t>
      </w:r>
      <w:hyperlink r:id="rId4" w:history="1">
        <w:r>
          <w:rPr>
            <w:rStyle w:val="Hyperlink"/>
            <w:i/>
          </w:rPr>
          <w:t>Еквивалентност на семената — Украйна</w:t>
        </w:r>
      </w:hyperlink>
      <w:r>
        <w:t xml:space="preserve">“ — </w:t>
      </w:r>
      <w:hyperlink r:id="rId5" w:history="1">
        <w:r>
          <w:rPr>
            <w:rStyle w:val="Hyperlink"/>
          </w:rPr>
          <w:t>ОВ C 429, 11.12.2020 г., стр. 276</w:t>
        </w:r>
      </w:hyperlink>
      <w:r>
        <w:t>.</w:t>
      </w:r>
    </w:p>
  </w:footnote>
  <w:footnote w:id="4">
    <w:p w14:paraId="704BA872" w14:textId="2117CD91" w:rsidR="008548EA" w:rsidRDefault="008548EA" w:rsidP="008548EA">
      <w:pPr>
        <w:pStyle w:val="FootnoteText"/>
      </w:pPr>
      <w:r>
        <w:rPr>
          <w:rStyle w:val="FootnoteReference"/>
        </w:rPr>
        <w:footnoteRef/>
      </w:r>
      <w:r>
        <w:tab/>
      </w:r>
      <w:r>
        <w:t xml:space="preserve">Становище на ЕИСК относно </w:t>
      </w:r>
      <w:hyperlink r:id="rId6">
        <w:r>
          <w:rPr>
            <w:rStyle w:val="Hyperlink"/>
            <w:i/>
          </w:rPr>
          <w:t>„Преразглеждане на схемата на ЕС за търговия с емисии (СТЕ), включително в областта на морския транспорт и резерва за стабилност на пазара“</w:t>
        </w:r>
      </w:hyperlink>
      <w:r>
        <w:t xml:space="preserve">, </w:t>
      </w:r>
      <w:hyperlink r:id="rId7">
        <w:r>
          <w:rPr>
            <w:rStyle w:val="Hyperlink"/>
          </w:rPr>
          <w:t>ОВ C 152, 6.4.2022 г., стр.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2077986">
    <w:abstractNumId w:val="0"/>
  </w:num>
  <w:num w:numId="2" w16cid:durableId="907152879">
    <w:abstractNumId w:val="61"/>
  </w:num>
  <w:num w:numId="3" w16cid:durableId="1020082317">
    <w:abstractNumId w:val="68"/>
  </w:num>
  <w:num w:numId="4" w16cid:durableId="1327440269">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406759616">
    <w:abstractNumId w:val="62"/>
  </w:num>
  <w:num w:numId="6" w16cid:durableId="1198928954">
    <w:abstractNumId w:val="69"/>
  </w:num>
  <w:num w:numId="7" w16cid:durableId="1498766494">
    <w:abstractNumId w:val="25"/>
  </w:num>
  <w:num w:numId="8" w16cid:durableId="846944217">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697776701">
    <w:abstractNumId w:val="56"/>
  </w:num>
  <w:num w:numId="10" w16cid:durableId="97456232">
    <w:abstractNumId w:val="46"/>
  </w:num>
  <w:num w:numId="11" w16cid:durableId="1735472675">
    <w:abstractNumId w:val="58"/>
  </w:num>
  <w:num w:numId="12" w16cid:durableId="812914298">
    <w:abstractNumId w:val="47"/>
  </w:num>
  <w:num w:numId="13" w16cid:durableId="433328685">
    <w:abstractNumId w:val="60"/>
  </w:num>
  <w:num w:numId="14" w16cid:durableId="465320490">
    <w:abstractNumId w:val="54"/>
  </w:num>
  <w:num w:numId="15" w16cid:durableId="102696684">
    <w:abstractNumId w:val="10"/>
  </w:num>
  <w:num w:numId="16" w16cid:durableId="468060193">
    <w:abstractNumId w:val="53"/>
  </w:num>
  <w:num w:numId="17" w16cid:durableId="2053268746">
    <w:abstractNumId w:val="32"/>
  </w:num>
  <w:num w:numId="18" w16cid:durableId="1979066141">
    <w:abstractNumId w:val="23"/>
  </w:num>
  <w:num w:numId="19" w16cid:durableId="1754399590">
    <w:abstractNumId w:val="8"/>
  </w:num>
  <w:num w:numId="20" w16cid:durableId="1678342810">
    <w:abstractNumId w:val="71"/>
  </w:num>
  <w:num w:numId="21" w16cid:durableId="804547568">
    <w:abstractNumId w:val="51"/>
  </w:num>
  <w:num w:numId="22" w16cid:durableId="1570112880">
    <w:abstractNumId w:val="3"/>
  </w:num>
  <w:num w:numId="23" w16cid:durableId="1035039203">
    <w:abstractNumId w:val="39"/>
  </w:num>
  <w:num w:numId="24" w16cid:durableId="1147818556">
    <w:abstractNumId w:val="40"/>
  </w:num>
  <w:num w:numId="25" w16cid:durableId="730735799">
    <w:abstractNumId w:val="55"/>
  </w:num>
  <w:num w:numId="26" w16cid:durableId="1505127002">
    <w:abstractNumId w:val="14"/>
  </w:num>
  <w:num w:numId="27" w16cid:durableId="188109985">
    <w:abstractNumId w:val="11"/>
  </w:num>
  <w:num w:numId="28" w16cid:durableId="998001324">
    <w:abstractNumId w:val="37"/>
  </w:num>
  <w:num w:numId="29" w16cid:durableId="805202503">
    <w:abstractNumId w:val="38"/>
  </w:num>
  <w:num w:numId="30" w16cid:durableId="1723292100">
    <w:abstractNumId w:val="31"/>
  </w:num>
  <w:num w:numId="31" w16cid:durableId="1154179138">
    <w:abstractNumId w:val="45"/>
  </w:num>
  <w:num w:numId="32" w16cid:durableId="1691107283">
    <w:abstractNumId w:val="7"/>
  </w:num>
  <w:num w:numId="33" w16cid:durableId="10442934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557857910">
    <w:abstractNumId w:val="19"/>
  </w:num>
  <w:num w:numId="35" w16cid:durableId="490996107">
    <w:abstractNumId w:val="65"/>
  </w:num>
  <w:num w:numId="36" w16cid:durableId="620496185">
    <w:abstractNumId w:val="43"/>
  </w:num>
  <w:num w:numId="37" w16cid:durableId="1927611707">
    <w:abstractNumId w:val="33"/>
  </w:num>
  <w:num w:numId="38" w16cid:durableId="2035838179">
    <w:abstractNumId w:val="36"/>
  </w:num>
  <w:num w:numId="39" w16cid:durableId="288174493">
    <w:abstractNumId w:val="63"/>
  </w:num>
  <w:num w:numId="40" w16cid:durableId="682821681">
    <w:abstractNumId w:val="6"/>
  </w:num>
  <w:num w:numId="41" w16cid:durableId="338044981">
    <w:abstractNumId w:val="48"/>
  </w:num>
  <w:num w:numId="42" w16cid:durableId="1425612430">
    <w:abstractNumId w:val="67"/>
  </w:num>
  <w:num w:numId="43" w16cid:durableId="1432625863">
    <w:abstractNumId w:val="13"/>
  </w:num>
  <w:num w:numId="44" w16cid:durableId="802619473">
    <w:abstractNumId w:val="18"/>
  </w:num>
  <w:num w:numId="45" w16cid:durableId="1784416837">
    <w:abstractNumId w:val="4"/>
  </w:num>
  <w:num w:numId="46" w16cid:durableId="2019499162">
    <w:abstractNumId w:val="64"/>
  </w:num>
  <w:num w:numId="47" w16cid:durableId="1403484975">
    <w:abstractNumId w:val="41"/>
  </w:num>
  <w:num w:numId="48" w16cid:durableId="1066076835">
    <w:abstractNumId w:val="12"/>
  </w:num>
  <w:num w:numId="49" w16cid:durableId="1215774753">
    <w:abstractNumId w:val="57"/>
  </w:num>
  <w:num w:numId="50" w16cid:durableId="1955012342">
    <w:abstractNumId w:val="26"/>
  </w:num>
  <w:num w:numId="51" w16cid:durableId="984503494">
    <w:abstractNumId w:val="66"/>
  </w:num>
  <w:num w:numId="52" w16cid:durableId="433476779">
    <w:abstractNumId w:val="50"/>
  </w:num>
  <w:num w:numId="53" w16cid:durableId="697893714">
    <w:abstractNumId w:val="22"/>
  </w:num>
  <w:num w:numId="54" w16cid:durableId="1361855847">
    <w:abstractNumId w:val="5"/>
  </w:num>
  <w:num w:numId="55" w16cid:durableId="2065910937">
    <w:abstractNumId w:val="52"/>
  </w:num>
  <w:num w:numId="56" w16cid:durableId="1975984471">
    <w:abstractNumId w:val="9"/>
  </w:num>
  <w:num w:numId="57" w16cid:durableId="755398800">
    <w:abstractNumId w:val="30"/>
  </w:num>
  <w:num w:numId="58" w16cid:durableId="2067490088">
    <w:abstractNumId w:val="44"/>
  </w:num>
  <w:num w:numId="59" w16cid:durableId="2135713829">
    <w:abstractNumId w:val="28"/>
  </w:num>
  <w:num w:numId="60" w16cid:durableId="79255687">
    <w:abstractNumId w:val="27"/>
  </w:num>
  <w:num w:numId="61" w16cid:durableId="667252082">
    <w:abstractNumId w:val="20"/>
  </w:num>
  <w:num w:numId="62" w16cid:durableId="197016354">
    <w:abstractNumId w:val="49"/>
  </w:num>
  <w:num w:numId="63" w16cid:durableId="1761096494">
    <w:abstractNumId w:val="29"/>
  </w:num>
  <w:num w:numId="64" w16cid:durableId="427234266">
    <w:abstractNumId w:val="21"/>
  </w:num>
  <w:num w:numId="65" w16cid:durableId="1493259236">
    <w:abstractNumId w:val="35"/>
  </w:num>
  <w:num w:numId="66" w16cid:durableId="656766070">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144854789">
    <w:abstractNumId w:val="24"/>
  </w:num>
  <w:num w:numId="68" w16cid:durableId="1126584975">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276454730">
    <w:abstractNumId w:val="17"/>
  </w:num>
  <w:num w:numId="70" w16cid:durableId="1398892024">
    <w:abstractNumId w:val="34"/>
  </w:num>
  <w:num w:numId="71" w16cid:durableId="1763144740">
    <w:abstractNumId w:val="2"/>
  </w:num>
  <w:num w:numId="72" w16cid:durableId="297733458">
    <w:abstractNumId w:val="16"/>
  </w:num>
  <w:num w:numId="73" w16cid:durableId="323242727">
    <w:abstractNumId w:val="59"/>
  </w:num>
  <w:num w:numId="74" w16cid:durableId="658309827">
    <w:abstractNumId w:val="72"/>
  </w:num>
  <w:num w:numId="75" w16cid:durableId="1705785199">
    <w:abstractNumId w:val="42"/>
  </w:num>
  <w:num w:numId="76" w16cid:durableId="1360736984">
    <w:abstractNumId w:val="15"/>
  </w:num>
  <w:num w:numId="77" w16cid:durableId="82886374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B1585"/>
    <w:rsid w:val="000B5DA6"/>
    <w:rsid w:val="000C5A16"/>
    <w:rsid w:val="000D394D"/>
    <w:rsid w:val="000F4673"/>
    <w:rsid w:val="001110F2"/>
    <w:rsid w:val="00121D18"/>
    <w:rsid w:val="00125D6F"/>
    <w:rsid w:val="00126E5E"/>
    <w:rsid w:val="0014411E"/>
    <w:rsid w:val="0014429D"/>
    <w:rsid w:val="00144D96"/>
    <w:rsid w:val="00150F26"/>
    <w:rsid w:val="001549EB"/>
    <w:rsid w:val="001673E1"/>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2866"/>
    <w:rsid w:val="00224B1B"/>
    <w:rsid w:val="00227AA1"/>
    <w:rsid w:val="00235BA4"/>
    <w:rsid w:val="00235CEA"/>
    <w:rsid w:val="00237E17"/>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D408A"/>
    <w:rsid w:val="002E1159"/>
    <w:rsid w:val="002E1E9E"/>
    <w:rsid w:val="002E371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AE5"/>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7784E"/>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26B52"/>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86318"/>
    <w:rsid w:val="007A148E"/>
    <w:rsid w:val="007A3096"/>
    <w:rsid w:val="007A570F"/>
    <w:rsid w:val="007A78AB"/>
    <w:rsid w:val="007B24B7"/>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12F8"/>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0CD5"/>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B76E4"/>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ACC"/>
    <w:rsid w:val="00F55F11"/>
    <w:rsid w:val="00F72468"/>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bg/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bg/our-work/opinions-information-reports/opinions/new-rules-drug-precursors" TargetMode="External"/><Relationship Id="rId63" Type="http://schemas.openxmlformats.org/officeDocument/2006/relationships/hyperlink" Target="https://www.eesc.europa.eu/bg/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bg/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bg/our-work/opinions-information-reports/opinions/developing-european-centre-clinical-excellence-pharmaceuticals" TargetMode="External"/><Relationship Id="rId53" Type="http://schemas.openxmlformats.org/officeDocument/2006/relationships/hyperlink" Target="https://www.eesc.europa.eu/bg/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bg/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bg/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bg/our-work/opinions-information-reports/opinions/over-tourism-short-term-rentals-and-crowding-out-local-populations-finding-right-balance" TargetMode="External"/><Relationship Id="rId43" Type="http://schemas.openxmlformats.org/officeDocument/2006/relationships/hyperlink" Target="https://www.eesc.europa.eu/bg/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bg/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bg/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bg/our-work/opinions-information-reports/opinions/ban-conversion-practices-european-union" TargetMode="External"/><Relationship Id="rId33" Type="http://schemas.openxmlformats.org/officeDocument/2006/relationships/hyperlink" Target="https://www.eesc.europa.eu/bg/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bg/our-work/opinions-information-reports/opinions/eu-bioeconomy-strategy-towards-circular-regenerative-and-competitive-bioeconomy" TargetMode="External"/><Relationship Id="rId67" Type="http://schemas.openxmlformats.org/officeDocument/2006/relationships/hyperlink" Target="https://www.eesc.europa.eu/bg/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bg/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bg/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bg/our-work/opinions-information-reports/opinions/proposal-regulation-targeted-revision-eu-rules-medical-devices-and-vitro-diagnostics" TargetMode="External"/><Relationship Id="rId57" Type="http://schemas.openxmlformats.org/officeDocument/2006/relationships/hyperlink" Target="https://www.eesc.europa.eu/bg/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bg/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bg/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bg/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bg/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bg/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bg/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bg/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uri=uriserv:OJ.C_.2018.227.01.0076.01.BUL&amp;toc=OJ:C:2018:227:TOC" TargetMode="External"/><Relationship Id="rId7" Type="http://schemas.openxmlformats.org/officeDocument/2006/relationships/hyperlink" Target="https://eur-lex.europa.eu/legal-content/BG/TXT/?uri=uriserv%3AOJ.C_.2022.152.01.0175.01.BUL&amp;toc=OJ%3AC%3A2022%3A152%3ATOC" TargetMode="External"/><Relationship Id="rId2" Type="http://schemas.openxmlformats.org/officeDocument/2006/relationships/hyperlink" Target="https://www.eesc.europa.eu/bg/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bg/our-work/opinions-information-reports/opinions/revision-eu-emissions-trading-system-ets-including-maritime-transport-and-market-stability-reserve" TargetMode="External"/><Relationship Id="rId5" Type="http://schemas.openxmlformats.org/officeDocument/2006/relationships/hyperlink" Target="https://eur-lex.europa.eu/legal-content/BG/TXT/?uri=uriserv%3AOJ.C_.2020.429.01.0276.01.BUL&amp;toc=OJ%3AC%3A2020%3A429%3ATOC" TargetMode="External"/><Relationship Id="rId4" Type="http://schemas.openxmlformats.org/officeDocument/2006/relationships/hyperlink" Target="https://www.eesc.europa.eu/bg/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VP3JK3XSEPRV-2087481956-9114</_dlc_DocId>
    <_dlc_DocIdUrl xmlns="7d640e6d-779c-472f-a269-6b546787f1c9">
      <Url>http://dm/eesc/2026/_layouts/15/DocIdRedir.aspx?ID=VP3JK3XSEPRV-2087481956-9114</Url>
      <Description>VP3JK3XSEPRV-2087481956-9114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Petrov Yulian</DisplayName>
        <AccountId>1398</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2.xml><?xml version="1.0" encoding="utf-8"?>
<ds:datastoreItem xmlns:ds="http://schemas.openxmlformats.org/officeDocument/2006/customXml" ds:itemID="{36864599-3CB9-4167-AC73-777DE1DEFAED}"/>
</file>

<file path=customXml/itemProps3.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57</TotalTime>
  <Pages>32</Pages>
  <Words>9615</Words>
  <Characters>61156</Characters>
  <Application>Microsoft Office Word</Application>
  <DocSecurity>0</DocSecurity>
  <Lines>1652</Lines>
  <Paragraphs>795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контакти Ioannis Diamantopoulos Тел. +32 25469170 Електронен адрес Ioannis.Diamantopoulos@eesc.europa.eu </dc:title>
  <dc:subject>ADMIN</dc:subject>
  <dc:creator/>
  <cp:keywords>COR-EESC-2022-02583-00-00-ADMIN-TRA-EN</cp:keywords>
  <dc:description>Rapporteur:  - Original language: EN - Date of document: 20/05/2022 - Date of meeting:  - External documents:  - Administrator:  SUCIU Serban</dc:description>
  <cp:lastModifiedBy/>
  <cp:revision>17</cp:revision>
  <dcterms:created xsi:type="dcterms:W3CDTF">2026-05-08T11:50:00Z</dcterms:created>
  <dcterms:modified xsi:type="dcterms:W3CDTF">2026-05-22T08:32:00Z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3b9b5e27-c0f6-4dad-8a94-c826ccda5fa8</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32;#PL|1e03da61-4678-4e07-b136-b5024ca9197b;#31;#SL|98a412ae-eb01-49e9-ae3d-585a81724cfc;#30;#SK|46d9fce0-ef79-4f71-b89b-cd6aa82426b8;#29;#CS|72f9705b-0217-4fd3-bea2-cbc7ed80e26e;#28;#PT|50ccc04a-eadd-42ae-a0cb-acaf45f812ba;#27;#ET|ff6c3f4c-b02c-4c3c-ab07-2c37995a7a0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43;#BG|1a1b3951-7821-4e6a-85f5-5673fc08bd2c</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SK|46d9fce0-ef79-4f71-b89b-cd6aa82426b8;PT|50ccc04a-eadd-42ae-a0cb-acaf45f812ba;ET|ff6c3f4c-b02c-4c3c-ab07-2c37995a7a0a;LT|a7ff5ce7-6123-4f68-865a-a57c31810414;DA|5d49c027-8956-412b-aa16-e85a0f96ad0e;CS|72f9705b-0217-4fd3-bea2-cbc7ed80e26e;DE|f6b31e5a-26fa-4935-b661-318e46daf27e;ES|e7a6b05b-ae16-40c8-add9-68b64b03aeba;PL|1e03da61-4678-4e07-b136-b5024ca9197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